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64F5" w14:textId="77777777" w:rsidR="00DF150F" w:rsidRPr="00362372" w:rsidRDefault="00DB2BA7">
      <w:pPr>
        <w:rPr>
          <w:rFonts w:cs="Segoe UI"/>
          <w:sz w:val="24"/>
          <w:szCs w:val="24"/>
        </w:rPr>
      </w:pPr>
      <w:bookmarkStart w:id="0" w:name="_Hlk185350755"/>
      <w:bookmarkEnd w:id="0"/>
      <w:r w:rsidRPr="00362372">
        <w:rPr>
          <w:sz w:val="24"/>
        </w:rPr>
        <w:drawing>
          <wp:anchor distT="0" distB="0" distL="114300" distR="114300" simplePos="0" relativeHeight="251665408" behindDoc="1" locked="0" layoutInCell="1" allowOverlap="1" wp14:anchorId="4D39D3A5" wp14:editId="3E794BCA">
            <wp:simplePos x="0" y="0"/>
            <wp:positionH relativeFrom="page">
              <wp:posOffset>18415</wp:posOffset>
            </wp:positionH>
            <wp:positionV relativeFrom="page">
              <wp:posOffset>175260</wp:posOffset>
            </wp:positionV>
            <wp:extent cx="7562108" cy="10688105"/>
            <wp:effectExtent l="0" t="0" r="1270" b="0"/>
            <wp:wrapNone/>
            <wp:docPr id="170512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966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2108" cy="106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70F23" w14:textId="77777777" w:rsidR="004041B3" w:rsidRPr="00362372" w:rsidRDefault="004041B3">
      <w:pPr>
        <w:rPr>
          <w:rFonts w:cs="Segoe UI"/>
          <w:sz w:val="24"/>
          <w:szCs w:val="24"/>
        </w:rPr>
      </w:pPr>
    </w:p>
    <w:p w14:paraId="184CAB2D" w14:textId="77777777" w:rsidR="004041B3" w:rsidRPr="00362372" w:rsidRDefault="004041B3">
      <w:pPr>
        <w:rPr>
          <w:rFonts w:cs="Segoe UI"/>
          <w:sz w:val="24"/>
          <w:szCs w:val="24"/>
        </w:rPr>
      </w:pPr>
    </w:p>
    <w:p w14:paraId="504FA1AE" w14:textId="77777777" w:rsidR="004041B3" w:rsidRPr="00362372" w:rsidRDefault="004041B3">
      <w:pPr>
        <w:rPr>
          <w:rFonts w:cs="Segoe UI"/>
          <w:sz w:val="24"/>
          <w:szCs w:val="24"/>
        </w:rPr>
      </w:pPr>
    </w:p>
    <w:p w14:paraId="19FA833A" w14:textId="77777777" w:rsidR="004041B3" w:rsidRPr="00362372" w:rsidRDefault="004041B3">
      <w:pPr>
        <w:rPr>
          <w:rFonts w:cs="Segoe UI"/>
          <w:sz w:val="24"/>
          <w:szCs w:val="24"/>
        </w:rPr>
      </w:pPr>
    </w:p>
    <w:p w14:paraId="3A891AF1" w14:textId="77777777" w:rsidR="004041B3" w:rsidRPr="00362372" w:rsidRDefault="004041B3">
      <w:pPr>
        <w:rPr>
          <w:rFonts w:cs="Segoe UI"/>
          <w:sz w:val="24"/>
          <w:szCs w:val="24"/>
        </w:rPr>
      </w:pPr>
    </w:p>
    <w:p w14:paraId="38DB6558" w14:textId="77777777" w:rsidR="004041B3" w:rsidRPr="00362372" w:rsidRDefault="004041B3">
      <w:pPr>
        <w:rPr>
          <w:rFonts w:cs="Segoe UI"/>
          <w:sz w:val="24"/>
          <w:szCs w:val="24"/>
        </w:rPr>
      </w:pPr>
    </w:p>
    <w:p w14:paraId="53CBB9FC" w14:textId="77777777" w:rsidR="004041B3" w:rsidRPr="00362372" w:rsidRDefault="004041B3">
      <w:pPr>
        <w:rPr>
          <w:rFonts w:cs="Segoe UI"/>
          <w:sz w:val="24"/>
          <w:szCs w:val="24"/>
        </w:rPr>
      </w:pPr>
    </w:p>
    <w:p w14:paraId="49AACA4B" w14:textId="77777777" w:rsidR="004041B3" w:rsidRPr="00362372" w:rsidRDefault="004041B3">
      <w:pPr>
        <w:rPr>
          <w:rFonts w:cs="Segoe UI"/>
          <w:sz w:val="24"/>
          <w:szCs w:val="24"/>
        </w:rPr>
      </w:pPr>
    </w:p>
    <w:p w14:paraId="381F7F9B" w14:textId="77777777" w:rsidR="004041B3" w:rsidRPr="00362372" w:rsidRDefault="004041B3">
      <w:pPr>
        <w:rPr>
          <w:rFonts w:cs="Segoe UI"/>
          <w:sz w:val="24"/>
          <w:szCs w:val="24"/>
        </w:rPr>
      </w:pPr>
    </w:p>
    <w:p w14:paraId="2B6F276A" w14:textId="77777777" w:rsidR="004041B3" w:rsidRPr="00362372" w:rsidRDefault="004041B3">
      <w:pPr>
        <w:rPr>
          <w:rFonts w:cs="Segoe UI"/>
          <w:sz w:val="24"/>
          <w:szCs w:val="24"/>
        </w:rPr>
      </w:pPr>
    </w:p>
    <w:p w14:paraId="6247D9A2" w14:textId="77777777" w:rsidR="004041B3" w:rsidRPr="00362372" w:rsidRDefault="004041B3">
      <w:pPr>
        <w:rPr>
          <w:rFonts w:cs="Segoe UI"/>
          <w:sz w:val="24"/>
          <w:szCs w:val="24"/>
        </w:rPr>
      </w:pPr>
    </w:p>
    <w:p w14:paraId="79750AAB" w14:textId="6F565BAD" w:rsidR="004041B3" w:rsidRPr="00362372" w:rsidRDefault="006361CA" w:rsidP="006361CA">
      <w:pPr>
        <w:tabs>
          <w:tab w:val="left" w:pos="5151"/>
          <w:tab w:val="left" w:pos="6384"/>
        </w:tabs>
        <w:rPr>
          <w:rFonts w:cs="Segoe UI"/>
          <w:sz w:val="24"/>
          <w:szCs w:val="24"/>
        </w:rPr>
      </w:pPr>
      <w:r w:rsidRPr="00362372">
        <w:rPr>
          <w:rFonts w:cs="Segoe UI"/>
          <w:sz w:val="24"/>
          <w:szCs w:val="24"/>
        </w:rPr>
        <w:tab/>
      </w:r>
      <w:r w:rsidRPr="00362372">
        <w:rPr>
          <w:rFonts w:cs="Segoe UI"/>
          <w:sz w:val="24"/>
          <w:szCs w:val="24"/>
        </w:rPr>
        <w:tab/>
      </w:r>
    </w:p>
    <w:p w14:paraId="1A2734C4" w14:textId="77777777" w:rsidR="004041B3" w:rsidRPr="00362372" w:rsidRDefault="004041B3">
      <w:pPr>
        <w:rPr>
          <w:rFonts w:cs="Segoe UI"/>
          <w:sz w:val="24"/>
          <w:szCs w:val="24"/>
        </w:rPr>
      </w:pPr>
    </w:p>
    <w:p w14:paraId="6D1FF361" w14:textId="77777777" w:rsidR="004041B3" w:rsidRPr="00362372" w:rsidRDefault="004041B3" w:rsidP="006361CA">
      <w:pPr>
        <w:jc w:val="center"/>
        <w:rPr>
          <w:rFonts w:cs="Segoe UI"/>
          <w:sz w:val="24"/>
          <w:szCs w:val="24"/>
        </w:rPr>
      </w:pPr>
    </w:p>
    <w:p w14:paraId="7DC8C892" w14:textId="77777777" w:rsidR="004041B3" w:rsidRPr="00362372" w:rsidRDefault="004041B3">
      <w:pPr>
        <w:rPr>
          <w:rFonts w:cs="Segoe UI"/>
          <w:sz w:val="24"/>
          <w:szCs w:val="24"/>
        </w:rPr>
      </w:pPr>
    </w:p>
    <w:p w14:paraId="1AC37E74" w14:textId="77777777" w:rsidR="004041B3" w:rsidRPr="00362372" w:rsidRDefault="004041B3">
      <w:pPr>
        <w:rPr>
          <w:rFonts w:cs="Segoe UI"/>
          <w:sz w:val="24"/>
          <w:szCs w:val="24"/>
        </w:rPr>
      </w:pPr>
    </w:p>
    <w:p w14:paraId="58D6F3E4" w14:textId="77777777" w:rsidR="004041B3" w:rsidRPr="00362372" w:rsidRDefault="004041B3">
      <w:pPr>
        <w:rPr>
          <w:rFonts w:cs="Segoe UI"/>
          <w:sz w:val="24"/>
          <w:szCs w:val="24"/>
        </w:rPr>
      </w:pPr>
    </w:p>
    <w:p w14:paraId="4957642B" w14:textId="77777777" w:rsidR="004041B3" w:rsidRPr="00362372" w:rsidRDefault="004041B3">
      <w:pPr>
        <w:rPr>
          <w:rFonts w:cs="Segoe UI"/>
          <w:sz w:val="24"/>
          <w:szCs w:val="24"/>
        </w:rPr>
      </w:pPr>
    </w:p>
    <w:p w14:paraId="38AAA681" w14:textId="77777777" w:rsidR="004041B3" w:rsidRPr="00362372" w:rsidRDefault="004041B3">
      <w:pPr>
        <w:rPr>
          <w:rFonts w:cs="Segoe UI"/>
          <w:sz w:val="24"/>
          <w:szCs w:val="24"/>
        </w:rPr>
      </w:pPr>
    </w:p>
    <w:p w14:paraId="05C27763" w14:textId="77777777" w:rsidR="004041B3" w:rsidRPr="00362372" w:rsidRDefault="004041B3">
      <w:pPr>
        <w:rPr>
          <w:rFonts w:cs="Segoe UI"/>
          <w:sz w:val="24"/>
          <w:szCs w:val="24"/>
        </w:rPr>
      </w:pPr>
    </w:p>
    <w:p w14:paraId="106AC03F" w14:textId="77777777" w:rsidR="004041B3" w:rsidRPr="00362372" w:rsidRDefault="004041B3">
      <w:pPr>
        <w:rPr>
          <w:rFonts w:cs="Segoe UI"/>
          <w:sz w:val="24"/>
          <w:szCs w:val="24"/>
        </w:rPr>
      </w:pPr>
    </w:p>
    <w:p w14:paraId="6A5DFBF6" w14:textId="77777777" w:rsidR="004041B3" w:rsidRPr="00362372" w:rsidRDefault="004041B3">
      <w:pPr>
        <w:rPr>
          <w:rFonts w:cs="Segoe UI"/>
          <w:sz w:val="24"/>
          <w:szCs w:val="24"/>
        </w:rPr>
      </w:pPr>
    </w:p>
    <w:p w14:paraId="32980CB8" w14:textId="77777777" w:rsidR="004041B3" w:rsidRPr="00362372" w:rsidRDefault="004041B3">
      <w:pPr>
        <w:rPr>
          <w:rFonts w:cs="Segoe UI"/>
          <w:sz w:val="24"/>
          <w:szCs w:val="24"/>
        </w:rPr>
      </w:pPr>
    </w:p>
    <w:p w14:paraId="0E2CCE75" w14:textId="77777777" w:rsidR="004041B3" w:rsidRPr="00362372" w:rsidRDefault="004041B3">
      <w:pPr>
        <w:rPr>
          <w:rFonts w:cs="Segoe UI"/>
          <w:sz w:val="24"/>
          <w:szCs w:val="24"/>
        </w:rPr>
      </w:pPr>
    </w:p>
    <w:p w14:paraId="67F90949" w14:textId="77777777" w:rsidR="004041B3" w:rsidRPr="00362372" w:rsidRDefault="004041B3">
      <w:pPr>
        <w:rPr>
          <w:rFonts w:cs="Segoe UI"/>
          <w:sz w:val="24"/>
          <w:szCs w:val="24"/>
        </w:rPr>
      </w:pPr>
    </w:p>
    <w:p w14:paraId="57E62ADB" w14:textId="77777777" w:rsidR="004041B3" w:rsidRPr="00362372" w:rsidRDefault="004041B3">
      <w:pPr>
        <w:rPr>
          <w:rFonts w:cs="Segoe UI"/>
          <w:sz w:val="24"/>
          <w:szCs w:val="24"/>
        </w:rPr>
      </w:pPr>
    </w:p>
    <w:p w14:paraId="3406FEA2" w14:textId="77777777" w:rsidR="004041B3" w:rsidRPr="00362372" w:rsidRDefault="004041B3">
      <w:pPr>
        <w:rPr>
          <w:rFonts w:cs="Segoe UI"/>
          <w:sz w:val="24"/>
          <w:szCs w:val="24"/>
        </w:rPr>
      </w:pPr>
    </w:p>
    <w:p w14:paraId="0B6355FC" w14:textId="77777777" w:rsidR="004041B3" w:rsidRPr="00362372" w:rsidRDefault="004041B3">
      <w:pPr>
        <w:rPr>
          <w:rFonts w:cs="Segoe UI"/>
          <w:sz w:val="24"/>
          <w:szCs w:val="24"/>
        </w:rPr>
      </w:pPr>
    </w:p>
    <w:p w14:paraId="7CE662CF" w14:textId="77777777" w:rsidR="004041B3" w:rsidRPr="00362372" w:rsidRDefault="005B6667">
      <w:pPr>
        <w:rPr>
          <w:rFonts w:cs="Segoe UI"/>
          <w:sz w:val="24"/>
          <w:szCs w:val="24"/>
        </w:rPr>
      </w:pPr>
      <w:r w:rsidRPr="00362372">
        <w:rPr>
          <w:sz w:val="24"/>
        </w:rPr>
        <w:lastRenderedPageBreak/>
        <w:drawing>
          <wp:anchor distT="0" distB="0" distL="114300" distR="114300" simplePos="0" relativeHeight="251657215" behindDoc="1" locked="0" layoutInCell="1" allowOverlap="1" wp14:anchorId="4E5D5EF8" wp14:editId="6F114115">
            <wp:simplePos x="0" y="0"/>
            <wp:positionH relativeFrom="page">
              <wp:posOffset>19050</wp:posOffset>
            </wp:positionH>
            <wp:positionV relativeFrom="page">
              <wp:posOffset>60960</wp:posOffset>
            </wp:positionV>
            <wp:extent cx="7548245" cy="10668635"/>
            <wp:effectExtent l="0" t="0" r="0" b="0"/>
            <wp:wrapNone/>
            <wp:docPr id="1506427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7011"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8245" cy="1066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99D3B" w14:textId="77777777" w:rsidR="004041B3" w:rsidRPr="00362372" w:rsidRDefault="004041B3">
      <w:pPr>
        <w:rPr>
          <w:rFonts w:cs="Segoe UI"/>
          <w:sz w:val="24"/>
          <w:szCs w:val="24"/>
        </w:rPr>
      </w:pPr>
    </w:p>
    <w:p w14:paraId="47C1A7FD" w14:textId="77777777" w:rsidR="00C4124D" w:rsidRPr="00362372" w:rsidRDefault="00C4124D" w:rsidP="00CC5AE7">
      <w:pPr>
        <w:rPr>
          <w:rFonts w:cs="Segoe UI"/>
          <w:sz w:val="24"/>
          <w:szCs w:val="24"/>
        </w:rPr>
      </w:pPr>
    </w:p>
    <w:p w14:paraId="6B5680A8" w14:textId="50A1A8D6" w:rsidR="007F3910" w:rsidRPr="00362372" w:rsidRDefault="00A56C34" w:rsidP="00D25B43">
      <w:pPr>
        <w:rPr>
          <w:color w:val="1E25A0" w:themeColor="accent1" w:themeShade="BF"/>
          <w:sz w:val="96"/>
          <w:szCs w:val="96"/>
        </w:rPr>
      </w:pPr>
      <w:r w:rsidRPr="00362372">
        <w:rPr>
          <w:color w:val="1E25A0" w:themeColor="accent1" w:themeShade="BF"/>
          <w:sz w:val="96"/>
        </w:rPr>
        <w:t xml:space="preserve">Guide </w:t>
      </w:r>
      <w:r w:rsidR="006361CA" w:rsidRPr="00362372">
        <w:rPr>
          <w:color w:val="1E25A0" w:themeColor="accent1" w:themeShade="BF"/>
          <w:sz w:val="96"/>
        </w:rPr>
        <w:t>to</w:t>
      </w:r>
      <w:r w:rsidRPr="00362372">
        <w:rPr>
          <w:color w:val="1E25A0" w:themeColor="accent1" w:themeShade="BF"/>
          <w:sz w:val="96"/>
        </w:rPr>
        <w:t xml:space="preserve"> the </w:t>
      </w:r>
      <w:r w:rsidR="006361CA" w:rsidRPr="00362372">
        <w:rPr>
          <w:color w:val="1E25A0" w:themeColor="accent1" w:themeShade="BF"/>
          <w:sz w:val="96"/>
        </w:rPr>
        <w:t>Use</w:t>
      </w:r>
      <w:r w:rsidRPr="00362372">
        <w:rPr>
          <w:color w:val="1E25A0" w:themeColor="accent1" w:themeShade="BF"/>
          <w:sz w:val="96"/>
        </w:rPr>
        <w:t xml:space="preserve"> of </w:t>
      </w:r>
      <w:r w:rsidR="006361CA" w:rsidRPr="00362372">
        <w:rPr>
          <w:color w:val="1E25A0" w:themeColor="accent1" w:themeShade="BF"/>
          <w:sz w:val="96"/>
        </w:rPr>
        <w:t>I</w:t>
      </w:r>
      <w:r w:rsidRPr="00362372">
        <w:rPr>
          <w:color w:val="1E25A0" w:themeColor="accent1" w:themeShade="BF"/>
          <w:sz w:val="96"/>
        </w:rPr>
        <w:t xml:space="preserve">nstruments in </w:t>
      </w:r>
      <w:r w:rsidR="006361CA" w:rsidRPr="00362372">
        <w:rPr>
          <w:color w:val="1E25A0" w:themeColor="accent1" w:themeShade="BF"/>
          <w:sz w:val="96"/>
        </w:rPr>
        <w:t>P</w:t>
      </w:r>
      <w:r w:rsidRPr="00362372">
        <w:rPr>
          <w:color w:val="1E25A0" w:themeColor="accent1" w:themeShade="BF"/>
          <w:sz w:val="96"/>
        </w:rPr>
        <w:t xml:space="preserve">ublic </w:t>
      </w:r>
      <w:r w:rsidR="006361CA" w:rsidRPr="00362372">
        <w:rPr>
          <w:color w:val="1E25A0" w:themeColor="accent1" w:themeShade="BF"/>
          <w:sz w:val="96"/>
        </w:rPr>
        <w:t>P</w:t>
      </w:r>
      <w:r w:rsidRPr="00362372">
        <w:rPr>
          <w:color w:val="1E25A0" w:themeColor="accent1" w:themeShade="BF"/>
          <w:sz w:val="96"/>
        </w:rPr>
        <w:t xml:space="preserve">rocurement </w:t>
      </w:r>
      <w:r w:rsidR="006361CA" w:rsidRPr="00362372">
        <w:rPr>
          <w:color w:val="1E25A0" w:themeColor="accent1" w:themeShade="BF"/>
          <w:sz w:val="96"/>
        </w:rPr>
        <w:t>P</w:t>
      </w:r>
      <w:r w:rsidRPr="00362372">
        <w:rPr>
          <w:color w:val="1E25A0" w:themeColor="accent1" w:themeShade="BF"/>
          <w:sz w:val="96"/>
        </w:rPr>
        <w:t xml:space="preserve">rocedures </w:t>
      </w:r>
    </w:p>
    <w:p w14:paraId="70928E83" w14:textId="77777777" w:rsidR="007F3910" w:rsidRPr="00362372" w:rsidRDefault="007F3910" w:rsidP="00CC5AE7">
      <w:pPr>
        <w:rPr>
          <w:rFonts w:cs="Segoe UI"/>
          <w:sz w:val="24"/>
          <w:szCs w:val="24"/>
        </w:rPr>
      </w:pPr>
    </w:p>
    <w:p w14:paraId="41721D91" w14:textId="77777777" w:rsidR="007F3910" w:rsidRPr="00362372" w:rsidRDefault="007F3910" w:rsidP="00CC5AE7">
      <w:pPr>
        <w:rPr>
          <w:rFonts w:cs="Segoe UI"/>
          <w:sz w:val="24"/>
          <w:szCs w:val="24"/>
        </w:rPr>
      </w:pPr>
    </w:p>
    <w:p w14:paraId="51E525C2" w14:textId="77777777" w:rsidR="008E3691" w:rsidRPr="00362372" w:rsidRDefault="008E3691" w:rsidP="00222EAD">
      <w:pPr>
        <w:pStyle w:val="Heading1"/>
        <w:rPr>
          <w:rFonts w:asciiTheme="minorHAnsi" w:hAnsiTheme="minorHAnsi"/>
          <w:color w:val="auto"/>
          <w:sz w:val="24"/>
          <w:szCs w:val="24"/>
        </w:rPr>
        <w:sectPr w:rsidR="008E3691" w:rsidRPr="00362372" w:rsidSect="00831ED2">
          <w:footerReference w:type="default" r:id="rId10"/>
          <w:pgSz w:w="11906" w:h="16838"/>
          <w:pgMar w:top="1440" w:right="1440" w:bottom="1440" w:left="1440" w:header="708" w:footer="454" w:gutter="0"/>
          <w:cols w:space="708"/>
          <w:docGrid w:linePitch="360"/>
        </w:sectPr>
      </w:pPr>
    </w:p>
    <w:bookmarkStart w:id="1" w:name="_Toc185469164" w:displacedByCustomXml="next"/>
    <w:sdt>
      <w:sdtPr>
        <w:rPr>
          <w:rFonts w:asciiTheme="minorHAnsi" w:eastAsiaTheme="minorHAnsi" w:hAnsiTheme="minorHAnsi" w:cstheme="minorBidi"/>
          <w:color w:val="auto"/>
          <w:kern w:val="2"/>
          <w:sz w:val="22"/>
          <w:szCs w:val="22"/>
          <w14:ligatures w14:val="standardContextual"/>
        </w:rPr>
        <w:id w:val="-350569534"/>
        <w:docPartObj>
          <w:docPartGallery w:val="Table of Contents"/>
          <w:docPartUnique/>
        </w:docPartObj>
      </w:sdtPr>
      <w:sdtEndPr>
        <w:rPr>
          <w:b/>
          <w:bCs/>
        </w:rPr>
      </w:sdtEndPr>
      <w:sdtContent>
        <w:p w14:paraId="5EE65466" w14:textId="77777777" w:rsidR="004E7FFC" w:rsidRPr="00362372" w:rsidRDefault="00FD0935">
          <w:pPr>
            <w:pStyle w:val="TOCHeading"/>
          </w:pPr>
          <w:r w:rsidRPr="00362372">
            <w:t>CONTENTS</w:t>
          </w:r>
        </w:p>
        <w:p w14:paraId="60FD6B68" w14:textId="2A3AA57D" w:rsidR="006361CA" w:rsidRPr="00362372" w:rsidRDefault="004E7FFC">
          <w:pPr>
            <w:pStyle w:val="TOC1"/>
            <w:tabs>
              <w:tab w:val="right" w:leader="dot" w:pos="9016"/>
            </w:tabs>
            <w:rPr>
              <w:rFonts w:eastAsiaTheme="minorEastAsia"/>
              <w:sz w:val="24"/>
              <w:szCs w:val="24"/>
            </w:rPr>
          </w:pPr>
          <w:r w:rsidRPr="00362372">
            <w:fldChar w:fldCharType="begin"/>
          </w:r>
          <w:r w:rsidRPr="00362372">
            <w:instrText xml:space="preserve"> TOC \o "1-3" \h \z \u </w:instrText>
          </w:r>
          <w:r w:rsidRPr="00362372">
            <w:fldChar w:fldCharType="separate"/>
          </w:r>
          <w:hyperlink w:anchor="_Toc197193679" w:history="1">
            <w:r w:rsidR="006361CA" w:rsidRPr="00362372">
              <w:rPr>
                <w:rStyle w:val="Hyperlink"/>
                <w:rFonts w:ascii="Segoe UI" w:hAnsi="Segoe UI"/>
              </w:rPr>
              <w:t>INTRODUCTION</w:t>
            </w:r>
            <w:r w:rsidR="006361CA" w:rsidRPr="00362372">
              <w:rPr>
                <w:webHidden/>
              </w:rPr>
              <w:tab/>
            </w:r>
            <w:r w:rsidR="006361CA" w:rsidRPr="00362372">
              <w:rPr>
                <w:webHidden/>
              </w:rPr>
              <w:fldChar w:fldCharType="begin"/>
            </w:r>
            <w:r w:rsidR="006361CA" w:rsidRPr="00362372">
              <w:rPr>
                <w:webHidden/>
              </w:rPr>
              <w:instrText xml:space="preserve"> PAGEREF _Toc197193679 \h </w:instrText>
            </w:r>
            <w:r w:rsidR="006361CA" w:rsidRPr="00362372">
              <w:rPr>
                <w:webHidden/>
              </w:rPr>
            </w:r>
            <w:r w:rsidR="006361CA" w:rsidRPr="00362372">
              <w:rPr>
                <w:webHidden/>
              </w:rPr>
              <w:fldChar w:fldCharType="separate"/>
            </w:r>
            <w:r w:rsidR="006361CA" w:rsidRPr="00362372">
              <w:rPr>
                <w:webHidden/>
              </w:rPr>
              <w:t>4</w:t>
            </w:r>
            <w:r w:rsidR="006361CA" w:rsidRPr="00362372">
              <w:rPr>
                <w:webHidden/>
              </w:rPr>
              <w:fldChar w:fldCharType="end"/>
            </w:r>
          </w:hyperlink>
        </w:p>
        <w:p w14:paraId="750E5057" w14:textId="40AF2162" w:rsidR="006361CA" w:rsidRPr="00362372" w:rsidRDefault="006361CA">
          <w:pPr>
            <w:pStyle w:val="TOC2"/>
            <w:tabs>
              <w:tab w:val="right" w:leader="dot" w:pos="9016"/>
            </w:tabs>
            <w:rPr>
              <w:rFonts w:eastAsiaTheme="minorEastAsia"/>
              <w:sz w:val="24"/>
              <w:szCs w:val="24"/>
            </w:rPr>
          </w:pPr>
          <w:hyperlink w:anchor="_Toc197193680" w:history="1">
            <w:r w:rsidRPr="00362372">
              <w:rPr>
                <w:rStyle w:val="Hyperlink"/>
                <w:b/>
              </w:rPr>
              <w:t>What is qualification system?</w:t>
            </w:r>
            <w:r w:rsidRPr="00362372">
              <w:rPr>
                <w:webHidden/>
              </w:rPr>
              <w:tab/>
            </w:r>
            <w:r w:rsidRPr="00362372">
              <w:rPr>
                <w:webHidden/>
              </w:rPr>
              <w:fldChar w:fldCharType="begin"/>
            </w:r>
            <w:r w:rsidRPr="00362372">
              <w:rPr>
                <w:webHidden/>
              </w:rPr>
              <w:instrText xml:space="preserve"> PAGEREF _Toc197193680 \h </w:instrText>
            </w:r>
            <w:r w:rsidRPr="00362372">
              <w:rPr>
                <w:webHidden/>
              </w:rPr>
            </w:r>
            <w:r w:rsidRPr="00362372">
              <w:rPr>
                <w:webHidden/>
              </w:rPr>
              <w:fldChar w:fldCharType="separate"/>
            </w:r>
            <w:r w:rsidRPr="00362372">
              <w:rPr>
                <w:webHidden/>
              </w:rPr>
              <w:t>5</w:t>
            </w:r>
            <w:r w:rsidRPr="00362372">
              <w:rPr>
                <w:webHidden/>
              </w:rPr>
              <w:fldChar w:fldCharType="end"/>
            </w:r>
          </w:hyperlink>
        </w:p>
        <w:p w14:paraId="412D1876" w14:textId="20C898E2" w:rsidR="006361CA" w:rsidRPr="00362372" w:rsidRDefault="006361CA">
          <w:pPr>
            <w:pStyle w:val="TOC2"/>
            <w:tabs>
              <w:tab w:val="right" w:leader="dot" w:pos="9016"/>
            </w:tabs>
            <w:rPr>
              <w:rFonts w:eastAsiaTheme="minorEastAsia"/>
              <w:sz w:val="24"/>
              <w:szCs w:val="24"/>
            </w:rPr>
          </w:pPr>
          <w:hyperlink w:anchor="_Toc197193681" w:history="1">
            <w:r w:rsidRPr="00362372">
              <w:rPr>
                <w:rStyle w:val="Hyperlink"/>
                <w:b/>
              </w:rPr>
              <w:t>Establishing qualification system</w:t>
            </w:r>
            <w:r w:rsidRPr="00362372">
              <w:rPr>
                <w:webHidden/>
              </w:rPr>
              <w:tab/>
            </w:r>
            <w:r w:rsidRPr="00362372">
              <w:rPr>
                <w:webHidden/>
              </w:rPr>
              <w:fldChar w:fldCharType="begin"/>
            </w:r>
            <w:r w:rsidRPr="00362372">
              <w:rPr>
                <w:webHidden/>
              </w:rPr>
              <w:instrText xml:space="preserve"> PAGEREF _Toc197193681 \h </w:instrText>
            </w:r>
            <w:r w:rsidRPr="00362372">
              <w:rPr>
                <w:webHidden/>
              </w:rPr>
            </w:r>
            <w:r w:rsidRPr="00362372">
              <w:rPr>
                <w:webHidden/>
              </w:rPr>
              <w:fldChar w:fldCharType="separate"/>
            </w:r>
            <w:r w:rsidRPr="00362372">
              <w:rPr>
                <w:webHidden/>
              </w:rPr>
              <w:t>6</w:t>
            </w:r>
            <w:r w:rsidRPr="00362372">
              <w:rPr>
                <w:webHidden/>
              </w:rPr>
              <w:fldChar w:fldCharType="end"/>
            </w:r>
          </w:hyperlink>
        </w:p>
        <w:p w14:paraId="7A102E45" w14:textId="29164A70" w:rsidR="006361CA" w:rsidRPr="00362372" w:rsidRDefault="006361CA">
          <w:pPr>
            <w:pStyle w:val="TOC2"/>
            <w:tabs>
              <w:tab w:val="right" w:leader="dot" w:pos="9016"/>
            </w:tabs>
            <w:rPr>
              <w:rFonts w:eastAsiaTheme="minorEastAsia"/>
              <w:sz w:val="24"/>
              <w:szCs w:val="24"/>
            </w:rPr>
          </w:pPr>
          <w:hyperlink w:anchor="_Toc197193682" w:history="1">
            <w:r w:rsidRPr="00362372">
              <w:rPr>
                <w:rStyle w:val="Hyperlink"/>
                <w:b/>
              </w:rPr>
              <w:t>Application for qualification</w:t>
            </w:r>
            <w:r w:rsidRPr="00362372">
              <w:rPr>
                <w:webHidden/>
              </w:rPr>
              <w:tab/>
            </w:r>
            <w:r w:rsidRPr="00362372">
              <w:rPr>
                <w:webHidden/>
              </w:rPr>
              <w:fldChar w:fldCharType="begin"/>
            </w:r>
            <w:r w:rsidRPr="00362372">
              <w:rPr>
                <w:webHidden/>
              </w:rPr>
              <w:instrText xml:space="preserve"> PAGEREF _Toc197193682 \h </w:instrText>
            </w:r>
            <w:r w:rsidRPr="00362372">
              <w:rPr>
                <w:webHidden/>
              </w:rPr>
            </w:r>
            <w:r w:rsidRPr="00362372">
              <w:rPr>
                <w:webHidden/>
              </w:rPr>
              <w:fldChar w:fldCharType="separate"/>
            </w:r>
            <w:r w:rsidRPr="00362372">
              <w:rPr>
                <w:webHidden/>
              </w:rPr>
              <w:t>12</w:t>
            </w:r>
            <w:r w:rsidRPr="00362372">
              <w:rPr>
                <w:webHidden/>
              </w:rPr>
              <w:fldChar w:fldCharType="end"/>
            </w:r>
          </w:hyperlink>
        </w:p>
        <w:p w14:paraId="59CC113D" w14:textId="260E2E9E" w:rsidR="006361CA" w:rsidRPr="00362372" w:rsidRDefault="006361CA">
          <w:pPr>
            <w:pStyle w:val="TOC2"/>
            <w:tabs>
              <w:tab w:val="right" w:leader="dot" w:pos="9016"/>
            </w:tabs>
            <w:rPr>
              <w:rFonts w:eastAsiaTheme="minorEastAsia"/>
              <w:sz w:val="24"/>
              <w:szCs w:val="24"/>
            </w:rPr>
          </w:pPr>
          <w:hyperlink w:anchor="_Toc197193683" w:history="1">
            <w:r w:rsidRPr="00362372">
              <w:rPr>
                <w:rStyle w:val="Hyperlink"/>
                <w:b/>
              </w:rPr>
              <w:t>Expert evaluation of applications and deciding on qualification</w:t>
            </w:r>
            <w:r w:rsidRPr="00362372">
              <w:rPr>
                <w:webHidden/>
              </w:rPr>
              <w:tab/>
            </w:r>
            <w:r w:rsidRPr="00362372">
              <w:rPr>
                <w:webHidden/>
              </w:rPr>
              <w:fldChar w:fldCharType="begin"/>
            </w:r>
            <w:r w:rsidRPr="00362372">
              <w:rPr>
                <w:webHidden/>
              </w:rPr>
              <w:instrText xml:space="preserve"> PAGEREF _Toc197193683 \h </w:instrText>
            </w:r>
            <w:r w:rsidRPr="00362372">
              <w:rPr>
                <w:webHidden/>
              </w:rPr>
            </w:r>
            <w:r w:rsidRPr="00362372">
              <w:rPr>
                <w:webHidden/>
              </w:rPr>
              <w:fldChar w:fldCharType="separate"/>
            </w:r>
            <w:r w:rsidRPr="00362372">
              <w:rPr>
                <w:webHidden/>
              </w:rPr>
              <w:t>13</w:t>
            </w:r>
            <w:r w:rsidRPr="00362372">
              <w:rPr>
                <w:webHidden/>
              </w:rPr>
              <w:fldChar w:fldCharType="end"/>
            </w:r>
          </w:hyperlink>
        </w:p>
        <w:p w14:paraId="04BE3AE3" w14:textId="6B40E178" w:rsidR="006361CA" w:rsidRPr="00362372" w:rsidRDefault="006361CA">
          <w:pPr>
            <w:pStyle w:val="TOC2"/>
            <w:tabs>
              <w:tab w:val="right" w:leader="dot" w:pos="9016"/>
            </w:tabs>
            <w:rPr>
              <w:rFonts w:eastAsiaTheme="minorEastAsia"/>
              <w:sz w:val="24"/>
              <w:szCs w:val="24"/>
            </w:rPr>
          </w:pPr>
          <w:hyperlink w:anchor="_Toc197193684" w:history="1">
            <w:r w:rsidRPr="00362372">
              <w:rPr>
                <w:rStyle w:val="Hyperlink"/>
                <w:b/>
              </w:rPr>
              <w:t>Record keeping and exclusion of candidates from the qualification system</w:t>
            </w:r>
            <w:r w:rsidRPr="00362372">
              <w:rPr>
                <w:webHidden/>
              </w:rPr>
              <w:tab/>
            </w:r>
            <w:r w:rsidRPr="00362372">
              <w:rPr>
                <w:webHidden/>
              </w:rPr>
              <w:fldChar w:fldCharType="begin"/>
            </w:r>
            <w:r w:rsidRPr="00362372">
              <w:rPr>
                <w:webHidden/>
              </w:rPr>
              <w:instrText xml:space="preserve"> PAGEREF _Toc197193684 \h </w:instrText>
            </w:r>
            <w:r w:rsidRPr="00362372">
              <w:rPr>
                <w:webHidden/>
              </w:rPr>
            </w:r>
            <w:r w:rsidRPr="00362372">
              <w:rPr>
                <w:webHidden/>
              </w:rPr>
              <w:fldChar w:fldCharType="separate"/>
            </w:r>
            <w:r w:rsidRPr="00362372">
              <w:rPr>
                <w:webHidden/>
              </w:rPr>
              <w:t>15</w:t>
            </w:r>
            <w:r w:rsidRPr="00362372">
              <w:rPr>
                <w:webHidden/>
              </w:rPr>
              <w:fldChar w:fldCharType="end"/>
            </w:r>
          </w:hyperlink>
        </w:p>
        <w:p w14:paraId="10E5D542" w14:textId="338C155F" w:rsidR="006361CA" w:rsidRPr="00362372" w:rsidRDefault="006361CA">
          <w:pPr>
            <w:pStyle w:val="TOC2"/>
            <w:tabs>
              <w:tab w:val="right" w:leader="dot" w:pos="9016"/>
            </w:tabs>
            <w:rPr>
              <w:rFonts w:eastAsiaTheme="minorEastAsia"/>
              <w:sz w:val="24"/>
              <w:szCs w:val="24"/>
            </w:rPr>
          </w:pPr>
          <w:hyperlink w:anchor="_Toc197193685" w:history="1">
            <w:r w:rsidRPr="00362372">
              <w:rPr>
                <w:rStyle w:val="Hyperlink"/>
                <w:b/>
              </w:rPr>
              <w:t>Procedure for awarding contract</w:t>
            </w:r>
            <w:r w:rsidRPr="00362372">
              <w:rPr>
                <w:webHidden/>
              </w:rPr>
              <w:tab/>
            </w:r>
            <w:r w:rsidRPr="00362372">
              <w:rPr>
                <w:webHidden/>
              </w:rPr>
              <w:fldChar w:fldCharType="begin"/>
            </w:r>
            <w:r w:rsidRPr="00362372">
              <w:rPr>
                <w:webHidden/>
              </w:rPr>
              <w:instrText xml:space="preserve"> PAGEREF _Toc197193685 \h </w:instrText>
            </w:r>
            <w:r w:rsidRPr="00362372">
              <w:rPr>
                <w:webHidden/>
              </w:rPr>
            </w:r>
            <w:r w:rsidRPr="00362372">
              <w:rPr>
                <w:webHidden/>
              </w:rPr>
              <w:fldChar w:fldCharType="separate"/>
            </w:r>
            <w:r w:rsidRPr="00362372">
              <w:rPr>
                <w:webHidden/>
              </w:rPr>
              <w:t>16</w:t>
            </w:r>
            <w:r w:rsidRPr="00362372">
              <w:rPr>
                <w:webHidden/>
              </w:rPr>
              <w:fldChar w:fldCharType="end"/>
            </w:r>
          </w:hyperlink>
        </w:p>
        <w:p w14:paraId="5C3300B1" w14:textId="2296FDDA" w:rsidR="006361CA" w:rsidRPr="00362372" w:rsidRDefault="006361CA">
          <w:pPr>
            <w:pStyle w:val="TOC1"/>
            <w:tabs>
              <w:tab w:val="right" w:leader="dot" w:pos="9016"/>
            </w:tabs>
            <w:rPr>
              <w:rFonts w:eastAsiaTheme="minorEastAsia"/>
              <w:sz w:val="24"/>
              <w:szCs w:val="24"/>
            </w:rPr>
          </w:pPr>
          <w:hyperlink w:anchor="_Toc197193686" w:history="1">
            <w:r w:rsidRPr="00362372">
              <w:rPr>
                <w:rStyle w:val="Hyperlink"/>
                <w:rFonts w:ascii="Segoe UI" w:hAnsi="Segoe UI"/>
              </w:rPr>
              <w:t>The guide to electronic auction</w:t>
            </w:r>
            <w:r w:rsidRPr="00362372">
              <w:rPr>
                <w:webHidden/>
              </w:rPr>
              <w:tab/>
            </w:r>
            <w:r w:rsidRPr="00362372">
              <w:rPr>
                <w:webHidden/>
              </w:rPr>
              <w:fldChar w:fldCharType="begin"/>
            </w:r>
            <w:r w:rsidRPr="00362372">
              <w:rPr>
                <w:webHidden/>
              </w:rPr>
              <w:instrText xml:space="preserve"> PAGEREF _Toc197193686 \h </w:instrText>
            </w:r>
            <w:r w:rsidRPr="00362372">
              <w:rPr>
                <w:webHidden/>
              </w:rPr>
            </w:r>
            <w:r w:rsidRPr="00362372">
              <w:rPr>
                <w:webHidden/>
              </w:rPr>
              <w:fldChar w:fldCharType="separate"/>
            </w:r>
            <w:r w:rsidRPr="00362372">
              <w:rPr>
                <w:webHidden/>
              </w:rPr>
              <w:t>19</w:t>
            </w:r>
            <w:r w:rsidRPr="00362372">
              <w:rPr>
                <w:webHidden/>
              </w:rPr>
              <w:fldChar w:fldCharType="end"/>
            </w:r>
          </w:hyperlink>
        </w:p>
        <w:p w14:paraId="2BAE7D97" w14:textId="42F8A873" w:rsidR="006361CA" w:rsidRPr="00362372" w:rsidRDefault="006361CA">
          <w:pPr>
            <w:pStyle w:val="TOC2"/>
            <w:tabs>
              <w:tab w:val="right" w:leader="dot" w:pos="9016"/>
            </w:tabs>
            <w:rPr>
              <w:rFonts w:eastAsiaTheme="minorEastAsia"/>
              <w:sz w:val="24"/>
              <w:szCs w:val="24"/>
            </w:rPr>
          </w:pPr>
          <w:hyperlink w:anchor="_Toc197193687" w:history="1">
            <w:r w:rsidRPr="00362372">
              <w:rPr>
                <w:rStyle w:val="Hyperlink"/>
                <w:b/>
              </w:rPr>
              <w:t>What is electronic auction?</w:t>
            </w:r>
            <w:r w:rsidRPr="00362372">
              <w:rPr>
                <w:webHidden/>
              </w:rPr>
              <w:tab/>
            </w:r>
            <w:r w:rsidRPr="00362372">
              <w:rPr>
                <w:webHidden/>
              </w:rPr>
              <w:fldChar w:fldCharType="begin"/>
            </w:r>
            <w:r w:rsidRPr="00362372">
              <w:rPr>
                <w:webHidden/>
              </w:rPr>
              <w:instrText xml:space="preserve"> PAGEREF _Toc197193687 \h </w:instrText>
            </w:r>
            <w:r w:rsidRPr="00362372">
              <w:rPr>
                <w:webHidden/>
              </w:rPr>
            </w:r>
            <w:r w:rsidRPr="00362372">
              <w:rPr>
                <w:webHidden/>
              </w:rPr>
              <w:fldChar w:fldCharType="separate"/>
            </w:r>
            <w:r w:rsidRPr="00362372">
              <w:rPr>
                <w:webHidden/>
              </w:rPr>
              <w:t>19</w:t>
            </w:r>
            <w:r w:rsidRPr="00362372">
              <w:rPr>
                <w:webHidden/>
              </w:rPr>
              <w:fldChar w:fldCharType="end"/>
            </w:r>
          </w:hyperlink>
        </w:p>
        <w:p w14:paraId="6014C3EC" w14:textId="5ABD3E73" w:rsidR="006361CA" w:rsidRPr="00362372" w:rsidRDefault="006361CA">
          <w:pPr>
            <w:pStyle w:val="TOC2"/>
            <w:tabs>
              <w:tab w:val="right" w:leader="dot" w:pos="9016"/>
            </w:tabs>
            <w:rPr>
              <w:rFonts w:eastAsiaTheme="minorEastAsia"/>
              <w:sz w:val="24"/>
              <w:szCs w:val="24"/>
            </w:rPr>
          </w:pPr>
          <w:hyperlink w:anchor="_Toc197193688" w:history="1">
            <w:r w:rsidRPr="00362372">
              <w:rPr>
                <w:rStyle w:val="Hyperlink"/>
                <w:b/>
              </w:rPr>
              <w:t>Procedures and procurement subjects</w:t>
            </w:r>
            <w:r w:rsidRPr="00362372">
              <w:rPr>
                <w:webHidden/>
              </w:rPr>
              <w:tab/>
            </w:r>
            <w:r w:rsidRPr="00362372">
              <w:rPr>
                <w:webHidden/>
              </w:rPr>
              <w:fldChar w:fldCharType="begin"/>
            </w:r>
            <w:r w:rsidRPr="00362372">
              <w:rPr>
                <w:webHidden/>
              </w:rPr>
              <w:instrText xml:space="preserve"> PAGEREF _Toc197193688 \h </w:instrText>
            </w:r>
            <w:r w:rsidRPr="00362372">
              <w:rPr>
                <w:webHidden/>
              </w:rPr>
            </w:r>
            <w:r w:rsidRPr="00362372">
              <w:rPr>
                <w:webHidden/>
              </w:rPr>
              <w:fldChar w:fldCharType="separate"/>
            </w:r>
            <w:r w:rsidRPr="00362372">
              <w:rPr>
                <w:webHidden/>
              </w:rPr>
              <w:t>20</w:t>
            </w:r>
            <w:r w:rsidRPr="00362372">
              <w:rPr>
                <w:webHidden/>
              </w:rPr>
              <w:fldChar w:fldCharType="end"/>
            </w:r>
          </w:hyperlink>
        </w:p>
        <w:p w14:paraId="17AD2C2C" w14:textId="663EFB71" w:rsidR="006361CA" w:rsidRPr="00362372" w:rsidRDefault="006361CA">
          <w:pPr>
            <w:pStyle w:val="TOC2"/>
            <w:tabs>
              <w:tab w:val="right" w:leader="dot" w:pos="9016"/>
            </w:tabs>
            <w:rPr>
              <w:rFonts w:eastAsiaTheme="minorEastAsia"/>
              <w:sz w:val="24"/>
              <w:szCs w:val="24"/>
            </w:rPr>
          </w:pPr>
          <w:hyperlink w:anchor="_Toc197193689" w:history="1">
            <w:r w:rsidRPr="00362372">
              <w:rPr>
                <w:rStyle w:val="Hyperlink"/>
                <w:b/>
              </w:rPr>
              <w:t>Drafting and publishing public call and tender documentation in a procedure using electronic auction</w:t>
            </w:r>
            <w:r w:rsidRPr="00362372">
              <w:rPr>
                <w:webHidden/>
              </w:rPr>
              <w:tab/>
            </w:r>
            <w:r w:rsidRPr="00362372">
              <w:rPr>
                <w:webHidden/>
              </w:rPr>
              <w:fldChar w:fldCharType="begin"/>
            </w:r>
            <w:r w:rsidRPr="00362372">
              <w:rPr>
                <w:webHidden/>
              </w:rPr>
              <w:instrText xml:space="preserve"> PAGEREF _Toc197193689 \h </w:instrText>
            </w:r>
            <w:r w:rsidRPr="00362372">
              <w:rPr>
                <w:webHidden/>
              </w:rPr>
            </w:r>
            <w:r w:rsidRPr="00362372">
              <w:rPr>
                <w:webHidden/>
              </w:rPr>
              <w:fldChar w:fldCharType="separate"/>
            </w:r>
            <w:r w:rsidRPr="00362372">
              <w:rPr>
                <w:webHidden/>
              </w:rPr>
              <w:t>20</w:t>
            </w:r>
            <w:r w:rsidRPr="00362372">
              <w:rPr>
                <w:webHidden/>
              </w:rPr>
              <w:fldChar w:fldCharType="end"/>
            </w:r>
          </w:hyperlink>
        </w:p>
        <w:p w14:paraId="69845BFD" w14:textId="40F10D58" w:rsidR="006361CA" w:rsidRPr="00362372" w:rsidRDefault="006361CA">
          <w:pPr>
            <w:pStyle w:val="TOC2"/>
            <w:tabs>
              <w:tab w:val="right" w:leader="dot" w:pos="9016"/>
            </w:tabs>
            <w:rPr>
              <w:rFonts w:eastAsiaTheme="minorEastAsia"/>
              <w:sz w:val="24"/>
              <w:szCs w:val="24"/>
            </w:rPr>
          </w:pPr>
          <w:hyperlink w:anchor="_Toc197193690" w:history="1">
            <w:r w:rsidRPr="00362372">
              <w:rPr>
                <w:rStyle w:val="Hyperlink"/>
                <w:b/>
              </w:rPr>
              <w:t>Expert valuation of tenders</w:t>
            </w:r>
            <w:r w:rsidRPr="00362372">
              <w:rPr>
                <w:webHidden/>
              </w:rPr>
              <w:tab/>
            </w:r>
            <w:r w:rsidRPr="00362372">
              <w:rPr>
                <w:webHidden/>
              </w:rPr>
              <w:fldChar w:fldCharType="begin"/>
            </w:r>
            <w:r w:rsidRPr="00362372">
              <w:rPr>
                <w:webHidden/>
              </w:rPr>
              <w:instrText xml:space="preserve"> PAGEREF _Toc197193690 \h </w:instrText>
            </w:r>
            <w:r w:rsidRPr="00362372">
              <w:rPr>
                <w:webHidden/>
              </w:rPr>
            </w:r>
            <w:r w:rsidRPr="00362372">
              <w:rPr>
                <w:webHidden/>
              </w:rPr>
              <w:fldChar w:fldCharType="separate"/>
            </w:r>
            <w:r w:rsidRPr="00362372">
              <w:rPr>
                <w:webHidden/>
              </w:rPr>
              <w:t>22</w:t>
            </w:r>
            <w:r w:rsidRPr="00362372">
              <w:rPr>
                <w:webHidden/>
              </w:rPr>
              <w:fldChar w:fldCharType="end"/>
            </w:r>
          </w:hyperlink>
        </w:p>
        <w:p w14:paraId="15C9E81B" w14:textId="35A1BF8F" w:rsidR="006361CA" w:rsidRPr="00362372" w:rsidRDefault="006361CA">
          <w:pPr>
            <w:pStyle w:val="TOC2"/>
            <w:tabs>
              <w:tab w:val="right" w:leader="dot" w:pos="9016"/>
            </w:tabs>
            <w:rPr>
              <w:rFonts w:eastAsiaTheme="minorEastAsia"/>
              <w:sz w:val="24"/>
              <w:szCs w:val="24"/>
            </w:rPr>
          </w:pPr>
          <w:hyperlink w:anchor="_Toc197193691" w:history="1">
            <w:r w:rsidRPr="00362372">
              <w:rPr>
                <w:rStyle w:val="Hyperlink"/>
                <w:b/>
              </w:rPr>
              <w:t>Conducting and ending electronic auction</w:t>
            </w:r>
            <w:r w:rsidRPr="00362372">
              <w:rPr>
                <w:webHidden/>
              </w:rPr>
              <w:tab/>
            </w:r>
            <w:r w:rsidRPr="00362372">
              <w:rPr>
                <w:webHidden/>
              </w:rPr>
              <w:fldChar w:fldCharType="begin"/>
            </w:r>
            <w:r w:rsidRPr="00362372">
              <w:rPr>
                <w:webHidden/>
              </w:rPr>
              <w:instrText xml:space="preserve"> PAGEREF _Toc197193691 \h </w:instrText>
            </w:r>
            <w:r w:rsidRPr="00362372">
              <w:rPr>
                <w:webHidden/>
              </w:rPr>
            </w:r>
            <w:r w:rsidRPr="00362372">
              <w:rPr>
                <w:webHidden/>
              </w:rPr>
              <w:fldChar w:fldCharType="separate"/>
            </w:r>
            <w:r w:rsidRPr="00362372">
              <w:rPr>
                <w:webHidden/>
              </w:rPr>
              <w:t>25</w:t>
            </w:r>
            <w:r w:rsidRPr="00362372">
              <w:rPr>
                <w:webHidden/>
              </w:rPr>
              <w:fldChar w:fldCharType="end"/>
            </w:r>
          </w:hyperlink>
        </w:p>
        <w:p w14:paraId="7DDA1C8F" w14:textId="02088AFA" w:rsidR="006361CA" w:rsidRPr="00362372" w:rsidRDefault="006361CA">
          <w:pPr>
            <w:pStyle w:val="TOC1"/>
            <w:tabs>
              <w:tab w:val="right" w:leader="dot" w:pos="9016"/>
            </w:tabs>
            <w:rPr>
              <w:rFonts w:eastAsiaTheme="minorEastAsia"/>
              <w:sz w:val="24"/>
              <w:szCs w:val="24"/>
            </w:rPr>
          </w:pPr>
          <w:hyperlink w:anchor="_Toc197193692" w:history="1">
            <w:r w:rsidRPr="00362372">
              <w:rPr>
                <w:rStyle w:val="Hyperlink"/>
                <w:rFonts w:ascii="Segoe UI" w:hAnsi="Segoe UI"/>
              </w:rPr>
              <w:t>The guide to electronic catalog</w:t>
            </w:r>
            <w:r w:rsidRPr="00362372">
              <w:rPr>
                <w:webHidden/>
              </w:rPr>
              <w:tab/>
            </w:r>
            <w:r w:rsidRPr="00362372">
              <w:rPr>
                <w:webHidden/>
              </w:rPr>
              <w:fldChar w:fldCharType="begin"/>
            </w:r>
            <w:r w:rsidRPr="00362372">
              <w:rPr>
                <w:webHidden/>
              </w:rPr>
              <w:instrText xml:space="preserve"> PAGEREF _Toc197193692 \h </w:instrText>
            </w:r>
            <w:r w:rsidRPr="00362372">
              <w:rPr>
                <w:webHidden/>
              </w:rPr>
            </w:r>
            <w:r w:rsidRPr="00362372">
              <w:rPr>
                <w:webHidden/>
              </w:rPr>
              <w:fldChar w:fldCharType="separate"/>
            </w:r>
            <w:r w:rsidRPr="00362372">
              <w:rPr>
                <w:webHidden/>
              </w:rPr>
              <w:t>28</w:t>
            </w:r>
            <w:r w:rsidRPr="00362372">
              <w:rPr>
                <w:webHidden/>
              </w:rPr>
              <w:fldChar w:fldCharType="end"/>
            </w:r>
          </w:hyperlink>
        </w:p>
        <w:p w14:paraId="3386A877" w14:textId="14502403" w:rsidR="006361CA" w:rsidRPr="00362372" w:rsidRDefault="006361CA">
          <w:pPr>
            <w:pStyle w:val="TOC3"/>
            <w:tabs>
              <w:tab w:val="right" w:leader="dot" w:pos="9016"/>
            </w:tabs>
            <w:rPr>
              <w:rFonts w:eastAsiaTheme="minorEastAsia"/>
              <w:sz w:val="24"/>
              <w:szCs w:val="24"/>
            </w:rPr>
          </w:pPr>
          <w:hyperlink w:anchor="_Toc197193693" w:history="1">
            <w:r w:rsidRPr="00362372">
              <w:rPr>
                <w:rStyle w:val="Hyperlink"/>
                <w:b/>
              </w:rPr>
              <w:t>Possibility to submit tender with e-catalog</w:t>
            </w:r>
            <w:r w:rsidRPr="00362372">
              <w:rPr>
                <w:webHidden/>
              </w:rPr>
              <w:tab/>
            </w:r>
            <w:r w:rsidRPr="00362372">
              <w:rPr>
                <w:webHidden/>
              </w:rPr>
              <w:fldChar w:fldCharType="begin"/>
            </w:r>
            <w:r w:rsidRPr="00362372">
              <w:rPr>
                <w:webHidden/>
              </w:rPr>
              <w:instrText xml:space="preserve"> PAGEREF _Toc197193693 \h </w:instrText>
            </w:r>
            <w:r w:rsidRPr="00362372">
              <w:rPr>
                <w:webHidden/>
              </w:rPr>
            </w:r>
            <w:r w:rsidRPr="00362372">
              <w:rPr>
                <w:webHidden/>
              </w:rPr>
              <w:fldChar w:fldCharType="separate"/>
            </w:r>
            <w:r w:rsidRPr="00362372">
              <w:rPr>
                <w:webHidden/>
              </w:rPr>
              <w:t>28</w:t>
            </w:r>
            <w:r w:rsidRPr="00362372">
              <w:rPr>
                <w:webHidden/>
              </w:rPr>
              <w:fldChar w:fldCharType="end"/>
            </w:r>
          </w:hyperlink>
        </w:p>
        <w:p w14:paraId="4FF9A34A" w14:textId="6DB0122E" w:rsidR="006361CA" w:rsidRPr="00362372" w:rsidRDefault="006361CA">
          <w:pPr>
            <w:pStyle w:val="TOC3"/>
            <w:tabs>
              <w:tab w:val="right" w:leader="dot" w:pos="9016"/>
            </w:tabs>
            <w:rPr>
              <w:rFonts w:eastAsiaTheme="minorEastAsia"/>
              <w:sz w:val="24"/>
              <w:szCs w:val="24"/>
            </w:rPr>
          </w:pPr>
          <w:hyperlink w:anchor="_Toc197193694" w:history="1">
            <w:r w:rsidRPr="00362372">
              <w:rPr>
                <w:rStyle w:val="Hyperlink"/>
                <w:b/>
              </w:rPr>
              <w:t>Preparing tender documentation and submitting tender with e-catalog</w:t>
            </w:r>
            <w:r w:rsidRPr="00362372">
              <w:rPr>
                <w:webHidden/>
              </w:rPr>
              <w:tab/>
            </w:r>
            <w:r w:rsidRPr="00362372">
              <w:rPr>
                <w:webHidden/>
              </w:rPr>
              <w:fldChar w:fldCharType="begin"/>
            </w:r>
            <w:r w:rsidRPr="00362372">
              <w:rPr>
                <w:webHidden/>
              </w:rPr>
              <w:instrText xml:space="preserve"> PAGEREF _Toc197193694 \h </w:instrText>
            </w:r>
            <w:r w:rsidRPr="00362372">
              <w:rPr>
                <w:webHidden/>
              </w:rPr>
            </w:r>
            <w:r w:rsidRPr="00362372">
              <w:rPr>
                <w:webHidden/>
              </w:rPr>
              <w:fldChar w:fldCharType="separate"/>
            </w:r>
            <w:r w:rsidRPr="00362372">
              <w:rPr>
                <w:webHidden/>
              </w:rPr>
              <w:t>33</w:t>
            </w:r>
            <w:r w:rsidRPr="00362372">
              <w:rPr>
                <w:webHidden/>
              </w:rPr>
              <w:fldChar w:fldCharType="end"/>
            </w:r>
          </w:hyperlink>
        </w:p>
        <w:p w14:paraId="67E1BDC1" w14:textId="36FA215B" w:rsidR="004E7FFC" w:rsidRPr="00362372" w:rsidRDefault="004E7FFC" w:rsidP="00373AAA">
          <w:r w:rsidRPr="00362372">
            <w:rPr>
              <w:b/>
            </w:rPr>
            <w:fldChar w:fldCharType="end"/>
          </w:r>
        </w:p>
      </w:sdtContent>
    </w:sdt>
    <w:p w14:paraId="5A397B17" w14:textId="77777777" w:rsidR="004E7FFC" w:rsidRPr="00362372" w:rsidRDefault="004E7FFC">
      <w:pPr>
        <w:rPr>
          <w:rFonts w:ascii="Segoe UI" w:eastAsiaTheme="majorEastAsia" w:hAnsi="Segoe UI" w:cs="Segoe UI"/>
          <w:color w:val="1E25A0" w:themeColor="accent1" w:themeShade="BF"/>
          <w:sz w:val="64"/>
          <w:szCs w:val="64"/>
        </w:rPr>
      </w:pPr>
      <w:r w:rsidRPr="00362372">
        <w:br w:type="page"/>
      </w:r>
    </w:p>
    <w:p w14:paraId="6A34035C" w14:textId="77777777" w:rsidR="00F3697D" w:rsidRPr="00362372" w:rsidRDefault="00F3697D" w:rsidP="00373AAA">
      <w:pPr>
        <w:pStyle w:val="Heading1"/>
        <w:jc w:val="center"/>
        <w:rPr>
          <w:rFonts w:ascii="Segoe UI" w:hAnsi="Segoe UI" w:cs="Segoe UI"/>
          <w:sz w:val="64"/>
          <w:szCs w:val="64"/>
        </w:rPr>
      </w:pPr>
      <w:bookmarkStart w:id="2" w:name="_Toc197193679"/>
      <w:r w:rsidRPr="00362372">
        <w:rPr>
          <w:rFonts w:ascii="Segoe UI" w:hAnsi="Segoe UI"/>
          <w:sz w:val="64"/>
        </w:rPr>
        <w:lastRenderedPageBreak/>
        <w:t>INTRODUCTION</w:t>
      </w:r>
      <w:bookmarkEnd w:id="2"/>
    </w:p>
    <w:p w14:paraId="6871D0BD" w14:textId="0EFAF8E0" w:rsidR="00F3697D" w:rsidRPr="00362372" w:rsidRDefault="00F3697D" w:rsidP="00E87DB2">
      <w:pPr>
        <w:spacing w:before="100" w:beforeAutospacing="1" w:after="100" w:afterAutospacing="1" w:line="276" w:lineRule="auto"/>
        <w:jc w:val="both"/>
        <w:rPr>
          <w:rFonts w:eastAsia="Times New Roman" w:cstheme="minorHAnsi"/>
          <w:kern w:val="0"/>
          <w:sz w:val="24"/>
          <w:szCs w:val="24"/>
          <w14:ligatures w14:val="none"/>
        </w:rPr>
      </w:pPr>
      <w:bookmarkStart w:id="3" w:name="_Toc185469166"/>
      <w:r w:rsidRPr="00362372">
        <w:rPr>
          <w:sz w:val="24"/>
        </w:rPr>
        <w:t xml:space="preserve">This Guide is a practical tool for understanding and </w:t>
      </w:r>
      <w:r w:rsidR="00E079F1" w:rsidRPr="00362372">
        <w:rPr>
          <w:sz w:val="24"/>
        </w:rPr>
        <w:t>using</w:t>
      </w:r>
      <w:r w:rsidRPr="00362372">
        <w:rPr>
          <w:sz w:val="24"/>
        </w:rPr>
        <w:t xml:space="preserve"> instruments in public procurement procedures provided for in the Law on Public Procurement (“Official Gazette of the RS”, Nos. 91/2019 and 92/2023, hereinafter: the PPL), with a view to improving efficiency, competitiveness, and transparency of public procurement procedures. The Guide </w:t>
      </w:r>
      <w:r w:rsidR="006361CA" w:rsidRPr="00362372">
        <w:rPr>
          <w:sz w:val="24"/>
        </w:rPr>
        <w:t xml:space="preserve">elaborates </w:t>
      </w:r>
      <w:r w:rsidRPr="00362372">
        <w:rPr>
          <w:sz w:val="24"/>
        </w:rPr>
        <w:t xml:space="preserve">three specific instruments: </w:t>
      </w:r>
      <w:r w:rsidRPr="00362372">
        <w:rPr>
          <w:b/>
          <w:sz w:val="24"/>
        </w:rPr>
        <w:t>qualification system, electronic auction,</w:t>
      </w:r>
      <w:r w:rsidRPr="00362372">
        <w:rPr>
          <w:sz w:val="24"/>
        </w:rPr>
        <w:t xml:space="preserve"> and </w:t>
      </w:r>
      <w:r w:rsidRPr="00362372">
        <w:rPr>
          <w:b/>
          <w:sz w:val="24"/>
        </w:rPr>
        <w:t>electronic catalog,</w:t>
      </w:r>
      <w:r w:rsidRPr="00362372">
        <w:rPr>
          <w:sz w:val="24"/>
        </w:rPr>
        <w:t xml:space="preserve"> governed under Articles 69 through 74 of the PPL.</w:t>
      </w:r>
    </w:p>
    <w:p w14:paraId="7161C736" w14:textId="42593529" w:rsidR="00FF11AD" w:rsidRPr="00362372" w:rsidRDefault="00FF11AD" w:rsidP="00E87DB2">
      <w:pPr>
        <w:spacing w:before="100" w:beforeAutospacing="1" w:after="100" w:afterAutospacing="1" w:line="276" w:lineRule="auto"/>
        <w:jc w:val="both"/>
        <w:rPr>
          <w:rFonts w:cstheme="minorHAnsi"/>
          <w:sz w:val="24"/>
          <w:szCs w:val="24"/>
        </w:rPr>
      </w:pPr>
      <w:r w:rsidRPr="00362372">
        <w:rPr>
          <w:b/>
          <w:sz w:val="24"/>
        </w:rPr>
        <w:t>Qualification system</w:t>
      </w:r>
      <w:r w:rsidRPr="00362372">
        <w:rPr>
          <w:sz w:val="24"/>
        </w:rPr>
        <w:t xml:space="preserve"> is the framework that contracting entity establishes and manages </w:t>
      </w:r>
      <w:r w:rsidR="00E079F1" w:rsidRPr="00362372">
        <w:rPr>
          <w:sz w:val="24"/>
        </w:rPr>
        <w:t>so</w:t>
      </w:r>
      <w:r w:rsidRPr="00362372">
        <w:rPr>
          <w:sz w:val="24"/>
        </w:rPr>
        <w:t xml:space="preserve"> to enable business entities qualify for the future participation in public procurement procedure in which is going to be awarded a contract or a framework agreement. In the EU, qualification system is regulated by Directive 2014/25/EU</w:t>
      </w:r>
      <w:r w:rsidRPr="00362372">
        <w:rPr>
          <w:rStyle w:val="FootnoteReference"/>
          <w:sz w:val="24"/>
          <w:szCs w:val="24"/>
        </w:rPr>
        <w:footnoteReference w:id="1"/>
      </w:r>
      <w:r w:rsidRPr="00362372">
        <w:rPr>
          <w:sz w:val="24"/>
        </w:rPr>
        <w:t xml:space="preserve"> and, in line with the rules of this Directive, in the Republic of Serbia it is </w:t>
      </w:r>
      <w:r w:rsidR="00362372" w:rsidRPr="00362372">
        <w:rPr>
          <w:sz w:val="24"/>
        </w:rPr>
        <w:t>regulated</w:t>
      </w:r>
      <w:r w:rsidRPr="00362372">
        <w:rPr>
          <w:sz w:val="24"/>
        </w:rPr>
        <w:t xml:space="preserve"> under Articles 69 and 70 of the PPL.</w:t>
      </w:r>
    </w:p>
    <w:p w14:paraId="4F2459AD" w14:textId="60E0C991" w:rsidR="00147381" w:rsidRPr="00362372" w:rsidRDefault="00147381" w:rsidP="00E87DB2">
      <w:pPr>
        <w:spacing w:before="100" w:beforeAutospacing="1" w:after="100" w:afterAutospacing="1" w:line="276" w:lineRule="auto"/>
        <w:jc w:val="both"/>
        <w:rPr>
          <w:rFonts w:cstheme="minorHAnsi"/>
          <w:sz w:val="24"/>
          <w:szCs w:val="24"/>
        </w:rPr>
      </w:pPr>
      <w:r w:rsidRPr="00362372">
        <w:rPr>
          <w:b/>
          <w:sz w:val="24"/>
        </w:rPr>
        <w:t>Electronic auction</w:t>
      </w:r>
      <w:r w:rsidRPr="00362372">
        <w:rPr>
          <w:sz w:val="24"/>
        </w:rPr>
        <w:t xml:space="preserve"> is a contemporary electronic process </w:t>
      </w:r>
      <w:r w:rsidR="00362372" w:rsidRPr="00362372">
        <w:rPr>
          <w:sz w:val="24"/>
        </w:rPr>
        <w:t>in which</w:t>
      </w:r>
      <w:r w:rsidRPr="00362372">
        <w:rPr>
          <w:sz w:val="24"/>
        </w:rPr>
        <w:t xml:space="preserve"> bidders are given </w:t>
      </w:r>
      <w:r w:rsidR="00362372" w:rsidRPr="00362372">
        <w:rPr>
          <w:sz w:val="24"/>
        </w:rPr>
        <w:t>possibility</w:t>
      </w:r>
      <w:r w:rsidRPr="00362372">
        <w:rPr>
          <w:sz w:val="24"/>
        </w:rPr>
        <w:t xml:space="preserve"> to submit bids with novel, more favorable prices or other values of certain contract elements, during the course of a single or several consecutive rounds. Electronic auction is an option whereby, instead of the classic way of ranking bids, the selection of the most advantageous bid is done by electronic biding. Unlike the auction that first comes to mind (such as </w:t>
      </w:r>
      <w:r w:rsidR="00362372">
        <w:rPr>
          <w:sz w:val="24"/>
        </w:rPr>
        <w:t xml:space="preserve">the </w:t>
      </w:r>
      <w:r w:rsidRPr="00362372">
        <w:rPr>
          <w:sz w:val="24"/>
        </w:rPr>
        <w:t xml:space="preserve">sale of paintings, artwork, compulsory sale of immovable and movable property, etc.), this is the case of buying (not selling), and this means that </w:t>
      </w:r>
      <w:r w:rsidR="00362372">
        <w:rPr>
          <w:sz w:val="24"/>
        </w:rPr>
        <w:t>during the</w:t>
      </w:r>
      <w:r w:rsidRPr="00362372">
        <w:rPr>
          <w:sz w:val="24"/>
        </w:rPr>
        <w:t xml:space="preserve"> auctioning the price can only go down, not up, although the auction subject may also cover other criteria where, again, each subsequent value will be more favorable for the </w:t>
      </w:r>
      <w:r w:rsidR="00362372">
        <w:rPr>
          <w:sz w:val="24"/>
        </w:rPr>
        <w:t>procurer</w:t>
      </w:r>
      <w:r w:rsidRPr="00362372">
        <w:rPr>
          <w:sz w:val="24"/>
        </w:rPr>
        <w:t xml:space="preserve"> as the buyer, rather than for the seller, here, </w:t>
      </w:r>
      <w:r w:rsidR="00362372">
        <w:rPr>
          <w:sz w:val="24"/>
        </w:rPr>
        <w:t>tenderer</w:t>
      </w:r>
      <w:r w:rsidRPr="00362372">
        <w:rPr>
          <w:sz w:val="24"/>
        </w:rPr>
        <w:t xml:space="preserve">. In the EU public procurement system, </w:t>
      </w:r>
      <w:r w:rsidR="00362372">
        <w:rPr>
          <w:sz w:val="24"/>
        </w:rPr>
        <w:t>e</w:t>
      </w:r>
      <w:r w:rsidR="00362372" w:rsidRPr="00362372">
        <w:rPr>
          <w:sz w:val="24"/>
        </w:rPr>
        <w:t xml:space="preserve">lectronic auction </w:t>
      </w:r>
      <w:r w:rsidRPr="00362372">
        <w:rPr>
          <w:sz w:val="24"/>
        </w:rPr>
        <w:t>is regulated by Directive 2014/24/EU and Directive 2014/25/EU</w:t>
      </w:r>
      <w:r w:rsidRPr="00362372">
        <w:rPr>
          <w:rStyle w:val="FootnoteReference"/>
          <w:rFonts w:cstheme="minorHAnsi"/>
          <w:sz w:val="24"/>
          <w:szCs w:val="24"/>
        </w:rPr>
        <w:footnoteReference w:id="2"/>
      </w:r>
      <w:r w:rsidRPr="00362372">
        <w:rPr>
          <w:sz w:val="24"/>
        </w:rPr>
        <w:t>. The PPL regulates the requirements for, and the method of, application, and the closure of electronic auction in Articles 71 through 74</w:t>
      </w:r>
      <w:r w:rsidR="00362372">
        <w:rPr>
          <w:sz w:val="24"/>
        </w:rPr>
        <w:t>.</w:t>
      </w:r>
    </w:p>
    <w:p w14:paraId="409133D0" w14:textId="7B6222EB" w:rsidR="004C642D" w:rsidRPr="00362372" w:rsidRDefault="004C642D" w:rsidP="00E87DB2">
      <w:pPr>
        <w:spacing w:before="100" w:beforeAutospacing="1" w:after="100" w:afterAutospacing="1" w:line="276" w:lineRule="auto"/>
        <w:jc w:val="both"/>
        <w:rPr>
          <w:rFonts w:cstheme="minorHAnsi"/>
          <w:sz w:val="24"/>
          <w:szCs w:val="24"/>
        </w:rPr>
      </w:pPr>
      <w:r w:rsidRPr="00362372">
        <w:rPr>
          <w:b/>
          <w:sz w:val="24"/>
        </w:rPr>
        <w:t>Electronic catalog</w:t>
      </w:r>
      <w:r w:rsidRPr="00362372">
        <w:rPr>
          <w:sz w:val="24"/>
        </w:rPr>
        <w:t xml:space="preserve"> is a digital document prepared by candidates or tenderers in accordance with the procurer’s technical specifications and requirements. Electronic catalog is a </w:t>
      </w:r>
      <w:r w:rsidR="00362372">
        <w:rPr>
          <w:sz w:val="24"/>
        </w:rPr>
        <w:t>new</w:t>
      </w:r>
      <w:r w:rsidRPr="00362372">
        <w:rPr>
          <w:sz w:val="24"/>
        </w:rPr>
        <w:t xml:space="preserve"> instrument in public procurement in the Republic of Serbia, introduced by the PPL and governed by Article </w:t>
      </w:r>
      <w:r w:rsidR="006361CA" w:rsidRPr="00362372">
        <w:rPr>
          <w:sz w:val="24"/>
        </w:rPr>
        <w:t>74, in</w:t>
      </w:r>
      <w:r w:rsidRPr="00362372">
        <w:rPr>
          <w:sz w:val="24"/>
        </w:rPr>
        <w:t xml:space="preserve"> accordance with the above EU Directives</w:t>
      </w:r>
      <w:r w:rsidRPr="00362372">
        <w:rPr>
          <w:rStyle w:val="FootnoteReference"/>
          <w:rFonts w:cstheme="minorHAnsi"/>
          <w:spacing w:val="-5"/>
          <w:sz w:val="24"/>
          <w:szCs w:val="24"/>
        </w:rPr>
        <w:footnoteReference w:id="3"/>
      </w:r>
      <w:r w:rsidRPr="00362372">
        <w:rPr>
          <w:sz w:val="24"/>
        </w:rPr>
        <w:t xml:space="preserve">. To easily understand its importance and scope, one can </w:t>
      </w:r>
      <w:r w:rsidR="00362372">
        <w:rPr>
          <w:sz w:val="24"/>
        </w:rPr>
        <w:t>view</w:t>
      </w:r>
      <w:r w:rsidRPr="00362372">
        <w:rPr>
          <w:sz w:val="24"/>
        </w:rPr>
        <w:t xml:space="preserve"> it as a sort of combination of a table with technical specifications and a price structure template.  </w:t>
      </w:r>
    </w:p>
    <w:p w14:paraId="1D7D96F8" w14:textId="2A46BE40" w:rsidR="002A4A93" w:rsidRPr="00362372" w:rsidRDefault="004C642D" w:rsidP="004E7FFC">
      <w:pPr>
        <w:spacing w:before="100" w:beforeAutospacing="1" w:after="100" w:afterAutospacing="1" w:line="276" w:lineRule="auto"/>
        <w:jc w:val="both"/>
        <w:rPr>
          <w:rFonts w:cstheme="minorHAnsi"/>
        </w:rPr>
      </w:pPr>
      <w:r w:rsidRPr="00362372">
        <w:rPr>
          <w:sz w:val="24"/>
        </w:rPr>
        <w:t xml:space="preserve">The purpose of this Guide is to help procurers and tenderers understand </w:t>
      </w:r>
      <w:r w:rsidR="00362372">
        <w:rPr>
          <w:sz w:val="24"/>
        </w:rPr>
        <w:t xml:space="preserve">and use </w:t>
      </w:r>
      <w:r w:rsidRPr="00362372">
        <w:rPr>
          <w:sz w:val="24"/>
        </w:rPr>
        <w:t xml:space="preserve">these instruments properly, and to encourage their use in practice; it was developed within the </w:t>
      </w:r>
      <w:r w:rsidRPr="00362372">
        <w:rPr>
          <w:sz w:val="24"/>
        </w:rPr>
        <w:lastRenderedPageBreak/>
        <w:t xml:space="preserve">Project “Efficient Public Procurement and Sustainable Supply Chains (ESG) for Improving </w:t>
      </w:r>
      <w:r w:rsidR="006361CA" w:rsidRPr="00362372">
        <w:rPr>
          <w:sz w:val="24"/>
        </w:rPr>
        <w:t>Competitiveness”</w:t>
      </w:r>
      <w:r w:rsidRPr="00362372">
        <w:rPr>
          <w:sz w:val="24"/>
        </w:rPr>
        <w:t xml:space="preserve">, implemented by NALED and supported by the Swedish International Development and Cooperation Agency (SIDA). </w:t>
      </w:r>
      <w:bookmarkEnd w:id="3"/>
    </w:p>
    <w:p w14:paraId="76156ADA" w14:textId="76FD7776" w:rsidR="004E7FFC" w:rsidRPr="00362372" w:rsidRDefault="006361CA" w:rsidP="009373EB">
      <w:pPr>
        <w:jc w:val="center"/>
        <w:rPr>
          <w:rFonts w:ascii="Segoe UI" w:hAnsi="Segoe UI" w:cs="Segoe UI"/>
          <w:color w:val="1E25A0" w:themeColor="accent1" w:themeShade="BF"/>
          <w:sz w:val="64"/>
          <w:szCs w:val="64"/>
        </w:rPr>
      </w:pPr>
      <w:r w:rsidRPr="00362372">
        <w:rPr>
          <w:rFonts w:ascii="Segoe UI" w:hAnsi="Segoe UI"/>
          <w:color w:val="1E25A0" w:themeColor="accent1" w:themeShade="BF"/>
          <w:sz w:val="64"/>
        </w:rPr>
        <w:t xml:space="preserve">The </w:t>
      </w:r>
      <w:r w:rsidR="00A56C34" w:rsidRPr="00362372">
        <w:rPr>
          <w:rFonts w:ascii="Segoe UI" w:hAnsi="Segoe UI"/>
          <w:color w:val="1E25A0" w:themeColor="accent1" w:themeShade="BF"/>
          <w:sz w:val="64"/>
        </w:rPr>
        <w:t xml:space="preserve">Guide to Use Qualification </w:t>
      </w:r>
      <w:r w:rsidRPr="00362372">
        <w:rPr>
          <w:rFonts w:ascii="Segoe UI" w:hAnsi="Segoe UI"/>
          <w:color w:val="1E25A0" w:themeColor="accent1" w:themeShade="BF"/>
          <w:sz w:val="64"/>
        </w:rPr>
        <w:t>S</w:t>
      </w:r>
      <w:r w:rsidR="00A56C34" w:rsidRPr="00362372">
        <w:rPr>
          <w:rFonts w:ascii="Segoe UI" w:hAnsi="Segoe UI"/>
          <w:color w:val="1E25A0" w:themeColor="accent1" w:themeShade="BF"/>
          <w:sz w:val="64"/>
        </w:rPr>
        <w:t>ystem</w:t>
      </w:r>
      <w:bookmarkStart w:id="4" w:name="_Toc185469167"/>
      <w:bookmarkEnd w:id="1"/>
    </w:p>
    <w:p w14:paraId="2EB12754" w14:textId="3FF47C15" w:rsidR="00D25B43" w:rsidRPr="00362372" w:rsidRDefault="00C43349" w:rsidP="00D25B43">
      <w:pPr>
        <w:pStyle w:val="Heading2"/>
        <w:rPr>
          <w:b/>
          <w:color w:val="00B050"/>
          <w:sz w:val="40"/>
          <w:szCs w:val="40"/>
        </w:rPr>
      </w:pPr>
      <w:bookmarkStart w:id="5" w:name="_Toc197193680"/>
      <w:r w:rsidRPr="00362372">
        <w:rPr>
          <w:b/>
          <w:color w:val="00B050"/>
          <w:sz w:val="40"/>
        </w:rPr>
        <w:t xml:space="preserve">What is </w:t>
      </w:r>
      <w:r w:rsidR="006361CA" w:rsidRPr="00362372">
        <w:rPr>
          <w:b/>
          <w:color w:val="00B050"/>
          <w:sz w:val="40"/>
        </w:rPr>
        <w:t>Q</w:t>
      </w:r>
      <w:r w:rsidRPr="00362372">
        <w:rPr>
          <w:b/>
          <w:color w:val="00B050"/>
          <w:sz w:val="40"/>
        </w:rPr>
        <w:t xml:space="preserve">ualification </w:t>
      </w:r>
      <w:r w:rsidR="006361CA" w:rsidRPr="00362372">
        <w:rPr>
          <w:b/>
          <w:color w:val="00B050"/>
          <w:sz w:val="40"/>
        </w:rPr>
        <w:t>S</w:t>
      </w:r>
      <w:r w:rsidRPr="00362372">
        <w:rPr>
          <w:b/>
          <w:color w:val="00B050"/>
          <w:sz w:val="40"/>
        </w:rPr>
        <w:t>ystem?</w:t>
      </w:r>
      <w:bookmarkEnd w:id="5"/>
    </w:p>
    <w:p w14:paraId="5D3E9E5A" w14:textId="77777777" w:rsidR="00D25B43" w:rsidRPr="00362372" w:rsidRDefault="00D25B43" w:rsidP="00D25B43"/>
    <w:p w14:paraId="464DBE8F" w14:textId="6E01D053" w:rsidR="00272C45" w:rsidRPr="00362372" w:rsidRDefault="00C43349" w:rsidP="00D25B43">
      <w:pPr>
        <w:jc w:val="both"/>
        <w:rPr>
          <w:rFonts w:eastAsia="Times New Roman" w:cstheme="minorHAnsi"/>
          <w:kern w:val="0"/>
          <w:sz w:val="24"/>
          <w:szCs w:val="24"/>
          <w14:ligatures w14:val="none"/>
        </w:rPr>
      </w:pPr>
      <w:r w:rsidRPr="00362372">
        <w:rPr>
          <w:sz w:val="24"/>
        </w:rPr>
        <w:t xml:space="preserve">Qualification system is an instrument available to </w:t>
      </w:r>
      <w:r w:rsidRPr="00362372">
        <w:rPr>
          <w:b/>
          <w:sz w:val="24"/>
          <w:u w:val="single"/>
        </w:rPr>
        <w:t>contracting entity</w:t>
      </w:r>
      <w:r w:rsidRPr="00362372">
        <w:rPr>
          <w:sz w:val="24"/>
        </w:rPr>
        <w:t xml:space="preserve"> to compile a list of economic operators that meet necessary </w:t>
      </w:r>
      <w:r w:rsidR="00364249">
        <w:rPr>
          <w:sz w:val="24"/>
        </w:rPr>
        <w:t>Criteria for the qualitative selection</w:t>
      </w:r>
      <w:r w:rsidRPr="00362372">
        <w:rPr>
          <w:sz w:val="24"/>
        </w:rPr>
        <w:t xml:space="preserve">, that is, for participation in given public procurement procedure, from the perspective of the procurement subject and contracts that need to be executed. </w:t>
      </w:r>
      <w:bookmarkEnd w:id="4"/>
      <w:r w:rsidRPr="00362372">
        <w:rPr>
          <w:sz w:val="24"/>
        </w:rPr>
        <w:t xml:space="preserve">Therefore, </w:t>
      </w:r>
      <w:r w:rsidR="00362372">
        <w:rPr>
          <w:sz w:val="24"/>
        </w:rPr>
        <w:t xml:space="preserve">the </w:t>
      </w:r>
      <w:r w:rsidRPr="00362372">
        <w:rPr>
          <w:sz w:val="24"/>
        </w:rPr>
        <w:t xml:space="preserve">establishing of a qualification system is not a public procurement procedure, </w:t>
      </w:r>
      <w:r w:rsidR="00362372">
        <w:rPr>
          <w:sz w:val="24"/>
        </w:rPr>
        <w:t xml:space="preserve">but rather a </w:t>
      </w:r>
      <w:r w:rsidRPr="00362372">
        <w:rPr>
          <w:sz w:val="24"/>
        </w:rPr>
        <w:t>mere instrument that can make future procurements easier, through prior qualification.</w:t>
      </w:r>
    </w:p>
    <w:p w14:paraId="2F9441F3" w14:textId="507C4BFE" w:rsidR="00272C45" w:rsidRPr="00362372" w:rsidRDefault="00272C45" w:rsidP="00D25B43">
      <w:pPr>
        <w:jc w:val="both"/>
        <w:rPr>
          <w:rFonts w:eastAsia="Times New Roman" w:cstheme="minorHAnsi"/>
          <w:kern w:val="0"/>
          <w:sz w:val="24"/>
          <w:szCs w:val="24"/>
          <w14:ligatures w14:val="none"/>
        </w:rPr>
      </w:pPr>
      <w:r w:rsidRPr="00362372">
        <w:rPr>
          <w:sz w:val="24"/>
        </w:rPr>
        <w:t xml:space="preserve">Main advantages of qualification system are as follows: </w:t>
      </w:r>
      <w:r w:rsidR="00362372">
        <w:rPr>
          <w:sz w:val="24"/>
        </w:rPr>
        <w:t>e</w:t>
      </w:r>
      <w:r w:rsidRPr="00362372">
        <w:rPr>
          <w:sz w:val="24"/>
        </w:rPr>
        <w:t>nsuring quality of participants and greater competitiveness; efficiency (saving time and resources); reduced risk for contracting entity in terms of certainty that the contract/framework agreement will be awarded, and certainty and quality in execution of procurement.</w:t>
      </w:r>
    </w:p>
    <w:p w14:paraId="65B2E47C" w14:textId="703FBDBE" w:rsidR="00E87DB2" w:rsidRPr="00362372" w:rsidRDefault="00272C45" w:rsidP="00D25B43">
      <w:pPr>
        <w:jc w:val="both"/>
        <w:rPr>
          <w:rFonts w:eastAsia="Times New Roman" w:cstheme="minorHAnsi"/>
          <w:kern w:val="0"/>
          <w:sz w:val="24"/>
          <w:szCs w:val="24"/>
          <w14:ligatures w14:val="none"/>
        </w:rPr>
      </w:pPr>
      <w:r w:rsidRPr="00362372">
        <w:rPr>
          <w:sz w:val="24"/>
        </w:rPr>
        <w:t xml:space="preserve">This system’s essence </w:t>
      </w:r>
      <w:r w:rsidR="007601C0">
        <w:rPr>
          <w:sz w:val="24"/>
        </w:rPr>
        <w:t>comprises</w:t>
      </w:r>
      <w:r w:rsidRPr="00362372">
        <w:rPr>
          <w:sz w:val="24"/>
        </w:rPr>
        <w:t xml:space="preserve"> the prior qualification of economic operators that meet technical, expert, financial, and other requirements set by procurer, and subsequent procurement of works, goods or services, whenever contracting entity develops specific need for a procurement subject for which it has established, and operates, a qualification system. The purpose of qualification is to ensure that only capable and reliable economic subjects get included in the procurement process. </w:t>
      </w:r>
    </w:p>
    <w:p w14:paraId="1AF467C1" w14:textId="77777777" w:rsidR="00E87DB2" w:rsidRPr="00362372" w:rsidRDefault="00272C45" w:rsidP="00D25B43">
      <w:pPr>
        <w:jc w:val="both"/>
        <w:rPr>
          <w:rFonts w:eastAsia="Times New Roman" w:cstheme="minorHAnsi"/>
          <w:kern w:val="0"/>
          <w:sz w:val="24"/>
          <w:szCs w:val="24"/>
          <w14:ligatures w14:val="none"/>
        </w:rPr>
      </w:pPr>
      <w:r w:rsidRPr="00362372">
        <w:rPr>
          <w:sz w:val="24"/>
        </w:rPr>
        <w:t>Qualification system is an open system in which, throughout its duration, economic operators can submit an application for qualification, at any time; it can be sorted into categories by type of contract to which given qualification responds. This enables a constant inflow of new economic operators, which in turn enables greater competition in public procurement procedure. Allowing a broad range of qualified tenderers to take part in public procurement procedures can result in better contract terms, lower prices, and better quality of contract execution.</w:t>
      </w:r>
    </w:p>
    <w:p w14:paraId="2D3D1083" w14:textId="3D8C4D0F" w:rsidR="00E87DB2" w:rsidRPr="00362372" w:rsidRDefault="00272C45" w:rsidP="00E25546">
      <w:pPr>
        <w:jc w:val="both"/>
        <w:rPr>
          <w:rFonts w:eastAsia="Times New Roman" w:cstheme="minorHAnsi"/>
          <w:kern w:val="0"/>
          <w:sz w:val="24"/>
          <w:szCs w:val="24"/>
          <w14:ligatures w14:val="none"/>
        </w:rPr>
      </w:pPr>
      <w:r w:rsidRPr="00362372">
        <w:rPr>
          <w:sz w:val="24"/>
        </w:rPr>
        <w:t>Likewise, the reducing of administrative burden through preliminary evaluation of economic operators speed</w:t>
      </w:r>
      <w:r w:rsidR="007601C0">
        <w:rPr>
          <w:sz w:val="24"/>
        </w:rPr>
        <w:t>s</w:t>
      </w:r>
      <w:r w:rsidRPr="00362372">
        <w:rPr>
          <w:sz w:val="24"/>
        </w:rPr>
        <w:t xml:space="preserve"> up public procurement procedures, especially in recurring procurements. This also </w:t>
      </w:r>
      <w:r w:rsidR="007601C0">
        <w:rPr>
          <w:sz w:val="24"/>
        </w:rPr>
        <w:t>results in</w:t>
      </w:r>
      <w:r w:rsidRPr="00362372">
        <w:rPr>
          <w:sz w:val="24"/>
        </w:rPr>
        <w:t xml:space="preserve"> reduced risks in terms of conducting procedures for awarding contract and ensuring that contractual obligations are fulfilled free of interruptions or problems from the part of qualified economic operators.</w:t>
      </w:r>
    </w:p>
    <w:p w14:paraId="46F3ECE5" w14:textId="16D3E709" w:rsidR="00F1343E" w:rsidRPr="00362372" w:rsidRDefault="00F1343E" w:rsidP="00E25546">
      <w:pPr>
        <w:jc w:val="both"/>
      </w:pPr>
    </w:p>
    <w:p w14:paraId="1AAF2A50" w14:textId="2A221796" w:rsidR="00505E0E" w:rsidRPr="00362372" w:rsidRDefault="0076191E" w:rsidP="00D25B43">
      <w:pPr>
        <w:pStyle w:val="Heading2"/>
        <w:rPr>
          <w:b/>
          <w:color w:val="00B050"/>
          <w:sz w:val="40"/>
          <w:szCs w:val="40"/>
        </w:rPr>
      </w:pPr>
      <w:bookmarkStart w:id="6" w:name="_Toc197193681"/>
      <w:r w:rsidRPr="00362372">
        <w:rPr>
          <w:b/>
          <w:color w:val="00B050"/>
          <w:sz w:val="40"/>
        </w:rPr>
        <w:t xml:space="preserve">Establishing </w:t>
      </w:r>
      <w:r w:rsidR="006361CA" w:rsidRPr="00362372">
        <w:rPr>
          <w:b/>
          <w:color w:val="00B050"/>
          <w:sz w:val="40"/>
        </w:rPr>
        <w:t>Q</w:t>
      </w:r>
      <w:r w:rsidRPr="00362372">
        <w:rPr>
          <w:b/>
          <w:color w:val="00B050"/>
          <w:sz w:val="40"/>
        </w:rPr>
        <w:t xml:space="preserve">ualification </w:t>
      </w:r>
      <w:r w:rsidR="006361CA" w:rsidRPr="00362372">
        <w:rPr>
          <w:b/>
          <w:color w:val="00B050"/>
          <w:sz w:val="40"/>
        </w:rPr>
        <w:t>S</w:t>
      </w:r>
      <w:r w:rsidRPr="00362372">
        <w:rPr>
          <w:b/>
          <w:color w:val="00B050"/>
          <w:sz w:val="40"/>
        </w:rPr>
        <w:t>ystem</w:t>
      </w:r>
      <w:bookmarkEnd w:id="6"/>
    </w:p>
    <w:p w14:paraId="4CF705CB" w14:textId="77777777" w:rsidR="004B7D05" w:rsidRPr="00362372" w:rsidRDefault="004B7D05" w:rsidP="00124E8E">
      <w:pPr>
        <w:pStyle w:val="ListParagraph"/>
        <w:numPr>
          <w:ilvl w:val="0"/>
          <w:numId w:val="12"/>
        </w:numPr>
        <w:spacing w:before="100" w:beforeAutospacing="1" w:after="100" w:afterAutospacing="1" w:line="240" w:lineRule="auto"/>
        <w:rPr>
          <w:rFonts w:eastAsia="Times New Roman" w:cs="Times New Roman"/>
          <w:b/>
          <w:bCs/>
          <w:sz w:val="24"/>
          <w:szCs w:val="24"/>
        </w:rPr>
      </w:pPr>
      <w:r w:rsidRPr="00362372">
        <w:rPr>
          <w:b/>
          <w:sz w:val="24"/>
        </w:rPr>
        <w:t>This system can only be established by contracting entity</w:t>
      </w:r>
    </w:p>
    <w:p w14:paraId="3BA62892" w14:textId="7F45178C" w:rsidR="00654D15" w:rsidRPr="00362372" w:rsidRDefault="004B7D05" w:rsidP="00E87DB2">
      <w:pPr>
        <w:spacing w:before="100" w:beforeAutospacing="1" w:after="100" w:afterAutospacing="1" w:line="276" w:lineRule="auto"/>
        <w:jc w:val="both"/>
        <w:rPr>
          <w:rFonts w:eastAsiaTheme="majorEastAsia" w:cstheme="minorHAnsi"/>
          <w:sz w:val="24"/>
          <w:szCs w:val="24"/>
        </w:rPr>
      </w:pPr>
      <w:r w:rsidRPr="00362372">
        <w:rPr>
          <w:sz w:val="24"/>
        </w:rPr>
        <w:t xml:space="preserve">Article 69, Paragraph 1 of the PPL provides that contracting entity </w:t>
      </w:r>
      <w:r w:rsidR="007601C0">
        <w:rPr>
          <w:sz w:val="24"/>
        </w:rPr>
        <w:t>may</w:t>
      </w:r>
      <w:r w:rsidRPr="00362372">
        <w:rPr>
          <w:sz w:val="24"/>
        </w:rPr>
        <w:t xml:space="preserve"> establish and operate system of qualifying economic operators. This right that only contracting entities enjoy</w:t>
      </w:r>
      <w:r w:rsidR="009D09EA" w:rsidRPr="00362372">
        <w:rPr>
          <w:rStyle w:val="FootnoteReference"/>
          <w:sz w:val="20"/>
          <w:szCs w:val="20"/>
        </w:rPr>
        <w:footnoteReference w:id="4"/>
      </w:r>
      <w:r w:rsidRPr="00362372">
        <w:rPr>
          <w:sz w:val="24"/>
        </w:rPr>
        <w:t xml:space="preserve"> is provided for under Directive 2014/25/EU on procurement by procurers which operate in areas of water management, energy, transport and postal services, and was consistently transposed into our public procurement system, in the process of harmonizing </w:t>
      </w:r>
      <w:r w:rsidR="007601C0">
        <w:rPr>
          <w:sz w:val="24"/>
        </w:rPr>
        <w:t xml:space="preserve">it </w:t>
      </w:r>
      <w:r w:rsidRPr="00362372">
        <w:rPr>
          <w:sz w:val="24"/>
        </w:rPr>
        <w:t xml:space="preserve">with </w:t>
      </w:r>
      <w:r w:rsidR="007601C0">
        <w:rPr>
          <w:sz w:val="24"/>
        </w:rPr>
        <w:t xml:space="preserve">the </w:t>
      </w:r>
      <w:r w:rsidRPr="00362372">
        <w:rPr>
          <w:sz w:val="24"/>
        </w:rPr>
        <w:t xml:space="preserve">European rules. </w:t>
      </w:r>
    </w:p>
    <w:p w14:paraId="706F2B20" w14:textId="2A992446" w:rsidR="001206A2" w:rsidRPr="00362372" w:rsidRDefault="001206A2" w:rsidP="00124E8E">
      <w:pPr>
        <w:pStyle w:val="ListParagraph"/>
        <w:numPr>
          <w:ilvl w:val="0"/>
          <w:numId w:val="12"/>
        </w:numPr>
        <w:spacing w:after="150"/>
        <w:jc w:val="both"/>
        <w:rPr>
          <w:rFonts w:cstheme="minorHAnsi"/>
          <w:b/>
          <w:sz w:val="24"/>
          <w:szCs w:val="24"/>
        </w:rPr>
      </w:pPr>
      <w:r w:rsidRPr="00362372">
        <w:rPr>
          <w:b/>
          <w:sz w:val="24"/>
        </w:rPr>
        <w:t xml:space="preserve">Public procurement procedures </w:t>
      </w:r>
      <w:r w:rsidR="007601C0">
        <w:rPr>
          <w:b/>
          <w:sz w:val="24"/>
        </w:rPr>
        <w:t>that</w:t>
      </w:r>
      <w:r w:rsidRPr="00362372">
        <w:rPr>
          <w:b/>
          <w:sz w:val="24"/>
        </w:rPr>
        <w:t xml:space="preserve"> </w:t>
      </w:r>
      <w:r w:rsidR="007601C0">
        <w:rPr>
          <w:b/>
          <w:sz w:val="24"/>
        </w:rPr>
        <w:t>can</w:t>
      </w:r>
      <w:r w:rsidRPr="00362372">
        <w:rPr>
          <w:b/>
          <w:sz w:val="24"/>
        </w:rPr>
        <w:t xml:space="preserve"> use qualification system to award contracts </w:t>
      </w:r>
    </w:p>
    <w:p w14:paraId="73D64C67" w14:textId="51E9663B" w:rsidR="00E25546" w:rsidRPr="00362372" w:rsidRDefault="009D09EA" w:rsidP="00FE13D1">
      <w:pPr>
        <w:pStyle w:val="NormalWeb"/>
        <w:spacing w:before="0" w:beforeAutospacing="0" w:after="0" w:afterAutospacing="0"/>
        <w:jc w:val="both"/>
        <w:rPr>
          <w:rFonts w:asciiTheme="minorHAnsi" w:eastAsiaTheme="majorEastAsia" w:hAnsiTheme="minorHAnsi" w:cstheme="minorHAnsi"/>
          <w:kern w:val="2"/>
          <w14:ligatures w14:val="standardContextual"/>
        </w:rPr>
      </w:pPr>
      <w:r w:rsidRPr="00362372">
        <w:rPr>
          <w:rFonts w:asciiTheme="minorHAnsi" w:hAnsiTheme="minorHAnsi"/>
        </w:rPr>
        <w:t xml:space="preserve">Qualification system </w:t>
      </w:r>
      <w:r w:rsidR="007601C0">
        <w:rPr>
          <w:rFonts w:asciiTheme="minorHAnsi" w:hAnsiTheme="minorHAnsi"/>
        </w:rPr>
        <w:t>can</w:t>
      </w:r>
      <w:r w:rsidRPr="00362372">
        <w:rPr>
          <w:rFonts w:asciiTheme="minorHAnsi" w:hAnsiTheme="minorHAnsi"/>
        </w:rPr>
        <w:t xml:space="preserve"> be used to conduct the second phase</w:t>
      </w:r>
      <w:r w:rsidR="007601C0">
        <w:rPr>
          <w:rFonts w:asciiTheme="minorHAnsi" w:hAnsiTheme="minorHAnsi"/>
        </w:rPr>
        <w:t>s</w:t>
      </w:r>
      <w:r w:rsidRPr="00362372">
        <w:rPr>
          <w:rFonts w:asciiTheme="minorHAnsi" w:hAnsiTheme="minorHAnsi"/>
        </w:rPr>
        <w:t xml:space="preserve"> of:</w:t>
      </w:r>
    </w:p>
    <w:p w14:paraId="7F3E0D44" w14:textId="77777777" w:rsidR="00E25546" w:rsidRPr="00362372" w:rsidRDefault="00E25546" w:rsidP="00FE13D1">
      <w:pPr>
        <w:pStyle w:val="NormalWeb"/>
        <w:numPr>
          <w:ilvl w:val="0"/>
          <w:numId w:val="15"/>
        </w:numPr>
        <w:spacing w:before="0" w:beforeAutospacing="0" w:after="0" w:afterAutospacing="0"/>
        <w:ind w:left="714" w:hanging="357"/>
        <w:jc w:val="both"/>
        <w:rPr>
          <w:rFonts w:asciiTheme="minorHAnsi" w:eastAsiaTheme="majorEastAsia" w:hAnsiTheme="minorHAnsi" w:cstheme="minorHAnsi"/>
          <w:kern w:val="2"/>
          <w14:ligatures w14:val="standardContextual"/>
        </w:rPr>
      </w:pPr>
      <w:r w:rsidRPr="00362372">
        <w:rPr>
          <w:rFonts w:asciiTheme="minorHAnsi" w:hAnsiTheme="minorHAnsi"/>
        </w:rPr>
        <w:t>Restricted procedure</w:t>
      </w:r>
    </w:p>
    <w:p w14:paraId="0A8FE1AB" w14:textId="77777777" w:rsidR="00E25546" w:rsidRPr="00362372"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Negotiated procedure with prior publication</w:t>
      </w:r>
    </w:p>
    <w:p w14:paraId="4CD10941" w14:textId="77777777" w:rsidR="00E25546" w:rsidRPr="00362372"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 xml:space="preserve">Competitive dialog, or </w:t>
      </w:r>
    </w:p>
    <w:p w14:paraId="0A5CDBEE" w14:textId="77777777" w:rsidR="00E25546" w:rsidRPr="00362372"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 xml:space="preserve">Innovation partnership </w:t>
      </w:r>
    </w:p>
    <w:p w14:paraId="276E00B8" w14:textId="4F40DE47" w:rsidR="00F214E1" w:rsidRPr="00362372" w:rsidRDefault="007601C0" w:rsidP="00F214E1">
      <w:pPr>
        <w:pStyle w:val="NormalWeb"/>
        <w:spacing w:line="276" w:lineRule="auto"/>
        <w:jc w:val="both"/>
        <w:rPr>
          <w:rFonts w:asciiTheme="minorHAnsi" w:hAnsiTheme="minorHAnsi" w:cstheme="minorHAnsi"/>
        </w:rPr>
      </w:pPr>
      <w:r>
        <w:rPr>
          <w:rFonts w:asciiTheme="minorHAnsi" w:hAnsiTheme="minorHAnsi"/>
        </w:rPr>
        <w:t>Namely, w</w:t>
      </w:r>
      <w:r w:rsidR="00540A44" w:rsidRPr="00362372">
        <w:rPr>
          <w:rFonts w:asciiTheme="minorHAnsi" w:hAnsiTheme="minorHAnsi"/>
        </w:rPr>
        <w:t xml:space="preserve">here notice on the existence of a qualification system is used as a public call, the contracts covered by qualification system will be awarded by applying the rules of the second phase of any of the above procedures. Where contracting entity uses notice on the existence of a qualification system as a public call, it shall mark the option ‘This notice serves as a public call’ in segment ‘Procurement Subject and Communication’, </w:t>
      </w:r>
      <w:r>
        <w:rPr>
          <w:rFonts w:asciiTheme="minorHAnsi" w:hAnsiTheme="minorHAnsi"/>
        </w:rPr>
        <w:t>as early as</w:t>
      </w:r>
      <w:r w:rsidR="00540A44" w:rsidRPr="00362372">
        <w:rPr>
          <w:rFonts w:asciiTheme="minorHAnsi" w:hAnsiTheme="minorHAnsi"/>
        </w:rPr>
        <w:t xml:space="preserve"> while creating and publishing this notice </w:t>
      </w:r>
      <w:r w:rsidR="00362372" w:rsidRPr="00362372">
        <w:rPr>
          <w:rFonts w:asciiTheme="minorHAnsi" w:hAnsiTheme="minorHAnsi"/>
        </w:rPr>
        <w:t>on the</w:t>
      </w:r>
      <w:r w:rsidR="00540A44" w:rsidRPr="00362372">
        <w:rPr>
          <w:rFonts w:asciiTheme="minorHAnsi" w:hAnsiTheme="minorHAnsi"/>
        </w:rPr>
        <w:t xml:space="preserve"> Portal.</w:t>
      </w:r>
    </w:p>
    <w:p w14:paraId="421E62B8" w14:textId="18A55D2F" w:rsidR="002A2266" w:rsidRPr="00362372" w:rsidRDefault="00FC3961" w:rsidP="00E72CC1">
      <w:pPr>
        <w:pStyle w:val="NormalWeb"/>
        <w:spacing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 xml:space="preserve">In this case, to the second phase of any of the above procedures are invited all economic operators </w:t>
      </w:r>
      <w:r w:rsidR="00480629" w:rsidRPr="00362372">
        <w:rPr>
          <w:rFonts w:asciiTheme="minorHAnsi" w:hAnsiTheme="minorHAnsi"/>
        </w:rPr>
        <w:t xml:space="preserve">qualified </w:t>
      </w:r>
      <w:r w:rsidRPr="00362372">
        <w:rPr>
          <w:rFonts w:asciiTheme="minorHAnsi" w:hAnsiTheme="minorHAnsi"/>
        </w:rPr>
        <w:t>in the qualification system or in certain categories of such qualification system. In fact, the full purpose of qualification system is to use this notice as a public call.</w:t>
      </w:r>
    </w:p>
    <w:p w14:paraId="22BDF873" w14:textId="2D7C1D9E" w:rsidR="00B97D8F" w:rsidRPr="00362372" w:rsidRDefault="002A2266" w:rsidP="00E72CC1">
      <w:pPr>
        <w:pStyle w:val="NormalWeb"/>
        <w:spacing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 xml:space="preserve">Since qualification system is not a public procurement procedure, when establishing </w:t>
      </w:r>
      <w:r w:rsidR="00480629">
        <w:rPr>
          <w:rFonts w:asciiTheme="minorHAnsi" w:hAnsiTheme="minorHAnsi"/>
        </w:rPr>
        <w:t>it</w:t>
      </w:r>
      <w:r w:rsidRPr="00362372">
        <w:rPr>
          <w:rFonts w:asciiTheme="minorHAnsi" w:hAnsiTheme="minorHAnsi"/>
        </w:rPr>
        <w:t xml:space="preserve">, contracting entity is not making decision on conducting a public procurement procedure in terms of Article 91 of the PPL, having in mind that mere publishing of notice on the existence of a qualification system does not initiate a public procurement procedure. Contracting entity will make this decision only once it conducts the second phase of any of the above-mentioned procedures, to conclude specific public procurement contract. </w:t>
      </w:r>
      <w:proofErr w:type="spellStart"/>
      <w:r w:rsidR="00480629">
        <w:rPr>
          <w:rFonts w:asciiTheme="minorHAnsi" w:hAnsiTheme="minorHAnsi"/>
        </w:rPr>
        <w:t>Stll</w:t>
      </w:r>
      <w:proofErr w:type="spellEnd"/>
      <w:r w:rsidRPr="00362372">
        <w:rPr>
          <w:rFonts w:asciiTheme="minorHAnsi" w:hAnsiTheme="minorHAnsi"/>
        </w:rPr>
        <w:t xml:space="preserve">, when creating notice on the existence of a qualification system on the Public Procurement Portal (hereinafter: </w:t>
      </w:r>
      <w:r w:rsidR="00480629">
        <w:rPr>
          <w:rFonts w:asciiTheme="minorHAnsi" w:hAnsiTheme="minorHAnsi"/>
        </w:rPr>
        <w:t>t</w:t>
      </w:r>
      <w:r w:rsidRPr="00362372">
        <w:rPr>
          <w:rFonts w:asciiTheme="minorHAnsi" w:hAnsiTheme="minorHAnsi"/>
        </w:rPr>
        <w:t xml:space="preserve">he Portal), it is necessary to enter an internal number in the part ‘Basic parameters of the procedure’, hence it is necessary to take a separate decision on establishing qualification system thereby appointing panel that will prepare required documentation and publish </w:t>
      </w:r>
      <w:r w:rsidRPr="00362372">
        <w:rPr>
          <w:rFonts w:asciiTheme="minorHAnsi" w:hAnsiTheme="minorHAnsi"/>
        </w:rPr>
        <w:lastRenderedPageBreak/>
        <w:t>notice on existence of this system on the Portal</w:t>
      </w:r>
      <w:r w:rsidR="00480629">
        <w:rPr>
          <w:rFonts w:asciiTheme="minorHAnsi" w:hAnsiTheme="minorHAnsi"/>
        </w:rPr>
        <w:t>;</w:t>
      </w:r>
      <w:r w:rsidRPr="00362372">
        <w:rPr>
          <w:rFonts w:asciiTheme="minorHAnsi" w:hAnsiTheme="minorHAnsi"/>
        </w:rPr>
        <w:t xml:space="preserve"> panels for </w:t>
      </w:r>
      <w:r w:rsidR="00480629">
        <w:rPr>
          <w:rFonts w:asciiTheme="minorHAnsi" w:hAnsiTheme="minorHAnsi"/>
        </w:rPr>
        <w:t>each</w:t>
      </w:r>
      <w:r w:rsidRPr="00362372">
        <w:rPr>
          <w:rFonts w:asciiTheme="minorHAnsi" w:hAnsiTheme="minorHAnsi"/>
        </w:rPr>
        <w:t xml:space="preserve"> subsequent phase of the procedure will be appointed by decision on conducting </w:t>
      </w:r>
      <w:r w:rsidR="00480629">
        <w:rPr>
          <w:rFonts w:asciiTheme="minorHAnsi" w:hAnsiTheme="minorHAnsi"/>
        </w:rPr>
        <w:t xml:space="preserve">given </w:t>
      </w:r>
      <w:r w:rsidRPr="00362372">
        <w:rPr>
          <w:rFonts w:asciiTheme="minorHAnsi" w:hAnsiTheme="minorHAnsi"/>
        </w:rPr>
        <w:t xml:space="preserve">public procurement procedure. </w:t>
      </w:r>
    </w:p>
    <w:p w14:paraId="6CF111D1" w14:textId="6C18CBD9" w:rsidR="00E72CC1" w:rsidRPr="00362372" w:rsidRDefault="00B97D8F" w:rsidP="00E72CC1">
      <w:pPr>
        <w:pStyle w:val="NormalWeb"/>
        <w:spacing w:line="276" w:lineRule="auto"/>
        <w:jc w:val="both"/>
        <w:rPr>
          <w:rFonts w:asciiTheme="minorHAnsi" w:eastAsiaTheme="majorEastAsia" w:hAnsiTheme="minorHAnsi" w:cstheme="minorHAnsi"/>
          <w:kern w:val="2"/>
          <w14:ligatures w14:val="standardContextual"/>
        </w:rPr>
      </w:pPr>
      <w:r w:rsidRPr="00362372">
        <w:rPr>
          <w:rFonts w:asciiTheme="minorHAnsi" w:hAnsiTheme="minorHAnsi"/>
        </w:rPr>
        <w:t xml:space="preserve">The foregoing allows </w:t>
      </w:r>
      <w:r w:rsidR="004E750E">
        <w:rPr>
          <w:rFonts w:asciiTheme="minorHAnsi" w:hAnsiTheme="minorHAnsi"/>
        </w:rPr>
        <w:t>the</w:t>
      </w:r>
      <w:r w:rsidRPr="00362372">
        <w:rPr>
          <w:rFonts w:asciiTheme="minorHAnsi" w:hAnsiTheme="minorHAnsi"/>
        </w:rPr>
        <w:t xml:space="preserve"> conclusion that, at the point of establishing qualification system, given procurement does not have to exist in the public procurement plan; instead, an individual procurement in qualification system ought to be foreseen in public procurement plan at the time the second phase is going to be implemented. </w:t>
      </w:r>
      <w:r w:rsidR="007D616E">
        <w:rPr>
          <w:rFonts w:asciiTheme="minorHAnsi" w:hAnsiTheme="minorHAnsi"/>
        </w:rPr>
        <w:t>Hence</w:t>
      </w:r>
      <w:r w:rsidRPr="00362372">
        <w:rPr>
          <w:rFonts w:asciiTheme="minorHAnsi" w:hAnsiTheme="minorHAnsi"/>
        </w:rPr>
        <w:t xml:space="preserve">, given that qualification system is established typically for a longer, and perhaps even an indefinite, period of time, contracting entity is obliged to plan specific procurements in its annual procurement plans, pursuant to Article 88 of the PPL. </w:t>
      </w:r>
    </w:p>
    <w:p w14:paraId="7745680C" w14:textId="77777777" w:rsidR="00505E0E" w:rsidRPr="00362372" w:rsidRDefault="00505E0E" w:rsidP="00E72CC1">
      <w:pPr>
        <w:pStyle w:val="NormalWeb"/>
        <w:numPr>
          <w:ilvl w:val="0"/>
          <w:numId w:val="12"/>
        </w:numPr>
        <w:spacing w:line="276" w:lineRule="auto"/>
        <w:jc w:val="both"/>
        <w:rPr>
          <w:rStyle w:val="Strong"/>
          <w:rFonts w:asciiTheme="minorHAnsi" w:eastAsiaTheme="minorHAnsi" w:hAnsiTheme="minorHAnsi" w:cstheme="minorBidi"/>
          <w:bCs w:val="0"/>
          <w:kern w:val="2"/>
          <w14:ligatures w14:val="standardContextual"/>
        </w:rPr>
      </w:pPr>
      <w:r w:rsidRPr="00362372">
        <w:rPr>
          <w:rStyle w:val="Strong"/>
          <w:rFonts w:asciiTheme="minorHAnsi" w:hAnsiTheme="minorHAnsi"/>
        </w:rPr>
        <w:t>Notice on the existence of a qualification system</w:t>
      </w:r>
    </w:p>
    <w:p w14:paraId="3CB58E91" w14:textId="0691FD4E" w:rsidR="009730C6" w:rsidRPr="00362372" w:rsidRDefault="007D616E" w:rsidP="009730C6">
      <w:pPr>
        <w:spacing w:before="100" w:beforeAutospacing="1" w:after="100" w:afterAutospacing="1" w:line="276" w:lineRule="auto"/>
        <w:jc w:val="both"/>
        <w:rPr>
          <w:rFonts w:cstheme="minorHAnsi"/>
          <w:sz w:val="24"/>
          <w:szCs w:val="24"/>
        </w:rPr>
      </w:pPr>
      <w:r>
        <w:rPr>
          <w:sz w:val="24"/>
        </w:rPr>
        <w:t>Q</w:t>
      </w:r>
      <w:r w:rsidR="009764E3" w:rsidRPr="00362372">
        <w:rPr>
          <w:sz w:val="24"/>
        </w:rPr>
        <w:t>ualification system is established by publishing ‘Notice on the existence of a qualification system</w:t>
      </w:r>
      <w:r w:rsidR="00F33A6A" w:rsidRPr="00362372">
        <w:rPr>
          <w:rStyle w:val="FootnoteReference"/>
          <w:rFonts w:cstheme="minorHAnsi"/>
          <w:sz w:val="24"/>
          <w:szCs w:val="24"/>
        </w:rPr>
        <w:footnoteReference w:id="5"/>
      </w:r>
      <w:r w:rsidR="009764E3" w:rsidRPr="00362372">
        <w:rPr>
          <w:sz w:val="24"/>
        </w:rPr>
        <w:t>’, just like all other public procurement</w:t>
      </w:r>
      <w:r>
        <w:rPr>
          <w:sz w:val="24"/>
        </w:rPr>
        <w:t xml:space="preserve"> notices</w:t>
      </w:r>
      <w:r w:rsidR="009764E3" w:rsidRPr="00362372">
        <w:rPr>
          <w:sz w:val="24"/>
        </w:rPr>
        <w:t xml:space="preserve">, on the Portal. Contracting entity creates and publishes this notice on the Portal by using one of its functionalities. </w:t>
      </w:r>
    </w:p>
    <w:p w14:paraId="1C2B3468" w14:textId="5E8C405D" w:rsidR="00E54570" w:rsidRPr="00362372" w:rsidRDefault="00E54570" w:rsidP="009730C6">
      <w:pPr>
        <w:pStyle w:val="ListParagraph"/>
        <w:numPr>
          <w:ilvl w:val="0"/>
          <w:numId w:val="12"/>
        </w:numPr>
        <w:spacing w:before="100" w:beforeAutospacing="1" w:after="100" w:afterAutospacing="1" w:line="276" w:lineRule="auto"/>
        <w:jc w:val="both"/>
        <w:rPr>
          <w:rFonts w:cstheme="minorHAnsi"/>
          <w:sz w:val="24"/>
          <w:szCs w:val="24"/>
        </w:rPr>
      </w:pPr>
      <w:r w:rsidRPr="00362372">
        <w:rPr>
          <w:rStyle w:val="Strong"/>
          <w:sz w:val="24"/>
        </w:rPr>
        <w:t>Contents of notice on the existence of a qualification system</w:t>
      </w:r>
    </w:p>
    <w:p w14:paraId="40864A8E" w14:textId="3747AD5E" w:rsidR="00481907" w:rsidRPr="00362372" w:rsidRDefault="007D616E" w:rsidP="003B5A77">
      <w:pPr>
        <w:spacing w:before="100" w:beforeAutospacing="1" w:after="100" w:afterAutospacing="1" w:line="276" w:lineRule="auto"/>
        <w:jc w:val="both"/>
        <w:rPr>
          <w:rFonts w:cstheme="minorHAnsi"/>
          <w:sz w:val="24"/>
          <w:szCs w:val="24"/>
        </w:rPr>
      </w:pPr>
      <w:r>
        <w:rPr>
          <w:sz w:val="24"/>
        </w:rPr>
        <w:t>N</w:t>
      </w:r>
      <w:r w:rsidR="001F5FF4" w:rsidRPr="00362372">
        <w:rPr>
          <w:sz w:val="24"/>
        </w:rPr>
        <w:t>otice on the existence of a qualification system, pursuant to Article 69, Paragraph 3 of the PPL, contains data defined in Annex 4, Part G II of the PPL.  In procurements of social and other special services</w:t>
      </w:r>
      <w:r w:rsidR="003B5A77" w:rsidRPr="00362372">
        <w:rPr>
          <w:rStyle w:val="FootnoteReference"/>
          <w:rFonts w:cstheme="minorHAnsi"/>
          <w:sz w:val="24"/>
          <w:szCs w:val="24"/>
        </w:rPr>
        <w:footnoteReference w:id="6"/>
      </w:r>
      <w:r w:rsidR="001F5FF4" w:rsidRPr="00362372">
        <w:rPr>
          <w:sz w:val="24"/>
        </w:rPr>
        <w:t xml:space="preserve"> this notice contains much less data, only those defined as minimum in Annex 4, Part Z of the PPL. </w:t>
      </w:r>
    </w:p>
    <w:p w14:paraId="7AE6FC14" w14:textId="4CC9F37E" w:rsidR="00793D83" w:rsidRPr="00362372" w:rsidRDefault="00793D83" w:rsidP="00793D83">
      <w:pPr>
        <w:spacing w:before="100" w:beforeAutospacing="1" w:after="100" w:afterAutospacing="1" w:line="276" w:lineRule="auto"/>
        <w:jc w:val="both"/>
        <w:rPr>
          <w:rFonts w:cstheme="minorHAnsi"/>
          <w:b/>
          <w:sz w:val="24"/>
          <w:szCs w:val="24"/>
        </w:rPr>
      </w:pPr>
      <w:r w:rsidRPr="00362372">
        <w:rPr>
          <w:sz w:val="24"/>
        </w:rPr>
        <w:t>Together with publication of this notice, also prepared and published simultaneously on the Portal are adequate ‘tender documents’, pursuant to which</w:t>
      </w:r>
      <w:r w:rsidR="007D616E">
        <w:rPr>
          <w:sz w:val="24"/>
        </w:rPr>
        <w:t xml:space="preserve"> interested</w:t>
      </w:r>
      <w:r w:rsidRPr="00362372">
        <w:rPr>
          <w:sz w:val="24"/>
        </w:rPr>
        <w:t xml:space="preserve"> economic operators submit applications.</w:t>
      </w:r>
    </w:p>
    <w:p w14:paraId="0A618AF2" w14:textId="60F8D356" w:rsidR="003B5A77" w:rsidRPr="00362372" w:rsidRDefault="003B5A77" w:rsidP="003B5A77">
      <w:pPr>
        <w:spacing w:before="100" w:beforeAutospacing="1" w:after="100" w:afterAutospacing="1" w:line="276" w:lineRule="auto"/>
        <w:jc w:val="both"/>
        <w:rPr>
          <w:rFonts w:eastAsia="Times New Roman" w:cs="Times New Roman"/>
          <w:kern w:val="0"/>
          <w:sz w:val="24"/>
          <w:szCs w:val="24"/>
          <w14:ligatures w14:val="none"/>
        </w:rPr>
      </w:pPr>
      <w:r w:rsidRPr="00362372">
        <w:rPr>
          <w:sz w:val="24"/>
        </w:rPr>
        <w:t>In essence, key elements that notice on the existence of a qualification system and related tender documents need to include are as follows:</w:t>
      </w:r>
    </w:p>
    <w:p w14:paraId="44D08161" w14:textId="7F4D174A" w:rsidR="00F1343E" w:rsidRPr="00362372" w:rsidRDefault="00F1343E" w:rsidP="003B5A77">
      <w:pPr>
        <w:spacing w:before="100" w:beforeAutospacing="1" w:after="100" w:afterAutospacing="1" w:line="276" w:lineRule="auto"/>
        <w:jc w:val="both"/>
        <w:rPr>
          <w:rFonts w:cstheme="minorHAnsi"/>
          <w:sz w:val="24"/>
          <w:szCs w:val="24"/>
        </w:rPr>
      </w:pPr>
      <w:r w:rsidRPr="00362372">
        <w:rPr>
          <w:sz w:val="24"/>
        </w:rPr>
        <w:drawing>
          <wp:inline distT="0" distB="0" distL="0" distR="0" wp14:anchorId="4B83681F" wp14:editId="5DB6B373">
            <wp:extent cx="5627272" cy="171567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8CEBCA" w14:textId="65DFACF6" w:rsidR="002D72AA" w:rsidRPr="00362372" w:rsidRDefault="002D72AA" w:rsidP="00124E8E">
      <w:pPr>
        <w:pStyle w:val="ListParagraph"/>
        <w:numPr>
          <w:ilvl w:val="0"/>
          <w:numId w:val="12"/>
        </w:numPr>
        <w:spacing w:before="100" w:beforeAutospacing="1" w:after="100" w:afterAutospacing="1" w:line="240" w:lineRule="auto"/>
        <w:jc w:val="both"/>
        <w:rPr>
          <w:rFonts w:cstheme="minorHAnsi"/>
          <w:b/>
          <w:sz w:val="24"/>
          <w:szCs w:val="24"/>
        </w:rPr>
      </w:pPr>
      <w:r w:rsidRPr="00362372">
        <w:rPr>
          <w:b/>
          <w:sz w:val="24"/>
        </w:rPr>
        <w:lastRenderedPageBreak/>
        <w:t xml:space="preserve">Drafting and publishing notice on the existence of qualification system on the Portal </w:t>
      </w:r>
    </w:p>
    <w:p w14:paraId="1D3E7250" w14:textId="77777777" w:rsidR="00FC3961" w:rsidRPr="00362372" w:rsidRDefault="00FC3961" w:rsidP="00FC3961">
      <w:pPr>
        <w:pStyle w:val="ListParagraph"/>
        <w:spacing w:before="100" w:beforeAutospacing="1" w:after="100" w:afterAutospacing="1" w:line="240" w:lineRule="auto"/>
        <w:jc w:val="both"/>
        <w:rPr>
          <w:rFonts w:cstheme="minorHAnsi"/>
          <w:b/>
          <w:sz w:val="24"/>
          <w:szCs w:val="24"/>
        </w:rPr>
      </w:pPr>
    </w:p>
    <w:p w14:paraId="7FB416F0" w14:textId="1807370D" w:rsidR="002D72AA" w:rsidRPr="00362372" w:rsidRDefault="00FC3961" w:rsidP="00516143">
      <w:pPr>
        <w:pStyle w:val="ListParagraph"/>
        <w:numPr>
          <w:ilvl w:val="0"/>
          <w:numId w:val="1"/>
        </w:numPr>
        <w:spacing w:before="100" w:beforeAutospacing="1" w:after="100" w:afterAutospacing="1" w:line="240" w:lineRule="auto"/>
        <w:rPr>
          <w:rFonts w:cstheme="minorHAnsi"/>
          <w:b/>
          <w:i/>
          <w:sz w:val="24"/>
          <w:szCs w:val="24"/>
          <w:u w:val="single"/>
        </w:rPr>
      </w:pPr>
      <w:r w:rsidRPr="00362372">
        <w:rPr>
          <w:b/>
          <w:i/>
          <w:sz w:val="24"/>
          <w:u w:val="single"/>
        </w:rPr>
        <w:t xml:space="preserve">Designating public procurement instrument - </w:t>
      </w:r>
      <w:r w:rsidR="000C422D">
        <w:rPr>
          <w:b/>
          <w:i/>
          <w:sz w:val="24"/>
          <w:u w:val="single"/>
        </w:rPr>
        <w:t>e</w:t>
      </w:r>
      <w:r w:rsidRPr="00362372">
        <w:rPr>
          <w:b/>
          <w:i/>
          <w:sz w:val="24"/>
          <w:u w:val="single"/>
        </w:rPr>
        <w:t xml:space="preserve">stablishing </w:t>
      </w:r>
      <w:r w:rsidR="000C422D">
        <w:rPr>
          <w:b/>
          <w:i/>
          <w:sz w:val="24"/>
          <w:u w:val="single"/>
        </w:rPr>
        <w:t xml:space="preserve">a </w:t>
      </w:r>
      <w:r w:rsidRPr="00362372">
        <w:rPr>
          <w:b/>
          <w:i/>
          <w:sz w:val="24"/>
          <w:u w:val="single"/>
        </w:rPr>
        <w:t>qualification system</w:t>
      </w:r>
    </w:p>
    <w:p w14:paraId="3AE0F803" w14:textId="654FC97D" w:rsidR="009730C6" w:rsidRPr="00362372" w:rsidRDefault="002D72AA" w:rsidP="009730C6">
      <w:pPr>
        <w:spacing w:before="100" w:beforeAutospacing="1" w:after="100" w:afterAutospacing="1" w:line="276" w:lineRule="auto"/>
        <w:jc w:val="both"/>
        <w:rPr>
          <w:rFonts w:cstheme="minorHAnsi"/>
          <w:sz w:val="24"/>
          <w:szCs w:val="24"/>
        </w:rPr>
      </w:pPr>
      <w:r w:rsidRPr="00362372">
        <w:rPr>
          <w:sz w:val="24"/>
        </w:rPr>
        <w:t xml:space="preserve">When creating procurement on the Portal, on the first screen, </w:t>
      </w:r>
      <w:r w:rsidR="000C422D">
        <w:rPr>
          <w:sz w:val="24"/>
        </w:rPr>
        <w:t xml:space="preserve">in </w:t>
      </w:r>
      <w:r w:rsidRPr="00362372">
        <w:rPr>
          <w:sz w:val="24"/>
        </w:rPr>
        <w:t xml:space="preserve">part ‘Basic parameters of procedure’, one should mark (tick) the field ‘Establishing qualification system’ beneath the name of the procedures. </w:t>
      </w:r>
    </w:p>
    <w:p w14:paraId="63976A9F" w14:textId="77777777" w:rsidR="009730C6" w:rsidRPr="00362372" w:rsidRDefault="009730C6" w:rsidP="009730C6">
      <w:pPr>
        <w:spacing w:before="100" w:beforeAutospacing="1" w:after="100" w:afterAutospacing="1" w:line="276" w:lineRule="auto"/>
        <w:jc w:val="both"/>
        <w:rPr>
          <w:rFonts w:cstheme="minorHAnsi"/>
          <w:sz w:val="24"/>
          <w:szCs w:val="24"/>
        </w:rPr>
      </w:pPr>
      <w:r w:rsidRPr="00362372">
        <w:rPr>
          <w:sz w:val="24"/>
        </w:rPr>
        <w:t>This option is only available to procurer registered on the Portal as ‘contracting entity’, meaning that the option to establish a qualification system is not even available to a procurer registered as ‘contracting authority’.</w:t>
      </w:r>
    </w:p>
    <w:p w14:paraId="42E2464E" w14:textId="77777777" w:rsidR="00C0716C" w:rsidRPr="00362372"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7DAFF16E" w14:textId="77777777" w:rsidR="005F2895" w:rsidRPr="00362372" w:rsidRDefault="005F2895" w:rsidP="005F2895">
      <w:pPr>
        <w:spacing w:before="100" w:beforeAutospacing="1" w:after="100" w:afterAutospacing="1" w:line="276" w:lineRule="auto"/>
        <w:rPr>
          <w:rFonts w:cstheme="minorHAnsi"/>
          <w:i/>
          <w:color w:val="1E25A0" w:themeColor="accent1" w:themeShade="BF"/>
          <w:sz w:val="24"/>
          <w:szCs w:val="24"/>
        </w:rPr>
      </w:pPr>
      <w:r w:rsidRPr="00362372">
        <w:rPr>
          <w:i/>
          <w:color w:val="1E25A0" w:themeColor="accent1" w:themeShade="BF"/>
          <w:sz w:val="24"/>
        </w:rPr>
        <mc:AlternateContent>
          <mc:Choice Requires="wps">
            <w:drawing>
              <wp:anchor distT="0" distB="0" distL="114300" distR="114300" simplePos="0" relativeHeight="251719680" behindDoc="0" locked="0" layoutInCell="1" allowOverlap="1" wp14:anchorId="296273CC" wp14:editId="410112BB">
                <wp:simplePos x="0" y="0"/>
                <wp:positionH relativeFrom="column">
                  <wp:posOffset>171451</wp:posOffset>
                </wp:positionH>
                <wp:positionV relativeFrom="paragraph">
                  <wp:posOffset>1122045</wp:posOffset>
                </wp:positionV>
                <wp:extent cx="266700" cy="2667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266700"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7F8AC" id="Rectangle 11" o:spid="_x0000_s1026" style="position:absolute;margin-left:13.5pt;margin-top:88.35pt;width:21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" filled="f" strokecolor="#c00000" strokeweight="3pt"/>
            </w:pict>
          </mc:Fallback>
        </mc:AlternateContent>
      </w:r>
      <w:r w:rsidRPr="00362372">
        <w:rPr>
          <w:i/>
          <w:color w:val="1E25A0" w:themeColor="accent1" w:themeShade="BF"/>
          <w:sz w:val="24"/>
        </w:rPr>
        <w:drawing>
          <wp:inline distT="0" distB="0" distL="0" distR="0" wp14:anchorId="61385D8F" wp14:editId="4A6A17AE">
            <wp:extent cx="56578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1866900"/>
                    </a:xfrm>
                    <a:prstGeom prst="rect">
                      <a:avLst/>
                    </a:prstGeom>
                    <a:noFill/>
                    <a:ln>
                      <a:noFill/>
                    </a:ln>
                  </pic:spPr>
                </pic:pic>
              </a:graphicData>
            </a:graphic>
          </wp:inline>
        </w:drawing>
      </w:r>
    </w:p>
    <w:p w14:paraId="61CDF3A8" w14:textId="77777777" w:rsidR="002D72AA" w:rsidRPr="00362372" w:rsidRDefault="00430C5B" w:rsidP="006A20E1">
      <w:pPr>
        <w:pStyle w:val="ListParagraph"/>
        <w:numPr>
          <w:ilvl w:val="0"/>
          <w:numId w:val="1"/>
        </w:numPr>
        <w:spacing w:before="100" w:beforeAutospacing="1" w:after="100" w:afterAutospacing="1" w:line="240" w:lineRule="auto"/>
        <w:rPr>
          <w:rFonts w:cstheme="minorHAnsi"/>
          <w:b/>
          <w:i/>
          <w:sz w:val="24"/>
          <w:szCs w:val="24"/>
          <w:u w:val="single"/>
        </w:rPr>
      </w:pPr>
      <w:r w:rsidRPr="00362372">
        <w:rPr>
          <w:b/>
          <w:i/>
          <w:sz w:val="24"/>
          <w:u w:val="single"/>
        </w:rPr>
        <w:t>Duration of qualification system</w:t>
      </w:r>
    </w:p>
    <w:p w14:paraId="3509670C" w14:textId="476A0A96" w:rsidR="00F61B22" w:rsidRPr="00362372" w:rsidRDefault="00793D83" w:rsidP="00793D83">
      <w:pPr>
        <w:spacing w:after="0" w:line="276" w:lineRule="auto"/>
        <w:jc w:val="both"/>
        <w:rPr>
          <w:sz w:val="24"/>
          <w:szCs w:val="24"/>
        </w:rPr>
      </w:pPr>
      <w:r w:rsidRPr="00362372">
        <w:rPr>
          <w:sz w:val="24"/>
        </w:rPr>
        <w:t xml:space="preserve">Contracting entity has to specify the duration of qualification system. There is no legal limit to the maximum duration of this system. It can even be established for an indefinite period of time.  In section ‘Subject/Lots’ - ‘Description’, choose one of offered options for </w:t>
      </w:r>
      <w:r w:rsidR="00C567FF">
        <w:rPr>
          <w:sz w:val="24"/>
        </w:rPr>
        <w:t xml:space="preserve">the </w:t>
      </w:r>
      <w:r w:rsidRPr="00362372">
        <w:rPr>
          <w:sz w:val="24"/>
        </w:rPr>
        <w:t>validity of qualification system, such as: ‘</w:t>
      </w:r>
      <w:bookmarkStart w:id="7" w:name="_Hlk197200761"/>
      <w:r w:rsidRPr="00362372">
        <w:rPr>
          <w:sz w:val="24"/>
        </w:rPr>
        <w:t>Set by start and end dates</w:t>
      </w:r>
      <w:bookmarkEnd w:id="7"/>
      <w:r w:rsidRPr="00362372">
        <w:rPr>
          <w:sz w:val="24"/>
        </w:rPr>
        <w:t>’ or ‘</w:t>
      </w:r>
      <w:bookmarkStart w:id="8" w:name="_Hlk197200775"/>
      <w:r w:rsidRPr="00362372">
        <w:rPr>
          <w:sz w:val="24"/>
        </w:rPr>
        <w:t>Valid indefinitely</w:t>
      </w:r>
      <w:bookmarkEnd w:id="8"/>
      <w:r w:rsidRPr="00362372">
        <w:rPr>
          <w:sz w:val="24"/>
        </w:rPr>
        <w:t xml:space="preserve">’. </w:t>
      </w:r>
    </w:p>
    <w:p w14:paraId="44C30A3B" w14:textId="77777777" w:rsidR="00C0716C" w:rsidRPr="00362372"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096C4F3B" w14:textId="77777777" w:rsidR="00711768" w:rsidRPr="00362372" w:rsidRDefault="00711768" w:rsidP="00711768">
      <w:pPr>
        <w:spacing w:before="100" w:beforeAutospacing="1" w:after="100" w:afterAutospacing="1" w:line="240" w:lineRule="auto"/>
        <w:ind w:right="-113"/>
        <w:jc w:val="both"/>
        <w:rPr>
          <w:rFonts w:cstheme="minorHAnsi"/>
          <w:sz w:val="24"/>
          <w:szCs w:val="24"/>
        </w:rPr>
      </w:pPr>
      <w:r w:rsidRPr="00362372">
        <w:rPr>
          <w:sz w:val="24"/>
        </w:rPr>
        <w:drawing>
          <wp:inline distT="0" distB="0" distL="0" distR="0" wp14:anchorId="631B5B28" wp14:editId="2B84EB6B">
            <wp:extent cx="5730240" cy="12763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510" cy="1283315"/>
                    </a:xfrm>
                    <a:prstGeom prst="rect">
                      <a:avLst/>
                    </a:prstGeom>
                    <a:noFill/>
                    <a:ln>
                      <a:noFill/>
                    </a:ln>
                  </pic:spPr>
                </pic:pic>
              </a:graphicData>
            </a:graphic>
          </wp:inline>
        </w:drawing>
      </w:r>
    </w:p>
    <w:p w14:paraId="1B283D16" w14:textId="68675C7D" w:rsidR="00877537" w:rsidRPr="00362372" w:rsidRDefault="009327ED" w:rsidP="00B52FD8">
      <w:pPr>
        <w:pStyle w:val="NormalWeb"/>
        <w:spacing w:line="276" w:lineRule="auto"/>
        <w:jc w:val="both"/>
        <w:rPr>
          <w:rFonts w:asciiTheme="minorHAnsi" w:hAnsiTheme="minorHAnsi"/>
        </w:rPr>
      </w:pPr>
      <w:r w:rsidRPr="00362372">
        <w:rPr>
          <w:rFonts w:asciiTheme="minorHAnsi" w:hAnsiTheme="minorHAnsi"/>
        </w:rPr>
        <w:t xml:space="preserve">Where contracting entity opts for a limited duration, it has to set the </w:t>
      </w:r>
      <w:r w:rsidR="00DE6514">
        <w:rPr>
          <w:rFonts w:asciiTheme="minorHAnsi" w:hAnsiTheme="minorHAnsi"/>
        </w:rPr>
        <w:t xml:space="preserve">system’s </w:t>
      </w:r>
      <w:r w:rsidRPr="00362372">
        <w:rPr>
          <w:rFonts w:asciiTheme="minorHAnsi" w:hAnsiTheme="minorHAnsi"/>
        </w:rPr>
        <w:t xml:space="preserve">exact start and end dates. Having that said, it is free to change duration (extend it, or end it before the preset date) at any time </w:t>
      </w:r>
      <w:r w:rsidR="00DE6514">
        <w:rPr>
          <w:rFonts w:asciiTheme="minorHAnsi" w:hAnsiTheme="minorHAnsi"/>
        </w:rPr>
        <w:t>of</w:t>
      </w:r>
      <w:r w:rsidRPr="00362372">
        <w:rPr>
          <w:rFonts w:asciiTheme="minorHAnsi" w:hAnsiTheme="minorHAnsi"/>
        </w:rPr>
        <w:t xml:space="preserve"> the system’s duration. In the case of extending the system’s duration, </w:t>
      </w:r>
      <w:r w:rsidRPr="00362372">
        <w:rPr>
          <w:rFonts w:asciiTheme="minorHAnsi" w:hAnsiTheme="minorHAnsi"/>
        </w:rPr>
        <w:lastRenderedPageBreak/>
        <w:t>this information must be published in the notice on the existence of a qualification system, wh</w:t>
      </w:r>
      <w:r w:rsidR="00DE6514">
        <w:rPr>
          <w:rFonts w:asciiTheme="minorHAnsi" w:hAnsiTheme="minorHAnsi"/>
        </w:rPr>
        <w:t>ereas</w:t>
      </w:r>
      <w:r w:rsidRPr="00362372">
        <w:rPr>
          <w:rFonts w:asciiTheme="minorHAnsi" w:hAnsiTheme="minorHAnsi"/>
        </w:rPr>
        <w:t xml:space="preserve"> information on system’s early ending must be published in the notice</w:t>
      </w:r>
      <w:r w:rsidR="00DE6514">
        <w:rPr>
          <w:rFonts w:asciiTheme="minorHAnsi" w:hAnsiTheme="minorHAnsi"/>
        </w:rPr>
        <w:t>s</w:t>
      </w:r>
      <w:r w:rsidRPr="00362372">
        <w:rPr>
          <w:rFonts w:asciiTheme="minorHAnsi" w:hAnsiTheme="minorHAnsi"/>
        </w:rPr>
        <w:t xml:space="preserve"> on contract award, </w:t>
      </w:r>
      <w:r w:rsidR="00DE6514">
        <w:rPr>
          <w:rFonts w:asciiTheme="minorHAnsi" w:hAnsiTheme="minorHAnsi"/>
        </w:rPr>
        <w:t xml:space="preserve">on </w:t>
      </w:r>
      <w:r w:rsidRPr="00362372">
        <w:rPr>
          <w:rFonts w:asciiTheme="minorHAnsi" w:hAnsiTheme="minorHAnsi"/>
        </w:rPr>
        <w:t xml:space="preserve">suspension, or </w:t>
      </w:r>
      <w:r w:rsidR="00DE6514">
        <w:rPr>
          <w:rFonts w:asciiTheme="minorHAnsi" w:hAnsiTheme="minorHAnsi"/>
        </w:rPr>
        <w:t xml:space="preserve">on </w:t>
      </w:r>
      <w:r w:rsidRPr="00362372">
        <w:rPr>
          <w:rFonts w:asciiTheme="minorHAnsi" w:hAnsiTheme="minorHAnsi"/>
        </w:rPr>
        <w:t xml:space="preserve">cancellation of the procedure. </w:t>
      </w:r>
    </w:p>
    <w:p w14:paraId="71BC46BC" w14:textId="77777777" w:rsidR="0075689C" w:rsidRPr="00362372" w:rsidRDefault="00877537" w:rsidP="00C0716C">
      <w:pPr>
        <w:pStyle w:val="NormalWeb"/>
        <w:spacing w:line="276" w:lineRule="auto"/>
        <w:jc w:val="both"/>
        <w:rPr>
          <w:rFonts w:asciiTheme="minorHAnsi" w:hAnsiTheme="minorHAnsi"/>
        </w:rPr>
      </w:pPr>
      <w:r w:rsidRPr="00362372">
        <w:rPr>
          <w:rFonts w:asciiTheme="minorHAnsi" w:hAnsiTheme="minorHAnsi"/>
        </w:rPr>
        <w:t xml:space="preserve">The procedure for correcting the notice on the existence of a qualification system is identical to the procedure for correcting data in other published notices. Namely, where contracting entity wishes to extend system’s duration, it publishes this information on the Portal, by choosing option ‘Correction in procedure’ in section ‘Processes of procedure’, then ‘Change of data from the original notice’ and further on, following the Portal’s functionalities, enters relevant data, and the modified duration of the system gets published through notice ‘Correction - notice on changes or additional information’. </w:t>
      </w:r>
    </w:p>
    <w:p w14:paraId="5EF2A104" w14:textId="54D47A05" w:rsidR="00B52FD8" w:rsidRPr="00362372" w:rsidRDefault="00B52FD8" w:rsidP="00B52FD8">
      <w:pPr>
        <w:spacing w:before="100" w:beforeAutospacing="1" w:after="100" w:afterAutospacing="1" w:line="276" w:lineRule="auto"/>
        <w:jc w:val="both"/>
        <w:rPr>
          <w:sz w:val="24"/>
          <w:szCs w:val="24"/>
        </w:rPr>
      </w:pPr>
      <w:r w:rsidRPr="00362372">
        <w:rPr>
          <w:sz w:val="24"/>
        </w:rPr>
        <w:t>Where contracting entity wishes to end qualification system before the expiry of time for which it was established, it has to publish this information in the form ‘Notice on contract award, suspension, or cancellation of the procedure’.</w:t>
      </w:r>
      <w:r w:rsidRPr="00362372">
        <w:rPr>
          <w:color w:val="000000"/>
          <w:sz w:val="24"/>
        </w:rPr>
        <w:t xml:space="preserve"> </w:t>
      </w:r>
      <w:r w:rsidRPr="00362372">
        <w:rPr>
          <w:sz w:val="24"/>
        </w:rPr>
        <w:t xml:space="preserve">System ends upon selecting option ‘End system’ in section ‘Processes of procedure', and information on its ending </w:t>
      </w:r>
      <w:r w:rsidR="00371E4F">
        <w:rPr>
          <w:sz w:val="24"/>
        </w:rPr>
        <w:t>is</w:t>
      </w:r>
      <w:r w:rsidRPr="00362372">
        <w:rPr>
          <w:sz w:val="24"/>
        </w:rPr>
        <w:t xml:space="preserve"> published in 'Notice on contract award, suspension, or cancellation of the procedure - sectoral procurement', which will be published on the day following the chosen date, and immediately after this notice is published, all applicants will be notified thereon.</w:t>
      </w:r>
    </w:p>
    <w:p w14:paraId="1D180713" w14:textId="77777777" w:rsidR="002831CF" w:rsidRPr="00362372" w:rsidRDefault="00CF19E8" w:rsidP="006A20E1">
      <w:pPr>
        <w:pStyle w:val="ListParagraph"/>
        <w:numPr>
          <w:ilvl w:val="0"/>
          <w:numId w:val="1"/>
        </w:numPr>
        <w:spacing w:before="100" w:beforeAutospacing="1" w:after="100" w:afterAutospacing="1" w:line="240" w:lineRule="auto"/>
        <w:rPr>
          <w:b/>
          <w:i/>
          <w:sz w:val="24"/>
          <w:szCs w:val="24"/>
          <w:u w:val="single"/>
        </w:rPr>
      </w:pPr>
      <w:r w:rsidRPr="00362372">
        <w:rPr>
          <w:b/>
          <w:i/>
          <w:sz w:val="24"/>
          <w:u w:val="single"/>
        </w:rPr>
        <w:t>Documents required with application</w:t>
      </w:r>
    </w:p>
    <w:p w14:paraId="3865F1FF" w14:textId="1FAC981E" w:rsidR="00FC0708" w:rsidRPr="00362372" w:rsidRDefault="003B4B1F" w:rsidP="00F1343E">
      <w:pPr>
        <w:spacing w:before="100" w:beforeAutospacing="1" w:after="100" w:afterAutospacing="1" w:line="276" w:lineRule="auto"/>
        <w:jc w:val="both"/>
        <w:rPr>
          <w:rFonts w:cstheme="minorHAnsi"/>
          <w:i/>
          <w:color w:val="1E25A0" w:themeColor="accent1" w:themeShade="BF"/>
          <w:sz w:val="24"/>
          <w:szCs w:val="24"/>
        </w:rPr>
      </w:pPr>
      <w:r w:rsidRPr="00362372">
        <w:rPr>
          <w:sz w:val="24"/>
        </w:rPr>
        <w:t xml:space="preserve">Having in mind the provisions of the PPL and the purpose of qualification system, a mandatory part of application is </w:t>
      </w:r>
      <w:r w:rsidR="00371E4F">
        <w:rPr>
          <w:sz w:val="24"/>
        </w:rPr>
        <w:t>the</w:t>
      </w:r>
      <w:r w:rsidRPr="00362372">
        <w:rPr>
          <w:sz w:val="24"/>
        </w:rPr>
        <w:t xml:space="preserve"> completed statement on fulfillment of </w:t>
      </w:r>
      <w:r w:rsidR="00364249">
        <w:rPr>
          <w:sz w:val="24"/>
        </w:rPr>
        <w:t>Criteria for the qualitative selection</w:t>
      </w:r>
      <w:r w:rsidRPr="00362372">
        <w:rPr>
          <w:sz w:val="24"/>
        </w:rPr>
        <w:t xml:space="preserve"> of economic operators</w:t>
      </w:r>
      <w:r w:rsidR="00371E4F">
        <w:rPr>
          <w:sz w:val="24"/>
        </w:rPr>
        <w:t>.</w:t>
      </w:r>
      <w:r w:rsidRPr="00362372">
        <w:rPr>
          <w:sz w:val="24"/>
        </w:rPr>
        <w:t xml:space="preserve"> Applicant may also be required to supply technical solution, where criteria and rules for functioning of the qualification system include technical specifications</w:t>
      </w:r>
      <w:r w:rsidR="00D36C5D" w:rsidRPr="00362372">
        <w:rPr>
          <w:rStyle w:val="FootnoteReference"/>
          <w:sz w:val="24"/>
          <w:szCs w:val="24"/>
        </w:rPr>
        <w:footnoteReference w:id="7"/>
      </w:r>
      <w:r w:rsidRPr="00362372">
        <w:rPr>
          <w:sz w:val="24"/>
        </w:rPr>
        <w:t xml:space="preserve">, or required to submit other documents, as the case may be. Required parts of application, as stated therein, are listed in section ‘Subject/Lots’ - ‘Parts of application required </w:t>
      </w:r>
      <w:r w:rsidR="00371E4F">
        <w:rPr>
          <w:sz w:val="24"/>
        </w:rPr>
        <w:t>in</w:t>
      </w:r>
      <w:r w:rsidRPr="00362372">
        <w:rPr>
          <w:sz w:val="24"/>
        </w:rPr>
        <w:t xml:space="preserve"> application’.</w:t>
      </w:r>
    </w:p>
    <w:p w14:paraId="3A019E87" w14:textId="77777777" w:rsidR="00C0716C" w:rsidRPr="00362372"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6B2B612E" w14:textId="77777777" w:rsidR="00C0716C" w:rsidRPr="00362372" w:rsidRDefault="00D36C5D" w:rsidP="00C0716C">
      <w:pPr>
        <w:spacing w:before="100" w:beforeAutospacing="1" w:after="100" w:afterAutospacing="1" w:line="240" w:lineRule="auto"/>
        <w:ind w:right="-113"/>
        <w:jc w:val="both"/>
        <w:rPr>
          <w:rFonts w:cstheme="minorHAnsi"/>
        </w:rPr>
      </w:pPr>
      <w:r w:rsidRPr="00362372">
        <mc:AlternateContent>
          <mc:Choice Requires="wps">
            <w:drawing>
              <wp:anchor distT="0" distB="0" distL="114300" distR="114300" simplePos="0" relativeHeight="251666432" behindDoc="0" locked="0" layoutInCell="1" allowOverlap="1" wp14:anchorId="25483234" wp14:editId="5DBAAF8F">
                <wp:simplePos x="0" y="0"/>
                <wp:positionH relativeFrom="column">
                  <wp:posOffset>2087772</wp:posOffset>
                </wp:positionH>
                <wp:positionV relativeFrom="paragraph">
                  <wp:posOffset>688819</wp:posOffset>
                </wp:positionV>
                <wp:extent cx="238125" cy="9810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238125" cy="981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B36EE" id="Rectangle 28" o:spid="_x0000_s1026" style="position:absolute;margin-left:164.4pt;margin-top:54.25pt;width:18.7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" filled="f" strokecolor="#c00000" strokeweight="3pt"/>
            </w:pict>
          </mc:Fallback>
        </mc:AlternateContent>
      </w:r>
      <w:r w:rsidRPr="00362372">
        <w:drawing>
          <wp:inline distT="0" distB="0" distL="0" distR="0" wp14:anchorId="5DEDE367" wp14:editId="26E852C5">
            <wp:extent cx="5720081" cy="16644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1" cy="1664407"/>
                    </a:xfrm>
                    <a:prstGeom prst="rect">
                      <a:avLst/>
                    </a:prstGeom>
                    <a:noFill/>
                    <a:ln>
                      <a:noFill/>
                    </a:ln>
                  </pic:spPr>
                </pic:pic>
              </a:graphicData>
            </a:graphic>
          </wp:inline>
        </w:drawing>
      </w:r>
    </w:p>
    <w:p w14:paraId="7A3C0E21" w14:textId="77777777" w:rsidR="00391E7F" w:rsidRPr="00362372" w:rsidRDefault="00391E7F" w:rsidP="006A20E1">
      <w:pPr>
        <w:pStyle w:val="ListParagraph"/>
        <w:numPr>
          <w:ilvl w:val="0"/>
          <w:numId w:val="1"/>
        </w:numPr>
        <w:spacing w:before="100" w:beforeAutospacing="1" w:after="100" w:afterAutospacing="1" w:line="240" w:lineRule="auto"/>
        <w:rPr>
          <w:b/>
          <w:i/>
          <w:sz w:val="24"/>
          <w:szCs w:val="24"/>
          <w:u w:val="single"/>
        </w:rPr>
      </w:pPr>
      <w:r w:rsidRPr="00362372">
        <w:rPr>
          <w:b/>
          <w:i/>
          <w:sz w:val="24"/>
          <w:u w:val="single"/>
        </w:rPr>
        <w:lastRenderedPageBreak/>
        <w:t>Defining the criteria for the qualitative selection of economic operators</w:t>
      </w:r>
    </w:p>
    <w:p w14:paraId="6CF701E5" w14:textId="350D4243" w:rsidR="00391E7F" w:rsidRPr="00362372" w:rsidRDefault="00430C5B" w:rsidP="00C0716C">
      <w:pPr>
        <w:spacing w:before="100" w:beforeAutospacing="1" w:after="100" w:afterAutospacing="1" w:line="276" w:lineRule="auto"/>
        <w:jc w:val="both"/>
        <w:rPr>
          <w:sz w:val="24"/>
          <w:szCs w:val="24"/>
        </w:rPr>
      </w:pPr>
      <w:r w:rsidRPr="00362372">
        <w:rPr>
          <w:sz w:val="24"/>
        </w:rPr>
        <w:t xml:space="preserve">Contracting entity defines criteria for </w:t>
      </w:r>
      <w:r w:rsidR="00371E4F">
        <w:rPr>
          <w:sz w:val="24"/>
        </w:rPr>
        <w:t xml:space="preserve">the </w:t>
      </w:r>
      <w:r w:rsidRPr="00362372">
        <w:rPr>
          <w:sz w:val="24"/>
        </w:rPr>
        <w:t xml:space="preserve">qualitative selection, that economic operators/applicants have to fulfill to be admitted (entered) into the system, whereby such criteria may be updated from time to time, and the </w:t>
      </w:r>
      <w:r w:rsidR="001E070F" w:rsidRPr="00362372">
        <w:rPr>
          <w:sz w:val="24"/>
        </w:rPr>
        <w:t xml:space="preserve">updating </w:t>
      </w:r>
      <w:r w:rsidRPr="00362372">
        <w:rPr>
          <w:sz w:val="24"/>
        </w:rPr>
        <w:t xml:space="preserve">rules must be stated </w:t>
      </w:r>
      <w:r w:rsidR="001E070F">
        <w:rPr>
          <w:sz w:val="24"/>
        </w:rPr>
        <w:t>in advance</w:t>
      </w:r>
      <w:r w:rsidRPr="00362372">
        <w:rPr>
          <w:sz w:val="24"/>
        </w:rPr>
        <w:t>.</w:t>
      </w:r>
    </w:p>
    <w:p w14:paraId="5B109C69" w14:textId="73E9AE8E" w:rsidR="0001391A" w:rsidRPr="00362372" w:rsidRDefault="00364249" w:rsidP="00C0716C">
      <w:pPr>
        <w:adjustRightInd w:val="0"/>
        <w:spacing w:before="100" w:beforeAutospacing="1" w:after="100" w:afterAutospacing="1" w:line="276" w:lineRule="auto"/>
        <w:jc w:val="both"/>
        <w:rPr>
          <w:bCs/>
          <w:sz w:val="24"/>
          <w:szCs w:val="24"/>
        </w:rPr>
      </w:pPr>
      <w:r>
        <w:rPr>
          <w:sz w:val="24"/>
        </w:rPr>
        <w:t>Criteria for the qualitative selection</w:t>
      </w:r>
      <w:r w:rsidR="00391E7F" w:rsidRPr="00362372">
        <w:rPr>
          <w:sz w:val="24"/>
        </w:rPr>
        <w:t xml:space="preserve"> are key requirements in the qualification system, given that economic operators are only admitted to the system if they meet the set criteria. This is why the</w:t>
      </w:r>
      <w:r>
        <w:rPr>
          <w:sz w:val="24"/>
        </w:rPr>
        <w:t>se</w:t>
      </w:r>
      <w:r w:rsidR="00391E7F" w:rsidRPr="00362372">
        <w:rPr>
          <w:sz w:val="24"/>
        </w:rPr>
        <w:t xml:space="preserve"> are so important in the qualification system, as important as in the initial phases of </w:t>
      </w:r>
      <w:r>
        <w:rPr>
          <w:sz w:val="24"/>
        </w:rPr>
        <w:t xml:space="preserve">the </w:t>
      </w:r>
      <w:r w:rsidR="00391E7F" w:rsidRPr="00362372">
        <w:rPr>
          <w:sz w:val="24"/>
        </w:rPr>
        <w:t>multi-phase procedures (restricted procedure, competitive dialog, negotiated procedure with prior publication, innovation partnership).</w:t>
      </w:r>
    </w:p>
    <w:p w14:paraId="274D497A" w14:textId="2AC916A2" w:rsidR="009327ED" w:rsidRPr="00362372" w:rsidRDefault="00364249" w:rsidP="00C0716C">
      <w:pPr>
        <w:adjustRightInd w:val="0"/>
        <w:spacing w:before="100" w:beforeAutospacing="1" w:after="100" w:afterAutospacing="1" w:line="276" w:lineRule="auto"/>
        <w:jc w:val="both"/>
        <w:rPr>
          <w:bCs/>
          <w:sz w:val="24"/>
          <w:szCs w:val="24"/>
        </w:rPr>
      </w:pPr>
      <w:r>
        <w:rPr>
          <w:sz w:val="24"/>
        </w:rPr>
        <w:t>Criteria for the qualitative selection</w:t>
      </w:r>
      <w:r w:rsidR="0001391A" w:rsidRPr="00362372">
        <w:rPr>
          <w:sz w:val="24"/>
        </w:rPr>
        <w:t xml:space="preserve"> of economic operators are determined, and their fulfillment is evidenced, fully in line with the provisions of Articles 111 through 131 of the PPL. Further, the defining of these criteria and the manner of </w:t>
      </w:r>
      <w:r>
        <w:rPr>
          <w:sz w:val="24"/>
        </w:rPr>
        <w:t>proving</w:t>
      </w:r>
      <w:r w:rsidR="0001391A" w:rsidRPr="00362372">
        <w:rPr>
          <w:sz w:val="24"/>
        </w:rPr>
        <w:t xml:space="preserve"> them within the establishing of qualification system on the Portal, are </w:t>
      </w:r>
      <w:r>
        <w:rPr>
          <w:sz w:val="24"/>
        </w:rPr>
        <w:t>completely</w:t>
      </w:r>
      <w:r w:rsidR="0001391A" w:rsidRPr="00362372">
        <w:rPr>
          <w:sz w:val="24"/>
        </w:rPr>
        <w:t xml:space="preserve"> the same as when preparing tender documents in public procurement procedures.</w:t>
      </w:r>
    </w:p>
    <w:p w14:paraId="5B08A549" w14:textId="2BBD62A0" w:rsidR="003944A5" w:rsidRPr="00362372" w:rsidRDefault="00207EAE" w:rsidP="006A20E1">
      <w:pPr>
        <w:pStyle w:val="ListParagraph"/>
        <w:numPr>
          <w:ilvl w:val="0"/>
          <w:numId w:val="1"/>
        </w:numPr>
        <w:spacing w:before="100" w:beforeAutospacing="1" w:after="100" w:afterAutospacing="1" w:line="240" w:lineRule="auto"/>
        <w:jc w:val="both"/>
        <w:rPr>
          <w:rFonts w:eastAsia="Times New Roman" w:cs="Times New Roman"/>
          <w:b/>
          <w:i/>
          <w:kern w:val="0"/>
          <w:sz w:val="24"/>
          <w:szCs w:val="24"/>
          <w:u w:val="single"/>
          <w14:ligatures w14:val="none"/>
        </w:rPr>
      </w:pPr>
      <w:r w:rsidRPr="00362372">
        <w:rPr>
          <w:b/>
          <w:i/>
          <w:sz w:val="24"/>
          <w:u w:val="single"/>
        </w:rPr>
        <w:t>Criteria and rules for the functioning of the qualification</w:t>
      </w:r>
      <w:r w:rsidR="00364249" w:rsidRPr="00364249">
        <w:rPr>
          <w:b/>
          <w:i/>
          <w:sz w:val="24"/>
          <w:u w:val="single"/>
        </w:rPr>
        <w:t xml:space="preserve"> </w:t>
      </w:r>
      <w:r w:rsidR="00364249" w:rsidRPr="00362372">
        <w:rPr>
          <w:b/>
          <w:i/>
          <w:sz w:val="24"/>
          <w:u w:val="single"/>
        </w:rPr>
        <w:t>system</w:t>
      </w:r>
    </w:p>
    <w:p w14:paraId="75B9C4CC" w14:textId="77777777" w:rsidR="00AB025F" w:rsidRPr="00362372" w:rsidRDefault="00AB025F" w:rsidP="00AB025F">
      <w:pPr>
        <w:spacing w:before="100" w:beforeAutospacing="1" w:after="100" w:afterAutospacing="1" w:line="276" w:lineRule="auto"/>
        <w:jc w:val="both"/>
        <w:rPr>
          <w:rFonts w:cstheme="minorHAnsi"/>
          <w:sz w:val="24"/>
          <w:szCs w:val="24"/>
        </w:rPr>
      </w:pPr>
      <w:r w:rsidRPr="00362372">
        <w:rPr>
          <w:sz w:val="24"/>
        </w:rPr>
        <w:t xml:space="preserve">Contracting entity also sets the rules for admittance into the system and its functioning, and may update them throughout the system’s duration, whereby criteria and rules for functioning of the system may include technical specifications, as well. Criteria and rules, and any updating thereof, are published on the Portal. </w:t>
      </w:r>
    </w:p>
    <w:p w14:paraId="72BFB9CC" w14:textId="26D9DD7B" w:rsidR="00100C86" w:rsidRPr="00362372" w:rsidRDefault="004348F2" w:rsidP="00C0716C">
      <w:pPr>
        <w:spacing w:before="100" w:beforeAutospacing="1" w:after="100" w:afterAutospacing="1" w:line="276" w:lineRule="auto"/>
        <w:jc w:val="both"/>
        <w:rPr>
          <w:rFonts w:eastAsia="Times New Roman" w:cs="Times New Roman"/>
          <w:bCs/>
          <w:kern w:val="0"/>
          <w:sz w:val="24"/>
          <w:szCs w:val="24"/>
          <w14:ligatures w14:val="none"/>
        </w:rPr>
      </w:pPr>
      <w:r w:rsidRPr="00362372">
        <w:rPr>
          <w:sz w:val="24"/>
        </w:rPr>
        <w:t>The PPL does not specify all that may be considered as criteria and rules for the functioning of qualification system, but one may surmise th</w:t>
      </w:r>
      <w:r w:rsidR="0064426E">
        <w:rPr>
          <w:sz w:val="24"/>
        </w:rPr>
        <w:t>ese</w:t>
      </w:r>
      <w:r w:rsidRPr="00362372">
        <w:rPr>
          <w:sz w:val="24"/>
        </w:rPr>
        <w:t xml:space="preserve"> include: description of all relevant requirements that economic operators must fulfill to make their tenders acceptable; manner of awarding contracts under qualification system if the notice on the existence of a qualification system was also used as a public call; and any other data concerning the nature of the procurement subject and contract award that contracting entity deems relevant for the qualification system. These may be as follows: Technical and procedural rules and information related to admittance to qualification system, criteria for qualifying, rules for the functioning of the system, method of conducting the second phase of given procedure and, where necessary, technical specifications (technical requirements), etc. </w:t>
      </w:r>
    </w:p>
    <w:p w14:paraId="4047B255" w14:textId="251C7269" w:rsidR="003944A5" w:rsidRPr="00362372" w:rsidRDefault="00280E85" w:rsidP="00C0716C">
      <w:pPr>
        <w:spacing w:before="100" w:beforeAutospacing="1" w:after="100" w:afterAutospacing="1" w:line="276" w:lineRule="auto"/>
        <w:jc w:val="both"/>
        <w:rPr>
          <w:rFonts w:eastAsia="Times New Roman" w:cs="Times New Roman"/>
          <w:kern w:val="0"/>
          <w:sz w:val="24"/>
          <w:szCs w:val="24"/>
          <w14:ligatures w14:val="none"/>
        </w:rPr>
      </w:pPr>
      <w:r w:rsidRPr="00362372">
        <w:rPr>
          <w:sz w:val="24"/>
        </w:rPr>
        <w:t>To sum it up, rules for the functioning of, and information for admittance into, the qualification system, should provide the description of procedure for submitting application for qualification, plus the description of deadlines for reviewing applications and making decision. Objective criteria for qualification are the minimum requirements that economic operators must fulfill, such as technical competence, previous experience, financial stability, human resources, etc.; but, since the notice is drafted together with ‘</w:t>
      </w:r>
      <w:r w:rsidR="00364249">
        <w:rPr>
          <w:sz w:val="24"/>
        </w:rPr>
        <w:t>Criteria for the qualitative selection</w:t>
      </w:r>
      <w:r w:rsidRPr="00362372">
        <w:rPr>
          <w:sz w:val="24"/>
        </w:rPr>
        <w:t xml:space="preserve"> of economic operators’, the above rules may only offer brief descriptions of such </w:t>
      </w:r>
      <w:r w:rsidRPr="00362372">
        <w:rPr>
          <w:sz w:val="24"/>
        </w:rPr>
        <w:lastRenderedPageBreak/>
        <w:t>requirements and refer to the cited document. Rules for the functioning of the system should provide additional information about the system itself, such as: defining the qualification phases; method of updating criteria and rules; system’s duration; deadlines for deciding on qualification; etc. It may also offer data about the way of awarding individual contracts within the qualification system if the notice on the existence of a qualification system was used as a public call, such as the type of procedure, that is, the specific public procurement procedure whose second phase will be applied. Lastly, since technical specifications</w:t>
      </w:r>
      <w:r w:rsidR="00AC73CE" w:rsidRPr="00362372">
        <w:rPr>
          <w:rStyle w:val="FootnoteReference"/>
          <w:rFonts w:eastAsia="Times New Roman" w:cs="Times New Roman"/>
          <w:bCs/>
          <w:kern w:val="0"/>
          <w:sz w:val="24"/>
          <w:szCs w:val="24"/>
        </w:rPr>
        <w:footnoteReference w:id="8"/>
      </w:r>
      <w:r w:rsidRPr="00362372">
        <w:rPr>
          <w:sz w:val="24"/>
        </w:rPr>
        <w:t xml:space="preserve"> can be a part of qualification, especially </w:t>
      </w:r>
      <w:r w:rsidR="00575747">
        <w:rPr>
          <w:sz w:val="24"/>
        </w:rPr>
        <w:t>where is required to prove</w:t>
      </w:r>
      <w:r w:rsidRPr="00362372">
        <w:rPr>
          <w:sz w:val="24"/>
        </w:rPr>
        <w:t xml:space="preserve"> compliance with technical requirements (e.g., certain quality standards, certificates, methods), fulfillment of such requirements can be an integral part of criteria and rules for the functioning of the system qualification.</w:t>
      </w:r>
    </w:p>
    <w:p w14:paraId="19913E06" w14:textId="4EB2CA41" w:rsidR="00391E7F" w:rsidRPr="00362372" w:rsidRDefault="00CF19E8" w:rsidP="00C0716C">
      <w:pPr>
        <w:spacing w:before="100" w:beforeAutospacing="1" w:after="100" w:afterAutospacing="1" w:line="276" w:lineRule="auto"/>
        <w:jc w:val="both"/>
        <w:rPr>
          <w:sz w:val="24"/>
          <w:szCs w:val="24"/>
          <w:highlight w:val="yellow"/>
        </w:rPr>
      </w:pPr>
      <w:r w:rsidRPr="00362372">
        <w:rPr>
          <w:sz w:val="24"/>
        </w:rPr>
        <w:t xml:space="preserve">Criteria and rules for functioning of the system are uploaded as a separate, previously drafted document, on the Portal, in </w:t>
      </w:r>
      <w:r w:rsidR="00575747">
        <w:rPr>
          <w:sz w:val="24"/>
        </w:rPr>
        <w:t xml:space="preserve">the </w:t>
      </w:r>
      <w:r w:rsidRPr="00362372">
        <w:rPr>
          <w:sz w:val="24"/>
        </w:rPr>
        <w:t xml:space="preserve">section </w:t>
      </w:r>
      <w:r w:rsidR="00362372" w:rsidRPr="00362372">
        <w:rPr>
          <w:sz w:val="24"/>
        </w:rPr>
        <w:t>‘Tender</w:t>
      </w:r>
      <w:r w:rsidRPr="00362372">
        <w:rPr>
          <w:sz w:val="24"/>
        </w:rPr>
        <w:t xml:space="preserve"> </w:t>
      </w:r>
      <w:r w:rsidR="00575747">
        <w:rPr>
          <w:sz w:val="24"/>
        </w:rPr>
        <w:t>d</w:t>
      </w:r>
      <w:r w:rsidRPr="00362372">
        <w:rPr>
          <w:sz w:val="24"/>
        </w:rPr>
        <w:t>ocuments’.</w:t>
      </w:r>
    </w:p>
    <w:p w14:paraId="7405292B" w14:textId="77777777" w:rsidR="00C0716C" w:rsidRPr="00362372"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05095148" w14:textId="77777777" w:rsidR="00394445" w:rsidRPr="00362372" w:rsidRDefault="00AB025F" w:rsidP="00711768">
      <w:pPr>
        <w:pStyle w:val="NormalWeb"/>
        <w:jc w:val="both"/>
        <w:rPr>
          <w:rFonts w:asciiTheme="minorHAnsi" w:eastAsiaTheme="minorHAnsi" w:hAnsiTheme="minorHAnsi" w:cstheme="minorHAnsi"/>
          <w:b/>
          <w:kern w:val="2"/>
          <w14:ligatures w14:val="standardContextual"/>
        </w:rPr>
      </w:pPr>
      <w:r w:rsidRPr="00362372">
        <mc:AlternateContent>
          <mc:Choice Requires="wps">
            <w:drawing>
              <wp:anchor distT="0" distB="0" distL="114300" distR="114300" simplePos="0" relativeHeight="251718656" behindDoc="0" locked="0" layoutInCell="1" allowOverlap="1" wp14:anchorId="687408E6" wp14:editId="468658DD">
                <wp:simplePos x="0" y="0"/>
                <wp:positionH relativeFrom="column">
                  <wp:posOffset>38100</wp:posOffset>
                </wp:positionH>
                <wp:positionV relativeFrom="paragraph">
                  <wp:posOffset>659765</wp:posOffset>
                </wp:positionV>
                <wp:extent cx="2562225" cy="2952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2562225" cy="29527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6137C" id="Rectangle 2" o:spid="_x0000_s1026" style="position:absolute;margin-left:3pt;margin-top:51.95pt;width:201.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" filled="f" strokecolor="#c00000" strokeweight="3pt"/>
            </w:pict>
          </mc:Fallback>
        </mc:AlternateContent>
      </w:r>
      <w:r w:rsidRPr="00362372">
        <w:rPr>
          <w:rFonts w:asciiTheme="minorHAnsi" w:hAnsiTheme="minorHAnsi"/>
          <w:b/>
        </w:rPr>
        <w:drawing>
          <wp:inline distT="0" distB="0" distL="0" distR="0" wp14:anchorId="2B0BF30C" wp14:editId="49CFEC66">
            <wp:extent cx="5493067" cy="169181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140" cy="1695534"/>
                    </a:xfrm>
                    <a:prstGeom prst="rect">
                      <a:avLst/>
                    </a:prstGeom>
                    <a:noFill/>
                    <a:ln>
                      <a:noFill/>
                    </a:ln>
                  </pic:spPr>
                </pic:pic>
              </a:graphicData>
            </a:graphic>
          </wp:inline>
        </w:drawing>
      </w:r>
    </w:p>
    <w:p w14:paraId="517FF7F8" w14:textId="77777777" w:rsidR="003F1AC4" w:rsidRPr="00362372" w:rsidRDefault="00207EAE" w:rsidP="006A20E1">
      <w:pPr>
        <w:pStyle w:val="NormalWeb"/>
        <w:numPr>
          <w:ilvl w:val="0"/>
          <w:numId w:val="1"/>
        </w:numPr>
        <w:jc w:val="both"/>
        <w:rPr>
          <w:rFonts w:asciiTheme="minorHAnsi" w:eastAsiaTheme="minorHAnsi" w:hAnsiTheme="minorHAnsi" w:cstheme="minorHAnsi"/>
          <w:b/>
          <w:i/>
          <w:kern w:val="2"/>
          <w:u w:val="single"/>
          <w14:ligatures w14:val="standardContextual"/>
        </w:rPr>
      </w:pPr>
      <w:r w:rsidRPr="00362372">
        <w:rPr>
          <w:rFonts w:asciiTheme="minorHAnsi" w:hAnsiTheme="minorHAnsi"/>
          <w:b/>
          <w:i/>
          <w:u w:val="single"/>
        </w:rPr>
        <w:t>Opening of applications</w:t>
      </w:r>
    </w:p>
    <w:p w14:paraId="2951009C" w14:textId="57A2DB11" w:rsidR="00265A2D" w:rsidRPr="00362372" w:rsidRDefault="003F1AC4" w:rsidP="00B4697F">
      <w:pPr>
        <w:spacing w:before="100" w:beforeAutospacing="1" w:after="100" w:afterAutospacing="1" w:line="276" w:lineRule="auto"/>
        <w:jc w:val="both"/>
        <w:rPr>
          <w:sz w:val="24"/>
          <w:szCs w:val="24"/>
        </w:rPr>
      </w:pPr>
      <w:r w:rsidRPr="00362372">
        <w:rPr>
          <w:sz w:val="24"/>
        </w:rPr>
        <w:t>Qualification system is not a procedure to select a contractor/supplier/executor, but one to establish whether an economic operator fulfills certain eligibility requirements for participation in future procurements. Therefore, the focus is on establishing qualifications, rather than on competitive bidding.</w:t>
      </w:r>
    </w:p>
    <w:p w14:paraId="123FCAA4" w14:textId="393DBACF" w:rsidR="00265A2D" w:rsidRPr="00362372" w:rsidRDefault="00C0716C" w:rsidP="009971DA">
      <w:pPr>
        <w:spacing w:before="100" w:beforeAutospacing="1" w:after="100" w:afterAutospacing="1" w:line="276" w:lineRule="auto"/>
        <w:jc w:val="center"/>
        <w:rPr>
          <w:rFonts w:cstheme="minorHAnsi"/>
          <w:b/>
        </w:rPr>
      </w:pPr>
      <w:r w:rsidRPr="00362372">
        <w:rPr>
          <w:i/>
          <w:color w:val="1E25A0" w:themeColor="accent1" w:themeShade="BF"/>
          <w:sz w:val="24"/>
        </w:rPr>
        <w:t>Display on the Portal</w:t>
      </w:r>
      <w:r w:rsidR="00394445" w:rsidRPr="00362372">
        <w:rPr>
          <w:b/>
        </w:rPr>
        <w:drawing>
          <wp:inline distT="0" distB="0" distL="0" distR="0" wp14:anchorId="0715D7BD" wp14:editId="2146EEA4">
            <wp:extent cx="5251380" cy="1388968"/>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832" cy="1398080"/>
                    </a:xfrm>
                    <a:prstGeom prst="rect">
                      <a:avLst/>
                    </a:prstGeom>
                    <a:noFill/>
                    <a:ln>
                      <a:noFill/>
                    </a:ln>
                  </pic:spPr>
                </pic:pic>
              </a:graphicData>
            </a:graphic>
          </wp:inline>
        </w:drawing>
      </w:r>
    </w:p>
    <w:p w14:paraId="344DAA54" w14:textId="1AB0C963" w:rsidR="003531C4" w:rsidRPr="00362372" w:rsidRDefault="003531C4" w:rsidP="00D25B43">
      <w:pPr>
        <w:pStyle w:val="Heading2"/>
        <w:rPr>
          <w:b/>
          <w:color w:val="00B050"/>
          <w:sz w:val="40"/>
          <w:szCs w:val="40"/>
        </w:rPr>
      </w:pPr>
      <w:bookmarkStart w:id="9" w:name="_Toc197193682"/>
      <w:r w:rsidRPr="00362372">
        <w:rPr>
          <w:b/>
          <w:color w:val="00B050"/>
          <w:sz w:val="40"/>
        </w:rPr>
        <w:lastRenderedPageBreak/>
        <w:t xml:space="preserve">Application for </w:t>
      </w:r>
      <w:r w:rsidR="006361CA" w:rsidRPr="00362372">
        <w:rPr>
          <w:b/>
          <w:color w:val="00B050"/>
          <w:sz w:val="40"/>
        </w:rPr>
        <w:t>Q</w:t>
      </w:r>
      <w:r w:rsidRPr="00362372">
        <w:rPr>
          <w:b/>
          <w:color w:val="00B050"/>
          <w:sz w:val="40"/>
        </w:rPr>
        <w:t>ualification</w:t>
      </w:r>
      <w:bookmarkEnd w:id="9"/>
    </w:p>
    <w:p w14:paraId="228C2D90" w14:textId="1333F168" w:rsidR="00683735" w:rsidRPr="00362372" w:rsidRDefault="00F33BCD" w:rsidP="00C0716C">
      <w:pPr>
        <w:spacing w:before="100" w:beforeAutospacing="1" w:after="100" w:afterAutospacing="1" w:line="276" w:lineRule="auto"/>
        <w:jc w:val="both"/>
        <w:rPr>
          <w:rFonts w:eastAsia="Times New Roman" w:cs="Times New Roman"/>
          <w:sz w:val="24"/>
          <w:szCs w:val="24"/>
        </w:rPr>
      </w:pPr>
      <w:r w:rsidRPr="00362372">
        <w:rPr>
          <w:sz w:val="24"/>
        </w:rPr>
        <w:t xml:space="preserve">Qualification system must remain open </w:t>
      </w:r>
      <w:r w:rsidRPr="00362372">
        <w:rPr>
          <w:b/>
          <w:sz w:val="24"/>
        </w:rPr>
        <w:t>throughout its duration,</w:t>
      </w:r>
      <w:r w:rsidRPr="00362372">
        <w:rPr>
          <w:sz w:val="24"/>
        </w:rPr>
        <w:t xml:space="preserve"> thus enabling economic operators to apply for qualification at any time. The PPL does not know of any minimum deadlines for submi</w:t>
      </w:r>
      <w:r w:rsidR="00280511">
        <w:rPr>
          <w:sz w:val="24"/>
        </w:rPr>
        <w:t>ssion of</w:t>
      </w:r>
      <w:r w:rsidRPr="00362372">
        <w:rPr>
          <w:sz w:val="24"/>
        </w:rPr>
        <w:t xml:space="preserve"> applications in qualification system, hence, since the moment of publishing notice on the existence of a qualification system</w:t>
      </w:r>
      <w:r w:rsidR="00280511">
        <w:rPr>
          <w:sz w:val="24"/>
        </w:rPr>
        <w:t>,</w:t>
      </w:r>
      <w:r w:rsidRPr="00362372">
        <w:rPr>
          <w:sz w:val="24"/>
        </w:rPr>
        <w:t xml:space="preserve"> any economic operator can apply. </w:t>
      </w:r>
    </w:p>
    <w:p w14:paraId="76BCA701" w14:textId="4AC0E11F" w:rsidR="00F33BCD" w:rsidRPr="00362372" w:rsidRDefault="00F33BCD" w:rsidP="00C0716C">
      <w:pPr>
        <w:spacing w:before="100" w:beforeAutospacing="1" w:after="100" w:afterAutospacing="1" w:line="276" w:lineRule="auto"/>
        <w:jc w:val="both"/>
        <w:rPr>
          <w:sz w:val="24"/>
          <w:szCs w:val="24"/>
        </w:rPr>
      </w:pPr>
      <w:r w:rsidRPr="00362372">
        <w:rPr>
          <w:sz w:val="24"/>
        </w:rPr>
        <w:t>Application is submitted similarly to a tender; the difference is that economic operators do not prepare and do not submit elements of tender (price, price structure, commercial terms of tender such as deadline for execution, warranty period, terms of payment, etc.), only documents evidencing their qualification in accordance with the above-stated possible requirements of procurers.</w:t>
      </w:r>
    </w:p>
    <w:p w14:paraId="3E5FCC52" w14:textId="77777777" w:rsidR="00683735" w:rsidRPr="00362372" w:rsidRDefault="00F33BCD" w:rsidP="00C0716C">
      <w:pPr>
        <w:spacing w:before="100" w:beforeAutospacing="1" w:after="100" w:afterAutospacing="1" w:line="276" w:lineRule="auto"/>
        <w:jc w:val="both"/>
        <w:rPr>
          <w:sz w:val="24"/>
          <w:szCs w:val="24"/>
        </w:rPr>
      </w:pPr>
      <w:r w:rsidRPr="00362372">
        <w:rPr>
          <w:sz w:val="24"/>
        </w:rPr>
        <w:t xml:space="preserve">Once an economic operator submits application for qualification, contracting entity is notified of an executed opening of application via its email and its inbox on the Portal. </w:t>
      </w:r>
    </w:p>
    <w:p w14:paraId="7C2E4279" w14:textId="4FC57292" w:rsidR="00F33BCD" w:rsidRPr="00362372" w:rsidRDefault="00F33BCD" w:rsidP="00C0716C">
      <w:pPr>
        <w:spacing w:before="100" w:beforeAutospacing="1" w:after="100" w:afterAutospacing="1" w:line="276" w:lineRule="auto"/>
        <w:jc w:val="both"/>
        <w:rPr>
          <w:rFonts w:eastAsia="Times New Roman" w:cs="Times New Roman"/>
          <w:kern w:val="0"/>
          <w:sz w:val="24"/>
          <w:szCs w:val="24"/>
          <w14:ligatures w14:val="none"/>
        </w:rPr>
      </w:pPr>
      <w:r w:rsidRPr="00362372">
        <w:rPr>
          <w:sz w:val="24"/>
        </w:rPr>
        <w:t xml:space="preserve">Contracting entity can see all submitted applications through option ‘Applications’ - ‘Opening tenders/applications’ on the procedure’s navigation line, together with created reports on opening of applications. </w:t>
      </w:r>
      <w:r w:rsidR="00280511">
        <w:rPr>
          <w:sz w:val="24"/>
        </w:rPr>
        <w:t>U</w:t>
      </w:r>
      <w:r w:rsidRPr="00362372">
        <w:rPr>
          <w:sz w:val="24"/>
        </w:rPr>
        <w:t xml:space="preserve">pon each newly submitted application, contracting entity receives information about executed opening of application, and each opening is </w:t>
      </w:r>
      <w:r w:rsidR="00280511">
        <w:rPr>
          <w:sz w:val="24"/>
        </w:rPr>
        <w:t>followed</w:t>
      </w:r>
      <w:r w:rsidRPr="00362372">
        <w:rPr>
          <w:sz w:val="24"/>
        </w:rPr>
        <w:t xml:space="preserve"> by creation of a new report on opening of application. This report is not delivered to candidates, and is only visible to procurer. Just like the first one, each subsequent report created by the Portal immediately upon submission of any new application, remains visible only to the procurer.</w:t>
      </w:r>
    </w:p>
    <w:p w14:paraId="15B91040" w14:textId="77777777" w:rsidR="003531C4" w:rsidRPr="00362372" w:rsidRDefault="00F33BCD" w:rsidP="00C0716C">
      <w:pPr>
        <w:spacing w:before="100" w:beforeAutospacing="1" w:after="100" w:afterAutospacing="1" w:line="276" w:lineRule="auto"/>
        <w:jc w:val="both"/>
        <w:rPr>
          <w:rFonts w:eastAsia="Times New Roman" w:cs="Times New Roman"/>
          <w:kern w:val="0"/>
          <w:sz w:val="24"/>
          <w:szCs w:val="24"/>
          <w14:ligatures w14:val="none"/>
        </w:rPr>
      </w:pPr>
      <w:r w:rsidRPr="00362372">
        <w:rPr>
          <w:sz w:val="24"/>
        </w:rPr>
        <w:t>Economic operators can see own submitted application in the navigation part, section ‘My tenders’ - ‘My tenders (submitted)’.</w:t>
      </w:r>
    </w:p>
    <w:p w14:paraId="77B11720" w14:textId="4EE3CE36" w:rsidR="003531C4" w:rsidRPr="00362372" w:rsidRDefault="003531C4" w:rsidP="00D25B43">
      <w:pPr>
        <w:pStyle w:val="Heading2"/>
        <w:rPr>
          <w:b/>
          <w:color w:val="00B050"/>
          <w:sz w:val="40"/>
          <w:szCs w:val="40"/>
        </w:rPr>
      </w:pPr>
      <w:bookmarkStart w:id="10" w:name="_Toc197193683"/>
      <w:r w:rsidRPr="00362372">
        <w:rPr>
          <w:b/>
          <w:color w:val="00B050"/>
          <w:sz w:val="40"/>
        </w:rPr>
        <w:t xml:space="preserve">Expert </w:t>
      </w:r>
      <w:r w:rsidR="00280511">
        <w:rPr>
          <w:b/>
          <w:color w:val="00B050"/>
          <w:sz w:val="40"/>
        </w:rPr>
        <w:t>V</w:t>
      </w:r>
      <w:r w:rsidRPr="00362372">
        <w:rPr>
          <w:b/>
          <w:color w:val="00B050"/>
          <w:sz w:val="40"/>
        </w:rPr>
        <w:t xml:space="preserve">aluation of </w:t>
      </w:r>
      <w:r w:rsidR="006361CA" w:rsidRPr="00362372">
        <w:rPr>
          <w:b/>
          <w:color w:val="00B050"/>
          <w:sz w:val="40"/>
        </w:rPr>
        <w:t>A</w:t>
      </w:r>
      <w:r w:rsidRPr="00362372">
        <w:rPr>
          <w:b/>
          <w:color w:val="00B050"/>
          <w:sz w:val="40"/>
        </w:rPr>
        <w:t xml:space="preserve">pplications and </w:t>
      </w:r>
      <w:r w:rsidR="006361CA" w:rsidRPr="00362372">
        <w:rPr>
          <w:b/>
          <w:color w:val="00B050"/>
          <w:sz w:val="40"/>
        </w:rPr>
        <w:t>D</w:t>
      </w:r>
      <w:r w:rsidRPr="00362372">
        <w:rPr>
          <w:b/>
          <w:color w:val="00B050"/>
          <w:sz w:val="40"/>
        </w:rPr>
        <w:t xml:space="preserve">eciding on </w:t>
      </w:r>
      <w:r w:rsidR="006361CA" w:rsidRPr="00362372">
        <w:rPr>
          <w:b/>
          <w:color w:val="00B050"/>
          <w:sz w:val="40"/>
        </w:rPr>
        <w:t>Q</w:t>
      </w:r>
      <w:r w:rsidRPr="00362372">
        <w:rPr>
          <w:b/>
          <w:color w:val="00B050"/>
          <w:sz w:val="40"/>
        </w:rPr>
        <w:t>ualification</w:t>
      </w:r>
      <w:bookmarkEnd w:id="10"/>
    </w:p>
    <w:p w14:paraId="5FD12973" w14:textId="146AC68F" w:rsidR="0076191E" w:rsidRPr="00362372" w:rsidRDefault="0076191E" w:rsidP="00124E8E">
      <w:pPr>
        <w:pStyle w:val="ListParagraph"/>
        <w:numPr>
          <w:ilvl w:val="0"/>
          <w:numId w:val="12"/>
        </w:numPr>
        <w:spacing w:before="100" w:beforeAutospacing="1" w:after="100" w:afterAutospacing="1" w:line="240" w:lineRule="auto"/>
        <w:jc w:val="both"/>
        <w:rPr>
          <w:b/>
          <w:sz w:val="24"/>
          <w:szCs w:val="24"/>
        </w:rPr>
      </w:pPr>
      <w:r w:rsidRPr="00362372">
        <w:rPr>
          <w:b/>
          <w:sz w:val="24"/>
        </w:rPr>
        <w:t>Expert valuation of applications</w:t>
      </w:r>
    </w:p>
    <w:p w14:paraId="7630004F" w14:textId="474511E6" w:rsidR="00CA2FF2" w:rsidRPr="00362372" w:rsidRDefault="00F33BCD" w:rsidP="00C0716C">
      <w:pPr>
        <w:spacing w:before="100" w:beforeAutospacing="1" w:after="100" w:afterAutospacing="1" w:line="276" w:lineRule="auto"/>
        <w:jc w:val="both"/>
        <w:rPr>
          <w:sz w:val="24"/>
          <w:szCs w:val="24"/>
        </w:rPr>
      </w:pPr>
      <w:r w:rsidRPr="00362372">
        <w:rPr>
          <w:sz w:val="24"/>
        </w:rPr>
        <w:t xml:space="preserve">Expert valuation of applications </w:t>
      </w:r>
      <w:r w:rsidR="00362372" w:rsidRPr="00362372">
        <w:rPr>
          <w:sz w:val="24"/>
        </w:rPr>
        <w:t>includes</w:t>
      </w:r>
      <w:r w:rsidRPr="00362372">
        <w:rPr>
          <w:sz w:val="24"/>
        </w:rPr>
        <w:t xml:space="preserve"> review and evaluation of submitted applications. After each submitted application follows expert valuation </w:t>
      </w:r>
      <w:r w:rsidR="00280511">
        <w:rPr>
          <w:sz w:val="24"/>
        </w:rPr>
        <w:t>pursuant to</w:t>
      </w:r>
      <w:r w:rsidRPr="00362372">
        <w:rPr>
          <w:sz w:val="24"/>
        </w:rPr>
        <w:t xml:space="preserve"> the provisions of Article</w:t>
      </w:r>
      <w:r w:rsidR="00280511">
        <w:rPr>
          <w:sz w:val="24"/>
        </w:rPr>
        <w:t>s</w:t>
      </w:r>
      <w:r w:rsidRPr="00362372">
        <w:rPr>
          <w:sz w:val="24"/>
        </w:rPr>
        <w:t xml:space="preserve"> 141 through 150 of the PPL. </w:t>
      </w:r>
    </w:p>
    <w:p w14:paraId="2A88C73E" w14:textId="77777777" w:rsidR="00CA2FF2" w:rsidRPr="00362372" w:rsidRDefault="009327ED" w:rsidP="00CA2FF2">
      <w:pPr>
        <w:pStyle w:val="Heading4"/>
        <w:rPr>
          <w:rFonts w:asciiTheme="minorHAnsi" w:hAnsiTheme="minorHAnsi"/>
          <w:i/>
          <w:u w:val="single"/>
        </w:rPr>
      </w:pPr>
      <w:r w:rsidRPr="00362372">
        <w:rPr>
          <w:rStyle w:val="Strong"/>
          <w:rFonts w:asciiTheme="minorHAnsi" w:hAnsiTheme="minorHAnsi"/>
          <w:b/>
          <w:i/>
          <w:u w:val="single"/>
        </w:rPr>
        <w:t>Deciding on qualification</w:t>
      </w:r>
    </w:p>
    <w:p w14:paraId="5C5068C4" w14:textId="77777777" w:rsidR="00CA2FF2" w:rsidRPr="00362372" w:rsidRDefault="00EF422D" w:rsidP="00C33917">
      <w:pPr>
        <w:pStyle w:val="NormalWeb"/>
        <w:spacing w:line="276" w:lineRule="auto"/>
        <w:jc w:val="both"/>
        <w:rPr>
          <w:rFonts w:asciiTheme="minorHAnsi" w:hAnsiTheme="minorHAnsi"/>
        </w:rPr>
      </w:pPr>
      <w:r w:rsidRPr="00362372">
        <w:rPr>
          <w:rFonts w:asciiTheme="minorHAnsi" w:hAnsiTheme="minorHAnsi"/>
        </w:rPr>
        <w:t xml:space="preserve">Contracting entity makes decision on qualification and delivers it to the applicant </w:t>
      </w:r>
      <w:r w:rsidRPr="00362372">
        <w:rPr>
          <w:rStyle w:val="Strong"/>
          <w:rFonts w:asciiTheme="minorHAnsi" w:hAnsiTheme="minorHAnsi"/>
        </w:rPr>
        <w:t>no later than 6 months</w:t>
      </w:r>
      <w:r w:rsidRPr="00362372">
        <w:rPr>
          <w:rFonts w:asciiTheme="minorHAnsi" w:hAnsiTheme="minorHAnsi"/>
        </w:rPr>
        <w:t xml:space="preserve"> from the date the application was submitted.</w:t>
      </w:r>
      <w:r w:rsidRPr="00362372">
        <w:rPr>
          <w:rFonts w:ascii="Cambria" w:hAnsi="Cambria"/>
        </w:rPr>
        <w:t xml:space="preserve"> </w:t>
      </w:r>
      <w:r w:rsidRPr="00362372">
        <w:rPr>
          <w:rFonts w:asciiTheme="minorHAnsi" w:hAnsiTheme="minorHAnsi"/>
        </w:rPr>
        <w:t xml:space="preserve">This is the final deadline within </w:t>
      </w:r>
      <w:r w:rsidRPr="00362372">
        <w:rPr>
          <w:rFonts w:asciiTheme="minorHAnsi" w:hAnsiTheme="minorHAnsi"/>
        </w:rPr>
        <w:lastRenderedPageBreak/>
        <w:t>which decision must be delivered to the applicant, and decision itself should anyhow be taken in the shortest possible time.</w:t>
      </w:r>
    </w:p>
    <w:p w14:paraId="13D01FD7" w14:textId="75849661" w:rsidR="00853F90" w:rsidRPr="00362372" w:rsidRDefault="007466DD" w:rsidP="00C33917">
      <w:pPr>
        <w:tabs>
          <w:tab w:val="left" w:pos="720"/>
        </w:tabs>
        <w:suppressAutoHyphens/>
        <w:spacing w:before="100" w:beforeAutospacing="1" w:after="100" w:afterAutospacing="1" w:line="276" w:lineRule="auto"/>
        <w:jc w:val="both"/>
        <w:rPr>
          <w:rFonts w:eastAsia="Times New Roman" w:cs="Times New Roman"/>
          <w:kern w:val="0"/>
          <w:sz w:val="24"/>
          <w:szCs w:val="24"/>
          <w14:ligatures w14:val="none"/>
        </w:rPr>
      </w:pPr>
      <w:r w:rsidRPr="00362372">
        <w:rPr>
          <w:sz w:val="24"/>
        </w:rPr>
        <w:t>Where contracting entity deems that making decision on qualification will take longer than four months from the date of submission of application, it has to notify the applicant of the reasons</w:t>
      </w:r>
      <w:r w:rsidR="007C1CA3">
        <w:rPr>
          <w:sz w:val="24"/>
        </w:rPr>
        <w:t xml:space="preserve"> that</w:t>
      </w:r>
      <w:r w:rsidRPr="00362372">
        <w:rPr>
          <w:sz w:val="24"/>
        </w:rPr>
        <w:t xml:space="preserve"> justify this prolonged timeframe for deciding, within two months from the application date, as well as of the actual date by which it will decide of said requests</w:t>
      </w:r>
      <w:r w:rsidR="007C1CA3">
        <w:rPr>
          <w:sz w:val="24"/>
        </w:rPr>
        <w:t>;</w:t>
      </w:r>
      <w:r w:rsidRPr="00362372">
        <w:rPr>
          <w:sz w:val="24"/>
        </w:rPr>
        <w:t xml:space="preserve"> this other deadline cannot in any case be longer than six months </w:t>
      </w:r>
      <w:r w:rsidR="007C1CA3">
        <w:rPr>
          <w:sz w:val="24"/>
        </w:rPr>
        <w:t>from</w:t>
      </w:r>
      <w:r w:rsidRPr="00362372">
        <w:rPr>
          <w:sz w:val="24"/>
        </w:rPr>
        <w:t xml:space="preserve"> the date of the submission of application. Hence, in any event, the maximum deadline is six months since the opening of application, whereby, if contracting entity estimates this would take more than 4 months, it has to notify applicants thereon within 2 months since the opening.  </w:t>
      </w:r>
    </w:p>
    <w:p w14:paraId="32623F84" w14:textId="77777777" w:rsidR="00C33917" w:rsidRPr="00362372" w:rsidRDefault="00C33917" w:rsidP="00853F90">
      <w:pPr>
        <w:tabs>
          <w:tab w:val="left" w:pos="720"/>
        </w:tabs>
        <w:suppressAutoHyphens/>
        <w:spacing w:before="100" w:beforeAutospacing="1" w:after="100" w:afterAutospacing="1" w:line="276" w:lineRule="auto"/>
        <w:jc w:val="both"/>
      </w:pPr>
      <w:r w:rsidRPr="00362372">
        <w:t xml:space="preserve">This decision is not published, but instead delivered separately to each candidate through the Portal. </w:t>
      </w:r>
    </w:p>
    <w:p w14:paraId="7E2B7E92" w14:textId="77777777" w:rsidR="00CA2FF2" w:rsidRPr="00362372" w:rsidRDefault="00CA2FF2" w:rsidP="00CA2FF2">
      <w:pPr>
        <w:pStyle w:val="Heading4"/>
        <w:rPr>
          <w:rFonts w:asciiTheme="minorHAnsi" w:hAnsiTheme="minorHAnsi"/>
          <w:i/>
          <w:u w:val="single"/>
        </w:rPr>
      </w:pPr>
      <w:r w:rsidRPr="00362372">
        <w:rPr>
          <w:rStyle w:val="Strong"/>
          <w:rFonts w:asciiTheme="minorHAnsi" w:hAnsiTheme="minorHAnsi"/>
          <w:b/>
          <w:i/>
          <w:u w:val="single"/>
        </w:rPr>
        <w:t>Rejecting application</w:t>
      </w:r>
    </w:p>
    <w:p w14:paraId="65A39C26" w14:textId="77777777" w:rsidR="00CA2FF2" w:rsidRPr="00362372" w:rsidRDefault="00CA2FF2" w:rsidP="00D93D3F">
      <w:pPr>
        <w:pStyle w:val="NormalWeb"/>
        <w:spacing w:line="276" w:lineRule="auto"/>
        <w:jc w:val="both"/>
        <w:rPr>
          <w:rFonts w:asciiTheme="minorHAnsi" w:hAnsiTheme="minorHAnsi"/>
        </w:rPr>
      </w:pPr>
      <w:r w:rsidRPr="00362372">
        <w:rPr>
          <w:rFonts w:asciiTheme="minorHAnsi" w:hAnsiTheme="minorHAnsi"/>
        </w:rPr>
        <w:t xml:space="preserve">Decision on rejecting application for qualification must contain reasoning and be delivered to the applicant immediately, and no later than within </w:t>
      </w:r>
      <w:r w:rsidRPr="00362372">
        <w:rPr>
          <w:rFonts w:asciiTheme="minorHAnsi" w:hAnsiTheme="minorHAnsi"/>
          <w:b/>
        </w:rPr>
        <w:t>15 days</w:t>
      </w:r>
      <w:r w:rsidRPr="00362372">
        <w:rPr>
          <w:rFonts w:asciiTheme="minorHAnsi" w:hAnsiTheme="minorHAnsi"/>
        </w:rPr>
        <w:t xml:space="preserve"> from the day of decision.</w:t>
      </w:r>
    </w:p>
    <w:p w14:paraId="50AA5A69" w14:textId="77777777" w:rsidR="007466DD" w:rsidRPr="00362372" w:rsidRDefault="00CA2FF2" w:rsidP="005C4E01">
      <w:pPr>
        <w:pStyle w:val="NormalWeb"/>
        <w:spacing w:line="276" w:lineRule="auto"/>
        <w:jc w:val="both"/>
        <w:rPr>
          <w:rFonts w:asciiTheme="minorHAnsi" w:hAnsiTheme="minorHAnsi"/>
        </w:rPr>
      </w:pPr>
      <w:r w:rsidRPr="00362372">
        <w:rPr>
          <w:rFonts w:asciiTheme="minorHAnsi" w:hAnsiTheme="minorHAnsi"/>
        </w:rPr>
        <w:t>The reasons for rejection must be based on previously defined criteria for qualification (criteria and rules for qualitative selection of economic operator, and objective criteria and rules for functioning of the qualification system) determined by contracting entity pursuant to Article 69, Paragraphs 8 and 9 of the PPL.</w:t>
      </w:r>
    </w:p>
    <w:p w14:paraId="325B4A9B" w14:textId="6BA20A96" w:rsidR="00265A2D" w:rsidRPr="00362372" w:rsidRDefault="00D846F2" w:rsidP="005C4E01">
      <w:pPr>
        <w:pStyle w:val="NormalWeb"/>
        <w:spacing w:line="276" w:lineRule="auto"/>
        <w:jc w:val="both"/>
        <w:rPr>
          <w:rFonts w:asciiTheme="minorHAnsi" w:hAnsiTheme="minorHAnsi"/>
        </w:rPr>
      </w:pPr>
      <w:r w:rsidRPr="00362372">
        <w:rPr>
          <w:rFonts w:asciiTheme="minorHAnsi" w:hAnsiTheme="minorHAnsi"/>
        </w:rPr>
        <w:t xml:space="preserve">Upon expert evaluation of applications, and in order to make and deliver decision on qualification o decision on rejecting application for qualification, select option ‘Processes of procedure’ - </w:t>
      </w:r>
      <w:r w:rsidR="00362372" w:rsidRPr="00362372">
        <w:rPr>
          <w:rFonts w:asciiTheme="minorHAnsi" w:hAnsiTheme="minorHAnsi"/>
        </w:rPr>
        <w:t>‘Qualification</w:t>
      </w:r>
      <w:r w:rsidRPr="00362372">
        <w:rPr>
          <w:rFonts w:asciiTheme="minorHAnsi" w:hAnsiTheme="minorHAnsi"/>
        </w:rPr>
        <w:t xml:space="preserve"> of candidates’ on the procedure’s navigation line.</w:t>
      </w:r>
    </w:p>
    <w:p w14:paraId="3A557A9F" w14:textId="7A89F754" w:rsidR="00CA2FF2" w:rsidRPr="00362372" w:rsidRDefault="00C0716C" w:rsidP="007C1CA3">
      <w:pPr>
        <w:spacing w:before="100" w:beforeAutospacing="1" w:after="100" w:afterAutospacing="1" w:line="276" w:lineRule="auto"/>
        <w:jc w:val="center"/>
        <w:rPr>
          <w:sz w:val="24"/>
          <w:szCs w:val="24"/>
        </w:rPr>
      </w:pPr>
      <w:r w:rsidRPr="00362372">
        <w:rPr>
          <w:i/>
          <w:color w:val="1E25A0" w:themeColor="accent1" w:themeShade="BF"/>
          <w:sz w:val="24"/>
        </w:rPr>
        <w:t>Display on the Portal</w:t>
      </w:r>
      <w:r w:rsidR="00D846F2" w:rsidRPr="00362372">
        <w:rPr>
          <w:sz w:val="24"/>
        </w:rPr>
        <mc:AlternateContent>
          <mc:Choice Requires="wps">
            <w:drawing>
              <wp:anchor distT="0" distB="0" distL="114300" distR="114300" simplePos="0" relativeHeight="251680768" behindDoc="0" locked="0" layoutInCell="1" allowOverlap="1" wp14:anchorId="29310837" wp14:editId="39145236">
                <wp:simplePos x="0" y="0"/>
                <wp:positionH relativeFrom="column">
                  <wp:posOffset>628650</wp:posOffset>
                </wp:positionH>
                <wp:positionV relativeFrom="paragraph">
                  <wp:posOffset>1256030</wp:posOffset>
                </wp:positionV>
                <wp:extent cx="1530350" cy="257175"/>
                <wp:effectExtent l="19050" t="19050" r="12700" b="28575"/>
                <wp:wrapNone/>
                <wp:docPr id="1705129704" name="Rectangle 1705129704"/>
                <wp:cNvGraphicFramePr/>
                <a:graphic xmlns:a="http://schemas.openxmlformats.org/drawingml/2006/main">
                  <a:graphicData uri="http://schemas.microsoft.com/office/word/2010/wordprocessingShape">
                    <wps:wsp>
                      <wps:cNvSpPr/>
                      <wps:spPr>
                        <a:xfrm>
                          <a:off x="0" y="0"/>
                          <a:ext cx="1530350" cy="2571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CC034" id="Rectangle 1705129704" o:spid="_x0000_s1026" style="position:absolute;margin-left:49.5pt;margin-top:98.9pt;width:120.5pt;height:2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" filled="f" strokecolor="#c00000" strokeweight="3pt"/>
            </w:pict>
          </mc:Fallback>
        </mc:AlternateContent>
      </w:r>
      <w:r w:rsidR="00D846F2" w:rsidRPr="00362372">
        <w:rPr>
          <w:sz w:val="24"/>
        </w:rPr>
        <w:drawing>
          <wp:inline distT="0" distB="0" distL="0" distR="0" wp14:anchorId="13E68124" wp14:editId="4471F5C1">
            <wp:extent cx="5715000" cy="2914650"/>
            <wp:effectExtent l="0" t="0" r="0" b="0"/>
            <wp:docPr id="1705129703" name="Picture 17051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14:paraId="51E4A3C6" w14:textId="77777777" w:rsidR="00F1343E" w:rsidRPr="00362372" w:rsidRDefault="00F1343E" w:rsidP="00683735">
      <w:pPr>
        <w:spacing w:before="100" w:beforeAutospacing="1" w:after="100" w:afterAutospacing="1" w:line="276" w:lineRule="auto"/>
        <w:jc w:val="both"/>
        <w:rPr>
          <w:sz w:val="24"/>
          <w:szCs w:val="24"/>
        </w:rPr>
      </w:pPr>
    </w:p>
    <w:p w14:paraId="028B73D6" w14:textId="77777777" w:rsidR="00F1343E" w:rsidRPr="00362372" w:rsidRDefault="00F1343E" w:rsidP="00683735">
      <w:pPr>
        <w:spacing w:before="100" w:beforeAutospacing="1" w:after="100" w:afterAutospacing="1" w:line="276" w:lineRule="auto"/>
        <w:jc w:val="both"/>
        <w:rPr>
          <w:sz w:val="24"/>
          <w:szCs w:val="24"/>
        </w:rPr>
      </w:pPr>
    </w:p>
    <w:p w14:paraId="7C4DE96B" w14:textId="0CE18A79" w:rsidR="00D846F2" w:rsidRPr="00362372" w:rsidRDefault="00F1343E" w:rsidP="00683735">
      <w:pPr>
        <w:spacing w:before="100" w:beforeAutospacing="1" w:after="100" w:afterAutospacing="1" w:line="276" w:lineRule="auto"/>
        <w:jc w:val="both"/>
        <w:rPr>
          <w:sz w:val="24"/>
          <w:szCs w:val="24"/>
        </w:rPr>
      </w:pPr>
      <w:r w:rsidRPr="00362372">
        <w:rPr>
          <w:sz w:val="24"/>
        </w:rPr>
        <w:t xml:space="preserve">While working on the Portal, in the ‘Candidate qualification’ section, one can choose to either recognize, or decline to recognize, qualification. </w:t>
      </w:r>
    </w:p>
    <w:p w14:paraId="5400AEE6" w14:textId="0A258355" w:rsidR="00C0716C" w:rsidRPr="00362372"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39427F4D" w14:textId="77777777" w:rsidR="00D846F2" w:rsidRPr="00362372" w:rsidRDefault="00D846F2" w:rsidP="00F33BCD">
      <w:pPr>
        <w:spacing w:before="100" w:beforeAutospacing="1" w:after="100" w:afterAutospacing="1" w:line="240" w:lineRule="auto"/>
        <w:rPr>
          <w:b/>
          <w:sz w:val="24"/>
          <w:szCs w:val="24"/>
        </w:rPr>
      </w:pPr>
      <w:bookmarkStart w:id="11" w:name="_Hlk197238549"/>
      <w:r w:rsidRPr="00362372">
        <w:rPr>
          <w:b/>
          <w:sz w:val="24"/>
        </w:rPr>
        <w:drawing>
          <wp:inline distT="0" distB="0" distL="0" distR="0" wp14:anchorId="2B076B12" wp14:editId="56A36994">
            <wp:extent cx="5715000" cy="1314450"/>
            <wp:effectExtent l="0" t="0" r="0" b="0"/>
            <wp:docPr id="1705129705" name="Picture 17051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314450"/>
                    </a:xfrm>
                    <a:prstGeom prst="rect">
                      <a:avLst/>
                    </a:prstGeom>
                    <a:noFill/>
                    <a:ln>
                      <a:noFill/>
                    </a:ln>
                  </pic:spPr>
                </pic:pic>
              </a:graphicData>
            </a:graphic>
          </wp:inline>
        </w:drawing>
      </w:r>
    </w:p>
    <w:bookmarkEnd w:id="11"/>
    <w:p w14:paraId="471A8D55" w14:textId="77777777" w:rsidR="00D846F2" w:rsidRPr="00362372" w:rsidRDefault="00D846F2" w:rsidP="00E82CF6">
      <w:pPr>
        <w:spacing w:before="100" w:beforeAutospacing="1" w:after="100" w:afterAutospacing="1" w:line="276" w:lineRule="auto"/>
        <w:jc w:val="both"/>
        <w:rPr>
          <w:sz w:val="24"/>
          <w:szCs w:val="24"/>
        </w:rPr>
      </w:pPr>
      <w:r w:rsidRPr="00362372">
        <w:rPr>
          <w:sz w:val="24"/>
        </w:rPr>
        <w:t>In addition, since the applicant may submit a new, updated application sometime after the submission of the initial one but before the procurer’s decision (a period that can take up to 6 months, as already stated), in this case contracting entity would mark the button ‘</w:t>
      </w:r>
      <w:bookmarkStart w:id="12" w:name="_Hlk197238751"/>
      <w:r w:rsidRPr="00362372">
        <w:rPr>
          <w:sz w:val="24"/>
        </w:rPr>
        <w:t>Application is NOT considered any longer (an updated application has been received)</w:t>
      </w:r>
      <w:bookmarkEnd w:id="12"/>
      <w:r w:rsidRPr="00362372">
        <w:rPr>
          <w:sz w:val="24"/>
        </w:rPr>
        <w:t>.</w:t>
      </w:r>
    </w:p>
    <w:p w14:paraId="60ACBFFB" w14:textId="77777777" w:rsidR="00683735" w:rsidRPr="00362372"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5E4DF2AC" w14:textId="77777777" w:rsidR="00D846F2" w:rsidRPr="00362372" w:rsidRDefault="005C4E01" w:rsidP="00F33BCD">
      <w:pPr>
        <w:spacing w:before="100" w:beforeAutospacing="1" w:after="100" w:afterAutospacing="1" w:line="240" w:lineRule="auto"/>
        <w:rPr>
          <w:sz w:val="24"/>
          <w:szCs w:val="24"/>
        </w:rPr>
      </w:pPr>
      <w:r w:rsidRPr="00362372">
        <w:rPr>
          <w:sz w:val="24"/>
        </w:rPr>
        <mc:AlternateContent>
          <mc:Choice Requires="wps">
            <w:drawing>
              <wp:anchor distT="0" distB="0" distL="114300" distR="114300" simplePos="0" relativeHeight="251721728" behindDoc="0" locked="0" layoutInCell="1" allowOverlap="1" wp14:anchorId="56163D03" wp14:editId="2E2F8BA9">
                <wp:simplePos x="0" y="0"/>
                <wp:positionH relativeFrom="margin">
                  <wp:posOffset>152400</wp:posOffset>
                </wp:positionH>
                <wp:positionV relativeFrom="paragraph">
                  <wp:posOffset>1028700</wp:posOffset>
                </wp:positionV>
                <wp:extent cx="276225" cy="19050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276225" cy="190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3348" id="Rectangle 16" o:spid="_x0000_s1026" style="position:absolute;margin-left:12pt;margin-top:81pt;width:21.75pt;height: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" filled="f" strokecolor="#c00000" strokeweight="3pt">
                <w10:wrap anchorx="margin"/>
              </v:rect>
            </w:pict>
          </mc:Fallback>
        </mc:AlternateContent>
      </w:r>
      <w:r w:rsidRPr="00362372">
        <w:rPr>
          <w:sz w:val="24"/>
        </w:rPr>
        <w:drawing>
          <wp:inline distT="0" distB="0" distL="0" distR="0" wp14:anchorId="710D97A0" wp14:editId="2BE91E52">
            <wp:extent cx="5460280" cy="1412246"/>
            <wp:effectExtent l="0" t="0" r="7620" b="0"/>
            <wp:docPr id="1705129706" name="Picture 17051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318" cy="1415877"/>
                    </a:xfrm>
                    <a:prstGeom prst="rect">
                      <a:avLst/>
                    </a:prstGeom>
                    <a:noFill/>
                    <a:ln>
                      <a:noFill/>
                    </a:ln>
                  </pic:spPr>
                </pic:pic>
              </a:graphicData>
            </a:graphic>
          </wp:inline>
        </w:drawing>
      </w:r>
    </w:p>
    <w:p w14:paraId="6F639F4D" w14:textId="08813B37" w:rsidR="0094732D" w:rsidRPr="00362372" w:rsidRDefault="0094732D" w:rsidP="00C47576">
      <w:pPr>
        <w:spacing w:before="100" w:beforeAutospacing="1" w:after="100" w:afterAutospacing="1" w:line="240" w:lineRule="auto"/>
        <w:jc w:val="both"/>
        <w:rPr>
          <w:sz w:val="24"/>
          <w:szCs w:val="24"/>
        </w:rPr>
      </w:pPr>
      <w:r w:rsidRPr="00362372">
        <w:rPr>
          <w:sz w:val="24"/>
        </w:rPr>
        <w:t xml:space="preserve">Lastly, upload the previously prepared document: Decision on qualification, or Decision on rejecting application for qualification, and </w:t>
      </w:r>
      <w:r w:rsidR="0031755C">
        <w:rPr>
          <w:sz w:val="24"/>
        </w:rPr>
        <w:t>then</w:t>
      </w:r>
      <w:r w:rsidRPr="00362372">
        <w:rPr>
          <w:sz w:val="24"/>
        </w:rPr>
        <w:t xml:space="preserve"> </w:t>
      </w:r>
      <w:r w:rsidR="0031755C">
        <w:rPr>
          <w:sz w:val="24"/>
        </w:rPr>
        <w:t xml:space="preserve">it </w:t>
      </w:r>
      <w:r w:rsidRPr="00362372">
        <w:rPr>
          <w:sz w:val="24"/>
        </w:rPr>
        <w:t xml:space="preserve">is delivered to each applicant </w:t>
      </w:r>
      <w:r w:rsidR="0031755C">
        <w:rPr>
          <w:sz w:val="24"/>
        </w:rPr>
        <w:t>separately</w:t>
      </w:r>
      <w:r w:rsidRPr="00362372">
        <w:rPr>
          <w:sz w:val="24"/>
        </w:rPr>
        <w:t xml:space="preserve">. </w:t>
      </w:r>
    </w:p>
    <w:p w14:paraId="380C4094" w14:textId="2E2E6CBA" w:rsidR="0076191E" w:rsidRPr="00362372" w:rsidRDefault="0076191E" w:rsidP="00D25B43">
      <w:pPr>
        <w:pStyle w:val="Heading2"/>
        <w:rPr>
          <w:b/>
          <w:color w:val="00B050"/>
          <w:sz w:val="40"/>
          <w:szCs w:val="40"/>
        </w:rPr>
      </w:pPr>
      <w:bookmarkStart w:id="13" w:name="_Toc197193684"/>
      <w:r w:rsidRPr="00362372">
        <w:rPr>
          <w:b/>
          <w:color w:val="00B050"/>
          <w:sz w:val="40"/>
        </w:rPr>
        <w:t xml:space="preserve">Record </w:t>
      </w:r>
      <w:r w:rsidR="006361CA" w:rsidRPr="00362372">
        <w:rPr>
          <w:b/>
          <w:color w:val="00B050"/>
          <w:sz w:val="40"/>
        </w:rPr>
        <w:t>K</w:t>
      </w:r>
      <w:r w:rsidRPr="00362372">
        <w:rPr>
          <w:b/>
          <w:color w:val="00B050"/>
          <w:sz w:val="40"/>
        </w:rPr>
        <w:t>eeping</w:t>
      </w:r>
      <w:r w:rsidR="006361CA" w:rsidRPr="00362372">
        <w:rPr>
          <w:b/>
          <w:color w:val="00B050"/>
          <w:sz w:val="40"/>
        </w:rPr>
        <w:t>,</w:t>
      </w:r>
      <w:r w:rsidRPr="00362372">
        <w:rPr>
          <w:b/>
          <w:color w:val="00B050"/>
          <w:sz w:val="40"/>
        </w:rPr>
        <w:t xml:space="preserve"> and </w:t>
      </w:r>
      <w:r w:rsidR="006361CA" w:rsidRPr="00362372">
        <w:rPr>
          <w:b/>
          <w:color w:val="00B050"/>
          <w:sz w:val="40"/>
        </w:rPr>
        <w:t>E</w:t>
      </w:r>
      <w:r w:rsidRPr="00362372">
        <w:rPr>
          <w:b/>
          <w:color w:val="00B050"/>
          <w:sz w:val="40"/>
        </w:rPr>
        <w:t xml:space="preserve">xclusion of </w:t>
      </w:r>
      <w:r w:rsidR="006361CA" w:rsidRPr="00362372">
        <w:rPr>
          <w:b/>
          <w:color w:val="00B050"/>
          <w:sz w:val="40"/>
        </w:rPr>
        <w:t>C</w:t>
      </w:r>
      <w:r w:rsidRPr="00362372">
        <w:rPr>
          <w:b/>
          <w:color w:val="00B050"/>
          <w:sz w:val="40"/>
        </w:rPr>
        <w:t xml:space="preserve">andidates from the </w:t>
      </w:r>
      <w:r w:rsidR="006361CA" w:rsidRPr="00362372">
        <w:rPr>
          <w:b/>
          <w:color w:val="00B050"/>
          <w:sz w:val="40"/>
        </w:rPr>
        <w:t>Q</w:t>
      </w:r>
      <w:r w:rsidRPr="00362372">
        <w:rPr>
          <w:b/>
          <w:color w:val="00B050"/>
          <w:sz w:val="40"/>
        </w:rPr>
        <w:t xml:space="preserve">ualification </w:t>
      </w:r>
      <w:r w:rsidR="006361CA" w:rsidRPr="00362372">
        <w:rPr>
          <w:b/>
          <w:color w:val="00B050"/>
          <w:sz w:val="40"/>
        </w:rPr>
        <w:t>S</w:t>
      </w:r>
      <w:r w:rsidRPr="00362372">
        <w:rPr>
          <w:b/>
          <w:color w:val="00B050"/>
          <w:sz w:val="40"/>
        </w:rPr>
        <w:t>ystem</w:t>
      </w:r>
      <w:bookmarkEnd w:id="13"/>
    </w:p>
    <w:p w14:paraId="49163FBD" w14:textId="77777777" w:rsidR="002A4A93" w:rsidRPr="00362372" w:rsidRDefault="002A4A93" w:rsidP="002A4A93"/>
    <w:p w14:paraId="7598048F" w14:textId="77777777" w:rsidR="00D03295" w:rsidRPr="00362372" w:rsidRDefault="00D03295" w:rsidP="0076191E">
      <w:pPr>
        <w:rPr>
          <w:rStyle w:val="Strong"/>
          <w:bCs w:val="0"/>
          <w:i/>
          <w:sz w:val="24"/>
          <w:szCs w:val="24"/>
          <w:u w:val="single"/>
        </w:rPr>
      </w:pPr>
      <w:r w:rsidRPr="00362372">
        <w:rPr>
          <w:rStyle w:val="Strong"/>
          <w:i/>
          <w:sz w:val="24"/>
          <w:u w:val="single"/>
        </w:rPr>
        <w:t>Records of qualified economic operators</w:t>
      </w:r>
    </w:p>
    <w:p w14:paraId="63F3C60D" w14:textId="1DBB1071" w:rsidR="00BA0AEF" w:rsidRPr="00362372" w:rsidRDefault="00BA0AEF" w:rsidP="00683735">
      <w:pPr>
        <w:pStyle w:val="NormalWeb"/>
        <w:spacing w:line="276" w:lineRule="auto"/>
        <w:jc w:val="both"/>
        <w:rPr>
          <w:rFonts w:asciiTheme="minorHAnsi" w:hAnsiTheme="minorHAnsi"/>
        </w:rPr>
      </w:pPr>
      <w:r w:rsidRPr="00362372">
        <w:rPr>
          <w:rFonts w:asciiTheme="minorHAnsi" w:hAnsiTheme="minorHAnsi"/>
        </w:rPr>
        <w:t xml:space="preserve">Contracting entity keeps written records of qualified economic operators. The records may be sorted into categories by type of contracts for which economic operators qualify. </w:t>
      </w:r>
    </w:p>
    <w:p w14:paraId="1A01D457" w14:textId="77777777" w:rsidR="00BA0AEF" w:rsidRPr="00362372" w:rsidRDefault="00BA0AEF" w:rsidP="00D93D3F">
      <w:pPr>
        <w:rPr>
          <w:b/>
          <w:sz w:val="24"/>
          <w:szCs w:val="24"/>
          <w:u w:val="single"/>
        </w:rPr>
      </w:pPr>
      <w:r w:rsidRPr="00362372">
        <w:rPr>
          <w:b/>
          <w:sz w:val="24"/>
          <w:u w:val="single"/>
        </w:rPr>
        <w:lastRenderedPageBreak/>
        <w:t>Exclusion from the system</w:t>
      </w:r>
    </w:p>
    <w:p w14:paraId="533BCB7F" w14:textId="50D497AD" w:rsidR="00BA0AEF" w:rsidRPr="00362372" w:rsidRDefault="00922A4A" w:rsidP="00683735">
      <w:pPr>
        <w:tabs>
          <w:tab w:val="left" w:pos="720"/>
        </w:tabs>
        <w:suppressAutoHyphens/>
        <w:spacing w:before="100" w:beforeAutospacing="1" w:after="100" w:afterAutospacing="1" w:line="276" w:lineRule="auto"/>
        <w:jc w:val="both"/>
      </w:pPr>
      <w:r w:rsidRPr="00362372">
        <w:rPr>
          <w:sz w:val="24"/>
        </w:rPr>
        <w:t xml:space="preserve">Throughout the qualification system duration, contracting entity may exclude a candidate from the system, if it no longer meets the qualification requirements. Even though it reads that, in this case, contracting entity may exclude a candidate, this should not be an alternative, but rather a candidate which ceases to </w:t>
      </w:r>
      <w:r w:rsidR="00362372" w:rsidRPr="00362372">
        <w:rPr>
          <w:sz w:val="24"/>
        </w:rPr>
        <w:t>meet qualification</w:t>
      </w:r>
      <w:r w:rsidRPr="00362372">
        <w:rPr>
          <w:sz w:val="24"/>
        </w:rPr>
        <w:t xml:space="preserve"> requirements should be excluded.  </w:t>
      </w:r>
    </w:p>
    <w:p w14:paraId="37FAA253" w14:textId="3DEF5D30" w:rsidR="00922A4A" w:rsidRPr="00362372" w:rsidRDefault="00922A4A" w:rsidP="00683735">
      <w:pPr>
        <w:pStyle w:val="NormalWeb"/>
        <w:spacing w:line="276" w:lineRule="auto"/>
        <w:jc w:val="both"/>
        <w:rPr>
          <w:rFonts w:asciiTheme="minorHAnsi" w:hAnsiTheme="minorHAnsi"/>
        </w:rPr>
      </w:pPr>
      <w:r w:rsidRPr="00362372">
        <w:rPr>
          <w:rFonts w:asciiTheme="minorHAnsi" w:hAnsiTheme="minorHAnsi"/>
        </w:rPr>
        <w:t xml:space="preserve">In this case, decision on exclusion must be delivered to the candidate it excludes no later than </w:t>
      </w:r>
      <w:r w:rsidRPr="00362372">
        <w:rPr>
          <w:rStyle w:val="Strong"/>
          <w:rFonts w:asciiTheme="minorHAnsi" w:hAnsiTheme="minorHAnsi"/>
        </w:rPr>
        <w:t>15 days</w:t>
      </w:r>
      <w:r w:rsidRPr="00362372">
        <w:rPr>
          <w:rFonts w:asciiTheme="minorHAnsi" w:hAnsiTheme="minorHAnsi"/>
        </w:rPr>
        <w:t xml:space="preserve"> before the qualification ending day, with the reasoning that justifies the exclusion. Th</w:t>
      </w:r>
      <w:r w:rsidR="009C5D35">
        <w:rPr>
          <w:rFonts w:asciiTheme="minorHAnsi" w:hAnsiTheme="minorHAnsi"/>
        </w:rPr>
        <w:t xml:space="preserve">e </w:t>
      </w:r>
      <w:r w:rsidRPr="00362372">
        <w:rPr>
          <w:rFonts w:asciiTheme="minorHAnsi" w:hAnsiTheme="minorHAnsi"/>
        </w:rPr>
        <w:t xml:space="preserve">decision should specify the date the candidate’s qualification ends, </w:t>
      </w:r>
      <w:r w:rsidR="009C5D35">
        <w:rPr>
          <w:rFonts w:asciiTheme="minorHAnsi" w:hAnsiTheme="minorHAnsi"/>
        </w:rPr>
        <w:t>and</w:t>
      </w:r>
      <w:r w:rsidRPr="00362372">
        <w:rPr>
          <w:rFonts w:asciiTheme="minorHAnsi" w:hAnsiTheme="minorHAnsi"/>
        </w:rPr>
        <w:t xml:space="preserve"> decision itself must be served at least 15 days before the </w:t>
      </w:r>
      <w:r w:rsidR="009C5D35" w:rsidRPr="00362372">
        <w:rPr>
          <w:rFonts w:asciiTheme="minorHAnsi" w:hAnsiTheme="minorHAnsi"/>
        </w:rPr>
        <w:t xml:space="preserve">termination </w:t>
      </w:r>
      <w:r w:rsidRPr="00362372">
        <w:rPr>
          <w:rFonts w:asciiTheme="minorHAnsi" w:hAnsiTheme="minorHAnsi"/>
        </w:rPr>
        <w:t xml:space="preserve">date of qualification specified therein.   </w:t>
      </w:r>
    </w:p>
    <w:p w14:paraId="2532262B" w14:textId="26AAFDFE" w:rsidR="00275B5E" w:rsidRPr="00362372" w:rsidRDefault="00275B5E" w:rsidP="00683735">
      <w:pPr>
        <w:pStyle w:val="NormalWeb"/>
        <w:spacing w:line="276" w:lineRule="auto"/>
        <w:jc w:val="both"/>
        <w:rPr>
          <w:rFonts w:asciiTheme="minorHAnsi" w:hAnsiTheme="minorHAnsi"/>
        </w:rPr>
      </w:pPr>
      <w:r w:rsidRPr="00362372">
        <w:rPr>
          <w:rFonts w:asciiTheme="minorHAnsi" w:hAnsiTheme="minorHAnsi"/>
        </w:rPr>
        <w:t xml:space="preserve">Exclusion is </w:t>
      </w:r>
      <w:r w:rsidR="0031755C">
        <w:rPr>
          <w:rFonts w:asciiTheme="minorHAnsi" w:hAnsiTheme="minorHAnsi"/>
        </w:rPr>
        <w:t>executed</w:t>
      </w:r>
      <w:r w:rsidRPr="00362372">
        <w:rPr>
          <w:rFonts w:asciiTheme="minorHAnsi" w:hAnsiTheme="minorHAnsi"/>
        </w:rPr>
        <w:t xml:space="preserve"> by new expert valuation of application on the Portal (section ‘expert valuation of applications’)</w:t>
      </w:r>
      <w:r w:rsidR="0031755C">
        <w:rPr>
          <w:rFonts w:asciiTheme="minorHAnsi" w:hAnsiTheme="minorHAnsi"/>
        </w:rPr>
        <w:t>,</w:t>
      </w:r>
      <w:r w:rsidRPr="00362372">
        <w:rPr>
          <w:rFonts w:asciiTheme="minorHAnsi" w:hAnsiTheme="minorHAnsi"/>
        </w:rPr>
        <w:t xml:space="preserve"> by taking and uploading </w:t>
      </w:r>
      <w:r w:rsidR="0031755C" w:rsidRPr="00362372">
        <w:rPr>
          <w:rFonts w:asciiTheme="minorHAnsi" w:hAnsiTheme="minorHAnsi"/>
        </w:rPr>
        <w:t xml:space="preserve">decision on exclusion </w:t>
      </w:r>
      <w:r w:rsidRPr="00362372">
        <w:rPr>
          <w:rFonts w:asciiTheme="minorHAnsi" w:hAnsiTheme="minorHAnsi"/>
        </w:rPr>
        <w:t xml:space="preserve">on the Portal (section ‘Candidate qualification’), </w:t>
      </w:r>
      <w:r w:rsidR="0031755C">
        <w:rPr>
          <w:rFonts w:asciiTheme="minorHAnsi" w:hAnsiTheme="minorHAnsi"/>
        </w:rPr>
        <w:t>thus</w:t>
      </w:r>
      <w:r w:rsidRPr="00362372">
        <w:rPr>
          <w:rFonts w:asciiTheme="minorHAnsi" w:hAnsiTheme="minorHAnsi"/>
        </w:rPr>
        <w:t xml:space="preserve"> deliver</w:t>
      </w:r>
      <w:r w:rsidR="0031755C">
        <w:rPr>
          <w:rFonts w:asciiTheme="minorHAnsi" w:hAnsiTheme="minorHAnsi"/>
        </w:rPr>
        <w:t>ing</w:t>
      </w:r>
      <w:r w:rsidR="009C5D35">
        <w:rPr>
          <w:rFonts w:asciiTheme="minorHAnsi" w:hAnsiTheme="minorHAnsi"/>
        </w:rPr>
        <w:t xml:space="preserve"> it</w:t>
      </w:r>
      <w:r w:rsidRPr="00362372">
        <w:rPr>
          <w:rFonts w:asciiTheme="minorHAnsi" w:hAnsiTheme="minorHAnsi"/>
        </w:rPr>
        <w:t xml:space="preserve"> to the excluded candidate </w:t>
      </w:r>
      <w:r w:rsidR="009C5D35">
        <w:rPr>
          <w:rFonts w:asciiTheme="minorHAnsi" w:hAnsiTheme="minorHAnsi"/>
        </w:rPr>
        <w:t>on</w:t>
      </w:r>
      <w:r w:rsidRPr="00362372">
        <w:rPr>
          <w:rFonts w:asciiTheme="minorHAnsi" w:hAnsiTheme="minorHAnsi"/>
        </w:rPr>
        <w:t xml:space="preserve"> the Portal.</w:t>
      </w:r>
    </w:p>
    <w:tbl>
      <w:tblPr>
        <w:tblStyle w:val="TableGrid"/>
        <w:tblW w:w="0" w:type="auto"/>
        <w:tblLook w:val="04A0" w:firstRow="1" w:lastRow="0" w:firstColumn="1" w:lastColumn="0" w:noHBand="0" w:noVBand="1"/>
      </w:tblPr>
      <w:tblGrid>
        <w:gridCol w:w="9016"/>
      </w:tblGrid>
      <w:tr w:rsidR="00AB575A" w:rsidRPr="00362372" w14:paraId="5D415422" w14:textId="77777777" w:rsidTr="00AB575A">
        <w:tc>
          <w:tcPr>
            <w:tcW w:w="9016" w:type="dxa"/>
            <w:shd w:val="clear" w:color="auto" w:fill="C9E1B9" w:themeFill="accent5" w:themeFillShade="E6"/>
          </w:tcPr>
          <w:p w14:paraId="0FEEF533" w14:textId="2D64FFD9" w:rsidR="00AB575A" w:rsidRPr="00362372" w:rsidRDefault="00AB575A" w:rsidP="00AB575A">
            <w:pPr>
              <w:spacing w:before="100" w:beforeAutospacing="1" w:after="100" w:afterAutospacing="1" w:line="276" w:lineRule="auto"/>
              <w:jc w:val="both"/>
              <w:rPr>
                <w:rFonts w:cstheme="minorHAnsi"/>
                <w:sz w:val="24"/>
                <w:szCs w:val="24"/>
                <w:highlight w:val="yellow"/>
              </w:rPr>
            </w:pPr>
            <w:r w:rsidRPr="00362372">
              <w:rPr>
                <w:b/>
                <w:sz w:val="24"/>
              </w:rPr>
              <w:t>Note:</w:t>
            </w:r>
            <w:r w:rsidRPr="00362372">
              <w:rPr>
                <w:sz w:val="24"/>
              </w:rPr>
              <w:t xml:space="preserve"> The PPL prescribes that contracting entity </w:t>
            </w:r>
            <w:r w:rsidR="009C5D35">
              <w:rPr>
                <w:sz w:val="24"/>
              </w:rPr>
              <w:t>has</w:t>
            </w:r>
            <w:r w:rsidRPr="00362372">
              <w:rPr>
                <w:sz w:val="24"/>
              </w:rPr>
              <w:t xml:space="preserve"> to notify interested economic operators on the qualification systems of other contracting entities, where the former finds that such system meets the latter’s requirements.</w:t>
            </w:r>
          </w:p>
        </w:tc>
      </w:tr>
    </w:tbl>
    <w:p w14:paraId="2E457571" w14:textId="77777777" w:rsidR="00AB575A" w:rsidRPr="00362372" w:rsidRDefault="00AB575A" w:rsidP="00D25B43">
      <w:pPr>
        <w:pStyle w:val="Heading2"/>
        <w:rPr>
          <w:b/>
          <w:color w:val="00B050"/>
          <w:sz w:val="16"/>
          <w:szCs w:val="16"/>
        </w:rPr>
      </w:pPr>
    </w:p>
    <w:p w14:paraId="39B748C4" w14:textId="37988678" w:rsidR="00D75A7C" w:rsidRPr="00362372" w:rsidRDefault="0076191E" w:rsidP="00D25B43">
      <w:pPr>
        <w:pStyle w:val="Heading2"/>
        <w:rPr>
          <w:b/>
          <w:color w:val="00B050"/>
          <w:sz w:val="40"/>
          <w:szCs w:val="40"/>
        </w:rPr>
      </w:pPr>
      <w:bookmarkStart w:id="14" w:name="_Toc197193685"/>
      <w:r w:rsidRPr="00362372">
        <w:rPr>
          <w:b/>
          <w:color w:val="00B050"/>
          <w:sz w:val="40"/>
        </w:rPr>
        <w:t xml:space="preserve">Procedure for </w:t>
      </w:r>
      <w:r w:rsidR="006361CA" w:rsidRPr="00362372">
        <w:rPr>
          <w:b/>
          <w:color w:val="00B050"/>
          <w:sz w:val="40"/>
        </w:rPr>
        <w:t>A</w:t>
      </w:r>
      <w:r w:rsidRPr="00362372">
        <w:rPr>
          <w:b/>
          <w:color w:val="00B050"/>
          <w:sz w:val="40"/>
        </w:rPr>
        <w:t xml:space="preserve">warding </w:t>
      </w:r>
      <w:r w:rsidR="006361CA" w:rsidRPr="00362372">
        <w:rPr>
          <w:b/>
          <w:color w:val="00B050"/>
          <w:sz w:val="40"/>
        </w:rPr>
        <w:t>C</w:t>
      </w:r>
      <w:r w:rsidRPr="00362372">
        <w:rPr>
          <w:b/>
          <w:color w:val="00B050"/>
          <w:sz w:val="40"/>
        </w:rPr>
        <w:t>ontract</w:t>
      </w:r>
      <w:bookmarkEnd w:id="14"/>
    </w:p>
    <w:p w14:paraId="476F6371" w14:textId="16B805DF" w:rsidR="00D75A7C" w:rsidRPr="00362372" w:rsidRDefault="00D03295" w:rsidP="002F65DA">
      <w:pPr>
        <w:pStyle w:val="NormalWeb"/>
        <w:spacing w:before="0" w:beforeAutospacing="0" w:after="0" w:afterAutospacing="0"/>
        <w:jc w:val="both"/>
        <w:rPr>
          <w:rFonts w:asciiTheme="minorHAnsi" w:hAnsiTheme="minorHAnsi"/>
        </w:rPr>
      </w:pPr>
      <w:r w:rsidRPr="00362372">
        <w:rPr>
          <w:rFonts w:asciiTheme="minorHAnsi" w:hAnsiTheme="minorHAnsi"/>
        </w:rPr>
        <w:t>As previously stated, where notice on existence of a system is used as a public call, contracts will be awarded by applying the rules for the second phase of:</w:t>
      </w:r>
    </w:p>
    <w:p w14:paraId="1746B088" w14:textId="77777777" w:rsidR="00D75A7C" w:rsidRPr="00362372" w:rsidRDefault="00D03295" w:rsidP="002F65DA">
      <w:pPr>
        <w:pStyle w:val="NormalWeb"/>
        <w:numPr>
          <w:ilvl w:val="1"/>
          <w:numId w:val="2"/>
        </w:numPr>
        <w:spacing w:before="0" w:beforeAutospacing="0" w:after="0" w:afterAutospacing="0"/>
        <w:rPr>
          <w:rFonts w:asciiTheme="minorHAnsi" w:hAnsiTheme="minorHAnsi"/>
        </w:rPr>
      </w:pPr>
      <w:r w:rsidRPr="00362372">
        <w:rPr>
          <w:rFonts w:asciiTheme="minorHAnsi" w:hAnsiTheme="minorHAnsi"/>
        </w:rPr>
        <w:t>Restricted procedure</w:t>
      </w:r>
    </w:p>
    <w:p w14:paraId="0DEF1A04" w14:textId="77777777" w:rsidR="00D75A7C" w:rsidRPr="00362372" w:rsidRDefault="00D75A7C" w:rsidP="00683735">
      <w:pPr>
        <w:pStyle w:val="NormalWeb"/>
        <w:numPr>
          <w:ilvl w:val="1"/>
          <w:numId w:val="2"/>
        </w:numPr>
        <w:spacing w:line="276" w:lineRule="auto"/>
        <w:rPr>
          <w:rFonts w:asciiTheme="minorHAnsi" w:hAnsiTheme="minorHAnsi"/>
        </w:rPr>
      </w:pPr>
      <w:r w:rsidRPr="00362372">
        <w:rPr>
          <w:rFonts w:asciiTheme="minorHAnsi" w:hAnsiTheme="minorHAnsi"/>
        </w:rPr>
        <w:t>Negotiated procedure with prior publication</w:t>
      </w:r>
    </w:p>
    <w:p w14:paraId="28C5BF4E" w14:textId="77777777" w:rsidR="00D75A7C" w:rsidRPr="00362372" w:rsidRDefault="00D75A7C" w:rsidP="00683735">
      <w:pPr>
        <w:pStyle w:val="NormalWeb"/>
        <w:numPr>
          <w:ilvl w:val="1"/>
          <w:numId w:val="2"/>
        </w:numPr>
        <w:spacing w:line="276" w:lineRule="auto"/>
        <w:rPr>
          <w:rFonts w:asciiTheme="minorHAnsi" w:hAnsiTheme="minorHAnsi"/>
        </w:rPr>
      </w:pPr>
      <w:r w:rsidRPr="00362372">
        <w:rPr>
          <w:rFonts w:asciiTheme="minorHAnsi" w:hAnsiTheme="minorHAnsi"/>
        </w:rPr>
        <w:t>Competitive dialog</w:t>
      </w:r>
    </w:p>
    <w:p w14:paraId="4548E17C" w14:textId="77777777" w:rsidR="00D75A7C" w:rsidRPr="00362372" w:rsidRDefault="00D75A7C" w:rsidP="00683735">
      <w:pPr>
        <w:pStyle w:val="NormalWeb"/>
        <w:numPr>
          <w:ilvl w:val="1"/>
          <w:numId w:val="2"/>
        </w:numPr>
        <w:spacing w:line="276" w:lineRule="auto"/>
        <w:rPr>
          <w:rFonts w:asciiTheme="minorHAnsi" w:hAnsiTheme="minorHAnsi"/>
        </w:rPr>
      </w:pPr>
      <w:r w:rsidRPr="00362372">
        <w:rPr>
          <w:rFonts w:asciiTheme="minorHAnsi" w:hAnsiTheme="minorHAnsi"/>
        </w:rPr>
        <w:t>Innovation partnership</w:t>
      </w:r>
    </w:p>
    <w:p w14:paraId="17FF3D32" w14:textId="23D20B18" w:rsidR="002F0E22" w:rsidRPr="00362372" w:rsidRDefault="00AB575A" w:rsidP="00683735">
      <w:pPr>
        <w:pStyle w:val="NormalWeb"/>
        <w:spacing w:line="276" w:lineRule="auto"/>
        <w:jc w:val="both"/>
        <w:rPr>
          <w:rFonts w:asciiTheme="minorHAnsi" w:hAnsiTheme="minorHAnsi"/>
        </w:rPr>
      </w:pPr>
      <w:r w:rsidRPr="00362372">
        <w:rPr>
          <w:rFonts w:asciiTheme="minorHAnsi" w:hAnsiTheme="minorHAnsi"/>
        </w:rPr>
        <w:t xml:space="preserve">Procurer does not have to opt for one of the above procedures at the point of establishing a qualification system; it may choose any of those </w:t>
      </w:r>
      <w:r w:rsidR="009C5D35">
        <w:rPr>
          <w:rFonts w:asciiTheme="minorHAnsi" w:hAnsiTheme="minorHAnsi"/>
        </w:rPr>
        <w:t>when</w:t>
      </w:r>
      <w:r w:rsidRPr="00362372">
        <w:rPr>
          <w:rFonts w:asciiTheme="minorHAnsi" w:hAnsiTheme="minorHAnsi"/>
        </w:rPr>
        <w:t xml:space="preserve"> initiating </w:t>
      </w:r>
      <w:r w:rsidR="009C5D35" w:rsidRPr="00362372">
        <w:rPr>
          <w:rFonts w:asciiTheme="minorHAnsi" w:hAnsiTheme="minorHAnsi"/>
        </w:rPr>
        <w:t xml:space="preserve">procedure </w:t>
      </w:r>
      <w:r w:rsidR="009C5D35">
        <w:rPr>
          <w:rFonts w:asciiTheme="minorHAnsi" w:hAnsiTheme="minorHAnsi"/>
        </w:rPr>
        <w:t xml:space="preserve">for </w:t>
      </w:r>
      <w:r w:rsidR="009C5D35" w:rsidRPr="00362372">
        <w:rPr>
          <w:rFonts w:asciiTheme="minorHAnsi" w:hAnsiTheme="minorHAnsi"/>
        </w:rPr>
        <w:t xml:space="preserve">awarding </w:t>
      </w:r>
      <w:r w:rsidRPr="00362372">
        <w:rPr>
          <w:rFonts w:asciiTheme="minorHAnsi" w:hAnsiTheme="minorHAnsi"/>
        </w:rPr>
        <w:t>the contract for which it is going to use the established qualification system, according to the rules of this particular system. The drafting of the call for tenders and related tender document</w:t>
      </w:r>
      <w:r w:rsidR="009C5D35">
        <w:rPr>
          <w:rFonts w:asciiTheme="minorHAnsi" w:hAnsiTheme="minorHAnsi"/>
        </w:rPr>
        <w:t>s</w:t>
      </w:r>
      <w:r w:rsidRPr="00362372">
        <w:rPr>
          <w:rFonts w:asciiTheme="minorHAnsi" w:hAnsiTheme="minorHAnsi"/>
        </w:rPr>
        <w:t xml:space="preserve"> has to comply with the rules of the above procedures, in accordance with the PPL and the Regulation on the contents of tender documentation in public procurement procedures</w:t>
      </w:r>
      <w:r w:rsidR="002F0E22" w:rsidRPr="00362372">
        <w:rPr>
          <w:rStyle w:val="FootnoteReference"/>
          <w:rFonts w:asciiTheme="minorHAnsi" w:hAnsiTheme="minorHAnsi"/>
        </w:rPr>
        <w:footnoteReference w:id="9"/>
      </w:r>
      <w:r w:rsidRPr="00362372">
        <w:rPr>
          <w:rFonts w:asciiTheme="minorHAnsi" w:hAnsiTheme="minorHAnsi"/>
        </w:rPr>
        <w:t>.</w:t>
      </w:r>
    </w:p>
    <w:p w14:paraId="35DB7743" w14:textId="24009AFA" w:rsidR="00FE2C3F" w:rsidRPr="00362372" w:rsidRDefault="00C65D5B" w:rsidP="00683735">
      <w:pPr>
        <w:pStyle w:val="NormalWeb"/>
        <w:spacing w:line="276" w:lineRule="auto"/>
        <w:jc w:val="both"/>
        <w:rPr>
          <w:rFonts w:asciiTheme="minorHAnsi" w:hAnsiTheme="minorHAnsi"/>
        </w:rPr>
      </w:pPr>
      <w:r w:rsidRPr="00362372">
        <w:rPr>
          <w:rFonts w:asciiTheme="minorHAnsi" w:hAnsiTheme="minorHAnsi"/>
        </w:rPr>
        <w:t xml:space="preserve">Regardless of the chosen procedure, contracting entity </w:t>
      </w:r>
      <w:r w:rsidR="009C5D35">
        <w:rPr>
          <w:rFonts w:asciiTheme="minorHAnsi" w:hAnsiTheme="minorHAnsi"/>
        </w:rPr>
        <w:t>has</w:t>
      </w:r>
      <w:r w:rsidRPr="00362372">
        <w:rPr>
          <w:rFonts w:asciiTheme="minorHAnsi" w:hAnsiTheme="minorHAnsi"/>
        </w:rPr>
        <w:t xml:space="preserve"> to send calls for tenders to all qualified economic operators, or, as the case may be, only to </w:t>
      </w:r>
      <w:r w:rsidR="009C5D35">
        <w:rPr>
          <w:rFonts w:asciiTheme="minorHAnsi" w:hAnsiTheme="minorHAnsi"/>
        </w:rPr>
        <w:t>those</w:t>
      </w:r>
      <w:r w:rsidRPr="00362372">
        <w:rPr>
          <w:rFonts w:asciiTheme="minorHAnsi" w:hAnsiTheme="minorHAnsi"/>
        </w:rPr>
        <w:t xml:space="preserve"> in certain categories, if it created separate categories within the system. The actual </w:t>
      </w:r>
      <w:r w:rsidR="009C5D35" w:rsidRPr="00362372">
        <w:rPr>
          <w:rFonts w:asciiTheme="minorHAnsi" w:hAnsiTheme="minorHAnsi"/>
        </w:rPr>
        <w:t xml:space="preserve">contract </w:t>
      </w:r>
      <w:r w:rsidRPr="00362372">
        <w:rPr>
          <w:rFonts w:asciiTheme="minorHAnsi" w:hAnsiTheme="minorHAnsi"/>
        </w:rPr>
        <w:t xml:space="preserve">awarding </w:t>
      </w:r>
      <w:r w:rsidR="009C5D35" w:rsidRPr="00362372">
        <w:rPr>
          <w:rFonts w:asciiTheme="minorHAnsi" w:hAnsiTheme="minorHAnsi"/>
        </w:rPr>
        <w:t xml:space="preserve">procedure </w:t>
      </w:r>
      <w:r w:rsidRPr="00362372">
        <w:rPr>
          <w:rFonts w:asciiTheme="minorHAnsi" w:hAnsiTheme="minorHAnsi"/>
        </w:rPr>
        <w:t xml:space="preserve">on the Portal is not conducted within the qualification system; instead, procurer initiates a new </w:t>
      </w:r>
      <w:r w:rsidRPr="00362372">
        <w:rPr>
          <w:rFonts w:asciiTheme="minorHAnsi" w:hAnsiTheme="minorHAnsi"/>
        </w:rPr>
        <w:lastRenderedPageBreak/>
        <w:t>procedure (‘My procedures’ - ‘New procedure’) in section ‘Subject-matter and panel’, and, from the drop-down menu, selects Article 70, Paragraph 8, of the PPL</w:t>
      </w:r>
      <w:r w:rsidR="009C5D35" w:rsidRPr="009C5D35">
        <w:rPr>
          <w:rFonts w:asciiTheme="minorHAnsi" w:hAnsiTheme="minorHAnsi"/>
        </w:rPr>
        <w:t xml:space="preserve"> </w:t>
      </w:r>
      <w:r w:rsidR="009C5D35" w:rsidRPr="00362372">
        <w:rPr>
          <w:rFonts w:asciiTheme="minorHAnsi" w:hAnsiTheme="minorHAnsi"/>
        </w:rPr>
        <w:t>as the legal basis</w:t>
      </w:r>
      <w:r w:rsidRPr="00362372">
        <w:rPr>
          <w:rFonts w:asciiTheme="minorHAnsi" w:hAnsiTheme="minorHAnsi"/>
        </w:rPr>
        <w:t>.</w:t>
      </w:r>
    </w:p>
    <w:p w14:paraId="3F7B25D9" w14:textId="54F06828" w:rsidR="00C47576" w:rsidRPr="00362372" w:rsidRDefault="00C47576" w:rsidP="00C47576">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bookmarkStart w:id="15" w:name="_Hlk197239668"/>
    <w:p w14:paraId="7267CDDF" w14:textId="77777777" w:rsidR="00002ACE" w:rsidRPr="00362372" w:rsidRDefault="00FE2C3F" w:rsidP="00683735">
      <w:pPr>
        <w:pStyle w:val="NormalWeb"/>
        <w:spacing w:line="276" w:lineRule="auto"/>
        <w:jc w:val="both"/>
        <w:rPr>
          <w:rFonts w:asciiTheme="minorHAnsi" w:hAnsiTheme="minorHAnsi"/>
        </w:rPr>
      </w:pPr>
      <w:r w:rsidRPr="00362372">
        <mc:AlternateContent>
          <mc:Choice Requires="wps">
            <w:drawing>
              <wp:anchor distT="0" distB="0" distL="114300" distR="114300" simplePos="0" relativeHeight="251723776" behindDoc="0" locked="0" layoutInCell="1" allowOverlap="1" wp14:anchorId="68D95420" wp14:editId="15522A44">
                <wp:simplePos x="0" y="0"/>
                <wp:positionH relativeFrom="margin">
                  <wp:posOffset>114300</wp:posOffset>
                </wp:positionH>
                <wp:positionV relativeFrom="paragraph">
                  <wp:posOffset>1456055</wp:posOffset>
                </wp:positionV>
                <wp:extent cx="5734050" cy="2952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5734050" cy="2952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760F" id="Rectangle 17" o:spid="_x0000_s1026" style="position:absolute;margin-left:9pt;margin-top:114.65pt;width:451.5pt;height:2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" filled="f" strokecolor="#c00000" strokeweight="3pt">
                <w10:wrap anchorx="margin"/>
              </v:rect>
            </w:pict>
          </mc:Fallback>
        </mc:AlternateContent>
      </w:r>
      <w:r w:rsidRPr="00362372">
        <w:rPr>
          <w:rFonts w:asciiTheme="minorHAnsi" w:hAnsiTheme="minorHAnsi"/>
        </w:rPr>
        <w:drawing>
          <wp:inline distT="0" distB="0" distL="0" distR="0" wp14:anchorId="01C91F1A" wp14:editId="5478763E">
            <wp:extent cx="5724525" cy="1809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bookmarkEnd w:id="15"/>
    <w:p w14:paraId="1351CE43" w14:textId="77777777" w:rsidR="00FE2C3F" w:rsidRPr="00362372" w:rsidRDefault="00FE2C3F" w:rsidP="00EF422D">
      <w:pPr>
        <w:jc w:val="both"/>
        <w:rPr>
          <w:sz w:val="24"/>
          <w:szCs w:val="24"/>
        </w:rPr>
      </w:pPr>
      <w:r w:rsidRPr="00362372">
        <w:rPr>
          <w:sz w:val="24"/>
        </w:rPr>
        <w:t>Then, in section ‘Selection of preliminary procedure’, from the drop-down menu containing all existing qualification systems, it marks the appropriate qualification system which will be used for the conducting of the second phase of the procedure.</w:t>
      </w:r>
    </w:p>
    <w:p w14:paraId="285DBB13" w14:textId="77777777" w:rsidR="00C47576" w:rsidRPr="00362372" w:rsidRDefault="00C47576" w:rsidP="00C47576">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of example on the Portal</w:t>
      </w:r>
    </w:p>
    <w:bookmarkStart w:id="16" w:name="_Hlk197239889"/>
    <w:p w14:paraId="2EDE9A2D" w14:textId="77777777" w:rsidR="00FE2C3F" w:rsidRPr="00362372" w:rsidRDefault="00DE44F7" w:rsidP="00EF422D">
      <w:pPr>
        <w:jc w:val="both"/>
        <w:rPr>
          <w:highlight w:val="yellow"/>
        </w:rPr>
      </w:pPr>
      <w:r w:rsidRPr="00362372">
        <w:rPr>
          <w:sz w:val="24"/>
        </w:rPr>
        <mc:AlternateContent>
          <mc:Choice Requires="wps">
            <w:drawing>
              <wp:anchor distT="0" distB="0" distL="114300" distR="114300" simplePos="0" relativeHeight="251725824" behindDoc="0" locked="0" layoutInCell="1" allowOverlap="1" wp14:anchorId="6C9EE6DE" wp14:editId="55CD9A8D">
                <wp:simplePos x="0" y="0"/>
                <wp:positionH relativeFrom="margin">
                  <wp:posOffset>55245</wp:posOffset>
                </wp:positionH>
                <wp:positionV relativeFrom="paragraph">
                  <wp:posOffset>1628140</wp:posOffset>
                </wp:positionV>
                <wp:extent cx="5238750" cy="27622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5238750" cy="2762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1790" id="Rectangle 19" o:spid="_x0000_s1026" style="position:absolute;margin-left:4.35pt;margin-top:128.2pt;width:412.5pt;height:2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" filled="f" strokecolor="#c00000" strokeweight="3pt">
                <w10:wrap anchorx="margin"/>
              </v:rect>
            </w:pict>
          </mc:Fallback>
        </mc:AlternateContent>
      </w:r>
      <w:r w:rsidRPr="00362372">
        <w:rPr>
          <w:highlight w:val="yellow"/>
        </w:rPr>
        <w:drawing>
          <wp:inline distT="0" distB="0" distL="0" distR="0" wp14:anchorId="0BDB6490" wp14:editId="04234154">
            <wp:extent cx="5723339"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225" cy="1939280"/>
                    </a:xfrm>
                    <a:prstGeom prst="rect">
                      <a:avLst/>
                    </a:prstGeom>
                    <a:noFill/>
                    <a:ln>
                      <a:noFill/>
                    </a:ln>
                  </pic:spPr>
                </pic:pic>
              </a:graphicData>
            </a:graphic>
          </wp:inline>
        </w:drawing>
      </w:r>
    </w:p>
    <w:bookmarkEnd w:id="16"/>
    <w:p w14:paraId="2CCD74C2" w14:textId="77777777" w:rsidR="00FE2C3F" w:rsidRPr="00362372" w:rsidRDefault="00FE2C3F" w:rsidP="00EF422D">
      <w:pPr>
        <w:jc w:val="both"/>
        <w:rPr>
          <w:highlight w:val="yellow"/>
        </w:rPr>
      </w:pPr>
    </w:p>
    <w:p w14:paraId="19612FD6" w14:textId="77777777" w:rsidR="00DE44F7" w:rsidRPr="00362372" w:rsidRDefault="00DE44F7" w:rsidP="00EF422D">
      <w:pPr>
        <w:jc w:val="both"/>
        <w:rPr>
          <w:sz w:val="24"/>
          <w:szCs w:val="24"/>
        </w:rPr>
      </w:pPr>
      <w:r w:rsidRPr="00362372">
        <w:rPr>
          <w:sz w:val="24"/>
        </w:rPr>
        <w:t>After that, in section ‘Continue procedure’, it selects option ‘by sending calls to qualified economic operators’.</w:t>
      </w:r>
    </w:p>
    <w:p w14:paraId="4074D48C" w14:textId="77777777" w:rsidR="00DE44F7" w:rsidRPr="00362372" w:rsidRDefault="00C47576" w:rsidP="00AB575A">
      <w:pPr>
        <w:jc w:val="both"/>
        <w:rPr>
          <w:sz w:val="24"/>
          <w:szCs w:val="24"/>
        </w:rPr>
      </w:pPr>
      <w:r w:rsidRPr="00362372">
        <w:rPr>
          <w:sz w:val="24"/>
        </w:rPr>
        <w:t>Next, in line with the Portal's functionalities and by means of entering relevant data, the preconditions are created to conduct the second phase of the procedure and to invite economic operators with recognized qualification to submit tenders.</w:t>
      </w:r>
    </w:p>
    <w:p w14:paraId="13B4AEDD" w14:textId="77777777" w:rsidR="0017183F" w:rsidRPr="00362372"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777DD1A1" w14:textId="77777777" w:rsidR="0017183F" w:rsidRPr="00362372"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1D212092" w14:textId="77777777" w:rsidR="0017183F" w:rsidRPr="00362372"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4CA3999E" w14:textId="77777777" w:rsidR="0017183F" w:rsidRPr="00362372"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5D0AD45A" w14:textId="1AEB36D7" w:rsidR="00AB575A" w:rsidRPr="00362372" w:rsidRDefault="00AB575A" w:rsidP="00AB575A">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of example on the Portal</w:t>
      </w:r>
    </w:p>
    <w:bookmarkStart w:id="17" w:name="_Hlk197240270"/>
    <w:p w14:paraId="03816434" w14:textId="77777777" w:rsidR="00DE44F7" w:rsidRPr="00362372" w:rsidRDefault="00AB575A" w:rsidP="00EF422D">
      <w:pPr>
        <w:jc w:val="both"/>
        <w:rPr>
          <w:highlight w:val="yellow"/>
        </w:rPr>
      </w:pPr>
      <w:r w:rsidRPr="00362372">
        <w:rPr>
          <w:sz w:val="24"/>
        </w:rPr>
        <mc:AlternateContent>
          <mc:Choice Requires="wps">
            <w:drawing>
              <wp:anchor distT="0" distB="0" distL="114300" distR="114300" simplePos="0" relativeHeight="251729920" behindDoc="0" locked="0" layoutInCell="1" allowOverlap="1" wp14:anchorId="7307717D" wp14:editId="7F99C52A">
                <wp:simplePos x="0" y="0"/>
                <wp:positionH relativeFrom="margin">
                  <wp:posOffset>3629025</wp:posOffset>
                </wp:positionH>
                <wp:positionV relativeFrom="paragraph">
                  <wp:posOffset>368300</wp:posOffset>
                </wp:positionV>
                <wp:extent cx="2076450" cy="3333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2076450" cy="3333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02DD3" id="Rectangle 33" o:spid="_x0000_s1026" style="position:absolute;margin-left:285.75pt;margin-top:29pt;width:163.5pt;height:26.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" filled="f" strokecolor="#c00000" strokeweight="3pt">
                <w10:wrap anchorx="margin"/>
              </v:rect>
            </w:pict>
          </mc:Fallback>
        </mc:AlternateContent>
      </w:r>
      <w:r w:rsidRPr="00362372">
        <w:rPr>
          <w:sz w:val="24"/>
        </w:rPr>
        <mc:AlternateContent>
          <mc:Choice Requires="wps">
            <w:drawing>
              <wp:anchor distT="0" distB="0" distL="114300" distR="114300" simplePos="0" relativeHeight="251727872" behindDoc="0" locked="0" layoutInCell="1" allowOverlap="1" wp14:anchorId="492DC6BB" wp14:editId="7C2DD21D">
                <wp:simplePos x="0" y="0"/>
                <wp:positionH relativeFrom="margin">
                  <wp:align>left</wp:align>
                </wp:positionH>
                <wp:positionV relativeFrom="paragraph">
                  <wp:posOffset>2436495</wp:posOffset>
                </wp:positionV>
                <wp:extent cx="5629275" cy="6953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5629275" cy="6953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75F49" id="Rectangle 30" o:spid="_x0000_s1026" style="position:absolute;margin-left:0;margin-top:191.85pt;width:443.25pt;height:54.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" filled="f" strokecolor="#c00000" strokeweight="3pt">
                <w10:wrap anchorx="margin"/>
              </v:rect>
            </w:pict>
          </mc:Fallback>
        </mc:AlternateContent>
      </w:r>
      <w:r w:rsidRPr="00362372">
        <w:rPr>
          <w:highlight w:val="yellow"/>
        </w:rPr>
        <w:drawing>
          <wp:inline distT="0" distB="0" distL="0" distR="0" wp14:anchorId="04E2AF1B" wp14:editId="076448FF">
            <wp:extent cx="5724525" cy="3076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bookmarkEnd w:id="17"/>
    <w:p w14:paraId="15EDDAC3" w14:textId="77777777" w:rsidR="002F65DA" w:rsidRPr="00362372" w:rsidRDefault="002F65DA" w:rsidP="00AB575A">
      <w:pPr>
        <w:jc w:val="both"/>
        <w:rPr>
          <w:sz w:val="24"/>
          <w:szCs w:val="24"/>
        </w:rPr>
      </w:pPr>
    </w:p>
    <w:p w14:paraId="60EE2356" w14:textId="79945947" w:rsidR="00EF422D" w:rsidRPr="00362372" w:rsidRDefault="00AB575A" w:rsidP="00AB575A">
      <w:pPr>
        <w:jc w:val="both"/>
        <w:rPr>
          <w:sz w:val="24"/>
          <w:szCs w:val="24"/>
        </w:rPr>
      </w:pPr>
      <w:r w:rsidRPr="00362372">
        <w:rPr>
          <w:sz w:val="24"/>
        </w:rPr>
        <w:t>Having this done, contracting entity applies all rules of the second phase of the chosen procedure, including the expert valuation of tenders and the award of contract.</w:t>
      </w:r>
    </w:p>
    <w:p w14:paraId="2ACE726F" w14:textId="77777777" w:rsidR="00265A2D" w:rsidRPr="00362372" w:rsidRDefault="00265A2D">
      <w:pPr>
        <w:rPr>
          <w:rFonts w:eastAsia="Times New Roman" w:cs="Times New Roman"/>
          <w:kern w:val="0"/>
          <w:sz w:val="24"/>
          <w:szCs w:val="24"/>
          <w14:ligatures w14:val="none"/>
        </w:rPr>
      </w:pPr>
      <w:r w:rsidRPr="00362372">
        <w:br w:type="page"/>
      </w:r>
    </w:p>
    <w:p w14:paraId="4D08DE25" w14:textId="50D8C81B" w:rsidR="00D75A7C" w:rsidRPr="00362372" w:rsidRDefault="009327ED" w:rsidP="00B4697F">
      <w:pPr>
        <w:pStyle w:val="Heading1"/>
        <w:jc w:val="center"/>
        <w:rPr>
          <w:rFonts w:ascii="Segoe UI" w:hAnsi="Segoe UI" w:cs="Segoe UI"/>
          <w:sz w:val="64"/>
          <w:szCs w:val="64"/>
        </w:rPr>
      </w:pPr>
      <w:bookmarkStart w:id="18" w:name="_Toc185469168"/>
      <w:bookmarkStart w:id="19" w:name="_Toc197193686"/>
      <w:r w:rsidRPr="00362372">
        <w:rPr>
          <w:rFonts w:ascii="Segoe UI" w:hAnsi="Segoe UI"/>
          <w:sz w:val="64"/>
        </w:rPr>
        <w:lastRenderedPageBreak/>
        <w:t xml:space="preserve">The </w:t>
      </w:r>
      <w:r w:rsidR="006361CA" w:rsidRPr="00362372">
        <w:rPr>
          <w:rFonts w:ascii="Segoe UI" w:hAnsi="Segoe UI"/>
          <w:sz w:val="64"/>
        </w:rPr>
        <w:t>G</w:t>
      </w:r>
      <w:r w:rsidRPr="00362372">
        <w:rPr>
          <w:rFonts w:ascii="Segoe UI" w:hAnsi="Segoe UI"/>
          <w:sz w:val="64"/>
        </w:rPr>
        <w:t xml:space="preserve">uide to </w:t>
      </w:r>
      <w:r w:rsidR="006361CA" w:rsidRPr="00362372">
        <w:rPr>
          <w:rFonts w:ascii="Segoe UI" w:hAnsi="Segoe UI"/>
          <w:sz w:val="64"/>
        </w:rPr>
        <w:t>E</w:t>
      </w:r>
      <w:r w:rsidRPr="00362372">
        <w:rPr>
          <w:rFonts w:ascii="Segoe UI" w:hAnsi="Segoe UI"/>
          <w:sz w:val="64"/>
        </w:rPr>
        <w:t xml:space="preserve">lectronic </w:t>
      </w:r>
      <w:r w:rsidR="006361CA" w:rsidRPr="00362372">
        <w:rPr>
          <w:rFonts w:ascii="Segoe UI" w:hAnsi="Segoe UI"/>
          <w:sz w:val="64"/>
        </w:rPr>
        <w:t>A</w:t>
      </w:r>
      <w:r w:rsidRPr="00362372">
        <w:rPr>
          <w:rFonts w:ascii="Segoe UI" w:hAnsi="Segoe UI"/>
          <w:sz w:val="64"/>
        </w:rPr>
        <w:t>uction</w:t>
      </w:r>
      <w:bookmarkEnd w:id="18"/>
      <w:bookmarkEnd w:id="19"/>
    </w:p>
    <w:p w14:paraId="683F18C4" w14:textId="77777777" w:rsidR="002A4A93" w:rsidRPr="00362372" w:rsidRDefault="002A4A93" w:rsidP="00D25B43">
      <w:pPr>
        <w:pStyle w:val="Heading2"/>
        <w:rPr>
          <w:b/>
          <w:color w:val="00B050"/>
          <w:sz w:val="40"/>
          <w:szCs w:val="40"/>
        </w:rPr>
      </w:pPr>
    </w:p>
    <w:p w14:paraId="57A6038C" w14:textId="1D929C61" w:rsidR="00DB2187" w:rsidRPr="00362372" w:rsidRDefault="00DB2187" w:rsidP="00D25B43">
      <w:pPr>
        <w:pStyle w:val="Heading2"/>
        <w:rPr>
          <w:b/>
          <w:color w:val="00B050"/>
          <w:sz w:val="40"/>
          <w:szCs w:val="40"/>
        </w:rPr>
      </w:pPr>
      <w:bookmarkStart w:id="20" w:name="_Toc197193687"/>
      <w:r w:rsidRPr="00362372">
        <w:rPr>
          <w:b/>
          <w:color w:val="00B050"/>
          <w:sz w:val="40"/>
        </w:rPr>
        <w:t xml:space="preserve">What is </w:t>
      </w:r>
      <w:r w:rsidR="006361CA" w:rsidRPr="00362372">
        <w:rPr>
          <w:b/>
          <w:color w:val="00B050"/>
          <w:sz w:val="40"/>
        </w:rPr>
        <w:t>E</w:t>
      </w:r>
      <w:r w:rsidRPr="00362372">
        <w:rPr>
          <w:b/>
          <w:color w:val="00B050"/>
          <w:sz w:val="40"/>
        </w:rPr>
        <w:t xml:space="preserve">lectronic </w:t>
      </w:r>
      <w:r w:rsidR="006361CA" w:rsidRPr="00362372">
        <w:rPr>
          <w:b/>
          <w:color w:val="00B050"/>
          <w:sz w:val="40"/>
        </w:rPr>
        <w:t>A</w:t>
      </w:r>
      <w:r w:rsidRPr="00362372">
        <w:rPr>
          <w:b/>
          <w:color w:val="00B050"/>
          <w:sz w:val="40"/>
        </w:rPr>
        <w:t>uction?</w:t>
      </w:r>
      <w:bookmarkEnd w:id="20"/>
    </w:p>
    <w:p w14:paraId="16E304BA" w14:textId="5C1A6193" w:rsidR="005E70E3" w:rsidRPr="00362372" w:rsidRDefault="005E70E3" w:rsidP="00683735">
      <w:pPr>
        <w:tabs>
          <w:tab w:val="left" w:pos="720"/>
        </w:tabs>
        <w:suppressAutoHyphens/>
        <w:spacing w:before="100" w:beforeAutospacing="1" w:after="100" w:afterAutospacing="1" w:line="276" w:lineRule="auto"/>
        <w:jc w:val="both"/>
        <w:rPr>
          <w:rFonts w:cstheme="minorHAnsi"/>
          <w:kern w:val="1"/>
          <w:sz w:val="24"/>
          <w:szCs w:val="24"/>
        </w:rPr>
      </w:pPr>
      <w:r w:rsidRPr="00362372">
        <w:rPr>
          <w:sz w:val="24"/>
        </w:rPr>
        <w:t>Electronic auction is a type of competition among tenderers in public procurement procedure, by means of electronically submitting new, more favorable tenders, which the procurer ranks using the automatic evaluation methods. Electronic auction is not a separate type of public procurement procedure, but rather a distinct manner, or instrument, to rank the tenders. The easiest way to define electronic auction is as a process of interactive auction after the tenders have already been opened. As such, the auction is a sort of an alternative to negotiations, once the tenderers have already presented their tenders, namely, the prices. The advantage this instrument affords to the procurer is the additional pressure on tenderers to lower the</w:t>
      </w:r>
      <w:r w:rsidR="009B40CF">
        <w:rPr>
          <w:sz w:val="24"/>
        </w:rPr>
        <w:t>ir</w:t>
      </w:r>
      <w:r w:rsidRPr="00362372">
        <w:rPr>
          <w:sz w:val="24"/>
        </w:rPr>
        <w:t xml:space="preserve"> prices, which is the essence of auctioning.</w:t>
      </w:r>
    </w:p>
    <w:p w14:paraId="1E391882" w14:textId="7E1F01E4" w:rsidR="00A5781A" w:rsidRPr="00362372" w:rsidRDefault="00C46C8C" w:rsidP="00A5781A">
      <w:pPr>
        <w:spacing w:before="100" w:beforeAutospacing="1" w:after="100" w:afterAutospacing="1" w:line="276" w:lineRule="auto"/>
        <w:jc w:val="both"/>
        <w:rPr>
          <w:rFonts w:eastAsia="Times New Roman" w:cstheme="minorHAnsi"/>
          <w:kern w:val="0"/>
          <w:sz w:val="24"/>
          <w:szCs w:val="24"/>
          <w:highlight w:val="yellow"/>
          <w14:ligatures w14:val="none"/>
        </w:rPr>
      </w:pPr>
      <w:r w:rsidRPr="00362372">
        <w:rPr>
          <w:sz w:val="24"/>
        </w:rPr>
        <w:t xml:space="preserve">The basic features of the advantage bestowed by electronic auction are transparency, increased competitiveness, participants’ anonymity, and flexibility among the competing economic operators. </w:t>
      </w:r>
      <w:r w:rsidRPr="00362372">
        <w:rPr>
          <w:b/>
          <w:sz w:val="24"/>
        </w:rPr>
        <w:t xml:space="preserve">Transparency </w:t>
      </w:r>
      <w:r w:rsidRPr="00362372">
        <w:rPr>
          <w:sz w:val="24"/>
        </w:rPr>
        <w:t xml:space="preserve">is ensured by keeping tenderers informed about the current ranking at all times during the actual auctioning. </w:t>
      </w:r>
      <w:r w:rsidRPr="00362372">
        <w:rPr>
          <w:b/>
          <w:sz w:val="24"/>
        </w:rPr>
        <w:t>Anonymity</w:t>
      </w:r>
      <w:r w:rsidRPr="00362372">
        <w:rPr>
          <w:sz w:val="24"/>
        </w:rPr>
        <w:t xml:space="preserve"> is warranted by lack of Portal’s ability to reveal tenderer’s identity before the auction is completed, and the electronic process motivates tenderers to come up with more favorable tenders, which results in </w:t>
      </w:r>
      <w:r w:rsidRPr="00362372">
        <w:rPr>
          <w:b/>
          <w:sz w:val="24"/>
        </w:rPr>
        <w:t>increased competitiveness</w:t>
      </w:r>
      <w:r w:rsidRPr="00362372">
        <w:rPr>
          <w:sz w:val="24"/>
        </w:rPr>
        <w:t xml:space="preserve"> in the procedure. </w:t>
      </w:r>
      <w:r w:rsidRPr="00362372">
        <w:rPr>
          <w:b/>
          <w:sz w:val="24"/>
        </w:rPr>
        <w:t>Flexibility</w:t>
      </w:r>
      <w:r w:rsidRPr="00362372">
        <w:rPr>
          <w:sz w:val="24"/>
        </w:rPr>
        <w:t xml:space="preserve"> is brought about by the auction allowing subsequent modifying, or improving the tenders.</w:t>
      </w:r>
    </w:p>
    <w:p w14:paraId="0F6DEAE7" w14:textId="77777777" w:rsidR="00A5781A" w:rsidRPr="00362372" w:rsidRDefault="00A5781A" w:rsidP="00A5781A">
      <w:pPr>
        <w:spacing w:before="100" w:beforeAutospacing="1" w:after="100" w:afterAutospacing="1" w:line="276" w:lineRule="auto"/>
        <w:jc w:val="center"/>
        <w:rPr>
          <w:rFonts w:eastAsia="Times New Roman" w:cstheme="minorHAnsi"/>
          <w:i/>
          <w:color w:val="1E25A0" w:themeColor="accent1" w:themeShade="BF"/>
          <w:kern w:val="0"/>
          <w:sz w:val="24"/>
          <w:szCs w:val="24"/>
          <w14:ligatures w14:val="none"/>
        </w:rPr>
      </w:pPr>
      <w:r w:rsidRPr="00362372">
        <w:rPr>
          <w:i/>
          <w:color w:val="1E25A0" w:themeColor="accent1" w:themeShade="BF"/>
          <w:sz w:val="24"/>
        </w:rPr>
        <w:t>Display of key steps in electronic auction</w:t>
      </w:r>
    </w:p>
    <w:p w14:paraId="06D951D3" w14:textId="77777777" w:rsidR="00A5781A" w:rsidRPr="00362372" w:rsidRDefault="00A5781A" w:rsidP="00A5781A">
      <w:pPr>
        <w:spacing w:before="100" w:beforeAutospacing="1" w:after="100" w:afterAutospacing="1" w:line="276" w:lineRule="auto"/>
        <w:jc w:val="center"/>
        <w:rPr>
          <w:rFonts w:eastAsia="Times New Roman" w:cstheme="minorHAnsi"/>
          <w:color w:val="1E25A0" w:themeColor="accent1" w:themeShade="BF"/>
          <w:kern w:val="0"/>
          <w:sz w:val="24"/>
          <w:szCs w:val="24"/>
          <w14:ligatures w14:val="none"/>
        </w:rPr>
      </w:pPr>
      <w:r w:rsidRPr="00362372">
        <w:rPr>
          <w:color w:val="2933D6" w:themeColor="accent1"/>
          <w:sz w:val="24"/>
        </w:rPr>
        <w:drawing>
          <wp:inline distT="0" distB="0" distL="0" distR="0" wp14:anchorId="2D511C3B" wp14:editId="1BB4C2C0">
            <wp:extent cx="5486400" cy="2600325"/>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A24BE14" w14:textId="657AF492" w:rsidR="00C46C8C" w:rsidRPr="00362372" w:rsidRDefault="006361CA" w:rsidP="00D25B43">
      <w:pPr>
        <w:pStyle w:val="Heading2"/>
        <w:rPr>
          <w:b/>
          <w:color w:val="00B050"/>
          <w:sz w:val="40"/>
          <w:szCs w:val="40"/>
        </w:rPr>
      </w:pPr>
      <w:bookmarkStart w:id="21" w:name="_Toc197193688"/>
      <w:r w:rsidRPr="00362372">
        <w:rPr>
          <w:b/>
          <w:color w:val="00B050"/>
          <w:sz w:val="40"/>
        </w:rPr>
        <w:lastRenderedPageBreak/>
        <w:t xml:space="preserve">Procurement </w:t>
      </w:r>
      <w:r w:rsidR="00C46C8C" w:rsidRPr="00362372">
        <w:rPr>
          <w:b/>
          <w:color w:val="00B050"/>
          <w:sz w:val="40"/>
        </w:rPr>
        <w:t xml:space="preserve">Procedures and </w:t>
      </w:r>
      <w:r w:rsidRPr="00362372">
        <w:rPr>
          <w:b/>
          <w:color w:val="00B050"/>
          <w:sz w:val="40"/>
        </w:rPr>
        <w:t>P</w:t>
      </w:r>
      <w:r w:rsidR="00C46C8C" w:rsidRPr="00362372">
        <w:rPr>
          <w:b/>
          <w:color w:val="00B050"/>
          <w:sz w:val="40"/>
        </w:rPr>
        <w:t xml:space="preserve">rocurement </w:t>
      </w:r>
      <w:r w:rsidRPr="00362372">
        <w:rPr>
          <w:b/>
          <w:color w:val="00B050"/>
          <w:sz w:val="40"/>
        </w:rPr>
        <w:t>S</w:t>
      </w:r>
      <w:r w:rsidR="00C46C8C" w:rsidRPr="00362372">
        <w:rPr>
          <w:b/>
          <w:color w:val="00B050"/>
          <w:sz w:val="40"/>
        </w:rPr>
        <w:t>ubjects</w:t>
      </w:r>
      <w:bookmarkEnd w:id="21"/>
    </w:p>
    <w:p w14:paraId="4E9CE878" w14:textId="77777777" w:rsidR="00AA7D9F" w:rsidRPr="00362372" w:rsidRDefault="00AA7D9F" w:rsidP="00683735">
      <w:pPr>
        <w:spacing w:before="100" w:beforeAutospacing="1" w:after="100" w:afterAutospacing="1" w:line="276" w:lineRule="auto"/>
        <w:rPr>
          <w:rFonts w:cstheme="minorHAnsi"/>
          <w:b/>
          <w:sz w:val="24"/>
          <w:szCs w:val="24"/>
        </w:rPr>
      </w:pPr>
      <w:r w:rsidRPr="00362372">
        <w:rPr>
          <w:b/>
          <w:sz w:val="24"/>
        </w:rPr>
        <w:t>Procedures suitable for electronic auction</w:t>
      </w:r>
    </w:p>
    <w:p w14:paraId="748F3050" w14:textId="4C708F67" w:rsidR="00794158" w:rsidRPr="00362372" w:rsidRDefault="00794158" w:rsidP="00DF7DF2">
      <w:pPr>
        <w:tabs>
          <w:tab w:val="left" w:pos="720"/>
        </w:tabs>
        <w:suppressAutoHyphens/>
        <w:spacing w:after="0" w:line="240" w:lineRule="auto"/>
        <w:jc w:val="both"/>
        <w:rPr>
          <w:rFonts w:cstheme="minorHAnsi"/>
          <w:kern w:val="1"/>
          <w:sz w:val="24"/>
          <w:szCs w:val="24"/>
        </w:rPr>
      </w:pPr>
      <w:r w:rsidRPr="00362372">
        <w:rPr>
          <w:sz w:val="24"/>
        </w:rPr>
        <w:t>Electronic auction cannot be used in all public procurement procedures, only in the following:</w:t>
      </w:r>
    </w:p>
    <w:p w14:paraId="343D5C68" w14:textId="77777777" w:rsidR="00794158" w:rsidRPr="00362372" w:rsidRDefault="00794158" w:rsidP="00DF7DF2">
      <w:pPr>
        <w:numPr>
          <w:ilvl w:val="0"/>
          <w:numId w:val="13"/>
        </w:numPr>
        <w:spacing w:after="0" w:line="240" w:lineRule="auto"/>
        <w:rPr>
          <w:rFonts w:eastAsia="Times New Roman" w:cstheme="minorHAnsi"/>
          <w:kern w:val="0"/>
          <w:sz w:val="24"/>
          <w:szCs w:val="24"/>
          <w14:ligatures w14:val="none"/>
        </w:rPr>
      </w:pPr>
      <w:r w:rsidRPr="00362372">
        <w:rPr>
          <w:sz w:val="24"/>
        </w:rPr>
        <w:t>Open procedure</w:t>
      </w:r>
    </w:p>
    <w:p w14:paraId="310ED8A0" w14:textId="77777777" w:rsidR="00794158" w:rsidRPr="00362372" w:rsidRDefault="00794158" w:rsidP="00124E8E">
      <w:pPr>
        <w:numPr>
          <w:ilvl w:val="0"/>
          <w:numId w:val="13"/>
        </w:numPr>
        <w:spacing w:before="100" w:beforeAutospacing="1" w:after="100" w:afterAutospacing="1" w:line="276" w:lineRule="auto"/>
        <w:rPr>
          <w:rFonts w:eastAsia="Times New Roman" w:cstheme="minorHAnsi"/>
          <w:kern w:val="0"/>
          <w:sz w:val="24"/>
          <w:szCs w:val="24"/>
          <w14:ligatures w14:val="none"/>
        </w:rPr>
      </w:pPr>
      <w:r w:rsidRPr="00362372">
        <w:rPr>
          <w:sz w:val="24"/>
        </w:rPr>
        <w:t>Restricted procedure</w:t>
      </w:r>
    </w:p>
    <w:p w14:paraId="2199399C" w14:textId="77777777" w:rsidR="00794158" w:rsidRPr="00362372" w:rsidRDefault="00794158" w:rsidP="00124E8E">
      <w:pPr>
        <w:numPr>
          <w:ilvl w:val="0"/>
          <w:numId w:val="13"/>
        </w:numPr>
        <w:spacing w:before="100" w:beforeAutospacing="1" w:after="100" w:afterAutospacing="1" w:line="276" w:lineRule="auto"/>
        <w:rPr>
          <w:rFonts w:eastAsia="Times New Roman" w:cstheme="minorHAnsi"/>
          <w:kern w:val="0"/>
          <w:sz w:val="24"/>
          <w:szCs w:val="24"/>
          <w14:ligatures w14:val="none"/>
        </w:rPr>
      </w:pPr>
      <w:r w:rsidRPr="00362372">
        <w:rPr>
          <w:sz w:val="24"/>
        </w:rPr>
        <w:t xml:space="preserve">Competitive procedure with negotiation, and </w:t>
      </w:r>
    </w:p>
    <w:p w14:paraId="0E43D417" w14:textId="77777777" w:rsidR="00794158" w:rsidRPr="00362372" w:rsidRDefault="00794158" w:rsidP="00124E8E">
      <w:pPr>
        <w:numPr>
          <w:ilvl w:val="0"/>
          <w:numId w:val="13"/>
        </w:numPr>
        <w:spacing w:before="100" w:beforeAutospacing="1" w:after="100" w:afterAutospacing="1" w:line="276" w:lineRule="auto"/>
        <w:rPr>
          <w:rFonts w:eastAsia="Times New Roman" w:cstheme="minorHAnsi"/>
          <w:kern w:val="0"/>
          <w:sz w:val="24"/>
          <w:szCs w:val="24"/>
          <w14:ligatures w14:val="none"/>
        </w:rPr>
      </w:pPr>
      <w:r w:rsidRPr="00362372">
        <w:rPr>
          <w:sz w:val="24"/>
        </w:rPr>
        <w:t>Negotiated procedure with prior publication</w:t>
      </w:r>
    </w:p>
    <w:p w14:paraId="5B2C3598" w14:textId="77777777" w:rsidR="00794158" w:rsidRPr="00362372" w:rsidRDefault="00794158" w:rsidP="00683735">
      <w:pPr>
        <w:spacing w:before="100" w:beforeAutospacing="1" w:after="100" w:afterAutospacing="1" w:line="276" w:lineRule="auto"/>
        <w:jc w:val="both"/>
        <w:rPr>
          <w:rFonts w:eastAsia="Times New Roman" w:cstheme="minorHAnsi"/>
          <w:kern w:val="0"/>
          <w:sz w:val="24"/>
          <w:szCs w:val="24"/>
          <w14:ligatures w14:val="none"/>
        </w:rPr>
      </w:pPr>
      <w:r w:rsidRPr="00362372">
        <w:rPr>
          <w:sz w:val="24"/>
        </w:rPr>
        <w:t>In other words, auctioning cannot be used in competitive dialog, innovation partnership, and negotiated procedure without prior publication.</w:t>
      </w:r>
    </w:p>
    <w:p w14:paraId="4A10EDBF" w14:textId="77777777" w:rsidR="00794158" w:rsidRPr="00362372" w:rsidRDefault="00794158" w:rsidP="00DF7DF2">
      <w:pPr>
        <w:spacing w:after="0" w:line="240" w:lineRule="auto"/>
        <w:rPr>
          <w:rFonts w:eastAsia="Times New Roman" w:cstheme="minorHAnsi"/>
          <w:kern w:val="0"/>
          <w:sz w:val="24"/>
          <w:szCs w:val="24"/>
          <w14:ligatures w14:val="none"/>
        </w:rPr>
      </w:pPr>
      <w:r w:rsidRPr="00362372">
        <w:rPr>
          <w:sz w:val="24"/>
        </w:rPr>
        <w:t>Further, electronic auction can be used in:</w:t>
      </w:r>
    </w:p>
    <w:p w14:paraId="067D96F3" w14:textId="77777777" w:rsidR="00794158" w:rsidRPr="00362372" w:rsidRDefault="00794158" w:rsidP="00DF7DF2">
      <w:pPr>
        <w:numPr>
          <w:ilvl w:val="0"/>
          <w:numId w:val="13"/>
        </w:numPr>
        <w:spacing w:after="0" w:line="240" w:lineRule="auto"/>
        <w:rPr>
          <w:rFonts w:eastAsia="Times New Roman" w:cstheme="minorHAnsi"/>
          <w:kern w:val="0"/>
          <w:sz w:val="24"/>
          <w:szCs w:val="24"/>
          <w14:ligatures w14:val="none"/>
        </w:rPr>
      </w:pPr>
      <w:r w:rsidRPr="00362372">
        <w:rPr>
          <w:sz w:val="24"/>
        </w:rPr>
        <w:t>Re-opening of competition pursuant to framework agreement</w:t>
      </w:r>
    </w:p>
    <w:p w14:paraId="1B14A499" w14:textId="77777777" w:rsidR="00794158" w:rsidRPr="00362372" w:rsidRDefault="00794158" w:rsidP="00124E8E">
      <w:pPr>
        <w:numPr>
          <w:ilvl w:val="0"/>
          <w:numId w:val="13"/>
        </w:numPr>
        <w:spacing w:before="100" w:beforeAutospacing="1" w:after="100" w:afterAutospacing="1" w:line="276" w:lineRule="auto"/>
        <w:rPr>
          <w:rFonts w:eastAsia="Times New Roman" w:cstheme="minorHAnsi"/>
          <w:kern w:val="0"/>
          <w:sz w:val="24"/>
          <w:szCs w:val="24"/>
          <w14:ligatures w14:val="none"/>
        </w:rPr>
      </w:pPr>
      <w:r w:rsidRPr="00362372">
        <w:rPr>
          <w:sz w:val="24"/>
        </w:rPr>
        <w:t>Awarding contract within dynamic procurement system</w:t>
      </w:r>
    </w:p>
    <w:p w14:paraId="01FB3D87" w14:textId="6D48BC5A" w:rsidR="0075232D" w:rsidRPr="00362372" w:rsidRDefault="0075232D" w:rsidP="00683735">
      <w:pPr>
        <w:spacing w:before="100" w:beforeAutospacing="1" w:after="100" w:afterAutospacing="1" w:line="276" w:lineRule="auto"/>
        <w:jc w:val="both"/>
        <w:rPr>
          <w:rFonts w:cstheme="minorHAnsi"/>
          <w:b/>
          <w:sz w:val="24"/>
          <w:szCs w:val="24"/>
        </w:rPr>
      </w:pPr>
      <w:r w:rsidRPr="00362372">
        <w:rPr>
          <w:b/>
          <w:sz w:val="24"/>
        </w:rPr>
        <w:t>Procurement subjects suitable for electronic auctioning</w:t>
      </w:r>
    </w:p>
    <w:p w14:paraId="1E742382" w14:textId="153A4939" w:rsidR="00794158" w:rsidRPr="00362372" w:rsidRDefault="00794158" w:rsidP="00683735">
      <w:pPr>
        <w:tabs>
          <w:tab w:val="left" w:pos="720"/>
        </w:tabs>
        <w:suppressAutoHyphens/>
        <w:spacing w:before="100" w:beforeAutospacing="1" w:after="100" w:afterAutospacing="1" w:line="276" w:lineRule="auto"/>
        <w:jc w:val="both"/>
        <w:rPr>
          <w:rFonts w:cstheme="minorHAnsi"/>
          <w:kern w:val="1"/>
          <w:sz w:val="24"/>
          <w:szCs w:val="24"/>
        </w:rPr>
      </w:pPr>
      <w:r w:rsidRPr="00362372">
        <w:rPr>
          <w:sz w:val="24"/>
        </w:rPr>
        <w:t xml:space="preserve">In addition to not being suitable for all public procurement procedures, electronic auction cannot be used for all procurement subjects, too, only where the content of the procurement documentation, and in particular the technical specifications of the subject-matter, can be precisely determined. </w:t>
      </w:r>
    </w:p>
    <w:p w14:paraId="6883064C" w14:textId="77777777" w:rsidR="00794158" w:rsidRPr="00362372" w:rsidRDefault="00794158" w:rsidP="00683735">
      <w:pPr>
        <w:spacing w:before="100" w:beforeAutospacing="1" w:after="100" w:afterAutospacing="1" w:line="276" w:lineRule="auto"/>
        <w:jc w:val="both"/>
        <w:rPr>
          <w:rFonts w:cstheme="minorHAnsi"/>
          <w:sz w:val="24"/>
          <w:szCs w:val="24"/>
        </w:rPr>
      </w:pPr>
      <w:r w:rsidRPr="00362372">
        <w:rPr>
          <w:sz w:val="24"/>
        </w:rPr>
        <w:t>Therefore, in terms of procurement subjects, electronic auction, in general, is suitable for all goods, and also for great many services and works. Exceptions cover such services and works whose subject-matter is the execution of intellectual work that cannot be ranked by automatic evaluation methods, whereby the PPL cites design services in construction as an example, but those could also be some other services, notably (consulting, engineering, translation...).</w:t>
      </w:r>
    </w:p>
    <w:p w14:paraId="05957AD0" w14:textId="43DE25C7" w:rsidR="00553A00" w:rsidRPr="00362372" w:rsidRDefault="00553A00" w:rsidP="00401DCB">
      <w:pPr>
        <w:pStyle w:val="Heading2"/>
        <w:jc w:val="both"/>
        <w:rPr>
          <w:b/>
          <w:color w:val="00B050"/>
          <w:sz w:val="40"/>
          <w:szCs w:val="40"/>
        </w:rPr>
      </w:pPr>
      <w:bookmarkStart w:id="22" w:name="_Toc197193689"/>
      <w:r w:rsidRPr="00362372">
        <w:rPr>
          <w:b/>
          <w:color w:val="00B050"/>
          <w:sz w:val="40"/>
        </w:rPr>
        <w:t xml:space="preserve">Drafting and </w:t>
      </w:r>
      <w:r w:rsidR="006361CA" w:rsidRPr="00362372">
        <w:rPr>
          <w:b/>
          <w:color w:val="00B050"/>
          <w:sz w:val="40"/>
        </w:rPr>
        <w:t>P</w:t>
      </w:r>
      <w:r w:rsidRPr="00362372">
        <w:rPr>
          <w:b/>
          <w:color w:val="00B050"/>
          <w:sz w:val="40"/>
        </w:rPr>
        <w:t xml:space="preserve">ublishing </w:t>
      </w:r>
      <w:r w:rsidR="006361CA" w:rsidRPr="00362372">
        <w:rPr>
          <w:b/>
          <w:color w:val="00B050"/>
          <w:sz w:val="40"/>
        </w:rPr>
        <w:t>P</w:t>
      </w:r>
      <w:r w:rsidRPr="00362372">
        <w:rPr>
          <w:b/>
          <w:color w:val="00B050"/>
          <w:sz w:val="40"/>
        </w:rPr>
        <w:t xml:space="preserve">ublic </w:t>
      </w:r>
      <w:r w:rsidR="006361CA" w:rsidRPr="00362372">
        <w:rPr>
          <w:b/>
          <w:color w:val="00B050"/>
          <w:sz w:val="40"/>
        </w:rPr>
        <w:t>C</w:t>
      </w:r>
      <w:r w:rsidRPr="00362372">
        <w:rPr>
          <w:b/>
          <w:color w:val="00B050"/>
          <w:sz w:val="40"/>
        </w:rPr>
        <w:t xml:space="preserve">all and </w:t>
      </w:r>
      <w:r w:rsidR="006361CA" w:rsidRPr="00362372">
        <w:rPr>
          <w:b/>
          <w:color w:val="00B050"/>
          <w:sz w:val="40"/>
        </w:rPr>
        <w:t>T</w:t>
      </w:r>
      <w:r w:rsidRPr="00362372">
        <w:rPr>
          <w:b/>
          <w:color w:val="00B050"/>
          <w:sz w:val="40"/>
        </w:rPr>
        <w:t xml:space="preserve">ender </w:t>
      </w:r>
      <w:r w:rsidR="006361CA" w:rsidRPr="00362372">
        <w:rPr>
          <w:b/>
          <w:color w:val="00B050"/>
          <w:sz w:val="40"/>
        </w:rPr>
        <w:t>D</w:t>
      </w:r>
      <w:r w:rsidRPr="00362372">
        <w:rPr>
          <w:b/>
          <w:color w:val="00B050"/>
          <w:sz w:val="40"/>
        </w:rPr>
        <w:t>ocument</w:t>
      </w:r>
      <w:r w:rsidR="006361CA" w:rsidRPr="00362372">
        <w:rPr>
          <w:b/>
          <w:color w:val="00B050"/>
          <w:sz w:val="40"/>
        </w:rPr>
        <w:t>s</w:t>
      </w:r>
      <w:r w:rsidRPr="00362372">
        <w:rPr>
          <w:b/>
          <w:color w:val="00B050"/>
          <w:sz w:val="40"/>
        </w:rPr>
        <w:t xml:space="preserve"> in </w:t>
      </w:r>
      <w:r w:rsidR="006361CA" w:rsidRPr="00362372">
        <w:rPr>
          <w:b/>
          <w:color w:val="00B050"/>
          <w:sz w:val="40"/>
        </w:rPr>
        <w:t>P</w:t>
      </w:r>
      <w:r w:rsidRPr="00362372">
        <w:rPr>
          <w:b/>
          <w:color w:val="00B050"/>
          <w:sz w:val="40"/>
        </w:rPr>
        <w:t xml:space="preserve">rocedure </w:t>
      </w:r>
      <w:r w:rsidR="006361CA" w:rsidRPr="00362372">
        <w:rPr>
          <w:b/>
          <w:color w:val="00B050"/>
          <w:sz w:val="40"/>
        </w:rPr>
        <w:t>U</w:t>
      </w:r>
      <w:r w:rsidRPr="00362372">
        <w:rPr>
          <w:b/>
          <w:color w:val="00B050"/>
          <w:sz w:val="40"/>
        </w:rPr>
        <w:t xml:space="preserve">sing </w:t>
      </w:r>
      <w:r w:rsidR="006361CA" w:rsidRPr="00362372">
        <w:rPr>
          <w:b/>
          <w:color w:val="00B050"/>
          <w:sz w:val="40"/>
        </w:rPr>
        <w:t>E</w:t>
      </w:r>
      <w:r w:rsidRPr="00362372">
        <w:rPr>
          <w:b/>
          <w:color w:val="00B050"/>
          <w:sz w:val="40"/>
        </w:rPr>
        <w:t xml:space="preserve">lectronic </w:t>
      </w:r>
      <w:r w:rsidR="006361CA" w:rsidRPr="00362372">
        <w:rPr>
          <w:b/>
          <w:color w:val="00B050"/>
          <w:sz w:val="40"/>
        </w:rPr>
        <w:t>A</w:t>
      </w:r>
      <w:r w:rsidRPr="00362372">
        <w:rPr>
          <w:b/>
          <w:color w:val="00B050"/>
          <w:sz w:val="40"/>
        </w:rPr>
        <w:t>uction</w:t>
      </w:r>
      <w:bookmarkEnd w:id="22"/>
    </w:p>
    <w:p w14:paraId="529531F0" w14:textId="77777777" w:rsidR="00700C06" w:rsidRPr="00362372" w:rsidRDefault="00BD379C" w:rsidP="00BD379C">
      <w:pPr>
        <w:spacing w:before="100" w:beforeAutospacing="1" w:after="100" w:afterAutospacing="1" w:line="276" w:lineRule="auto"/>
        <w:jc w:val="both"/>
        <w:rPr>
          <w:rFonts w:cstheme="minorHAnsi"/>
          <w:b/>
          <w:sz w:val="24"/>
          <w:szCs w:val="24"/>
        </w:rPr>
      </w:pPr>
      <w:r w:rsidRPr="00362372">
        <w:rPr>
          <w:b/>
          <w:sz w:val="24"/>
        </w:rPr>
        <w:t xml:space="preserve">Precondition for conducting electronic auction </w:t>
      </w:r>
    </w:p>
    <w:p w14:paraId="40A99CC1" w14:textId="77777777" w:rsidR="00BD379C" w:rsidRPr="00362372" w:rsidRDefault="00BD379C" w:rsidP="00BD379C">
      <w:pPr>
        <w:spacing w:before="100" w:beforeAutospacing="1" w:after="100" w:afterAutospacing="1" w:line="276" w:lineRule="auto"/>
        <w:jc w:val="both"/>
        <w:rPr>
          <w:rFonts w:cstheme="minorHAnsi"/>
          <w:sz w:val="24"/>
          <w:szCs w:val="24"/>
        </w:rPr>
      </w:pPr>
      <w:r w:rsidRPr="00362372">
        <w:rPr>
          <w:sz w:val="24"/>
        </w:rPr>
        <w:t xml:space="preserve">In order to conduct electronic auction, procurer must </w:t>
      </w:r>
      <w:r w:rsidRPr="00362372">
        <w:rPr>
          <w:sz w:val="24"/>
          <w:u w:val="single"/>
        </w:rPr>
        <w:t>state its intention to use electronic auction</w:t>
      </w:r>
      <w:r w:rsidRPr="00362372">
        <w:rPr>
          <w:sz w:val="24"/>
        </w:rPr>
        <w:t xml:space="preserve"> as early as in its public call. </w:t>
      </w:r>
    </w:p>
    <w:p w14:paraId="45EF666A" w14:textId="77777777" w:rsidR="00553A00" w:rsidRPr="00362372" w:rsidRDefault="00886AD1" w:rsidP="00124E8E">
      <w:pPr>
        <w:pStyle w:val="ListParagraph"/>
        <w:numPr>
          <w:ilvl w:val="0"/>
          <w:numId w:val="9"/>
        </w:numPr>
        <w:spacing w:before="100" w:beforeAutospacing="1" w:after="100" w:afterAutospacing="1" w:line="276" w:lineRule="auto"/>
        <w:rPr>
          <w:rFonts w:cstheme="minorHAnsi"/>
          <w:sz w:val="24"/>
          <w:szCs w:val="24"/>
          <w:u w:val="single"/>
        </w:rPr>
      </w:pPr>
      <w:r w:rsidRPr="00362372">
        <w:rPr>
          <w:sz w:val="24"/>
          <w:u w:val="single"/>
        </w:rPr>
        <w:t>Marking a public procurement instrument – electronic auction</w:t>
      </w:r>
    </w:p>
    <w:p w14:paraId="0C38C33B" w14:textId="77777777" w:rsidR="00553A00" w:rsidRPr="00362372" w:rsidRDefault="00553A00" w:rsidP="001C3C62">
      <w:pPr>
        <w:spacing w:before="100" w:beforeAutospacing="1" w:after="100" w:afterAutospacing="1" w:line="276" w:lineRule="auto"/>
        <w:jc w:val="both"/>
        <w:rPr>
          <w:rFonts w:cstheme="minorHAnsi"/>
          <w:sz w:val="24"/>
          <w:szCs w:val="24"/>
        </w:rPr>
      </w:pPr>
      <w:r w:rsidRPr="00362372">
        <w:rPr>
          <w:sz w:val="24"/>
        </w:rPr>
        <w:lastRenderedPageBreak/>
        <w:t>When initiating a procurement procedure, firstly mark button ‘Instruments (</w:t>
      </w:r>
      <w:bookmarkStart w:id="23" w:name="_Hlk197247646"/>
      <w:r w:rsidRPr="00362372">
        <w:rPr>
          <w:sz w:val="24"/>
        </w:rPr>
        <w:t xml:space="preserve">electronic auctions / electronic catalogs) </w:t>
      </w:r>
      <w:bookmarkEnd w:id="23"/>
      <w:r w:rsidRPr="00362372">
        <w:rPr>
          <w:sz w:val="24"/>
        </w:rPr>
        <w:t>in section ‘Basic parameters of procedure’, and upon the display of two options, select button ‘</w:t>
      </w:r>
      <w:bookmarkStart w:id="24" w:name="_Hlk197247674"/>
      <w:r w:rsidRPr="00362372">
        <w:rPr>
          <w:sz w:val="24"/>
        </w:rPr>
        <w:t>Electronic auction will be conducted’</w:t>
      </w:r>
      <w:bookmarkEnd w:id="24"/>
      <w:r w:rsidRPr="00362372">
        <w:rPr>
          <w:sz w:val="24"/>
        </w:rPr>
        <w:t xml:space="preserve">. </w:t>
      </w:r>
    </w:p>
    <w:p w14:paraId="78A67649" w14:textId="77777777" w:rsidR="00683735" w:rsidRPr="00362372"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2514D624" w14:textId="77777777" w:rsidR="00553A00" w:rsidRPr="00362372" w:rsidRDefault="00553A00" w:rsidP="00683735">
      <w:pPr>
        <w:spacing w:before="100" w:beforeAutospacing="1" w:after="100" w:afterAutospacing="1" w:line="276" w:lineRule="auto"/>
        <w:jc w:val="both"/>
        <w:rPr>
          <w:rFonts w:cstheme="minorHAnsi"/>
          <w:sz w:val="24"/>
          <w:szCs w:val="24"/>
        </w:rPr>
      </w:pPr>
      <w:r w:rsidRPr="00362372">
        <w:rPr>
          <w:b/>
          <w:sz w:val="24"/>
        </w:rPr>
        <w:drawing>
          <wp:inline distT="0" distB="0" distL="0" distR="0" wp14:anchorId="00A005E3" wp14:editId="160E898B">
            <wp:extent cx="5727700" cy="923925"/>
            <wp:effectExtent l="0" t="0" r="6350" b="9525"/>
            <wp:docPr id="1705129711" name="Picture 17051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p>
    <w:p w14:paraId="2B67F43A" w14:textId="77777777" w:rsidR="00653C84" w:rsidRPr="00362372" w:rsidRDefault="00653C84" w:rsidP="00124E8E">
      <w:pPr>
        <w:pStyle w:val="ListParagraph"/>
        <w:numPr>
          <w:ilvl w:val="0"/>
          <w:numId w:val="9"/>
        </w:numPr>
        <w:spacing w:before="100" w:beforeAutospacing="1" w:after="100" w:afterAutospacing="1" w:line="276" w:lineRule="auto"/>
        <w:rPr>
          <w:rFonts w:cstheme="minorHAnsi"/>
          <w:sz w:val="24"/>
          <w:szCs w:val="24"/>
          <w:u w:val="single"/>
        </w:rPr>
      </w:pPr>
      <w:r w:rsidRPr="00362372">
        <w:rPr>
          <w:sz w:val="24"/>
          <w:u w:val="single"/>
        </w:rPr>
        <w:t>Procurement documentation</w:t>
      </w:r>
    </w:p>
    <w:p w14:paraId="4E11240B" w14:textId="5EE42D9C" w:rsidR="00C46C8C" w:rsidRPr="00362372" w:rsidRDefault="00653C84" w:rsidP="00683735">
      <w:pPr>
        <w:spacing w:before="100" w:beforeAutospacing="1" w:after="100" w:afterAutospacing="1" w:line="276" w:lineRule="auto"/>
        <w:jc w:val="both"/>
        <w:rPr>
          <w:rFonts w:cstheme="minorHAnsi"/>
          <w:sz w:val="24"/>
          <w:szCs w:val="24"/>
        </w:rPr>
      </w:pPr>
      <w:r w:rsidRPr="00362372">
        <w:rPr>
          <w:sz w:val="24"/>
        </w:rPr>
        <w:t>Pursuant to Annex 5 of the PPL, when inten</w:t>
      </w:r>
      <w:r w:rsidR="005457EC">
        <w:rPr>
          <w:sz w:val="24"/>
        </w:rPr>
        <w:t xml:space="preserve">ding to conduct </w:t>
      </w:r>
      <w:r w:rsidRPr="00362372">
        <w:rPr>
          <w:sz w:val="24"/>
        </w:rPr>
        <w:t xml:space="preserve">electronic auction, procurer is obliged to state the following in its procurement documents: </w:t>
      </w:r>
    </w:p>
    <w:tbl>
      <w:tblPr>
        <w:tblStyle w:val="TableGrid"/>
        <w:tblW w:w="0" w:type="auto"/>
        <w:tblLook w:val="04A0" w:firstRow="1" w:lastRow="0" w:firstColumn="1" w:lastColumn="0" w:noHBand="0" w:noVBand="1"/>
      </w:tblPr>
      <w:tblGrid>
        <w:gridCol w:w="421"/>
        <w:gridCol w:w="8595"/>
      </w:tblGrid>
      <w:tr w:rsidR="0075232D" w:rsidRPr="00362372" w14:paraId="00FAC0C2" w14:textId="77777777" w:rsidTr="0075232D">
        <w:tc>
          <w:tcPr>
            <w:tcW w:w="421" w:type="dxa"/>
            <w:shd w:val="clear" w:color="auto" w:fill="D4D6F6" w:themeFill="accent1" w:themeFillTint="33"/>
          </w:tcPr>
          <w:p w14:paraId="02A0A513"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1</w:t>
            </w:r>
          </w:p>
        </w:tc>
        <w:tc>
          <w:tcPr>
            <w:tcW w:w="8595" w:type="dxa"/>
            <w:shd w:val="clear" w:color="auto" w:fill="E1F7E0" w:themeFill="accent3" w:themeFillTint="33"/>
          </w:tcPr>
          <w:p w14:paraId="67E96CAB"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Elements whose values will be the subject of electronic auction</w:t>
            </w:r>
          </w:p>
        </w:tc>
      </w:tr>
      <w:tr w:rsidR="0075232D" w:rsidRPr="00362372" w14:paraId="545B1E8A" w14:textId="77777777" w:rsidTr="0075232D">
        <w:tc>
          <w:tcPr>
            <w:tcW w:w="421" w:type="dxa"/>
            <w:shd w:val="clear" w:color="auto" w:fill="D4D6F6" w:themeFill="accent1" w:themeFillTint="33"/>
          </w:tcPr>
          <w:p w14:paraId="2EC1746C"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2</w:t>
            </w:r>
          </w:p>
        </w:tc>
        <w:tc>
          <w:tcPr>
            <w:tcW w:w="8595" w:type="dxa"/>
            <w:shd w:val="clear" w:color="auto" w:fill="E1F7E0" w:themeFill="accent3" w:themeFillTint="33"/>
          </w:tcPr>
          <w:p w14:paraId="4E9C1193"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All limitations concerning the values that may be offered, which arise from the specifications related to the procurement subject</w:t>
            </w:r>
          </w:p>
        </w:tc>
      </w:tr>
      <w:tr w:rsidR="0075232D" w:rsidRPr="00362372" w14:paraId="08A84BDD" w14:textId="77777777" w:rsidTr="0075232D">
        <w:tc>
          <w:tcPr>
            <w:tcW w:w="421" w:type="dxa"/>
            <w:shd w:val="clear" w:color="auto" w:fill="D4D6F6" w:themeFill="accent1" w:themeFillTint="33"/>
          </w:tcPr>
          <w:p w14:paraId="46AF661B"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3</w:t>
            </w:r>
          </w:p>
        </w:tc>
        <w:tc>
          <w:tcPr>
            <w:tcW w:w="8595" w:type="dxa"/>
            <w:shd w:val="clear" w:color="auto" w:fill="E1F7E0" w:themeFill="accent3" w:themeFillTint="33"/>
          </w:tcPr>
          <w:p w14:paraId="51ECE8B5"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Information that will be made available to tenderers during electronic auction and, where necessary, information about the actual timing of making it available</w:t>
            </w:r>
          </w:p>
        </w:tc>
      </w:tr>
      <w:tr w:rsidR="0075232D" w:rsidRPr="00362372" w14:paraId="68D42F59" w14:textId="77777777" w:rsidTr="0075232D">
        <w:tc>
          <w:tcPr>
            <w:tcW w:w="421" w:type="dxa"/>
            <w:shd w:val="clear" w:color="auto" w:fill="D4D6F6" w:themeFill="accent1" w:themeFillTint="33"/>
          </w:tcPr>
          <w:p w14:paraId="3B73042C"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4</w:t>
            </w:r>
          </w:p>
        </w:tc>
        <w:tc>
          <w:tcPr>
            <w:tcW w:w="8595" w:type="dxa"/>
            <w:shd w:val="clear" w:color="auto" w:fill="E1F7E0" w:themeFill="accent3" w:themeFillTint="33"/>
          </w:tcPr>
          <w:p w14:paraId="4673F03D"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Relevant information about the process of electronic auction</w:t>
            </w:r>
          </w:p>
        </w:tc>
      </w:tr>
      <w:tr w:rsidR="0075232D" w:rsidRPr="00362372" w14:paraId="4B9FC540" w14:textId="77777777" w:rsidTr="0075232D">
        <w:tc>
          <w:tcPr>
            <w:tcW w:w="421" w:type="dxa"/>
            <w:shd w:val="clear" w:color="auto" w:fill="D4D6F6" w:themeFill="accent1" w:themeFillTint="33"/>
          </w:tcPr>
          <w:p w14:paraId="2F294558"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5</w:t>
            </w:r>
          </w:p>
        </w:tc>
        <w:tc>
          <w:tcPr>
            <w:tcW w:w="8595" w:type="dxa"/>
            <w:shd w:val="clear" w:color="auto" w:fill="E1F7E0" w:themeFill="accent3" w:themeFillTint="33"/>
          </w:tcPr>
          <w:p w14:paraId="5D561CE8"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Conditions under which the tenderers will be competing and especially the minimum differences that will be required during the competition, as necessary</w:t>
            </w:r>
          </w:p>
        </w:tc>
      </w:tr>
      <w:tr w:rsidR="0075232D" w:rsidRPr="00362372" w14:paraId="5B610906" w14:textId="77777777" w:rsidTr="0075232D">
        <w:tc>
          <w:tcPr>
            <w:tcW w:w="421" w:type="dxa"/>
            <w:shd w:val="clear" w:color="auto" w:fill="D4D6F6" w:themeFill="accent1" w:themeFillTint="33"/>
          </w:tcPr>
          <w:p w14:paraId="4B5F0157" w14:textId="77777777" w:rsidR="0075232D" w:rsidRPr="00362372" w:rsidRDefault="0075232D" w:rsidP="00683735">
            <w:pPr>
              <w:spacing w:before="100" w:beforeAutospacing="1" w:after="100" w:afterAutospacing="1" w:line="276" w:lineRule="auto"/>
              <w:jc w:val="both"/>
              <w:rPr>
                <w:rFonts w:cstheme="minorHAnsi"/>
                <w:sz w:val="24"/>
                <w:szCs w:val="24"/>
              </w:rPr>
            </w:pPr>
            <w:r w:rsidRPr="00362372">
              <w:rPr>
                <w:sz w:val="24"/>
              </w:rPr>
              <w:t>6</w:t>
            </w:r>
          </w:p>
        </w:tc>
        <w:tc>
          <w:tcPr>
            <w:tcW w:w="8595" w:type="dxa"/>
            <w:shd w:val="clear" w:color="auto" w:fill="E1F7E0" w:themeFill="accent3" w:themeFillTint="33"/>
          </w:tcPr>
          <w:p w14:paraId="16C33F53" w14:textId="77777777" w:rsidR="0075232D" w:rsidRPr="00362372" w:rsidRDefault="00886AD1" w:rsidP="00683735">
            <w:pPr>
              <w:spacing w:before="100" w:beforeAutospacing="1" w:after="100" w:afterAutospacing="1" w:line="276" w:lineRule="auto"/>
              <w:jc w:val="both"/>
              <w:rPr>
                <w:rFonts w:cstheme="minorHAnsi"/>
                <w:sz w:val="24"/>
                <w:szCs w:val="24"/>
              </w:rPr>
            </w:pPr>
            <w:r w:rsidRPr="00362372">
              <w:rPr>
                <w:sz w:val="24"/>
              </w:rPr>
              <w:t>Relevant information about utilized electronic equipment and about modalities and technical specifications for connecting</w:t>
            </w:r>
            <w:r w:rsidR="00BD379C" w:rsidRPr="00362372">
              <w:rPr>
                <w:rStyle w:val="FootnoteReference"/>
                <w:rFonts w:cstheme="minorHAnsi"/>
                <w:sz w:val="24"/>
                <w:szCs w:val="24"/>
              </w:rPr>
              <w:footnoteReference w:id="10"/>
            </w:r>
          </w:p>
        </w:tc>
      </w:tr>
    </w:tbl>
    <w:p w14:paraId="34A41C06" w14:textId="4C8E36CF" w:rsidR="00653C84" w:rsidRPr="00362372" w:rsidRDefault="00153D8D" w:rsidP="00683735">
      <w:pPr>
        <w:spacing w:before="100" w:beforeAutospacing="1" w:after="100" w:afterAutospacing="1" w:line="276" w:lineRule="auto"/>
        <w:jc w:val="both"/>
        <w:rPr>
          <w:rFonts w:cstheme="minorHAnsi"/>
          <w:sz w:val="24"/>
          <w:szCs w:val="24"/>
        </w:rPr>
      </w:pPr>
      <w:r w:rsidRPr="00362372">
        <w:rPr>
          <w:sz w:val="24"/>
        </w:rPr>
        <w:t xml:space="preserve">Further, section ‘Other requirements’ in the </w:t>
      </w:r>
      <w:r w:rsidR="005457EC">
        <w:rPr>
          <w:sz w:val="24"/>
        </w:rPr>
        <w:t>field</w:t>
      </w:r>
      <w:r w:rsidRPr="00362372">
        <w:rPr>
          <w:sz w:val="24"/>
        </w:rPr>
        <w:t xml:space="preserve"> ‘Additional data on electronic auction’ contains information about the intended electronic auction. </w:t>
      </w:r>
    </w:p>
    <w:tbl>
      <w:tblPr>
        <w:tblStyle w:val="TableGrid"/>
        <w:tblW w:w="0" w:type="auto"/>
        <w:tblLook w:val="04A0" w:firstRow="1" w:lastRow="0" w:firstColumn="1" w:lastColumn="0" w:noHBand="0" w:noVBand="1"/>
      </w:tblPr>
      <w:tblGrid>
        <w:gridCol w:w="9016"/>
      </w:tblGrid>
      <w:tr w:rsidR="00653C84" w:rsidRPr="00362372" w14:paraId="587D2B3B" w14:textId="77777777" w:rsidTr="002C36CC">
        <w:tc>
          <w:tcPr>
            <w:tcW w:w="9016" w:type="dxa"/>
            <w:shd w:val="clear" w:color="auto" w:fill="A7E8A4" w:themeFill="accent3" w:themeFillTint="99"/>
          </w:tcPr>
          <w:p w14:paraId="16D3DACA" w14:textId="77777777" w:rsidR="00653C84" w:rsidRPr="00362372" w:rsidRDefault="00653C84" w:rsidP="00683735">
            <w:pPr>
              <w:spacing w:before="100" w:beforeAutospacing="1" w:after="100" w:afterAutospacing="1" w:line="276" w:lineRule="auto"/>
              <w:jc w:val="both"/>
              <w:rPr>
                <w:rFonts w:cstheme="minorHAnsi"/>
                <w:sz w:val="24"/>
                <w:szCs w:val="24"/>
              </w:rPr>
            </w:pPr>
            <w:r w:rsidRPr="00362372">
              <w:rPr>
                <w:b/>
                <w:sz w:val="24"/>
              </w:rPr>
              <w:t>Example:</w:t>
            </w:r>
            <w:r w:rsidRPr="00362372">
              <w:rPr>
                <w:sz w:val="24"/>
              </w:rPr>
              <w:t xml:space="preserve"> “Electronic auction will be conducted after expert valuation of tenders, with tenderers who have submitted acceptable tenders. This auction’s subject will be the price; within 60 minutes of the auction’s duration, tenderers will be allowed to offer still lower prices for an unlimited number of takes, in the manner determined by the invitation to electronic auctioning.”</w:t>
            </w:r>
          </w:p>
        </w:tc>
      </w:tr>
    </w:tbl>
    <w:p w14:paraId="54F06AF2" w14:textId="63E20349" w:rsidR="00FC0708" w:rsidRPr="00362372" w:rsidRDefault="00FC0708" w:rsidP="00D25B43">
      <w:pPr>
        <w:pStyle w:val="Heading2"/>
        <w:rPr>
          <w:b/>
          <w:color w:val="00B050"/>
          <w:sz w:val="40"/>
          <w:szCs w:val="40"/>
        </w:rPr>
      </w:pPr>
    </w:p>
    <w:p w14:paraId="70A4FC68" w14:textId="77777777" w:rsidR="0091382A" w:rsidRPr="00362372" w:rsidRDefault="0091382A" w:rsidP="0091382A"/>
    <w:p w14:paraId="2643B110" w14:textId="7CA9F3D6" w:rsidR="002C36CC" w:rsidRPr="00362372" w:rsidRDefault="002C36CC" w:rsidP="00D25B43">
      <w:pPr>
        <w:pStyle w:val="Heading2"/>
        <w:rPr>
          <w:b/>
          <w:color w:val="00B050"/>
          <w:sz w:val="40"/>
          <w:szCs w:val="40"/>
        </w:rPr>
      </w:pPr>
      <w:bookmarkStart w:id="25" w:name="_Toc197193690"/>
      <w:r w:rsidRPr="00362372">
        <w:rPr>
          <w:b/>
          <w:color w:val="00B050"/>
          <w:sz w:val="40"/>
        </w:rPr>
        <w:lastRenderedPageBreak/>
        <w:t xml:space="preserve">Expert </w:t>
      </w:r>
      <w:r w:rsidR="006361CA" w:rsidRPr="00362372">
        <w:rPr>
          <w:b/>
          <w:color w:val="00B050"/>
          <w:sz w:val="40"/>
        </w:rPr>
        <w:t>V</w:t>
      </w:r>
      <w:r w:rsidRPr="00362372">
        <w:rPr>
          <w:b/>
          <w:color w:val="00B050"/>
          <w:sz w:val="40"/>
        </w:rPr>
        <w:t xml:space="preserve">aluation of </w:t>
      </w:r>
      <w:r w:rsidR="006361CA" w:rsidRPr="00362372">
        <w:rPr>
          <w:b/>
          <w:color w:val="00B050"/>
          <w:sz w:val="40"/>
        </w:rPr>
        <w:t>T</w:t>
      </w:r>
      <w:r w:rsidRPr="00362372">
        <w:rPr>
          <w:b/>
          <w:color w:val="00B050"/>
          <w:sz w:val="40"/>
        </w:rPr>
        <w:t>enders</w:t>
      </w:r>
      <w:bookmarkEnd w:id="25"/>
    </w:p>
    <w:p w14:paraId="0DEC82EA" w14:textId="77777777" w:rsidR="00153D8D" w:rsidRPr="00362372" w:rsidRDefault="00153D8D" w:rsidP="00A65566">
      <w:pPr>
        <w:spacing w:after="0"/>
      </w:pPr>
    </w:p>
    <w:p w14:paraId="45670527" w14:textId="0A0A3736" w:rsidR="007E50B0" w:rsidRPr="00362372" w:rsidRDefault="00886AD1" w:rsidP="00153D8D">
      <w:pPr>
        <w:jc w:val="both"/>
        <w:rPr>
          <w:rFonts w:cstheme="minorHAnsi"/>
          <w:sz w:val="24"/>
          <w:szCs w:val="24"/>
        </w:rPr>
      </w:pPr>
      <w:r w:rsidRPr="00362372">
        <w:rPr>
          <w:sz w:val="24"/>
        </w:rPr>
        <w:t xml:space="preserve">The process of electronic auction, i.e., using electronic system </w:t>
      </w:r>
      <w:r w:rsidR="00B136D8">
        <w:rPr>
          <w:sz w:val="24"/>
        </w:rPr>
        <w:t>to</w:t>
      </w:r>
      <w:r w:rsidRPr="00362372">
        <w:rPr>
          <w:sz w:val="24"/>
        </w:rPr>
        <w:t xml:space="preserve"> rank tenders, is preceded by a segment of public procurement procedure in which procurer performs the usual process of expert valuation of tenders</w:t>
      </w:r>
      <w:r w:rsidR="00B136D8">
        <w:rPr>
          <w:sz w:val="24"/>
        </w:rPr>
        <w:t>;</w:t>
      </w:r>
      <w:r w:rsidRPr="00362372">
        <w:rPr>
          <w:sz w:val="24"/>
        </w:rPr>
        <w:t xml:space="preserve"> </w:t>
      </w:r>
      <w:r w:rsidR="00B136D8">
        <w:rPr>
          <w:sz w:val="24"/>
        </w:rPr>
        <w:t>however,</w:t>
      </w:r>
      <w:r w:rsidRPr="00362372">
        <w:rPr>
          <w:sz w:val="24"/>
        </w:rPr>
        <w:t xml:space="preserve"> the opening of tenders in case of electronic auction is not public. Namely, procurer </w:t>
      </w:r>
      <w:r w:rsidR="00B136D8">
        <w:rPr>
          <w:sz w:val="24"/>
        </w:rPr>
        <w:t>carries out</w:t>
      </w:r>
      <w:r w:rsidRPr="00362372">
        <w:rPr>
          <w:sz w:val="24"/>
        </w:rPr>
        <w:t xml:space="preserve"> initial valuation of tenders in </w:t>
      </w:r>
      <w:r w:rsidR="00B136D8">
        <w:rPr>
          <w:sz w:val="24"/>
        </w:rPr>
        <w:t>line</w:t>
      </w:r>
      <w:r w:rsidRPr="00362372">
        <w:rPr>
          <w:sz w:val="24"/>
        </w:rPr>
        <w:t xml:space="preserve"> with requirements </w:t>
      </w:r>
      <w:r w:rsidR="00C04F00">
        <w:rPr>
          <w:sz w:val="24"/>
        </w:rPr>
        <w:t>per</w:t>
      </w:r>
      <w:r w:rsidRPr="00362372">
        <w:rPr>
          <w:sz w:val="24"/>
        </w:rPr>
        <w:t xml:space="preserve"> tender document</w:t>
      </w:r>
      <w:r w:rsidR="00C04F00">
        <w:rPr>
          <w:sz w:val="24"/>
        </w:rPr>
        <w:t>s</w:t>
      </w:r>
      <w:r w:rsidRPr="00362372">
        <w:rPr>
          <w:sz w:val="24"/>
        </w:rPr>
        <w:t xml:space="preserve"> in terms of technical specifications, </w:t>
      </w:r>
      <w:r w:rsidR="005457EC">
        <w:rPr>
          <w:sz w:val="24"/>
        </w:rPr>
        <w:t>c</w:t>
      </w:r>
      <w:r w:rsidR="00364249">
        <w:rPr>
          <w:sz w:val="24"/>
        </w:rPr>
        <w:t>riteria for the qualitative selection</w:t>
      </w:r>
      <w:r w:rsidRPr="00362372">
        <w:rPr>
          <w:sz w:val="24"/>
        </w:rPr>
        <w:t xml:space="preserve"> of economic operator, etc., and compiles report on expert valuation of tenders. </w:t>
      </w:r>
      <w:r w:rsidR="00B136D8" w:rsidRPr="00362372">
        <w:rPr>
          <w:sz w:val="24"/>
        </w:rPr>
        <w:t>Thus</w:t>
      </w:r>
      <w:r w:rsidRPr="00362372">
        <w:rPr>
          <w:sz w:val="24"/>
        </w:rPr>
        <w:t xml:space="preserve">, the actual auctioning is not conducted until the completion of expert valuation of tenders. This means that the subject of auctioning are only tenders that were not rejected. To this end, prior to electronic auction has to be compiled report on expert valuation of tenders but, logically, </w:t>
      </w:r>
      <w:r w:rsidR="00B136D8">
        <w:rPr>
          <w:sz w:val="24"/>
        </w:rPr>
        <w:t>without</w:t>
      </w:r>
      <w:r w:rsidRPr="00362372">
        <w:rPr>
          <w:sz w:val="24"/>
        </w:rPr>
        <w:t xml:space="preserve"> decision on awarding contract. </w:t>
      </w:r>
      <w:r w:rsidR="00D4711A">
        <w:rPr>
          <w:sz w:val="24"/>
        </w:rPr>
        <w:t>Hence</w:t>
      </w:r>
      <w:r w:rsidRPr="00362372">
        <w:rPr>
          <w:sz w:val="24"/>
        </w:rPr>
        <w:t>, procurer firstly opens the tenders, establishes if those are acceptable in a usual way, and thereafter conducts electronic auction.</w:t>
      </w:r>
    </w:p>
    <w:p w14:paraId="1C3D8136" w14:textId="44F4BED3" w:rsidR="002C36CC" w:rsidRPr="00362372" w:rsidRDefault="002C36CC" w:rsidP="00C46C8C">
      <w:pPr>
        <w:jc w:val="both"/>
        <w:rPr>
          <w:rFonts w:cstheme="minorHAnsi"/>
          <w:sz w:val="24"/>
          <w:szCs w:val="24"/>
        </w:rPr>
      </w:pPr>
      <w:r w:rsidRPr="00362372">
        <w:rPr>
          <w:sz w:val="24"/>
        </w:rPr>
        <w:t>When drafting expert valuation on the Portal, select option ‘Conducting electronic auction to award the contract’ in section ‘Decision on the next phase’.</w:t>
      </w:r>
    </w:p>
    <w:p w14:paraId="7E92B880" w14:textId="77777777" w:rsidR="00683735" w:rsidRPr="00362372"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p w14:paraId="5DBCF611" w14:textId="77777777" w:rsidR="00683735" w:rsidRPr="00362372" w:rsidRDefault="00401DCB" w:rsidP="00C46C8C">
      <w:pPr>
        <w:jc w:val="both"/>
        <w:rPr>
          <w:rFonts w:cstheme="minorHAnsi"/>
          <w:sz w:val="24"/>
          <w:szCs w:val="24"/>
        </w:rPr>
      </w:pPr>
      <w:r w:rsidRPr="00362372">
        <w:rPr>
          <w:b/>
          <w:sz w:val="24"/>
        </w:rPr>
        <w:drawing>
          <wp:inline distT="0" distB="0" distL="0" distR="0" wp14:anchorId="46BF5630" wp14:editId="355A59B9">
            <wp:extent cx="5715000" cy="1695450"/>
            <wp:effectExtent l="0" t="0" r="0" b="0"/>
            <wp:docPr id="1705129714" name="Picture 17051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p w14:paraId="3538D5D9" w14:textId="77777777" w:rsidR="00956E4D" w:rsidRPr="00362372" w:rsidRDefault="00956E4D" w:rsidP="00A65566">
      <w:pPr>
        <w:spacing w:after="0"/>
        <w:jc w:val="both"/>
        <w:rPr>
          <w:rFonts w:cstheme="minorHAnsi"/>
          <w:b/>
          <w:sz w:val="24"/>
          <w:szCs w:val="24"/>
        </w:rPr>
      </w:pPr>
    </w:p>
    <w:p w14:paraId="6070C058" w14:textId="4E90040F" w:rsidR="00AA7D9F" w:rsidRPr="00362372" w:rsidRDefault="00373AAA" w:rsidP="00C46C8C">
      <w:pPr>
        <w:jc w:val="both"/>
        <w:rPr>
          <w:rFonts w:asciiTheme="majorHAnsi" w:hAnsiTheme="majorHAnsi" w:cstheme="majorBidi"/>
          <w:b/>
          <w:color w:val="00B050"/>
          <w:sz w:val="40"/>
          <w:szCs w:val="40"/>
        </w:rPr>
      </w:pPr>
      <w:r w:rsidRPr="00362372">
        <w:rPr>
          <w:rFonts w:asciiTheme="majorHAnsi" w:hAnsiTheme="majorHAnsi"/>
          <w:b/>
          <w:color w:val="00B050"/>
          <w:sz w:val="40"/>
        </w:rPr>
        <w:t xml:space="preserve">Conducting and </w:t>
      </w:r>
      <w:r w:rsidR="006361CA" w:rsidRPr="00362372">
        <w:rPr>
          <w:rFonts w:asciiTheme="majorHAnsi" w:hAnsiTheme="majorHAnsi"/>
          <w:b/>
          <w:color w:val="00B050"/>
          <w:sz w:val="40"/>
        </w:rPr>
        <w:t>E</w:t>
      </w:r>
      <w:r w:rsidRPr="00362372">
        <w:rPr>
          <w:rFonts w:asciiTheme="majorHAnsi" w:hAnsiTheme="majorHAnsi"/>
          <w:b/>
          <w:color w:val="00B050"/>
          <w:sz w:val="40"/>
        </w:rPr>
        <w:t xml:space="preserve">nding the </w:t>
      </w:r>
      <w:r w:rsidR="006361CA" w:rsidRPr="00362372">
        <w:rPr>
          <w:rFonts w:asciiTheme="majorHAnsi" w:hAnsiTheme="majorHAnsi"/>
          <w:b/>
          <w:color w:val="00B050"/>
          <w:sz w:val="40"/>
        </w:rPr>
        <w:t>A</w:t>
      </w:r>
      <w:r w:rsidRPr="00362372">
        <w:rPr>
          <w:rFonts w:asciiTheme="majorHAnsi" w:hAnsiTheme="majorHAnsi"/>
          <w:b/>
          <w:color w:val="00B050"/>
          <w:sz w:val="40"/>
        </w:rPr>
        <w:t>uction</w:t>
      </w:r>
    </w:p>
    <w:p w14:paraId="608FD9FE" w14:textId="77777777" w:rsidR="00C46C8C" w:rsidRPr="00362372" w:rsidRDefault="00C46C8C" w:rsidP="00C46C8C">
      <w:pPr>
        <w:jc w:val="both"/>
        <w:rPr>
          <w:rFonts w:cstheme="minorHAnsi"/>
          <w:b/>
          <w:sz w:val="24"/>
          <w:szCs w:val="24"/>
        </w:rPr>
      </w:pPr>
      <w:r w:rsidRPr="00362372">
        <w:rPr>
          <w:b/>
          <w:sz w:val="24"/>
        </w:rPr>
        <w:t xml:space="preserve">Method of using electronic auction </w:t>
      </w:r>
    </w:p>
    <w:p w14:paraId="09AABFF1" w14:textId="0F62EDCA" w:rsidR="00C46C8C" w:rsidRPr="00362372" w:rsidRDefault="00C46C8C" w:rsidP="00C46C8C">
      <w:pPr>
        <w:jc w:val="both"/>
        <w:rPr>
          <w:rFonts w:cstheme="minorHAnsi"/>
          <w:sz w:val="24"/>
          <w:szCs w:val="24"/>
        </w:rPr>
      </w:pPr>
      <w:r w:rsidRPr="00362372">
        <w:rPr>
          <w:sz w:val="24"/>
        </w:rPr>
        <w:t xml:space="preserve">Electronic auction is conducted as an iterative electronic process, whereby novel lower prices or novel values of specified elements of the award criterion are submitted, and the ranking of tenders by using automatic valuation methods is enabled. Where the </w:t>
      </w:r>
      <w:r w:rsidR="00F42448" w:rsidRPr="00362372">
        <w:rPr>
          <w:sz w:val="24"/>
        </w:rPr>
        <w:t>price</w:t>
      </w:r>
      <w:r w:rsidR="00F42448" w:rsidRPr="00362372">
        <w:rPr>
          <w:sz w:val="24"/>
        </w:rPr>
        <w:t xml:space="preserve"> </w:t>
      </w:r>
      <w:r w:rsidRPr="00362372">
        <w:rPr>
          <w:sz w:val="24"/>
        </w:rPr>
        <w:t xml:space="preserve">is </w:t>
      </w:r>
      <w:r w:rsidR="00F42448">
        <w:rPr>
          <w:sz w:val="24"/>
        </w:rPr>
        <w:t>the</w:t>
      </w:r>
      <w:r w:rsidR="00F42448" w:rsidRPr="00F42448">
        <w:rPr>
          <w:sz w:val="24"/>
        </w:rPr>
        <w:t xml:space="preserve"> </w:t>
      </w:r>
      <w:r w:rsidR="00F42448" w:rsidRPr="00362372">
        <w:rPr>
          <w:sz w:val="24"/>
        </w:rPr>
        <w:t>sole criterion</w:t>
      </w:r>
      <w:r w:rsidRPr="00362372">
        <w:rPr>
          <w:sz w:val="24"/>
        </w:rPr>
        <w:t>, electronic auction is based on the price alone. Where the contract is awarded on the basis of the best price/quality ratio, or on the basis of the lowest costs by applying the principle of cost efficiency, electronic auction is based on the price and/or novel values of specified elements of the award criteria</w:t>
      </w:r>
      <w:r w:rsidR="00F42448">
        <w:rPr>
          <w:sz w:val="24"/>
        </w:rPr>
        <w:t xml:space="preserve"> as</w:t>
      </w:r>
      <w:r w:rsidRPr="00362372">
        <w:rPr>
          <w:sz w:val="24"/>
        </w:rPr>
        <w:t xml:space="preserve"> set in the procurement documentation.</w:t>
      </w:r>
    </w:p>
    <w:p w14:paraId="71001165" w14:textId="1A71DD2A" w:rsidR="002C36CC" w:rsidRPr="00362372" w:rsidRDefault="002C36CC" w:rsidP="00C46C8C">
      <w:pPr>
        <w:jc w:val="both"/>
        <w:rPr>
          <w:rFonts w:cstheme="minorHAnsi"/>
          <w:b/>
          <w:sz w:val="24"/>
          <w:szCs w:val="24"/>
        </w:rPr>
      </w:pPr>
      <w:r w:rsidRPr="00362372">
        <w:rPr>
          <w:b/>
          <w:sz w:val="24"/>
        </w:rPr>
        <w:t>Initiating electronic auction</w:t>
      </w:r>
    </w:p>
    <w:p w14:paraId="2AA8416F" w14:textId="05565C4F" w:rsidR="002C36CC" w:rsidRPr="00362372" w:rsidRDefault="002C36CC" w:rsidP="002C36CC">
      <w:pPr>
        <w:jc w:val="both"/>
        <w:rPr>
          <w:rFonts w:cstheme="minorHAnsi"/>
          <w:sz w:val="24"/>
          <w:szCs w:val="24"/>
        </w:rPr>
      </w:pPr>
      <w:r w:rsidRPr="00362372">
        <w:rPr>
          <w:sz w:val="24"/>
        </w:rPr>
        <w:t>To initiate electronic auction, select option ‘Auctions’ - ‘New auction’ on the procedure’s navigation line.</w:t>
      </w:r>
    </w:p>
    <w:p w14:paraId="1FA50FB9" w14:textId="7356583E" w:rsidR="002C36CC" w:rsidRPr="00362372" w:rsidRDefault="00683735" w:rsidP="00760D2B">
      <w:pPr>
        <w:spacing w:before="100" w:beforeAutospacing="1" w:after="100" w:afterAutospacing="1" w:line="276" w:lineRule="auto"/>
        <w:jc w:val="center"/>
        <w:rPr>
          <w:rFonts w:cstheme="minorHAnsi"/>
          <w:b/>
          <w:sz w:val="24"/>
          <w:szCs w:val="24"/>
        </w:rPr>
      </w:pPr>
      <w:r w:rsidRPr="00362372">
        <w:rPr>
          <w:i/>
          <w:color w:val="1E25A0" w:themeColor="accent1" w:themeShade="BF"/>
          <w:sz w:val="24"/>
        </w:rPr>
        <w:lastRenderedPageBreak/>
        <w:t>Display on the Portal</w:t>
      </w:r>
      <w:r w:rsidR="002C36CC" w:rsidRPr="00362372">
        <w:rPr>
          <w:sz w:val="24"/>
        </w:rPr>
        <w:drawing>
          <wp:inline distT="0" distB="0" distL="0" distR="0" wp14:anchorId="6630EE1D" wp14:editId="39390D7B">
            <wp:extent cx="5715000" cy="885825"/>
            <wp:effectExtent l="0" t="0" r="0" b="9525"/>
            <wp:docPr id="1705129715" name="Picture 17051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885825"/>
                    </a:xfrm>
                    <a:prstGeom prst="rect">
                      <a:avLst/>
                    </a:prstGeom>
                    <a:noFill/>
                    <a:ln>
                      <a:noFill/>
                    </a:ln>
                  </pic:spPr>
                </pic:pic>
              </a:graphicData>
            </a:graphic>
          </wp:inline>
        </w:drawing>
      </w:r>
      <w:r w:rsidR="002C36CC" w:rsidRPr="00362372">
        <w:rPr>
          <w:sz w:val="24"/>
        </w:rPr>
        <w:t xml:space="preserve">Next, </w:t>
      </w:r>
      <w:r w:rsidR="00760D2B">
        <w:rPr>
          <w:sz w:val="24"/>
        </w:rPr>
        <w:t xml:space="preserve">enter </w:t>
      </w:r>
      <w:r w:rsidR="002C36CC" w:rsidRPr="00362372">
        <w:rPr>
          <w:sz w:val="24"/>
        </w:rPr>
        <w:t>basic data about the auction (reference number and a short description of the auction</w:t>
      </w:r>
      <w:r w:rsidR="00760D2B" w:rsidRPr="00760D2B">
        <w:rPr>
          <w:sz w:val="24"/>
        </w:rPr>
        <w:t xml:space="preserve"> </w:t>
      </w:r>
      <w:r w:rsidR="00760D2B" w:rsidRPr="00362372">
        <w:rPr>
          <w:sz w:val="24"/>
        </w:rPr>
        <w:t>subject</w:t>
      </w:r>
      <w:r w:rsidR="002C36CC" w:rsidRPr="00362372">
        <w:rPr>
          <w:sz w:val="24"/>
        </w:rPr>
        <w:t>), and the</w:t>
      </w:r>
      <w:r w:rsidR="00760D2B">
        <w:rPr>
          <w:sz w:val="24"/>
        </w:rPr>
        <w:t>n create</w:t>
      </w:r>
      <w:r w:rsidR="002C36CC" w:rsidRPr="00362372">
        <w:rPr>
          <w:sz w:val="24"/>
        </w:rPr>
        <w:t xml:space="preserve"> a special sub-platform within the procedure in which will be conducted complete electronic auction, from sending invitations and up to its completion.</w:t>
      </w:r>
    </w:p>
    <w:p w14:paraId="1A58EDD9" w14:textId="77777777" w:rsidR="0075232D" w:rsidRPr="00362372" w:rsidRDefault="0075232D" w:rsidP="00C46C8C">
      <w:pPr>
        <w:jc w:val="both"/>
        <w:rPr>
          <w:rFonts w:cstheme="minorHAnsi"/>
          <w:b/>
          <w:sz w:val="24"/>
          <w:szCs w:val="24"/>
        </w:rPr>
      </w:pPr>
      <w:r w:rsidRPr="00362372">
        <w:rPr>
          <w:b/>
          <w:sz w:val="24"/>
        </w:rPr>
        <w:t>Invitation to the auction</w:t>
      </w:r>
    </w:p>
    <w:p w14:paraId="60A955CD" w14:textId="0F50B838" w:rsidR="002C36CC" w:rsidRPr="00362372" w:rsidRDefault="00C46C8C" w:rsidP="00C46C8C">
      <w:pPr>
        <w:jc w:val="both"/>
        <w:rPr>
          <w:rFonts w:cstheme="minorHAnsi"/>
          <w:sz w:val="24"/>
          <w:szCs w:val="24"/>
        </w:rPr>
      </w:pPr>
      <w:r w:rsidRPr="00362372">
        <w:rPr>
          <w:sz w:val="24"/>
        </w:rPr>
        <w:t>Procurer invites simultaneously, through the Portal, all tenderers who have submitted acceptable tenders. In its invitation, it specifie</w:t>
      </w:r>
      <w:r w:rsidR="00760D2B">
        <w:rPr>
          <w:sz w:val="24"/>
        </w:rPr>
        <w:t>s</w:t>
      </w:r>
      <w:r w:rsidRPr="00362372">
        <w:rPr>
          <w:sz w:val="24"/>
        </w:rPr>
        <w:t xml:space="preserve"> the exact time of the start of auctioning and provides instructions on the way of its conducting. </w:t>
      </w:r>
    </w:p>
    <w:p w14:paraId="5B4D8D9C" w14:textId="77777777" w:rsidR="00FC0708" w:rsidRPr="00362372" w:rsidRDefault="004130D6" w:rsidP="00FC0708">
      <w:pPr>
        <w:spacing w:after="0" w:line="240" w:lineRule="auto"/>
        <w:jc w:val="both"/>
        <w:rPr>
          <w:rFonts w:cstheme="minorHAnsi"/>
          <w:sz w:val="24"/>
          <w:szCs w:val="24"/>
        </w:rPr>
      </w:pPr>
      <w:r w:rsidRPr="00362372">
        <w:rPr>
          <w:sz w:val="24"/>
        </w:rPr>
        <w:t xml:space="preserve">Invitation is a particularly important document, especially the plan and mode of its conducting that specify: </w:t>
      </w:r>
    </w:p>
    <w:p w14:paraId="493E8857" w14:textId="77777777" w:rsidR="00FC0708" w:rsidRPr="00362372" w:rsidRDefault="003A4B58" w:rsidP="00FC0708">
      <w:pPr>
        <w:pStyle w:val="ListParagraph"/>
        <w:numPr>
          <w:ilvl w:val="0"/>
          <w:numId w:val="19"/>
        </w:numPr>
        <w:spacing w:after="0" w:line="240" w:lineRule="auto"/>
        <w:jc w:val="both"/>
        <w:rPr>
          <w:rFonts w:cstheme="minorHAnsi"/>
          <w:sz w:val="24"/>
          <w:szCs w:val="24"/>
        </w:rPr>
      </w:pPr>
      <w:r w:rsidRPr="00362372">
        <w:rPr>
          <w:sz w:val="24"/>
        </w:rPr>
        <w:t xml:space="preserve">Date and time of the start of auctioning; </w:t>
      </w:r>
    </w:p>
    <w:p w14:paraId="7F01564E" w14:textId="77777777" w:rsidR="00FC0708" w:rsidRPr="00362372" w:rsidRDefault="003A4B58" w:rsidP="00FC0708">
      <w:pPr>
        <w:pStyle w:val="ListParagraph"/>
        <w:numPr>
          <w:ilvl w:val="0"/>
          <w:numId w:val="19"/>
        </w:numPr>
        <w:jc w:val="both"/>
        <w:rPr>
          <w:rFonts w:cstheme="minorHAnsi"/>
          <w:sz w:val="24"/>
          <w:szCs w:val="24"/>
        </w:rPr>
      </w:pPr>
      <w:r w:rsidRPr="00362372">
        <w:rPr>
          <w:sz w:val="24"/>
        </w:rPr>
        <w:t xml:space="preserve">Whether the auction is conducted in phases and (where the answer is YES) in how many phases; </w:t>
      </w:r>
    </w:p>
    <w:p w14:paraId="7158F355" w14:textId="77777777" w:rsidR="00FC0708" w:rsidRPr="00362372" w:rsidRDefault="003A4B58" w:rsidP="00FC0708">
      <w:pPr>
        <w:pStyle w:val="ListParagraph"/>
        <w:numPr>
          <w:ilvl w:val="0"/>
          <w:numId w:val="19"/>
        </w:numPr>
        <w:jc w:val="both"/>
        <w:rPr>
          <w:rFonts w:cstheme="minorHAnsi"/>
          <w:sz w:val="24"/>
          <w:szCs w:val="24"/>
        </w:rPr>
      </w:pPr>
      <w:r w:rsidRPr="00362372">
        <w:rPr>
          <w:sz w:val="24"/>
        </w:rPr>
        <w:t xml:space="preserve">Duration of the auction in minutes; </w:t>
      </w:r>
    </w:p>
    <w:p w14:paraId="1F1D8D38" w14:textId="7F1A865C" w:rsidR="00373AAA" w:rsidRPr="00362372" w:rsidRDefault="003A4B58" w:rsidP="00373AAA">
      <w:pPr>
        <w:pStyle w:val="ListParagraph"/>
        <w:numPr>
          <w:ilvl w:val="0"/>
          <w:numId w:val="19"/>
        </w:numPr>
        <w:jc w:val="both"/>
        <w:rPr>
          <w:rFonts w:cstheme="minorHAnsi"/>
          <w:sz w:val="24"/>
          <w:szCs w:val="24"/>
        </w:rPr>
      </w:pPr>
      <w:r w:rsidRPr="00362372">
        <w:rPr>
          <w:sz w:val="24"/>
        </w:rPr>
        <w:t xml:space="preserve">Whether the auction is automatically extended if, in a specified period prior to </w:t>
      </w:r>
      <w:r w:rsidR="00760D2B">
        <w:rPr>
          <w:sz w:val="24"/>
        </w:rPr>
        <w:t>its</w:t>
      </w:r>
      <w:r w:rsidRPr="00362372">
        <w:rPr>
          <w:sz w:val="24"/>
        </w:rPr>
        <w:t xml:space="preserve"> closure, a new tender is submitted and (where the answer is YES) which period before the closure is considered as relevant, and how much will be extended deadline for the </w:t>
      </w:r>
      <w:r w:rsidR="00760D2B" w:rsidRPr="00362372">
        <w:rPr>
          <w:sz w:val="24"/>
        </w:rPr>
        <w:t>auction</w:t>
      </w:r>
      <w:r w:rsidR="00760D2B" w:rsidRPr="00362372">
        <w:rPr>
          <w:sz w:val="24"/>
        </w:rPr>
        <w:t xml:space="preserve"> </w:t>
      </w:r>
      <w:r w:rsidRPr="00362372">
        <w:rPr>
          <w:sz w:val="24"/>
        </w:rPr>
        <w:t>closure. All above data are entered in the section ‘Plan and method of conducting’ in the appropriate fields on the Portal.</w:t>
      </w:r>
    </w:p>
    <w:p w14:paraId="4732358F" w14:textId="77777777" w:rsidR="00760D2B" w:rsidRDefault="00683735" w:rsidP="00760D2B">
      <w:pPr>
        <w:jc w:val="center"/>
        <w:rPr>
          <w:i/>
          <w:color w:val="1E25A0" w:themeColor="accent1" w:themeShade="BF"/>
          <w:sz w:val="24"/>
        </w:rPr>
      </w:pPr>
      <w:r w:rsidRPr="00362372">
        <w:rPr>
          <w:i/>
          <w:color w:val="1E25A0" w:themeColor="accent1" w:themeShade="BF"/>
          <w:sz w:val="24"/>
        </w:rPr>
        <w:t>Display on the Portal</w:t>
      </w:r>
    </w:p>
    <w:p w14:paraId="62319B15" w14:textId="37A16F28" w:rsidR="004130D6" w:rsidRPr="00362372" w:rsidRDefault="004130D6" w:rsidP="00760D2B">
      <w:pPr>
        <w:jc w:val="center"/>
        <w:rPr>
          <w:rFonts w:cstheme="minorHAnsi"/>
          <w:sz w:val="24"/>
          <w:szCs w:val="24"/>
        </w:rPr>
      </w:pPr>
      <w:bookmarkStart w:id="26" w:name="_Hlk197262592"/>
      <w:r w:rsidRPr="00362372">
        <w:rPr>
          <w:sz w:val="24"/>
        </w:rPr>
        <w:drawing>
          <wp:inline distT="0" distB="0" distL="0" distR="0" wp14:anchorId="6EC71B70" wp14:editId="2761F08F">
            <wp:extent cx="5443292" cy="3167167"/>
            <wp:effectExtent l="0" t="0" r="5080" b="0"/>
            <wp:docPr id="1705129717" name="Picture 17051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6864" cy="3169245"/>
                    </a:xfrm>
                    <a:prstGeom prst="rect">
                      <a:avLst/>
                    </a:prstGeom>
                    <a:noFill/>
                    <a:ln>
                      <a:noFill/>
                    </a:ln>
                  </pic:spPr>
                </pic:pic>
              </a:graphicData>
            </a:graphic>
          </wp:inline>
        </w:drawing>
      </w:r>
    </w:p>
    <w:bookmarkEnd w:id="26"/>
    <w:p w14:paraId="24175B0F" w14:textId="77777777" w:rsidR="005F35AF" w:rsidRPr="00362372" w:rsidRDefault="005F35AF" w:rsidP="00C46C8C">
      <w:pPr>
        <w:jc w:val="both"/>
        <w:rPr>
          <w:rFonts w:cstheme="minorHAnsi"/>
          <w:sz w:val="24"/>
          <w:szCs w:val="24"/>
        </w:rPr>
      </w:pPr>
    </w:p>
    <w:p w14:paraId="2F0D0D8A" w14:textId="77777777" w:rsidR="004130D6" w:rsidRPr="00362372" w:rsidRDefault="004130D6" w:rsidP="00DF7DF2">
      <w:pPr>
        <w:spacing w:after="0"/>
        <w:ind w:left="-57"/>
        <w:jc w:val="both"/>
        <w:rPr>
          <w:rFonts w:cstheme="minorHAnsi"/>
          <w:sz w:val="24"/>
          <w:szCs w:val="24"/>
        </w:rPr>
      </w:pPr>
      <w:r w:rsidRPr="00362372">
        <w:rPr>
          <w:sz w:val="24"/>
        </w:rPr>
        <w:t>An equally important aspect is the setting of information visibility options during electronic auction, where procurer chooses one of the following options:</w:t>
      </w:r>
    </w:p>
    <w:p w14:paraId="22CD3EBA" w14:textId="77777777" w:rsidR="000A1AB2" w:rsidRPr="00362372" w:rsidRDefault="004130D6" w:rsidP="00DF7DF2">
      <w:pPr>
        <w:numPr>
          <w:ilvl w:val="0"/>
          <w:numId w:val="10"/>
        </w:numPr>
        <w:spacing w:after="0"/>
        <w:ind w:left="527" w:hanging="357"/>
        <w:jc w:val="both"/>
        <w:rPr>
          <w:rFonts w:cstheme="minorHAnsi"/>
          <w:sz w:val="24"/>
          <w:szCs w:val="24"/>
        </w:rPr>
      </w:pPr>
      <w:r w:rsidRPr="00362372">
        <w:rPr>
          <w:sz w:val="24"/>
        </w:rPr>
        <w:t xml:space="preserve">Participants see </w:t>
      </w:r>
      <w:r w:rsidRPr="00362372">
        <w:rPr>
          <w:b/>
          <w:sz w:val="24"/>
        </w:rPr>
        <w:t>only their own ranking</w:t>
      </w:r>
    </w:p>
    <w:p w14:paraId="36EC2602" w14:textId="77777777" w:rsidR="000A1AB2" w:rsidRPr="00362372" w:rsidRDefault="004130D6" w:rsidP="001C3C62">
      <w:pPr>
        <w:numPr>
          <w:ilvl w:val="0"/>
          <w:numId w:val="10"/>
        </w:numPr>
        <w:spacing w:before="100" w:beforeAutospacing="1" w:after="100" w:afterAutospacing="1"/>
        <w:ind w:left="527" w:hanging="357"/>
        <w:jc w:val="both"/>
        <w:rPr>
          <w:rFonts w:cstheme="minorHAnsi"/>
          <w:sz w:val="24"/>
          <w:szCs w:val="24"/>
        </w:rPr>
      </w:pPr>
      <w:r w:rsidRPr="00362372">
        <w:rPr>
          <w:sz w:val="24"/>
        </w:rPr>
        <w:t xml:space="preserve">Participants see </w:t>
      </w:r>
      <w:r w:rsidRPr="00362372">
        <w:rPr>
          <w:b/>
          <w:sz w:val="24"/>
        </w:rPr>
        <w:t>their own ranking and the total number of participants</w:t>
      </w:r>
    </w:p>
    <w:p w14:paraId="1C7AFCA9" w14:textId="427AA807" w:rsidR="000A1AB2" w:rsidRPr="00362372" w:rsidRDefault="004130D6" w:rsidP="001C3C62">
      <w:pPr>
        <w:numPr>
          <w:ilvl w:val="0"/>
          <w:numId w:val="10"/>
        </w:numPr>
        <w:spacing w:before="100" w:beforeAutospacing="1" w:after="100" w:afterAutospacing="1"/>
        <w:ind w:left="527" w:hanging="357"/>
        <w:jc w:val="both"/>
        <w:rPr>
          <w:rFonts w:cstheme="minorHAnsi"/>
          <w:sz w:val="24"/>
          <w:szCs w:val="24"/>
        </w:rPr>
      </w:pPr>
      <w:r w:rsidRPr="00362372">
        <w:rPr>
          <w:sz w:val="24"/>
        </w:rPr>
        <w:t xml:space="preserve">Participants see </w:t>
      </w:r>
      <w:r w:rsidRPr="00362372">
        <w:rPr>
          <w:b/>
          <w:sz w:val="24"/>
        </w:rPr>
        <w:t xml:space="preserve">their own ranking, the total number of participants, </w:t>
      </w:r>
      <w:r w:rsidR="00BB3F30">
        <w:rPr>
          <w:b/>
          <w:sz w:val="24"/>
        </w:rPr>
        <w:t xml:space="preserve">as well as </w:t>
      </w:r>
      <w:r w:rsidRPr="00362372">
        <w:rPr>
          <w:b/>
          <w:sz w:val="24"/>
        </w:rPr>
        <w:t xml:space="preserve">offered prices </w:t>
      </w:r>
      <w:r w:rsidRPr="00362372">
        <w:rPr>
          <w:sz w:val="24"/>
        </w:rPr>
        <w:t xml:space="preserve">and other values of all </w:t>
      </w:r>
      <w:r w:rsidRPr="00362372">
        <w:rPr>
          <w:b/>
          <w:sz w:val="24"/>
        </w:rPr>
        <w:t>last tenders</w:t>
      </w:r>
    </w:p>
    <w:p w14:paraId="353BA262" w14:textId="65B15436" w:rsidR="000A1AB2" w:rsidRPr="00362372" w:rsidRDefault="004130D6" w:rsidP="001C3C62">
      <w:pPr>
        <w:numPr>
          <w:ilvl w:val="0"/>
          <w:numId w:val="10"/>
        </w:numPr>
        <w:spacing w:before="100" w:beforeAutospacing="1" w:after="100" w:afterAutospacing="1"/>
        <w:ind w:left="527" w:hanging="357"/>
        <w:jc w:val="both"/>
        <w:rPr>
          <w:rFonts w:cstheme="minorHAnsi"/>
          <w:sz w:val="24"/>
          <w:szCs w:val="24"/>
        </w:rPr>
      </w:pPr>
      <w:r w:rsidRPr="00362372">
        <w:rPr>
          <w:sz w:val="24"/>
        </w:rPr>
        <w:t xml:space="preserve">Participants see </w:t>
      </w:r>
      <w:r w:rsidRPr="00362372">
        <w:rPr>
          <w:b/>
          <w:sz w:val="24"/>
        </w:rPr>
        <w:t xml:space="preserve">their own ranking, the total number of participants, </w:t>
      </w:r>
      <w:r w:rsidR="00BB3F30">
        <w:rPr>
          <w:b/>
          <w:sz w:val="24"/>
        </w:rPr>
        <w:t>as well as</w:t>
      </w:r>
      <w:r w:rsidR="00BB3F30" w:rsidRPr="00362372">
        <w:rPr>
          <w:b/>
          <w:sz w:val="24"/>
        </w:rPr>
        <w:t xml:space="preserve"> </w:t>
      </w:r>
      <w:r w:rsidRPr="00362372">
        <w:rPr>
          <w:b/>
          <w:sz w:val="24"/>
        </w:rPr>
        <w:t xml:space="preserve">offered prices </w:t>
      </w:r>
      <w:r w:rsidRPr="00362372">
        <w:rPr>
          <w:sz w:val="24"/>
        </w:rPr>
        <w:t xml:space="preserve">and other values of </w:t>
      </w:r>
      <w:r w:rsidRPr="00362372">
        <w:rPr>
          <w:b/>
          <w:sz w:val="24"/>
        </w:rPr>
        <w:t>the currently most advantageous tender</w:t>
      </w:r>
    </w:p>
    <w:p w14:paraId="4BD14BEA" w14:textId="768C534A" w:rsidR="008F1697" w:rsidRPr="00362372" w:rsidRDefault="004130D6" w:rsidP="008F1697">
      <w:pPr>
        <w:spacing w:before="100" w:beforeAutospacing="1" w:after="100" w:afterAutospacing="1"/>
        <w:ind w:left="-57"/>
        <w:jc w:val="both"/>
        <w:rPr>
          <w:rFonts w:cstheme="minorHAnsi"/>
          <w:sz w:val="24"/>
          <w:szCs w:val="24"/>
        </w:rPr>
      </w:pPr>
      <w:r w:rsidRPr="00362372">
        <w:rPr>
          <w:sz w:val="24"/>
        </w:rPr>
        <w:t xml:space="preserve">It is further necessary to select on the Portal whether the auctioning participants see own potential ranking before submitting a novel value. If activated, this option will allow each auctioning participant to know which rank would its offered specific, lower price (or other value that is the subject of auctioning) </w:t>
      </w:r>
      <w:r w:rsidR="00BB3F30" w:rsidRPr="00362372">
        <w:rPr>
          <w:sz w:val="24"/>
        </w:rPr>
        <w:t>take</w:t>
      </w:r>
      <w:r w:rsidR="00BB3F30">
        <w:rPr>
          <w:sz w:val="24"/>
        </w:rPr>
        <w:t>,</w:t>
      </w:r>
      <w:r w:rsidR="00BB3F30" w:rsidRPr="00362372">
        <w:rPr>
          <w:sz w:val="24"/>
        </w:rPr>
        <w:t xml:space="preserve"> </w:t>
      </w:r>
      <w:r w:rsidRPr="00362372">
        <w:rPr>
          <w:sz w:val="24"/>
        </w:rPr>
        <w:t>whereas otherwise it will not have this information until after submitting new tender.</w:t>
      </w:r>
    </w:p>
    <w:p w14:paraId="375A2055" w14:textId="699E81C5" w:rsidR="008F1697" w:rsidRPr="00362372" w:rsidRDefault="00015CAD" w:rsidP="008F1697">
      <w:pPr>
        <w:spacing w:before="100" w:beforeAutospacing="1" w:after="100" w:afterAutospacing="1"/>
        <w:ind w:left="-57"/>
        <w:jc w:val="both"/>
        <w:rPr>
          <w:rFonts w:cstheme="minorHAnsi"/>
          <w:sz w:val="24"/>
          <w:szCs w:val="24"/>
        </w:rPr>
      </w:pPr>
      <w:r w:rsidRPr="00362372">
        <w:rPr>
          <w:sz w:val="24"/>
        </w:rPr>
        <w:t xml:space="preserve">Lastly, in its invitation procurer defines parameters of criteria </w:t>
      </w:r>
      <w:r w:rsidR="00BB3F30">
        <w:rPr>
          <w:sz w:val="24"/>
        </w:rPr>
        <w:t>to</w:t>
      </w:r>
      <w:r w:rsidRPr="00362372">
        <w:rPr>
          <w:sz w:val="24"/>
        </w:rPr>
        <w:t xml:space="preserve"> be ranked in </w:t>
      </w:r>
      <w:r w:rsidR="00BB3F30">
        <w:rPr>
          <w:sz w:val="24"/>
        </w:rPr>
        <w:t>a</w:t>
      </w:r>
      <w:r w:rsidRPr="00362372">
        <w:rPr>
          <w:sz w:val="24"/>
        </w:rPr>
        <w:t xml:space="preserve"> way </w:t>
      </w:r>
      <w:r w:rsidR="00BB3F30">
        <w:rPr>
          <w:sz w:val="24"/>
        </w:rPr>
        <w:t>which</w:t>
      </w:r>
      <w:r w:rsidRPr="00362372">
        <w:rPr>
          <w:sz w:val="24"/>
        </w:rPr>
        <w:t xml:space="preserve"> enable</w:t>
      </w:r>
      <w:r w:rsidR="00BB3F30">
        <w:rPr>
          <w:sz w:val="24"/>
        </w:rPr>
        <w:t>s</w:t>
      </w:r>
      <w:r w:rsidRPr="00362372">
        <w:rPr>
          <w:sz w:val="24"/>
        </w:rPr>
        <w:t xml:space="preserve"> </w:t>
      </w:r>
      <w:r w:rsidR="00BB3F30">
        <w:rPr>
          <w:sz w:val="24"/>
        </w:rPr>
        <w:t>it</w:t>
      </w:r>
      <w:r w:rsidRPr="00362372">
        <w:rPr>
          <w:sz w:val="24"/>
        </w:rPr>
        <w:t xml:space="preserve"> to determine minimum difference in value change during the submission of tenders. </w:t>
      </w:r>
    </w:p>
    <w:p w14:paraId="17972BEE" w14:textId="4FD99791" w:rsidR="00015CAD" w:rsidRPr="00362372" w:rsidRDefault="00015CAD" w:rsidP="008F1697">
      <w:pPr>
        <w:spacing w:before="100" w:beforeAutospacing="1" w:after="100" w:afterAutospacing="1"/>
        <w:ind w:left="-57"/>
        <w:jc w:val="both"/>
        <w:rPr>
          <w:rFonts w:cstheme="minorHAnsi"/>
          <w:sz w:val="24"/>
          <w:szCs w:val="24"/>
        </w:rPr>
      </w:pPr>
      <w:r w:rsidRPr="00362372">
        <w:rPr>
          <w:sz w:val="24"/>
        </w:rPr>
        <w:t>This is crucial, since procurer makes the procedures more efficient by determining the optimal minimum difference. For example, in auctioning the price, where offered prices range around 50,000,000.00 dinars, to allow a tenderer to offer a merely few dinars lower price than the previously offered one may render the purpose of auctioning meaningless. In this case, the setting of the minimum difference of, say, 50,000.00 dinars between the previously and the newly offered prices of the same tenderer would be a better option.</w:t>
      </w:r>
    </w:p>
    <w:p w14:paraId="1D7D1524" w14:textId="77777777" w:rsidR="00655605" w:rsidRPr="00362372" w:rsidRDefault="00655605" w:rsidP="005F35AF">
      <w:pPr>
        <w:spacing w:before="100" w:beforeAutospacing="1" w:after="100" w:afterAutospacing="1" w:line="276" w:lineRule="auto"/>
        <w:jc w:val="both"/>
        <w:rPr>
          <w:rFonts w:cstheme="minorHAnsi"/>
          <w:b/>
          <w:sz w:val="24"/>
          <w:szCs w:val="24"/>
        </w:rPr>
      </w:pPr>
      <w:r w:rsidRPr="00362372">
        <w:rPr>
          <w:b/>
          <w:sz w:val="24"/>
        </w:rPr>
        <w:t xml:space="preserve">Anonymity of participants </w:t>
      </w:r>
    </w:p>
    <w:p w14:paraId="62A0CB16" w14:textId="77777777" w:rsidR="00C46C8C" w:rsidRPr="00362372" w:rsidRDefault="00C46C8C" w:rsidP="005F35AF">
      <w:pPr>
        <w:spacing w:before="100" w:beforeAutospacing="1" w:after="100" w:afterAutospacing="1" w:line="276" w:lineRule="auto"/>
        <w:jc w:val="both"/>
        <w:rPr>
          <w:rFonts w:cstheme="minorHAnsi"/>
          <w:sz w:val="24"/>
          <w:szCs w:val="24"/>
        </w:rPr>
      </w:pPr>
      <w:r w:rsidRPr="00362372">
        <w:rPr>
          <w:sz w:val="24"/>
        </w:rPr>
        <w:t xml:space="preserve">Unlike the standard public procurement procedure that does not involve electronic auction, in a procedure with electronic auction the opening of tenders is not public, for the sake of preserving anonymity among the tenderers. To this end, procurer delivers separate invitations to participate in electronic auction to each tenderer, together with results of the initial valuation of given tenderer’s tender, and nothing more. In other words, none among the tenderers will learn who are the competing tenderers, not only by the beginning, but rather until the end of electronic auction (per the above presented visibility options). </w:t>
      </w:r>
    </w:p>
    <w:p w14:paraId="4D9BEFFF" w14:textId="77777777" w:rsidR="00C46C8C" w:rsidRPr="00362372" w:rsidRDefault="00C46C8C" w:rsidP="005F35AF">
      <w:pPr>
        <w:spacing w:before="100" w:beforeAutospacing="1" w:after="100" w:afterAutospacing="1" w:line="276" w:lineRule="auto"/>
        <w:jc w:val="both"/>
        <w:rPr>
          <w:rFonts w:cstheme="minorHAnsi"/>
          <w:b/>
          <w:sz w:val="24"/>
          <w:szCs w:val="24"/>
        </w:rPr>
      </w:pPr>
      <w:r w:rsidRPr="00362372">
        <w:rPr>
          <w:b/>
          <w:sz w:val="24"/>
        </w:rPr>
        <w:t>Mathematical formula</w:t>
      </w:r>
    </w:p>
    <w:p w14:paraId="7252DDC7" w14:textId="2F7119BA" w:rsidR="00C46C8C" w:rsidRPr="00362372" w:rsidRDefault="00C46C8C" w:rsidP="005F35AF">
      <w:pPr>
        <w:spacing w:before="100" w:beforeAutospacing="1" w:after="100" w:afterAutospacing="1" w:line="276" w:lineRule="auto"/>
        <w:jc w:val="both"/>
        <w:rPr>
          <w:rFonts w:cstheme="minorHAnsi"/>
          <w:sz w:val="24"/>
          <w:szCs w:val="24"/>
        </w:rPr>
      </w:pPr>
      <w:r w:rsidRPr="00362372">
        <w:rPr>
          <w:sz w:val="24"/>
        </w:rPr>
        <w:t xml:space="preserve">Invitation to take part in electronic auction must contain the mathematical formula which will be applied in auctioning. Thus, the tenderers know beforehand </w:t>
      </w:r>
      <w:r w:rsidR="00FD6848">
        <w:rPr>
          <w:sz w:val="24"/>
        </w:rPr>
        <w:t>how</w:t>
      </w:r>
      <w:r w:rsidRPr="00362372">
        <w:rPr>
          <w:sz w:val="24"/>
        </w:rPr>
        <w:t xml:space="preserve"> the changes of tenders </w:t>
      </w:r>
      <w:r w:rsidR="00FD6848" w:rsidRPr="00362372">
        <w:rPr>
          <w:sz w:val="24"/>
        </w:rPr>
        <w:t xml:space="preserve">will </w:t>
      </w:r>
      <w:r w:rsidRPr="00362372">
        <w:rPr>
          <w:sz w:val="24"/>
        </w:rPr>
        <w:t xml:space="preserve">be reflected in the number of weights and the rank. The above is relevant where the price is not the sole criterion, because if there is in place another criterion </w:t>
      </w:r>
      <w:r w:rsidR="00FD6848">
        <w:rPr>
          <w:sz w:val="24"/>
        </w:rPr>
        <w:t>that</w:t>
      </w:r>
      <w:r w:rsidRPr="00362372">
        <w:rPr>
          <w:sz w:val="24"/>
        </w:rPr>
        <w:t xml:space="preserve"> is ranked but is </w:t>
      </w:r>
      <w:r w:rsidR="00362372" w:rsidRPr="00362372">
        <w:rPr>
          <w:sz w:val="24"/>
        </w:rPr>
        <w:t>not the</w:t>
      </w:r>
      <w:r w:rsidRPr="00362372">
        <w:rPr>
          <w:sz w:val="24"/>
        </w:rPr>
        <w:t xml:space="preserve"> subject of the auction, then it is vital for the auctioning participants to know and be able </w:t>
      </w:r>
      <w:r w:rsidRPr="00362372">
        <w:rPr>
          <w:sz w:val="24"/>
        </w:rPr>
        <w:lastRenderedPageBreak/>
        <w:t>to monitor how the change in price is reflected in the total number of weights of each tender. Likewise, where tenders with variants are allowed, procurer has to provide a separate formula for each variant.</w:t>
      </w:r>
    </w:p>
    <w:p w14:paraId="70131AD1" w14:textId="77777777" w:rsidR="00C46C8C" w:rsidRPr="00362372" w:rsidRDefault="00C46C8C" w:rsidP="005F35AF">
      <w:pPr>
        <w:spacing w:before="100" w:beforeAutospacing="1" w:after="100" w:afterAutospacing="1" w:line="276" w:lineRule="auto"/>
        <w:jc w:val="both"/>
        <w:rPr>
          <w:rFonts w:cstheme="minorHAnsi"/>
          <w:b/>
          <w:sz w:val="24"/>
          <w:szCs w:val="24"/>
        </w:rPr>
      </w:pPr>
      <w:r w:rsidRPr="00362372">
        <w:rPr>
          <w:b/>
          <w:sz w:val="24"/>
        </w:rPr>
        <w:t>The timing of the start of electronic auction</w:t>
      </w:r>
    </w:p>
    <w:p w14:paraId="27F8CA20" w14:textId="43474591" w:rsidR="00C46C8C" w:rsidRPr="00362372" w:rsidRDefault="00C46C8C" w:rsidP="005F35AF">
      <w:pPr>
        <w:spacing w:before="100" w:beforeAutospacing="1" w:after="100" w:afterAutospacing="1" w:line="276" w:lineRule="auto"/>
        <w:jc w:val="both"/>
        <w:rPr>
          <w:rFonts w:cstheme="minorHAnsi"/>
          <w:sz w:val="24"/>
          <w:szCs w:val="24"/>
        </w:rPr>
      </w:pPr>
      <w:r w:rsidRPr="00362372">
        <w:rPr>
          <w:sz w:val="24"/>
        </w:rPr>
        <w:t xml:space="preserve">Electronic auction starts at the earliest upon expiry of two working days from the day of sending invitations to tenderers whose tenders were evaluated as acceptable, to take </w:t>
      </w:r>
      <w:r w:rsidR="00446A9F">
        <w:rPr>
          <w:sz w:val="24"/>
        </w:rPr>
        <w:t>p</w:t>
      </w:r>
      <w:r w:rsidRPr="00362372">
        <w:rPr>
          <w:sz w:val="24"/>
        </w:rPr>
        <w:t>art in electronic auction, i.e., bidding</w:t>
      </w:r>
      <w:r w:rsidR="00446A9F">
        <w:rPr>
          <w:sz w:val="24"/>
        </w:rPr>
        <w:t>.</w:t>
      </w:r>
      <w:r w:rsidRPr="00362372">
        <w:rPr>
          <w:sz w:val="24"/>
        </w:rPr>
        <w:t xml:space="preserve"> </w:t>
      </w:r>
      <w:r w:rsidR="00446A9F">
        <w:rPr>
          <w:sz w:val="24"/>
        </w:rPr>
        <w:t>It</w:t>
      </w:r>
      <w:r w:rsidRPr="00362372">
        <w:rPr>
          <w:sz w:val="24"/>
        </w:rPr>
        <w:t xml:space="preserve"> may be conducted in several consecutive phases. Procurer is obliged to send to all participating tenderers, immediately upon changes, any information exchanged during the course of electronic auction that is relevant for setting a tender’s current and final ranks relative to other tenderers; it may also send to them other information concerning other offered prices or values, but only if it </w:t>
      </w:r>
      <w:r w:rsidR="00446A9F">
        <w:rPr>
          <w:sz w:val="24"/>
        </w:rPr>
        <w:t>stipulated</w:t>
      </w:r>
      <w:r w:rsidRPr="00362372">
        <w:rPr>
          <w:sz w:val="24"/>
        </w:rPr>
        <w:t xml:space="preserve"> such option in its tender documentation. Procurer may at any time declare the number of tenderers in a given phase of auctioning, but must not reveal identity of any of them prior to the closure of auctioning.</w:t>
      </w:r>
    </w:p>
    <w:p w14:paraId="0E6EED64" w14:textId="77777777" w:rsidR="002055B4" w:rsidRPr="00362372" w:rsidRDefault="002055B4" w:rsidP="00D25B43">
      <w:pPr>
        <w:pStyle w:val="Heading2"/>
        <w:rPr>
          <w:rFonts w:asciiTheme="minorHAnsi" w:eastAsiaTheme="minorHAnsi" w:hAnsiTheme="minorHAnsi" w:cstheme="minorHAnsi"/>
          <w:b/>
          <w:color w:val="auto"/>
          <w:sz w:val="24"/>
          <w:szCs w:val="24"/>
        </w:rPr>
      </w:pPr>
      <w:bookmarkStart w:id="27" w:name="_Toc197193691"/>
      <w:r w:rsidRPr="00362372">
        <w:rPr>
          <w:rFonts w:asciiTheme="minorHAnsi" w:hAnsiTheme="minorHAnsi"/>
          <w:b/>
          <w:color w:val="auto"/>
          <w:sz w:val="24"/>
        </w:rPr>
        <w:t>Conducting and ending electronic auction</w:t>
      </w:r>
      <w:bookmarkEnd w:id="27"/>
      <w:r w:rsidRPr="00362372">
        <w:rPr>
          <w:rFonts w:asciiTheme="minorHAnsi" w:hAnsiTheme="minorHAnsi"/>
          <w:b/>
          <w:color w:val="auto"/>
          <w:sz w:val="24"/>
        </w:rPr>
        <w:t xml:space="preserve"> </w:t>
      </w:r>
    </w:p>
    <w:p w14:paraId="5095DEE8" w14:textId="77777777" w:rsidR="008F1697" w:rsidRPr="00362372" w:rsidRDefault="008F1697" w:rsidP="008F1697">
      <w:pPr>
        <w:spacing w:after="0"/>
      </w:pPr>
    </w:p>
    <w:p w14:paraId="2095525C" w14:textId="77777777" w:rsidR="00157324" w:rsidRPr="00362372" w:rsidRDefault="002055B4" w:rsidP="008F1697">
      <w:pPr>
        <w:jc w:val="both"/>
        <w:rPr>
          <w:rFonts w:cstheme="minorHAnsi"/>
          <w:sz w:val="24"/>
          <w:szCs w:val="24"/>
        </w:rPr>
      </w:pPr>
      <w:r w:rsidRPr="00362372">
        <w:rPr>
          <w:sz w:val="24"/>
        </w:rPr>
        <w:t xml:space="preserve">Electronic auction is conducted on the Portal. This is a dynamic process, with all the above stated advantages and specificities. </w:t>
      </w:r>
    </w:p>
    <w:p w14:paraId="1B85525D" w14:textId="513931DA" w:rsidR="00DF7DF2" w:rsidRPr="00362372" w:rsidRDefault="00C46C8C" w:rsidP="00DF7DF2">
      <w:pPr>
        <w:spacing w:after="0" w:line="240" w:lineRule="auto"/>
        <w:jc w:val="both"/>
        <w:rPr>
          <w:rFonts w:cstheme="minorHAnsi"/>
          <w:sz w:val="24"/>
          <w:szCs w:val="24"/>
        </w:rPr>
      </w:pPr>
      <w:r w:rsidRPr="00362372">
        <w:rPr>
          <w:sz w:val="24"/>
        </w:rPr>
        <w:t xml:space="preserve">Electronic auction may </w:t>
      </w:r>
      <w:r w:rsidR="00446A9F">
        <w:rPr>
          <w:sz w:val="24"/>
        </w:rPr>
        <w:t>end</w:t>
      </w:r>
      <w:r w:rsidRPr="00362372">
        <w:rPr>
          <w:sz w:val="24"/>
        </w:rPr>
        <w:t xml:space="preserve"> in three separate ways:</w:t>
      </w:r>
    </w:p>
    <w:p w14:paraId="64B58370" w14:textId="737C17CB" w:rsidR="00C46C8C" w:rsidRPr="00362372" w:rsidRDefault="00446A9F" w:rsidP="00DF7DF2">
      <w:pPr>
        <w:pStyle w:val="ListParagraph"/>
        <w:numPr>
          <w:ilvl w:val="0"/>
          <w:numId w:val="7"/>
        </w:numPr>
        <w:spacing w:after="0" w:line="240" w:lineRule="auto"/>
        <w:jc w:val="both"/>
        <w:rPr>
          <w:rFonts w:cstheme="minorHAnsi"/>
          <w:sz w:val="24"/>
          <w:szCs w:val="24"/>
        </w:rPr>
      </w:pPr>
      <w:r>
        <w:rPr>
          <w:sz w:val="24"/>
        </w:rPr>
        <w:t>At</w:t>
      </w:r>
      <w:r w:rsidR="00C46C8C" w:rsidRPr="00362372">
        <w:rPr>
          <w:sz w:val="24"/>
        </w:rPr>
        <w:t xml:space="preserve"> the predetermined time (date and hour)</w:t>
      </w:r>
    </w:p>
    <w:p w14:paraId="22804EBC" w14:textId="243F6EEB" w:rsidR="00C46C8C" w:rsidRPr="00362372" w:rsidRDefault="00446A9F" w:rsidP="00124E8E">
      <w:pPr>
        <w:pStyle w:val="ListParagraph"/>
        <w:numPr>
          <w:ilvl w:val="0"/>
          <w:numId w:val="7"/>
        </w:numPr>
        <w:jc w:val="both"/>
        <w:rPr>
          <w:rFonts w:cstheme="minorHAnsi"/>
          <w:sz w:val="24"/>
          <w:szCs w:val="24"/>
        </w:rPr>
      </w:pPr>
      <w:r>
        <w:rPr>
          <w:sz w:val="24"/>
        </w:rPr>
        <w:t>In case that</w:t>
      </w:r>
      <w:r w:rsidR="00C46C8C" w:rsidRPr="00362372">
        <w:rPr>
          <w:sz w:val="24"/>
        </w:rPr>
        <w:t xml:space="preserve"> no new prices or new values that meet requirements in terms of the predetermined minimum reducing have been submitted, provided that the preset period of time after the receipt of the last tender has actually elapsed.</w:t>
      </w:r>
    </w:p>
    <w:p w14:paraId="2F593D1E" w14:textId="77777777" w:rsidR="00C46C8C" w:rsidRPr="00362372" w:rsidRDefault="00C46C8C" w:rsidP="00124E8E">
      <w:pPr>
        <w:pStyle w:val="ListParagraph"/>
        <w:numPr>
          <w:ilvl w:val="0"/>
          <w:numId w:val="7"/>
        </w:numPr>
        <w:jc w:val="both"/>
        <w:rPr>
          <w:rFonts w:cstheme="minorHAnsi"/>
          <w:sz w:val="24"/>
          <w:szCs w:val="24"/>
        </w:rPr>
      </w:pPr>
      <w:r w:rsidRPr="00362372">
        <w:rPr>
          <w:sz w:val="24"/>
        </w:rPr>
        <w:t>Upon ending the number of phases of electronic auction as foreseen in tender documents</w:t>
      </w:r>
    </w:p>
    <w:p w14:paraId="0D8A71EE" w14:textId="0A42E649" w:rsidR="00C46C8C" w:rsidRPr="00362372" w:rsidRDefault="00C46C8C" w:rsidP="00C46C8C">
      <w:pPr>
        <w:jc w:val="both"/>
        <w:rPr>
          <w:rFonts w:cstheme="minorHAnsi"/>
          <w:sz w:val="24"/>
          <w:szCs w:val="24"/>
        </w:rPr>
      </w:pPr>
      <w:r w:rsidRPr="00362372">
        <w:rPr>
          <w:b/>
          <w:sz w:val="24"/>
        </w:rPr>
        <w:t xml:space="preserve">The first </w:t>
      </w:r>
      <w:r w:rsidRPr="00362372">
        <w:rPr>
          <w:sz w:val="24"/>
        </w:rPr>
        <w:t xml:space="preserve">way is to set, precisely and in advance, the timing of the closure of </w:t>
      </w:r>
      <w:r w:rsidR="00446A9F">
        <w:rPr>
          <w:sz w:val="24"/>
        </w:rPr>
        <w:t xml:space="preserve">the </w:t>
      </w:r>
      <w:r w:rsidRPr="00362372">
        <w:rPr>
          <w:sz w:val="24"/>
        </w:rPr>
        <w:t xml:space="preserve">auction, notably, to define date, hour, and minute of the end. This is the case of auctioning conducted in a single phase. A good practice </w:t>
      </w:r>
      <w:r w:rsidR="00446A9F">
        <w:rPr>
          <w:sz w:val="24"/>
        </w:rPr>
        <w:t>to have</w:t>
      </w:r>
      <w:r w:rsidRPr="00362372">
        <w:rPr>
          <w:sz w:val="24"/>
        </w:rPr>
        <w:t xml:space="preserve"> it last no shorter than 30 and no longer than 120 minutes, whereby procurer may decide that any change of the offered element of the criterion that is the subject of auctioning near its closure (e.g., within the last two or three minutes) triggers an additional extension of deadline for several more (e.g., three or five) minutes. </w:t>
      </w:r>
    </w:p>
    <w:p w14:paraId="13417C9F" w14:textId="6696867A" w:rsidR="00C46C8C" w:rsidRPr="00362372" w:rsidRDefault="00C46C8C" w:rsidP="00C46C8C">
      <w:pPr>
        <w:jc w:val="both"/>
        <w:rPr>
          <w:rFonts w:cstheme="minorHAnsi"/>
          <w:sz w:val="24"/>
          <w:szCs w:val="24"/>
        </w:rPr>
      </w:pPr>
      <w:r w:rsidRPr="00362372">
        <w:rPr>
          <w:b/>
          <w:sz w:val="24"/>
        </w:rPr>
        <w:t xml:space="preserve">The second </w:t>
      </w:r>
      <w:r w:rsidRPr="00362372">
        <w:rPr>
          <w:sz w:val="24"/>
        </w:rPr>
        <w:t>moment where the tender documentation define</w:t>
      </w:r>
      <w:r w:rsidR="00446A9F">
        <w:rPr>
          <w:sz w:val="24"/>
        </w:rPr>
        <w:t>s</w:t>
      </w:r>
      <w:r w:rsidRPr="00362372">
        <w:rPr>
          <w:sz w:val="24"/>
        </w:rPr>
        <w:t xml:space="preserve"> the end of electronic auction is the case where no new prices or new values that meet requirements in terms of the predetermined minimum reducing have been submitted, provided that the preset period of time after the receipt of the last tender has actually elapsed. Hence, procurer may set the auction’s duration to 120 minutes but with option of early ending </w:t>
      </w:r>
      <w:r w:rsidR="00446A9F">
        <w:rPr>
          <w:sz w:val="24"/>
        </w:rPr>
        <w:t>when</w:t>
      </w:r>
      <w:r w:rsidRPr="00362372">
        <w:rPr>
          <w:sz w:val="24"/>
        </w:rPr>
        <w:t xml:space="preserve">, for instance, 20 or 30 minutes elapse since the last change. </w:t>
      </w:r>
    </w:p>
    <w:p w14:paraId="5256AC56" w14:textId="7EB9DAA8" w:rsidR="00C46C8C" w:rsidRPr="00362372" w:rsidRDefault="00C46C8C" w:rsidP="00C46C8C">
      <w:pPr>
        <w:jc w:val="both"/>
        <w:rPr>
          <w:rFonts w:cstheme="minorHAnsi"/>
          <w:sz w:val="24"/>
          <w:szCs w:val="24"/>
        </w:rPr>
      </w:pPr>
      <w:r w:rsidRPr="00362372">
        <w:rPr>
          <w:b/>
          <w:sz w:val="24"/>
        </w:rPr>
        <w:lastRenderedPageBreak/>
        <w:t>The third</w:t>
      </w:r>
      <w:r w:rsidRPr="00362372">
        <w:rPr>
          <w:sz w:val="24"/>
        </w:rPr>
        <w:t xml:space="preserve"> </w:t>
      </w:r>
      <w:r w:rsidR="00446A9F">
        <w:rPr>
          <w:sz w:val="24"/>
        </w:rPr>
        <w:t>possibility</w:t>
      </w:r>
      <w:r w:rsidRPr="00362372">
        <w:rPr>
          <w:sz w:val="24"/>
        </w:rPr>
        <w:t xml:space="preserve"> provided for the closure of electronic auction under the PPL is where procurer chooses a multi-phase auctioning, </w:t>
      </w:r>
      <w:r w:rsidR="00446A9F">
        <w:rPr>
          <w:sz w:val="24"/>
        </w:rPr>
        <w:t>and then</w:t>
      </w:r>
      <w:r w:rsidRPr="00362372">
        <w:rPr>
          <w:sz w:val="24"/>
        </w:rPr>
        <w:t xml:space="preserve"> the end of the last, say, third phase, is the end of the whole auction. </w:t>
      </w:r>
    </w:p>
    <w:p w14:paraId="621E5182" w14:textId="77777777" w:rsidR="00C46C8C" w:rsidRPr="00362372" w:rsidRDefault="00C46C8C" w:rsidP="00C46C8C">
      <w:pPr>
        <w:jc w:val="both"/>
        <w:rPr>
          <w:rFonts w:cstheme="minorHAnsi"/>
          <w:sz w:val="24"/>
          <w:szCs w:val="24"/>
        </w:rPr>
      </w:pPr>
      <w:r w:rsidRPr="00362372">
        <w:rPr>
          <w:sz w:val="24"/>
        </w:rPr>
        <w:t>In addition, it is also possible to set the point of closure as a combination of the second and the third options, whereby procurer has to set the time that has to pass between the receipt of the last tender and the end of electronic auction in its invitation to take part in each individual phase of such electronic auction.</w:t>
      </w:r>
    </w:p>
    <w:p w14:paraId="4029C224" w14:textId="18EDA371" w:rsidR="00F24754" w:rsidRPr="00362372" w:rsidRDefault="00F24754" w:rsidP="00F24754">
      <w:pPr>
        <w:tabs>
          <w:tab w:val="left" w:pos="426"/>
        </w:tabs>
        <w:jc w:val="both"/>
        <w:rPr>
          <w:rFonts w:cstheme="minorHAnsi"/>
          <w:sz w:val="24"/>
          <w:szCs w:val="24"/>
        </w:rPr>
      </w:pPr>
      <w:r w:rsidRPr="00362372">
        <w:rPr>
          <w:sz w:val="24"/>
        </w:rPr>
        <w:t xml:space="preserve">Each option has its own advantages and flaws. The first one does not motivate tenderers to bid vigorously and thus reveal their </w:t>
      </w:r>
      <w:r w:rsidR="00446A9F">
        <w:rPr>
          <w:sz w:val="24"/>
        </w:rPr>
        <w:t>hand</w:t>
      </w:r>
      <w:r w:rsidRPr="00362372">
        <w:rPr>
          <w:sz w:val="24"/>
        </w:rPr>
        <w:t xml:space="preserve">; instead, they will likely wait until the last minute. Its plus side is that tenderers will not speculate much, given that, as in an open procedure, they have to come up with their best tender which they will not be able to change later on, by a specified time (deadline). The second option offers the possibility of a genuine competing, whereby each tenderer can respond by its bid to another one’s bidding, within a specified time interval. Lacking response to the best tender within such specified time, electronic auction ends. In this case, procurers would have to set the optimal minimum values of reduction in each step (e.g., the price to be reduced in each subsequent step by at least 10,000 dinars), to avoid procrastination as under scenario where tenderers can reduce the price for one dinar and thus render the entire process meaningless.  However, the downside is that tenderer can speculate relative to other tenderers’ bids, since it is not motivated to offer its best conditions from the outset; thus, where the competition is not strong enough, </w:t>
      </w:r>
      <w:r w:rsidR="00446A9F">
        <w:rPr>
          <w:sz w:val="24"/>
        </w:rPr>
        <w:t>tenderer</w:t>
      </w:r>
      <w:r w:rsidRPr="00362372">
        <w:rPr>
          <w:sz w:val="24"/>
        </w:rPr>
        <w:t xml:space="preserve"> does not have to offer its otherwise best conditions. As for the third option, this would mean that tenderer gives its new offer in each phase, so that tenderers are likely to wait for the last phase to come up with their best tenders. Since it may be seen as similar to the first one, they share similar advantages and flaws.</w:t>
      </w:r>
    </w:p>
    <w:p w14:paraId="1D09B7B9" w14:textId="3379E68B" w:rsidR="00C46C8C" w:rsidRPr="00362372" w:rsidRDefault="00F24754" w:rsidP="00C46C8C">
      <w:pPr>
        <w:jc w:val="both"/>
        <w:rPr>
          <w:rFonts w:cstheme="minorHAnsi"/>
          <w:sz w:val="24"/>
          <w:szCs w:val="24"/>
        </w:rPr>
      </w:pPr>
      <w:r w:rsidRPr="00362372">
        <w:rPr>
          <w:sz w:val="24"/>
        </w:rPr>
        <w:t xml:space="preserve">Immediately upon the closure of electronic auction, the Portal automatically publishes names and ranks of all tenderers participating in the auction. Information about the auction’s closure arrives </w:t>
      </w:r>
      <w:r w:rsidR="00362372" w:rsidRPr="00362372">
        <w:rPr>
          <w:sz w:val="24"/>
        </w:rPr>
        <w:t>simultaneously</w:t>
      </w:r>
      <w:r w:rsidRPr="00362372">
        <w:rPr>
          <w:sz w:val="24"/>
        </w:rPr>
        <w:t xml:space="preserve"> into </w:t>
      </w:r>
      <w:r w:rsidR="00446A9F">
        <w:rPr>
          <w:sz w:val="24"/>
        </w:rPr>
        <w:t xml:space="preserve">the </w:t>
      </w:r>
      <w:r w:rsidRPr="00362372">
        <w:rPr>
          <w:sz w:val="24"/>
        </w:rPr>
        <w:t xml:space="preserve">inboxes of all participants and </w:t>
      </w:r>
      <w:r w:rsidR="00446A9F">
        <w:rPr>
          <w:sz w:val="24"/>
        </w:rPr>
        <w:t xml:space="preserve">on </w:t>
      </w:r>
      <w:r w:rsidRPr="00362372">
        <w:rPr>
          <w:sz w:val="24"/>
        </w:rPr>
        <w:t>the emails given at the registration/application on the Portal.  After the auction, procurer takes decision on awarding public procurement contract on the basis of the award criteria and the results of the electronic auction.</w:t>
      </w:r>
    </w:p>
    <w:p w14:paraId="18D9E31D" w14:textId="77777777" w:rsidR="007B2054" w:rsidRPr="00362372" w:rsidRDefault="007B2054" w:rsidP="00C46C8C">
      <w:pPr>
        <w:jc w:val="both"/>
        <w:rPr>
          <w:rFonts w:cstheme="minorHAnsi"/>
          <w:sz w:val="24"/>
          <w:szCs w:val="24"/>
        </w:rPr>
      </w:pPr>
    </w:p>
    <w:tbl>
      <w:tblPr>
        <w:tblStyle w:val="TableGrid"/>
        <w:tblW w:w="0" w:type="auto"/>
        <w:tblLook w:val="04A0" w:firstRow="1" w:lastRow="0" w:firstColumn="1" w:lastColumn="0" w:noHBand="0" w:noVBand="1"/>
      </w:tblPr>
      <w:tblGrid>
        <w:gridCol w:w="9016"/>
      </w:tblGrid>
      <w:tr w:rsidR="00157324" w:rsidRPr="00362372" w14:paraId="38C16CF2" w14:textId="77777777" w:rsidTr="00157324">
        <w:tc>
          <w:tcPr>
            <w:tcW w:w="9016" w:type="dxa"/>
            <w:shd w:val="clear" w:color="auto" w:fill="A7E8A4" w:themeFill="accent3" w:themeFillTint="99"/>
          </w:tcPr>
          <w:p w14:paraId="79EA9E22" w14:textId="77777777" w:rsidR="00157324" w:rsidRPr="00362372" w:rsidRDefault="007B2054" w:rsidP="00C34F3E">
            <w:pPr>
              <w:spacing w:before="100" w:beforeAutospacing="1" w:after="100" w:afterAutospacing="1"/>
              <w:jc w:val="both"/>
              <w:rPr>
                <w:rFonts w:eastAsia="Times New Roman" w:cstheme="minorHAnsi"/>
                <w:kern w:val="0"/>
                <w:sz w:val="24"/>
                <w:szCs w:val="24"/>
                <w14:ligatures w14:val="none"/>
              </w:rPr>
            </w:pPr>
            <w:r w:rsidRPr="00362372">
              <w:rPr>
                <w:sz w:val="24"/>
              </w:rPr>
              <w:t>Note: In the case of interruption due to technical reasons, procurer notifies all participants thereon, and may either conduct a new auction or cancel the procurement procedure.</w:t>
            </w:r>
          </w:p>
        </w:tc>
      </w:tr>
    </w:tbl>
    <w:p w14:paraId="6F7D5DA6" w14:textId="77777777" w:rsidR="000C3A29" w:rsidRPr="00362372" w:rsidRDefault="000C3A29" w:rsidP="00B05062">
      <w:pPr>
        <w:jc w:val="both"/>
        <w:rPr>
          <w:rFonts w:cstheme="minorHAnsi"/>
          <w:sz w:val="24"/>
          <w:szCs w:val="24"/>
        </w:rPr>
      </w:pPr>
    </w:p>
    <w:p w14:paraId="377E8C10" w14:textId="77777777" w:rsidR="00F71983" w:rsidRPr="00362372" w:rsidRDefault="00F71983" w:rsidP="00B05062">
      <w:pPr>
        <w:jc w:val="both"/>
        <w:rPr>
          <w:rFonts w:cs="Segoe UI"/>
          <w:sz w:val="24"/>
          <w:szCs w:val="24"/>
        </w:rPr>
        <w:sectPr w:rsidR="00F71983" w:rsidRPr="00362372" w:rsidSect="00831ED2">
          <w:pgSz w:w="11906" w:h="16838"/>
          <w:pgMar w:top="1440" w:right="1440" w:bottom="1440" w:left="1440" w:header="708" w:footer="454" w:gutter="0"/>
          <w:cols w:space="708"/>
          <w:docGrid w:linePitch="360"/>
        </w:sectPr>
      </w:pPr>
    </w:p>
    <w:p w14:paraId="0CD004E0" w14:textId="425CE561" w:rsidR="001F3F8F" w:rsidRPr="00362372" w:rsidRDefault="001F3F8F" w:rsidP="0091382A">
      <w:pPr>
        <w:pStyle w:val="Heading1"/>
        <w:jc w:val="center"/>
        <w:rPr>
          <w:rFonts w:ascii="Segoe UI" w:hAnsi="Segoe UI" w:cs="Segoe UI"/>
          <w:sz w:val="64"/>
          <w:szCs w:val="64"/>
        </w:rPr>
      </w:pPr>
      <w:bookmarkStart w:id="28" w:name="_Toc185469169"/>
      <w:bookmarkStart w:id="29" w:name="_Toc197193692"/>
      <w:r w:rsidRPr="00362372">
        <w:rPr>
          <w:rFonts w:ascii="Segoe UI" w:hAnsi="Segoe UI"/>
          <w:sz w:val="64"/>
        </w:rPr>
        <w:lastRenderedPageBreak/>
        <w:t xml:space="preserve">The </w:t>
      </w:r>
      <w:r w:rsidR="006361CA" w:rsidRPr="00362372">
        <w:rPr>
          <w:rFonts w:ascii="Segoe UI" w:hAnsi="Segoe UI"/>
          <w:sz w:val="64"/>
        </w:rPr>
        <w:t>G</w:t>
      </w:r>
      <w:r w:rsidRPr="00362372">
        <w:rPr>
          <w:rFonts w:ascii="Segoe UI" w:hAnsi="Segoe UI"/>
          <w:sz w:val="64"/>
        </w:rPr>
        <w:t xml:space="preserve">uide to </w:t>
      </w:r>
      <w:r w:rsidR="006361CA" w:rsidRPr="00362372">
        <w:rPr>
          <w:rFonts w:ascii="Segoe UI" w:hAnsi="Segoe UI"/>
          <w:sz w:val="64"/>
        </w:rPr>
        <w:t>E</w:t>
      </w:r>
      <w:r w:rsidRPr="00362372">
        <w:rPr>
          <w:rFonts w:ascii="Segoe UI" w:hAnsi="Segoe UI"/>
          <w:sz w:val="64"/>
        </w:rPr>
        <w:t xml:space="preserve">lectronic </w:t>
      </w:r>
      <w:r w:rsidR="006361CA" w:rsidRPr="00362372">
        <w:rPr>
          <w:rFonts w:ascii="Segoe UI" w:hAnsi="Segoe UI"/>
          <w:sz w:val="64"/>
        </w:rPr>
        <w:t>C</w:t>
      </w:r>
      <w:r w:rsidRPr="00362372">
        <w:rPr>
          <w:rFonts w:ascii="Segoe UI" w:hAnsi="Segoe UI"/>
          <w:sz w:val="64"/>
        </w:rPr>
        <w:t>atalog</w:t>
      </w:r>
      <w:bookmarkEnd w:id="28"/>
      <w:bookmarkEnd w:id="29"/>
    </w:p>
    <w:p w14:paraId="2357CEA8" w14:textId="77777777" w:rsidR="001F3F8F" w:rsidRPr="00362372" w:rsidRDefault="001F3F8F" w:rsidP="001F3F8F">
      <w:pPr>
        <w:jc w:val="both"/>
        <w:rPr>
          <w:rFonts w:cs="Segoe UI"/>
          <w:sz w:val="24"/>
          <w:szCs w:val="24"/>
        </w:rPr>
      </w:pPr>
    </w:p>
    <w:p w14:paraId="7A9FCF3B" w14:textId="427E4513" w:rsidR="001F3F8F" w:rsidRPr="00362372" w:rsidRDefault="001F3F8F" w:rsidP="00002878">
      <w:pPr>
        <w:pStyle w:val="Heading3"/>
        <w:spacing w:before="0" w:after="160"/>
        <w:rPr>
          <w:rFonts w:eastAsiaTheme="minorHAnsi"/>
          <w:b/>
          <w:color w:val="00B050"/>
          <w:sz w:val="40"/>
          <w:szCs w:val="40"/>
        </w:rPr>
      </w:pPr>
      <w:bookmarkStart w:id="30" w:name="_Toc185469170"/>
      <w:bookmarkStart w:id="31" w:name="_Toc197193693"/>
      <w:r w:rsidRPr="00362372">
        <w:rPr>
          <w:b/>
          <w:color w:val="00B050"/>
          <w:sz w:val="40"/>
        </w:rPr>
        <w:t xml:space="preserve">Possibility to </w:t>
      </w:r>
      <w:r w:rsidR="006361CA" w:rsidRPr="00362372">
        <w:rPr>
          <w:b/>
          <w:color w:val="00B050"/>
          <w:sz w:val="40"/>
        </w:rPr>
        <w:t>S</w:t>
      </w:r>
      <w:r w:rsidRPr="00362372">
        <w:rPr>
          <w:b/>
          <w:color w:val="00B050"/>
          <w:sz w:val="40"/>
        </w:rPr>
        <w:t xml:space="preserve">ubmit </w:t>
      </w:r>
      <w:r w:rsidR="006361CA" w:rsidRPr="00362372">
        <w:rPr>
          <w:b/>
          <w:color w:val="00B050"/>
          <w:sz w:val="40"/>
        </w:rPr>
        <w:t>T</w:t>
      </w:r>
      <w:r w:rsidRPr="00362372">
        <w:rPr>
          <w:b/>
          <w:color w:val="00B050"/>
          <w:sz w:val="40"/>
        </w:rPr>
        <w:t xml:space="preserve">ender with </w:t>
      </w:r>
      <w:r w:rsidR="006361CA" w:rsidRPr="00362372">
        <w:rPr>
          <w:b/>
          <w:color w:val="00B050"/>
          <w:sz w:val="40"/>
        </w:rPr>
        <w:t>E</w:t>
      </w:r>
      <w:r w:rsidRPr="00362372">
        <w:rPr>
          <w:b/>
          <w:color w:val="00B050"/>
          <w:sz w:val="40"/>
        </w:rPr>
        <w:t>-</w:t>
      </w:r>
      <w:r w:rsidR="006361CA" w:rsidRPr="00362372">
        <w:rPr>
          <w:b/>
          <w:color w:val="00B050"/>
          <w:sz w:val="40"/>
        </w:rPr>
        <w:t>C</w:t>
      </w:r>
      <w:r w:rsidRPr="00362372">
        <w:rPr>
          <w:b/>
          <w:color w:val="00B050"/>
          <w:sz w:val="40"/>
        </w:rPr>
        <w:t>atalog</w:t>
      </w:r>
      <w:bookmarkEnd w:id="30"/>
      <w:bookmarkEnd w:id="31"/>
    </w:p>
    <w:p w14:paraId="5FDE0038" w14:textId="77777777" w:rsidR="002A4A93" w:rsidRPr="00362372" w:rsidRDefault="002A4A93" w:rsidP="004F1CBA">
      <w:pPr>
        <w:spacing w:after="0"/>
        <w:jc w:val="both"/>
        <w:rPr>
          <w:sz w:val="24"/>
          <w:szCs w:val="24"/>
        </w:rPr>
      </w:pPr>
    </w:p>
    <w:p w14:paraId="62BB52DC" w14:textId="77777777" w:rsidR="002A4E0C" w:rsidRPr="00362372" w:rsidRDefault="004F1CBA" w:rsidP="00002878">
      <w:pPr>
        <w:jc w:val="both"/>
        <w:rPr>
          <w:rFonts w:cs="Arial"/>
          <w:kern w:val="1"/>
          <w:sz w:val="24"/>
          <w:szCs w:val="24"/>
        </w:rPr>
      </w:pPr>
      <w:r w:rsidRPr="00362372">
        <w:rPr>
          <w:sz w:val="24"/>
        </w:rPr>
        <w:t xml:space="preserve">Electronic catalogs are a special electronic instrument involving the submission of tenders in the form of electronic catalogs, or the submission of tenders that include electronic catalogs. </w:t>
      </w:r>
    </w:p>
    <w:p w14:paraId="4766BF0D" w14:textId="77777777" w:rsidR="001F3F8F" w:rsidRPr="00362372" w:rsidRDefault="001F3F8F" w:rsidP="002A4E0C">
      <w:pPr>
        <w:spacing w:after="0" w:line="240" w:lineRule="auto"/>
        <w:jc w:val="both"/>
        <w:rPr>
          <w:sz w:val="24"/>
          <w:szCs w:val="24"/>
        </w:rPr>
      </w:pPr>
      <w:r w:rsidRPr="00362372">
        <w:rPr>
          <w:sz w:val="24"/>
        </w:rPr>
        <w:t>Submission of tenders with e-catalogs can be requested:</w:t>
      </w:r>
    </w:p>
    <w:p w14:paraId="4BBC3C99" w14:textId="77777777" w:rsidR="001F3F8F" w:rsidRPr="00362372" w:rsidRDefault="001F3F8F" w:rsidP="002A4E0C">
      <w:pPr>
        <w:pStyle w:val="NormalWeb"/>
        <w:numPr>
          <w:ilvl w:val="0"/>
          <w:numId w:val="3"/>
        </w:numPr>
        <w:spacing w:before="0" w:beforeAutospacing="0" w:after="0" w:afterAutospacing="0"/>
        <w:rPr>
          <w:rFonts w:asciiTheme="minorHAnsi" w:hAnsiTheme="minorHAnsi" w:cstheme="minorHAnsi"/>
        </w:rPr>
      </w:pPr>
      <w:r w:rsidRPr="00362372">
        <w:rPr>
          <w:rFonts w:asciiTheme="minorHAnsi" w:hAnsiTheme="minorHAnsi"/>
        </w:rPr>
        <w:t xml:space="preserve">In all public procurement procedures </w:t>
      </w:r>
    </w:p>
    <w:p w14:paraId="0F6DA27C" w14:textId="77777777" w:rsidR="001F3F8F" w:rsidRPr="00362372" w:rsidRDefault="001F3F8F" w:rsidP="002A5C28">
      <w:pPr>
        <w:pStyle w:val="NormalWeb"/>
        <w:numPr>
          <w:ilvl w:val="0"/>
          <w:numId w:val="3"/>
        </w:numPr>
        <w:jc w:val="both"/>
        <w:rPr>
          <w:rFonts w:asciiTheme="minorHAnsi" w:hAnsiTheme="minorHAnsi" w:cstheme="minorHAnsi"/>
        </w:rPr>
      </w:pPr>
      <w:r w:rsidRPr="00362372">
        <w:rPr>
          <w:rFonts w:asciiTheme="minorHAnsi" w:hAnsiTheme="minorHAnsi"/>
        </w:rPr>
        <w:t>In cases of framework agreements with several tenderers, when reopening competition</w:t>
      </w:r>
    </w:p>
    <w:p w14:paraId="7BFF2DE9" w14:textId="77777777" w:rsidR="00CB4585" w:rsidRPr="00362372" w:rsidRDefault="001F3F8F" w:rsidP="00CB4585">
      <w:pPr>
        <w:pStyle w:val="NormalWeb"/>
        <w:numPr>
          <w:ilvl w:val="0"/>
          <w:numId w:val="3"/>
        </w:numPr>
        <w:rPr>
          <w:rFonts w:asciiTheme="minorHAnsi" w:hAnsiTheme="minorHAnsi" w:cstheme="minorHAnsi"/>
        </w:rPr>
      </w:pPr>
      <w:r w:rsidRPr="00362372">
        <w:rPr>
          <w:rFonts w:asciiTheme="minorHAnsi" w:hAnsiTheme="minorHAnsi"/>
        </w:rPr>
        <w:t>In dynamic procurement systems for individual contracts</w:t>
      </w:r>
    </w:p>
    <w:p w14:paraId="07912CB3" w14:textId="254549A2" w:rsidR="00F92DE8" w:rsidRPr="00362372" w:rsidRDefault="00F92DE8" w:rsidP="00F92DE8">
      <w:pPr>
        <w:spacing w:after="0"/>
        <w:jc w:val="both"/>
        <w:rPr>
          <w:rFonts w:cs="Arial"/>
          <w:kern w:val="1"/>
          <w:sz w:val="24"/>
          <w:szCs w:val="24"/>
        </w:rPr>
      </w:pPr>
      <w:r w:rsidRPr="00362372">
        <w:rPr>
          <w:sz w:val="24"/>
        </w:rPr>
        <w:t>When public procurement procedure uses e-catalog, there is no usual price structure form</w:t>
      </w:r>
      <w:r w:rsidR="00FC0708" w:rsidRPr="00362372">
        <w:rPr>
          <w:rStyle w:val="FootnoteReference"/>
          <w:rFonts w:cs="Arial"/>
          <w:kern w:val="1"/>
          <w:sz w:val="24"/>
          <w:szCs w:val="24"/>
          <w:lang w:eastAsia="zh-CN" w:bidi="hi-IN"/>
        </w:rPr>
        <w:footnoteReference w:id="11"/>
      </w:r>
      <w:r w:rsidRPr="00362372">
        <w:rPr>
          <w:sz w:val="24"/>
        </w:rPr>
        <w:t xml:space="preserve">, given that the tenderers will offer (state) their prices in electronic catalog, so that the price structure form will, if necessary, only contain other costs included in the price. To this end, electronic catalog will have the following columns, designed by procurer: </w:t>
      </w:r>
      <w:r w:rsidR="00D73FA2">
        <w:rPr>
          <w:sz w:val="24"/>
        </w:rPr>
        <w:t>p</w:t>
      </w:r>
      <w:r w:rsidRPr="00362372">
        <w:rPr>
          <w:sz w:val="24"/>
        </w:rPr>
        <w:t>osition number, position title, technical specifications (description of services or works), unit of measure, currency</w:t>
      </w:r>
      <w:r w:rsidR="00D73FA2">
        <w:rPr>
          <w:sz w:val="24"/>
        </w:rPr>
        <w:t>,</w:t>
      </w:r>
      <w:r w:rsidRPr="00362372">
        <w:rPr>
          <w:sz w:val="24"/>
        </w:rPr>
        <w:t xml:space="preserve"> and quantity (for a standardized electronic catalog) This is the minimum data, but, depending on the procurement subject, procurer can also define other elements it deems important for such procurement subject. After creating an e-catalog, procurer links it to the public procurement procedure for which </w:t>
      </w:r>
      <w:r w:rsidR="00D73FA2">
        <w:rPr>
          <w:sz w:val="24"/>
        </w:rPr>
        <w:t xml:space="preserve">it </w:t>
      </w:r>
      <w:r w:rsidRPr="00362372">
        <w:rPr>
          <w:sz w:val="24"/>
        </w:rPr>
        <w:t>was created, and the</w:t>
      </w:r>
      <w:r w:rsidR="00D73FA2">
        <w:rPr>
          <w:sz w:val="24"/>
        </w:rPr>
        <w:t>n</w:t>
      </w:r>
      <w:r w:rsidRPr="00362372">
        <w:rPr>
          <w:sz w:val="24"/>
        </w:rPr>
        <w:t xml:space="preserve"> conducts further procedure on the Portal as usual. Therefore, the point of distinction from a typical public procurement procedure (without electronic catalogs) is the creation of electronic catalog (the list of all goods, services, or works to be procured) and then its linking to the actual procedure. </w:t>
      </w:r>
    </w:p>
    <w:p w14:paraId="676C759D" w14:textId="77777777" w:rsidR="00F92DE8" w:rsidRPr="00362372" w:rsidRDefault="00F92DE8" w:rsidP="00F92DE8">
      <w:pPr>
        <w:spacing w:after="0"/>
        <w:jc w:val="both"/>
        <w:rPr>
          <w:rFonts w:cs="Arial"/>
          <w:kern w:val="1"/>
          <w:sz w:val="24"/>
          <w:szCs w:val="24"/>
          <w:lang w:eastAsia="zh-CN" w:bidi="hi-IN"/>
        </w:rPr>
      </w:pPr>
    </w:p>
    <w:p w14:paraId="46E8F6C7" w14:textId="77777777" w:rsidR="00CB4585" w:rsidRPr="00362372" w:rsidRDefault="00CB4585" w:rsidP="00CB4585">
      <w:pPr>
        <w:jc w:val="both"/>
        <w:rPr>
          <w:rFonts w:cstheme="minorHAnsi"/>
          <w:b/>
          <w:sz w:val="24"/>
          <w:szCs w:val="24"/>
          <w:u w:val="single"/>
        </w:rPr>
      </w:pPr>
      <w:r w:rsidRPr="00362372">
        <w:rPr>
          <w:b/>
          <w:sz w:val="24"/>
          <w:u w:val="single"/>
        </w:rPr>
        <w:t>Framework agreements and e-catalogs</w:t>
      </w:r>
    </w:p>
    <w:p w14:paraId="72501BF6" w14:textId="3320F37D" w:rsidR="00CB4585" w:rsidRPr="00362372" w:rsidRDefault="00CB4585" w:rsidP="00CB4585">
      <w:pPr>
        <w:tabs>
          <w:tab w:val="left" w:pos="720"/>
        </w:tabs>
        <w:suppressAutoHyphens/>
        <w:jc w:val="both"/>
        <w:rPr>
          <w:rFonts w:cstheme="minorHAnsi"/>
          <w:sz w:val="24"/>
          <w:szCs w:val="24"/>
        </w:rPr>
      </w:pPr>
      <w:r w:rsidRPr="00362372">
        <w:rPr>
          <w:sz w:val="24"/>
        </w:rPr>
        <w:t xml:space="preserve">Electronic catalogs are especially useful in framework agreements, both with single and with several tenderers. A simple yet very practical example is where procurer concludes framework agreement with </w:t>
      </w:r>
      <w:r w:rsidR="00A62A87">
        <w:rPr>
          <w:sz w:val="24"/>
        </w:rPr>
        <w:t>the</w:t>
      </w:r>
      <w:r w:rsidRPr="00362372">
        <w:rPr>
          <w:sz w:val="24"/>
        </w:rPr>
        <w:t xml:space="preserve"> single provider, to be further executed based on the electronic catalog supplied by the tenderer with listed works, goods or services that are </w:t>
      </w:r>
      <w:r w:rsidR="00A62A87">
        <w:rPr>
          <w:sz w:val="24"/>
        </w:rPr>
        <w:t xml:space="preserve">the </w:t>
      </w:r>
      <w:r w:rsidRPr="00362372">
        <w:rPr>
          <w:sz w:val="24"/>
        </w:rPr>
        <w:t xml:space="preserve">subjects of procurement </w:t>
      </w:r>
      <w:r w:rsidR="00A62A87">
        <w:rPr>
          <w:sz w:val="24"/>
        </w:rPr>
        <w:t>together with</w:t>
      </w:r>
      <w:r w:rsidRPr="00362372">
        <w:rPr>
          <w:sz w:val="24"/>
        </w:rPr>
        <w:t xml:space="preserve"> prices. For framework agreements with several tenderers, procurer can stipulate that reopening of competition for individual contracts is carried out on the basis of updated catalogs, </w:t>
      </w:r>
      <w:r w:rsidR="00A62A87">
        <w:rPr>
          <w:sz w:val="24"/>
        </w:rPr>
        <w:t>and here</w:t>
      </w:r>
      <w:r w:rsidRPr="00362372">
        <w:rPr>
          <w:sz w:val="24"/>
        </w:rPr>
        <w:t xml:space="preserve"> procurer may apply on</w:t>
      </w:r>
      <w:r w:rsidR="00A62A87">
        <w:rPr>
          <w:sz w:val="24"/>
        </w:rPr>
        <w:t>e</w:t>
      </w:r>
      <w:r w:rsidRPr="00362372">
        <w:rPr>
          <w:sz w:val="24"/>
        </w:rPr>
        <w:t xml:space="preserve"> of two possible options. The first option implies that procurer invites tenderers to submit their electronic catalogs</w:t>
      </w:r>
      <w:r w:rsidR="00A62A87" w:rsidRPr="00A62A87">
        <w:rPr>
          <w:sz w:val="24"/>
        </w:rPr>
        <w:t xml:space="preserve"> </w:t>
      </w:r>
      <w:r w:rsidR="00A62A87" w:rsidRPr="00362372">
        <w:rPr>
          <w:sz w:val="24"/>
        </w:rPr>
        <w:t>again</w:t>
      </w:r>
      <w:r w:rsidRPr="00362372">
        <w:rPr>
          <w:sz w:val="24"/>
        </w:rPr>
        <w:t xml:space="preserve">, adjusted to the requirements of given contract. The second option implies that procurer informs tenderers of its intention to collect data necessary to compile tenders corresponding to the requirements of given contract from the already submitted electronic catalogs. The </w:t>
      </w:r>
      <w:r w:rsidRPr="00362372">
        <w:rPr>
          <w:sz w:val="24"/>
        </w:rPr>
        <w:lastRenderedPageBreak/>
        <w:t>potential use of this method must be included in the tender documents for the framework agreement. In addition, in this case procurer has to notify all tenderers of the date and time it intends to collect data necessary to compile tenders that correspond to the requirements of this individual contract, whereby it has to allow the tenderers to refuse such collection of data. The period of time between the notification and the actual collection of data must be appropriate. Upon collecting data and compiling the tender, but before awarding the contract, procurer has to present the collected data to the tenderers and allow them to dispute or confirm that thus</w:t>
      </w:r>
      <w:r w:rsidR="00A62A87">
        <w:rPr>
          <w:sz w:val="24"/>
        </w:rPr>
        <w:t>-</w:t>
      </w:r>
      <w:r w:rsidRPr="00362372">
        <w:rPr>
          <w:sz w:val="24"/>
        </w:rPr>
        <w:t xml:space="preserve">compiled tender does not contain material errors. </w:t>
      </w:r>
    </w:p>
    <w:p w14:paraId="064DAD3F" w14:textId="77777777" w:rsidR="00CB4585" w:rsidRPr="00362372" w:rsidRDefault="00CB4585" w:rsidP="00265A2D">
      <w:pPr>
        <w:jc w:val="both"/>
        <w:rPr>
          <w:rFonts w:cstheme="minorHAnsi"/>
          <w:sz w:val="24"/>
          <w:szCs w:val="24"/>
          <w:u w:val="single"/>
        </w:rPr>
      </w:pPr>
      <w:r w:rsidRPr="00362372">
        <w:rPr>
          <w:b/>
          <w:sz w:val="24"/>
          <w:u w:val="single"/>
        </w:rPr>
        <w:t>Dynamic procurement systems and e-catalogs</w:t>
      </w:r>
    </w:p>
    <w:p w14:paraId="6CFC0D8B" w14:textId="3AF4216E" w:rsidR="00C209EE" w:rsidRPr="00362372" w:rsidRDefault="00E40EA3" w:rsidP="00265A2D">
      <w:pPr>
        <w:tabs>
          <w:tab w:val="left" w:pos="720"/>
        </w:tabs>
        <w:suppressAutoHyphens/>
        <w:jc w:val="both"/>
        <w:rPr>
          <w:rFonts w:cstheme="minorHAnsi"/>
          <w:sz w:val="24"/>
          <w:szCs w:val="24"/>
        </w:rPr>
      </w:pPr>
      <w:r w:rsidRPr="00362372">
        <w:rPr>
          <w:sz w:val="24"/>
        </w:rPr>
        <w:t xml:space="preserve">The use of electronic catalogs in dynamic procurement system, which is also an electronic procurement system, </w:t>
      </w:r>
      <w:r w:rsidR="00A62A87">
        <w:rPr>
          <w:sz w:val="24"/>
        </w:rPr>
        <w:t>features an</w:t>
      </w:r>
      <w:r w:rsidRPr="00362372">
        <w:rPr>
          <w:sz w:val="24"/>
        </w:rPr>
        <w:t xml:space="preserve"> especial practicality. Contracts based on dynamic procurement system may be awarded on the basis of a tender for individual contracts which, at the request of procurer, is separately submitted in the form of electronic catalog. In addition, as in the case of framework agreements with several tenderers, procurer may also award contracts after notifying tenderers of its intention to collect data necessary to compile tenders corresponding to the requirements of given contract from the already submitted electronic catalogs. The foregoing applies </w:t>
      </w:r>
      <w:r w:rsidR="00A62A87">
        <w:rPr>
          <w:sz w:val="24"/>
        </w:rPr>
        <w:t>on the condition</w:t>
      </w:r>
      <w:r w:rsidRPr="00362372">
        <w:rPr>
          <w:sz w:val="24"/>
        </w:rPr>
        <w:t xml:space="preserve"> that the application for participation in dynamic procurement system </w:t>
      </w:r>
      <w:r w:rsidR="00A62A87">
        <w:rPr>
          <w:sz w:val="24"/>
        </w:rPr>
        <w:t>has</w:t>
      </w:r>
      <w:r w:rsidRPr="00362372">
        <w:rPr>
          <w:sz w:val="24"/>
        </w:rPr>
        <w:t xml:space="preserve"> an electronic catalog</w:t>
      </w:r>
      <w:r w:rsidR="00A62A87">
        <w:rPr>
          <w:sz w:val="24"/>
        </w:rPr>
        <w:t xml:space="preserve"> attached to it</w:t>
      </w:r>
      <w:r w:rsidRPr="00362372">
        <w:rPr>
          <w:sz w:val="24"/>
        </w:rPr>
        <w:t xml:space="preserve">, in accordance with technical specifications and in the form determined by procurer. In this case, candidates subsequently supplement electronic catalogs, upon being notified of procurer’s intention to compile tenders as described above. </w:t>
      </w:r>
    </w:p>
    <w:p w14:paraId="1CA08E86" w14:textId="2AA228BE" w:rsidR="001F3F8F" w:rsidRPr="00362372" w:rsidRDefault="001F3F8F" w:rsidP="00265A2D">
      <w:pPr>
        <w:pStyle w:val="NormalWeb"/>
        <w:spacing w:before="0" w:beforeAutospacing="0" w:after="160" w:afterAutospacing="0" w:line="259" w:lineRule="auto"/>
        <w:rPr>
          <w:rFonts w:asciiTheme="majorHAnsi" w:eastAsiaTheme="minorHAnsi" w:hAnsiTheme="majorHAnsi" w:cstheme="majorBidi"/>
          <w:b/>
          <w:color w:val="00B050"/>
          <w:kern w:val="2"/>
          <w:sz w:val="40"/>
          <w:szCs w:val="40"/>
          <w14:ligatures w14:val="standardContextual"/>
        </w:rPr>
      </w:pPr>
      <w:r w:rsidRPr="00362372">
        <w:rPr>
          <w:rFonts w:asciiTheme="majorHAnsi" w:hAnsiTheme="majorHAnsi"/>
          <w:b/>
          <w:color w:val="00B050"/>
          <w:sz w:val="40"/>
        </w:rPr>
        <w:t xml:space="preserve">Creating and </w:t>
      </w:r>
      <w:r w:rsidR="00D65EDE" w:rsidRPr="00362372">
        <w:rPr>
          <w:rFonts w:asciiTheme="majorHAnsi" w:hAnsiTheme="majorHAnsi"/>
          <w:b/>
          <w:color w:val="00B050"/>
          <w:sz w:val="40"/>
        </w:rPr>
        <w:t>Filling In</w:t>
      </w:r>
      <w:r w:rsidRPr="00362372">
        <w:rPr>
          <w:rFonts w:asciiTheme="majorHAnsi" w:hAnsiTheme="majorHAnsi"/>
          <w:b/>
          <w:color w:val="00B050"/>
          <w:sz w:val="40"/>
        </w:rPr>
        <w:t xml:space="preserve"> </w:t>
      </w:r>
      <w:r w:rsidR="00D65EDE" w:rsidRPr="00362372">
        <w:rPr>
          <w:rFonts w:asciiTheme="majorHAnsi" w:hAnsiTheme="majorHAnsi"/>
          <w:b/>
          <w:color w:val="00B050"/>
          <w:sz w:val="40"/>
        </w:rPr>
        <w:t>E</w:t>
      </w:r>
      <w:r w:rsidRPr="00362372">
        <w:rPr>
          <w:rFonts w:asciiTheme="majorHAnsi" w:hAnsiTheme="majorHAnsi"/>
          <w:b/>
          <w:color w:val="00B050"/>
          <w:sz w:val="40"/>
        </w:rPr>
        <w:t>-</w:t>
      </w:r>
      <w:r w:rsidR="00D65EDE" w:rsidRPr="00362372">
        <w:rPr>
          <w:rFonts w:asciiTheme="majorHAnsi" w:hAnsiTheme="majorHAnsi"/>
          <w:b/>
          <w:color w:val="00B050"/>
          <w:sz w:val="40"/>
        </w:rPr>
        <w:t>C</w:t>
      </w:r>
      <w:r w:rsidRPr="00362372">
        <w:rPr>
          <w:rFonts w:asciiTheme="majorHAnsi" w:hAnsiTheme="majorHAnsi"/>
          <w:b/>
          <w:color w:val="00B050"/>
          <w:sz w:val="40"/>
        </w:rPr>
        <w:t>atalogs</w:t>
      </w:r>
    </w:p>
    <w:p w14:paraId="56887C6D" w14:textId="77777777" w:rsidR="001F3F8F" w:rsidRPr="00362372" w:rsidRDefault="001F3F8F" w:rsidP="00265A2D">
      <w:pPr>
        <w:jc w:val="both"/>
        <w:rPr>
          <w:rFonts w:cstheme="minorHAnsi"/>
          <w:b/>
          <w:sz w:val="24"/>
          <w:szCs w:val="24"/>
          <w:u w:val="single"/>
        </w:rPr>
      </w:pPr>
      <w:r w:rsidRPr="00362372">
        <w:rPr>
          <w:b/>
          <w:sz w:val="24"/>
          <w:u w:val="single"/>
        </w:rPr>
        <w:t>Creating e-catalogs by procurer</w:t>
      </w:r>
    </w:p>
    <w:p w14:paraId="4D1A41F4" w14:textId="77777777" w:rsidR="00002878" w:rsidRPr="00362372" w:rsidRDefault="00002878" w:rsidP="00265A2D">
      <w:pPr>
        <w:jc w:val="both"/>
        <w:rPr>
          <w:rFonts w:cstheme="minorHAnsi"/>
          <w:b/>
          <w:sz w:val="24"/>
          <w:szCs w:val="24"/>
          <w:u w:val="single"/>
        </w:rPr>
      </w:pPr>
    </w:p>
    <w:p w14:paraId="03611E1D" w14:textId="77777777" w:rsidR="00122250" w:rsidRPr="00362372" w:rsidRDefault="00122250" w:rsidP="00265A2D">
      <w:pPr>
        <w:jc w:val="both"/>
        <w:rPr>
          <w:rFonts w:cstheme="minorHAnsi"/>
          <w:sz w:val="24"/>
          <w:szCs w:val="24"/>
        </w:rPr>
      </w:pPr>
      <w:r w:rsidRPr="00362372">
        <w:rPr>
          <w:sz w:val="24"/>
        </w:rPr>
        <w:t xml:space="preserve">Prior to initiating public procurement procedure in which tenders should be submitted as electronic catalogs, procurer creates this form on the Portal through the intended format and specifications. </w:t>
      </w:r>
    </w:p>
    <w:p w14:paraId="3FCCE44D" w14:textId="59769FD8" w:rsidR="00122250" w:rsidRPr="00362372" w:rsidRDefault="00122250" w:rsidP="00265A2D">
      <w:pPr>
        <w:jc w:val="both"/>
        <w:rPr>
          <w:rFonts w:cstheme="minorHAnsi"/>
          <w:sz w:val="24"/>
          <w:szCs w:val="24"/>
        </w:rPr>
      </w:pPr>
      <w:r w:rsidRPr="00362372">
        <w:rPr>
          <w:sz w:val="24"/>
        </w:rPr>
        <w:t>By creating electronic catalog, procurer creates a document in which it defines the type of electronic catalog</w:t>
      </w:r>
      <w:r w:rsidR="00A62A87">
        <w:rPr>
          <w:sz w:val="24"/>
        </w:rPr>
        <w:t>,</w:t>
      </w:r>
      <w:r w:rsidRPr="00362372">
        <w:rPr>
          <w:sz w:val="24"/>
        </w:rPr>
        <w:t xml:space="preserve"> </w:t>
      </w:r>
      <w:r w:rsidR="00A62A87">
        <w:rPr>
          <w:sz w:val="24"/>
        </w:rPr>
        <w:t>as well as</w:t>
      </w:r>
      <w:r w:rsidRPr="00362372">
        <w:rPr>
          <w:sz w:val="24"/>
        </w:rPr>
        <w:t xml:space="preserve"> its basic and additional elements. </w:t>
      </w:r>
    </w:p>
    <w:p w14:paraId="325F266E" w14:textId="37A66D10" w:rsidR="001F3F8F" w:rsidRPr="00362372" w:rsidRDefault="00A62A87" w:rsidP="00265A2D">
      <w:pPr>
        <w:jc w:val="both"/>
        <w:rPr>
          <w:rFonts w:cstheme="minorHAnsi"/>
          <w:sz w:val="24"/>
          <w:szCs w:val="24"/>
        </w:rPr>
      </w:pPr>
      <w:r>
        <w:rPr>
          <w:sz w:val="24"/>
        </w:rPr>
        <w:t>A</w:t>
      </w:r>
      <w:r w:rsidR="00122250" w:rsidRPr="00362372">
        <w:rPr>
          <w:sz w:val="24"/>
        </w:rPr>
        <w:t xml:space="preserve">n e-catalog </w:t>
      </w:r>
      <w:r>
        <w:rPr>
          <w:sz w:val="24"/>
        </w:rPr>
        <w:t xml:space="preserve">is created </w:t>
      </w:r>
      <w:r w:rsidR="00122250" w:rsidRPr="00362372">
        <w:rPr>
          <w:sz w:val="24"/>
        </w:rPr>
        <w:t>by choosing options ‘My e-catalogs (Procurer)’ - ‘New e-catalog’ from navigation on the Portal’s homepage.</w:t>
      </w:r>
    </w:p>
    <w:p w14:paraId="7299BCB6" w14:textId="0EE97B78" w:rsidR="0091382A" w:rsidRPr="00362372" w:rsidRDefault="0091382A" w:rsidP="00265A2D">
      <w:pPr>
        <w:jc w:val="both"/>
        <w:rPr>
          <w:rFonts w:cstheme="minorHAnsi"/>
          <w:sz w:val="24"/>
          <w:szCs w:val="24"/>
        </w:rPr>
      </w:pPr>
    </w:p>
    <w:p w14:paraId="2E326D0E" w14:textId="5F8E9058" w:rsidR="0091382A" w:rsidRPr="00362372" w:rsidRDefault="0091382A" w:rsidP="00265A2D">
      <w:pPr>
        <w:jc w:val="both"/>
        <w:rPr>
          <w:rFonts w:cstheme="minorHAnsi"/>
          <w:sz w:val="24"/>
          <w:szCs w:val="24"/>
        </w:rPr>
      </w:pPr>
    </w:p>
    <w:p w14:paraId="7B446D23" w14:textId="0B1BCA82" w:rsidR="0091382A" w:rsidRPr="00362372" w:rsidRDefault="0091382A" w:rsidP="00265A2D">
      <w:pPr>
        <w:jc w:val="both"/>
        <w:rPr>
          <w:rFonts w:cstheme="minorHAnsi"/>
          <w:sz w:val="24"/>
          <w:szCs w:val="24"/>
        </w:rPr>
      </w:pPr>
    </w:p>
    <w:p w14:paraId="44349B31" w14:textId="313288F5" w:rsidR="0091382A" w:rsidRPr="00362372" w:rsidRDefault="0091382A" w:rsidP="00265A2D">
      <w:pPr>
        <w:jc w:val="both"/>
        <w:rPr>
          <w:rFonts w:cstheme="minorHAnsi"/>
          <w:sz w:val="24"/>
          <w:szCs w:val="24"/>
        </w:rPr>
      </w:pPr>
    </w:p>
    <w:p w14:paraId="7ABCF6E4" w14:textId="3E588B81" w:rsidR="0091382A" w:rsidRPr="00362372" w:rsidRDefault="0091382A" w:rsidP="00265A2D">
      <w:pPr>
        <w:jc w:val="both"/>
        <w:rPr>
          <w:rFonts w:cstheme="minorHAnsi"/>
          <w:sz w:val="24"/>
          <w:szCs w:val="24"/>
        </w:rPr>
      </w:pPr>
    </w:p>
    <w:p w14:paraId="65ECA54F" w14:textId="77777777" w:rsidR="0091382A" w:rsidRPr="00362372" w:rsidRDefault="0091382A" w:rsidP="00265A2D">
      <w:pPr>
        <w:jc w:val="both"/>
        <w:rPr>
          <w:rFonts w:cstheme="minorHAnsi"/>
          <w:sz w:val="24"/>
          <w:szCs w:val="24"/>
        </w:rPr>
      </w:pPr>
    </w:p>
    <w:p w14:paraId="0752163E" w14:textId="77777777" w:rsidR="00122250" w:rsidRPr="00362372" w:rsidRDefault="00122250" w:rsidP="00122250">
      <w:pPr>
        <w:spacing w:before="100" w:beforeAutospacing="1" w:after="100" w:afterAutospacing="1" w:line="276" w:lineRule="auto"/>
        <w:jc w:val="center"/>
        <w:rPr>
          <w:rFonts w:cstheme="minorHAnsi"/>
          <w:i/>
          <w:color w:val="1E25A0" w:themeColor="accent1" w:themeShade="BF"/>
          <w:sz w:val="24"/>
          <w:szCs w:val="24"/>
        </w:rPr>
      </w:pPr>
      <w:r w:rsidRPr="00362372">
        <w:rPr>
          <w:i/>
          <w:color w:val="1E25A0" w:themeColor="accent1" w:themeShade="BF"/>
          <w:sz w:val="24"/>
        </w:rPr>
        <w:t>Display on the Portal</w:t>
      </w:r>
    </w:p>
    <w:bookmarkStart w:id="32" w:name="_Hlk197266175"/>
    <w:p w14:paraId="732BF88D" w14:textId="77777777" w:rsidR="001F3F8F" w:rsidRPr="00362372" w:rsidRDefault="001F3F8F" w:rsidP="001F3F8F">
      <w:pPr>
        <w:jc w:val="both"/>
        <w:rPr>
          <w:rFonts w:cstheme="minorHAnsi"/>
          <w:sz w:val="24"/>
          <w:szCs w:val="24"/>
        </w:rPr>
      </w:pPr>
      <w:r w:rsidRPr="00362372">
        <w:rPr>
          <w:sz w:val="24"/>
        </w:rPr>
        <mc:AlternateContent>
          <mc:Choice Requires="wps">
            <w:drawing>
              <wp:anchor distT="0" distB="0" distL="114300" distR="114300" simplePos="0" relativeHeight="251693056" behindDoc="0" locked="0" layoutInCell="1" allowOverlap="1" wp14:anchorId="7C087932" wp14:editId="6C1E772F">
                <wp:simplePos x="0" y="0"/>
                <wp:positionH relativeFrom="column">
                  <wp:posOffset>107950</wp:posOffset>
                </wp:positionH>
                <wp:positionV relativeFrom="paragraph">
                  <wp:posOffset>818515</wp:posOffset>
                </wp:positionV>
                <wp:extent cx="3302000" cy="165100"/>
                <wp:effectExtent l="19050" t="19050" r="12700" b="25400"/>
                <wp:wrapNone/>
                <wp:docPr id="1705129699" name="Rectangle 1705129699"/>
                <wp:cNvGraphicFramePr/>
                <a:graphic xmlns:a="http://schemas.openxmlformats.org/drawingml/2006/main">
                  <a:graphicData uri="http://schemas.microsoft.com/office/word/2010/wordprocessingShape">
                    <wps:wsp>
                      <wps:cNvSpPr/>
                      <wps:spPr>
                        <a:xfrm>
                          <a:off x="0" y="0"/>
                          <a:ext cx="3302000" cy="165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95CCD" id="Rectangle 1705129699" o:spid="_x0000_s1026" style="position:absolute;margin-left:8.5pt;margin-top:64.45pt;width:260pt;height:1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" filled="f" strokecolor="#c00000" strokeweight="2.25pt"/>
            </w:pict>
          </mc:Fallback>
        </mc:AlternateContent>
      </w:r>
      <w:r w:rsidRPr="00362372">
        <w:rPr>
          <w:sz w:val="24"/>
        </w:rPr>
        <mc:AlternateContent>
          <mc:Choice Requires="wps">
            <w:drawing>
              <wp:anchor distT="0" distB="0" distL="114300" distR="114300" simplePos="0" relativeHeight="251694080" behindDoc="0" locked="0" layoutInCell="1" allowOverlap="1" wp14:anchorId="67CF485F" wp14:editId="16185FEC">
                <wp:simplePos x="0" y="0"/>
                <wp:positionH relativeFrom="column">
                  <wp:posOffset>88900</wp:posOffset>
                </wp:positionH>
                <wp:positionV relativeFrom="paragraph">
                  <wp:posOffset>1218565</wp:posOffset>
                </wp:positionV>
                <wp:extent cx="1809750" cy="184150"/>
                <wp:effectExtent l="19050" t="19050" r="19050" b="25400"/>
                <wp:wrapNone/>
                <wp:docPr id="1705129700" name="Rectangle 1705129700"/>
                <wp:cNvGraphicFramePr/>
                <a:graphic xmlns:a="http://schemas.openxmlformats.org/drawingml/2006/main">
                  <a:graphicData uri="http://schemas.microsoft.com/office/word/2010/wordprocessingShape">
                    <wps:wsp>
                      <wps:cNvSpPr/>
                      <wps:spPr>
                        <a:xfrm>
                          <a:off x="0" y="0"/>
                          <a:ext cx="1809750" cy="1841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D4F83" id="Rectangle 1705129700" o:spid="_x0000_s1026" style="position:absolute;margin-left:7pt;margin-top:95.95pt;width:142.5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" filled="f" strokecolor="#c00000" strokeweight="2.25pt"/>
            </w:pict>
          </mc:Fallback>
        </mc:AlternateContent>
      </w:r>
      <w:r w:rsidRPr="00362372">
        <w:rPr>
          <w:sz w:val="24"/>
        </w:rPr>
        <w:drawing>
          <wp:inline distT="0" distB="0" distL="0" distR="0" wp14:anchorId="40249A6E" wp14:editId="5745428E">
            <wp:extent cx="5689600" cy="1485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1485900"/>
                    </a:xfrm>
                    <a:prstGeom prst="rect">
                      <a:avLst/>
                    </a:prstGeom>
                    <a:noFill/>
                    <a:ln>
                      <a:noFill/>
                    </a:ln>
                  </pic:spPr>
                </pic:pic>
              </a:graphicData>
            </a:graphic>
          </wp:inline>
        </w:drawing>
      </w:r>
    </w:p>
    <w:bookmarkEnd w:id="32"/>
    <w:p w14:paraId="78EB239E" w14:textId="77777777" w:rsidR="00122250" w:rsidRPr="00362372" w:rsidRDefault="00122250" w:rsidP="001F3F8F">
      <w:pPr>
        <w:jc w:val="both"/>
        <w:rPr>
          <w:rFonts w:cstheme="minorHAnsi"/>
          <w:sz w:val="24"/>
          <w:szCs w:val="24"/>
        </w:rPr>
      </w:pPr>
    </w:p>
    <w:p w14:paraId="6FC261E7" w14:textId="341DEBEF" w:rsidR="001F3F8F" w:rsidRPr="00362372" w:rsidRDefault="001F3F8F" w:rsidP="00002878">
      <w:pPr>
        <w:jc w:val="both"/>
        <w:rPr>
          <w:rFonts w:cstheme="minorHAnsi"/>
          <w:sz w:val="24"/>
          <w:szCs w:val="24"/>
        </w:rPr>
      </w:pPr>
      <w:r w:rsidRPr="00362372">
        <w:rPr>
          <w:sz w:val="24"/>
        </w:rPr>
        <w:t>Then, basic data about e-catalog</w:t>
      </w:r>
      <w:r w:rsidR="00A62A87">
        <w:rPr>
          <w:sz w:val="24"/>
        </w:rPr>
        <w:t xml:space="preserve"> are defined</w:t>
      </w:r>
      <w:r w:rsidRPr="00362372">
        <w:rPr>
          <w:sz w:val="24"/>
        </w:rPr>
        <w:t xml:space="preserve">: </w:t>
      </w:r>
      <w:r w:rsidR="00A62A87">
        <w:rPr>
          <w:sz w:val="24"/>
        </w:rPr>
        <w:t>c</w:t>
      </w:r>
      <w:r w:rsidRPr="00362372">
        <w:rPr>
          <w:sz w:val="24"/>
        </w:rPr>
        <w:t xml:space="preserve">atalog’s label, title, and description. Basic elements of electronic catalog (those that procurer must define) are: </w:t>
      </w:r>
      <w:r w:rsidR="00835F7F">
        <w:rPr>
          <w:sz w:val="24"/>
        </w:rPr>
        <w:t>p</w:t>
      </w:r>
      <w:r w:rsidRPr="00362372">
        <w:rPr>
          <w:sz w:val="24"/>
        </w:rPr>
        <w:t>osition number, position title, technical specifications (description of services or works), unit of measure, currency</w:t>
      </w:r>
      <w:r w:rsidR="00835F7F">
        <w:rPr>
          <w:sz w:val="24"/>
        </w:rPr>
        <w:t>,</w:t>
      </w:r>
      <w:r w:rsidRPr="00362372">
        <w:rPr>
          <w:sz w:val="24"/>
        </w:rPr>
        <w:t xml:space="preserve"> and quantity (for a standardized electronic catalog). </w:t>
      </w:r>
    </w:p>
    <w:p w14:paraId="0F32BE5A" w14:textId="77777777" w:rsidR="00BA25E5" w:rsidRPr="00362372" w:rsidRDefault="00BA25E5" w:rsidP="00BA25E5">
      <w:pPr>
        <w:spacing w:before="100" w:beforeAutospacing="1" w:after="100" w:afterAutospacing="1" w:line="276" w:lineRule="auto"/>
        <w:jc w:val="center"/>
        <w:rPr>
          <w:rFonts w:cstheme="minorHAnsi"/>
          <w:i/>
          <w:color w:val="1E25A0" w:themeColor="accent1" w:themeShade="BF"/>
          <w:sz w:val="24"/>
          <w:szCs w:val="24"/>
        </w:rPr>
      </w:pPr>
      <w:r w:rsidRPr="00362372">
        <w:rPr>
          <w:sz w:val="24"/>
        </w:rPr>
        <mc:AlternateContent>
          <mc:Choice Requires="wps">
            <w:drawing>
              <wp:anchor distT="0" distB="0" distL="114300" distR="114300" simplePos="0" relativeHeight="251697152" behindDoc="0" locked="0" layoutInCell="1" allowOverlap="1" wp14:anchorId="17171E33" wp14:editId="6CEE517B">
                <wp:simplePos x="0" y="0"/>
                <wp:positionH relativeFrom="column">
                  <wp:posOffset>-76200</wp:posOffset>
                </wp:positionH>
                <wp:positionV relativeFrom="paragraph">
                  <wp:posOffset>438150</wp:posOffset>
                </wp:positionV>
                <wp:extent cx="1657350" cy="247650"/>
                <wp:effectExtent l="19050" t="19050" r="19050" b="19050"/>
                <wp:wrapNone/>
                <wp:docPr id="2094362433" name="Rectangle 2094362433"/>
                <wp:cNvGraphicFramePr/>
                <a:graphic xmlns:a="http://schemas.openxmlformats.org/drawingml/2006/main">
                  <a:graphicData uri="http://schemas.microsoft.com/office/word/2010/wordprocessingShape">
                    <wps:wsp>
                      <wps:cNvSpPr/>
                      <wps:spPr>
                        <a:xfrm>
                          <a:off x="0" y="0"/>
                          <a:ext cx="1657350"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E4224" id="Rectangle 2094362433" o:spid="_x0000_s1026" style="position:absolute;margin-left:-6pt;margin-top:34.5pt;width:130.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" filled="f" strokecolor="#c00000" strokeweight="2.25pt"/>
            </w:pict>
          </mc:Fallback>
        </mc:AlternateContent>
      </w:r>
      <w:r w:rsidRPr="00362372">
        <w:rPr>
          <w:i/>
          <w:color w:val="1E25A0" w:themeColor="accent1" w:themeShade="BF"/>
          <w:sz w:val="24"/>
        </w:rPr>
        <w:t>Display on the Portal</w:t>
      </w:r>
    </w:p>
    <w:p w14:paraId="28BD37AC" w14:textId="77777777" w:rsidR="001F3F8F" w:rsidRPr="00362372" w:rsidRDefault="001F3F8F" w:rsidP="001F3F8F">
      <w:pPr>
        <w:spacing w:before="100" w:beforeAutospacing="1" w:after="100" w:afterAutospacing="1" w:line="240" w:lineRule="auto"/>
        <w:ind w:left="-113" w:right="-113"/>
        <w:jc w:val="both"/>
        <w:rPr>
          <w:rFonts w:cstheme="minorHAnsi"/>
          <w:sz w:val="24"/>
          <w:szCs w:val="24"/>
        </w:rPr>
      </w:pPr>
      <w:bookmarkStart w:id="33" w:name="_Hlk197266406"/>
      <w:r w:rsidRPr="00362372">
        <w:rPr>
          <w:sz w:val="24"/>
        </w:rPr>
        <w:drawing>
          <wp:inline distT="0" distB="0" distL="0" distR="0" wp14:anchorId="0DB8DC6A" wp14:editId="07EC8463">
            <wp:extent cx="5727700" cy="14541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454150"/>
                    </a:xfrm>
                    <a:prstGeom prst="rect">
                      <a:avLst/>
                    </a:prstGeom>
                    <a:noFill/>
                    <a:ln>
                      <a:noFill/>
                    </a:ln>
                  </pic:spPr>
                </pic:pic>
              </a:graphicData>
            </a:graphic>
          </wp:inline>
        </w:drawing>
      </w:r>
    </w:p>
    <w:bookmarkEnd w:id="33"/>
    <w:p w14:paraId="7E0D8511" w14:textId="60460380" w:rsidR="00BA25E5" w:rsidRPr="00362372" w:rsidRDefault="001F3F8F" w:rsidP="00265A2D">
      <w:pPr>
        <w:jc w:val="both"/>
        <w:rPr>
          <w:rFonts w:cstheme="minorHAnsi"/>
          <w:sz w:val="24"/>
          <w:szCs w:val="24"/>
        </w:rPr>
      </w:pPr>
      <w:r w:rsidRPr="00362372">
        <w:rPr>
          <w:sz w:val="24"/>
        </w:rPr>
        <w:t xml:space="preserve">Additional elements of electronic catalog are those that procurer may opt for, if it wishes to provide additional information or set additional request to tenderers, </w:t>
      </w:r>
      <w:r w:rsidR="007E25D3">
        <w:rPr>
          <w:sz w:val="24"/>
        </w:rPr>
        <w:t>after which</w:t>
      </w:r>
      <w:r w:rsidRPr="00362372">
        <w:rPr>
          <w:sz w:val="24"/>
        </w:rPr>
        <w:t xml:space="preserve"> it names each additional field and defines one of several offered options in which such element will be expressed: a brief wording (one line), an integer or decimal value, and whether this particular field will be entered for all positions, by applying the Portal’s functionalities.</w:t>
      </w:r>
    </w:p>
    <w:p w14:paraId="67B6D73B" w14:textId="77777777" w:rsidR="001F3F8F" w:rsidRPr="00362372" w:rsidRDefault="001F3F8F" w:rsidP="00265A2D">
      <w:pPr>
        <w:jc w:val="both"/>
        <w:rPr>
          <w:rFonts w:cstheme="minorHAnsi"/>
          <w:sz w:val="24"/>
          <w:szCs w:val="24"/>
        </w:rPr>
      </w:pPr>
      <w:r w:rsidRPr="00362372">
        <w:rPr>
          <w:sz w:val="24"/>
        </w:rPr>
        <w:t xml:space="preserve">While creating e-catalog, procurer also defines the data that tenderer will present. Some are mandatory, such as unit price and the total price with VAT and without VAT for requested positions, with possibility to also set as mandatory data (e.g., brief description - basic features of the offered product, producer’s name), or as optional (e.g., photo of the offered product). </w:t>
      </w:r>
    </w:p>
    <w:p w14:paraId="6C6BEE96" w14:textId="77777777" w:rsidR="00AC4F29" w:rsidRPr="00362372" w:rsidRDefault="00AC4F29" w:rsidP="00265A2D">
      <w:pPr>
        <w:jc w:val="both"/>
        <w:rPr>
          <w:rFonts w:cstheme="minorHAnsi"/>
          <w:sz w:val="24"/>
          <w:szCs w:val="24"/>
        </w:rPr>
      </w:pPr>
    </w:p>
    <w:p w14:paraId="03ACEFE0" w14:textId="77777777" w:rsidR="00AC4F29" w:rsidRPr="00362372" w:rsidRDefault="00AC4F29" w:rsidP="00265A2D">
      <w:pPr>
        <w:jc w:val="both"/>
        <w:rPr>
          <w:rFonts w:cstheme="minorHAnsi"/>
          <w:sz w:val="24"/>
          <w:szCs w:val="24"/>
        </w:rPr>
      </w:pPr>
    </w:p>
    <w:p w14:paraId="1C7B0FC3" w14:textId="77777777" w:rsidR="00AC4F29" w:rsidRPr="00362372" w:rsidRDefault="00AC4F29" w:rsidP="00265A2D">
      <w:pPr>
        <w:jc w:val="both"/>
        <w:rPr>
          <w:rFonts w:cstheme="minorHAnsi"/>
          <w:sz w:val="24"/>
          <w:szCs w:val="24"/>
        </w:rPr>
      </w:pPr>
    </w:p>
    <w:p w14:paraId="381865D6" w14:textId="77777777" w:rsidR="00AC4F29" w:rsidRPr="00362372" w:rsidRDefault="00AC4F29" w:rsidP="00265A2D">
      <w:pPr>
        <w:jc w:val="both"/>
        <w:rPr>
          <w:rFonts w:cstheme="minorHAnsi"/>
          <w:sz w:val="24"/>
          <w:szCs w:val="24"/>
        </w:rPr>
      </w:pPr>
    </w:p>
    <w:p w14:paraId="1B078CD9" w14:textId="77777777" w:rsidR="00AC4F29" w:rsidRPr="00362372" w:rsidRDefault="00AC4F29" w:rsidP="00265A2D">
      <w:pPr>
        <w:jc w:val="both"/>
        <w:rPr>
          <w:rFonts w:cstheme="minorHAnsi"/>
          <w:sz w:val="24"/>
          <w:szCs w:val="24"/>
        </w:rPr>
      </w:pPr>
    </w:p>
    <w:p w14:paraId="0BB32CF6" w14:textId="77777777" w:rsidR="00002878" w:rsidRPr="00362372" w:rsidRDefault="00002878" w:rsidP="00002878">
      <w:pPr>
        <w:pStyle w:val="ListParagraph"/>
        <w:spacing w:before="100" w:beforeAutospacing="1" w:after="100" w:afterAutospacing="1" w:line="276" w:lineRule="auto"/>
        <w:jc w:val="center"/>
        <w:rPr>
          <w:rFonts w:cstheme="minorHAnsi"/>
          <w:sz w:val="24"/>
          <w:szCs w:val="24"/>
        </w:rPr>
      </w:pPr>
      <w:r w:rsidRPr="00362372">
        <w:rPr>
          <w:i/>
          <w:color w:val="1E25A0" w:themeColor="accent1" w:themeShade="BF"/>
          <w:sz w:val="24"/>
        </w:rPr>
        <w:t>Display on the Portal</w:t>
      </w:r>
    </w:p>
    <w:bookmarkStart w:id="34" w:name="_Hlk197268668"/>
    <w:p w14:paraId="73D0A1D2" w14:textId="77777777" w:rsidR="001F3F8F" w:rsidRPr="00362372" w:rsidRDefault="00BA25E5" w:rsidP="001F3F8F">
      <w:pPr>
        <w:jc w:val="both"/>
        <w:rPr>
          <w:rFonts w:cstheme="minorHAnsi"/>
          <w:sz w:val="24"/>
          <w:szCs w:val="24"/>
        </w:rPr>
      </w:pPr>
      <w:r w:rsidRPr="00362372">
        <w:rPr>
          <w:sz w:val="24"/>
        </w:rPr>
        <mc:AlternateContent>
          <mc:Choice Requires="wps">
            <w:drawing>
              <wp:anchor distT="0" distB="0" distL="114300" distR="114300" simplePos="0" relativeHeight="251731968" behindDoc="0" locked="0" layoutInCell="1" allowOverlap="1" wp14:anchorId="179F6E15" wp14:editId="5A4EE43C">
                <wp:simplePos x="0" y="0"/>
                <wp:positionH relativeFrom="column">
                  <wp:posOffset>3076575</wp:posOffset>
                </wp:positionH>
                <wp:positionV relativeFrom="paragraph">
                  <wp:posOffset>528320</wp:posOffset>
                </wp:positionV>
                <wp:extent cx="962025" cy="124777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962025" cy="12477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F6D11" id="Rectangle 34" o:spid="_x0000_s1026" style="position:absolute;margin-left:242.25pt;margin-top:41.6pt;width:75.75pt;height:9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" filled="f" strokecolor="#c00000" strokeweight="2.25pt"/>
            </w:pict>
          </mc:Fallback>
        </mc:AlternateContent>
      </w:r>
      <w:r w:rsidRPr="00362372">
        <w:rPr>
          <w:sz w:val="24"/>
        </w:rPr>
        <mc:AlternateContent>
          <mc:Choice Requires="wps">
            <w:drawing>
              <wp:anchor distT="0" distB="0" distL="114300" distR="114300" simplePos="0" relativeHeight="251698176" behindDoc="0" locked="0" layoutInCell="1" allowOverlap="1" wp14:anchorId="1F96AC03" wp14:editId="7251BD3D">
                <wp:simplePos x="0" y="0"/>
                <wp:positionH relativeFrom="column">
                  <wp:posOffset>63500</wp:posOffset>
                </wp:positionH>
                <wp:positionV relativeFrom="paragraph">
                  <wp:posOffset>264795</wp:posOffset>
                </wp:positionV>
                <wp:extent cx="4521200" cy="234950"/>
                <wp:effectExtent l="19050" t="19050" r="12700" b="12700"/>
                <wp:wrapNone/>
                <wp:docPr id="2094362434" name="Rectangle 2094362434"/>
                <wp:cNvGraphicFramePr/>
                <a:graphic xmlns:a="http://schemas.openxmlformats.org/drawingml/2006/main">
                  <a:graphicData uri="http://schemas.microsoft.com/office/word/2010/wordprocessingShape">
                    <wps:wsp>
                      <wps:cNvSpPr/>
                      <wps:spPr>
                        <a:xfrm>
                          <a:off x="0" y="0"/>
                          <a:ext cx="4521200" cy="2349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41E8" id="Rectangle 2094362434" o:spid="_x0000_s1026" style="position:absolute;margin-left:5pt;margin-top:20.85pt;width:356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" filled="f" strokecolor="#c00000" strokeweight="2.25pt"/>
            </w:pict>
          </mc:Fallback>
        </mc:AlternateContent>
      </w:r>
      <w:r w:rsidRPr="00362372">
        <w:rPr>
          <w:sz w:val="24"/>
        </w:rPr>
        <w:drawing>
          <wp:inline distT="0" distB="0" distL="0" distR="0" wp14:anchorId="44D5B84F" wp14:editId="560C7EF2">
            <wp:extent cx="5731510" cy="185467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5868" cy="1859325"/>
                    </a:xfrm>
                    <a:prstGeom prst="rect">
                      <a:avLst/>
                    </a:prstGeom>
                    <a:noFill/>
                    <a:ln>
                      <a:noFill/>
                    </a:ln>
                  </pic:spPr>
                </pic:pic>
              </a:graphicData>
            </a:graphic>
          </wp:inline>
        </w:drawing>
      </w:r>
    </w:p>
    <w:bookmarkEnd w:id="34"/>
    <w:p w14:paraId="25DCE7EE" w14:textId="2C23F9A7" w:rsidR="001F3F8F" w:rsidRPr="00362372" w:rsidRDefault="001F3F8F" w:rsidP="00265A2D">
      <w:pPr>
        <w:jc w:val="both"/>
        <w:rPr>
          <w:rFonts w:cstheme="minorHAnsi"/>
          <w:b/>
          <w:sz w:val="24"/>
          <w:szCs w:val="24"/>
          <w:u w:val="single"/>
        </w:rPr>
      </w:pPr>
      <w:r w:rsidRPr="00362372">
        <w:rPr>
          <w:b/>
          <w:sz w:val="24"/>
          <w:u w:val="single"/>
        </w:rPr>
        <w:t>Preparing e-catalog request by procurer</w:t>
      </w:r>
    </w:p>
    <w:p w14:paraId="26BA6C01" w14:textId="10EEFF2D" w:rsidR="006049BB" w:rsidRPr="00362372" w:rsidRDefault="001F3F8F" w:rsidP="00265A2D">
      <w:pPr>
        <w:jc w:val="both"/>
        <w:rPr>
          <w:rFonts w:cstheme="minorHAnsi"/>
          <w:sz w:val="24"/>
          <w:szCs w:val="24"/>
        </w:rPr>
      </w:pPr>
      <w:r w:rsidRPr="00362372">
        <w:rPr>
          <w:sz w:val="24"/>
        </w:rPr>
        <w:t xml:space="preserve">Procurer prepares e-catalog either directly on the Portal or in an Excel template. Whichever way procurer chooses, e-catalog will be created so to represent the list of all goods/services or works it intends to procure. </w:t>
      </w:r>
    </w:p>
    <w:p w14:paraId="58CE3455" w14:textId="77777777" w:rsidR="006049BB" w:rsidRPr="00362372" w:rsidRDefault="006049BB" w:rsidP="00265A2D">
      <w:pPr>
        <w:jc w:val="both"/>
        <w:rPr>
          <w:rFonts w:cstheme="minorHAnsi"/>
          <w:sz w:val="24"/>
          <w:szCs w:val="24"/>
        </w:rPr>
      </w:pPr>
      <w:r w:rsidRPr="00362372">
        <w:rPr>
          <w:sz w:val="24"/>
          <w:u w:val="single"/>
        </w:rPr>
        <w:t xml:space="preserve">If creating e-catalog on the Portal </w:t>
      </w:r>
      <w:r w:rsidRPr="00362372">
        <w:rPr>
          <w:sz w:val="24"/>
        </w:rPr>
        <w:t>in section ‘E-catalog positions’, procurer enters the requirements it has already defined (position title, description, quantity...) separately for each position in accordance with the Portal’s functionalities.</w:t>
      </w:r>
    </w:p>
    <w:p w14:paraId="79BA9623" w14:textId="77777777" w:rsidR="006049BB" w:rsidRPr="00362372" w:rsidRDefault="006049BB" w:rsidP="006049BB">
      <w:pPr>
        <w:pStyle w:val="ListParagraph"/>
        <w:spacing w:before="100" w:beforeAutospacing="1" w:after="100" w:afterAutospacing="1" w:line="276" w:lineRule="auto"/>
        <w:jc w:val="center"/>
        <w:rPr>
          <w:rFonts w:cstheme="minorHAnsi"/>
          <w:sz w:val="24"/>
          <w:szCs w:val="24"/>
        </w:rPr>
      </w:pPr>
      <w:r w:rsidRPr="00362372">
        <w:rPr>
          <w:i/>
          <w:color w:val="1E25A0" w:themeColor="accent1" w:themeShade="BF"/>
          <w:sz w:val="24"/>
        </w:rPr>
        <w:t>Display on the Portal</w:t>
      </w:r>
    </w:p>
    <w:p w14:paraId="061EC730" w14:textId="77777777" w:rsidR="006049BB" w:rsidRPr="00362372" w:rsidRDefault="006049BB" w:rsidP="006049BB">
      <w:pPr>
        <w:ind w:left="360"/>
        <w:jc w:val="both"/>
        <w:rPr>
          <w:rFonts w:cstheme="minorHAnsi"/>
          <w:sz w:val="24"/>
          <w:szCs w:val="24"/>
        </w:rPr>
      </w:pPr>
      <w:bookmarkStart w:id="35" w:name="_Hlk197269035"/>
      <w:r w:rsidRPr="00362372">
        <w:drawing>
          <wp:inline distT="0" distB="0" distL="0" distR="0" wp14:anchorId="386EF85C" wp14:editId="143AB139">
            <wp:extent cx="5548653" cy="2008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6109" cy="2018444"/>
                    </a:xfrm>
                    <a:prstGeom prst="rect">
                      <a:avLst/>
                    </a:prstGeom>
                    <a:noFill/>
                    <a:ln>
                      <a:noFill/>
                    </a:ln>
                  </pic:spPr>
                </pic:pic>
              </a:graphicData>
            </a:graphic>
          </wp:inline>
        </w:drawing>
      </w:r>
    </w:p>
    <w:bookmarkEnd w:id="35"/>
    <w:p w14:paraId="65CC2353" w14:textId="77777777" w:rsidR="00A3347F" w:rsidRPr="00362372" w:rsidRDefault="00A3347F" w:rsidP="00A3347F">
      <w:pPr>
        <w:jc w:val="both"/>
        <w:rPr>
          <w:rFonts w:cstheme="minorHAnsi"/>
          <w:sz w:val="24"/>
          <w:szCs w:val="24"/>
        </w:rPr>
      </w:pPr>
    </w:p>
    <w:p w14:paraId="63740B68" w14:textId="211EE16A" w:rsidR="001F3F8F" w:rsidRPr="00362372" w:rsidRDefault="001F3F8F" w:rsidP="00265A2D">
      <w:pPr>
        <w:jc w:val="both"/>
        <w:rPr>
          <w:rFonts w:cstheme="minorHAnsi"/>
          <w:sz w:val="24"/>
          <w:szCs w:val="24"/>
        </w:rPr>
      </w:pPr>
      <w:r w:rsidRPr="00362372">
        <w:rPr>
          <w:sz w:val="24"/>
        </w:rPr>
        <w:t>If using an Excel template, procurer downloads it in the Portal’s section ‘Catalog uploading’ - ‘E-catalog import template’, whereas the prepared catalog is uploaded in section ‘Catalog uploading’ - ‘E-catalog in Excel template format’</w:t>
      </w:r>
    </w:p>
    <w:p w14:paraId="75E66FF7" w14:textId="77777777" w:rsidR="00AC4F29" w:rsidRPr="00362372" w:rsidRDefault="00AC4F29" w:rsidP="00265A2D">
      <w:pPr>
        <w:jc w:val="both"/>
        <w:rPr>
          <w:rFonts w:cstheme="minorHAnsi"/>
          <w:sz w:val="24"/>
          <w:szCs w:val="24"/>
        </w:rPr>
      </w:pPr>
    </w:p>
    <w:p w14:paraId="2462591C" w14:textId="77777777" w:rsidR="00AC4F29" w:rsidRPr="00362372" w:rsidRDefault="00AC4F29" w:rsidP="00265A2D">
      <w:pPr>
        <w:jc w:val="both"/>
        <w:rPr>
          <w:rFonts w:cstheme="minorHAnsi"/>
          <w:sz w:val="24"/>
          <w:szCs w:val="24"/>
        </w:rPr>
      </w:pPr>
    </w:p>
    <w:p w14:paraId="6C013CBE" w14:textId="77777777" w:rsidR="00AC4F29" w:rsidRPr="00362372" w:rsidRDefault="00AC4F29" w:rsidP="00265A2D">
      <w:pPr>
        <w:jc w:val="both"/>
        <w:rPr>
          <w:rFonts w:cstheme="minorHAnsi"/>
          <w:sz w:val="24"/>
          <w:szCs w:val="24"/>
        </w:rPr>
      </w:pPr>
    </w:p>
    <w:p w14:paraId="0684405C" w14:textId="77777777" w:rsidR="00AC4F29" w:rsidRPr="00362372" w:rsidRDefault="00AC4F29" w:rsidP="00265A2D">
      <w:pPr>
        <w:jc w:val="both"/>
        <w:rPr>
          <w:rFonts w:cstheme="minorHAnsi"/>
          <w:sz w:val="24"/>
          <w:szCs w:val="24"/>
        </w:rPr>
      </w:pPr>
    </w:p>
    <w:p w14:paraId="1AA5BC4D" w14:textId="77777777" w:rsidR="006049BB" w:rsidRPr="00362372" w:rsidRDefault="006049BB" w:rsidP="006049BB">
      <w:pPr>
        <w:pStyle w:val="ListParagraph"/>
        <w:spacing w:before="100" w:beforeAutospacing="1" w:after="100" w:afterAutospacing="1" w:line="276" w:lineRule="auto"/>
        <w:jc w:val="center"/>
        <w:rPr>
          <w:rFonts w:cstheme="minorHAnsi"/>
          <w:sz w:val="24"/>
          <w:szCs w:val="24"/>
        </w:rPr>
      </w:pPr>
      <w:r w:rsidRPr="00362372">
        <w:rPr>
          <w:i/>
          <w:color w:val="1E25A0" w:themeColor="accent1" w:themeShade="BF"/>
          <w:sz w:val="24"/>
        </w:rPr>
        <w:t>Display on the Portal</w:t>
      </w:r>
    </w:p>
    <w:bookmarkStart w:id="36" w:name="_Hlk197269245"/>
    <w:p w14:paraId="63359642" w14:textId="77777777" w:rsidR="001F3F8F" w:rsidRPr="00362372" w:rsidRDefault="00A3347F" w:rsidP="001F3F8F">
      <w:pPr>
        <w:jc w:val="both"/>
        <w:rPr>
          <w:rFonts w:cstheme="minorHAnsi"/>
          <w:sz w:val="24"/>
          <w:szCs w:val="24"/>
        </w:rPr>
      </w:pPr>
      <w:r w:rsidRPr="00362372">
        <w:rPr>
          <w:sz w:val="24"/>
        </w:rPr>
        <mc:AlternateContent>
          <mc:Choice Requires="wps">
            <w:drawing>
              <wp:anchor distT="0" distB="0" distL="114300" distR="114300" simplePos="0" relativeHeight="251700224" behindDoc="0" locked="0" layoutInCell="1" allowOverlap="1" wp14:anchorId="2AAD9C58" wp14:editId="61539E21">
                <wp:simplePos x="0" y="0"/>
                <wp:positionH relativeFrom="margin">
                  <wp:posOffset>1936750</wp:posOffset>
                </wp:positionH>
                <wp:positionV relativeFrom="paragraph">
                  <wp:posOffset>1489219</wp:posOffset>
                </wp:positionV>
                <wp:extent cx="654050" cy="292100"/>
                <wp:effectExtent l="19050" t="19050" r="12700" b="12700"/>
                <wp:wrapNone/>
                <wp:docPr id="2094362436" name="Rectangle 2094362436"/>
                <wp:cNvGraphicFramePr/>
                <a:graphic xmlns:a="http://schemas.openxmlformats.org/drawingml/2006/main">
                  <a:graphicData uri="http://schemas.microsoft.com/office/word/2010/wordprocessingShape">
                    <wps:wsp>
                      <wps:cNvSpPr/>
                      <wps:spPr>
                        <a:xfrm>
                          <a:off x="0" y="0"/>
                          <a:ext cx="654050" cy="292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460B3" id="Rectangle 2094362436" o:spid="_x0000_s1026" style="position:absolute;margin-left:152.5pt;margin-top:117.25pt;width:51.5pt;height:2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" filled="f" strokecolor="#c00000" strokeweight="2.25pt">
                <w10:wrap anchorx="margin"/>
              </v:rect>
            </w:pict>
          </mc:Fallback>
        </mc:AlternateContent>
      </w:r>
      <w:r w:rsidRPr="00362372">
        <w:rPr>
          <w:sz w:val="24"/>
        </w:rPr>
        <mc:AlternateContent>
          <mc:Choice Requires="wps">
            <w:drawing>
              <wp:anchor distT="0" distB="0" distL="114300" distR="114300" simplePos="0" relativeHeight="251701248" behindDoc="0" locked="0" layoutInCell="1" allowOverlap="1" wp14:anchorId="5FE640BD" wp14:editId="1F4E69F4">
                <wp:simplePos x="0" y="0"/>
                <wp:positionH relativeFrom="margin">
                  <wp:posOffset>1944897</wp:posOffset>
                </wp:positionH>
                <wp:positionV relativeFrom="paragraph">
                  <wp:posOffset>2097297</wp:posOffset>
                </wp:positionV>
                <wp:extent cx="609600" cy="292100"/>
                <wp:effectExtent l="19050" t="19050" r="19050" b="12700"/>
                <wp:wrapNone/>
                <wp:docPr id="2094362439" name="Rectangle 2094362439"/>
                <wp:cNvGraphicFramePr/>
                <a:graphic xmlns:a="http://schemas.openxmlformats.org/drawingml/2006/main">
                  <a:graphicData uri="http://schemas.microsoft.com/office/word/2010/wordprocessingShape">
                    <wps:wsp>
                      <wps:cNvSpPr/>
                      <wps:spPr>
                        <a:xfrm>
                          <a:off x="0" y="0"/>
                          <a:ext cx="609600" cy="292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AFE7" id="Rectangle 2094362439" o:spid="_x0000_s1026" style="position:absolute;margin-left:153.15pt;margin-top:165.15pt;width:48pt;height:2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" filled="f" strokecolor="#c00000" strokeweight="2.25pt">
                <w10:wrap anchorx="margin"/>
              </v:rect>
            </w:pict>
          </mc:Fallback>
        </mc:AlternateContent>
      </w:r>
      <w:r w:rsidRPr="00362372">
        <w:rPr>
          <w:sz w:val="24"/>
        </w:rPr>
        <mc:AlternateContent>
          <mc:Choice Requires="wps">
            <w:drawing>
              <wp:anchor distT="0" distB="0" distL="114300" distR="114300" simplePos="0" relativeHeight="251699200" behindDoc="0" locked="0" layoutInCell="1" allowOverlap="1" wp14:anchorId="1E438092" wp14:editId="1EA82D18">
                <wp:simplePos x="0" y="0"/>
                <wp:positionH relativeFrom="margin">
                  <wp:align>left</wp:align>
                </wp:positionH>
                <wp:positionV relativeFrom="paragraph">
                  <wp:posOffset>-24130</wp:posOffset>
                </wp:positionV>
                <wp:extent cx="1485900" cy="234950"/>
                <wp:effectExtent l="19050" t="19050" r="19050" b="12700"/>
                <wp:wrapNone/>
                <wp:docPr id="2094362435" name="Rectangle 2094362435"/>
                <wp:cNvGraphicFramePr/>
                <a:graphic xmlns:a="http://schemas.openxmlformats.org/drawingml/2006/main">
                  <a:graphicData uri="http://schemas.microsoft.com/office/word/2010/wordprocessingShape">
                    <wps:wsp>
                      <wps:cNvSpPr/>
                      <wps:spPr>
                        <a:xfrm>
                          <a:off x="0" y="0"/>
                          <a:ext cx="1485900" cy="2349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9F2FA" id="Rectangle 2094362435" o:spid="_x0000_s1026" style="position:absolute;margin-left:0;margin-top:-1.9pt;width:117pt;height:1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" filled="f" strokecolor="#c00000" strokeweight="2.25pt">
                <w10:wrap anchorx="margin"/>
              </v:rect>
            </w:pict>
          </mc:Fallback>
        </mc:AlternateContent>
      </w:r>
      <w:r w:rsidRPr="00362372">
        <w:rPr>
          <w:sz w:val="24"/>
        </w:rPr>
        <w:drawing>
          <wp:inline distT="0" distB="0" distL="0" distR="0" wp14:anchorId="34D6B335" wp14:editId="2BA5C8A7">
            <wp:extent cx="5727700" cy="2570671"/>
            <wp:effectExtent l="0" t="0" r="6350" b="1270"/>
            <wp:docPr id="2094362438" name="Picture 20943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1152" cy="2581197"/>
                    </a:xfrm>
                    <a:prstGeom prst="rect">
                      <a:avLst/>
                    </a:prstGeom>
                    <a:noFill/>
                    <a:ln>
                      <a:noFill/>
                    </a:ln>
                  </pic:spPr>
                </pic:pic>
              </a:graphicData>
            </a:graphic>
          </wp:inline>
        </w:drawing>
      </w:r>
    </w:p>
    <w:bookmarkEnd w:id="36"/>
    <w:p w14:paraId="19D25C56" w14:textId="77777777" w:rsidR="001F3F8F" w:rsidRPr="00362372" w:rsidRDefault="001F3F8F" w:rsidP="001F3F8F">
      <w:pPr>
        <w:jc w:val="both"/>
        <w:rPr>
          <w:rFonts w:cstheme="minorHAnsi"/>
          <w:sz w:val="24"/>
          <w:szCs w:val="24"/>
        </w:rPr>
      </w:pPr>
    </w:p>
    <w:p w14:paraId="362D1A79" w14:textId="0EEF504F" w:rsidR="001F3F8F" w:rsidRPr="00362372" w:rsidRDefault="00A871F9" w:rsidP="00265A2D">
      <w:pPr>
        <w:jc w:val="both"/>
        <w:rPr>
          <w:rFonts w:cstheme="minorHAnsi"/>
          <w:b/>
          <w:sz w:val="24"/>
          <w:szCs w:val="24"/>
          <w:u w:val="single"/>
        </w:rPr>
      </w:pPr>
      <w:r>
        <w:rPr>
          <w:b/>
          <w:sz w:val="24"/>
          <w:u w:val="single"/>
        </w:rPr>
        <w:t>Filling</w:t>
      </w:r>
      <w:r w:rsidR="001F3F8F" w:rsidRPr="00362372">
        <w:rPr>
          <w:b/>
          <w:sz w:val="24"/>
          <w:u w:val="single"/>
        </w:rPr>
        <w:t xml:space="preserve"> e-catalog </w:t>
      </w:r>
      <w:r>
        <w:rPr>
          <w:b/>
          <w:sz w:val="24"/>
          <w:u w:val="single"/>
        </w:rPr>
        <w:t xml:space="preserve">in </w:t>
      </w:r>
      <w:r w:rsidR="001F3F8F" w:rsidRPr="00362372">
        <w:rPr>
          <w:b/>
          <w:sz w:val="24"/>
          <w:u w:val="single"/>
        </w:rPr>
        <w:t>by procurer</w:t>
      </w:r>
    </w:p>
    <w:p w14:paraId="7B5D5584" w14:textId="38900722" w:rsidR="001F3F8F" w:rsidRPr="00362372" w:rsidRDefault="001F3F8F" w:rsidP="00265A2D">
      <w:pPr>
        <w:jc w:val="both"/>
        <w:rPr>
          <w:rFonts w:cstheme="minorHAnsi"/>
          <w:sz w:val="24"/>
          <w:szCs w:val="24"/>
        </w:rPr>
      </w:pPr>
      <w:r w:rsidRPr="00362372">
        <w:rPr>
          <w:sz w:val="24"/>
        </w:rPr>
        <w:t>Tenderer can access e-catalog either by choosing option ‘E-catalog’ - ‘defined e-catalogs’ on the navigation menu, or by choosing option ‘</w:t>
      </w:r>
      <w:r w:rsidR="00A871F9">
        <w:rPr>
          <w:sz w:val="24"/>
        </w:rPr>
        <w:t>Fill in’</w:t>
      </w:r>
      <w:r w:rsidRPr="00362372">
        <w:rPr>
          <w:sz w:val="24"/>
        </w:rPr>
        <w:t xml:space="preserve"> below the navigation line ‘E-catalogs’ on the procedure’s intro page.</w:t>
      </w:r>
    </w:p>
    <w:p w14:paraId="46A6A6AF" w14:textId="77777777" w:rsidR="00052E15" w:rsidRPr="00362372" w:rsidRDefault="00052E15" w:rsidP="00052E15">
      <w:pPr>
        <w:pStyle w:val="ListParagraph"/>
        <w:spacing w:before="100" w:beforeAutospacing="1" w:after="100" w:afterAutospacing="1" w:line="276" w:lineRule="auto"/>
        <w:jc w:val="center"/>
        <w:rPr>
          <w:rFonts w:cstheme="minorHAnsi"/>
          <w:sz w:val="24"/>
          <w:szCs w:val="24"/>
        </w:rPr>
      </w:pPr>
      <w:r w:rsidRPr="00362372">
        <w:rPr>
          <w:i/>
          <w:color w:val="1E25A0" w:themeColor="accent1" w:themeShade="BF"/>
          <w:sz w:val="24"/>
        </w:rPr>
        <w:t>Display on the Portal</w:t>
      </w:r>
    </w:p>
    <w:bookmarkStart w:id="37" w:name="_Hlk197269618"/>
    <w:p w14:paraId="025559A0" w14:textId="77777777" w:rsidR="001F3F8F" w:rsidRPr="00362372" w:rsidRDefault="001F3F8F" w:rsidP="001F3F8F">
      <w:pPr>
        <w:jc w:val="both"/>
        <w:rPr>
          <w:rFonts w:cstheme="minorHAnsi"/>
          <w:sz w:val="24"/>
          <w:szCs w:val="24"/>
        </w:rPr>
      </w:pPr>
      <w:r w:rsidRPr="00362372">
        <w:rPr>
          <w:sz w:val="24"/>
        </w:rPr>
        <mc:AlternateContent>
          <mc:Choice Requires="wps">
            <w:drawing>
              <wp:anchor distT="0" distB="0" distL="114300" distR="114300" simplePos="0" relativeHeight="251702272" behindDoc="0" locked="0" layoutInCell="1" allowOverlap="1" wp14:anchorId="120F84B0" wp14:editId="78621B7E">
                <wp:simplePos x="0" y="0"/>
                <wp:positionH relativeFrom="margin">
                  <wp:posOffset>2727297</wp:posOffset>
                </wp:positionH>
                <wp:positionV relativeFrom="paragraph">
                  <wp:posOffset>290002</wp:posOffset>
                </wp:positionV>
                <wp:extent cx="1470992" cy="151075"/>
                <wp:effectExtent l="19050" t="19050" r="15240" b="20955"/>
                <wp:wrapNone/>
                <wp:docPr id="2094362442" name="Rectangle 2094362442"/>
                <wp:cNvGraphicFramePr/>
                <a:graphic xmlns:a="http://schemas.openxmlformats.org/drawingml/2006/main">
                  <a:graphicData uri="http://schemas.microsoft.com/office/word/2010/wordprocessingShape">
                    <wps:wsp>
                      <wps:cNvSpPr/>
                      <wps:spPr>
                        <a:xfrm>
                          <a:off x="0" y="0"/>
                          <a:ext cx="1470992" cy="1510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0CD2" id="Rectangle 2094362442" o:spid="_x0000_s1026" style="position:absolute;margin-left:214.75pt;margin-top:22.85pt;width:115.85pt;height:11.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" filled="f" strokecolor="#c00000" strokeweight="2.25pt">
                <w10:wrap anchorx="margin"/>
              </v:rect>
            </w:pict>
          </mc:Fallback>
        </mc:AlternateContent>
      </w:r>
      <w:r w:rsidRPr="00362372">
        <w:rPr>
          <w:sz w:val="24"/>
        </w:rPr>
        <mc:AlternateContent>
          <mc:Choice Requires="wps">
            <w:drawing>
              <wp:anchor distT="0" distB="0" distL="114300" distR="114300" simplePos="0" relativeHeight="251703296" behindDoc="0" locked="0" layoutInCell="1" allowOverlap="1" wp14:anchorId="66C59C85" wp14:editId="46127BF3">
                <wp:simplePos x="0" y="0"/>
                <wp:positionH relativeFrom="margin">
                  <wp:posOffset>198451</wp:posOffset>
                </wp:positionH>
                <wp:positionV relativeFrom="paragraph">
                  <wp:posOffset>2079736</wp:posOffset>
                </wp:positionV>
                <wp:extent cx="222526" cy="166977"/>
                <wp:effectExtent l="19050" t="19050" r="25400" b="24130"/>
                <wp:wrapNone/>
                <wp:docPr id="2094362443" name="Rectangle 2094362443"/>
                <wp:cNvGraphicFramePr/>
                <a:graphic xmlns:a="http://schemas.openxmlformats.org/drawingml/2006/main">
                  <a:graphicData uri="http://schemas.microsoft.com/office/word/2010/wordprocessingShape">
                    <wps:wsp>
                      <wps:cNvSpPr/>
                      <wps:spPr>
                        <a:xfrm>
                          <a:off x="0" y="0"/>
                          <a:ext cx="222526" cy="16697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940DB" id="Rectangle 2094362443" o:spid="_x0000_s1026" style="position:absolute;margin-left:15.65pt;margin-top:163.75pt;width:17.5pt;height:13.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" filled="f" strokecolor="#c00000" strokeweight="2.25pt">
                <w10:wrap anchorx="margin"/>
              </v:rect>
            </w:pict>
          </mc:Fallback>
        </mc:AlternateContent>
      </w:r>
      <w:r w:rsidRPr="00362372">
        <w:rPr>
          <w:sz w:val="24"/>
        </w:rPr>
        <w:drawing>
          <wp:inline distT="0" distB="0" distL="0" distR="0" wp14:anchorId="4E29E6C1" wp14:editId="38864CE9">
            <wp:extent cx="5724861" cy="2321781"/>
            <wp:effectExtent l="0" t="0" r="0" b="2540"/>
            <wp:docPr id="2094362441" name="Picture 20943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934" cy="2335194"/>
                    </a:xfrm>
                    <a:prstGeom prst="rect">
                      <a:avLst/>
                    </a:prstGeom>
                    <a:noFill/>
                    <a:ln>
                      <a:noFill/>
                    </a:ln>
                  </pic:spPr>
                </pic:pic>
              </a:graphicData>
            </a:graphic>
          </wp:inline>
        </w:drawing>
      </w:r>
    </w:p>
    <w:bookmarkEnd w:id="37"/>
    <w:p w14:paraId="1F5BFEA2" w14:textId="68759B33" w:rsidR="001F3F8F" w:rsidRPr="00362372" w:rsidRDefault="001F3F8F" w:rsidP="00265A2D">
      <w:pPr>
        <w:jc w:val="both"/>
        <w:rPr>
          <w:rFonts w:cstheme="minorHAnsi"/>
          <w:sz w:val="24"/>
          <w:szCs w:val="24"/>
        </w:rPr>
      </w:pPr>
      <w:r w:rsidRPr="00362372">
        <w:rPr>
          <w:sz w:val="24"/>
        </w:rPr>
        <w:t>Then, tenderer accesses e-catalog defined by procurer and, just like</w:t>
      </w:r>
      <w:r w:rsidR="000C588D">
        <w:rPr>
          <w:sz w:val="24"/>
        </w:rPr>
        <w:t xml:space="preserve"> the</w:t>
      </w:r>
      <w:r w:rsidRPr="00362372">
        <w:rPr>
          <w:sz w:val="24"/>
        </w:rPr>
        <w:t xml:space="preserve"> two options </w:t>
      </w:r>
      <w:r w:rsidR="000C588D">
        <w:rPr>
          <w:sz w:val="24"/>
        </w:rPr>
        <w:t xml:space="preserve">that are </w:t>
      </w:r>
      <w:r w:rsidRPr="00362372">
        <w:rPr>
          <w:sz w:val="24"/>
        </w:rPr>
        <w:t xml:space="preserve">available to procurer, those being: </w:t>
      </w:r>
      <w:r w:rsidR="000C588D">
        <w:rPr>
          <w:sz w:val="24"/>
        </w:rPr>
        <w:t xml:space="preserve">either </w:t>
      </w:r>
      <w:r w:rsidRPr="00362372">
        <w:rPr>
          <w:sz w:val="24"/>
        </w:rPr>
        <w:t>completing e-catalog by Excel template or directly on the Portal, tenderer can also either fill in e-catalog directly on the Portal, or export an e-catalog’s Excel template (fill it in and then upload</w:t>
      </w:r>
      <w:r w:rsidR="000C588D">
        <w:rPr>
          <w:sz w:val="24"/>
        </w:rPr>
        <w:t xml:space="preserve"> it</w:t>
      </w:r>
      <w:r w:rsidRPr="00362372">
        <w:rPr>
          <w:sz w:val="24"/>
        </w:rPr>
        <w:t xml:space="preserve"> to the Portal).</w:t>
      </w:r>
    </w:p>
    <w:p w14:paraId="2744467A" w14:textId="77777777" w:rsidR="001F3F8F" w:rsidRPr="00362372" w:rsidRDefault="001F3F8F" w:rsidP="00265A2D">
      <w:pPr>
        <w:jc w:val="both"/>
        <w:rPr>
          <w:rFonts w:cstheme="minorHAnsi"/>
          <w:sz w:val="24"/>
          <w:szCs w:val="24"/>
        </w:rPr>
      </w:pPr>
      <w:r w:rsidRPr="00362372">
        <w:rPr>
          <w:sz w:val="24"/>
        </w:rPr>
        <w:lastRenderedPageBreak/>
        <w:t>And all the filled in positions from the template are entered in e-catalog on the Portal, and thereafter tenderer can also upload requested documents (which of course cannot be done in Excel), such as in this case are photos of offered products.</w:t>
      </w:r>
    </w:p>
    <w:p w14:paraId="01507497" w14:textId="77777777" w:rsidR="00052E15" w:rsidRPr="00362372" w:rsidRDefault="00052E15" w:rsidP="00052E15">
      <w:pPr>
        <w:pStyle w:val="ListParagraph"/>
        <w:spacing w:before="100" w:beforeAutospacing="1" w:after="100" w:afterAutospacing="1" w:line="276" w:lineRule="auto"/>
        <w:jc w:val="center"/>
        <w:rPr>
          <w:rFonts w:cstheme="minorHAnsi"/>
          <w:sz w:val="24"/>
          <w:szCs w:val="24"/>
        </w:rPr>
      </w:pPr>
      <w:r w:rsidRPr="00362372">
        <w:rPr>
          <w:i/>
          <w:color w:val="1E25A0" w:themeColor="accent1" w:themeShade="BF"/>
          <w:sz w:val="24"/>
        </w:rPr>
        <w:t>Display on the Portal (an example of completed e-catalog)</w:t>
      </w:r>
    </w:p>
    <w:p w14:paraId="0695762A" w14:textId="77777777" w:rsidR="001F3F8F" w:rsidRPr="00362372" w:rsidRDefault="001F3F8F" w:rsidP="001F3F8F">
      <w:pPr>
        <w:jc w:val="both"/>
        <w:rPr>
          <w:rFonts w:cstheme="minorHAnsi"/>
          <w:sz w:val="24"/>
          <w:szCs w:val="24"/>
        </w:rPr>
      </w:pPr>
      <w:bookmarkStart w:id="38" w:name="_Hlk197270276"/>
      <w:r w:rsidRPr="00362372">
        <w:rPr>
          <w:sz w:val="24"/>
        </w:rPr>
        <mc:AlternateContent>
          <mc:Choice Requires="wps">
            <w:drawing>
              <wp:anchor distT="0" distB="0" distL="114300" distR="114300" simplePos="0" relativeHeight="251713536" behindDoc="0" locked="0" layoutInCell="1" allowOverlap="1" wp14:anchorId="13415579" wp14:editId="4C78B9BB">
                <wp:simplePos x="0" y="0"/>
                <wp:positionH relativeFrom="column">
                  <wp:posOffset>1597660</wp:posOffset>
                </wp:positionH>
                <wp:positionV relativeFrom="paragraph">
                  <wp:posOffset>502091</wp:posOffset>
                </wp:positionV>
                <wp:extent cx="636105" cy="222636"/>
                <wp:effectExtent l="0" t="0" r="12065" b="25400"/>
                <wp:wrapNone/>
                <wp:docPr id="2094362467" name="Rectangle 2094362467"/>
                <wp:cNvGraphicFramePr/>
                <a:graphic xmlns:a="http://schemas.openxmlformats.org/drawingml/2006/main">
                  <a:graphicData uri="http://schemas.microsoft.com/office/word/2010/wordprocessingShape">
                    <wps:wsp>
                      <wps:cNvSpPr/>
                      <wps:spPr>
                        <a:xfrm>
                          <a:off x="0" y="0"/>
                          <a:ext cx="636105" cy="22263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C5993" w14:textId="77777777" w:rsidR="003414DB" w:rsidRPr="006361CA" w:rsidRDefault="003414DB" w:rsidP="001F3F8F">
                            <w:pPr>
                              <w:rPr>
                                <w:b/>
                                <w:color w:val="181818" w:themeColor="background1" w:themeShade="1A"/>
                                <w:sz w:val="12"/>
                                <w:szCs w:val="12"/>
                                <w:u w:val="single"/>
                              </w:rPr>
                            </w:pPr>
                            <w:r w:rsidRPr="006361CA">
                              <w:rPr>
                                <w:b/>
                                <w:color w:val="181818" w:themeColor="background1" w:themeShade="1A"/>
                                <w:sz w:val="12"/>
                                <w:u w:val="single"/>
                              </w:rPr>
                              <w:t xml:space="preserve">Drvotex doo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5579" id="Rectangle 2094362467" o:spid="_x0000_s1026" style="position:absolute;left:0;text-align:left;margin-left:125.8pt;margin-top:39.55pt;width:50.1pt;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" fillcolor="#ffc000" strokecolor="#ffc000" strokeweight="1pt">
                <v:textbox>
                  <w:txbxContent>
                    <w:p w14:paraId="52AC5993" w14:textId="77777777" w:rsidR="003414DB" w:rsidRPr="006361CA" w:rsidRDefault="003414DB" w:rsidP="001F3F8F">
                      <w:pPr>
                        <w:rPr>
                          <w:b/>
                          <w:color w:val="181818" w:themeColor="background1" w:themeShade="1A"/>
                          <w:sz w:val="12"/>
                          <w:szCs w:val="12"/>
                          <w:u w:val="single"/>
                        </w:rPr>
                      </w:pPr>
                      <w:r w:rsidRPr="006361CA">
                        <w:rPr>
                          <w:b/>
                          <w:color w:val="181818" w:themeColor="background1" w:themeShade="1A"/>
                          <w:sz w:val="12"/>
                          <w:u w:val="single"/>
                        </w:rPr>
                        <w:t xml:space="preserve">Drvotex doo </w:t>
                      </w:r>
                    </w:p>
                  </w:txbxContent>
                </v:textbox>
              </v:rect>
            </w:pict>
          </mc:Fallback>
        </mc:AlternateContent>
      </w:r>
      <w:r w:rsidRPr="00362372">
        <w:rPr>
          <w:sz w:val="24"/>
        </w:rPr>
        <w:drawing>
          <wp:inline distT="0" distB="0" distL="0" distR="0" wp14:anchorId="4E7A0C4E" wp14:editId="3B36F037">
            <wp:extent cx="5730759" cy="2830664"/>
            <wp:effectExtent l="0" t="0" r="3810" b="825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70262" cy="2850176"/>
                    </a:xfrm>
                    <a:prstGeom prst="rect">
                      <a:avLst/>
                    </a:prstGeom>
                  </pic:spPr>
                </pic:pic>
              </a:graphicData>
            </a:graphic>
          </wp:inline>
        </w:drawing>
      </w:r>
    </w:p>
    <w:bookmarkEnd w:id="38"/>
    <w:p w14:paraId="2EE2CA4E" w14:textId="77777777" w:rsidR="00C209EE" w:rsidRPr="00362372" w:rsidRDefault="00C209EE" w:rsidP="00265A2D">
      <w:pPr>
        <w:pStyle w:val="Heading3"/>
        <w:spacing w:before="0" w:after="160"/>
        <w:rPr>
          <w:rFonts w:eastAsiaTheme="minorHAnsi"/>
          <w:b/>
          <w:color w:val="00B050"/>
          <w:sz w:val="40"/>
          <w:szCs w:val="40"/>
        </w:rPr>
      </w:pPr>
    </w:p>
    <w:p w14:paraId="4D77D547" w14:textId="1610683F" w:rsidR="001F3F8F" w:rsidRPr="00362372" w:rsidRDefault="001F3F8F" w:rsidP="00265A2D">
      <w:pPr>
        <w:pStyle w:val="Heading3"/>
        <w:spacing w:before="0" w:after="160"/>
        <w:rPr>
          <w:rFonts w:eastAsiaTheme="minorHAnsi"/>
          <w:b/>
          <w:color w:val="00B050"/>
          <w:sz w:val="40"/>
          <w:szCs w:val="40"/>
        </w:rPr>
      </w:pPr>
      <w:bookmarkStart w:id="39" w:name="_Toc197193694"/>
      <w:r w:rsidRPr="00362372">
        <w:rPr>
          <w:b/>
          <w:color w:val="00B050"/>
          <w:sz w:val="40"/>
        </w:rPr>
        <w:t xml:space="preserve">Preparing </w:t>
      </w:r>
      <w:r w:rsidR="00D65EDE" w:rsidRPr="00362372">
        <w:rPr>
          <w:b/>
          <w:color w:val="00B050"/>
          <w:sz w:val="40"/>
        </w:rPr>
        <w:t>T</w:t>
      </w:r>
      <w:r w:rsidRPr="00362372">
        <w:rPr>
          <w:b/>
          <w:color w:val="00B050"/>
          <w:sz w:val="40"/>
        </w:rPr>
        <w:t xml:space="preserve">ender </w:t>
      </w:r>
      <w:r w:rsidR="00D65EDE" w:rsidRPr="00362372">
        <w:rPr>
          <w:b/>
          <w:color w:val="00B050"/>
          <w:sz w:val="40"/>
        </w:rPr>
        <w:t>D</w:t>
      </w:r>
      <w:r w:rsidRPr="00362372">
        <w:rPr>
          <w:b/>
          <w:color w:val="00B050"/>
          <w:sz w:val="40"/>
        </w:rPr>
        <w:t xml:space="preserve">ocumentation and </w:t>
      </w:r>
      <w:r w:rsidR="00D65EDE" w:rsidRPr="00362372">
        <w:rPr>
          <w:b/>
          <w:color w:val="00B050"/>
          <w:sz w:val="40"/>
        </w:rPr>
        <w:t>S</w:t>
      </w:r>
      <w:r w:rsidRPr="00362372">
        <w:rPr>
          <w:b/>
          <w:color w:val="00B050"/>
          <w:sz w:val="40"/>
        </w:rPr>
        <w:t xml:space="preserve">ubmitting </w:t>
      </w:r>
      <w:r w:rsidR="00D65EDE" w:rsidRPr="00362372">
        <w:rPr>
          <w:b/>
          <w:color w:val="00B050"/>
          <w:sz w:val="40"/>
        </w:rPr>
        <w:t>T</w:t>
      </w:r>
      <w:r w:rsidRPr="00362372">
        <w:rPr>
          <w:b/>
          <w:color w:val="00B050"/>
          <w:sz w:val="40"/>
        </w:rPr>
        <w:t xml:space="preserve">ender with </w:t>
      </w:r>
      <w:r w:rsidR="00D65EDE" w:rsidRPr="00362372">
        <w:rPr>
          <w:b/>
          <w:color w:val="00B050"/>
          <w:sz w:val="40"/>
        </w:rPr>
        <w:t>E</w:t>
      </w:r>
      <w:r w:rsidRPr="00362372">
        <w:rPr>
          <w:b/>
          <w:color w:val="00B050"/>
          <w:sz w:val="40"/>
        </w:rPr>
        <w:t>-</w:t>
      </w:r>
      <w:r w:rsidR="00D65EDE" w:rsidRPr="00362372">
        <w:rPr>
          <w:b/>
          <w:color w:val="00B050"/>
          <w:sz w:val="40"/>
        </w:rPr>
        <w:t>C</w:t>
      </w:r>
      <w:r w:rsidRPr="00362372">
        <w:rPr>
          <w:b/>
          <w:color w:val="00B050"/>
          <w:sz w:val="40"/>
        </w:rPr>
        <w:t>atalog</w:t>
      </w:r>
      <w:bookmarkEnd w:id="39"/>
    </w:p>
    <w:p w14:paraId="093DF587" w14:textId="77777777" w:rsidR="00527C25" w:rsidRPr="00362372" w:rsidRDefault="00527C25" w:rsidP="00265A2D"/>
    <w:p w14:paraId="2900E70E" w14:textId="77777777" w:rsidR="001F3F8F" w:rsidRPr="00362372" w:rsidRDefault="001F3F8F" w:rsidP="00265A2D">
      <w:pPr>
        <w:jc w:val="both"/>
        <w:rPr>
          <w:rFonts w:cstheme="minorHAnsi"/>
          <w:b/>
          <w:sz w:val="24"/>
          <w:szCs w:val="24"/>
          <w:u w:val="single"/>
        </w:rPr>
      </w:pPr>
      <w:r w:rsidRPr="00362372">
        <w:rPr>
          <w:b/>
          <w:sz w:val="24"/>
          <w:u w:val="single"/>
        </w:rPr>
        <w:t>Preparing tender documentation with e-catalog</w:t>
      </w:r>
    </w:p>
    <w:p w14:paraId="22ACC19B" w14:textId="79BBDCA3" w:rsidR="001F3F8F" w:rsidRPr="00362372" w:rsidRDefault="001F3F8F" w:rsidP="00265A2D">
      <w:pPr>
        <w:jc w:val="both"/>
        <w:rPr>
          <w:rFonts w:cstheme="minorHAnsi"/>
          <w:sz w:val="24"/>
          <w:szCs w:val="24"/>
        </w:rPr>
      </w:pPr>
      <w:r w:rsidRPr="00362372">
        <w:rPr>
          <w:sz w:val="24"/>
        </w:rPr>
        <w:t>If procurer requests the tenders to be submitted in the form of electronic catalog, it has to state this in</w:t>
      </w:r>
      <w:r w:rsidR="00912C65">
        <w:rPr>
          <w:sz w:val="24"/>
        </w:rPr>
        <w:t xml:space="preserve"> its</w:t>
      </w:r>
      <w:r w:rsidRPr="00362372">
        <w:rPr>
          <w:sz w:val="24"/>
        </w:rPr>
        <w:t xml:space="preserve"> </w:t>
      </w:r>
      <w:r w:rsidR="00912C65">
        <w:rPr>
          <w:sz w:val="24"/>
        </w:rPr>
        <w:t xml:space="preserve">public </w:t>
      </w:r>
      <w:r w:rsidRPr="00362372">
        <w:rPr>
          <w:sz w:val="24"/>
        </w:rPr>
        <w:t xml:space="preserve">call </w:t>
      </w:r>
      <w:r w:rsidR="00912C65">
        <w:rPr>
          <w:sz w:val="24"/>
        </w:rPr>
        <w:t xml:space="preserve">for tenders </w:t>
      </w:r>
      <w:r w:rsidRPr="00362372">
        <w:rPr>
          <w:sz w:val="24"/>
        </w:rPr>
        <w:t>or invitation to submit application or, where the notice on the existence of a qualification system is used as public call, in its call for tenders or call to negotiate.</w:t>
      </w:r>
    </w:p>
    <w:p w14:paraId="588C0FA7" w14:textId="59C66CE5" w:rsidR="001F3F8F" w:rsidRPr="00362372" w:rsidRDefault="001F3F8F" w:rsidP="00265A2D">
      <w:pPr>
        <w:jc w:val="both"/>
        <w:rPr>
          <w:rFonts w:cstheme="minorHAnsi"/>
          <w:sz w:val="24"/>
          <w:szCs w:val="24"/>
        </w:rPr>
      </w:pPr>
      <w:r w:rsidRPr="00362372">
        <w:rPr>
          <w:sz w:val="24"/>
        </w:rPr>
        <w:t xml:space="preserve">When initiating a procurement procedure, </w:t>
      </w:r>
      <w:r w:rsidR="00912C65">
        <w:rPr>
          <w:sz w:val="24"/>
        </w:rPr>
        <w:t xml:space="preserve">it is </w:t>
      </w:r>
      <w:r w:rsidRPr="00362372">
        <w:rPr>
          <w:sz w:val="24"/>
        </w:rPr>
        <w:t xml:space="preserve">firstly </w:t>
      </w:r>
      <w:r w:rsidR="00912C65">
        <w:rPr>
          <w:sz w:val="24"/>
        </w:rPr>
        <w:t xml:space="preserve">needed to </w:t>
      </w:r>
      <w:r w:rsidRPr="00362372">
        <w:rPr>
          <w:sz w:val="24"/>
        </w:rPr>
        <w:t xml:space="preserve">mark </w:t>
      </w:r>
      <w:r w:rsidR="00912C65">
        <w:rPr>
          <w:sz w:val="24"/>
        </w:rPr>
        <w:t>the field</w:t>
      </w:r>
      <w:r w:rsidRPr="00362372">
        <w:rPr>
          <w:sz w:val="24"/>
        </w:rPr>
        <w:t xml:space="preserve"> ‘Instruments (electronic auctions / electronic catalogs) in section ‘Basic parameters of procedure’, and upon the display of two options, </w:t>
      </w:r>
      <w:r w:rsidR="00912C65">
        <w:rPr>
          <w:sz w:val="24"/>
        </w:rPr>
        <w:t xml:space="preserve">to </w:t>
      </w:r>
      <w:r w:rsidRPr="00362372">
        <w:rPr>
          <w:sz w:val="24"/>
        </w:rPr>
        <w:t xml:space="preserve">select </w:t>
      </w:r>
      <w:r w:rsidR="00912C65">
        <w:rPr>
          <w:sz w:val="24"/>
        </w:rPr>
        <w:t>field</w:t>
      </w:r>
      <w:r w:rsidRPr="00362372">
        <w:rPr>
          <w:sz w:val="24"/>
        </w:rPr>
        <w:t xml:space="preserve"> ‘Procurement will use electronic catalogs’.</w:t>
      </w:r>
    </w:p>
    <w:p w14:paraId="77647F72" w14:textId="657A2967" w:rsidR="0091382A" w:rsidRPr="00362372" w:rsidRDefault="0091382A" w:rsidP="00265A2D">
      <w:pPr>
        <w:jc w:val="both"/>
        <w:rPr>
          <w:rFonts w:cstheme="minorHAnsi"/>
          <w:sz w:val="24"/>
          <w:szCs w:val="24"/>
        </w:rPr>
      </w:pPr>
    </w:p>
    <w:p w14:paraId="1A935153" w14:textId="20A3AF20" w:rsidR="0091382A" w:rsidRPr="00362372" w:rsidRDefault="0091382A" w:rsidP="00265A2D">
      <w:pPr>
        <w:jc w:val="both"/>
        <w:rPr>
          <w:rFonts w:cstheme="minorHAnsi"/>
          <w:sz w:val="24"/>
          <w:szCs w:val="24"/>
        </w:rPr>
      </w:pPr>
    </w:p>
    <w:p w14:paraId="42822D86" w14:textId="171951C9" w:rsidR="0091382A" w:rsidRPr="00362372" w:rsidRDefault="0091382A" w:rsidP="00265A2D">
      <w:pPr>
        <w:jc w:val="both"/>
        <w:rPr>
          <w:rFonts w:cstheme="minorHAnsi"/>
          <w:sz w:val="24"/>
          <w:szCs w:val="24"/>
        </w:rPr>
      </w:pPr>
    </w:p>
    <w:p w14:paraId="41635945" w14:textId="77777777" w:rsidR="0091382A" w:rsidRPr="00362372" w:rsidRDefault="0091382A" w:rsidP="00265A2D">
      <w:pPr>
        <w:jc w:val="both"/>
        <w:rPr>
          <w:rFonts w:cstheme="minorHAnsi"/>
          <w:sz w:val="24"/>
          <w:szCs w:val="24"/>
        </w:rPr>
      </w:pPr>
    </w:p>
    <w:p w14:paraId="10416A4A" w14:textId="77777777" w:rsidR="00052E15" w:rsidRPr="00362372" w:rsidRDefault="00052E15" w:rsidP="00052E15">
      <w:pPr>
        <w:spacing w:before="100" w:beforeAutospacing="1" w:after="100" w:afterAutospacing="1" w:line="240" w:lineRule="auto"/>
        <w:jc w:val="center"/>
        <w:rPr>
          <w:rFonts w:cstheme="minorHAnsi"/>
          <w:sz w:val="24"/>
          <w:szCs w:val="24"/>
        </w:rPr>
      </w:pPr>
      <w:r w:rsidRPr="00362372">
        <w:rPr>
          <w:i/>
          <w:color w:val="1E25A0" w:themeColor="accent1" w:themeShade="BF"/>
          <w:sz w:val="24"/>
        </w:rPr>
        <w:lastRenderedPageBreak/>
        <w:t>Display on the Portal</w:t>
      </w:r>
    </w:p>
    <w:p w14:paraId="38974C96" w14:textId="77777777" w:rsidR="001F3F8F" w:rsidRPr="00362372" w:rsidRDefault="001F3F8F" w:rsidP="001F3F8F">
      <w:pPr>
        <w:jc w:val="both"/>
        <w:rPr>
          <w:rFonts w:cstheme="minorHAnsi"/>
          <w:sz w:val="24"/>
          <w:szCs w:val="24"/>
        </w:rPr>
      </w:pPr>
      <w:bookmarkStart w:id="40" w:name="_Hlk197271154"/>
      <w:r w:rsidRPr="00362372">
        <w:rPr>
          <w:sz w:val="24"/>
        </w:rPr>
        <w:drawing>
          <wp:inline distT="0" distB="0" distL="0" distR="0" wp14:anchorId="45AA4CB1" wp14:editId="314CEC8E">
            <wp:extent cx="5637936" cy="1391478"/>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2656" cy="1400047"/>
                    </a:xfrm>
                    <a:prstGeom prst="rect">
                      <a:avLst/>
                    </a:prstGeom>
                    <a:noFill/>
                    <a:ln>
                      <a:noFill/>
                    </a:ln>
                  </pic:spPr>
                </pic:pic>
              </a:graphicData>
            </a:graphic>
          </wp:inline>
        </w:drawing>
      </w:r>
    </w:p>
    <w:bookmarkEnd w:id="40"/>
    <w:p w14:paraId="1F61D6B5" w14:textId="04F1B639" w:rsidR="001F3F8F" w:rsidRPr="00362372" w:rsidRDefault="001F3F8F" w:rsidP="001F3F8F">
      <w:pPr>
        <w:jc w:val="both"/>
        <w:rPr>
          <w:rFonts w:cstheme="minorHAnsi"/>
          <w:sz w:val="24"/>
          <w:szCs w:val="24"/>
        </w:rPr>
      </w:pPr>
      <w:r w:rsidRPr="00362372">
        <w:rPr>
          <w:sz w:val="24"/>
        </w:rPr>
        <w:t>Then, in section ‘Subject/Lots’ - ‘Description’, mark field ‘</w:t>
      </w:r>
      <w:bookmarkStart w:id="41" w:name="_Hlk197271482"/>
      <w:r w:rsidRPr="00362372">
        <w:rPr>
          <w:sz w:val="24"/>
        </w:rPr>
        <w:t xml:space="preserve">Tenders must </w:t>
      </w:r>
      <w:r w:rsidR="00912C65">
        <w:rPr>
          <w:sz w:val="24"/>
        </w:rPr>
        <w:t xml:space="preserve">either </w:t>
      </w:r>
      <w:r w:rsidRPr="00362372">
        <w:rPr>
          <w:sz w:val="24"/>
        </w:rPr>
        <w:t>be submitted in the form of electronic catalog or contain an electronic catalog’</w:t>
      </w:r>
      <w:bookmarkEnd w:id="41"/>
      <w:r w:rsidRPr="00362372">
        <w:rPr>
          <w:sz w:val="24"/>
        </w:rPr>
        <w:t>, after which procurer chooses link to E-catalog that is included in the procurement at hand.</w:t>
      </w:r>
    </w:p>
    <w:p w14:paraId="0776AAC9" w14:textId="77777777" w:rsidR="008C6E07" w:rsidRPr="00362372" w:rsidRDefault="008C6E07" w:rsidP="008C6E07">
      <w:pPr>
        <w:spacing w:before="100" w:beforeAutospacing="1" w:after="100" w:afterAutospacing="1" w:line="240" w:lineRule="auto"/>
        <w:jc w:val="center"/>
        <w:rPr>
          <w:rFonts w:cstheme="minorHAnsi"/>
          <w:sz w:val="24"/>
          <w:szCs w:val="24"/>
        </w:rPr>
      </w:pPr>
      <w:r w:rsidRPr="00362372">
        <w:rPr>
          <w:i/>
          <w:color w:val="1E25A0" w:themeColor="accent1" w:themeShade="BF"/>
          <w:sz w:val="24"/>
        </w:rPr>
        <w:t>Display on the Portal</w:t>
      </w:r>
    </w:p>
    <w:p w14:paraId="6E828A01" w14:textId="77777777" w:rsidR="001F3F8F" w:rsidRPr="00362372" w:rsidRDefault="001F3F8F" w:rsidP="001F3F8F">
      <w:pPr>
        <w:jc w:val="both"/>
        <w:rPr>
          <w:rFonts w:cstheme="minorHAnsi"/>
          <w:sz w:val="24"/>
          <w:szCs w:val="24"/>
        </w:rPr>
      </w:pPr>
      <w:bookmarkStart w:id="42" w:name="_Hlk197271450"/>
      <w:r w:rsidRPr="00362372">
        <w:rPr>
          <w:b/>
          <w:sz w:val="24"/>
        </w:rPr>
        <w:drawing>
          <wp:inline distT="0" distB="0" distL="0" distR="0" wp14:anchorId="6F1BDDA6" wp14:editId="1B130FE2">
            <wp:extent cx="5727700" cy="1797050"/>
            <wp:effectExtent l="0" t="0" r="6350" b="0"/>
            <wp:docPr id="2094362472" name="Picture 209436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1797050"/>
                    </a:xfrm>
                    <a:prstGeom prst="rect">
                      <a:avLst/>
                    </a:prstGeom>
                    <a:noFill/>
                    <a:ln>
                      <a:noFill/>
                    </a:ln>
                  </pic:spPr>
                </pic:pic>
              </a:graphicData>
            </a:graphic>
          </wp:inline>
        </w:drawing>
      </w:r>
    </w:p>
    <w:bookmarkEnd w:id="42"/>
    <w:p w14:paraId="20F52FEB" w14:textId="48D52E3A" w:rsidR="001F3F8F" w:rsidRPr="00362372" w:rsidRDefault="001F3F8F" w:rsidP="00265A2D">
      <w:pPr>
        <w:jc w:val="both"/>
        <w:rPr>
          <w:rFonts w:cstheme="minorHAnsi"/>
          <w:sz w:val="24"/>
          <w:szCs w:val="24"/>
        </w:rPr>
      </w:pPr>
      <w:r w:rsidRPr="00362372">
        <w:rPr>
          <w:sz w:val="24"/>
        </w:rPr>
        <w:t>The remaining parts in preparing public call (invitation to submit applications / notice on the existence of a qualification system) and in designing tender documents on the Portal do not differ from the standard one</w:t>
      </w:r>
      <w:r w:rsidR="002538DB">
        <w:rPr>
          <w:sz w:val="24"/>
        </w:rPr>
        <w:t>s</w:t>
      </w:r>
      <w:r w:rsidRPr="00362372">
        <w:rPr>
          <w:sz w:val="24"/>
        </w:rPr>
        <w:t>.</w:t>
      </w:r>
    </w:p>
    <w:p w14:paraId="793BFF0B" w14:textId="77777777" w:rsidR="008C6E07" w:rsidRPr="00362372" w:rsidRDefault="008C6E07" w:rsidP="00265A2D">
      <w:pPr>
        <w:jc w:val="both"/>
        <w:rPr>
          <w:rFonts w:cstheme="minorHAnsi"/>
          <w:b/>
          <w:sz w:val="24"/>
          <w:szCs w:val="24"/>
        </w:rPr>
      </w:pPr>
      <w:r w:rsidRPr="00362372">
        <w:rPr>
          <w:b/>
          <w:sz w:val="24"/>
          <w:u w:val="single"/>
        </w:rPr>
        <w:t>Submitting tender with e-catalog</w:t>
      </w:r>
    </w:p>
    <w:p w14:paraId="0DB43D70" w14:textId="1A3767C9" w:rsidR="008C6E07" w:rsidRPr="00362372" w:rsidRDefault="008C6E07" w:rsidP="00265A2D">
      <w:pPr>
        <w:jc w:val="both"/>
        <w:rPr>
          <w:rFonts w:cstheme="minorHAnsi"/>
          <w:sz w:val="24"/>
          <w:szCs w:val="24"/>
        </w:rPr>
      </w:pPr>
      <w:r w:rsidRPr="00362372">
        <w:rPr>
          <w:sz w:val="24"/>
        </w:rPr>
        <w:t>Submission of tender with e-catalog is very similar to the standard submission of tender on the Portal. The difference is that instead of the filled</w:t>
      </w:r>
      <w:r w:rsidR="002538DB">
        <w:rPr>
          <w:sz w:val="24"/>
        </w:rPr>
        <w:t>-</w:t>
      </w:r>
      <w:r w:rsidRPr="00362372">
        <w:rPr>
          <w:sz w:val="24"/>
        </w:rPr>
        <w:t>in form of the price structure (and maybe the filled</w:t>
      </w:r>
      <w:r w:rsidR="002538DB">
        <w:rPr>
          <w:sz w:val="24"/>
        </w:rPr>
        <w:t>-</w:t>
      </w:r>
      <w:r w:rsidRPr="00362372">
        <w:rPr>
          <w:sz w:val="24"/>
        </w:rPr>
        <w:t xml:space="preserve">in technical specifications tables) and catalog delivery (depending </w:t>
      </w:r>
      <w:r w:rsidR="00362372" w:rsidRPr="00362372">
        <w:rPr>
          <w:sz w:val="24"/>
        </w:rPr>
        <w:t>on procurer’s</w:t>
      </w:r>
      <w:r w:rsidRPr="00362372">
        <w:rPr>
          <w:sz w:val="24"/>
        </w:rPr>
        <w:t xml:space="preserve"> requests in given procurement), here the completed e-catalog is uploaded (attached to the tender). </w:t>
      </w:r>
    </w:p>
    <w:p w14:paraId="56A5AFA7" w14:textId="77777777" w:rsidR="008C6E07" w:rsidRPr="00362372" w:rsidRDefault="008C6E07" w:rsidP="00265A2D">
      <w:pPr>
        <w:jc w:val="both"/>
        <w:rPr>
          <w:rFonts w:cstheme="minorHAnsi"/>
          <w:sz w:val="24"/>
          <w:szCs w:val="24"/>
        </w:rPr>
      </w:pPr>
      <w:r w:rsidRPr="00362372">
        <w:rPr>
          <w:sz w:val="24"/>
        </w:rPr>
        <w:t xml:space="preserve">In this case, additional advantage is that the Portal, given the ‘processable’ data on price from e-catalogs, can compute the total price and enter it in the field for offered prices in the Tender Form. </w:t>
      </w:r>
    </w:p>
    <w:p w14:paraId="2D507BD3" w14:textId="6681C785" w:rsidR="001F3F8F" w:rsidRPr="00362372" w:rsidRDefault="001F3F8F" w:rsidP="00265A2D">
      <w:pPr>
        <w:jc w:val="both"/>
        <w:rPr>
          <w:rFonts w:cstheme="minorHAnsi"/>
          <w:sz w:val="24"/>
          <w:szCs w:val="24"/>
        </w:rPr>
      </w:pPr>
      <w:r w:rsidRPr="00362372">
        <w:rPr>
          <w:sz w:val="24"/>
        </w:rPr>
        <w:t xml:space="preserve">Thus, there is not even a theoretical possibility of a calculating error since, firstly, the system (Portal) from the e-catalog itself calculates the total price for each position (by multiplying entered unit prices </w:t>
      </w:r>
      <w:r w:rsidR="002538DB">
        <w:rPr>
          <w:sz w:val="24"/>
        </w:rPr>
        <w:t>by</w:t>
      </w:r>
      <w:r w:rsidRPr="00362372">
        <w:rPr>
          <w:sz w:val="24"/>
        </w:rPr>
        <w:t xml:space="preserve"> specified quantities), and thereafter calculates the total price of all positions. </w:t>
      </w:r>
    </w:p>
    <w:p w14:paraId="03AB258C" w14:textId="77777777" w:rsidR="002A5C28" w:rsidRPr="00362372" w:rsidRDefault="002A5C28" w:rsidP="00265A2D">
      <w:pPr>
        <w:jc w:val="both"/>
        <w:rPr>
          <w:rFonts w:cstheme="minorHAnsi"/>
          <w:sz w:val="24"/>
          <w:szCs w:val="24"/>
        </w:rPr>
      </w:pPr>
    </w:p>
    <w:p w14:paraId="57CC21CE" w14:textId="77777777" w:rsidR="00DE58F5" w:rsidRPr="00362372" w:rsidRDefault="00DE58F5">
      <w:pPr>
        <w:rPr>
          <w:rFonts w:cs="Segoe UI"/>
          <w:sz w:val="24"/>
          <w:szCs w:val="24"/>
        </w:rPr>
      </w:pPr>
      <w:r w:rsidRPr="00362372">
        <w:rPr>
          <w:sz w:val="24"/>
        </w:rPr>
        <w:lastRenderedPageBreak/>
        <w:drawing>
          <wp:anchor distT="0" distB="0" distL="114300" distR="114300" simplePos="0" relativeHeight="251664384" behindDoc="1" locked="0" layoutInCell="1" allowOverlap="1" wp14:anchorId="45551E34" wp14:editId="40CBCC59">
            <wp:simplePos x="0" y="0"/>
            <wp:positionH relativeFrom="page">
              <wp:posOffset>0</wp:posOffset>
            </wp:positionH>
            <wp:positionV relativeFrom="page">
              <wp:posOffset>0</wp:posOffset>
            </wp:positionV>
            <wp:extent cx="7553275" cy="10675620"/>
            <wp:effectExtent l="0" t="0" r="0" b="0"/>
            <wp:wrapThrough wrapText="bothSides">
              <wp:wrapPolygon edited="0">
                <wp:start x="0" y="0"/>
                <wp:lineTo x="0" y="21546"/>
                <wp:lineTo x="21520" y="21546"/>
                <wp:lineTo x="21520" y="0"/>
                <wp:lineTo x="0" y="0"/>
              </wp:wrapPolygon>
            </wp:wrapThrough>
            <wp:docPr id="2094362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62461" name="Picture 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7553275"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58F5" w:rsidRPr="00362372" w:rsidSect="004041B3">
      <w:footerReference w:type="default" r:id="rId46"/>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BD852" w14:textId="77777777" w:rsidR="003B17BF" w:rsidRPr="006361CA" w:rsidRDefault="003B17BF" w:rsidP="004041B3">
      <w:pPr>
        <w:spacing w:after="0" w:line="240" w:lineRule="auto"/>
      </w:pPr>
      <w:r w:rsidRPr="006361CA">
        <w:separator/>
      </w:r>
    </w:p>
  </w:endnote>
  <w:endnote w:type="continuationSeparator" w:id="0">
    <w:p w14:paraId="3DDEF69D" w14:textId="77777777" w:rsidR="003B17BF" w:rsidRPr="006361CA" w:rsidRDefault="003B17BF" w:rsidP="004041B3">
      <w:pPr>
        <w:spacing w:after="0" w:line="240" w:lineRule="auto"/>
      </w:pPr>
      <w:r w:rsidRPr="006361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ight">
    <w:altName w:val="Century Gothic"/>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416427"/>
      <w:docPartObj>
        <w:docPartGallery w:val="Page Numbers (Bottom of Page)"/>
        <w:docPartUnique/>
      </w:docPartObj>
    </w:sdtPr>
    <w:sdtContent>
      <w:p w14:paraId="0D724653" w14:textId="77777777" w:rsidR="003414DB" w:rsidRPr="006361CA" w:rsidRDefault="003414DB">
        <w:pPr>
          <w:pStyle w:val="Footer"/>
          <w:jc w:val="right"/>
        </w:pPr>
        <w:r w:rsidRPr="006361CA">
          <w:fldChar w:fldCharType="begin"/>
        </w:r>
        <w:r w:rsidRPr="006361CA">
          <w:instrText xml:space="preserve"> PAGE   \* MERGEFORMAT </w:instrText>
        </w:r>
        <w:r w:rsidRPr="006361CA">
          <w:fldChar w:fldCharType="separate"/>
        </w:r>
        <w:r w:rsidRPr="006361CA">
          <w:t>26</w:t>
        </w:r>
        <w:r w:rsidRPr="006361CA">
          <w:fldChar w:fldCharType="end"/>
        </w:r>
      </w:p>
    </w:sdtContent>
  </w:sdt>
  <w:p w14:paraId="7400A46F" w14:textId="77777777" w:rsidR="003414DB" w:rsidRPr="006361CA" w:rsidRDefault="00341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550511"/>
      <w:docPartObj>
        <w:docPartGallery w:val="Page Numbers (Bottom of Page)"/>
        <w:docPartUnique/>
      </w:docPartObj>
    </w:sdtPr>
    <w:sdtContent>
      <w:p w14:paraId="40F393EA" w14:textId="77777777" w:rsidR="003414DB" w:rsidRPr="006361CA" w:rsidRDefault="003414DB">
        <w:pPr>
          <w:pStyle w:val="Footer"/>
          <w:jc w:val="center"/>
        </w:pPr>
      </w:p>
      <w:p w14:paraId="5B7E5E82" w14:textId="77777777" w:rsidR="003414DB" w:rsidRPr="006361CA" w:rsidRDefault="003414DB">
        <w:pPr>
          <w:pStyle w:val="Footer"/>
          <w:jc w:val="center"/>
        </w:pPr>
        <w:r w:rsidRPr="006361CA">
          <w:drawing>
            <wp:anchor distT="0" distB="0" distL="114300" distR="114300" simplePos="0" relativeHeight="251662336" behindDoc="0" locked="0" layoutInCell="1" allowOverlap="1" wp14:anchorId="05319D39" wp14:editId="5B694216">
              <wp:simplePos x="0" y="0"/>
              <wp:positionH relativeFrom="column">
                <wp:posOffset>5294630</wp:posOffset>
              </wp:positionH>
              <wp:positionV relativeFrom="paragraph">
                <wp:posOffset>-86673</wp:posOffset>
              </wp:positionV>
              <wp:extent cx="1070610" cy="504825"/>
              <wp:effectExtent l="0" t="0" r="0" b="9525"/>
              <wp:wrapThrough wrapText="bothSides">
                <wp:wrapPolygon edited="0">
                  <wp:start x="0" y="0"/>
                  <wp:lineTo x="0" y="12226"/>
                  <wp:lineTo x="384" y="15487"/>
                  <wp:lineTo x="5381" y="21192"/>
                  <wp:lineTo x="7687" y="21192"/>
                  <wp:lineTo x="21139" y="21192"/>
                  <wp:lineTo x="21139" y="815"/>
                  <wp:lineTo x="3075" y="0"/>
                  <wp:lineTo x="0" y="0"/>
                </wp:wrapPolygon>
              </wp:wrapThrough>
              <wp:docPr id="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2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70610" cy="504825"/>
                      </a:xfrm>
                      <a:prstGeom prst="rect">
                        <a:avLst/>
                      </a:prstGeom>
                    </pic:spPr>
                  </pic:pic>
                </a:graphicData>
              </a:graphic>
              <wp14:sizeRelH relativeFrom="margin">
                <wp14:pctWidth>0</wp14:pctWidth>
              </wp14:sizeRelH>
              <wp14:sizeRelV relativeFrom="margin">
                <wp14:pctHeight>0</wp14:pctHeight>
              </wp14:sizeRelV>
            </wp:anchor>
          </w:drawing>
        </w:r>
        <w:r w:rsidRPr="006361CA">
          <w:t xml:space="preserve">                  </w:t>
        </w:r>
        <w:r w:rsidRPr="006361CA">
          <w:fldChar w:fldCharType="begin"/>
        </w:r>
        <w:r w:rsidRPr="006361CA">
          <w:instrText xml:space="preserve"> PAGE   \* MERGEFORMAT </w:instrText>
        </w:r>
        <w:r w:rsidRPr="006361CA">
          <w:fldChar w:fldCharType="separate"/>
        </w:r>
        <w:r w:rsidRPr="006361CA">
          <w:t>34</w:t>
        </w:r>
        <w:r w:rsidRPr="006361CA">
          <w:fldChar w:fldCharType="end"/>
        </w:r>
      </w:p>
    </w:sdtContent>
  </w:sdt>
  <w:p w14:paraId="19FC8DA7" w14:textId="77777777" w:rsidR="003414DB" w:rsidRPr="006361CA" w:rsidRDefault="003414DB">
    <w:pPr>
      <w:pStyle w:val="Footer"/>
    </w:pPr>
    <w:r w:rsidRPr="006361CA">
      <w:drawing>
        <wp:anchor distT="0" distB="0" distL="114300" distR="114300" simplePos="0" relativeHeight="251666432" behindDoc="0" locked="0" layoutInCell="1" allowOverlap="1" wp14:anchorId="7019308A" wp14:editId="11680337">
          <wp:simplePos x="0" y="0"/>
          <wp:positionH relativeFrom="column">
            <wp:posOffset>5581650</wp:posOffset>
          </wp:positionH>
          <wp:positionV relativeFrom="paragraph">
            <wp:posOffset>718498</wp:posOffset>
          </wp:positionV>
          <wp:extent cx="1181735" cy="1801495"/>
          <wp:effectExtent l="0" t="0" r="0" b="0"/>
          <wp:wrapNone/>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7854" name=""/>
                  <pic:cNvPicPr/>
                </pic:nvPicPr>
                <pic:blipFill rotWithShape="1">
                  <a:blip r:embed="rId3">
                    <a:extLst>
                      <a:ext uri="{96DAC541-7B7A-43D3-8B79-37D633B846F1}">
                        <asvg:svgBlip xmlns:asvg="http://schemas.microsoft.com/office/drawing/2016/SVG/main" r:embed="rId4"/>
                      </a:ext>
                    </a:extLst>
                  </a:blip>
                  <a:srcRect t="22911" b="-22911"/>
                  <a:stretch/>
                </pic:blipFill>
                <pic:spPr bwMode="auto">
                  <a:xfrm>
                    <a:off x="0" y="0"/>
                    <a:ext cx="118173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CA">
      <w:drawing>
        <wp:anchor distT="0" distB="0" distL="114300" distR="114300" simplePos="0" relativeHeight="251665408" behindDoc="0" locked="0" layoutInCell="1" allowOverlap="1" wp14:anchorId="5E5009CE" wp14:editId="3F94FFD9">
          <wp:simplePos x="0" y="0"/>
          <wp:positionH relativeFrom="rightMargin">
            <wp:posOffset>635</wp:posOffset>
          </wp:positionH>
          <wp:positionV relativeFrom="paragraph">
            <wp:posOffset>1779867</wp:posOffset>
          </wp:positionV>
          <wp:extent cx="791210" cy="1205865"/>
          <wp:effectExtent l="0" t="0" r="8890" b="0"/>
          <wp:wrapNone/>
          <wp:docPr id="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85658" name=""/>
                  <pic:cNvPicPr/>
                </pic:nvPicPr>
                <pic:blipFill>
                  <a:blip r:embed="rId3">
                    <a:extLst>
                      <a:ext uri="{96DAC541-7B7A-43D3-8B79-37D633B846F1}">
                        <asvg:svgBlip xmlns:asvg="http://schemas.microsoft.com/office/drawing/2016/SVG/main" r:embed="rId4"/>
                      </a:ext>
                    </a:extLst>
                  </a:blip>
                  <a:stretch>
                    <a:fillRect/>
                  </a:stretch>
                </pic:blipFill>
                <pic:spPr>
                  <a:xfrm>
                    <a:off x="0" y="0"/>
                    <a:ext cx="791210" cy="1205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FDA0F" w14:textId="77777777" w:rsidR="003B17BF" w:rsidRPr="006361CA" w:rsidRDefault="003B17BF" w:rsidP="004041B3">
      <w:pPr>
        <w:spacing w:after="0" w:line="240" w:lineRule="auto"/>
      </w:pPr>
      <w:r w:rsidRPr="006361CA">
        <w:separator/>
      </w:r>
    </w:p>
  </w:footnote>
  <w:footnote w:type="continuationSeparator" w:id="0">
    <w:p w14:paraId="7741437C" w14:textId="77777777" w:rsidR="003B17BF" w:rsidRPr="006361CA" w:rsidRDefault="003B17BF" w:rsidP="004041B3">
      <w:pPr>
        <w:spacing w:after="0" w:line="240" w:lineRule="auto"/>
      </w:pPr>
      <w:r w:rsidRPr="006361CA">
        <w:continuationSeparator/>
      </w:r>
    </w:p>
  </w:footnote>
  <w:footnote w:id="1">
    <w:p w14:paraId="522803C5" w14:textId="77777777" w:rsidR="003414DB" w:rsidRPr="006361CA" w:rsidRDefault="003414DB" w:rsidP="00FF11AD">
      <w:pPr>
        <w:pStyle w:val="FootnoteText"/>
      </w:pPr>
      <w:r w:rsidRPr="006361CA">
        <w:rPr>
          <w:rStyle w:val="FootnoteReference"/>
        </w:rPr>
        <w:footnoteRef/>
      </w:r>
      <w:r w:rsidRPr="006361CA">
        <w:t xml:space="preserve"> Article 77 of Directive 2014/25/EU.</w:t>
      </w:r>
    </w:p>
  </w:footnote>
  <w:footnote w:id="2">
    <w:p w14:paraId="64257189" w14:textId="77777777" w:rsidR="003414DB" w:rsidRPr="006361CA" w:rsidRDefault="003414DB" w:rsidP="00147381">
      <w:pPr>
        <w:pStyle w:val="FootnoteText"/>
      </w:pPr>
      <w:r w:rsidRPr="006361CA">
        <w:rPr>
          <w:rStyle w:val="FootnoteReference"/>
        </w:rPr>
        <w:footnoteRef/>
      </w:r>
      <w:r w:rsidRPr="006361CA">
        <w:t xml:space="preserve"> Article 35 of Directive 2014/24/EU and Article 53 of Directive 2014/25/EU.</w:t>
      </w:r>
    </w:p>
  </w:footnote>
  <w:footnote w:id="3">
    <w:p w14:paraId="0B816DDD" w14:textId="77777777" w:rsidR="003414DB" w:rsidRPr="006361CA" w:rsidRDefault="003414DB" w:rsidP="004C642D">
      <w:pPr>
        <w:pStyle w:val="FootnoteText"/>
      </w:pPr>
      <w:r w:rsidRPr="006361CA">
        <w:rPr>
          <w:rStyle w:val="FootnoteReference"/>
        </w:rPr>
        <w:footnoteRef/>
      </w:r>
      <w:r w:rsidRPr="006361CA">
        <w:t xml:space="preserve"> Article 36 of Directive 2014/24/EU and Article 54 of Directive 2014/25/EU.</w:t>
      </w:r>
    </w:p>
  </w:footnote>
  <w:footnote w:id="4">
    <w:p w14:paraId="7F6069A2" w14:textId="3FE4B98B" w:rsidR="003414DB" w:rsidRPr="006361CA" w:rsidRDefault="003414DB">
      <w:pPr>
        <w:pStyle w:val="FootnoteText"/>
      </w:pPr>
      <w:r w:rsidRPr="006361CA">
        <w:rPr>
          <w:rStyle w:val="FootnoteReference"/>
        </w:rPr>
        <w:footnoteRef/>
      </w:r>
      <w:r w:rsidRPr="006361CA">
        <w:t xml:space="preserve"> Contracting entities are defined </w:t>
      </w:r>
      <w:r w:rsidR="007601C0">
        <w:t>in</w:t>
      </w:r>
      <w:r w:rsidRPr="006361CA">
        <w:t xml:space="preserve"> Article 4 of the PPL</w:t>
      </w:r>
    </w:p>
  </w:footnote>
  <w:footnote w:id="5">
    <w:p w14:paraId="30C16E74" w14:textId="77777777" w:rsidR="003414DB" w:rsidRPr="006361CA" w:rsidRDefault="003414DB">
      <w:pPr>
        <w:pStyle w:val="FootnoteText"/>
      </w:pPr>
      <w:r w:rsidRPr="006361CA">
        <w:rPr>
          <w:rStyle w:val="FootnoteReference"/>
        </w:rPr>
        <w:footnoteRef/>
      </w:r>
      <w:r w:rsidRPr="006361CA">
        <w:t xml:space="preserve"> Article 105, Paragraph 1, Point 4) of the PPL.</w:t>
      </w:r>
    </w:p>
  </w:footnote>
  <w:footnote w:id="6">
    <w:p w14:paraId="07B722B3" w14:textId="77777777" w:rsidR="003414DB" w:rsidRPr="006361CA" w:rsidRDefault="003414DB" w:rsidP="003B5A77">
      <w:pPr>
        <w:pStyle w:val="FootnoteText"/>
      </w:pPr>
      <w:r w:rsidRPr="006361CA">
        <w:rPr>
          <w:rStyle w:val="FootnoteReference"/>
        </w:rPr>
        <w:footnoteRef/>
      </w:r>
      <w:r w:rsidRPr="006361CA">
        <w:t xml:space="preserve"> From Article 75, Paragraph 3, of the PPL.</w:t>
      </w:r>
    </w:p>
  </w:footnote>
  <w:footnote w:id="7">
    <w:p w14:paraId="17BAD63E" w14:textId="77777777" w:rsidR="003414DB" w:rsidRPr="006361CA" w:rsidRDefault="003414DB">
      <w:pPr>
        <w:pStyle w:val="FootnoteText"/>
      </w:pPr>
      <w:r w:rsidRPr="006361CA">
        <w:rPr>
          <w:rStyle w:val="FootnoteReference"/>
        </w:rPr>
        <w:footnoteRef/>
      </w:r>
      <w:r w:rsidRPr="006361CA">
        <w:t xml:space="preserve"> Article 69, Paragraph 9, of the PPL.</w:t>
      </w:r>
    </w:p>
  </w:footnote>
  <w:footnote w:id="8">
    <w:p w14:paraId="75B9B840" w14:textId="14A67E8D" w:rsidR="003414DB" w:rsidRPr="006361CA" w:rsidRDefault="003414DB">
      <w:pPr>
        <w:pStyle w:val="FootnoteText"/>
      </w:pPr>
      <w:r w:rsidRPr="006361CA">
        <w:rPr>
          <w:rStyle w:val="FootnoteReference"/>
        </w:rPr>
        <w:footnoteRef/>
      </w:r>
      <w:r w:rsidRPr="006361CA">
        <w:t xml:space="preserve"> Technical specifications are set in accordance with the rule provided for under Articles 98 </w:t>
      </w:r>
      <w:r w:rsidR="009971DA">
        <w:t>-</w:t>
      </w:r>
      <w:r w:rsidRPr="006361CA">
        <w:t xml:space="preserve"> 101 of the PPL.</w:t>
      </w:r>
    </w:p>
  </w:footnote>
  <w:footnote w:id="9">
    <w:p w14:paraId="70DE6423" w14:textId="77777777" w:rsidR="003414DB" w:rsidRPr="006361CA" w:rsidRDefault="003414DB">
      <w:pPr>
        <w:pStyle w:val="FootnoteText"/>
      </w:pPr>
      <w:r w:rsidRPr="006361CA">
        <w:rPr>
          <w:rStyle w:val="FootnoteReference"/>
        </w:rPr>
        <w:footnoteRef/>
      </w:r>
      <w:r w:rsidRPr="006361CA">
        <w:t xml:space="preserve"> “Official Gazette of the RS”, No. 21/2021. </w:t>
      </w:r>
    </w:p>
  </w:footnote>
  <w:footnote w:id="10">
    <w:p w14:paraId="1EB47A58" w14:textId="77777777" w:rsidR="003414DB" w:rsidRPr="006361CA" w:rsidRDefault="003414DB" w:rsidP="00700C06">
      <w:pPr>
        <w:pStyle w:val="FootnoteText"/>
        <w:jc w:val="both"/>
      </w:pPr>
      <w:r w:rsidRPr="006361CA">
        <w:rPr>
          <w:rStyle w:val="FootnoteReference"/>
        </w:rPr>
        <w:footnoteRef/>
      </w:r>
      <w:r w:rsidRPr="006361CA">
        <w:t xml:space="preserve"> </w:t>
      </w:r>
      <w:r w:rsidRPr="006361CA">
        <w:rPr>
          <w:color w:val="212529"/>
        </w:rPr>
        <w:t>The utilized electronic equipment and modalities and technical specifications for connecting are the minimum technical requirements for the use of the Portal, in line with the Instruction on using the Public Procurement Portal (“Official Gazette of the RS”, Nos. 93/20 and 96/23</w:t>
      </w:r>
    </w:p>
  </w:footnote>
  <w:footnote w:id="11">
    <w:p w14:paraId="0CC63D8A" w14:textId="77777777" w:rsidR="003414DB" w:rsidRDefault="003414DB">
      <w:pPr>
        <w:pStyle w:val="FootnoteText"/>
      </w:pPr>
      <w:r w:rsidRPr="006361CA">
        <w:rPr>
          <w:rStyle w:val="FootnoteReference"/>
        </w:rPr>
        <w:footnoteRef/>
      </w:r>
      <w:r w:rsidRPr="006361CA">
        <w:t xml:space="preserve"> Article 13, Paragraph 3, of the Regulation on the contents of tender documentation in public procurement procedures (“Official Gazette of the RS”, No. 21/2021)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78DF"/>
    <w:multiLevelType w:val="multilevel"/>
    <w:tmpl w:val="9E0CCE5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BC81E8A"/>
    <w:multiLevelType w:val="hybridMultilevel"/>
    <w:tmpl w:val="C5140D50"/>
    <w:lvl w:ilvl="0" w:tplc="4E18725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52FAA"/>
    <w:multiLevelType w:val="hybridMultilevel"/>
    <w:tmpl w:val="798E9EA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8FC2B27"/>
    <w:multiLevelType w:val="multilevel"/>
    <w:tmpl w:val="80862C7E"/>
    <w:lvl w:ilvl="0">
      <w:start w:val="1"/>
      <w:numFmt w:val="decimal"/>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9B441F9"/>
    <w:multiLevelType w:val="hybridMultilevel"/>
    <w:tmpl w:val="FCFAB3FA"/>
    <w:lvl w:ilvl="0" w:tplc="13D6807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283832E6"/>
    <w:multiLevelType w:val="hybridMultilevel"/>
    <w:tmpl w:val="557A7CF0"/>
    <w:lvl w:ilvl="0" w:tplc="EEFA74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A4F13"/>
    <w:multiLevelType w:val="multilevel"/>
    <w:tmpl w:val="A48E4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53CB9"/>
    <w:multiLevelType w:val="hybridMultilevel"/>
    <w:tmpl w:val="D9902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13EA0"/>
    <w:multiLevelType w:val="hybridMultilevel"/>
    <w:tmpl w:val="A606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F6897"/>
    <w:multiLevelType w:val="hybridMultilevel"/>
    <w:tmpl w:val="B67A0B6A"/>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410D535F"/>
    <w:multiLevelType w:val="multilevel"/>
    <w:tmpl w:val="549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374A1"/>
    <w:multiLevelType w:val="hybridMultilevel"/>
    <w:tmpl w:val="CD04B32A"/>
    <w:lvl w:ilvl="0" w:tplc="1DC4431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F1161A"/>
    <w:multiLevelType w:val="hybridMultilevel"/>
    <w:tmpl w:val="761207D8"/>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4CDF567B"/>
    <w:multiLevelType w:val="hybridMultilevel"/>
    <w:tmpl w:val="DFFA39AC"/>
    <w:lvl w:ilvl="0" w:tplc="BE9026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71DE8"/>
    <w:multiLevelType w:val="hybridMultilevel"/>
    <w:tmpl w:val="F64C79A2"/>
    <w:lvl w:ilvl="0" w:tplc="CDAE0ED8">
      <w:start w:val="1"/>
      <w:numFmt w:val="decimal"/>
      <w:lvlText w:val="%1."/>
      <w:lvlJc w:val="left"/>
      <w:pPr>
        <w:tabs>
          <w:tab w:val="num" w:pos="720"/>
        </w:tabs>
        <w:ind w:left="720" w:hanging="360"/>
      </w:pPr>
    </w:lvl>
    <w:lvl w:ilvl="1" w:tplc="BC3A9256" w:tentative="1">
      <w:start w:val="1"/>
      <w:numFmt w:val="decimal"/>
      <w:lvlText w:val="%2."/>
      <w:lvlJc w:val="left"/>
      <w:pPr>
        <w:tabs>
          <w:tab w:val="num" w:pos="1440"/>
        </w:tabs>
        <w:ind w:left="1440" w:hanging="360"/>
      </w:pPr>
    </w:lvl>
    <w:lvl w:ilvl="2" w:tplc="5AC811FE" w:tentative="1">
      <w:start w:val="1"/>
      <w:numFmt w:val="decimal"/>
      <w:lvlText w:val="%3."/>
      <w:lvlJc w:val="left"/>
      <w:pPr>
        <w:tabs>
          <w:tab w:val="num" w:pos="2160"/>
        </w:tabs>
        <w:ind w:left="2160" w:hanging="360"/>
      </w:pPr>
    </w:lvl>
    <w:lvl w:ilvl="3" w:tplc="A0D4541A" w:tentative="1">
      <w:start w:val="1"/>
      <w:numFmt w:val="decimal"/>
      <w:lvlText w:val="%4."/>
      <w:lvlJc w:val="left"/>
      <w:pPr>
        <w:tabs>
          <w:tab w:val="num" w:pos="2880"/>
        </w:tabs>
        <w:ind w:left="2880" w:hanging="360"/>
      </w:pPr>
    </w:lvl>
    <w:lvl w:ilvl="4" w:tplc="EB803FD4" w:tentative="1">
      <w:start w:val="1"/>
      <w:numFmt w:val="decimal"/>
      <w:lvlText w:val="%5."/>
      <w:lvlJc w:val="left"/>
      <w:pPr>
        <w:tabs>
          <w:tab w:val="num" w:pos="3600"/>
        </w:tabs>
        <w:ind w:left="3600" w:hanging="360"/>
      </w:pPr>
    </w:lvl>
    <w:lvl w:ilvl="5" w:tplc="265E5876" w:tentative="1">
      <w:start w:val="1"/>
      <w:numFmt w:val="decimal"/>
      <w:lvlText w:val="%6."/>
      <w:lvlJc w:val="left"/>
      <w:pPr>
        <w:tabs>
          <w:tab w:val="num" w:pos="4320"/>
        </w:tabs>
        <w:ind w:left="4320" w:hanging="360"/>
      </w:pPr>
    </w:lvl>
    <w:lvl w:ilvl="6" w:tplc="39B09BB0" w:tentative="1">
      <w:start w:val="1"/>
      <w:numFmt w:val="decimal"/>
      <w:lvlText w:val="%7."/>
      <w:lvlJc w:val="left"/>
      <w:pPr>
        <w:tabs>
          <w:tab w:val="num" w:pos="5040"/>
        </w:tabs>
        <w:ind w:left="5040" w:hanging="360"/>
      </w:pPr>
    </w:lvl>
    <w:lvl w:ilvl="7" w:tplc="5336C604" w:tentative="1">
      <w:start w:val="1"/>
      <w:numFmt w:val="decimal"/>
      <w:lvlText w:val="%8."/>
      <w:lvlJc w:val="left"/>
      <w:pPr>
        <w:tabs>
          <w:tab w:val="num" w:pos="5760"/>
        </w:tabs>
        <w:ind w:left="5760" w:hanging="360"/>
      </w:pPr>
    </w:lvl>
    <w:lvl w:ilvl="8" w:tplc="21228818" w:tentative="1">
      <w:start w:val="1"/>
      <w:numFmt w:val="decimal"/>
      <w:lvlText w:val="%9."/>
      <w:lvlJc w:val="left"/>
      <w:pPr>
        <w:tabs>
          <w:tab w:val="num" w:pos="6480"/>
        </w:tabs>
        <w:ind w:left="6480" w:hanging="360"/>
      </w:pPr>
    </w:lvl>
  </w:abstractNum>
  <w:abstractNum w:abstractNumId="15" w15:restartNumberingAfterBreak="0">
    <w:nsid w:val="595B52C8"/>
    <w:multiLevelType w:val="hybridMultilevel"/>
    <w:tmpl w:val="378E89AE"/>
    <w:lvl w:ilvl="0" w:tplc="0674EA4E">
      <w:numFmt w:val="bullet"/>
      <w:lvlText w:val="-"/>
      <w:lvlJc w:val="left"/>
      <w:pPr>
        <w:ind w:left="780" w:hanging="360"/>
      </w:pPr>
      <w:rPr>
        <w:rFonts w:ascii="Calibri" w:eastAsiaTheme="minorEastAsia"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AE66E09"/>
    <w:multiLevelType w:val="hybridMultilevel"/>
    <w:tmpl w:val="3F9C90CC"/>
    <w:lvl w:ilvl="0" w:tplc="830AA8E6">
      <w:start w:val="1"/>
      <w:numFmt w:val="decimal"/>
      <w:lvlText w:val="%1."/>
      <w:lvlJc w:val="left"/>
      <w:pPr>
        <w:tabs>
          <w:tab w:val="num" w:pos="1800"/>
        </w:tabs>
        <w:ind w:left="1800" w:hanging="360"/>
      </w:pPr>
    </w:lvl>
    <w:lvl w:ilvl="1" w:tplc="21680BCC" w:tentative="1">
      <w:start w:val="1"/>
      <w:numFmt w:val="decimal"/>
      <w:lvlText w:val="%2."/>
      <w:lvlJc w:val="left"/>
      <w:pPr>
        <w:tabs>
          <w:tab w:val="num" w:pos="2520"/>
        </w:tabs>
        <w:ind w:left="2520" w:hanging="360"/>
      </w:pPr>
    </w:lvl>
    <w:lvl w:ilvl="2" w:tplc="CB7026B8" w:tentative="1">
      <w:start w:val="1"/>
      <w:numFmt w:val="decimal"/>
      <w:lvlText w:val="%3."/>
      <w:lvlJc w:val="left"/>
      <w:pPr>
        <w:tabs>
          <w:tab w:val="num" w:pos="3240"/>
        </w:tabs>
        <w:ind w:left="3240" w:hanging="360"/>
      </w:pPr>
    </w:lvl>
    <w:lvl w:ilvl="3" w:tplc="EC6468FC" w:tentative="1">
      <w:start w:val="1"/>
      <w:numFmt w:val="decimal"/>
      <w:lvlText w:val="%4."/>
      <w:lvlJc w:val="left"/>
      <w:pPr>
        <w:tabs>
          <w:tab w:val="num" w:pos="3960"/>
        </w:tabs>
        <w:ind w:left="3960" w:hanging="360"/>
      </w:pPr>
    </w:lvl>
    <w:lvl w:ilvl="4" w:tplc="0FE8A054" w:tentative="1">
      <w:start w:val="1"/>
      <w:numFmt w:val="decimal"/>
      <w:lvlText w:val="%5."/>
      <w:lvlJc w:val="left"/>
      <w:pPr>
        <w:tabs>
          <w:tab w:val="num" w:pos="4680"/>
        </w:tabs>
        <w:ind w:left="4680" w:hanging="360"/>
      </w:pPr>
    </w:lvl>
    <w:lvl w:ilvl="5" w:tplc="46801F58" w:tentative="1">
      <w:start w:val="1"/>
      <w:numFmt w:val="decimal"/>
      <w:lvlText w:val="%6."/>
      <w:lvlJc w:val="left"/>
      <w:pPr>
        <w:tabs>
          <w:tab w:val="num" w:pos="5400"/>
        </w:tabs>
        <w:ind w:left="5400" w:hanging="360"/>
      </w:pPr>
    </w:lvl>
    <w:lvl w:ilvl="6" w:tplc="FA6820C4" w:tentative="1">
      <w:start w:val="1"/>
      <w:numFmt w:val="decimal"/>
      <w:lvlText w:val="%7."/>
      <w:lvlJc w:val="left"/>
      <w:pPr>
        <w:tabs>
          <w:tab w:val="num" w:pos="6120"/>
        </w:tabs>
        <w:ind w:left="6120" w:hanging="360"/>
      </w:pPr>
    </w:lvl>
    <w:lvl w:ilvl="7" w:tplc="7514EC64" w:tentative="1">
      <w:start w:val="1"/>
      <w:numFmt w:val="decimal"/>
      <w:lvlText w:val="%8."/>
      <w:lvlJc w:val="left"/>
      <w:pPr>
        <w:tabs>
          <w:tab w:val="num" w:pos="6840"/>
        </w:tabs>
        <w:ind w:left="6840" w:hanging="360"/>
      </w:pPr>
    </w:lvl>
    <w:lvl w:ilvl="8" w:tplc="42A416FA" w:tentative="1">
      <w:start w:val="1"/>
      <w:numFmt w:val="decimal"/>
      <w:lvlText w:val="%9."/>
      <w:lvlJc w:val="left"/>
      <w:pPr>
        <w:tabs>
          <w:tab w:val="num" w:pos="7560"/>
        </w:tabs>
        <w:ind w:left="7560" w:hanging="360"/>
      </w:pPr>
    </w:lvl>
  </w:abstractNum>
  <w:abstractNum w:abstractNumId="17" w15:restartNumberingAfterBreak="0">
    <w:nsid w:val="611A61CC"/>
    <w:multiLevelType w:val="multilevel"/>
    <w:tmpl w:val="572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5D212B"/>
    <w:multiLevelType w:val="hybridMultilevel"/>
    <w:tmpl w:val="19A2CA98"/>
    <w:lvl w:ilvl="0" w:tplc="2AFA45B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B430439"/>
    <w:multiLevelType w:val="hybridMultilevel"/>
    <w:tmpl w:val="52108B5A"/>
    <w:lvl w:ilvl="0" w:tplc="BE9026DC">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D1A28"/>
    <w:multiLevelType w:val="hybridMultilevel"/>
    <w:tmpl w:val="4BB27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3385030">
    <w:abstractNumId w:val="12"/>
  </w:num>
  <w:num w:numId="2" w16cid:durableId="670253603">
    <w:abstractNumId w:val="6"/>
  </w:num>
  <w:num w:numId="3" w16cid:durableId="257442875">
    <w:abstractNumId w:val="10"/>
  </w:num>
  <w:num w:numId="4" w16cid:durableId="1616280401">
    <w:abstractNumId w:val="17"/>
  </w:num>
  <w:num w:numId="5" w16cid:durableId="1096050558">
    <w:abstractNumId w:val="11"/>
  </w:num>
  <w:num w:numId="6" w16cid:durableId="386606959">
    <w:abstractNumId w:val="5"/>
  </w:num>
  <w:num w:numId="7" w16cid:durableId="2022660606">
    <w:abstractNumId w:val="9"/>
  </w:num>
  <w:num w:numId="8" w16cid:durableId="1395353750">
    <w:abstractNumId w:val="1"/>
  </w:num>
  <w:num w:numId="9" w16cid:durableId="1493254023">
    <w:abstractNumId w:val="3"/>
  </w:num>
  <w:num w:numId="10" w16cid:durableId="2020306018">
    <w:abstractNumId w:val="16"/>
  </w:num>
  <w:num w:numId="11" w16cid:durableId="21126398">
    <w:abstractNumId w:val="14"/>
  </w:num>
  <w:num w:numId="12" w16cid:durableId="2024282705">
    <w:abstractNumId w:val="7"/>
  </w:num>
  <w:num w:numId="13" w16cid:durableId="319383924">
    <w:abstractNumId w:val="0"/>
  </w:num>
  <w:num w:numId="14" w16cid:durableId="448016983">
    <w:abstractNumId w:val="8"/>
  </w:num>
  <w:num w:numId="15" w16cid:durableId="1115904358">
    <w:abstractNumId w:val="19"/>
  </w:num>
  <w:num w:numId="16" w16cid:durableId="1135367504">
    <w:abstractNumId w:val="13"/>
  </w:num>
  <w:num w:numId="17" w16cid:durableId="138226935">
    <w:abstractNumId w:val="15"/>
  </w:num>
  <w:num w:numId="18" w16cid:durableId="1479614657">
    <w:abstractNumId w:val="20"/>
  </w:num>
  <w:num w:numId="19" w16cid:durableId="559246009">
    <w:abstractNumId w:val="2"/>
  </w:num>
  <w:num w:numId="20" w16cid:durableId="343940919">
    <w:abstractNumId w:val="18"/>
  </w:num>
  <w:num w:numId="21" w16cid:durableId="118027013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B3"/>
    <w:rsid w:val="00000795"/>
    <w:rsid w:val="00000CF0"/>
    <w:rsid w:val="00000E21"/>
    <w:rsid w:val="000027ED"/>
    <w:rsid w:val="00002878"/>
    <w:rsid w:val="00002ACE"/>
    <w:rsid w:val="00002B8D"/>
    <w:rsid w:val="00004A3D"/>
    <w:rsid w:val="00004A5E"/>
    <w:rsid w:val="00006EF3"/>
    <w:rsid w:val="000106D6"/>
    <w:rsid w:val="00010C0E"/>
    <w:rsid w:val="00011164"/>
    <w:rsid w:val="0001166D"/>
    <w:rsid w:val="000124B3"/>
    <w:rsid w:val="0001391A"/>
    <w:rsid w:val="000143E9"/>
    <w:rsid w:val="00015CAD"/>
    <w:rsid w:val="0001634F"/>
    <w:rsid w:val="00016843"/>
    <w:rsid w:val="00017969"/>
    <w:rsid w:val="0002024E"/>
    <w:rsid w:val="00020C15"/>
    <w:rsid w:val="00024F1B"/>
    <w:rsid w:val="000309EF"/>
    <w:rsid w:val="00031E61"/>
    <w:rsid w:val="00032334"/>
    <w:rsid w:val="0003387A"/>
    <w:rsid w:val="000426A4"/>
    <w:rsid w:val="0004334F"/>
    <w:rsid w:val="000438BB"/>
    <w:rsid w:val="000454E4"/>
    <w:rsid w:val="00045762"/>
    <w:rsid w:val="0004644B"/>
    <w:rsid w:val="000507CF"/>
    <w:rsid w:val="00050DF2"/>
    <w:rsid w:val="00052E15"/>
    <w:rsid w:val="0005439E"/>
    <w:rsid w:val="00054EDF"/>
    <w:rsid w:val="00055D77"/>
    <w:rsid w:val="00056BF8"/>
    <w:rsid w:val="00056C0C"/>
    <w:rsid w:val="00057571"/>
    <w:rsid w:val="00065FE0"/>
    <w:rsid w:val="000713BE"/>
    <w:rsid w:val="000733C0"/>
    <w:rsid w:val="00077C78"/>
    <w:rsid w:val="00077CC0"/>
    <w:rsid w:val="000808D0"/>
    <w:rsid w:val="000809E8"/>
    <w:rsid w:val="00082288"/>
    <w:rsid w:val="000831BF"/>
    <w:rsid w:val="000845A9"/>
    <w:rsid w:val="000850D2"/>
    <w:rsid w:val="00086525"/>
    <w:rsid w:val="00091A42"/>
    <w:rsid w:val="00092F9F"/>
    <w:rsid w:val="00093044"/>
    <w:rsid w:val="00093CEE"/>
    <w:rsid w:val="00093FC8"/>
    <w:rsid w:val="00095948"/>
    <w:rsid w:val="000976EC"/>
    <w:rsid w:val="000A1550"/>
    <w:rsid w:val="000A1638"/>
    <w:rsid w:val="000A1AB2"/>
    <w:rsid w:val="000A5685"/>
    <w:rsid w:val="000B3177"/>
    <w:rsid w:val="000B4974"/>
    <w:rsid w:val="000B4E7D"/>
    <w:rsid w:val="000B56A7"/>
    <w:rsid w:val="000C2643"/>
    <w:rsid w:val="000C3A29"/>
    <w:rsid w:val="000C422D"/>
    <w:rsid w:val="000C588D"/>
    <w:rsid w:val="000D04FF"/>
    <w:rsid w:val="000D260B"/>
    <w:rsid w:val="000D3985"/>
    <w:rsid w:val="000D5C6F"/>
    <w:rsid w:val="000D6DC9"/>
    <w:rsid w:val="000E2744"/>
    <w:rsid w:val="000F117A"/>
    <w:rsid w:val="000F167A"/>
    <w:rsid w:val="000F34C0"/>
    <w:rsid w:val="000F616F"/>
    <w:rsid w:val="000F7A6F"/>
    <w:rsid w:val="00100C86"/>
    <w:rsid w:val="001011BA"/>
    <w:rsid w:val="0010128D"/>
    <w:rsid w:val="00102718"/>
    <w:rsid w:val="00102F09"/>
    <w:rsid w:val="00104851"/>
    <w:rsid w:val="00104B03"/>
    <w:rsid w:val="00104EE7"/>
    <w:rsid w:val="00105A12"/>
    <w:rsid w:val="00106260"/>
    <w:rsid w:val="00106F55"/>
    <w:rsid w:val="00107786"/>
    <w:rsid w:val="00111A89"/>
    <w:rsid w:val="00112CDF"/>
    <w:rsid w:val="001130CB"/>
    <w:rsid w:val="001136F5"/>
    <w:rsid w:val="00113DA4"/>
    <w:rsid w:val="00114254"/>
    <w:rsid w:val="00115636"/>
    <w:rsid w:val="00115D75"/>
    <w:rsid w:val="0011735A"/>
    <w:rsid w:val="001206A2"/>
    <w:rsid w:val="00120E12"/>
    <w:rsid w:val="00122250"/>
    <w:rsid w:val="001223CE"/>
    <w:rsid w:val="001224B4"/>
    <w:rsid w:val="00124E8E"/>
    <w:rsid w:val="0013036A"/>
    <w:rsid w:val="00130FF4"/>
    <w:rsid w:val="00131031"/>
    <w:rsid w:val="00137A64"/>
    <w:rsid w:val="0014503F"/>
    <w:rsid w:val="00147381"/>
    <w:rsid w:val="00150D08"/>
    <w:rsid w:val="00153D8D"/>
    <w:rsid w:val="00157324"/>
    <w:rsid w:val="001575AC"/>
    <w:rsid w:val="00161751"/>
    <w:rsid w:val="00163C97"/>
    <w:rsid w:val="00165167"/>
    <w:rsid w:val="0016565F"/>
    <w:rsid w:val="001667D7"/>
    <w:rsid w:val="0017001A"/>
    <w:rsid w:val="0017183F"/>
    <w:rsid w:val="00175565"/>
    <w:rsid w:val="00176B8E"/>
    <w:rsid w:val="001778E9"/>
    <w:rsid w:val="001809AF"/>
    <w:rsid w:val="001816B2"/>
    <w:rsid w:val="00186AFC"/>
    <w:rsid w:val="00190DA5"/>
    <w:rsid w:val="00194FC5"/>
    <w:rsid w:val="00196054"/>
    <w:rsid w:val="001A1B84"/>
    <w:rsid w:val="001A1F15"/>
    <w:rsid w:val="001A23E7"/>
    <w:rsid w:val="001A4A27"/>
    <w:rsid w:val="001B0941"/>
    <w:rsid w:val="001B1475"/>
    <w:rsid w:val="001B5B3F"/>
    <w:rsid w:val="001B5EB7"/>
    <w:rsid w:val="001B713E"/>
    <w:rsid w:val="001B7FDA"/>
    <w:rsid w:val="001C0D73"/>
    <w:rsid w:val="001C2861"/>
    <w:rsid w:val="001C35AF"/>
    <w:rsid w:val="001C3910"/>
    <w:rsid w:val="001C3C62"/>
    <w:rsid w:val="001C5DEE"/>
    <w:rsid w:val="001C643D"/>
    <w:rsid w:val="001C6F6B"/>
    <w:rsid w:val="001C7468"/>
    <w:rsid w:val="001C75B2"/>
    <w:rsid w:val="001D3236"/>
    <w:rsid w:val="001D3822"/>
    <w:rsid w:val="001D3847"/>
    <w:rsid w:val="001D46A2"/>
    <w:rsid w:val="001D5922"/>
    <w:rsid w:val="001D66A1"/>
    <w:rsid w:val="001E070F"/>
    <w:rsid w:val="001E45E6"/>
    <w:rsid w:val="001E7BE5"/>
    <w:rsid w:val="001F0164"/>
    <w:rsid w:val="001F2992"/>
    <w:rsid w:val="001F31C6"/>
    <w:rsid w:val="001F3D62"/>
    <w:rsid w:val="001F3F8F"/>
    <w:rsid w:val="001F58A1"/>
    <w:rsid w:val="001F5FF4"/>
    <w:rsid w:val="001F7199"/>
    <w:rsid w:val="00200497"/>
    <w:rsid w:val="00202F2C"/>
    <w:rsid w:val="0020304C"/>
    <w:rsid w:val="002043D8"/>
    <w:rsid w:val="002055B4"/>
    <w:rsid w:val="00207EAE"/>
    <w:rsid w:val="00207F36"/>
    <w:rsid w:val="00207FEE"/>
    <w:rsid w:val="00211BAE"/>
    <w:rsid w:val="00213990"/>
    <w:rsid w:val="00217204"/>
    <w:rsid w:val="00221D4A"/>
    <w:rsid w:val="0022224D"/>
    <w:rsid w:val="00222EAD"/>
    <w:rsid w:val="00223441"/>
    <w:rsid w:val="00224297"/>
    <w:rsid w:val="00224A45"/>
    <w:rsid w:val="00224F24"/>
    <w:rsid w:val="00230D55"/>
    <w:rsid w:val="00235851"/>
    <w:rsid w:val="00237ECF"/>
    <w:rsid w:val="00241DE3"/>
    <w:rsid w:val="002421ED"/>
    <w:rsid w:val="002424CC"/>
    <w:rsid w:val="00242CFF"/>
    <w:rsid w:val="002456AD"/>
    <w:rsid w:val="0024574F"/>
    <w:rsid w:val="00251E85"/>
    <w:rsid w:val="002523EE"/>
    <w:rsid w:val="002538DB"/>
    <w:rsid w:val="00253B8D"/>
    <w:rsid w:val="0025404B"/>
    <w:rsid w:val="002540F9"/>
    <w:rsid w:val="002541D7"/>
    <w:rsid w:val="00255443"/>
    <w:rsid w:val="00255886"/>
    <w:rsid w:val="0025685B"/>
    <w:rsid w:val="00257918"/>
    <w:rsid w:val="00257F52"/>
    <w:rsid w:val="0026046E"/>
    <w:rsid w:val="00260893"/>
    <w:rsid w:val="00260945"/>
    <w:rsid w:val="00262C0B"/>
    <w:rsid w:val="00263F43"/>
    <w:rsid w:val="00264692"/>
    <w:rsid w:val="00265A2D"/>
    <w:rsid w:val="00265B41"/>
    <w:rsid w:val="00265DDF"/>
    <w:rsid w:val="00265FBB"/>
    <w:rsid w:val="00271BB1"/>
    <w:rsid w:val="00272C45"/>
    <w:rsid w:val="00275B5E"/>
    <w:rsid w:val="00275CB6"/>
    <w:rsid w:val="00276093"/>
    <w:rsid w:val="0027792F"/>
    <w:rsid w:val="0028026E"/>
    <w:rsid w:val="00280511"/>
    <w:rsid w:val="00280BDA"/>
    <w:rsid w:val="00280E85"/>
    <w:rsid w:val="0028269A"/>
    <w:rsid w:val="002831CF"/>
    <w:rsid w:val="00291F11"/>
    <w:rsid w:val="0029285F"/>
    <w:rsid w:val="00292E47"/>
    <w:rsid w:val="00292E7D"/>
    <w:rsid w:val="00293E89"/>
    <w:rsid w:val="00295A3D"/>
    <w:rsid w:val="00296CE3"/>
    <w:rsid w:val="002A2266"/>
    <w:rsid w:val="002A4A93"/>
    <w:rsid w:val="002A4E0C"/>
    <w:rsid w:val="002A50DE"/>
    <w:rsid w:val="002A5C28"/>
    <w:rsid w:val="002B0CDD"/>
    <w:rsid w:val="002B234D"/>
    <w:rsid w:val="002B263E"/>
    <w:rsid w:val="002B4E8E"/>
    <w:rsid w:val="002B79C7"/>
    <w:rsid w:val="002C10B3"/>
    <w:rsid w:val="002C36CC"/>
    <w:rsid w:val="002C50CD"/>
    <w:rsid w:val="002C541C"/>
    <w:rsid w:val="002D2100"/>
    <w:rsid w:val="002D2EA7"/>
    <w:rsid w:val="002D3F91"/>
    <w:rsid w:val="002D496A"/>
    <w:rsid w:val="002D59D0"/>
    <w:rsid w:val="002D6958"/>
    <w:rsid w:val="002D72AA"/>
    <w:rsid w:val="002E1017"/>
    <w:rsid w:val="002E3E1D"/>
    <w:rsid w:val="002E7CC1"/>
    <w:rsid w:val="002F0E22"/>
    <w:rsid w:val="002F1941"/>
    <w:rsid w:val="002F2CAE"/>
    <w:rsid w:val="002F466F"/>
    <w:rsid w:val="002F48B9"/>
    <w:rsid w:val="002F4E60"/>
    <w:rsid w:val="002F513A"/>
    <w:rsid w:val="002F546E"/>
    <w:rsid w:val="002F580A"/>
    <w:rsid w:val="002F5A63"/>
    <w:rsid w:val="002F62E5"/>
    <w:rsid w:val="002F65DA"/>
    <w:rsid w:val="002F6E67"/>
    <w:rsid w:val="0030231E"/>
    <w:rsid w:val="00302FA6"/>
    <w:rsid w:val="00304913"/>
    <w:rsid w:val="00306DDB"/>
    <w:rsid w:val="00310BA3"/>
    <w:rsid w:val="003118EE"/>
    <w:rsid w:val="00312444"/>
    <w:rsid w:val="00314AAD"/>
    <w:rsid w:val="0031755C"/>
    <w:rsid w:val="00317D1B"/>
    <w:rsid w:val="003216EE"/>
    <w:rsid w:val="00321E35"/>
    <w:rsid w:val="00324E9D"/>
    <w:rsid w:val="00330B80"/>
    <w:rsid w:val="00332574"/>
    <w:rsid w:val="003332E7"/>
    <w:rsid w:val="003344F6"/>
    <w:rsid w:val="00334DA3"/>
    <w:rsid w:val="0033584E"/>
    <w:rsid w:val="00335A89"/>
    <w:rsid w:val="00336ED5"/>
    <w:rsid w:val="0034023A"/>
    <w:rsid w:val="00340FD9"/>
    <w:rsid w:val="003414DB"/>
    <w:rsid w:val="00341DD3"/>
    <w:rsid w:val="003505EB"/>
    <w:rsid w:val="00350C5D"/>
    <w:rsid w:val="00350FD2"/>
    <w:rsid w:val="00351DDC"/>
    <w:rsid w:val="003531C4"/>
    <w:rsid w:val="003532AB"/>
    <w:rsid w:val="00356B2C"/>
    <w:rsid w:val="00362372"/>
    <w:rsid w:val="00362617"/>
    <w:rsid w:val="00364249"/>
    <w:rsid w:val="003651F4"/>
    <w:rsid w:val="003651F6"/>
    <w:rsid w:val="00366036"/>
    <w:rsid w:val="0036712C"/>
    <w:rsid w:val="00367CF6"/>
    <w:rsid w:val="00371E4F"/>
    <w:rsid w:val="003737E0"/>
    <w:rsid w:val="00373AAA"/>
    <w:rsid w:val="00374348"/>
    <w:rsid w:val="00376AD8"/>
    <w:rsid w:val="003815FE"/>
    <w:rsid w:val="00384CE6"/>
    <w:rsid w:val="00385538"/>
    <w:rsid w:val="00386C0F"/>
    <w:rsid w:val="00390B95"/>
    <w:rsid w:val="00391E7F"/>
    <w:rsid w:val="00392E23"/>
    <w:rsid w:val="00394445"/>
    <w:rsid w:val="003944A5"/>
    <w:rsid w:val="003A0281"/>
    <w:rsid w:val="003A1FB0"/>
    <w:rsid w:val="003A3588"/>
    <w:rsid w:val="003A423A"/>
    <w:rsid w:val="003A4B58"/>
    <w:rsid w:val="003A5139"/>
    <w:rsid w:val="003A5221"/>
    <w:rsid w:val="003A5394"/>
    <w:rsid w:val="003A5608"/>
    <w:rsid w:val="003A565D"/>
    <w:rsid w:val="003B11EB"/>
    <w:rsid w:val="003B1667"/>
    <w:rsid w:val="003B17BF"/>
    <w:rsid w:val="003B30D3"/>
    <w:rsid w:val="003B355C"/>
    <w:rsid w:val="003B3666"/>
    <w:rsid w:val="003B4B1F"/>
    <w:rsid w:val="003B4D8C"/>
    <w:rsid w:val="003B5A77"/>
    <w:rsid w:val="003C03A6"/>
    <w:rsid w:val="003C03EF"/>
    <w:rsid w:val="003C152D"/>
    <w:rsid w:val="003C1C04"/>
    <w:rsid w:val="003C36E1"/>
    <w:rsid w:val="003C70B2"/>
    <w:rsid w:val="003D0D19"/>
    <w:rsid w:val="003D1184"/>
    <w:rsid w:val="003D2AC2"/>
    <w:rsid w:val="003D5693"/>
    <w:rsid w:val="003D625E"/>
    <w:rsid w:val="003E1377"/>
    <w:rsid w:val="003E17A1"/>
    <w:rsid w:val="003E18F6"/>
    <w:rsid w:val="003E1C12"/>
    <w:rsid w:val="003E279B"/>
    <w:rsid w:val="003E2A9A"/>
    <w:rsid w:val="003E331A"/>
    <w:rsid w:val="003E3839"/>
    <w:rsid w:val="003E602E"/>
    <w:rsid w:val="003E67BF"/>
    <w:rsid w:val="003F1AC4"/>
    <w:rsid w:val="003F4C7F"/>
    <w:rsid w:val="003F7F18"/>
    <w:rsid w:val="00401DCB"/>
    <w:rsid w:val="004030EE"/>
    <w:rsid w:val="004035EF"/>
    <w:rsid w:val="004041B3"/>
    <w:rsid w:val="00407BCA"/>
    <w:rsid w:val="00411E24"/>
    <w:rsid w:val="004126A6"/>
    <w:rsid w:val="004130D6"/>
    <w:rsid w:val="00414009"/>
    <w:rsid w:val="004141E1"/>
    <w:rsid w:val="0041472F"/>
    <w:rsid w:val="00415315"/>
    <w:rsid w:val="0041557D"/>
    <w:rsid w:val="004161E8"/>
    <w:rsid w:val="004170B8"/>
    <w:rsid w:val="00424504"/>
    <w:rsid w:val="00430C5B"/>
    <w:rsid w:val="00432119"/>
    <w:rsid w:val="004348F2"/>
    <w:rsid w:val="0043715F"/>
    <w:rsid w:val="004378F3"/>
    <w:rsid w:val="00437A97"/>
    <w:rsid w:val="00441385"/>
    <w:rsid w:val="00441896"/>
    <w:rsid w:val="00445B47"/>
    <w:rsid w:val="00446A9F"/>
    <w:rsid w:val="00447970"/>
    <w:rsid w:val="00447CE9"/>
    <w:rsid w:val="00452320"/>
    <w:rsid w:val="00452EC2"/>
    <w:rsid w:val="00453F6A"/>
    <w:rsid w:val="00455A26"/>
    <w:rsid w:val="0045744C"/>
    <w:rsid w:val="00461984"/>
    <w:rsid w:val="00461B88"/>
    <w:rsid w:val="00462533"/>
    <w:rsid w:val="004630BD"/>
    <w:rsid w:val="004634E4"/>
    <w:rsid w:val="00463595"/>
    <w:rsid w:val="00464CFF"/>
    <w:rsid w:val="00465589"/>
    <w:rsid w:val="00465CD2"/>
    <w:rsid w:val="00465DF6"/>
    <w:rsid w:val="0046794C"/>
    <w:rsid w:val="00470BE9"/>
    <w:rsid w:val="004714AD"/>
    <w:rsid w:val="004717F3"/>
    <w:rsid w:val="004718DB"/>
    <w:rsid w:val="00472ADD"/>
    <w:rsid w:val="00473972"/>
    <w:rsid w:val="00473B41"/>
    <w:rsid w:val="004746B8"/>
    <w:rsid w:val="00474775"/>
    <w:rsid w:val="00480629"/>
    <w:rsid w:val="00480C2D"/>
    <w:rsid w:val="00480E5E"/>
    <w:rsid w:val="004810BA"/>
    <w:rsid w:val="004810C7"/>
    <w:rsid w:val="00481907"/>
    <w:rsid w:val="00483148"/>
    <w:rsid w:val="004840E2"/>
    <w:rsid w:val="004843FC"/>
    <w:rsid w:val="004845A0"/>
    <w:rsid w:val="00487D9E"/>
    <w:rsid w:val="00491BA6"/>
    <w:rsid w:val="00493E9B"/>
    <w:rsid w:val="00494FE3"/>
    <w:rsid w:val="004964AB"/>
    <w:rsid w:val="004A081B"/>
    <w:rsid w:val="004A5814"/>
    <w:rsid w:val="004A5B3C"/>
    <w:rsid w:val="004A6778"/>
    <w:rsid w:val="004A6E15"/>
    <w:rsid w:val="004B09E0"/>
    <w:rsid w:val="004B119B"/>
    <w:rsid w:val="004B2415"/>
    <w:rsid w:val="004B457E"/>
    <w:rsid w:val="004B4788"/>
    <w:rsid w:val="004B4ACD"/>
    <w:rsid w:val="004B5B8A"/>
    <w:rsid w:val="004B7D05"/>
    <w:rsid w:val="004C642D"/>
    <w:rsid w:val="004C6BA4"/>
    <w:rsid w:val="004D19BF"/>
    <w:rsid w:val="004D27A7"/>
    <w:rsid w:val="004D2CBA"/>
    <w:rsid w:val="004D387F"/>
    <w:rsid w:val="004D38BF"/>
    <w:rsid w:val="004D4F72"/>
    <w:rsid w:val="004D72B7"/>
    <w:rsid w:val="004D750C"/>
    <w:rsid w:val="004E072E"/>
    <w:rsid w:val="004E4330"/>
    <w:rsid w:val="004E4BCB"/>
    <w:rsid w:val="004E4E41"/>
    <w:rsid w:val="004E750E"/>
    <w:rsid w:val="004E7FFC"/>
    <w:rsid w:val="004F0D98"/>
    <w:rsid w:val="004F1095"/>
    <w:rsid w:val="004F14C2"/>
    <w:rsid w:val="004F158E"/>
    <w:rsid w:val="004F1CBA"/>
    <w:rsid w:val="004F34BD"/>
    <w:rsid w:val="004F4E00"/>
    <w:rsid w:val="004F5D4A"/>
    <w:rsid w:val="004F5DC3"/>
    <w:rsid w:val="004F7354"/>
    <w:rsid w:val="004F7DF5"/>
    <w:rsid w:val="00503662"/>
    <w:rsid w:val="00505E0E"/>
    <w:rsid w:val="00513058"/>
    <w:rsid w:val="00516143"/>
    <w:rsid w:val="00516455"/>
    <w:rsid w:val="005200C4"/>
    <w:rsid w:val="00521586"/>
    <w:rsid w:val="005218BD"/>
    <w:rsid w:val="005229A9"/>
    <w:rsid w:val="00524C81"/>
    <w:rsid w:val="005261E6"/>
    <w:rsid w:val="00527C25"/>
    <w:rsid w:val="0053085C"/>
    <w:rsid w:val="00531635"/>
    <w:rsid w:val="005333FF"/>
    <w:rsid w:val="00533876"/>
    <w:rsid w:val="005340ED"/>
    <w:rsid w:val="00534F6F"/>
    <w:rsid w:val="005404D3"/>
    <w:rsid w:val="00540A44"/>
    <w:rsid w:val="00541D3E"/>
    <w:rsid w:val="00544326"/>
    <w:rsid w:val="00544F0F"/>
    <w:rsid w:val="005457EC"/>
    <w:rsid w:val="00545B21"/>
    <w:rsid w:val="00545D08"/>
    <w:rsid w:val="0054767B"/>
    <w:rsid w:val="0055036F"/>
    <w:rsid w:val="005503F0"/>
    <w:rsid w:val="00551CB7"/>
    <w:rsid w:val="00551F44"/>
    <w:rsid w:val="0055356E"/>
    <w:rsid w:val="00553A00"/>
    <w:rsid w:val="0055404B"/>
    <w:rsid w:val="005554CF"/>
    <w:rsid w:val="005560D5"/>
    <w:rsid w:val="00556F73"/>
    <w:rsid w:val="0056154A"/>
    <w:rsid w:val="00563DDC"/>
    <w:rsid w:val="0056452D"/>
    <w:rsid w:val="0056461F"/>
    <w:rsid w:val="005649D0"/>
    <w:rsid w:val="005650B1"/>
    <w:rsid w:val="00565161"/>
    <w:rsid w:val="00570352"/>
    <w:rsid w:val="005705C8"/>
    <w:rsid w:val="00572190"/>
    <w:rsid w:val="005730C2"/>
    <w:rsid w:val="0057382C"/>
    <w:rsid w:val="00575747"/>
    <w:rsid w:val="00575881"/>
    <w:rsid w:val="00575B01"/>
    <w:rsid w:val="00577507"/>
    <w:rsid w:val="005835CE"/>
    <w:rsid w:val="005858A4"/>
    <w:rsid w:val="00591173"/>
    <w:rsid w:val="0059127D"/>
    <w:rsid w:val="00591689"/>
    <w:rsid w:val="00594DE3"/>
    <w:rsid w:val="0059565B"/>
    <w:rsid w:val="005A0EA8"/>
    <w:rsid w:val="005A2B1B"/>
    <w:rsid w:val="005A2E0E"/>
    <w:rsid w:val="005A6CAB"/>
    <w:rsid w:val="005A6F88"/>
    <w:rsid w:val="005A7C5D"/>
    <w:rsid w:val="005B0115"/>
    <w:rsid w:val="005B0FC5"/>
    <w:rsid w:val="005B1544"/>
    <w:rsid w:val="005B6667"/>
    <w:rsid w:val="005C3BA6"/>
    <w:rsid w:val="005C448F"/>
    <w:rsid w:val="005C4E01"/>
    <w:rsid w:val="005C657C"/>
    <w:rsid w:val="005D17A4"/>
    <w:rsid w:val="005D1B5E"/>
    <w:rsid w:val="005D4B9E"/>
    <w:rsid w:val="005E03F1"/>
    <w:rsid w:val="005E0510"/>
    <w:rsid w:val="005E068C"/>
    <w:rsid w:val="005E17FD"/>
    <w:rsid w:val="005E2757"/>
    <w:rsid w:val="005E2814"/>
    <w:rsid w:val="005E2881"/>
    <w:rsid w:val="005E4AEC"/>
    <w:rsid w:val="005E54CB"/>
    <w:rsid w:val="005E67E2"/>
    <w:rsid w:val="005E70E3"/>
    <w:rsid w:val="005F0034"/>
    <w:rsid w:val="005F09E0"/>
    <w:rsid w:val="005F1AED"/>
    <w:rsid w:val="005F1B69"/>
    <w:rsid w:val="005F2684"/>
    <w:rsid w:val="005F2895"/>
    <w:rsid w:val="005F35AF"/>
    <w:rsid w:val="005F3A67"/>
    <w:rsid w:val="005F5834"/>
    <w:rsid w:val="00600429"/>
    <w:rsid w:val="006010C9"/>
    <w:rsid w:val="00601686"/>
    <w:rsid w:val="00602326"/>
    <w:rsid w:val="0060467D"/>
    <w:rsid w:val="006049BB"/>
    <w:rsid w:val="006078B7"/>
    <w:rsid w:val="00610449"/>
    <w:rsid w:val="0061365C"/>
    <w:rsid w:val="006150C4"/>
    <w:rsid w:val="00615401"/>
    <w:rsid w:val="0061569F"/>
    <w:rsid w:val="00615AD6"/>
    <w:rsid w:val="00615CEB"/>
    <w:rsid w:val="00616B8E"/>
    <w:rsid w:val="006218ED"/>
    <w:rsid w:val="00626355"/>
    <w:rsid w:val="00626CDA"/>
    <w:rsid w:val="006306F8"/>
    <w:rsid w:val="00632F3F"/>
    <w:rsid w:val="00633478"/>
    <w:rsid w:val="006361CA"/>
    <w:rsid w:val="006375F6"/>
    <w:rsid w:val="0064081A"/>
    <w:rsid w:val="00640B5C"/>
    <w:rsid w:val="0064245E"/>
    <w:rsid w:val="00642AA9"/>
    <w:rsid w:val="0064426E"/>
    <w:rsid w:val="006451AB"/>
    <w:rsid w:val="00647595"/>
    <w:rsid w:val="00647620"/>
    <w:rsid w:val="0064763B"/>
    <w:rsid w:val="00647E98"/>
    <w:rsid w:val="00650BB0"/>
    <w:rsid w:val="0065307D"/>
    <w:rsid w:val="00653123"/>
    <w:rsid w:val="00653C84"/>
    <w:rsid w:val="006544CA"/>
    <w:rsid w:val="00654D15"/>
    <w:rsid w:val="00655605"/>
    <w:rsid w:val="00657686"/>
    <w:rsid w:val="00661C7A"/>
    <w:rsid w:val="00663429"/>
    <w:rsid w:val="006635F1"/>
    <w:rsid w:val="00666E57"/>
    <w:rsid w:val="006679D8"/>
    <w:rsid w:val="00670741"/>
    <w:rsid w:val="00670867"/>
    <w:rsid w:val="00674DA1"/>
    <w:rsid w:val="00676600"/>
    <w:rsid w:val="00676F6B"/>
    <w:rsid w:val="0067701E"/>
    <w:rsid w:val="006778DF"/>
    <w:rsid w:val="00683735"/>
    <w:rsid w:val="00685980"/>
    <w:rsid w:val="00685EAF"/>
    <w:rsid w:val="00687B09"/>
    <w:rsid w:val="0069040E"/>
    <w:rsid w:val="00691FAC"/>
    <w:rsid w:val="006936A2"/>
    <w:rsid w:val="00693827"/>
    <w:rsid w:val="00695BE9"/>
    <w:rsid w:val="006A20E1"/>
    <w:rsid w:val="006A4AEB"/>
    <w:rsid w:val="006A663A"/>
    <w:rsid w:val="006A78E2"/>
    <w:rsid w:val="006B4080"/>
    <w:rsid w:val="006C3ABC"/>
    <w:rsid w:val="006C4544"/>
    <w:rsid w:val="006C4FEE"/>
    <w:rsid w:val="006D60C4"/>
    <w:rsid w:val="006D7A31"/>
    <w:rsid w:val="006E0176"/>
    <w:rsid w:val="006E16B3"/>
    <w:rsid w:val="006E5456"/>
    <w:rsid w:val="006F303B"/>
    <w:rsid w:val="006F46B1"/>
    <w:rsid w:val="006F49DC"/>
    <w:rsid w:val="006F4D36"/>
    <w:rsid w:val="006F5F47"/>
    <w:rsid w:val="006F61E1"/>
    <w:rsid w:val="006F739B"/>
    <w:rsid w:val="00700C06"/>
    <w:rsid w:val="007031FE"/>
    <w:rsid w:val="007042F7"/>
    <w:rsid w:val="0070447B"/>
    <w:rsid w:val="007063E9"/>
    <w:rsid w:val="00706606"/>
    <w:rsid w:val="00706B48"/>
    <w:rsid w:val="00711768"/>
    <w:rsid w:val="0071193D"/>
    <w:rsid w:val="00712DC6"/>
    <w:rsid w:val="00712F50"/>
    <w:rsid w:val="00714A51"/>
    <w:rsid w:val="007209FF"/>
    <w:rsid w:val="00721AD2"/>
    <w:rsid w:val="00722D14"/>
    <w:rsid w:val="00724F11"/>
    <w:rsid w:val="007305D1"/>
    <w:rsid w:val="00730A79"/>
    <w:rsid w:val="007312AC"/>
    <w:rsid w:val="0073266C"/>
    <w:rsid w:val="00734417"/>
    <w:rsid w:val="00734518"/>
    <w:rsid w:val="00737020"/>
    <w:rsid w:val="0074008C"/>
    <w:rsid w:val="00740F92"/>
    <w:rsid w:val="0074189C"/>
    <w:rsid w:val="0074256C"/>
    <w:rsid w:val="00742ACB"/>
    <w:rsid w:val="0074351F"/>
    <w:rsid w:val="00745CAE"/>
    <w:rsid w:val="007466DD"/>
    <w:rsid w:val="00752169"/>
    <w:rsid w:val="0075232D"/>
    <w:rsid w:val="00752CAC"/>
    <w:rsid w:val="007538B6"/>
    <w:rsid w:val="00753D0F"/>
    <w:rsid w:val="00755000"/>
    <w:rsid w:val="00755D07"/>
    <w:rsid w:val="0075689C"/>
    <w:rsid w:val="007573B4"/>
    <w:rsid w:val="007600DD"/>
    <w:rsid w:val="007601C0"/>
    <w:rsid w:val="00760D2B"/>
    <w:rsid w:val="00761828"/>
    <w:rsid w:val="0076191E"/>
    <w:rsid w:val="007621D7"/>
    <w:rsid w:val="00766712"/>
    <w:rsid w:val="00766780"/>
    <w:rsid w:val="00767744"/>
    <w:rsid w:val="00767E8A"/>
    <w:rsid w:val="00770CD0"/>
    <w:rsid w:val="007718A8"/>
    <w:rsid w:val="00777387"/>
    <w:rsid w:val="00782116"/>
    <w:rsid w:val="00785336"/>
    <w:rsid w:val="00787641"/>
    <w:rsid w:val="007879D3"/>
    <w:rsid w:val="007906DA"/>
    <w:rsid w:val="0079093A"/>
    <w:rsid w:val="007938EA"/>
    <w:rsid w:val="00793D83"/>
    <w:rsid w:val="00793D90"/>
    <w:rsid w:val="00794158"/>
    <w:rsid w:val="0079686F"/>
    <w:rsid w:val="00796E67"/>
    <w:rsid w:val="00797658"/>
    <w:rsid w:val="00797A4E"/>
    <w:rsid w:val="007A070F"/>
    <w:rsid w:val="007A226C"/>
    <w:rsid w:val="007A53E9"/>
    <w:rsid w:val="007B2054"/>
    <w:rsid w:val="007B3559"/>
    <w:rsid w:val="007B3DBB"/>
    <w:rsid w:val="007B5E68"/>
    <w:rsid w:val="007B7DD0"/>
    <w:rsid w:val="007C10C4"/>
    <w:rsid w:val="007C1CA3"/>
    <w:rsid w:val="007C3F84"/>
    <w:rsid w:val="007C4118"/>
    <w:rsid w:val="007C4F94"/>
    <w:rsid w:val="007C4FAD"/>
    <w:rsid w:val="007C5735"/>
    <w:rsid w:val="007D3292"/>
    <w:rsid w:val="007D3BD7"/>
    <w:rsid w:val="007D406D"/>
    <w:rsid w:val="007D616E"/>
    <w:rsid w:val="007E25D3"/>
    <w:rsid w:val="007E45E1"/>
    <w:rsid w:val="007E50B0"/>
    <w:rsid w:val="007E6743"/>
    <w:rsid w:val="007E7149"/>
    <w:rsid w:val="007E72A2"/>
    <w:rsid w:val="007E7F52"/>
    <w:rsid w:val="007F0674"/>
    <w:rsid w:val="007F0B2A"/>
    <w:rsid w:val="007F2896"/>
    <w:rsid w:val="007F3910"/>
    <w:rsid w:val="007F46EB"/>
    <w:rsid w:val="007F47A3"/>
    <w:rsid w:val="007F7108"/>
    <w:rsid w:val="008008D8"/>
    <w:rsid w:val="00803BC7"/>
    <w:rsid w:val="00807F3B"/>
    <w:rsid w:val="00810017"/>
    <w:rsid w:val="0081302A"/>
    <w:rsid w:val="00813A85"/>
    <w:rsid w:val="0081499E"/>
    <w:rsid w:val="00816A10"/>
    <w:rsid w:val="008175ED"/>
    <w:rsid w:val="00817674"/>
    <w:rsid w:val="00821CAD"/>
    <w:rsid w:val="008227F3"/>
    <w:rsid w:val="00831B51"/>
    <w:rsid w:val="00831ED2"/>
    <w:rsid w:val="00831FAF"/>
    <w:rsid w:val="00833572"/>
    <w:rsid w:val="00835F7F"/>
    <w:rsid w:val="00836C32"/>
    <w:rsid w:val="00837E61"/>
    <w:rsid w:val="008423EE"/>
    <w:rsid w:val="00842AC2"/>
    <w:rsid w:val="00844C07"/>
    <w:rsid w:val="00845A77"/>
    <w:rsid w:val="00850B4A"/>
    <w:rsid w:val="00853F90"/>
    <w:rsid w:val="00854137"/>
    <w:rsid w:val="00854354"/>
    <w:rsid w:val="00855CFF"/>
    <w:rsid w:val="00860656"/>
    <w:rsid w:val="00862643"/>
    <w:rsid w:val="00865CB0"/>
    <w:rsid w:val="00871595"/>
    <w:rsid w:val="00877537"/>
    <w:rsid w:val="00877B4D"/>
    <w:rsid w:val="008810D0"/>
    <w:rsid w:val="00883993"/>
    <w:rsid w:val="00886AD1"/>
    <w:rsid w:val="00887CB1"/>
    <w:rsid w:val="00891390"/>
    <w:rsid w:val="008960DB"/>
    <w:rsid w:val="008A2570"/>
    <w:rsid w:val="008A2AF8"/>
    <w:rsid w:val="008A4181"/>
    <w:rsid w:val="008A765A"/>
    <w:rsid w:val="008B2A27"/>
    <w:rsid w:val="008B2ADD"/>
    <w:rsid w:val="008B442D"/>
    <w:rsid w:val="008B4B4B"/>
    <w:rsid w:val="008B5D44"/>
    <w:rsid w:val="008B7B3C"/>
    <w:rsid w:val="008C0250"/>
    <w:rsid w:val="008C1562"/>
    <w:rsid w:val="008C1F78"/>
    <w:rsid w:val="008C2AD0"/>
    <w:rsid w:val="008C376E"/>
    <w:rsid w:val="008C61B2"/>
    <w:rsid w:val="008C6E07"/>
    <w:rsid w:val="008D3157"/>
    <w:rsid w:val="008D4D47"/>
    <w:rsid w:val="008D6493"/>
    <w:rsid w:val="008E16D3"/>
    <w:rsid w:val="008E350A"/>
    <w:rsid w:val="008E3691"/>
    <w:rsid w:val="008F0A39"/>
    <w:rsid w:val="008F119C"/>
    <w:rsid w:val="008F1697"/>
    <w:rsid w:val="008F2115"/>
    <w:rsid w:val="008F2D88"/>
    <w:rsid w:val="008F3C82"/>
    <w:rsid w:val="008F5915"/>
    <w:rsid w:val="009001BC"/>
    <w:rsid w:val="00902E94"/>
    <w:rsid w:val="0090339C"/>
    <w:rsid w:val="00905D20"/>
    <w:rsid w:val="00910FC1"/>
    <w:rsid w:val="0091282E"/>
    <w:rsid w:val="00912AC1"/>
    <w:rsid w:val="00912C65"/>
    <w:rsid w:val="00912F15"/>
    <w:rsid w:val="0091382A"/>
    <w:rsid w:val="00914C8F"/>
    <w:rsid w:val="00916004"/>
    <w:rsid w:val="00922790"/>
    <w:rsid w:val="00922A4A"/>
    <w:rsid w:val="0092501F"/>
    <w:rsid w:val="009260F7"/>
    <w:rsid w:val="009262BB"/>
    <w:rsid w:val="00926FF7"/>
    <w:rsid w:val="00927C55"/>
    <w:rsid w:val="00930448"/>
    <w:rsid w:val="00930B58"/>
    <w:rsid w:val="009327ED"/>
    <w:rsid w:val="00932E99"/>
    <w:rsid w:val="009336C1"/>
    <w:rsid w:val="0093403F"/>
    <w:rsid w:val="00934460"/>
    <w:rsid w:val="00935635"/>
    <w:rsid w:val="00935DA7"/>
    <w:rsid w:val="009373EB"/>
    <w:rsid w:val="00942016"/>
    <w:rsid w:val="0094213A"/>
    <w:rsid w:val="00942185"/>
    <w:rsid w:val="0094271D"/>
    <w:rsid w:val="00943381"/>
    <w:rsid w:val="00946EF0"/>
    <w:rsid w:val="0094732D"/>
    <w:rsid w:val="0095111C"/>
    <w:rsid w:val="00953F91"/>
    <w:rsid w:val="009561E4"/>
    <w:rsid w:val="00956AB6"/>
    <w:rsid w:val="00956E4D"/>
    <w:rsid w:val="009578D8"/>
    <w:rsid w:val="0096042F"/>
    <w:rsid w:val="00961EAF"/>
    <w:rsid w:val="0096371F"/>
    <w:rsid w:val="00964CB4"/>
    <w:rsid w:val="009652A2"/>
    <w:rsid w:val="0097092A"/>
    <w:rsid w:val="00970EEB"/>
    <w:rsid w:val="009730C6"/>
    <w:rsid w:val="00973548"/>
    <w:rsid w:val="009741AF"/>
    <w:rsid w:val="009764E3"/>
    <w:rsid w:val="009767FC"/>
    <w:rsid w:val="00981F5A"/>
    <w:rsid w:val="00983B89"/>
    <w:rsid w:val="0098503F"/>
    <w:rsid w:val="00991942"/>
    <w:rsid w:val="009933DA"/>
    <w:rsid w:val="00996056"/>
    <w:rsid w:val="009971DA"/>
    <w:rsid w:val="009A054E"/>
    <w:rsid w:val="009A07D1"/>
    <w:rsid w:val="009A0952"/>
    <w:rsid w:val="009A1DD7"/>
    <w:rsid w:val="009A1F8D"/>
    <w:rsid w:val="009A233F"/>
    <w:rsid w:val="009A4211"/>
    <w:rsid w:val="009A63E9"/>
    <w:rsid w:val="009A69E2"/>
    <w:rsid w:val="009B17A8"/>
    <w:rsid w:val="009B2022"/>
    <w:rsid w:val="009B40CF"/>
    <w:rsid w:val="009B4378"/>
    <w:rsid w:val="009B445F"/>
    <w:rsid w:val="009B5EBE"/>
    <w:rsid w:val="009C1B62"/>
    <w:rsid w:val="009C1BBA"/>
    <w:rsid w:val="009C2F4E"/>
    <w:rsid w:val="009C4208"/>
    <w:rsid w:val="009C5A41"/>
    <w:rsid w:val="009C5D35"/>
    <w:rsid w:val="009D09EA"/>
    <w:rsid w:val="009D0C0E"/>
    <w:rsid w:val="009D1677"/>
    <w:rsid w:val="009D1E62"/>
    <w:rsid w:val="009D29F3"/>
    <w:rsid w:val="009D3A40"/>
    <w:rsid w:val="009D7433"/>
    <w:rsid w:val="009D773F"/>
    <w:rsid w:val="009E264E"/>
    <w:rsid w:val="009E3CA4"/>
    <w:rsid w:val="009E6230"/>
    <w:rsid w:val="009E642A"/>
    <w:rsid w:val="00A016F4"/>
    <w:rsid w:val="00A04394"/>
    <w:rsid w:val="00A1202E"/>
    <w:rsid w:val="00A124C7"/>
    <w:rsid w:val="00A1294D"/>
    <w:rsid w:val="00A15472"/>
    <w:rsid w:val="00A1577B"/>
    <w:rsid w:val="00A161F7"/>
    <w:rsid w:val="00A226AA"/>
    <w:rsid w:val="00A2310F"/>
    <w:rsid w:val="00A25E4B"/>
    <w:rsid w:val="00A26263"/>
    <w:rsid w:val="00A26269"/>
    <w:rsid w:val="00A26B5B"/>
    <w:rsid w:val="00A30A23"/>
    <w:rsid w:val="00A32401"/>
    <w:rsid w:val="00A32F9E"/>
    <w:rsid w:val="00A33285"/>
    <w:rsid w:val="00A3347F"/>
    <w:rsid w:val="00A33F88"/>
    <w:rsid w:val="00A3511A"/>
    <w:rsid w:val="00A3573C"/>
    <w:rsid w:val="00A368E8"/>
    <w:rsid w:val="00A37833"/>
    <w:rsid w:val="00A4086A"/>
    <w:rsid w:val="00A41743"/>
    <w:rsid w:val="00A45D78"/>
    <w:rsid w:val="00A507F1"/>
    <w:rsid w:val="00A50BA4"/>
    <w:rsid w:val="00A5119C"/>
    <w:rsid w:val="00A51821"/>
    <w:rsid w:val="00A52E2C"/>
    <w:rsid w:val="00A56B13"/>
    <w:rsid w:val="00A56C34"/>
    <w:rsid w:val="00A5781A"/>
    <w:rsid w:val="00A6214E"/>
    <w:rsid w:val="00A62A87"/>
    <w:rsid w:val="00A62C90"/>
    <w:rsid w:val="00A65566"/>
    <w:rsid w:val="00A65903"/>
    <w:rsid w:val="00A65C7B"/>
    <w:rsid w:val="00A65D13"/>
    <w:rsid w:val="00A66FA5"/>
    <w:rsid w:val="00A70A02"/>
    <w:rsid w:val="00A7265C"/>
    <w:rsid w:val="00A73CAA"/>
    <w:rsid w:val="00A73F66"/>
    <w:rsid w:val="00A74201"/>
    <w:rsid w:val="00A747EA"/>
    <w:rsid w:val="00A762C2"/>
    <w:rsid w:val="00A76769"/>
    <w:rsid w:val="00A77AFC"/>
    <w:rsid w:val="00A80560"/>
    <w:rsid w:val="00A821BE"/>
    <w:rsid w:val="00A82F03"/>
    <w:rsid w:val="00A83C74"/>
    <w:rsid w:val="00A85546"/>
    <w:rsid w:val="00A855D8"/>
    <w:rsid w:val="00A85A4C"/>
    <w:rsid w:val="00A864EA"/>
    <w:rsid w:val="00A871F9"/>
    <w:rsid w:val="00A91363"/>
    <w:rsid w:val="00A92DCF"/>
    <w:rsid w:val="00A94673"/>
    <w:rsid w:val="00A95B3F"/>
    <w:rsid w:val="00A96A9B"/>
    <w:rsid w:val="00A97310"/>
    <w:rsid w:val="00A97B45"/>
    <w:rsid w:val="00AA230C"/>
    <w:rsid w:val="00AA270E"/>
    <w:rsid w:val="00AA37C2"/>
    <w:rsid w:val="00AA3D84"/>
    <w:rsid w:val="00AA544B"/>
    <w:rsid w:val="00AA59A3"/>
    <w:rsid w:val="00AA5CF1"/>
    <w:rsid w:val="00AA7D9F"/>
    <w:rsid w:val="00AB025F"/>
    <w:rsid w:val="00AB0DFF"/>
    <w:rsid w:val="00AB177B"/>
    <w:rsid w:val="00AB17DB"/>
    <w:rsid w:val="00AB1B08"/>
    <w:rsid w:val="00AB1CA9"/>
    <w:rsid w:val="00AB22F9"/>
    <w:rsid w:val="00AB2FFE"/>
    <w:rsid w:val="00AB393F"/>
    <w:rsid w:val="00AB4AE9"/>
    <w:rsid w:val="00AB5654"/>
    <w:rsid w:val="00AB575A"/>
    <w:rsid w:val="00AB684B"/>
    <w:rsid w:val="00AC1AAA"/>
    <w:rsid w:val="00AC34F6"/>
    <w:rsid w:val="00AC3ED3"/>
    <w:rsid w:val="00AC3F1E"/>
    <w:rsid w:val="00AC4F29"/>
    <w:rsid w:val="00AC53FE"/>
    <w:rsid w:val="00AC73CE"/>
    <w:rsid w:val="00AD01CD"/>
    <w:rsid w:val="00AD0C8F"/>
    <w:rsid w:val="00AD29F3"/>
    <w:rsid w:val="00AD31D0"/>
    <w:rsid w:val="00AD3C56"/>
    <w:rsid w:val="00AD4861"/>
    <w:rsid w:val="00AE122C"/>
    <w:rsid w:val="00AE31E5"/>
    <w:rsid w:val="00AE7330"/>
    <w:rsid w:val="00AE7B05"/>
    <w:rsid w:val="00AF22D6"/>
    <w:rsid w:val="00AF2B2F"/>
    <w:rsid w:val="00AF48CF"/>
    <w:rsid w:val="00B01862"/>
    <w:rsid w:val="00B01B44"/>
    <w:rsid w:val="00B05062"/>
    <w:rsid w:val="00B051E5"/>
    <w:rsid w:val="00B05D21"/>
    <w:rsid w:val="00B063DE"/>
    <w:rsid w:val="00B124FF"/>
    <w:rsid w:val="00B1344A"/>
    <w:rsid w:val="00B136D8"/>
    <w:rsid w:val="00B14179"/>
    <w:rsid w:val="00B1435E"/>
    <w:rsid w:val="00B14D66"/>
    <w:rsid w:val="00B1582C"/>
    <w:rsid w:val="00B24954"/>
    <w:rsid w:val="00B2660D"/>
    <w:rsid w:val="00B31C9F"/>
    <w:rsid w:val="00B363ED"/>
    <w:rsid w:val="00B37D01"/>
    <w:rsid w:val="00B37EBF"/>
    <w:rsid w:val="00B41A39"/>
    <w:rsid w:val="00B42B5B"/>
    <w:rsid w:val="00B42F10"/>
    <w:rsid w:val="00B461D3"/>
    <w:rsid w:val="00B4697F"/>
    <w:rsid w:val="00B50A2A"/>
    <w:rsid w:val="00B52FD8"/>
    <w:rsid w:val="00B53AE6"/>
    <w:rsid w:val="00B54284"/>
    <w:rsid w:val="00B57863"/>
    <w:rsid w:val="00B61921"/>
    <w:rsid w:val="00B62956"/>
    <w:rsid w:val="00B62A7E"/>
    <w:rsid w:val="00B63728"/>
    <w:rsid w:val="00B64B9C"/>
    <w:rsid w:val="00B65C76"/>
    <w:rsid w:val="00B6647E"/>
    <w:rsid w:val="00B7087D"/>
    <w:rsid w:val="00B735DC"/>
    <w:rsid w:val="00B76082"/>
    <w:rsid w:val="00B80170"/>
    <w:rsid w:val="00B8093A"/>
    <w:rsid w:val="00B82E7F"/>
    <w:rsid w:val="00B86EA6"/>
    <w:rsid w:val="00B87682"/>
    <w:rsid w:val="00B907D8"/>
    <w:rsid w:val="00B914A9"/>
    <w:rsid w:val="00B97D8F"/>
    <w:rsid w:val="00BA0AEF"/>
    <w:rsid w:val="00BA216C"/>
    <w:rsid w:val="00BA25E5"/>
    <w:rsid w:val="00BA376C"/>
    <w:rsid w:val="00BB0B53"/>
    <w:rsid w:val="00BB1D7B"/>
    <w:rsid w:val="00BB3F30"/>
    <w:rsid w:val="00BB6B63"/>
    <w:rsid w:val="00BC069C"/>
    <w:rsid w:val="00BC0CA5"/>
    <w:rsid w:val="00BC441B"/>
    <w:rsid w:val="00BD0255"/>
    <w:rsid w:val="00BD032F"/>
    <w:rsid w:val="00BD0AE4"/>
    <w:rsid w:val="00BD2CB4"/>
    <w:rsid w:val="00BD3586"/>
    <w:rsid w:val="00BD379C"/>
    <w:rsid w:val="00BD411E"/>
    <w:rsid w:val="00BD5DC6"/>
    <w:rsid w:val="00BD60DD"/>
    <w:rsid w:val="00BD7963"/>
    <w:rsid w:val="00BE1C19"/>
    <w:rsid w:val="00BE2338"/>
    <w:rsid w:val="00BF4367"/>
    <w:rsid w:val="00BF612E"/>
    <w:rsid w:val="00BF61A1"/>
    <w:rsid w:val="00BF61A9"/>
    <w:rsid w:val="00BF78D7"/>
    <w:rsid w:val="00C01B32"/>
    <w:rsid w:val="00C02945"/>
    <w:rsid w:val="00C038F9"/>
    <w:rsid w:val="00C04A3A"/>
    <w:rsid w:val="00C04F00"/>
    <w:rsid w:val="00C0617F"/>
    <w:rsid w:val="00C06C9A"/>
    <w:rsid w:val="00C06CDE"/>
    <w:rsid w:val="00C0716C"/>
    <w:rsid w:val="00C0788A"/>
    <w:rsid w:val="00C104BD"/>
    <w:rsid w:val="00C111C4"/>
    <w:rsid w:val="00C11218"/>
    <w:rsid w:val="00C126F1"/>
    <w:rsid w:val="00C12ED0"/>
    <w:rsid w:val="00C13FF9"/>
    <w:rsid w:val="00C16423"/>
    <w:rsid w:val="00C1645D"/>
    <w:rsid w:val="00C16EF7"/>
    <w:rsid w:val="00C209EE"/>
    <w:rsid w:val="00C21858"/>
    <w:rsid w:val="00C23699"/>
    <w:rsid w:val="00C24079"/>
    <w:rsid w:val="00C242DB"/>
    <w:rsid w:val="00C24425"/>
    <w:rsid w:val="00C2471D"/>
    <w:rsid w:val="00C2477D"/>
    <w:rsid w:val="00C26E5A"/>
    <w:rsid w:val="00C3044C"/>
    <w:rsid w:val="00C33917"/>
    <w:rsid w:val="00C34F3E"/>
    <w:rsid w:val="00C35C6D"/>
    <w:rsid w:val="00C35FD0"/>
    <w:rsid w:val="00C372D2"/>
    <w:rsid w:val="00C4124D"/>
    <w:rsid w:val="00C43349"/>
    <w:rsid w:val="00C443C9"/>
    <w:rsid w:val="00C469F4"/>
    <w:rsid w:val="00C46C8C"/>
    <w:rsid w:val="00C47576"/>
    <w:rsid w:val="00C535B8"/>
    <w:rsid w:val="00C54855"/>
    <w:rsid w:val="00C5664E"/>
    <w:rsid w:val="00C5673A"/>
    <w:rsid w:val="00C567FF"/>
    <w:rsid w:val="00C56A8C"/>
    <w:rsid w:val="00C57E98"/>
    <w:rsid w:val="00C6072D"/>
    <w:rsid w:val="00C6091F"/>
    <w:rsid w:val="00C65D5B"/>
    <w:rsid w:val="00C733AC"/>
    <w:rsid w:val="00C74743"/>
    <w:rsid w:val="00C74868"/>
    <w:rsid w:val="00C74A4B"/>
    <w:rsid w:val="00C7750E"/>
    <w:rsid w:val="00C77ADF"/>
    <w:rsid w:val="00C77EA1"/>
    <w:rsid w:val="00C81F24"/>
    <w:rsid w:val="00C83166"/>
    <w:rsid w:val="00C8427E"/>
    <w:rsid w:val="00C85791"/>
    <w:rsid w:val="00C866B6"/>
    <w:rsid w:val="00C91359"/>
    <w:rsid w:val="00C91746"/>
    <w:rsid w:val="00C91761"/>
    <w:rsid w:val="00C92E3A"/>
    <w:rsid w:val="00C94E41"/>
    <w:rsid w:val="00C96EC9"/>
    <w:rsid w:val="00C972F5"/>
    <w:rsid w:val="00CA0FCF"/>
    <w:rsid w:val="00CA1A84"/>
    <w:rsid w:val="00CA2FF2"/>
    <w:rsid w:val="00CA598E"/>
    <w:rsid w:val="00CA7C9F"/>
    <w:rsid w:val="00CB1709"/>
    <w:rsid w:val="00CB2504"/>
    <w:rsid w:val="00CB3137"/>
    <w:rsid w:val="00CB3467"/>
    <w:rsid w:val="00CB3494"/>
    <w:rsid w:val="00CB4585"/>
    <w:rsid w:val="00CB66D1"/>
    <w:rsid w:val="00CC1AF2"/>
    <w:rsid w:val="00CC246E"/>
    <w:rsid w:val="00CC33BD"/>
    <w:rsid w:val="00CC3ADC"/>
    <w:rsid w:val="00CC50B1"/>
    <w:rsid w:val="00CC5337"/>
    <w:rsid w:val="00CC56ED"/>
    <w:rsid w:val="00CC5AE7"/>
    <w:rsid w:val="00CC7D72"/>
    <w:rsid w:val="00CD352A"/>
    <w:rsid w:val="00CD4DAB"/>
    <w:rsid w:val="00CE0AA9"/>
    <w:rsid w:val="00CE4ED6"/>
    <w:rsid w:val="00CE6482"/>
    <w:rsid w:val="00CF0DE0"/>
    <w:rsid w:val="00CF19E8"/>
    <w:rsid w:val="00CF3D28"/>
    <w:rsid w:val="00CF54A2"/>
    <w:rsid w:val="00CF613C"/>
    <w:rsid w:val="00CF7013"/>
    <w:rsid w:val="00D00A69"/>
    <w:rsid w:val="00D03295"/>
    <w:rsid w:val="00D0433D"/>
    <w:rsid w:val="00D0550B"/>
    <w:rsid w:val="00D0638B"/>
    <w:rsid w:val="00D078C4"/>
    <w:rsid w:val="00D147E2"/>
    <w:rsid w:val="00D21C7D"/>
    <w:rsid w:val="00D22D0C"/>
    <w:rsid w:val="00D23864"/>
    <w:rsid w:val="00D25B43"/>
    <w:rsid w:val="00D269AC"/>
    <w:rsid w:val="00D36C5D"/>
    <w:rsid w:val="00D40473"/>
    <w:rsid w:val="00D4260B"/>
    <w:rsid w:val="00D427E8"/>
    <w:rsid w:val="00D4310E"/>
    <w:rsid w:val="00D4711A"/>
    <w:rsid w:val="00D47D54"/>
    <w:rsid w:val="00D5141E"/>
    <w:rsid w:val="00D53788"/>
    <w:rsid w:val="00D5434E"/>
    <w:rsid w:val="00D556F0"/>
    <w:rsid w:val="00D57CD3"/>
    <w:rsid w:val="00D57FDA"/>
    <w:rsid w:val="00D63D94"/>
    <w:rsid w:val="00D65EDE"/>
    <w:rsid w:val="00D66305"/>
    <w:rsid w:val="00D669D3"/>
    <w:rsid w:val="00D70554"/>
    <w:rsid w:val="00D70F0F"/>
    <w:rsid w:val="00D73B5B"/>
    <w:rsid w:val="00D73EDC"/>
    <w:rsid w:val="00D73FA2"/>
    <w:rsid w:val="00D74914"/>
    <w:rsid w:val="00D74C89"/>
    <w:rsid w:val="00D75A7C"/>
    <w:rsid w:val="00D75A91"/>
    <w:rsid w:val="00D805AF"/>
    <w:rsid w:val="00D816A8"/>
    <w:rsid w:val="00D81A36"/>
    <w:rsid w:val="00D81F0C"/>
    <w:rsid w:val="00D8205A"/>
    <w:rsid w:val="00D846F2"/>
    <w:rsid w:val="00D84AAC"/>
    <w:rsid w:val="00D86445"/>
    <w:rsid w:val="00D90D24"/>
    <w:rsid w:val="00D925E8"/>
    <w:rsid w:val="00D93D3F"/>
    <w:rsid w:val="00D96469"/>
    <w:rsid w:val="00D96A65"/>
    <w:rsid w:val="00D97EB6"/>
    <w:rsid w:val="00DA07ED"/>
    <w:rsid w:val="00DA0938"/>
    <w:rsid w:val="00DA2030"/>
    <w:rsid w:val="00DA22A3"/>
    <w:rsid w:val="00DA575D"/>
    <w:rsid w:val="00DA5CFC"/>
    <w:rsid w:val="00DA6636"/>
    <w:rsid w:val="00DA68FF"/>
    <w:rsid w:val="00DB161C"/>
    <w:rsid w:val="00DB2187"/>
    <w:rsid w:val="00DB2A47"/>
    <w:rsid w:val="00DB2BA7"/>
    <w:rsid w:val="00DB3271"/>
    <w:rsid w:val="00DB50DE"/>
    <w:rsid w:val="00DB5159"/>
    <w:rsid w:val="00DB51D2"/>
    <w:rsid w:val="00DB6E77"/>
    <w:rsid w:val="00DB7106"/>
    <w:rsid w:val="00DC12FC"/>
    <w:rsid w:val="00DC74CF"/>
    <w:rsid w:val="00DC7523"/>
    <w:rsid w:val="00DD17FA"/>
    <w:rsid w:val="00DD24DC"/>
    <w:rsid w:val="00DD2A64"/>
    <w:rsid w:val="00DD2FAF"/>
    <w:rsid w:val="00DD41B0"/>
    <w:rsid w:val="00DD541D"/>
    <w:rsid w:val="00DD6CE6"/>
    <w:rsid w:val="00DE44F7"/>
    <w:rsid w:val="00DE56F7"/>
    <w:rsid w:val="00DE58F5"/>
    <w:rsid w:val="00DE6514"/>
    <w:rsid w:val="00DE68BF"/>
    <w:rsid w:val="00DE7866"/>
    <w:rsid w:val="00DE7DB3"/>
    <w:rsid w:val="00DF0554"/>
    <w:rsid w:val="00DF106C"/>
    <w:rsid w:val="00DF150F"/>
    <w:rsid w:val="00DF16FF"/>
    <w:rsid w:val="00DF559A"/>
    <w:rsid w:val="00DF7DF2"/>
    <w:rsid w:val="00E0364A"/>
    <w:rsid w:val="00E03D9C"/>
    <w:rsid w:val="00E06354"/>
    <w:rsid w:val="00E065CD"/>
    <w:rsid w:val="00E06D15"/>
    <w:rsid w:val="00E079F1"/>
    <w:rsid w:val="00E07B3C"/>
    <w:rsid w:val="00E106EC"/>
    <w:rsid w:val="00E113AB"/>
    <w:rsid w:val="00E11B41"/>
    <w:rsid w:val="00E12BDC"/>
    <w:rsid w:val="00E1554C"/>
    <w:rsid w:val="00E15DE2"/>
    <w:rsid w:val="00E20593"/>
    <w:rsid w:val="00E208A9"/>
    <w:rsid w:val="00E22256"/>
    <w:rsid w:val="00E22363"/>
    <w:rsid w:val="00E25546"/>
    <w:rsid w:val="00E258BF"/>
    <w:rsid w:val="00E25A02"/>
    <w:rsid w:val="00E2729F"/>
    <w:rsid w:val="00E272D3"/>
    <w:rsid w:val="00E305C7"/>
    <w:rsid w:val="00E32538"/>
    <w:rsid w:val="00E32F8C"/>
    <w:rsid w:val="00E3336A"/>
    <w:rsid w:val="00E336AC"/>
    <w:rsid w:val="00E3377D"/>
    <w:rsid w:val="00E35C8E"/>
    <w:rsid w:val="00E40EA3"/>
    <w:rsid w:val="00E42C65"/>
    <w:rsid w:val="00E4322A"/>
    <w:rsid w:val="00E43593"/>
    <w:rsid w:val="00E43CED"/>
    <w:rsid w:val="00E455BE"/>
    <w:rsid w:val="00E45674"/>
    <w:rsid w:val="00E5074A"/>
    <w:rsid w:val="00E52F21"/>
    <w:rsid w:val="00E54570"/>
    <w:rsid w:val="00E5578C"/>
    <w:rsid w:val="00E56AF7"/>
    <w:rsid w:val="00E60076"/>
    <w:rsid w:val="00E607D9"/>
    <w:rsid w:val="00E64E4B"/>
    <w:rsid w:val="00E66653"/>
    <w:rsid w:val="00E71706"/>
    <w:rsid w:val="00E724CA"/>
    <w:rsid w:val="00E72CC1"/>
    <w:rsid w:val="00E759B6"/>
    <w:rsid w:val="00E75FBF"/>
    <w:rsid w:val="00E76029"/>
    <w:rsid w:val="00E7782D"/>
    <w:rsid w:val="00E810A9"/>
    <w:rsid w:val="00E82CF6"/>
    <w:rsid w:val="00E83717"/>
    <w:rsid w:val="00E83822"/>
    <w:rsid w:val="00E84083"/>
    <w:rsid w:val="00E84C1B"/>
    <w:rsid w:val="00E85156"/>
    <w:rsid w:val="00E854FF"/>
    <w:rsid w:val="00E87DB2"/>
    <w:rsid w:val="00E93379"/>
    <w:rsid w:val="00E936BE"/>
    <w:rsid w:val="00E9571E"/>
    <w:rsid w:val="00E9692F"/>
    <w:rsid w:val="00EA0FB4"/>
    <w:rsid w:val="00EA23CC"/>
    <w:rsid w:val="00EA27A3"/>
    <w:rsid w:val="00EA2F71"/>
    <w:rsid w:val="00EA53D5"/>
    <w:rsid w:val="00EA6199"/>
    <w:rsid w:val="00EA6E5C"/>
    <w:rsid w:val="00EA7EA9"/>
    <w:rsid w:val="00EB09D7"/>
    <w:rsid w:val="00EB25A1"/>
    <w:rsid w:val="00EB508C"/>
    <w:rsid w:val="00EB53E2"/>
    <w:rsid w:val="00EB72F6"/>
    <w:rsid w:val="00EB77F6"/>
    <w:rsid w:val="00EB7DF5"/>
    <w:rsid w:val="00EC0059"/>
    <w:rsid w:val="00EC0235"/>
    <w:rsid w:val="00EC2341"/>
    <w:rsid w:val="00EC3396"/>
    <w:rsid w:val="00EC33FC"/>
    <w:rsid w:val="00ED1E5D"/>
    <w:rsid w:val="00ED21AC"/>
    <w:rsid w:val="00ED3F3D"/>
    <w:rsid w:val="00ED5458"/>
    <w:rsid w:val="00EE1F09"/>
    <w:rsid w:val="00EE3515"/>
    <w:rsid w:val="00EE42C2"/>
    <w:rsid w:val="00EE4ED5"/>
    <w:rsid w:val="00EE6905"/>
    <w:rsid w:val="00EF0A67"/>
    <w:rsid w:val="00EF1950"/>
    <w:rsid w:val="00EF422D"/>
    <w:rsid w:val="00EF4EE6"/>
    <w:rsid w:val="00EF4FF5"/>
    <w:rsid w:val="00EF6B6B"/>
    <w:rsid w:val="00F003C2"/>
    <w:rsid w:val="00F01437"/>
    <w:rsid w:val="00F01884"/>
    <w:rsid w:val="00F02B3D"/>
    <w:rsid w:val="00F02DC5"/>
    <w:rsid w:val="00F10BF9"/>
    <w:rsid w:val="00F1343E"/>
    <w:rsid w:val="00F14C3C"/>
    <w:rsid w:val="00F16D53"/>
    <w:rsid w:val="00F17BBE"/>
    <w:rsid w:val="00F2041A"/>
    <w:rsid w:val="00F214E1"/>
    <w:rsid w:val="00F21EE9"/>
    <w:rsid w:val="00F22963"/>
    <w:rsid w:val="00F237B8"/>
    <w:rsid w:val="00F24754"/>
    <w:rsid w:val="00F25E5E"/>
    <w:rsid w:val="00F279B0"/>
    <w:rsid w:val="00F27C0B"/>
    <w:rsid w:val="00F32191"/>
    <w:rsid w:val="00F33A6A"/>
    <w:rsid w:val="00F33BCD"/>
    <w:rsid w:val="00F3403F"/>
    <w:rsid w:val="00F34930"/>
    <w:rsid w:val="00F35774"/>
    <w:rsid w:val="00F3697D"/>
    <w:rsid w:val="00F41606"/>
    <w:rsid w:val="00F423EC"/>
    <w:rsid w:val="00F42448"/>
    <w:rsid w:val="00F449A2"/>
    <w:rsid w:val="00F4579F"/>
    <w:rsid w:val="00F45CCB"/>
    <w:rsid w:val="00F46E03"/>
    <w:rsid w:val="00F502A2"/>
    <w:rsid w:val="00F530D4"/>
    <w:rsid w:val="00F533E9"/>
    <w:rsid w:val="00F535D6"/>
    <w:rsid w:val="00F5418A"/>
    <w:rsid w:val="00F56745"/>
    <w:rsid w:val="00F60268"/>
    <w:rsid w:val="00F61B22"/>
    <w:rsid w:val="00F64F87"/>
    <w:rsid w:val="00F651D6"/>
    <w:rsid w:val="00F6578F"/>
    <w:rsid w:val="00F66BCA"/>
    <w:rsid w:val="00F70A40"/>
    <w:rsid w:val="00F710DA"/>
    <w:rsid w:val="00F716B7"/>
    <w:rsid w:val="00F71983"/>
    <w:rsid w:val="00F72D8A"/>
    <w:rsid w:val="00F74CB7"/>
    <w:rsid w:val="00F75F72"/>
    <w:rsid w:val="00F83226"/>
    <w:rsid w:val="00F8500D"/>
    <w:rsid w:val="00F86CFC"/>
    <w:rsid w:val="00F87150"/>
    <w:rsid w:val="00F87183"/>
    <w:rsid w:val="00F87903"/>
    <w:rsid w:val="00F9062C"/>
    <w:rsid w:val="00F91B48"/>
    <w:rsid w:val="00F92C7D"/>
    <w:rsid w:val="00F92DE8"/>
    <w:rsid w:val="00F93157"/>
    <w:rsid w:val="00F971E8"/>
    <w:rsid w:val="00F9723D"/>
    <w:rsid w:val="00F97EC1"/>
    <w:rsid w:val="00FA0CCE"/>
    <w:rsid w:val="00FA3D4D"/>
    <w:rsid w:val="00FA4CE7"/>
    <w:rsid w:val="00FA6750"/>
    <w:rsid w:val="00FA7F2F"/>
    <w:rsid w:val="00FB2764"/>
    <w:rsid w:val="00FB3394"/>
    <w:rsid w:val="00FB33BE"/>
    <w:rsid w:val="00FB34E1"/>
    <w:rsid w:val="00FB51E0"/>
    <w:rsid w:val="00FB5508"/>
    <w:rsid w:val="00FB734E"/>
    <w:rsid w:val="00FC0180"/>
    <w:rsid w:val="00FC0708"/>
    <w:rsid w:val="00FC0A9B"/>
    <w:rsid w:val="00FC3961"/>
    <w:rsid w:val="00FC6B14"/>
    <w:rsid w:val="00FC7359"/>
    <w:rsid w:val="00FD0935"/>
    <w:rsid w:val="00FD12D8"/>
    <w:rsid w:val="00FD262E"/>
    <w:rsid w:val="00FD5621"/>
    <w:rsid w:val="00FD6848"/>
    <w:rsid w:val="00FE13D1"/>
    <w:rsid w:val="00FE29CD"/>
    <w:rsid w:val="00FE2C3F"/>
    <w:rsid w:val="00FE3574"/>
    <w:rsid w:val="00FE5A1A"/>
    <w:rsid w:val="00FE5DD3"/>
    <w:rsid w:val="00FF0119"/>
    <w:rsid w:val="00FF11AD"/>
    <w:rsid w:val="00FF1351"/>
    <w:rsid w:val="00FF6A3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8FA32"/>
  <w15:chartTrackingRefBased/>
  <w15:docId w15:val="{5B881144-D8B8-42F5-B1DA-2681F191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B3C"/>
  </w:style>
  <w:style w:type="paragraph" w:styleId="Heading1">
    <w:name w:val="heading 1"/>
    <w:basedOn w:val="Normal"/>
    <w:next w:val="Normal"/>
    <w:link w:val="Heading1Char"/>
    <w:uiPriority w:val="9"/>
    <w:qFormat/>
    <w:rsid w:val="002E1017"/>
    <w:pPr>
      <w:keepNext/>
      <w:keepLines/>
      <w:spacing w:before="240" w:after="0"/>
      <w:outlineLvl w:val="0"/>
    </w:pPr>
    <w:rPr>
      <w:rFonts w:asciiTheme="majorHAnsi" w:eastAsiaTheme="majorEastAsia" w:hAnsiTheme="majorHAnsi" w:cstheme="majorBidi"/>
      <w:color w:val="1E25A0" w:themeColor="accent1" w:themeShade="BF"/>
      <w:sz w:val="32"/>
      <w:szCs w:val="32"/>
    </w:rPr>
  </w:style>
  <w:style w:type="paragraph" w:styleId="Heading2">
    <w:name w:val="heading 2"/>
    <w:basedOn w:val="Normal"/>
    <w:next w:val="Normal"/>
    <w:link w:val="Heading2Char"/>
    <w:uiPriority w:val="9"/>
    <w:unhideWhenUsed/>
    <w:qFormat/>
    <w:rsid w:val="003F7F18"/>
    <w:pPr>
      <w:keepNext/>
      <w:keepLines/>
      <w:spacing w:before="40" w:after="0"/>
      <w:outlineLvl w:val="1"/>
    </w:pPr>
    <w:rPr>
      <w:rFonts w:asciiTheme="majorHAnsi" w:eastAsiaTheme="majorEastAsia" w:hAnsiTheme="majorHAnsi" w:cstheme="majorBidi"/>
      <w:color w:val="1E25A0" w:themeColor="accent1" w:themeShade="BF"/>
      <w:sz w:val="26"/>
      <w:szCs w:val="26"/>
    </w:rPr>
  </w:style>
  <w:style w:type="paragraph" w:styleId="Heading3">
    <w:name w:val="heading 3"/>
    <w:basedOn w:val="Normal"/>
    <w:next w:val="Normal"/>
    <w:link w:val="Heading3Char"/>
    <w:uiPriority w:val="9"/>
    <w:unhideWhenUsed/>
    <w:qFormat/>
    <w:rsid w:val="0074189C"/>
    <w:pPr>
      <w:keepNext/>
      <w:keepLines/>
      <w:spacing w:before="40" w:after="0"/>
      <w:outlineLvl w:val="2"/>
    </w:pPr>
    <w:rPr>
      <w:rFonts w:asciiTheme="majorHAnsi" w:eastAsiaTheme="majorEastAsia" w:hAnsiTheme="majorHAnsi" w:cstheme="majorBidi"/>
      <w:color w:val="14196A" w:themeColor="accent1" w:themeShade="7F"/>
      <w:sz w:val="24"/>
      <w:szCs w:val="24"/>
    </w:rPr>
  </w:style>
  <w:style w:type="paragraph" w:styleId="Heading4">
    <w:name w:val="heading 4"/>
    <w:basedOn w:val="Normal"/>
    <w:link w:val="Heading4Char"/>
    <w:uiPriority w:val="9"/>
    <w:qFormat/>
    <w:rsid w:val="006C4544"/>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
    <w:uiPriority w:val="9"/>
    <w:semiHidden/>
    <w:unhideWhenUsed/>
    <w:qFormat/>
    <w:rsid w:val="00321E35"/>
    <w:pPr>
      <w:keepNext/>
      <w:keepLines/>
      <w:spacing w:before="40" w:after="0"/>
      <w:outlineLvl w:val="4"/>
    </w:pPr>
    <w:rPr>
      <w:rFonts w:asciiTheme="majorHAnsi" w:eastAsiaTheme="majorEastAsia" w:hAnsiTheme="majorHAnsi" w:cstheme="majorBidi"/>
      <w:color w:val="1E25A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1B3"/>
  </w:style>
  <w:style w:type="paragraph" w:styleId="Footer">
    <w:name w:val="footer"/>
    <w:basedOn w:val="Normal"/>
    <w:link w:val="FooterChar"/>
    <w:uiPriority w:val="99"/>
    <w:unhideWhenUsed/>
    <w:rsid w:val="00404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1B3"/>
  </w:style>
  <w:style w:type="paragraph" w:styleId="NormalWeb">
    <w:name w:val="Normal (Web)"/>
    <w:basedOn w:val="Normal"/>
    <w:uiPriority w:val="99"/>
    <w:unhideWhenUsed/>
    <w:rsid w:val="00C4124D"/>
    <w:pPr>
      <w:spacing w:before="100" w:beforeAutospacing="1" w:after="100" w:afterAutospacing="1" w:line="240" w:lineRule="auto"/>
    </w:pPr>
    <w:rPr>
      <w:rFonts w:ascii="Times New Roman" w:eastAsia="Times New Roman" w:hAnsi="Times New Roman" w:cs="Times New Roman"/>
      <w:kern w:val="0"/>
      <w:sz w:val="24"/>
      <w:szCs w:val="24"/>
      <w:lang w:eastAsia="sr-Latn-RS"/>
      <w14:ligatures w14:val="none"/>
    </w:rPr>
  </w:style>
  <w:style w:type="paragraph" w:styleId="ListParagraph">
    <w:name w:val="List Paragraph"/>
    <w:aliases w:val="Liste 1,List Paragraph1,Bullet Number,lp1,lp11,List Paragraph11,Bullet 1,Use Case List Paragraph,Bullet List,FooterText,Num Bullet 1,List Paragraph (numbered (a)),Bullets,Medium Grid 1 - Accent 22,Dot pt,F5 List Paragraph,Indicator Text"/>
    <w:basedOn w:val="Normal"/>
    <w:link w:val="ListParagraphChar"/>
    <w:uiPriority w:val="34"/>
    <w:qFormat/>
    <w:rsid w:val="007F3910"/>
    <w:pPr>
      <w:ind w:left="720"/>
      <w:contextualSpacing/>
    </w:pPr>
  </w:style>
  <w:style w:type="table" w:styleId="TableGrid">
    <w:name w:val="Table Grid"/>
    <w:basedOn w:val="TableNormal"/>
    <w:uiPriority w:val="39"/>
    <w:rsid w:val="009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A1F8D"/>
    <w:pPr>
      <w:spacing w:after="0" w:line="240" w:lineRule="auto"/>
    </w:pPr>
    <w:tblPr>
      <w:tblStyleRowBandSize w:val="1"/>
      <w:tblStyleColBandSize w:val="1"/>
      <w:tblBorders>
        <w:top w:val="single" w:sz="4" w:space="0" w:color="C4F0C2" w:themeColor="accent3" w:themeTint="66"/>
        <w:left w:val="single" w:sz="4" w:space="0" w:color="C4F0C2" w:themeColor="accent3" w:themeTint="66"/>
        <w:bottom w:val="single" w:sz="4" w:space="0" w:color="C4F0C2" w:themeColor="accent3" w:themeTint="66"/>
        <w:right w:val="single" w:sz="4" w:space="0" w:color="C4F0C2" w:themeColor="accent3" w:themeTint="66"/>
        <w:insideH w:val="single" w:sz="4" w:space="0" w:color="C4F0C2" w:themeColor="accent3" w:themeTint="66"/>
        <w:insideV w:val="single" w:sz="4" w:space="0" w:color="C4F0C2" w:themeColor="accent3" w:themeTint="66"/>
      </w:tblBorders>
    </w:tblPr>
    <w:tblStylePr w:type="firstRow">
      <w:rPr>
        <w:b/>
        <w:bCs/>
      </w:rPr>
      <w:tblPr/>
      <w:tcPr>
        <w:tcBorders>
          <w:bottom w:val="single" w:sz="12" w:space="0" w:color="A7E8A4" w:themeColor="accent3" w:themeTint="99"/>
        </w:tcBorders>
      </w:tcPr>
    </w:tblStylePr>
    <w:tblStylePr w:type="lastRow">
      <w:rPr>
        <w:b/>
        <w:bCs/>
      </w:rPr>
      <w:tblPr/>
      <w:tcPr>
        <w:tcBorders>
          <w:top w:val="double" w:sz="2" w:space="0" w:color="A7E8A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A1F8D"/>
    <w:pPr>
      <w:spacing w:after="0" w:line="240" w:lineRule="auto"/>
    </w:pPr>
    <w:tblPr>
      <w:tblStyleRowBandSize w:val="1"/>
      <w:tblStyleColBandSize w:val="1"/>
      <w:tblBorders>
        <w:top w:val="single" w:sz="4" w:space="0" w:color="7474EC" w:themeColor="accent2" w:themeTint="66"/>
        <w:left w:val="single" w:sz="4" w:space="0" w:color="7474EC" w:themeColor="accent2" w:themeTint="66"/>
        <w:bottom w:val="single" w:sz="4" w:space="0" w:color="7474EC" w:themeColor="accent2" w:themeTint="66"/>
        <w:right w:val="single" w:sz="4" w:space="0" w:color="7474EC" w:themeColor="accent2" w:themeTint="66"/>
        <w:insideH w:val="single" w:sz="4" w:space="0" w:color="7474EC" w:themeColor="accent2" w:themeTint="66"/>
        <w:insideV w:val="single" w:sz="4" w:space="0" w:color="7474EC" w:themeColor="accent2" w:themeTint="66"/>
      </w:tblBorders>
    </w:tblPr>
    <w:tblStylePr w:type="firstRow">
      <w:rPr>
        <w:b/>
        <w:bCs/>
      </w:rPr>
      <w:tblPr/>
      <w:tcPr>
        <w:tcBorders>
          <w:bottom w:val="single" w:sz="12" w:space="0" w:color="2F2FE2" w:themeColor="accent2" w:themeTint="99"/>
        </w:tcBorders>
      </w:tcPr>
    </w:tblStylePr>
    <w:tblStylePr w:type="lastRow">
      <w:rPr>
        <w:b/>
        <w:bCs/>
      </w:rPr>
      <w:tblPr/>
      <w:tcPr>
        <w:tcBorders>
          <w:top w:val="double" w:sz="2" w:space="0" w:color="2F2FE2" w:themeColor="accent2"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9A1F8D"/>
    <w:pPr>
      <w:spacing w:after="0" w:line="240" w:lineRule="auto"/>
    </w:pPr>
    <w:tblPr>
      <w:tblStyleRowBandSize w:val="1"/>
      <w:tblStyleColBandSize w:val="1"/>
      <w:tblBorders>
        <w:top w:val="single" w:sz="4" w:space="0" w:color="7E84E6" w:themeColor="accent1" w:themeTint="99"/>
        <w:left w:val="single" w:sz="4" w:space="0" w:color="7E84E6" w:themeColor="accent1" w:themeTint="99"/>
        <w:bottom w:val="single" w:sz="4" w:space="0" w:color="7E84E6" w:themeColor="accent1" w:themeTint="99"/>
        <w:right w:val="single" w:sz="4" w:space="0" w:color="7E84E6" w:themeColor="accent1" w:themeTint="99"/>
        <w:insideH w:val="single" w:sz="4" w:space="0" w:color="7E84E6" w:themeColor="accent1" w:themeTint="99"/>
      </w:tblBorders>
    </w:tblPr>
    <w:tblStylePr w:type="firstRow">
      <w:rPr>
        <w:b/>
        <w:bCs/>
        <w:color w:val="F2F2F2" w:themeColor="background1"/>
      </w:rPr>
      <w:tblPr/>
      <w:tcPr>
        <w:tcBorders>
          <w:top w:val="single" w:sz="4" w:space="0" w:color="2933D6" w:themeColor="accent1"/>
          <w:left w:val="single" w:sz="4" w:space="0" w:color="2933D6" w:themeColor="accent1"/>
          <w:bottom w:val="single" w:sz="4" w:space="0" w:color="2933D6" w:themeColor="accent1"/>
          <w:right w:val="single" w:sz="4" w:space="0" w:color="2933D6" w:themeColor="accent1"/>
          <w:insideH w:val="nil"/>
        </w:tcBorders>
        <w:shd w:val="clear" w:color="auto" w:fill="2933D6" w:themeFill="accent1"/>
      </w:tcPr>
    </w:tblStylePr>
    <w:tblStylePr w:type="lastRow">
      <w:rPr>
        <w:b/>
        <w:bCs/>
      </w:rPr>
      <w:tblPr/>
      <w:tcPr>
        <w:tcBorders>
          <w:top w:val="double" w:sz="4" w:space="0" w:color="7E84E6" w:themeColor="accent1" w:themeTint="99"/>
        </w:tcBorders>
      </w:tcPr>
    </w:tblStylePr>
    <w:tblStylePr w:type="firstCol">
      <w:rPr>
        <w:b/>
        <w:bCs/>
      </w:rPr>
    </w:tblStylePr>
    <w:tblStylePr w:type="lastCol">
      <w:rPr>
        <w:b/>
        <w:bCs/>
      </w:rPr>
    </w:tblStylePr>
    <w:tblStylePr w:type="band1Vert">
      <w:tblPr/>
      <w:tcPr>
        <w:shd w:val="clear" w:color="auto" w:fill="D4D6F6" w:themeFill="accent1" w:themeFillTint="33"/>
      </w:tcPr>
    </w:tblStylePr>
    <w:tblStylePr w:type="band1Horz">
      <w:tblPr/>
      <w:tcPr>
        <w:shd w:val="clear" w:color="auto" w:fill="D4D6F6" w:themeFill="accent1" w:themeFillTint="33"/>
      </w:tcPr>
    </w:tblStylePr>
  </w:style>
  <w:style w:type="table" w:styleId="GridTable4-Accent2">
    <w:name w:val="Grid Table 4 Accent 2"/>
    <w:basedOn w:val="TableNormal"/>
    <w:uiPriority w:val="49"/>
    <w:rsid w:val="009A1F8D"/>
    <w:pPr>
      <w:spacing w:after="0" w:line="240" w:lineRule="auto"/>
    </w:pPr>
    <w:tblPr>
      <w:tblStyleRowBandSize w:val="1"/>
      <w:tblStyleColBandSize w:val="1"/>
      <w:tblBorders>
        <w:top w:val="single" w:sz="4" w:space="0" w:color="2F2FE2" w:themeColor="accent2" w:themeTint="99"/>
        <w:left w:val="single" w:sz="4" w:space="0" w:color="2F2FE2" w:themeColor="accent2" w:themeTint="99"/>
        <w:bottom w:val="single" w:sz="4" w:space="0" w:color="2F2FE2" w:themeColor="accent2" w:themeTint="99"/>
        <w:right w:val="single" w:sz="4" w:space="0" w:color="2F2FE2" w:themeColor="accent2" w:themeTint="99"/>
        <w:insideH w:val="single" w:sz="4" w:space="0" w:color="2F2FE2" w:themeColor="accent2" w:themeTint="99"/>
        <w:insideV w:val="single" w:sz="4" w:space="0" w:color="2F2FE2" w:themeColor="accent2" w:themeTint="99"/>
      </w:tblBorders>
    </w:tblPr>
    <w:tblStylePr w:type="firstRow">
      <w:rPr>
        <w:b/>
        <w:bCs/>
        <w:color w:val="F2F2F2" w:themeColor="background1"/>
      </w:rPr>
      <w:tblPr/>
      <w:tcPr>
        <w:tcBorders>
          <w:top w:val="single" w:sz="4" w:space="0" w:color="0E0E67" w:themeColor="accent2"/>
          <w:left w:val="single" w:sz="4" w:space="0" w:color="0E0E67" w:themeColor="accent2"/>
          <w:bottom w:val="single" w:sz="4" w:space="0" w:color="0E0E67" w:themeColor="accent2"/>
          <w:right w:val="single" w:sz="4" w:space="0" w:color="0E0E67" w:themeColor="accent2"/>
          <w:insideH w:val="nil"/>
          <w:insideV w:val="nil"/>
        </w:tcBorders>
        <w:shd w:val="clear" w:color="auto" w:fill="0E0E67" w:themeFill="accent2"/>
      </w:tcPr>
    </w:tblStylePr>
    <w:tblStylePr w:type="lastRow">
      <w:rPr>
        <w:b/>
        <w:bCs/>
      </w:rPr>
      <w:tblPr/>
      <w:tcPr>
        <w:tcBorders>
          <w:top w:val="double" w:sz="4" w:space="0" w:color="0E0E67" w:themeColor="accent2"/>
        </w:tcBorders>
      </w:tcPr>
    </w:tblStylePr>
    <w:tblStylePr w:type="firstCol">
      <w:rPr>
        <w:b/>
        <w:bCs/>
      </w:rPr>
    </w:tblStylePr>
    <w:tblStylePr w:type="lastCol">
      <w:rPr>
        <w:b/>
        <w:bCs/>
      </w:rPr>
    </w:tblStylePr>
    <w:tblStylePr w:type="band1Vert">
      <w:tblPr/>
      <w:tcPr>
        <w:shd w:val="clear" w:color="auto" w:fill="B9B9F5" w:themeFill="accent2" w:themeFillTint="33"/>
      </w:tcPr>
    </w:tblStylePr>
    <w:tblStylePr w:type="band1Horz">
      <w:tblPr/>
      <w:tcPr>
        <w:shd w:val="clear" w:color="auto" w:fill="B9B9F5" w:themeFill="accent2" w:themeFillTint="33"/>
      </w:tcPr>
    </w:tblStylePr>
  </w:style>
  <w:style w:type="table" w:styleId="ListTable4-Accent3">
    <w:name w:val="List Table 4 Accent 3"/>
    <w:basedOn w:val="TableNormal"/>
    <w:uiPriority w:val="49"/>
    <w:rsid w:val="009A1F8D"/>
    <w:pPr>
      <w:spacing w:after="0" w:line="240" w:lineRule="auto"/>
    </w:pPr>
    <w:tblPr>
      <w:tblStyleRowBandSize w:val="1"/>
      <w:tblStyleColBandSize w:val="1"/>
      <w:tblBorders>
        <w:top w:val="single" w:sz="4" w:space="0" w:color="A7E8A4" w:themeColor="accent3" w:themeTint="99"/>
        <w:left w:val="single" w:sz="4" w:space="0" w:color="A7E8A4" w:themeColor="accent3" w:themeTint="99"/>
        <w:bottom w:val="single" w:sz="4" w:space="0" w:color="A7E8A4" w:themeColor="accent3" w:themeTint="99"/>
        <w:right w:val="single" w:sz="4" w:space="0" w:color="A7E8A4" w:themeColor="accent3" w:themeTint="99"/>
        <w:insideH w:val="single" w:sz="4" w:space="0" w:color="A7E8A4" w:themeColor="accent3" w:themeTint="99"/>
      </w:tblBorders>
    </w:tblPr>
    <w:tblStylePr w:type="firstRow">
      <w:rPr>
        <w:b/>
        <w:bCs/>
        <w:color w:val="F2F2F2" w:themeColor="background1"/>
      </w:rPr>
      <w:tblPr/>
      <w:tcPr>
        <w:tcBorders>
          <w:top w:val="single" w:sz="4" w:space="0" w:color="6EDA69" w:themeColor="accent3"/>
          <w:left w:val="single" w:sz="4" w:space="0" w:color="6EDA69" w:themeColor="accent3"/>
          <w:bottom w:val="single" w:sz="4" w:space="0" w:color="6EDA69" w:themeColor="accent3"/>
          <w:right w:val="single" w:sz="4" w:space="0" w:color="6EDA69" w:themeColor="accent3"/>
          <w:insideH w:val="nil"/>
        </w:tcBorders>
        <w:shd w:val="clear" w:color="auto" w:fill="6EDA69" w:themeFill="accent3"/>
      </w:tcPr>
    </w:tblStylePr>
    <w:tblStylePr w:type="lastRow">
      <w:rPr>
        <w:b/>
        <w:bCs/>
      </w:rPr>
      <w:tblPr/>
      <w:tcPr>
        <w:tcBorders>
          <w:top w:val="double" w:sz="4" w:space="0" w:color="A7E8A4" w:themeColor="accent3" w:themeTint="99"/>
        </w:tcBorders>
      </w:tcPr>
    </w:tblStylePr>
    <w:tblStylePr w:type="firstCol">
      <w:rPr>
        <w:b/>
        <w:bCs/>
      </w:rPr>
    </w:tblStylePr>
    <w:tblStylePr w:type="lastCol">
      <w:rPr>
        <w:b/>
        <w:bCs/>
      </w:rPr>
    </w:tblStylePr>
    <w:tblStylePr w:type="band1Vert">
      <w:tblPr/>
      <w:tcPr>
        <w:shd w:val="clear" w:color="auto" w:fill="E1F7E0" w:themeFill="accent3" w:themeFillTint="33"/>
      </w:tcPr>
    </w:tblStylePr>
    <w:tblStylePr w:type="band1Horz">
      <w:tblPr/>
      <w:tcPr>
        <w:shd w:val="clear" w:color="auto" w:fill="E1F7E0" w:themeFill="accent3" w:themeFillTint="33"/>
      </w:tcPr>
    </w:tblStylePr>
  </w:style>
  <w:style w:type="paragraph" w:styleId="FootnoteText">
    <w:name w:val="footnote text"/>
    <w:aliases w:val="single space,ft,Sprotna opomba-besedilo,Char Char,Char Char Char Char,Char Char Char,Sprotna opomba - besedilo Znak1,Sprotna opomba - besedilo Znak Znak2,Sprotna opomba - besedilo Znak1 Znak Znak1,footnote text,FOOTNOTES,fn,ADB"/>
    <w:basedOn w:val="Normal"/>
    <w:link w:val="FootnoteTextChar"/>
    <w:uiPriority w:val="99"/>
    <w:unhideWhenUsed/>
    <w:qFormat/>
    <w:rsid w:val="001A4A27"/>
    <w:pPr>
      <w:spacing w:after="0" w:line="240" w:lineRule="auto"/>
    </w:pPr>
    <w:rPr>
      <w:sz w:val="20"/>
      <w:szCs w:val="20"/>
    </w:rPr>
  </w:style>
  <w:style w:type="character" w:customStyle="1" w:styleId="FootnoteTextChar">
    <w:name w:val="Footnote Text Char"/>
    <w:aliases w:val="single space Char,ft Char,Sprotna opomba-besedilo Char,Char Char Char1,Char Char Char Char Char,Char Char Char Char1,Sprotna opomba - besedilo Znak1 Char,Sprotna opomba - besedilo Znak Znak2 Char,footnote text Char,FOOTNOTES Char"/>
    <w:basedOn w:val="DefaultParagraphFont"/>
    <w:link w:val="FootnoteText"/>
    <w:uiPriority w:val="99"/>
    <w:qFormat/>
    <w:rsid w:val="001A4A27"/>
    <w:rPr>
      <w:sz w:val="20"/>
      <w:szCs w:val="20"/>
    </w:rPr>
  </w:style>
  <w:style w:type="character" w:styleId="FootnoteReference">
    <w:name w:val="footnote reference"/>
    <w:aliases w:val="16 Point,Superscript 6 Point,Footnote symbol,Footnote reference number,Footnote Reference Number,BVI fnr,ftref,Знак сноски-FN,Estilo de nota al pie de Africa,Footnote Reference_LVL6,Footnote Reference_LVL61,Footnote Reference_LVL62,f1"/>
    <w:basedOn w:val="DefaultParagraphFont"/>
    <w:link w:val="Char2"/>
    <w:uiPriority w:val="99"/>
    <w:unhideWhenUsed/>
    <w:qFormat/>
    <w:rsid w:val="001A4A27"/>
    <w:rPr>
      <w:vertAlign w:val="superscript"/>
    </w:rPr>
  </w:style>
  <w:style w:type="paragraph" w:customStyle="1" w:styleId="Char2">
    <w:name w:val="Char2"/>
    <w:basedOn w:val="Normal"/>
    <w:link w:val="FootnoteReference"/>
    <w:uiPriority w:val="99"/>
    <w:rsid w:val="001A4A27"/>
    <w:pPr>
      <w:spacing w:after="0" w:line="240" w:lineRule="exact"/>
      <w:jc w:val="both"/>
    </w:pPr>
    <w:rPr>
      <w:vertAlign w:val="superscript"/>
    </w:rPr>
  </w:style>
  <w:style w:type="table" w:styleId="GridTable5Dark-Accent1">
    <w:name w:val="Grid Table 5 Dark Accent 1"/>
    <w:basedOn w:val="TableNormal"/>
    <w:uiPriority w:val="50"/>
    <w:rsid w:val="00F279B0"/>
    <w:pPr>
      <w:spacing w:after="0" w:line="240" w:lineRule="auto"/>
    </w:pPr>
    <w:rPr>
      <w:kern w:val="0"/>
      <w14:ligatures w14:val="none"/>
    </w:rPr>
    <w:tblPr>
      <w:tblStyleRowBandSize w:val="1"/>
      <w:tblStyleColBandSize w:val="1"/>
      <w:tblBorders>
        <w:top w:val="single" w:sz="4" w:space="0" w:color="F2F2F2" w:themeColor="background1"/>
        <w:left w:val="single" w:sz="4" w:space="0" w:color="F2F2F2" w:themeColor="background1"/>
        <w:bottom w:val="single" w:sz="4" w:space="0" w:color="F2F2F2" w:themeColor="background1"/>
        <w:right w:val="single" w:sz="4" w:space="0" w:color="F2F2F2" w:themeColor="background1"/>
        <w:insideH w:val="single" w:sz="4" w:space="0" w:color="F2F2F2" w:themeColor="background1"/>
        <w:insideV w:val="single" w:sz="4" w:space="0" w:color="F2F2F2" w:themeColor="background1"/>
      </w:tblBorders>
    </w:tblPr>
    <w:tcPr>
      <w:shd w:val="clear" w:color="auto" w:fill="D4D6F6" w:themeFill="accent1" w:themeFillTint="33"/>
    </w:tcPr>
    <w:tblStylePr w:type="firstRow">
      <w:rPr>
        <w:b/>
        <w:bCs/>
        <w:color w:val="F2F2F2" w:themeColor="background1"/>
      </w:rPr>
      <w:tblPr/>
      <w:tcPr>
        <w:tcBorders>
          <w:top w:val="single" w:sz="4" w:space="0" w:color="F2F2F2" w:themeColor="background1"/>
          <w:left w:val="single" w:sz="4" w:space="0" w:color="F2F2F2" w:themeColor="background1"/>
          <w:right w:val="single" w:sz="4" w:space="0" w:color="F2F2F2" w:themeColor="background1"/>
          <w:insideH w:val="nil"/>
          <w:insideV w:val="nil"/>
        </w:tcBorders>
        <w:shd w:val="clear" w:color="auto" w:fill="2933D6" w:themeFill="accent1"/>
      </w:tcPr>
    </w:tblStylePr>
    <w:tblStylePr w:type="lastRow">
      <w:rPr>
        <w:b/>
        <w:bCs/>
        <w:color w:val="F2F2F2" w:themeColor="background1"/>
      </w:rPr>
      <w:tblPr/>
      <w:tcPr>
        <w:tcBorders>
          <w:left w:val="single" w:sz="4" w:space="0" w:color="F2F2F2" w:themeColor="background1"/>
          <w:bottom w:val="single" w:sz="4" w:space="0" w:color="F2F2F2" w:themeColor="background1"/>
          <w:right w:val="single" w:sz="4" w:space="0" w:color="F2F2F2" w:themeColor="background1"/>
          <w:insideH w:val="nil"/>
          <w:insideV w:val="nil"/>
        </w:tcBorders>
        <w:shd w:val="clear" w:color="auto" w:fill="2933D6" w:themeFill="accent1"/>
      </w:tcPr>
    </w:tblStylePr>
    <w:tblStylePr w:type="firstCol">
      <w:rPr>
        <w:b/>
        <w:bCs/>
        <w:color w:val="F2F2F2" w:themeColor="background1"/>
      </w:rPr>
      <w:tblPr/>
      <w:tcPr>
        <w:tcBorders>
          <w:top w:val="single" w:sz="4" w:space="0" w:color="F2F2F2" w:themeColor="background1"/>
          <w:left w:val="single" w:sz="4" w:space="0" w:color="F2F2F2" w:themeColor="background1"/>
          <w:bottom w:val="single" w:sz="4" w:space="0" w:color="F2F2F2" w:themeColor="background1"/>
          <w:insideV w:val="nil"/>
        </w:tcBorders>
        <w:shd w:val="clear" w:color="auto" w:fill="2933D6" w:themeFill="accent1"/>
      </w:tcPr>
    </w:tblStylePr>
    <w:tblStylePr w:type="lastCol">
      <w:rPr>
        <w:b/>
        <w:bCs/>
        <w:color w:val="F2F2F2" w:themeColor="background1"/>
      </w:rPr>
      <w:tblPr/>
      <w:tcPr>
        <w:tcBorders>
          <w:top w:val="single" w:sz="4" w:space="0" w:color="F2F2F2" w:themeColor="background1"/>
          <w:bottom w:val="single" w:sz="4" w:space="0" w:color="F2F2F2" w:themeColor="background1"/>
          <w:right w:val="single" w:sz="4" w:space="0" w:color="F2F2F2" w:themeColor="background1"/>
          <w:insideV w:val="nil"/>
        </w:tcBorders>
        <w:shd w:val="clear" w:color="auto" w:fill="2933D6" w:themeFill="accent1"/>
      </w:tcPr>
    </w:tblStylePr>
    <w:tblStylePr w:type="band1Vert">
      <w:tblPr/>
      <w:tcPr>
        <w:shd w:val="clear" w:color="auto" w:fill="A9ADEE" w:themeFill="accent1" w:themeFillTint="66"/>
      </w:tcPr>
    </w:tblStylePr>
    <w:tblStylePr w:type="band1Horz">
      <w:tblPr/>
      <w:tcPr>
        <w:shd w:val="clear" w:color="auto" w:fill="A9ADEE" w:themeFill="accent1" w:themeFillTint="66"/>
      </w:tcPr>
    </w:tblStylePr>
  </w:style>
  <w:style w:type="character" w:styleId="CommentReference">
    <w:name w:val="annotation reference"/>
    <w:uiPriority w:val="99"/>
    <w:semiHidden/>
    <w:unhideWhenUsed/>
    <w:rsid w:val="00A4086A"/>
    <w:rPr>
      <w:sz w:val="16"/>
      <w:szCs w:val="16"/>
    </w:rPr>
  </w:style>
  <w:style w:type="paragraph" w:styleId="CommentText">
    <w:name w:val="annotation text"/>
    <w:basedOn w:val="Normal"/>
    <w:link w:val="CommentTextChar1"/>
    <w:uiPriority w:val="99"/>
    <w:unhideWhenUsed/>
    <w:rsid w:val="00A4086A"/>
    <w:pPr>
      <w:spacing w:after="0" w:line="240" w:lineRule="auto"/>
    </w:pPr>
    <w:rPr>
      <w:rFonts w:ascii="Arial" w:eastAsia="Times New Roman" w:hAnsi="Arial" w:cs="Times New Roman"/>
      <w:kern w:val="0"/>
      <w:sz w:val="20"/>
      <w:szCs w:val="24"/>
      <w14:ligatures w14:val="none"/>
    </w:rPr>
  </w:style>
  <w:style w:type="character" w:customStyle="1" w:styleId="CommentTextChar">
    <w:name w:val="Comment Text Char"/>
    <w:basedOn w:val="DefaultParagraphFont"/>
    <w:uiPriority w:val="99"/>
    <w:rsid w:val="00A4086A"/>
    <w:rPr>
      <w:sz w:val="20"/>
      <w:szCs w:val="20"/>
    </w:rPr>
  </w:style>
  <w:style w:type="character" w:customStyle="1" w:styleId="CommentTextChar1">
    <w:name w:val="Comment Text Char1"/>
    <w:link w:val="CommentText"/>
    <w:uiPriority w:val="99"/>
    <w:rsid w:val="00A4086A"/>
    <w:rPr>
      <w:rFonts w:ascii="Arial" w:eastAsia="Times New Roman" w:hAnsi="Arial" w:cs="Times New Roman"/>
      <w:kern w:val="0"/>
      <w:sz w:val="20"/>
      <w:szCs w:val="24"/>
      <w:lang w:val="en-US"/>
      <w14:ligatures w14:val="none"/>
    </w:rPr>
  </w:style>
  <w:style w:type="paragraph" w:styleId="BalloonText">
    <w:name w:val="Balloon Text"/>
    <w:basedOn w:val="Normal"/>
    <w:link w:val="BalloonTextChar"/>
    <w:uiPriority w:val="99"/>
    <w:semiHidden/>
    <w:unhideWhenUsed/>
    <w:rsid w:val="00A408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86A"/>
    <w:rPr>
      <w:rFonts w:ascii="Segoe UI" w:hAnsi="Segoe UI" w:cs="Segoe UI"/>
      <w:sz w:val="18"/>
      <w:szCs w:val="18"/>
    </w:rPr>
  </w:style>
  <w:style w:type="character" w:customStyle="1" w:styleId="Heading4Char">
    <w:name w:val="Heading 4 Char"/>
    <w:basedOn w:val="DefaultParagraphFont"/>
    <w:link w:val="Heading4"/>
    <w:uiPriority w:val="9"/>
    <w:rsid w:val="006C4544"/>
    <w:rPr>
      <w:rFonts w:ascii="Times New Roman" w:eastAsia="Times New Roman" w:hAnsi="Times New Roman" w:cs="Times New Roman"/>
      <w:b/>
      <w:bCs/>
      <w:kern w:val="0"/>
      <w:sz w:val="24"/>
      <w:szCs w:val="24"/>
      <w:lang w:val="en-US"/>
      <w14:ligatures w14:val="none"/>
    </w:rPr>
  </w:style>
  <w:style w:type="character" w:styleId="Strong">
    <w:name w:val="Strong"/>
    <w:basedOn w:val="DefaultParagraphFont"/>
    <w:uiPriority w:val="22"/>
    <w:qFormat/>
    <w:rsid w:val="006C4544"/>
    <w:rPr>
      <w:b/>
      <w:bCs/>
    </w:rPr>
  </w:style>
  <w:style w:type="character" w:customStyle="1" w:styleId="overflow-hidden">
    <w:name w:val="overflow-hidden"/>
    <w:basedOn w:val="DefaultParagraphFont"/>
    <w:rsid w:val="006C4544"/>
  </w:style>
  <w:style w:type="character" w:customStyle="1" w:styleId="Heading3Char">
    <w:name w:val="Heading 3 Char"/>
    <w:basedOn w:val="DefaultParagraphFont"/>
    <w:link w:val="Heading3"/>
    <w:uiPriority w:val="9"/>
    <w:rsid w:val="0074189C"/>
    <w:rPr>
      <w:rFonts w:asciiTheme="majorHAnsi" w:eastAsiaTheme="majorEastAsia" w:hAnsiTheme="majorHAnsi" w:cstheme="majorBidi"/>
      <w:color w:val="14196A" w:themeColor="accent1" w:themeShade="7F"/>
      <w:sz w:val="24"/>
      <w:szCs w:val="24"/>
    </w:rPr>
  </w:style>
  <w:style w:type="character" w:customStyle="1" w:styleId="Heading5Char">
    <w:name w:val="Heading 5 Char"/>
    <w:basedOn w:val="DefaultParagraphFont"/>
    <w:link w:val="Heading5"/>
    <w:uiPriority w:val="9"/>
    <w:semiHidden/>
    <w:rsid w:val="00321E35"/>
    <w:rPr>
      <w:rFonts w:asciiTheme="majorHAnsi" w:eastAsiaTheme="majorEastAsia" w:hAnsiTheme="majorHAnsi" w:cstheme="majorBidi"/>
      <w:color w:val="1E25A0" w:themeColor="accent1" w:themeShade="BF"/>
    </w:rPr>
  </w:style>
  <w:style w:type="character" w:styleId="Hyperlink">
    <w:name w:val="Hyperlink"/>
    <w:basedOn w:val="DefaultParagraphFont"/>
    <w:uiPriority w:val="99"/>
    <w:unhideWhenUsed/>
    <w:rsid w:val="00E07B3C"/>
    <w:rPr>
      <w:color w:val="0000FF"/>
      <w:u w:val="single"/>
    </w:rPr>
  </w:style>
  <w:style w:type="paragraph" w:styleId="CommentSubject">
    <w:name w:val="annotation subject"/>
    <w:basedOn w:val="CommentText"/>
    <w:next w:val="CommentText"/>
    <w:link w:val="CommentSubjectChar"/>
    <w:uiPriority w:val="99"/>
    <w:semiHidden/>
    <w:unhideWhenUsed/>
    <w:rsid w:val="00930448"/>
    <w:pPr>
      <w:spacing w:after="160"/>
    </w:pPr>
    <w:rPr>
      <w:rFonts w:asciiTheme="minorHAnsi" w:eastAsiaTheme="minorHAnsi" w:hAnsiTheme="minorHAnsi" w:cstheme="minorBidi"/>
      <w:b/>
      <w:bCs/>
      <w:szCs w:val="20"/>
    </w:rPr>
  </w:style>
  <w:style w:type="character" w:customStyle="1" w:styleId="CommentSubjectChar">
    <w:name w:val="Comment Subject Char"/>
    <w:basedOn w:val="CommentTextChar1"/>
    <w:link w:val="CommentSubject"/>
    <w:uiPriority w:val="99"/>
    <w:semiHidden/>
    <w:rsid w:val="00930448"/>
    <w:rPr>
      <w:rFonts w:ascii="Arial" w:eastAsia="Times New Roman" w:hAnsi="Arial" w:cs="Times New Roman"/>
      <w:b/>
      <w:bCs/>
      <w:kern w:val="0"/>
      <w:sz w:val="20"/>
      <w:szCs w:val="20"/>
      <w:lang w:val="en-US"/>
      <w14:ligatures w14:val="none"/>
    </w:rPr>
  </w:style>
  <w:style w:type="character" w:customStyle="1" w:styleId="Heading2Char">
    <w:name w:val="Heading 2 Char"/>
    <w:basedOn w:val="DefaultParagraphFont"/>
    <w:link w:val="Heading2"/>
    <w:uiPriority w:val="9"/>
    <w:rsid w:val="003F7F18"/>
    <w:rPr>
      <w:rFonts w:asciiTheme="majorHAnsi" w:eastAsiaTheme="majorEastAsia" w:hAnsiTheme="majorHAnsi" w:cstheme="majorBidi"/>
      <w:color w:val="1E25A0" w:themeColor="accent1" w:themeShade="BF"/>
      <w:sz w:val="26"/>
      <w:szCs w:val="26"/>
    </w:rPr>
  </w:style>
  <w:style w:type="paragraph" w:styleId="BodyText">
    <w:name w:val="Body Text"/>
    <w:basedOn w:val="Normal"/>
    <w:link w:val="BodyTextChar"/>
    <w:uiPriority w:val="1"/>
    <w:qFormat/>
    <w:rsid w:val="003F7F18"/>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3F7F18"/>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Liste 1 Char,List Paragraph1 Char,Bullet Number Char,lp1 Char,lp11 Char,List Paragraph11 Char,Bullet 1 Char,Use Case List Paragraph Char,Bullet List Char,FooterText Char,Num Bullet 1 Char,List Paragraph (numbered (a)) Char"/>
    <w:link w:val="ListParagraph"/>
    <w:uiPriority w:val="34"/>
    <w:qFormat/>
    <w:rsid w:val="003F7F18"/>
  </w:style>
  <w:style w:type="paragraph" w:customStyle="1" w:styleId="DRUGI">
    <w:name w:val="DRUGI"/>
    <w:basedOn w:val="Heading2"/>
    <w:link w:val="DRUGIChar"/>
    <w:qFormat/>
    <w:rsid w:val="003F7F18"/>
    <w:pPr>
      <w:spacing w:before="120" w:line="252" w:lineRule="auto"/>
      <w:jc w:val="both"/>
    </w:pPr>
    <w:rPr>
      <w:rFonts w:ascii="Futura Light" w:hAnsi="Futura Light" w:cstheme="minorHAnsi"/>
      <w:b/>
      <w:color w:val="0E0E67"/>
      <w:kern w:val="0"/>
      <w:sz w:val="48"/>
      <w:szCs w:val="48"/>
      <w14:ligatures w14:val="none"/>
    </w:rPr>
  </w:style>
  <w:style w:type="character" w:customStyle="1" w:styleId="DRUGIChar">
    <w:name w:val="DRUGI Char"/>
    <w:basedOn w:val="Heading2Char"/>
    <w:link w:val="DRUGI"/>
    <w:rsid w:val="003F7F18"/>
    <w:rPr>
      <w:rFonts w:ascii="Futura Light" w:eastAsiaTheme="majorEastAsia" w:hAnsi="Futura Light" w:cstheme="minorHAnsi"/>
      <w:b/>
      <w:color w:val="0E0E67"/>
      <w:kern w:val="0"/>
      <w:sz w:val="48"/>
      <w:szCs w:val="48"/>
      <w:lang w:val="en-US"/>
      <w14:ligatures w14:val="none"/>
    </w:rPr>
  </w:style>
  <w:style w:type="character" w:customStyle="1" w:styleId="ng-tns-c185-851">
    <w:name w:val="ng-tns-c185-851"/>
    <w:rsid w:val="003F7F18"/>
  </w:style>
  <w:style w:type="character" w:customStyle="1" w:styleId="Heading1Char">
    <w:name w:val="Heading 1 Char"/>
    <w:basedOn w:val="DefaultParagraphFont"/>
    <w:link w:val="Heading1"/>
    <w:uiPriority w:val="9"/>
    <w:rsid w:val="002E1017"/>
    <w:rPr>
      <w:rFonts w:asciiTheme="majorHAnsi" w:eastAsiaTheme="majorEastAsia" w:hAnsiTheme="majorHAnsi" w:cstheme="majorBidi"/>
      <w:color w:val="1E25A0" w:themeColor="accent1" w:themeShade="BF"/>
      <w:sz w:val="32"/>
      <w:szCs w:val="32"/>
    </w:rPr>
  </w:style>
  <w:style w:type="paragraph" w:styleId="TOCHeading">
    <w:name w:val="TOC Heading"/>
    <w:basedOn w:val="Heading1"/>
    <w:next w:val="Normal"/>
    <w:uiPriority w:val="39"/>
    <w:unhideWhenUsed/>
    <w:qFormat/>
    <w:rsid w:val="002E1017"/>
    <w:pPr>
      <w:outlineLvl w:val="9"/>
    </w:pPr>
    <w:rPr>
      <w:kern w:val="0"/>
      <w14:ligatures w14:val="none"/>
    </w:rPr>
  </w:style>
  <w:style w:type="paragraph" w:styleId="TOC3">
    <w:name w:val="toc 3"/>
    <w:basedOn w:val="Normal"/>
    <w:next w:val="Normal"/>
    <w:autoRedefine/>
    <w:uiPriority w:val="39"/>
    <w:unhideWhenUsed/>
    <w:rsid w:val="00F21EE9"/>
    <w:pPr>
      <w:spacing w:after="100"/>
      <w:ind w:left="440"/>
    </w:pPr>
  </w:style>
  <w:style w:type="paragraph" w:customStyle="1" w:styleId="Default">
    <w:name w:val="Default"/>
    <w:rsid w:val="00004A3D"/>
    <w:pPr>
      <w:autoSpaceDE w:val="0"/>
      <w:autoSpaceDN w:val="0"/>
      <w:adjustRightInd w:val="0"/>
      <w:spacing w:after="0" w:line="240" w:lineRule="auto"/>
    </w:pPr>
    <w:rPr>
      <w:rFonts w:ascii="Arial" w:hAnsi="Arial" w:cs="Arial"/>
      <w:color w:val="000000"/>
      <w:kern w:val="0"/>
      <w:sz w:val="24"/>
      <w:szCs w:val="24"/>
    </w:rPr>
  </w:style>
  <w:style w:type="paragraph" w:styleId="TOC1">
    <w:name w:val="toc 1"/>
    <w:basedOn w:val="Normal"/>
    <w:next w:val="Normal"/>
    <w:autoRedefine/>
    <w:uiPriority w:val="39"/>
    <w:unhideWhenUsed/>
    <w:rsid w:val="008E3691"/>
    <w:pPr>
      <w:spacing w:after="100"/>
    </w:pPr>
  </w:style>
  <w:style w:type="paragraph" w:styleId="TOC2">
    <w:name w:val="toc 2"/>
    <w:basedOn w:val="Normal"/>
    <w:next w:val="Normal"/>
    <w:autoRedefine/>
    <w:uiPriority w:val="39"/>
    <w:unhideWhenUsed/>
    <w:rsid w:val="008E3691"/>
    <w:pPr>
      <w:spacing w:after="100"/>
      <w:ind w:left="220"/>
    </w:pPr>
  </w:style>
  <w:style w:type="paragraph" w:customStyle="1" w:styleId="naslov3">
    <w:name w:val="naslov 3"/>
    <w:basedOn w:val="Normal"/>
    <w:link w:val="naslov3Char"/>
    <w:qFormat/>
    <w:rsid w:val="00505E0E"/>
    <w:pPr>
      <w:tabs>
        <w:tab w:val="left" w:pos="720"/>
        <w:tab w:val="left" w:pos="1392"/>
        <w:tab w:val="left" w:pos="2576"/>
      </w:tabs>
      <w:spacing w:before="100" w:beforeAutospacing="1" w:after="100" w:afterAutospacing="1" w:line="240" w:lineRule="auto"/>
      <w:ind w:left="-113" w:right="-113"/>
      <w:jc w:val="both"/>
    </w:pPr>
    <w:rPr>
      <w:rFonts w:cstheme="minorHAnsi"/>
      <w:b/>
      <w:kern w:val="0"/>
      <w:sz w:val="24"/>
      <w:szCs w:val="24"/>
      <w14:ligatures w14:val="none"/>
    </w:rPr>
  </w:style>
  <w:style w:type="character" w:customStyle="1" w:styleId="naslov3Char">
    <w:name w:val="naslov 3 Char"/>
    <w:basedOn w:val="DefaultParagraphFont"/>
    <w:link w:val="naslov3"/>
    <w:rsid w:val="00505E0E"/>
    <w:rPr>
      <w:rFonts w:cstheme="minorHAnsi"/>
      <w:b/>
      <w:kern w:val="0"/>
      <w:sz w:val="24"/>
      <w:szCs w:val="24"/>
      <w:lang w:val="en-US"/>
      <w14:ligatures w14:val="none"/>
    </w:rPr>
  </w:style>
  <w:style w:type="character" w:customStyle="1" w:styleId="navbar-text">
    <w:name w:val="navbar-text"/>
    <w:basedOn w:val="DefaultParagraphFont"/>
    <w:rsid w:val="00A507F1"/>
  </w:style>
  <w:style w:type="paragraph" w:styleId="EndnoteText">
    <w:name w:val="endnote text"/>
    <w:basedOn w:val="Normal"/>
    <w:link w:val="EndnoteTextChar"/>
    <w:uiPriority w:val="99"/>
    <w:semiHidden/>
    <w:unhideWhenUsed/>
    <w:rsid w:val="00F533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3E9"/>
    <w:rPr>
      <w:sz w:val="20"/>
      <w:szCs w:val="20"/>
    </w:rPr>
  </w:style>
  <w:style w:type="character" w:styleId="EndnoteReference">
    <w:name w:val="endnote reference"/>
    <w:basedOn w:val="DefaultParagraphFont"/>
    <w:uiPriority w:val="99"/>
    <w:semiHidden/>
    <w:unhideWhenUsed/>
    <w:rsid w:val="00F533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128">
      <w:bodyDiv w:val="1"/>
      <w:marLeft w:val="0"/>
      <w:marRight w:val="0"/>
      <w:marTop w:val="0"/>
      <w:marBottom w:val="0"/>
      <w:divBdr>
        <w:top w:val="none" w:sz="0" w:space="0" w:color="auto"/>
        <w:left w:val="none" w:sz="0" w:space="0" w:color="auto"/>
        <w:bottom w:val="none" w:sz="0" w:space="0" w:color="auto"/>
        <w:right w:val="none" w:sz="0" w:space="0" w:color="auto"/>
      </w:divBdr>
    </w:div>
    <w:div w:id="48307015">
      <w:bodyDiv w:val="1"/>
      <w:marLeft w:val="0"/>
      <w:marRight w:val="0"/>
      <w:marTop w:val="0"/>
      <w:marBottom w:val="0"/>
      <w:divBdr>
        <w:top w:val="none" w:sz="0" w:space="0" w:color="auto"/>
        <w:left w:val="none" w:sz="0" w:space="0" w:color="auto"/>
        <w:bottom w:val="none" w:sz="0" w:space="0" w:color="auto"/>
        <w:right w:val="none" w:sz="0" w:space="0" w:color="auto"/>
      </w:divBdr>
    </w:div>
    <w:div w:id="121583670">
      <w:bodyDiv w:val="1"/>
      <w:marLeft w:val="0"/>
      <w:marRight w:val="0"/>
      <w:marTop w:val="0"/>
      <w:marBottom w:val="0"/>
      <w:divBdr>
        <w:top w:val="none" w:sz="0" w:space="0" w:color="auto"/>
        <w:left w:val="none" w:sz="0" w:space="0" w:color="auto"/>
        <w:bottom w:val="none" w:sz="0" w:space="0" w:color="auto"/>
        <w:right w:val="none" w:sz="0" w:space="0" w:color="auto"/>
      </w:divBdr>
    </w:div>
    <w:div w:id="135878970">
      <w:bodyDiv w:val="1"/>
      <w:marLeft w:val="0"/>
      <w:marRight w:val="0"/>
      <w:marTop w:val="0"/>
      <w:marBottom w:val="0"/>
      <w:divBdr>
        <w:top w:val="none" w:sz="0" w:space="0" w:color="auto"/>
        <w:left w:val="none" w:sz="0" w:space="0" w:color="auto"/>
        <w:bottom w:val="none" w:sz="0" w:space="0" w:color="auto"/>
        <w:right w:val="none" w:sz="0" w:space="0" w:color="auto"/>
      </w:divBdr>
    </w:div>
    <w:div w:id="147209212">
      <w:bodyDiv w:val="1"/>
      <w:marLeft w:val="0"/>
      <w:marRight w:val="0"/>
      <w:marTop w:val="0"/>
      <w:marBottom w:val="0"/>
      <w:divBdr>
        <w:top w:val="none" w:sz="0" w:space="0" w:color="auto"/>
        <w:left w:val="none" w:sz="0" w:space="0" w:color="auto"/>
        <w:bottom w:val="none" w:sz="0" w:space="0" w:color="auto"/>
        <w:right w:val="none" w:sz="0" w:space="0" w:color="auto"/>
      </w:divBdr>
    </w:div>
    <w:div w:id="205218306">
      <w:bodyDiv w:val="1"/>
      <w:marLeft w:val="0"/>
      <w:marRight w:val="0"/>
      <w:marTop w:val="0"/>
      <w:marBottom w:val="0"/>
      <w:divBdr>
        <w:top w:val="none" w:sz="0" w:space="0" w:color="auto"/>
        <w:left w:val="none" w:sz="0" w:space="0" w:color="auto"/>
        <w:bottom w:val="none" w:sz="0" w:space="0" w:color="auto"/>
        <w:right w:val="none" w:sz="0" w:space="0" w:color="auto"/>
      </w:divBdr>
    </w:div>
    <w:div w:id="280650897">
      <w:bodyDiv w:val="1"/>
      <w:marLeft w:val="0"/>
      <w:marRight w:val="0"/>
      <w:marTop w:val="0"/>
      <w:marBottom w:val="0"/>
      <w:divBdr>
        <w:top w:val="none" w:sz="0" w:space="0" w:color="auto"/>
        <w:left w:val="none" w:sz="0" w:space="0" w:color="auto"/>
        <w:bottom w:val="none" w:sz="0" w:space="0" w:color="auto"/>
        <w:right w:val="none" w:sz="0" w:space="0" w:color="auto"/>
      </w:divBdr>
    </w:div>
    <w:div w:id="285894559">
      <w:bodyDiv w:val="1"/>
      <w:marLeft w:val="0"/>
      <w:marRight w:val="0"/>
      <w:marTop w:val="0"/>
      <w:marBottom w:val="0"/>
      <w:divBdr>
        <w:top w:val="none" w:sz="0" w:space="0" w:color="auto"/>
        <w:left w:val="none" w:sz="0" w:space="0" w:color="auto"/>
        <w:bottom w:val="none" w:sz="0" w:space="0" w:color="auto"/>
        <w:right w:val="none" w:sz="0" w:space="0" w:color="auto"/>
      </w:divBdr>
    </w:div>
    <w:div w:id="288973289">
      <w:bodyDiv w:val="1"/>
      <w:marLeft w:val="0"/>
      <w:marRight w:val="0"/>
      <w:marTop w:val="0"/>
      <w:marBottom w:val="0"/>
      <w:divBdr>
        <w:top w:val="none" w:sz="0" w:space="0" w:color="auto"/>
        <w:left w:val="none" w:sz="0" w:space="0" w:color="auto"/>
        <w:bottom w:val="none" w:sz="0" w:space="0" w:color="auto"/>
        <w:right w:val="none" w:sz="0" w:space="0" w:color="auto"/>
      </w:divBdr>
    </w:div>
    <w:div w:id="412630749">
      <w:bodyDiv w:val="1"/>
      <w:marLeft w:val="0"/>
      <w:marRight w:val="0"/>
      <w:marTop w:val="0"/>
      <w:marBottom w:val="0"/>
      <w:divBdr>
        <w:top w:val="none" w:sz="0" w:space="0" w:color="auto"/>
        <w:left w:val="none" w:sz="0" w:space="0" w:color="auto"/>
        <w:bottom w:val="none" w:sz="0" w:space="0" w:color="auto"/>
        <w:right w:val="none" w:sz="0" w:space="0" w:color="auto"/>
      </w:divBdr>
    </w:div>
    <w:div w:id="443498243">
      <w:bodyDiv w:val="1"/>
      <w:marLeft w:val="0"/>
      <w:marRight w:val="0"/>
      <w:marTop w:val="0"/>
      <w:marBottom w:val="0"/>
      <w:divBdr>
        <w:top w:val="none" w:sz="0" w:space="0" w:color="auto"/>
        <w:left w:val="none" w:sz="0" w:space="0" w:color="auto"/>
        <w:bottom w:val="none" w:sz="0" w:space="0" w:color="auto"/>
        <w:right w:val="none" w:sz="0" w:space="0" w:color="auto"/>
      </w:divBdr>
    </w:div>
    <w:div w:id="499779125">
      <w:bodyDiv w:val="1"/>
      <w:marLeft w:val="0"/>
      <w:marRight w:val="0"/>
      <w:marTop w:val="0"/>
      <w:marBottom w:val="0"/>
      <w:divBdr>
        <w:top w:val="none" w:sz="0" w:space="0" w:color="auto"/>
        <w:left w:val="none" w:sz="0" w:space="0" w:color="auto"/>
        <w:bottom w:val="none" w:sz="0" w:space="0" w:color="auto"/>
        <w:right w:val="none" w:sz="0" w:space="0" w:color="auto"/>
      </w:divBdr>
    </w:div>
    <w:div w:id="545021047">
      <w:bodyDiv w:val="1"/>
      <w:marLeft w:val="0"/>
      <w:marRight w:val="0"/>
      <w:marTop w:val="0"/>
      <w:marBottom w:val="0"/>
      <w:divBdr>
        <w:top w:val="none" w:sz="0" w:space="0" w:color="auto"/>
        <w:left w:val="none" w:sz="0" w:space="0" w:color="auto"/>
        <w:bottom w:val="none" w:sz="0" w:space="0" w:color="auto"/>
        <w:right w:val="none" w:sz="0" w:space="0" w:color="auto"/>
      </w:divBdr>
      <w:divsChild>
        <w:div w:id="798836008">
          <w:marLeft w:val="0"/>
          <w:marRight w:val="0"/>
          <w:marTop w:val="0"/>
          <w:marBottom w:val="0"/>
          <w:divBdr>
            <w:top w:val="none" w:sz="0" w:space="0" w:color="auto"/>
            <w:left w:val="none" w:sz="0" w:space="0" w:color="auto"/>
            <w:bottom w:val="none" w:sz="0" w:space="0" w:color="auto"/>
            <w:right w:val="none" w:sz="0" w:space="0" w:color="auto"/>
          </w:divBdr>
          <w:divsChild>
            <w:div w:id="430471835">
              <w:marLeft w:val="0"/>
              <w:marRight w:val="0"/>
              <w:marTop w:val="0"/>
              <w:marBottom w:val="0"/>
              <w:divBdr>
                <w:top w:val="none" w:sz="0" w:space="0" w:color="auto"/>
                <w:left w:val="none" w:sz="0" w:space="0" w:color="auto"/>
                <w:bottom w:val="none" w:sz="0" w:space="0" w:color="auto"/>
                <w:right w:val="none" w:sz="0" w:space="0" w:color="auto"/>
              </w:divBdr>
              <w:divsChild>
                <w:div w:id="1051076795">
                  <w:marLeft w:val="0"/>
                  <w:marRight w:val="0"/>
                  <w:marTop w:val="0"/>
                  <w:marBottom w:val="0"/>
                  <w:divBdr>
                    <w:top w:val="none" w:sz="0" w:space="0" w:color="auto"/>
                    <w:left w:val="none" w:sz="0" w:space="0" w:color="auto"/>
                    <w:bottom w:val="none" w:sz="0" w:space="0" w:color="auto"/>
                    <w:right w:val="none" w:sz="0" w:space="0" w:color="auto"/>
                  </w:divBdr>
                  <w:divsChild>
                    <w:div w:id="1398699885">
                      <w:marLeft w:val="0"/>
                      <w:marRight w:val="0"/>
                      <w:marTop w:val="0"/>
                      <w:marBottom w:val="0"/>
                      <w:divBdr>
                        <w:top w:val="none" w:sz="0" w:space="0" w:color="auto"/>
                        <w:left w:val="none" w:sz="0" w:space="0" w:color="auto"/>
                        <w:bottom w:val="none" w:sz="0" w:space="0" w:color="auto"/>
                        <w:right w:val="none" w:sz="0" w:space="0" w:color="auto"/>
                      </w:divBdr>
                      <w:divsChild>
                        <w:div w:id="1614166776">
                          <w:marLeft w:val="0"/>
                          <w:marRight w:val="0"/>
                          <w:marTop w:val="0"/>
                          <w:marBottom w:val="0"/>
                          <w:divBdr>
                            <w:top w:val="none" w:sz="0" w:space="0" w:color="auto"/>
                            <w:left w:val="none" w:sz="0" w:space="0" w:color="auto"/>
                            <w:bottom w:val="none" w:sz="0" w:space="0" w:color="auto"/>
                            <w:right w:val="none" w:sz="0" w:space="0" w:color="auto"/>
                          </w:divBdr>
                          <w:divsChild>
                            <w:div w:id="6733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86202">
      <w:bodyDiv w:val="1"/>
      <w:marLeft w:val="0"/>
      <w:marRight w:val="0"/>
      <w:marTop w:val="0"/>
      <w:marBottom w:val="0"/>
      <w:divBdr>
        <w:top w:val="none" w:sz="0" w:space="0" w:color="auto"/>
        <w:left w:val="none" w:sz="0" w:space="0" w:color="auto"/>
        <w:bottom w:val="none" w:sz="0" w:space="0" w:color="auto"/>
        <w:right w:val="none" w:sz="0" w:space="0" w:color="auto"/>
      </w:divBdr>
      <w:divsChild>
        <w:div w:id="1662729501">
          <w:marLeft w:val="547"/>
          <w:marRight w:val="0"/>
          <w:marTop w:val="0"/>
          <w:marBottom w:val="0"/>
          <w:divBdr>
            <w:top w:val="none" w:sz="0" w:space="0" w:color="auto"/>
            <w:left w:val="none" w:sz="0" w:space="0" w:color="auto"/>
            <w:bottom w:val="none" w:sz="0" w:space="0" w:color="auto"/>
            <w:right w:val="none" w:sz="0" w:space="0" w:color="auto"/>
          </w:divBdr>
        </w:div>
      </w:divsChild>
    </w:div>
    <w:div w:id="563376923">
      <w:bodyDiv w:val="1"/>
      <w:marLeft w:val="0"/>
      <w:marRight w:val="0"/>
      <w:marTop w:val="0"/>
      <w:marBottom w:val="0"/>
      <w:divBdr>
        <w:top w:val="none" w:sz="0" w:space="0" w:color="auto"/>
        <w:left w:val="none" w:sz="0" w:space="0" w:color="auto"/>
        <w:bottom w:val="none" w:sz="0" w:space="0" w:color="auto"/>
        <w:right w:val="none" w:sz="0" w:space="0" w:color="auto"/>
      </w:divBdr>
    </w:div>
    <w:div w:id="581646720">
      <w:bodyDiv w:val="1"/>
      <w:marLeft w:val="0"/>
      <w:marRight w:val="0"/>
      <w:marTop w:val="0"/>
      <w:marBottom w:val="0"/>
      <w:divBdr>
        <w:top w:val="none" w:sz="0" w:space="0" w:color="auto"/>
        <w:left w:val="none" w:sz="0" w:space="0" w:color="auto"/>
        <w:bottom w:val="none" w:sz="0" w:space="0" w:color="auto"/>
        <w:right w:val="none" w:sz="0" w:space="0" w:color="auto"/>
      </w:divBdr>
    </w:div>
    <w:div w:id="598410389">
      <w:bodyDiv w:val="1"/>
      <w:marLeft w:val="0"/>
      <w:marRight w:val="0"/>
      <w:marTop w:val="0"/>
      <w:marBottom w:val="0"/>
      <w:divBdr>
        <w:top w:val="none" w:sz="0" w:space="0" w:color="auto"/>
        <w:left w:val="none" w:sz="0" w:space="0" w:color="auto"/>
        <w:bottom w:val="none" w:sz="0" w:space="0" w:color="auto"/>
        <w:right w:val="none" w:sz="0" w:space="0" w:color="auto"/>
      </w:divBdr>
    </w:div>
    <w:div w:id="635918366">
      <w:bodyDiv w:val="1"/>
      <w:marLeft w:val="0"/>
      <w:marRight w:val="0"/>
      <w:marTop w:val="0"/>
      <w:marBottom w:val="0"/>
      <w:divBdr>
        <w:top w:val="none" w:sz="0" w:space="0" w:color="auto"/>
        <w:left w:val="none" w:sz="0" w:space="0" w:color="auto"/>
        <w:bottom w:val="none" w:sz="0" w:space="0" w:color="auto"/>
        <w:right w:val="none" w:sz="0" w:space="0" w:color="auto"/>
      </w:divBdr>
    </w:div>
    <w:div w:id="640498876">
      <w:bodyDiv w:val="1"/>
      <w:marLeft w:val="0"/>
      <w:marRight w:val="0"/>
      <w:marTop w:val="0"/>
      <w:marBottom w:val="0"/>
      <w:divBdr>
        <w:top w:val="none" w:sz="0" w:space="0" w:color="auto"/>
        <w:left w:val="none" w:sz="0" w:space="0" w:color="auto"/>
        <w:bottom w:val="none" w:sz="0" w:space="0" w:color="auto"/>
        <w:right w:val="none" w:sz="0" w:space="0" w:color="auto"/>
      </w:divBdr>
    </w:div>
    <w:div w:id="644819624">
      <w:bodyDiv w:val="1"/>
      <w:marLeft w:val="0"/>
      <w:marRight w:val="0"/>
      <w:marTop w:val="0"/>
      <w:marBottom w:val="0"/>
      <w:divBdr>
        <w:top w:val="none" w:sz="0" w:space="0" w:color="auto"/>
        <w:left w:val="none" w:sz="0" w:space="0" w:color="auto"/>
        <w:bottom w:val="none" w:sz="0" w:space="0" w:color="auto"/>
        <w:right w:val="none" w:sz="0" w:space="0" w:color="auto"/>
      </w:divBdr>
    </w:div>
    <w:div w:id="651565992">
      <w:bodyDiv w:val="1"/>
      <w:marLeft w:val="0"/>
      <w:marRight w:val="0"/>
      <w:marTop w:val="0"/>
      <w:marBottom w:val="0"/>
      <w:divBdr>
        <w:top w:val="none" w:sz="0" w:space="0" w:color="auto"/>
        <w:left w:val="none" w:sz="0" w:space="0" w:color="auto"/>
        <w:bottom w:val="none" w:sz="0" w:space="0" w:color="auto"/>
        <w:right w:val="none" w:sz="0" w:space="0" w:color="auto"/>
      </w:divBdr>
      <w:divsChild>
        <w:div w:id="1011445459">
          <w:marLeft w:val="0"/>
          <w:marRight w:val="0"/>
          <w:marTop w:val="0"/>
          <w:marBottom w:val="0"/>
          <w:divBdr>
            <w:top w:val="none" w:sz="0" w:space="0" w:color="auto"/>
            <w:left w:val="none" w:sz="0" w:space="0" w:color="auto"/>
            <w:bottom w:val="none" w:sz="0" w:space="0" w:color="auto"/>
            <w:right w:val="none" w:sz="0" w:space="0" w:color="auto"/>
          </w:divBdr>
          <w:divsChild>
            <w:div w:id="440491820">
              <w:marLeft w:val="0"/>
              <w:marRight w:val="0"/>
              <w:marTop w:val="0"/>
              <w:marBottom w:val="0"/>
              <w:divBdr>
                <w:top w:val="none" w:sz="0" w:space="0" w:color="auto"/>
                <w:left w:val="none" w:sz="0" w:space="0" w:color="auto"/>
                <w:bottom w:val="none" w:sz="0" w:space="0" w:color="auto"/>
                <w:right w:val="none" w:sz="0" w:space="0" w:color="auto"/>
              </w:divBdr>
              <w:divsChild>
                <w:div w:id="745881268">
                  <w:marLeft w:val="0"/>
                  <w:marRight w:val="0"/>
                  <w:marTop w:val="0"/>
                  <w:marBottom w:val="0"/>
                  <w:divBdr>
                    <w:top w:val="none" w:sz="0" w:space="0" w:color="auto"/>
                    <w:left w:val="none" w:sz="0" w:space="0" w:color="auto"/>
                    <w:bottom w:val="none" w:sz="0" w:space="0" w:color="auto"/>
                    <w:right w:val="none" w:sz="0" w:space="0" w:color="auto"/>
                  </w:divBdr>
                  <w:divsChild>
                    <w:div w:id="15156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58">
          <w:marLeft w:val="0"/>
          <w:marRight w:val="0"/>
          <w:marTop w:val="0"/>
          <w:marBottom w:val="0"/>
          <w:divBdr>
            <w:top w:val="none" w:sz="0" w:space="0" w:color="auto"/>
            <w:left w:val="none" w:sz="0" w:space="0" w:color="auto"/>
            <w:bottom w:val="none" w:sz="0" w:space="0" w:color="auto"/>
            <w:right w:val="none" w:sz="0" w:space="0" w:color="auto"/>
          </w:divBdr>
          <w:divsChild>
            <w:div w:id="845633417">
              <w:marLeft w:val="0"/>
              <w:marRight w:val="0"/>
              <w:marTop w:val="0"/>
              <w:marBottom w:val="0"/>
              <w:divBdr>
                <w:top w:val="none" w:sz="0" w:space="0" w:color="auto"/>
                <w:left w:val="none" w:sz="0" w:space="0" w:color="auto"/>
                <w:bottom w:val="none" w:sz="0" w:space="0" w:color="auto"/>
                <w:right w:val="none" w:sz="0" w:space="0" w:color="auto"/>
              </w:divBdr>
              <w:divsChild>
                <w:div w:id="869025174">
                  <w:marLeft w:val="0"/>
                  <w:marRight w:val="0"/>
                  <w:marTop w:val="0"/>
                  <w:marBottom w:val="0"/>
                  <w:divBdr>
                    <w:top w:val="none" w:sz="0" w:space="0" w:color="auto"/>
                    <w:left w:val="none" w:sz="0" w:space="0" w:color="auto"/>
                    <w:bottom w:val="none" w:sz="0" w:space="0" w:color="auto"/>
                    <w:right w:val="none" w:sz="0" w:space="0" w:color="auto"/>
                  </w:divBdr>
                  <w:divsChild>
                    <w:div w:id="10250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90104">
      <w:bodyDiv w:val="1"/>
      <w:marLeft w:val="0"/>
      <w:marRight w:val="0"/>
      <w:marTop w:val="0"/>
      <w:marBottom w:val="0"/>
      <w:divBdr>
        <w:top w:val="none" w:sz="0" w:space="0" w:color="auto"/>
        <w:left w:val="none" w:sz="0" w:space="0" w:color="auto"/>
        <w:bottom w:val="none" w:sz="0" w:space="0" w:color="auto"/>
        <w:right w:val="none" w:sz="0" w:space="0" w:color="auto"/>
      </w:divBdr>
    </w:div>
    <w:div w:id="679545269">
      <w:bodyDiv w:val="1"/>
      <w:marLeft w:val="0"/>
      <w:marRight w:val="0"/>
      <w:marTop w:val="0"/>
      <w:marBottom w:val="0"/>
      <w:divBdr>
        <w:top w:val="none" w:sz="0" w:space="0" w:color="auto"/>
        <w:left w:val="none" w:sz="0" w:space="0" w:color="auto"/>
        <w:bottom w:val="none" w:sz="0" w:space="0" w:color="auto"/>
        <w:right w:val="none" w:sz="0" w:space="0" w:color="auto"/>
      </w:divBdr>
      <w:divsChild>
        <w:div w:id="499732610">
          <w:marLeft w:val="0"/>
          <w:marRight w:val="0"/>
          <w:marTop w:val="0"/>
          <w:marBottom w:val="0"/>
          <w:divBdr>
            <w:top w:val="none" w:sz="0" w:space="0" w:color="auto"/>
            <w:left w:val="none" w:sz="0" w:space="0" w:color="auto"/>
            <w:bottom w:val="none" w:sz="0" w:space="0" w:color="auto"/>
            <w:right w:val="none" w:sz="0" w:space="0" w:color="auto"/>
          </w:divBdr>
          <w:divsChild>
            <w:div w:id="1360662960">
              <w:marLeft w:val="0"/>
              <w:marRight w:val="0"/>
              <w:marTop w:val="0"/>
              <w:marBottom w:val="0"/>
              <w:divBdr>
                <w:top w:val="none" w:sz="0" w:space="0" w:color="auto"/>
                <w:left w:val="none" w:sz="0" w:space="0" w:color="auto"/>
                <w:bottom w:val="none" w:sz="0" w:space="0" w:color="auto"/>
                <w:right w:val="none" w:sz="0" w:space="0" w:color="auto"/>
              </w:divBdr>
              <w:divsChild>
                <w:div w:id="366293678">
                  <w:marLeft w:val="0"/>
                  <w:marRight w:val="0"/>
                  <w:marTop w:val="0"/>
                  <w:marBottom w:val="0"/>
                  <w:divBdr>
                    <w:top w:val="none" w:sz="0" w:space="0" w:color="auto"/>
                    <w:left w:val="none" w:sz="0" w:space="0" w:color="auto"/>
                    <w:bottom w:val="none" w:sz="0" w:space="0" w:color="auto"/>
                    <w:right w:val="none" w:sz="0" w:space="0" w:color="auto"/>
                  </w:divBdr>
                  <w:divsChild>
                    <w:div w:id="340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39419">
          <w:marLeft w:val="0"/>
          <w:marRight w:val="0"/>
          <w:marTop w:val="0"/>
          <w:marBottom w:val="0"/>
          <w:divBdr>
            <w:top w:val="none" w:sz="0" w:space="0" w:color="auto"/>
            <w:left w:val="none" w:sz="0" w:space="0" w:color="auto"/>
            <w:bottom w:val="none" w:sz="0" w:space="0" w:color="auto"/>
            <w:right w:val="none" w:sz="0" w:space="0" w:color="auto"/>
          </w:divBdr>
          <w:divsChild>
            <w:div w:id="666635301">
              <w:marLeft w:val="0"/>
              <w:marRight w:val="0"/>
              <w:marTop w:val="0"/>
              <w:marBottom w:val="0"/>
              <w:divBdr>
                <w:top w:val="none" w:sz="0" w:space="0" w:color="auto"/>
                <w:left w:val="none" w:sz="0" w:space="0" w:color="auto"/>
                <w:bottom w:val="none" w:sz="0" w:space="0" w:color="auto"/>
                <w:right w:val="none" w:sz="0" w:space="0" w:color="auto"/>
              </w:divBdr>
              <w:divsChild>
                <w:div w:id="1087725499">
                  <w:marLeft w:val="0"/>
                  <w:marRight w:val="0"/>
                  <w:marTop w:val="0"/>
                  <w:marBottom w:val="0"/>
                  <w:divBdr>
                    <w:top w:val="none" w:sz="0" w:space="0" w:color="auto"/>
                    <w:left w:val="none" w:sz="0" w:space="0" w:color="auto"/>
                    <w:bottom w:val="none" w:sz="0" w:space="0" w:color="auto"/>
                    <w:right w:val="none" w:sz="0" w:space="0" w:color="auto"/>
                  </w:divBdr>
                  <w:divsChild>
                    <w:div w:id="2851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1797">
      <w:bodyDiv w:val="1"/>
      <w:marLeft w:val="0"/>
      <w:marRight w:val="0"/>
      <w:marTop w:val="0"/>
      <w:marBottom w:val="0"/>
      <w:divBdr>
        <w:top w:val="none" w:sz="0" w:space="0" w:color="auto"/>
        <w:left w:val="none" w:sz="0" w:space="0" w:color="auto"/>
        <w:bottom w:val="none" w:sz="0" w:space="0" w:color="auto"/>
        <w:right w:val="none" w:sz="0" w:space="0" w:color="auto"/>
      </w:divBdr>
    </w:div>
    <w:div w:id="722021776">
      <w:bodyDiv w:val="1"/>
      <w:marLeft w:val="0"/>
      <w:marRight w:val="0"/>
      <w:marTop w:val="0"/>
      <w:marBottom w:val="0"/>
      <w:divBdr>
        <w:top w:val="none" w:sz="0" w:space="0" w:color="auto"/>
        <w:left w:val="none" w:sz="0" w:space="0" w:color="auto"/>
        <w:bottom w:val="none" w:sz="0" w:space="0" w:color="auto"/>
        <w:right w:val="none" w:sz="0" w:space="0" w:color="auto"/>
      </w:divBdr>
    </w:div>
    <w:div w:id="728963488">
      <w:bodyDiv w:val="1"/>
      <w:marLeft w:val="0"/>
      <w:marRight w:val="0"/>
      <w:marTop w:val="0"/>
      <w:marBottom w:val="0"/>
      <w:divBdr>
        <w:top w:val="none" w:sz="0" w:space="0" w:color="auto"/>
        <w:left w:val="none" w:sz="0" w:space="0" w:color="auto"/>
        <w:bottom w:val="none" w:sz="0" w:space="0" w:color="auto"/>
        <w:right w:val="none" w:sz="0" w:space="0" w:color="auto"/>
      </w:divBdr>
      <w:divsChild>
        <w:div w:id="2017146114">
          <w:marLeft w:val="1080"/>
          <w:marRight w:val="0"/>
          <w:marTop w:val="0"/>
          <w:marBottom w:val="240"/>
          <w:divBdr>
            <w:top w:val="none" w:sz="0" w:space="0" w:color="auto"/>
            <w:left w:val="none" w:sz="0" w:space="0" w:color="auto"/>
            <w:bottom w:val="none" w:sz="0" w:space="0" w:color="auto"/>
            <w:right w:val="none" w:sz="0" w:space="0" w:color="auto"/>
          </w:divBdr>
        </w:div>
      </w:divsChild>
    </w:div>
    <w:div w:id="745885485">
      <w:bodyDiv w:val="1"/>
      <w:marLeft w:val="0"/>
      <w:marRight w:val="0"/>
      <w:marTop w:val="0"/>
      <w:marBottom w:val="0"/>
      <w:divBdr>
        <w:top w:val="none" w:sz="0" w:space="0" w:color="auto"/>
        <w:left w:val="none" w:sz="0" w:space="0" w:color="auto"/>
        <w:bottom w:val="none" w:sz="0" w:space="0" w:color="auto"/>
        <w:right w:val="none" w:sz="0" w:space="0" w:color="auto"/>
      </w:divBdr>
      <w:divsChild>
        <w:div w:id="1582833374">
          <w:marLeft w:val="547"/>
          <w:marRight w:val="0"/>
          <w:marTop w:val="0"/>
          <w:marBottom w:val="0"/>
          <w:divBdr>
            <w:top w:val="none" w:sz="0" w:space="0" w:color="auto"/>
            <w:left w:val="none" w:sz="0" w:space="0" w:color="auto"/>
            <w:bottom w:val="none" w:sz="0" w:space="0" w:color="auto"/>
            <w:right w:val="none" w:sz="0" w:space="0" w:color="auto"/>
          </w:divBdr>
        </w:div>
      </w:divsChild>
    </w:div>
    <w:div w:id="809319978">
      <w:bodyDiv w:val="1"/>
      <w:marLeft w:val="0"/>
      <w:marRight w:val="0"/>
      <w:marTop w:val="0"/>
      <w:marBottom w:val="0"/>
      <w:divBdr>
        <w:top w:val="none" w:sz="0" w:space="0" w:color="auto"/>
        <w:left w:val="none" w:sz="0" w:space="0" w:color="auto"/>
        <w:bottom w:val="none" w:sz="0" w:space="0" w:color="auto"/>
        <w:right w:val="none" w:sz="0" w:space="0" w:color="auto"/>
      </w:divBdr>
    </w:div>
    <w:div w:id="815992083">
      <w:bodyDiv w:val="1"/>
      <w:marLeft w:val="0"/>
      <w:marRight w:val="0"/>
      <w:marTop w:val="0"/>
      <w:marBottom w:val="0"/>
      <w:divBdr>
        <w:top w:val="none" w:sz="0" w:space="0" w:color="auto"/>
        <w:left w:val="none" w:sz="0" w:space="0" w:color="auto"/>
        <w:bottom w:val="none" w:sz="0" w:space="0" w:color="auto"/>
        <w:right w:val="none" w:sz="0" w:space="0" w:color="auto"/>
      </w:divBdr>
    </w:div>
    <w:div w:id="902327675">
      <w:bodyDiv w:val="1"/>
      <w:marLeft w:val="0"/>
      <w:marRight w:val="0"/>
      <w:marTop w:val="0"/>
      <w:marBottom w:val="0"/>
      <w:divBdr>
        <w:top w:val="none" w:sz="0" w:space="0" w:color="auto"/>
        <w:left w:val="none" w:sz="0" w:space="0" w:color="auto"/>
        <w:bottom w:val="none" w:sz="0" w:space="0" w:color="auto"/>
        <w:right w:val="none" w:sz="0" w:space="0" w:color="auto"/>
      </w:divBdr>
    </w:div>
    <w:div w:id="916016903">
      <w:bodyDiv w:val="1"/>
      <w:marLeft w:val="0"/>
      <w:marRight w:val="0"/>
      <w:marTop w:val="0"/>
      <w:marBottom w:val="0"/>
      <w:divBdr>
        <w:top w:val="none" w:sz="0" w:space="0" w:color="auto"/>
        <w:left w:val="none" w:sz="0" w:space="0" w:color="auto"/>
        <w:bottom w:val="none" w:sz="0" w:space="0" w:color="auto"/>
        <w:right w:val="none" w:sz="0" w:space="0" w:color="auto"/>
      </w:divBdr>
    </w:div>
    <w:div w:id="975181123">
      <w:bodyDiv w:val="1"/>
      <w:marLeft w:val="0"/>
      <w:marRight w:val="0"/>
      <w:marTop w:val="0"/>
      <w:marBottom w:val="0"/>
      <w:divBdr>
        <w:top w:val="none" w:sz="0" w:space="0" w:color="auto"/>
        <w:left w:val="none" w:sz="0" w:space="0" w:color="auto"/>
        <w:bottom w:val="none" w:sz="0" w:space="0" w:color="auto"/>
        <w:right w:val="none" w:sz="0" w:space="0" w:color="auto"/>
      </w:divBdr>
    </w:div>
    <w:div w:id="1029988162">
      <w:bodyDiv w:val="1"/>
      <w:marLeft w:val="0"/>
      <w:marRight w:val="0"/>
      <w:marTop w:val="0"/>
      <w:marBottom w:val="0"/>
      <w:divBdr>
        <w:top w:val="none" w:sz="0" w:space="0" w:color="auto"/>
        <w:left w:val="none" w:sz="0" w:space="0" w:color="auto"/>
        <w:bottom w:val="none" w:sz="0" w:space="0" w:color="auto"/>
        <w:right w:val="none" w:sz="0" w:space="0" w:color="auto"/>
      </w:divBdr>
    </w:div>
    <w:div w:id="1031608632">
      <w:bodyDiv w:val="1"/>
      <w:marLeft w:val="0"/>
      <w:marRight w:val="0"/>
      <w:marTop w:val="0"/>
      <w:marBottom w:val="0"/>
      <w:divBdr>
        <w:top w:val="none" w:sz="0" w:space="0" w:color="auto"/>
        <w:left w:val="none" w:sz="0" w:space="0" w:color="auto"/>
        <w:bottom w:val="none" w:sz="0" w:space="0" w:color="auto"/>
        <w:right w:val="none" w:sz="0" w:space="0" w:color="auto"/>
      </w:divBdr>
      <w:divsChild>
        <w:div w:id="236257528">
          <w:marLeft w:val="0"/>
          <w:marRight w:val="0"/>
          <w:marTop w:val="0"/>
          <w:marBottom w:val="0"/>
          <w:divBdr>
            <w:top w:val="none" w:sz="0" w:space="0" w:color="auto"/>
            <w:left w:val="none" w:sz="0" w:space="0" w:color="auto"/>
            <w:bottom w:val="none" w:sz="0" w:space="0" w:color="auto"/>
            <w:right w:val="none" w:sz="0" w:space="0" w:color="auto"/>
          </w:divBdr>
        </w:div>
        <w:div w:id="425929489">
          <w:marLeft w:val="0"/>
          <w:marRight w:val="0"/>
          <w:marTop w:val="0"/>
          <w:marBottom w:val="0"/>
          <w:divBdr>
            <w:top w:val="none" w:sz="0" w:space="0" w:color="auto"/>
            <w:left w:val="none" w:sz="0" w:space="0" w:color="auto"/>
            <w:bottom w:val="none" w:sz="0" w:space="0" w:color="auto"/>
            <w:right w:val="none" w:sz="0" w:space="0" w:color="auto"/>
          </w:divBdr>
        </w:div>
        <w:div w:id="708145649">
          <w:marLeft w:val="0"/>
          <w:marRight w:val="0"/>
          <w:marTop w:val="0"/>
          <w:marBottom w:val="0"/>
          <w:divBdr>
            <w:top w:val="none" w:sz="0" w:space="0" w:color="auto"/>
            <w:left w:val="none" w:sz="0" w:space="0" w:color="auto"/>
            <w:bottom w:val="none" w:sz="0" w:space="0" w:color="auto"/>
            <w:right w:val="none" w:sz="0" w:space="0" w:color="auto"/>
          </w:divBdr>
        </w:div>
        <w:div w:id="1102267077">
          <w:marLeft w:val="0"/>
          <w:marRight w:val="0"/>
          <w:marTop w:val="0"/>
          <w:marBottom w:val="0"/>
          <w:divBdr>
            <w:top w:val="none" w:sz="0" w:space="0" w:color="auto"/>
            <w:left w:val="none" w:sz="0" w:space="0" w:color="auto"/>
            <w:bottom w:val="none" w:sz="0" w:space="0" w:color="auto"/>
            <w:right w:val="none" w:sz="0" w:space="0" w:color="auto"/>
          </w:divBdr>
        </w:div>
      </w:divsChild>
    </w:div>
    <w:div w:id="1045258345">
      <w:bodyDiv w:val="1"/>
      <w:marLeft w:val="0"/>
      <w:marRight w:val="0"/>
      <w:marTop w:val="0"/>
      <w:marBottom w:val="0"/>
      <w:divBdr>
        <w:top w:val="none" w:sz="0" w:space="0" w:color="auto"/>
        <w:left w:val="none" w:sz="0" w:space="0" w:color="auto"/>
        <w:bottom w:val="none" w:sz="0" w:space="0" w:color="auto"/>
        <w:right w:val="none" w:sz="0" w:space="0" w:color="auto"/>
      </w:divBdr>
      <w:divsChild>
        <w:div w:id="1083794370">
          <w:marLeft w:val="547"/>
          <w:marRight w:val="0"/>
          <w:marTop w:val="0"/>
          <w:marBottom w:val="0"/>
          <w:divBdr>
            <w:top w:val="none" w:sz="0" w:space="0" w:color="auto"/>
            <w:left w:val="none" w:sz="0" w:space="0" w:color="auto"/>
            <w:bottom w:val="none" w:sz="0" w:space="0" w:color="auto"/>
            <w:right w:val="none" w:sz="0" w:space="0" w:color="auto"/>
          </w:divBdr>
        </w:div>
      </w:divsChild>
    </w:div>
    <w:div w:id="1045325903">
      <w:bodyDiv w:val="1"/>
      <w:marLeft w:val="0"/>
      <w:marRight w:val="0"/>
      <w:marTop w:val="0"/>
      <w:marBottom w:val="0"/>
      <w:divBdr>
        <w:top w:val="none" w:sz="0" w:space="0" w:color="auto"/>
        <w:left w:val="none" w:sz="0" w:space="0" w:color="auto"/>
        <w:bottom w:val="none" w:sz="0" w:space="0" w:color="auto"/>
        <w:right w:val="none" w:sz="0" w:space="0" w:color="auto"/>
      </w:divBdr>
    </w:div>
    <w:div w:id="1046366882">
      <w:bodyDiv w:val="1"/>
      <w:marLeft w:val="0"/>
      <w:marRight w:val="0"/>
      <w:marTop w:val="0"/>
      <w:marBottom w:val="0"/>
      <w:divBdr>
        <w:top w:val="none" w:sz="0" w:space="0" w:color="auto"/>
        <w:left w:val="none" w:sz="0" w:space="0" w:color="auto"/>
        <w:bottom w:val="none" w:sz="0" w:space="0" w:color="auto"/>
        <w:right w:val="none" w:sz="0" w:space="0" w:color="auto"/>
      </w:divBdr>
    </w:div>
    <w:div w:id="1083332133">
      <w:bodyDiv w:val="1"/>
      <w:marLeft w:val="0"/>
      <w:marRight w:val="0"/>
      <w:marTop w:val="0"/>
      <w:marBottom w:val="0"/>
      <w:divBdr>
        <w:top w:val="none" w:sz="0" w:space="0" w:color="auto"/>
        <w:left w:val="none" w:sz="0" w:space="0" w:color="auto"/>
        <w:bottom w:val="none" w:sz="0" w:space="0" w:color="auto"/>
        <w:right w:val="none" w:sz="0" w:space="0" w:color="auto"/>
      </w:divBdr>
    </w:div>
    <w:div w:id="1158040524">
      <w:bodyDiv w:val="1"/>
      <w:marLeft w:val="0"/>
      <w:marRight w:val="0"/>
      <w:marTop w:val="0"/>
      <w:marBottom w:val="0"/>
      <w:divBdr>
        <w:top w:val="none" w:sz="0" w:space="0" w:color="auto"/>
        <w:left w:val="none" w:sz="0" w:space="0" w:color="auto"/>
        <w:bottom w:val="none" w:sz="0" w:space="0" w:color="auto"/>
        <w:right w:val="none" w:sz="0" w:space="0" w:color="auto"/>
      </w:divBdr>
    </w:div>
    <w:div w:id="1185755350">
      <w:bodyDiv w:val="1"/>
      <w:marLeft w:val="0"/>
      <w:marRight w:val="0"/>
      <w:marTop w:val="0"/>
      <w:marBottom w:val="0"/>
      <w:divBdr>
        <w:top w:val="none" w:sz="0" w:space="0" w:color="auto"/>
        <w:left w:val="none" w:sz="0" w:space="0" w:color="auto"/>
        <w:bottom w:val="none" w:sz="0" w:space="0" w:color="auto"/>
        <w:right w:val="none" w:sz="0" w:space="0" w:color="auto"/>
      </w:divBdr>
    </w:div>
    <w:div w:id="1227447388">
      <w:bodyDiv w:val="1"/>
      <w:marLeft w:val="0"/>
      <w:marRight w:val="0"/>
      <w:marTop w:val="0"/>
      <w:marBottom w:val="0"/>
      <w:divBdr>
        <w:top w:val="none" w:sz="0" w:space="0" w:color="auto"/>
        <w:left w:val="none" w:sz="0" w:space="0" w:color="auto"/>
        <w:bottom w:val="none" w:sz="0" w:space="0" w:color="auto"/>
        <w:right w:val="none" w:sz="0" w:space="0" w:color="auto"/>
      </w:divBdr>
    </w:div>
    <w:div w:id="1262686414">
      <w:bodyDiv w:val="1"/>
      <w:marLeft w:val="0"/>
      <w:marRight w:val="0"/>
      <w:marTop w:val="0"/>
      <w:marBottom w:val="0"/>
      <w:divBdr>
        <w:top w:val="none" w:sz="0" w:space="0" w:color="auto"/>
        <w:left w:val="none" w:sz="0" w:space="0" w:color="auto"/>
        <w:bottom w:val="none" w:sz="0" w:space="0" w:color="auto"/>
        <w:right w:val="none" w:sz="0" w:space="0" w:color="auto"/>
      </w:divBdr>
    </w:div>
    <w:div w:id="1263879449">
      <w:bodyDiv w:val="1"/>
      <w:marLeft w:val="0"/>
      <w:marRight w:val="0"/>
      <w:marTop w:val="0"/>
      <w:marBottom w:val="0"/>
      <w:divBdr>
        <w:top w:val="none" w:sz="0" w:space="0" w:color="auto"/>
        <w:left w:val="none" w:sz="0" w:space="0" w:color="auto"/>
        <w:bottom w:val="none" w:sz="0" w:space="0" w:color="auto"/>
        <w:right w:val="none" w:sz="0" w:space="0" w:color="auto"/>
      </w:divBdr>
    </w:div>
    <w:div w:id="1272785419">
      <w:bodyDiv w:val="1"/>
      <w:marLeft w:val="0"/>
      <w:marRight w:val="0"/>
      <w:marTop w:val="0"/>
      <w:marBottom w:val="0"/>
      <w:divBdr>
        <w:top w:val="none" w:sz="0" w:space="0" w:color="auto"/>
        <w:left w:val="none" w:sz="0" w:space="0" w:color="auto"/>
        <w:bottom w:val="none" w:sz="0" w:space="0" w:color="auto"/>
        <w:right w:val="none" w:sz="0" w:space="0" w:color="auto"/>
      </w:divBdr>
      <w:divsChild>
        <w:div w:id="279066406">
          <w:marLeft w:val="720"/>
          <w:marRight w:val="0"/>
          <w:marTop w:val="200"/>
          <w:marBottom w:val="0"/>
          <w:divBdr>
            <w:top w:val="none" w:sz="0" w:space="0" w:color="auto"/>
            <w:left w:val="none" w:sz="0" w:space="0" w:color="auto"/>
            <w:bottom w:val="none" w:sz="0" w:space="0" w:color="auto"/>
            <w:right w:val="none" w:sz="0" w:space="0" w:color="auto"/>
          </w:divBdr>
        </w:div>
      </w:divsChild>
    </w:div>
    <w:div w:id="1306664149">
      <w:bodyDiv w:val="1"/>
      <w:marLeft w:val="0"/>
      <w:marRight w:val="0"/>
      <w:marTop w:val="0"/>
      <w:marBottom w:val="0"/>
      <w:divBdr>
        <w:top w:val="none" w:sz="0" w:space="0" w:color="auto"/>
        <w:left w:val="none" w:sz="0" w:space="0" w:color="auto"/>
        <w:bottom w:val="none" w:sz="0" w:space="0" w:color="auto"/>
        <w:right w:val="none" w:sz="0" w:space="0" w:color="auto"/>
      </w:divBdr>
    </w:div>
    <w:div w:id="1343893857">
      <w:bodyDiv w:val="1"/>
      <w:marLeft w:val="0"/>
      <w:marRight w:val="0"/>
      <w:marTop w:val="0"/>
      <w:marBottom w:val="0"/>
      <w:divBdr>
        <w:top w:val="none" w:sz="0" w:space="0" w:color="auto"/>
        <w:left w:val="none" w:sz="0" w:space="0" w:color="auto"/>
        <w:bottom w:val="none" w:sz="0" w:space="0" w:color="auto"/>
        <w:right w:val="none" w:sz="0" w:space="0" w:color="auto"/>
      </w:divBdr>
      <w:divsChild>
        <w:div w:id="559093966">
          <w:marLeft w:val="0"/>
          <w:marRight w:val="0"/>
          <w:marTop w:val="0"/>
          <w:marBottom w:val="0"/>
          <w:divBdr>
            <w:top w:val="none" w:sz="0" w:space="0" w:color="auto"/>
            <w:left w:val="none" w:sz="0" w:space="0" w:color="auto"/>
            <w:bottom w:val="none" w:sz="0" w:space="0" w:color="auto"/>
            <w:right w:val="none" w:sz="0" w:space="0" w:color="auto"/>
          </w:divBdr>
        </w:div>
        <w:div w:id="812018568">
          <w:marLeft w:val="0"/>
          <w:marRight w:val="0"/>
          <w:marTop w:val="0"/>
          <w:marBottom w:val="0"/>
          <w:divBdr>
            <w:top w:val="none" w:sz="0" w:space="0" w:color="auto"/>
            <w:left w:val="none" w:sz="0" w:space="0" w:color="auto"/>
            <w:bottom w:val="none" w:sz="0" w:space="0" w:color="auto"/>
            <w:right w:val="none" w:sz="0" w:space="0" w:color="auto"/>
          </w:divBdr>
        </w:div>
        <w:div w:id="1643195811">
          <w:marLeft w:val="0"/>
          <w:marRight w:val="0"/>
          <w:marTop w:val="0"/>
          <w:marBottom w:val="0"/>
          <w:divBdr>
            <w:top w:val="none" w:sz="0" w:space="0" w:color="auto"/>
            <w:left w:val="none" w:sz="0" w:space="0" w:color="auto"/>
            <w:bottom w:val="none" w:sz="0" w:space="0" w:color="auto"/>
            <w:right w:val="none" w:sz="0" w:space="0" w:color="auto"/>
          </w:divBdr>
        </w:div>
        <w:div w:id="1921328023">
          <w:marLeft w:val="0"/>
          <w:marRight w:val="0"/>
          <w:marTop w:val="0"/>
          <w:marBottom w:val="0"/>
          <w:divBdr>
            <w:top w:val="none" w:sz="0" w:space="0" w:color="auto"/>
            <w:left w:val="none" w:sz="0" w:space="0" w:color="auto"/>
            <w:bottom w:val="none" w:sz="0" w:space="0" w:color="auto"/>
            <w:right w:val="none" w:sz="0" w:space="0" w:color="auto"/>
          </w:divBdr>
        </w:div>
        <w:div w:id="2097165226">
          <w:marLeft w:val="0"/>
          <w:marRight w:val="0"/>
          <w:marTop w:val="0"/>
          <w:marBottom w:val="0"/>
          <w:divBdr>
            <w:top w:val="none" w:sz="0" w:space="0" w:color="auto"/>
            <w:left w:val="none" w:sz="0" w:space="0" w:color="auto"/>
            <w:bottom w:val="none" w:sz="0" w:space="0" w:color="auto"/>
            <w:right w:val="none" w:sz="0" w:space="0" w:color="auto"/>
          </w:divBdr>
        </w:div>
      </w:divsChild>
    </w:div>
    <w:div w:id="1412850492">
      <w:bodyDiv w:val="1"/>
      <w:marLeft w:val="0"/>
      <w:marRight w:val="0"/>
      <w:marTop w:val="0"/>
      <w:marBottom w:val="0"/>
      <w:divBdr>
        <w:top w:val="none" w:sz="0" w:space="0" w:color="auto"/>
        <w:left w:val="none" w:sz="0" w:space="0" w:color="auto"/>
        <w:bottom w:val="none" w:sz="0" w:space="0" w:color="auto"/>
        <w:right w:val="none" w:sz="0" w:space="0" w:color="auto"/>
      </w:divBdr>
    </w:div>
    <w:div w:id="1433163101">
      <w:bodyDiv w:val="1"/>
      <w:marLeft w:val="0"/>
      <w:marRight w:val="0"/>
      <w:marTop w:val="0"/>
      <w:marBottom w:val="0"/>
      <w:divBdr>
        <w:top w:val="none" w:sz="0" w:space="0" w:color="auto"/>
        <w:left w:val="none" w:sz="0" w:space="0" w:color="auto"/>
        <w:bottom w:val="none" w:sz="0" w:space="0" w:color="auto"/>
        <w:right w:val="none" w:sz="0" w:space="0" w:color="auto"/>
      </w:divBdr>
    </w:div>
    <w:div w:id="1439712420">
      <w:bodyDiv w:val="1"/>
      <w:marLeft w:val="0"/>
      <w:marRight w:val="0"/>
      <w:marTop w:val="0"/>
      <w:marBottom w:val="0"/>
      <w:divBdr>
        <w:top w:val="none" w:sz="0" w:space="0" w:color="auto"/>
        <w:left w:val="none" w:sz="0" w:space="0" w:color="auto"/>
        <w:bottom w:val="none" w:sz="0" w:space="0" w:color="auto"/>
        <w:right w:val="none" w:sz="0" w:space="0" w:color="auto"/>
      </w:divBdr>
    </w:div>
    <w:div w:id="1450590833">
      <w:bodyDiv w:val="1"/>
      <w:marLeft w:val="0"/>
      <w:marRight w:val="0"/>
      <w:marTop w:val="0"/>
      <w:marBottom w:val="0"/>
      <w:divBdr>
        <w:top w:val="none" w:sz="0" w:space="0" w:color="auto"/>
        <w:left w:val="none" w:sz="0" w:space="0" w:color="auto"/>
        <w:bottom w:val="none" w:sz="0" w:space="0" w:color="auto"/>
        <w:right w:val="none" w:sz="0" w:space="0" w:color="auto"/>
      </w:divBdr>
    </w:div>
    <w:div w:id="1466000346">
      <w:bodyDiv w:val="1"/>
      <w:marLeft w:val="0"/>
      <w:marRight w:val="0"/>
      <w:marTop w:val="0"/>
      <w:marBottom w:val="0"/>
      <w:divBdr>
        <w:top w:val="none" w:sz="0" w:space="0" w:color="auto"/>
        <w:left w:val="none" w:sz="0" w:space="0" w:color="auto"/>
        <w:bottom w:val="none" w:sz="0" w:space="0" w:color="auto"/>
        <w:right w:val="none" w:sz="0" w:space="0" w:color="auto"/>
      </w:divBdr>
    </w:div>
    <w:div w:id="1477146353">
      <w:bodyDiv w:val="1"/>
      <w:marLeft w:val="0"/>
      <w:marRight w:val="0"/>
      <w:marTop w:val="0"/>
      <w:marBottom w:val="0"/>
      <w:divBdr>
        <w:top w:val="none" w:sz="0" w:space="0" w:color="auto"/>
        <w:left w:val="none" w:sz="0" w:space="0" w:color="auto"/>
        <w:bottom w:val="none" w:sz="0" w:space="0" w:color="auto"/>
        <w:right w:val="none" w:sz="0" w:space="0" w:color="auto"/>
      </w:divBdr>
      <w:divsChild>
        <w:div w:id="1458256979">
          <w:marLeft w:val="547"/>
          <w:marRight w:val="0"/>
          <w:marTop w:val="0"/>
          <w:marBottom w:val="0"/>
          <w:divBdr>
            <w:top w:val="none" w:sz="0" w:space="0" w:color="auto"/>
            <w:left w:val="none" w:sz="0" w:space="0" w:color="auto"/>
            <w:bottom w:val="none" w:sz="0" w:space="0" w:color="auto"/>
            <w:right w:val="none" w:sz="0" w:space="0" w:color="auto"/>
          </w:divBdr>
        </w:div>
      </w:divsChild>
    </w:div>
    <w:div w:id="1488746854">
      <w:bodyDiv w:val="1"/>
      <w:marLeft w:val="0"/>
      <w:marRight w:val="0"/>
      <w:marTop w:val="0"/>
      <w:marBottom w:val="0"/>
      <w:divBdr>
        <w:top w:val="none" w:sz="0" w:space="0" w:color="auto"/>
        <w:left w:val="none" w:sz="0" w:space="0" w:color="auto"/>
        <w:bottom w:val="none" w:sz="0" w:space="0" w:color="auto"/>
        <w:right w:val="none" w:sz="0" w:space="0" w:color="auto"/>
      </w:divBdr>
      <w:divsChild>
        <w:div w:id="48648129">
          <w:marLeft w:val="360"/>
          <w:marRight w:val="0"/>
          <w:marTop w:val="0"/>
          <w:marBottom w:val="240"/>
          <w:divBdr>
            <w:top w:val="none" w:sz="0" w:space="0" w:color="auto"/>
            <w:left w:val="none" w:sz="0" w:space="0" w:color="auto"/>
            <w:bottom w:val="none" w:sz="0" w:space="0" w:color="auto"/>
            <w:right w:val="none" w:sz="0" w:space="0" w:color="auto"/>
          </w:divBdr>
        </w:div>
        <w:div w:id="120341119">
          <w:marLeft w:val="360"/>
          <w:marRight w:val="0"/>
          <w:marTop w:val="0"/>
          <w:marBottom w:val="240"/>
          <w:divBdr>
            <w:top w:val="none" w:sz="0" w:space="0" w:color="auto"/>
            <w:left w:val="none" w:sz="0" w:space="0" w:color="auto"/>
            <w:bottom w:val="none" w:sz="0" w:space="0" w:color="auto"/>
            <w:right w:val="none" w:sz="0" w:space="0" w:color="auto"/>
          </w:divBdr>
        </w:div>
        <w:div w:id="652950538">
          <w:marLeft w:val="360"/>
          <w:marRight w:val="0"/>
          <w:marTop w:val="0"/>
          <w:marBottom w:val="240"/>
          <w:divBdr>
            <w:top w:val="none" w:sz="0" w:space="0" w:color="auto"/>
            <w:left w:val="none" w:sz="0" w:space="0" w:color="auto"/>
            <w:bottom w:val="none" w:sz="0" w:space="0" w:color="auto"/>
            <w:right w:val="none" w:sz="0" w:space="0" w:color="auto"/>
          </w:divBdr>
        </w:div>
        <w:div w:id="663893586">
          <w:marLeft w:val="360"/>
          <w:marRight w:val="0"/>
          <w:marTop w:val="0"/>
          <w:marBottom w:val="240"/>
          <w:divBdr>
            <w:top w:val="none" w:sz="0" w:space="0" w:color="auto"/>
            <w:left w:val="none" w:sz="0" w:space="0" w:color="auto"/>
            <w:bottom w:val="none" w:sz="0" w:space="0" w:color="auto"/>
            <w:right w:val="none" w:sz="0" w:space="0" w:color="auto"/>
          </w:divBdr>
        </w:div>
        <w:div w:id="1202670817">
          <w:marLeft w:val="360"/>
          <w:marRight w:val="0"/>
          <w:marTop w:val="0"/>
          <w:marBottom w:val="240"/>
          <w:divBdr>
            <w:top w:val="none" w:sz="0" w:space="0" w:color="auto"/>
            <w:left w:val="none" w:sz="0" w:space="0" w:color="auto"/>
            <w:bottom w:val="none" w:sz="0" w:space="0" w:color="auto"/>
            <w:right w:val="none" w:sz="0" w:space="0" w:color="auto"/>
          </w:divBdr>
        </w:div>
        <w:div w:id="1486554421">
          <w:marLeft w:val="360"/>
          <w:marRight w:val="0"/>
          <w:marTop w:val="0"/>
          <w:marBottom w:val="240"/>
          <w:divBdr>
            <w:top w:val="none" w:sz="0" w:space="0" w:color="auto"/>
            <w:left w:val="none" w:sz="0" w:space="0" w:color="auto"/>
            <w:bottom w:val="none" w:sz="0" w:space="0" w:color="auto"/>
            <w:right w:val="none" w:sz="0" w:space="0" w:color="auto"/>
          </w:divBdr>
        </w:div>
        <w:div w:id="1515805712">
          <w:marLeft w:val="360"/>
          <w:marRight w:val="0"/>
          <w:marTop w:val="0"/>
          <w:marBottom w:val="240"/>
          <w:divBdr>
            <w:top w:val="none" w:sz="0" w:space="0" w:color="auto"/>
            <w:left w:val="none" w:sz="0" w:space="0" w:color="auto"/>
            <w:bottom w:val="none" w:sz="0" w:space="0" w:color="auto"/>
            <w:right w:val="none" w:sz="0" w:space="0" w:color="auto"/>
          </w:divBdr>
        </w:div>
        <w:div w:id="1701858704">
          <w:marLeft w:val="360"/>
          <w:marRight w:val="0"/>
          <w:marTop w:val="0"/>
          <w:marBottom w:val="240"/>
          <w:divBdr>
            <w:top w:val="none" w:sz="0" w:space="0" w:color="auto"/>
            <w:left w:val="none" w:sz="0" w:space="0" w:color="auto"/>
            <w:bottom w:val="none" w:sz="0" w:space="0" w:color="auto"/>
            <w:right w:val="none" w:sz="0" w:space="0" w:color="auto"/>
          </w:divBdr>
        </w:div>
      </w:divsChild>
    </w:div>
    <w:div w:id="1556235019">
      <w:bodyDiv w:val="1"/>
      <w:marLeft w:val="0"/>
      <w:marRight w:val="0"/>
      <w:marTop w:val="0"/>
      <w:marBottom w:val="0"/>
      <w:divBdr>
        <w:top w:val="none" w:sz="0" w:space="0" w:color="auto"/>
        <w:left w:val="none" w:sz="0" w:space="0" w:color="auto"/>
        <w:bottom w:val="none" w:sz="0" w:space="0" w:color="auto"/>
        <w:right w:val="none" w:sz="0" w:space="0" w:color="auto"/>
      </w:divBdr>
      <w:divsChild>
        <w:div w:id="298191039">
          <w:marLeft w:val="0"/>
          <w:marRight w:val="0"/>
          <w:marTop w:val="0"/>
          <w:marBottom w:val="0"/>
          <w:divBdr>
            <w:top w:val="none" w:sz="0" w:space="0" w:color="auto"/>
            <w:left w:val="none" w:sz="0" w:space="0" w:color="auto"/>
            <w:bottom w:val="none" w:sz="0" w:space="0" w:color="auto"/>
            <w:right w:val="none" w:sz="0" w:space="0" w:color="auto"/>
          </w:divBdr>
          <w:divsChild>
            <w:div w:id="1887646814">
              <w:marLeft w:val="0"/>
              <w:marRight w:val="0"/>
              <w:marTop w:val="0"/>
              <w:marBottom w:val="0"/>
              <w:divBdr>
                <w:top w:val="none" w:sz="0" w:space="0" w:color="auto"/>
                <w:left w:val="none" w:sz="0" w:space="0" w:color="auto"/>
                <w:bottom w:val="none" w:sz="0" w:space="0" w:color="auto"/>
                <w:right w:val="none" w:sz="0" w:space="0" w:color="auto"/>
              </w:divBdr>
              <w:divsChild>
                <w:div w:id="1127117945">
                  <w:marLeft w:val="0"/>
                  <w:marRight w:val="0"/>
                  <w:marTop w:val="0"/>
                  <w:marBottom w:val="0"/>
                  <w:divBdr>
                    <w:top w:val="none" w:sz="0" w:space="0" w:color="auto"/>
                    <w:left w:val="none" w:sz="0" w:space="0" w:color="auto"/>
                    <w:bottom w:val="none" w:sz="0" w:space="0" w:color="auto"/>
                    <w:right w:val="none" w:sz="0" w:space="0" w:color="auto"/>
                  </w:divBdr>
                  <w:divsChild>
                    <w:div w:id="12231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7227">
          <w:marLeft w:val="0"/>
          <w:marRight w:val="0"/>
          <w:marTop w:val="0"/>
          <w:marBottom w:val="0"/>
          <w:divBdr>
            <w:top w:val="none" w:sz="0" w:space="0" w:color="auto"/>
            <w:left w:val="none" w:sz="0" w:space="0" w:color="auto"/>
            <w:bottom w:val="none" w:sz="0" w:space="0" w:color="auto"/>
            <w:right w:val="none" w:sz="0" w:space="0" w:color="auto"/>
          </w:divBdr>
          <w:divsChild>
            <w:div w:id="582029616">
              <w:marLeft w:val="0"/>
              <w:marRight w:val="0"/>
              <w:marTop w:val="0"/>
              <w:marBottom w:val="0"/>
              <w:divBdr>
                <w:top w:val="none" w:sz="0" w:space="0" w:color="auto"/>
                <w:left w:val="none" w:sz="0" w:space="0" w:color="auto"/>
                <w:bottom w:val="none" w:sz="0" w:space="0" w:color="auto"/>
                <w:right w:val="none" w:sz="0" w:space="0" w:color="auto"/>
              </w:divBdr>
              <w:divsChild>
                <w:div w:id="1371877904">
                  <w:marLeft w:val="0"/>
                  <w:marRight w:val="0"/>
                  <w:marTop w:val="0"/>
                  <w:marBottom w:val="0"/>
                  <w:divBdr>
                    <w:top w:val="none" w:sz="0" w:space="0" w:color="auto"/>
                    <w:left w:val="none" w:sz="0" w:space="0" w:color="auto"/>
                    <w:bottom w:val="none" w:sz="0" w:space="0" w:color="auto"/>
                    <w:right w:val="none" w:sz="0" w:space="0" w:color="auto"/>
                  </w:divBdr>
                  <w:divsChild>
                    <w:div w:id="176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04474">
      <w:bodyDiv w:val="1"/>
      <w:marLeft w:val="0"/>
      <w:marRight w:val="0"/>
      <w:marTop w:val="0"/>
      <w:marBottom w:val="0"/>
      <w:divBdr>
        <w:top w:val="none" w:sz="0" w:space="0" w:color="auto"/>
        <w:left w:val="none" w:sz="0" w:space="0" w:color="auto"/>
        <w:bottom w:val="none" w:sz="0" w:space="0" w:color="auto"/>
        <w:right w:val="none" w:sz="0" w:space="0" w:color="auto"/>
      </w:divBdr>
    </w:div>
    <w:div w:id="1614168987">
      <w:bodyDiv w:val="1"/>
      <w:marLeft w:val="0"/>
      <w:marRight w:val="0"/>
      <w:marTop w:val="0"/>
      <w:marBottom w:val="0"/>
      <w:divBdr>
        <w:top w:val="none" w:sz="0" w:space="0" w:color="auto"/>
        <w:left w:val="none" w:sz="0" w:space="0" w:color="auto"/>
        <w:bottom w:val="none" w:sz="0" w:space="0" w:color="auto"/>
        <w:right w:val="none" w:sz="0" w:space="0" w:color="auto"/>
      </w:divBdr>
    </w:div>
    <w:div w:id="1639415459">
      <w:bodyDiv w:val="1"/>
      <w:marLeft w:val="0"/>
      <w:marRight w:val="0"/>
      <w:marTop w:val="0"/>
      <w:marBottom w:val="0"/>
      <w:divBdr>
        <w:top w:val="none" w:sz="0" w:space="0" w:color="auto"/>
        <w:left w:val="none" w:sz="0" w:space="0" w:color="auto"/>
        <w:bottom w:val="none" w:sz="0" w:space="0" w:color="auto"/>
        <w:right w:val="none" w:sz="0" w:space="0" w:color="auto"/>
      </w:divBdr>
    </w:div>
    <w:div w:id="1646163666">
      <w:bodyDiv w:val="1"/>
      <w:marLeft w:val="0"/>
      <w:marRight w:val="0"/>
      <w:marTop w:val="0"/>
      <w:marBottom w:val="0"/>
      <w:divBdr>
        <w:top w:val="none" w:sz="0" w:space="0" w:color="auto"/>
        <w:left w:val="none" w:sz="0" w:space="0" w:color="auto"/>
        <w:bottom w:val="none" w:sz="0" w:space="0" w:color="auto"/>
        <w:right w:val="none" w:sz="0" w:space="0" w:color="auto"/>
      </w:divBdr>
    </w:div>
    <w:div w:id="1647586751">
      <w:bodyDiv w:val="1"/>
      <w:marLeft w:val="0"/>
      <w:marRight w:val="0"/>
      <w:marTop w:val="0"/>
      <w:marBottom w:val="0"/>
      <w:divBdr>
        <w:top w:val="none" w:sz="0" w:space="0" w:color="auto"/>
        <w:left w:val="none" w:sz="0" w:space="0" w:color="auto"/>
        <w:bottom w:val="none" w:sz="0" w:space="0" w:color="auto"/>
        <w:right w:val="none" w:sz="0" w:space="0" w:color="auto"/>
      </w:divBdr>
    </w:div>
    <w:div w:id="1648583987">
      <w:bodyDiv w:val="1"/>
      <w:marLeft w:val="0"/>
      <w:marRight w:val="0"/>
      <w:marTop w:val="0"/>
      <w:marBottom w:val="0"/>
      <w:divBdr>
        <w:top w:val="none" w:sz="0" w:space="0" w:color="auto"/>
        <w:left w:val="none" w:sz="0" w:space="0" w:color="auto"/>
        <w:bottom w:val="none" w:sz="0" w:space="0" w:color="auto"/>
        <w:right w:val="none" w:sz="0" w:space="0" w:color="auto"/>
      </w:divBdr>
    </w:div>
    <w:div w:id="1662807476">
      <w:bodyDiv w:val="1"/>
      <w:marLeft w:val="0"/>
      <w:marRight w:val="0"/>
      <w:marTop w:val="0"/>
      <w:marBottom w:val="0"/>
      <w:divBdr>
        <w:top w:val="none" w:sz="0" w:space="0" w:color="auto"/>
        <w:left w:val="none" w:sz="0" w:space="0" w:color="auto"/>
        <w:bottom w:val="none" w:sz="0" w:space="0" w:color="auto"/>
        <w:right w:val="none" w:sz="0" w:space="0" w:color="auto"/>
      </w:divBdr>
    </w:div>
    <w:div w:id="1694182921">
      <w:bodyDiv w:val="1"/>
      <w:marLeft w:val="0"/>
      <w:marRight w:val="0"/>
      <w:marTop w:val="0"/>
      <w:marBottom w:val="0"/>
      <w:divBdr>
        <w:top w:val="none" w:sz="0" w:space="0" w:color="auto"/>
        <w:left w:val="none" w:sz="0" w:space="0" w:color="auto"/>
        <w:bottom w:val="none" w:sz="0" w:space="0" w:color="auto"/>
        <w:right w:val="none" w:sz="0" w:space="0" w:color="auto"/>
      </w:divBdr>
    </w:div>
    <w:div w:id="1718040868">
      <w:bodyDiv w:val="1"/>
      <w:marLeft w:val="0"/>
      <w:marRight w:val="0"/>
      <w:marTop w:val="0"/>
      <w:marBottom w:val="0"/>
      <w:divBdr>
        <w:top w:val="none" w:sz="0" w:space="0" w:color="auto"/>
        <w:left w:val="none" w:sz="0" w:space="0" w:color="auto"/>
        <w:bottom w:val="none" w:sz="0" w:space="0" w:color="auto"/>
        <w:right w:val="none" w:sz="0" w:space="0" w:color="auto"/>
      </w:divBdr>
      <w:divsChild>
        <w:div w:id="15664871">
          <w:marLeft w:val="0"/>
          <w:marRight w:val="0"/>
          <w:marTop w:val="0"/>
          <w:marBottom w:val="0"/>
          <w:divBdr>
            <w:top w:val="none" w:sz="0" w:space="0" w:color="auto"/>
            <w:left w:val="none" w:sz="0" w:space="0" w:color="auto"/>
            <w:bottom w:val="none" w:sz="0" w:space="0" w:color="auto"/>
            <w:right w:val="none" w:sz="0" w:space="0" w:color="auto"/>
          </w:divBdr>
          <w:divsChild>
            <w:div w:id="300961387">
              <w:marLeft w:val="0"/>
              <w:marRight w:val="0"/>
              <w:marTop w:val="0"/>
              <w:marBottom w:val="0"/>
              <w:divBdr>
                <w:top w:val="none" w:sz="0" w:space="0" w:color="auto"/>
                <w:left w:val="none" w:sz="0" w:space="0" w:color="auto"/>
                <w:bottom w:val="none" w:sz="0" w:space="0" w:color="auto"/>
                <w:right w:val="none" w:sz="0" w:space="0" w:color="auto"/>
              </w:divBdr>
              <w:divsChild>
                <w:div w:id="2060201621">
                  <w:marLeft w:val="0"/>
                  <w:marRight w:val="0"/>
                  <w:marTop w:val="0"/>
                  <w:marBottom w:val="0"/>
                  <w:divBdr>
                    <w:top w:val="none" w:sz="0" w:space="0" w:color="auto"/>
                    <w:left w:val="none" w:sz="0" w:space="0" w:color="auto"/>
                    <w:bottom w:val="none" w:sz="0" w:space="0" w:color="auto"/>
                    <w:right w:val="none" w:sz="0" w:space="0" w:color="auto"/>
                  </w:divBdr>
                  <w:divsChild>
                    <w:div w:id="12779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7332">
          <w:marLeft w:val="0"/>
          <w:marRight w:val="0"/>
          <w:marTop w:val="0"/>
          <w:marBottom w:val="0"/>
          <w:divBdr>
            <w:top w:val="none" w:sz="0" w:space="0" w:color="auto"/>
            <w:left w:val="none" w:sz="0" w:space="0" w:color="auto"/>
            <w:bottom w:val="none" w:sz="0" w:space="0" w:color="auto"/>
            <w:right w:val="none" w:sz="0" w:space="0" w:color="auto"/>
          </w:divBdr>
          <w:divsChild>
            <w:div w:id="1540776302">
              <w:marLeft w:val="0"/>
              <w:marRight w:val="0"/>
              <w:marTop w:val="0"/>
              <w:marBottom w:val="0"/>
              <w:divBdr>
                <w:top w:val="none" w:sz="0" w:space="0" w:color="auto"/>
                <w:left w:val="none" w:sz="0" w:space="0" w:color="auto"/>
                <w:bottom w:val="none" w:sz="0" w:space="0" w:color="auto"/>
                <w:right w:val="none" w:sz="0" w:space="0" w:color="auto"/>
              </w:divBdr>
              <w:divsChild>
                <w:div w:id="1203664980">
                  <w:marLeft w:val="0"/>
                  <w:marRight w:val="0"/>
                  <w:marTop w:val="0"/>
                  <w:marBottom w:val="0"/>
                  <w:divBdr>
                    <w:top w:val="none" w:sz="0" w:space="0" w:color="auto"/>
                    <w:left w:val="none" w:sz="0" w:space="0" w:color="auto"/>
                    <w:bottom w:val="none" w:sz="0" w:space="0" w:color="auto"/>
                    <w:right w:val="none" w:sz="0" w:space="0" w:color="auto"/>
                  </w:divBdr>
                  <w:divsChild>
                    <w:div w:id="12075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367">
      <w:bodyDiv w:val="1"/>
      <w:marLeft w:val="0"/>
      <w:marRight w:val="0"/>
      <w:marTop w:val="0"/>
      <w:marBottom w:val="0"/>
      <w:divBdr>
        <w:top w:val="none" w:sz="0" w:space="0" w:color="auto"/>
        <w:left w:val="none" w:sz="0" w:space="0" w:color="auto"/>
        <w:bottom w:val="none" w:sz="0" w:space="0" w:color="auto"/>
        <w:right w:val="none" w:sz="0" w:space="0" w:color="auto"/>
      </w:divBdr>
    </w:div>
    <w:div w:id="1725133068">
      <w:bodyDiv w:val="1"/>
      <w:marLeft w:val="0"/>
      <w:marRight w:val="0"/>
      <w:marTop w:val="0"/>
      <w:marBottom w:val="0"/>
      <w:divBdr>
        <w:top w:val="none" w:sz="0" w:space="0" w:color="auto"/>
        <w:left w:val="none" w:sz="0" w:space="0" w:color="auto"/>
        <w:bottom w:val="none" w:sz="0" w:space="0" w:color="auto"/>
        <w:right w:val="none" w:sz="0" w:space="0" w:color="auto"/>
      </w:divBdr>
      <w:divsChild>
        <w:div w:id="466433528">
          <w:marLeft w:val="360"/>
          <w:marRight w:val="0"/>
          <w:marTop w:val="0"/>
          <w:marBottom w:val="240"/>
          <w:divBdr>
            <w:top w:val="none" w:sz="0" w:space="0" w:color="auto"/>
            <w:left w:val="none" w:sz="0" w:space="0" w:color="auto"/>
            <w:bottom w:val="none" w:sz="0" w:space="0" w:color="auto"/>
            <w:right w:val="none" w:sz="0" w:space="0" w:color="auto"/>
          </w:divBdr>
        </w:div>
        <w:div w:id="1743137685">
          <w:marLeft w:val="360"/>
          <w:marRight w:val="0"/>
          <w:marTop w:val="0"/>
          <w:marBottom w:val="240"/>
          <w:divBdr>
            <w:top w:val="none" w:sz="0" w:space="0" w:color="auto"/>
            <w:left w:val="none" w:sz="0" w:space="0" w:color="auto"/>
            <w:bottom w:val="none" w:sz="0" w:space="0" w:color="auto"/>
            <w:right w:val="none" w:sz="0" w:space="0" w:color="auto"/>
          </w:divBdr>
        </w:div>
        <w:div w:id="1822307785">
          <w:marLeft w:val="360"/>
          <w:marRight w:val="0"/>
          <w:marTop w:val="0"/>
          <w:marBottom w:val="240"/>
          <w:divBdr>
            <w:top w:val="none" w:sz="0" w:space="0" w:color="auto"/>
            <w:left w:val="none" w:sz="0" w:space="0" w:color="auto"/>
            <w:bottom w:val="none" w:sz="0" w:space="0" w:color="auto"/>
            <w:right w:val="none" w:sz="0" w:space="0" w:color="auto"/>
          </w:divBdr>
        </w:div>
      </w:divsChild>
    </w:div>
    <w:div w:id="1739010838">
      <w:bodyDiv w:val="1"/>
      <w:marLeft w:val="0"/>
      <w:marRight w:val="0"/>
      <w:marTop w:val="0"/>
      <w:marBottom w:val="0"/>
      <w:divBdr>
        <w:top w:val="none" w:sz="0" w:space="0" w:color="auto"/>
        <w:left w:val="none" w:sz="0" w:space="0" w:color="auto"/>
        <w:bottom w:val="none" w:sz="0" w:space="0" w:color="auto"/>
        <w:right w:val="none" w:sz="0" w:space="0" w:color="auto"/>
      </w:divBdr>
      <w:divsChild>
        <w:div w:id="464085183">
          <w:marLeft w:val="0"/>
          <w:marRight w:val="0"/>
          <w:marTop w:val="0"/>
          <w:marBottom w:val="0"/>
          <w:divBdr>
            <w:top w:val="none" w:sz="0" w:space="0" w:color="auto"/>
            <w:left w:val="none" w:sz="0" w:space="0" w:color="auto"/>
            <w:bottom w:val="none" w:sz="0" w:space="0" w:color="auto"/>
            <w:right w:val="none" w:sz="0" w:space="0" w:color="auto"/>
          </w:divBdr>
        </w:div>
        <w:div w:id="864174923">
          <w:marLeft w:val="0"/>
          <w:marRight w:val="0"/>
          <w:marTop w:val="0"/>
          <w:marBottom w:val="0"/>
          <w:divBdr>
            <w:top w:val="none" w:sz="0" w:space="0" w:color="auto"/>
            <w:left w:val="none" w:sz="0" w:space="0" w:color="auto"/>
            <w:bottom w:val="none" w:sz="0" w:space="0" w:color="auto"/>
            <w:right w:val="none" w:sz="0" w:space="0" w:color="auto"/>
          </w:divBdr>
        </w:div>
        <w:div w:id="1408654009">
          <w:marLeft w:val="0"/>
          <w:marRight w:val="0"/>
          <w:marTop w:val="0"/>
          <w:marBottom w:val="0"/>
          <w:divBdr>
            <w:top w:val="none" w:sz="0" w:space="0" w:color="auto"/>
            <w:left w:val="none" w:sz="0" w:space="0" w:color="auto"/>
            <w:bottom w:val="none" w:sz="0" w:space="0" w:color="auto"/>
            <w:right w:val="none" w:sz="0" w:space="0" w:color="auto"/>
          </w:divBdr>
        </w:div>
        <w:div w:id="2008171134">
          <w:marLeft w:val="0"/>
          <w:marRight w:val="0"/>
          <w:marTop w:val="0"/>
          <w:marBottom w:val="0"/>
          <w:divBdr>
            <w:top w:val="none" w:sz="0" w:space="0" w:color="auto"/>
            <w:left w:val="none" w:sz="0" w:space="0" w:color="auto"/>
            <w:bottom w:val="none" w:sz="0" w:space="0" w:color="auto"/>
            <w:right w:val="none" w:sz="0" w:space="0" w:color="auto"/>
          </w:divBdr>
        </w:div>
        <w:div w:id="2118213139">
          <w:marLeft w:val="0"/>
          <w:marRight w:val="0"/>
          <w:marTop w:val="0"/>
          <w:marBottom w:val="0"/>
          <w:divBdr>
            <w:top w:val="none" w:sz="0" w:space="0" w:color="auto"/>
            <w:left w:val="none" w:sz="0" w:space="0" w:color="auto"/>
            <w:bottom w:val="none" w:sz="0" w:space="0" w:color="auto"/>
            <w:right w:val="none" w:sz="0" w:space="0" w:color="auto"/>
          </w:divBdr>
        </w:div>
      </w:divsChild>
    </w:div>
    <w:div w:id="1774470092">
      <w:bodyDiv w:val="1"/>
      <w:marLeft w:val="0"/>
      <w:marRight w:val="0"/>
      <w:marTop w:val="0"/>
      <w:marBottom w:val="0"/>
      <w:divBdr>
        <w:top w:val="none" w:sz="0" w:space="0" w:color="auto"/>
        <w:left w:val="none" w:sz="0" w:space="0" w:color="auto"/>
        <w:bottom w:val="none" w:sz="0" w:space="0" w:color="auto"/>
        <w:right w:val="none" w:sz="0" w:space="0" w:color="auto"/>
      </w:divBdr>
    </w:div>
    <w:div w:id="1785078806">
      <w:bodyDiv w:val="1"/>
      <w:marLeft w:val="0"/>
      <w:marRight w:val="0"/>
      <w:marTop w:val="0"/>
      <w:marBottom w:val="0"/>
      <w:divBdr>
        <w:top w:val="none" w:sz="0" w:space="0" w:color="auto"/>
        <w:left w:val="none" w:sz="0" w:space="0" w:color="auto"/>
        <w:bottom w:val="none" w:sz="0" w:space="0" w:color="auto"/>
        <w:right w:val="none" w:sz="0" w:space="0" w:color="auto"/>
      </w:divBdr>
    </w:div>
    <w:div w:id="1822768504">
      <w:bodyDiv w:val="1"/>
      <w:marLeft w:val="0"/>
      <w:marRight w:val="0"/>
      <w:marTop w:val="0"/>
      <w:marBottom w:val="0"/>
      <w:divBdr>
        <w:top w:val="none" w:sz="0" w:space="0" w:color="auto"/>
        <w:left w:val="none" w:sz="0" w:space="0" w:color="auto"/>
        <w:bottom w:val="none" w:sz="0" w:space="0" w:color="auto"/>
        <w:right w:val="none" w:sz="0" w:space="0" w:color="auto"/>
      </w:divBdr>
      <w:divsChild>
        <w:div w:id="1451170884">
          <w:marLeft w:val="720"/>
          <w:marRight w:val="0"/>
          <w:marTop w:val="0"/>
          <w:marBottom w:val="0"/>
          <w:divBdr>
            <w:top w:val="none" w:sz="0" w:space="0" w:color="auto"/>
            <w:left w:val="none" w:sz="0" w:space="0" w:color="auto"/>
            <w:bottom w:val="none" w:sz="0" w:space="0" w:color="auto"/>
            <w:right w:val="none" w:sz="0" w:space="0" w:color="auto"/>
          </w:divBdr>
        </w:div>
      </w:divsChild>
    </w:div>
    <w:div w:id="1851529568">
      <w:bodyDiv w:val="1"/>
      <w:marLeft w:val="0"/>
      <w:marRight w:val="0"/>
      <w:marTop w:val="0"/>
      <w:marBottom w:val="0"/>
      <w:divBdr>
        <w:top w:val="none" w:sz="0" w:space="0" w:color="auto"/>
        <w:left w:val="none" w:sz="0" w:space="0" w:color="auto"/>
        <w:bottom w:val="none" w:sz="0" w:space="0" w:color="auto"/>
        <w:right w:val="none" w:sz="0" w:space="0" w:color="auto"/>
      </w:divBdr>
    </w:div>
    <w:div w:id="1852260120">
      <w:bodyDiv w:val="1"/>
      <w:marLeft w:val="0"/>
      <w:marRight w:val="0"/>
      <w:marTop w:val="0"/>
      <w:marBottom w:val="0"/>
      <w:divBdr>
        <w:top w:val="none" w:sz="0" w:space="0" w:color="auto"/>
        <w:left w:val="none" w:sz="0" w:space="0" w:color="auto"/>
        <w:bottom w:val="none" w:sz="0" w:space="0" w:color="auto"/>
        <w:right w:val="none" w:sz="0" w:space="0" w:color="auto"/>
      </w:divBdr>
    </w:div>
    <w:div w:id="1893272113">
      <w:bodyDiv w:val="1"/>
      <w:marLeft w:val="0"/>
      <w:marRight w:val="0"/>
      <w:marTop w:val="0"/>
      <w:marBottom w:val="0"/>
      <w:divBdr>
        <w:top w:val="none" w:sz="0" w:space="0" w:color="auto"/>
        <w:left w:val="none" w:sz="0" w:space="0" w:color="auto"/>
        <w:bottom w:val="none" w:sz="0" w:space="0" w:color="auto"/>
        <w:right w:val="none" w:sz="0" w:space="0" w:color="auto"/>
      </w:divBdr>
    </w:div>
    <w:div w:id="1959409691">
      <w:bodyDiv w:val="1"/>
      <w:marLeft w:val="0"/>
      <w:marRight w:val="0"/>
      <w:marTop w:val="0"/>
      <w:marBottom w:val="0"/>
      <w:divBdr>
        <w:top w:val="none" w:sz="0" w:space="0" w:color="auto"/>
        <w:left w:val="none" w:sz="0" w:space="0" w:color="auto"/>
        <w:bottom w:val="none" w:sz="0" w:space="0" w:color="auto"/>
        <w:right w:val="none" w:sz="0" w:space="0" w:color="auto"/>
      </w:divBdr>
    </w:div>
    <w:div w:id="1961102824">
      <w:bodyDiv w:val="1"/>
      <w:marLeft w:val="0"/>
      <w:marRight w:val="0"/>
      <w:marTop w:val="0"/>
      <w:marBottom w:val="0"/>
      <w:divBdr>
        <w:top w:val="none" w:sz="0" w:space="0" w:color="auto"/>
        <w:left w:val="none" w:sz="0" w:space="0" w:color="auto"/>
        <w:bottom w:val="none" w:sz="0" w:space="0" w:color="auto"/>
        <w:right w:val="none" w:sz="0" w:space="0" w:color="auto"/>
      </w:divBdr>
    </w:div>
    <w:div w:id="1984194058">
      <w:bodyDiv w:val="1"/>
      <w:marLeft w:val="0"/>
      <w:marRight w:val="0"/>
      <w:marTop w:val="0"/>
      <w:marBottom w:val="0"/>
      <w:divBdr>
        <w:top w:val="none" w:sz="0" w:space="0" w:color="auto"/>
        <w:left w:val="none" w:sz="0" w:space="0" w:color="auto"/>
        <w:bottom w:val="none" w:sz="0" w:space="0" w:color="auto"/>
        <w:right w:val="none" w:sz="0" w:space="0" w:color="auto"/>
      </w:divBdr>
      <w:divsChild>
        <w:div w:id="912589984">
          <w:marLeft w:val="0"/>
          <w:marRight w:val="0"/>
          <w:marTop w:val="0"/>
          <w:marBottom w:val="0"/>
          <w:divBdr>
            <w:top w:val="none" w:sz="0" w:space="0" w:color="auto"/>
            <w:left w:val="none" w:sz="0" w:space="0" w:color="auto"/>
            <w:bottom w:val="none" w:sz="0" w:space="0" w:color="auto"/>
            <w:right w:val="none" w:sz="0" w:space="0" w:color="auto"/>
          </w:divBdr>
          <w:divsChild>
            <w:div w:id="1265962463">
              <w:marLeft w:val="0"/>
              <w:marRight w:val="0"/>
              <w:marTop w:val="0"/>
              <w:marBottom w:val="0"/>
              <w:divBdr>
                <w:top w:val="none" w:sz="0" w:space="0" w:color="auto"/>
                <w:left w:val="none" w:sz="0" w:space="0" w:color="auto"/>
                <w:bottom w:val="none" w:sz="0" w:space="0" w:color="auto"/>
                <w:right w:val="none" w:sz="0" w:space="0" w:color="auto"/>
              </w:divBdr>
              <w:divsChild>
                <w:div w:id="273750573">
                  <w:marLeft w:val="0"/>
                  <w:marRight w:val="0"/>
                  <w:marTop w:val="0"/>
                  <w:marBottom w:val="0"/>
                  <w:divBdr>
                    <w:top w:val="none" w:sz="0" w:space="0" w:color="auto"/>
                    <w:left w:val="none" w:sz="0" w:space="0" w:color="auto"/>
                    <w:bottom w:val="none" w:sz="0" w:space="0" w:color="auto"/>
                    <w:right w:val="none" w:sz="0" w:space="0" w:color="auto"/>
                  </w:divBdr>
                  <w:divsChild>
                    <w:div w:id="20332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733">
          <w:marLeft w:val="0"/>
          <w:marRight w:val="0"/>
          <w:marTop w:val="0"/>
          <w:marBottom w:val="0"/>
          <w:divBdr>
            <w:top w:val="none" w:sz="0" w:space="0" w:color="auto"/>
            <w:left w:val="none" w:sz="0" w:space="0" w:color="auto"/>
            <w:bottom w:val="none" w:sz="0" w:space="0" w:color="auto"/>
            <w:right w:val="none" w:sz="0" w:space="0" w:color="auto"/>
          </w:divBdr>
          <w:divsChild>
            <w:div w:id="859471182">
              <w:marLeft w:val="0"/>
              <w:marRight w:val="0"/>
              <w:marTop w:val="0"/>
              <w:marBottom w:val="0"/>
              <w:divBdr>
                <w:top w:val="none" w:sz="0" w:space="0" w:color="auto"/>
                <w:left w:val="none" w:sz="0" w:space="0" w:color="auto"/>
                <w:bottom w:val="none" w:sz="0" w:space="0" w:color="auto"/>
                <w:right w:val="none" w:sz="0" w:space="0" w:color="auto"/>
              </w:divBdr>
              <w:divsChild>
                <w:div w:id="1188718100">
                  <w:marLeft w:val="0"/>
                  <w:marRight w:val="0"/>
                  <w:marTop w:val="0"/>
                  <w:marBottom w:val="0"/>
                  <w:divBdr>
                    <w:top w:val="none" w:sz="0" w:space="0" w:color="auto"/>
                    <w:left w:val="none" w:sz="0" w:space="0" w:color="auto"/>
                    <w:bottom w:val="none" w:sz="0" w:space="0" w:color="auto"/>
                    <w:right w:val="none" w:sz="0" w:space="0" w:color="auto"/>
                  </w:divBdr>
                  <w:divsChild>
                    <w:div w:id="17070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91704">
      <w:bodyDiv w:val="1"/>
      <w:marLeft w:val="0"/>
      <w:marRight w:val="0"/>
      <w:marTop w:val="0"/>
      <w:marBottom w:val="0"/>
      <w:divBdr>
        <w:top w:val="none" w:sz="0" w:space="0" w:color="auto"/>
        <w:left w:val="none" w:sz="0" w:space="0" w:color="auto"/>
        <w:bottom w:val="none" w:sz="0" w:space="0" w:color="auto"/>
        <w:right w:val="none" w:sz="0" w:space="0" w:color="auto"/>
      </w:divBdr>
      <w:divsChild>
        <w:div w:id="525871974">
          <w:marLeft w:val="547"/>
          <w:marRight w:val="0"/>
          <w:marTop w:val="0"/>
          <w:marBottom w:val="0"/>
          <w:divBdr>
            <w:top w:val="none" w:sz="0" w:space="0" w:color="auto"/>
            <w:left w:val="none" w:sz="0" w:space="0" w:color="auto"/>
            <w:bottom w:val="none" w:sz="0" w:space="0" w:color="auto"/>
            <w:right w:val="none" w:sz="0" w:space="0" w:color="auto"/>
          </w:divBdr>
        </w:div>
        <w:div w:id="852649898">
          <w:marLeft w:val="547"/>
          <w:marRight w:val="0"/>
          <w:marTop w:val="0"/>
          <w:marBottom w:val="0"/>
          <w:divBdr>
            <w:top w:val="none" w:sz="0" w:space="0" w:color="auto"/>
            <w:left w:val="none" w:sz="0" w:space="0" w:color="auto"/>
            <w:bottom w:val="none" w:sz="0" w:space="0" w:color="auto"/>
            <w:right w:val="none" w:sz="0" w:space="0" w:color="auto"/>
          </w:divBdr>
        </w:div>
        <w:div w:id="1319654101">
          <w:marLeft w:val="547"/>
          <w:marRight w:val="0"/>
          <w:marTop w:val="0"/>
          <w:marBottom w:val="0"/>
          <w:divBdr>
            <w:top w:val="none" w:sz="0" w:space="0" w:color="auto"/>
            <w:left w:val="none" w:sz="0" w:space="0" w:color="auto"/>
            <w:bottom w:val="none" w:sz="0" w:space="0" w:color="auto"/>
            <w:right w:val="none" w:sz="0" w:space="0" w:color="auto"/>
          </w:divBdr>
        </w:div>
        <w:div w:id="1386486655">
          <w:marLeft w:val="547"/>
          <w:marRight w:val="0"/>
          <w:marTop w:val="0"/>
          <w:marBottom w:val="0"/>
          <w:divBdr>
            <w:top w:val="none" w:sz="0" w:space="0" w:color="auto"/>
            <w:left w:val="none" w:sz="0" w:space="0" w:color="auto"/>
            <w:bottom w:val="none" w:sz="0" w:space="0" w:color="auto"/>
            <w:right w:val="none" w:sz="0" w:space="0" w:color="auto"/>
          </w:divBdr>
        </w:div>
      </w:divsChild>
    </w:div>
    <w:div w:id="2042781935">
      <w:bodyDiv w:val="1"/>
      <w:marLeft w:val="0"/>
      <w:marRight w:val="0"/>
      <w:marTop w:val="0"/>
      <w:marBottom w:val="0"/>
      <w:divBdr>
        <w:top w:val="none" w:sz="0" w:space="0" w:color="auto"/>
        <w:left w:val="none" w:sz="0" w:space="0" w:color="auto"/>
        <w:bottom w:val="none" w:sz="0" w:space="0" w:color="auto"/>
        <w:right w:val="none" w:sz="0" w:space="0" w:color="auto"/>
      </w:divBdr>
      <w:divsChild>
        <w:div w:id="194120115">
          <w:marLeft w:val="720"/>
          <w:marRight w:val="0"/>
          <w:marTop w:val="0"/>
          <w:marBottom w:val="0"/>
          <w:divBdr>
            <w:top w:val="none" w:sz="0" w:space="0" w:color="auto"/>
            <w:left w:val="none" w:sz="0" w:space="0" w:color="auto"/>
            <w:bottom w:val="none" w:sz="0" w:space="0" w:color="auto"/>
            <w:right w:val="none" w:sz="0" w:space="0" w:color="auto"/>
          </w:divBdr>
        </w:div>
        <w:div w:id="1792046919">
          <w:marLeft w:val="720"/>
          <w:marRight w:val="0"/>
          <w:marTop w:val="0"/>
          <w:marBottom w:val="0"/>
          <w:divBdr>
            <w:top w:val="none" w:sz="0" w:space="0" w:color="auto"/>
            <w:left w:val="none" w:sz="0" w:space="0" w:color="auto"/>
            <w:bottom w:val="none" w:sz="0" w:space="0" w:color="auto"/>
            <w:right w:val="none" w:sz="0" w:space="0" w:color="auto"/>
          </w:divBdr>
        </w:div>
      </w:divsChild>
    </w:div>
    <w:div w:id="2055498515">
      <w:bodyDiv w:val="1"/>
      <w:marLeft w:val="0"/>
      <w:marRight w:val="0"/>
      <w:marTop w:val="0"/>
      <w:marBottom w:val="0"/>
      <w:divBdr>
        <w:top w:val="none" w:sz="0" w:space="0" w:color="auto"/>
        <w:left w:val="none" w:sz="0" w:space="0" w:color="auto"/>
        <w:bottom w:val="none" w:sz="0" w:space="0" w:color="auto"/>
        <w:right w:val="none" w:sz="0" w:space="0" w:color="auto"/>
      </w:divBdr>
    </w:div>
    <w:div w:id="2087653878">
      <w:bodyDiv w:val="1"/>
      <w:marLeft w:val="0"/>
      <w:marRight w:val="0"/>
      <w:marTop w:val="0"/>
      <w:marBottom w:val="0"/>
      <w:divBdr>
        <w:top w:val="none" w:sz="0" w:space="0" w:color="auto"/>
        <w:left w:val="none" w:sz="0" w:space="0" w:color="auto"/>
        <w:bottom w:val="none" w:sz="0" w:space="0" w:color="auto"/>
        <w:right w:val="none" w:sz="0" w:space="0" w:color="auto"/>
      </w:divBdr>
      <w:divsChild>
        <w:div w:id="125239663">
          <w:marLeft w:val="360"/>
          <w:marRight w:val="0"/>
          <w:marTop w:val="0"/>
          <w:marBottom w:val="240"/>
          <w:divBdr>
            <w:top w:val="none" w:sz="0" w:space="0" w:color="auto"/>
            <w:left w:val="none" w:sz="0" w:space="0" w:color="auto"/>
            <w:bottom w:val="none" w:sz="0" w:space="0" w:color="auto"/>
            <w:right w:val="none" w:sz="0" w:space="0" w:color="auto"/>
          </w:divBdr>
        </w:div>
      </w:divsChild>
    </w:div>
    <w:div w:id="2126382741">
      <w:bodyDiv w:val="1"/>
      <w:marLeft w:val="0"/>
      <w:marRight w:val="0"/>
      <w:marTop w:val="0"/>
      <w:marBottom w:val="0"/>
      <w:divBdr>
        <w:top w:val="none" w:sz="0" w:space="0" w:color="auto"/>
        <w:left w:val="none" w:sz="0" w:space="0" w:color="auto"/>
        <w:bottom w:val="none" w:sz="0" w:space="0" w:color="auto"/>
        <w:right w:val="none" w:sz="0" w:space="0" w:color="auto"/>
      </w:divBdr>
    </w:div>
    <w:div w:id="213189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diagramLayout" Target="diagrams/layout2.xm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svg"/><Relationship Id="rId1" Type="http://schemas.openxmlformats.org/officeDocument/2006/relationships/image" Target="media/image28.png"/><Relationship Id="rId4" Type="http://schemas.openxmlformats.org/officeDocument/2006/relationships/image" Target="media/image3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DB4C83-6532-44A4-BBCB-7DC3B9ED13C0}" type="doc">
      <dgm:prSet loTypeId="urn:microsoft.com/office/officeart/2011/layout/CircleProcess" loCatId="officeonline" qsTypeId="urn:microsoft.com/office/officeart/2005/8/quickstyle/simple1" qsCatId="simple" csTypeId="urn:microsoft.com/office/officeart/2005/8/colors/accent1_2" csCatId="accent1" phldr="1"/>
      <dgm:spPr/>
      <dgm:t>
        <a:bodyPr/>
        <a:lstStyle/>
        <a:p>
          <a:endParaRPr lang="en-US"/>
        </a:p>
      </dgm:t>
    </dgm:pt>
    <dgm:pt modelId="{50A18D23-53F2-4E28-89EE-5C266BBFEB89}">
      <dgm:prSet phldrT="[Text]" custT="1"/>
      <dgm:spPr/>
      <dgm:t>
        <a:bodyPr/>
        <a:lstStyle/>
        <a:p>
          <a:r>
            <a:rPr lang="en-US" sz="1000" b="1"/>
            <a:t>Description of goods, services, or works, and categories thereof</a:t>
          </a:r>
        </a:p>
      </dgm:t>
    </dgm:pt>
    <dgm:pt modelId="{214B9B67-A6C2-4C6A-8F74-D2E0D4038C6F}" type="parTrans" cxnId="{F41D20F9-7C54-477E-BF89-D57A1D697FC9}">
      <dgm:prSet/>
      <dgm:spPr/>
      <dgm:t>
        <a:bodyPr/>
        <a:lstStyle/>
        <a:p>
          <a:endParaRPr lang="en-US"/>
        </a:p>
      </dgm:t>
    </dgm:pt>
    <dgm:pt modelId="{1A29B067-E56A-4568-B0EE-F78126262882}" type="sibTrans" cxnId="{F41D20F9-7C54-477E-BF89-D57A1D697FC9}">
      <dgm:prSet/>
      <dgm:spPr/>
      <dgm:t>
        <a:bodyPr/>
        <a:lstStyle/>
        <a:p>
          <a:endParaRPr lang="en-US"/>
        </a:p>
      </dgm:t>
    </dgm:pt>
    <dgm:pt modelId="{6966F8A3-1765-4DDD-BE87-83EB119EF41A}">
      <dgm:prSet phldrT="[Text]"/>
      <dgm:spPr/>
      <dgm:t>
        <a:bodyPr/>
        <a:lstStyle/>
        <a:p>
          <a:r>
            <a:rPr lang="en-US" b="1"/>
            <a:t>Method of submitting applications</a:t>
          </a:r>
        </a:p>
      </dgm:t>
    </dgm:pt>
    <dgm:pt modelId="{F769769D-67A1-4F93-A022-B19C2F4539C2}" type="parTrans" cxnId="{EF21CEEE-CDFC-468D-B57F-D27D05D1CF93}">
      <dgm:prSet/>
      <dgm:spPr/>
      <dgm:t>
        <a:bodyPr/>
        <a:lstStyle/>
        <a:p>
          <a:endParaRPr lang="en-US"/>
        </a:p>
      </dgm:t>
    </dgm:pt>
    <dgm:pt modelId="{E104AA74-1EAF-4A4F-82A5-12B8E674A7B3}" type="sibTrans" cxnId="{EF21CEEE-CDFC-468D-B57F-D27D05D1CF93}">
      <dgm:prSet/>
      <dgm:spPr/>
      <dgm:t>
        <a:bodyPr/>
        <a:lstStyle/>
        <a:p>
          <a:endParaRPr lang="en-US"/>
        </a:p>
      </dgm:t>
    </dgm:pt>
    <dgm:pt modelId="{3712BC54-8A35-45B0-9CE0-E16925BA6366}">
      <dgm:prSet/>
      <dgm:spPr/>
      <dgm:t>
        <a:bodyPr/>
        <a:lstStyle/>
        <a:p>
          <a:r>
            <a:rPr lang="en-US" b="1"/>
            <a:t>Duration of the qualification system</a:t>
          </a:r>
        </a:p>
      </dgm:t>
    </dgm:pt>
    <dgm:pt modelId="{FEDD5136-225B-44EA-A572-A8C5FF63C1AC}" type="parTrans" cxnId="{A2E350BB-6AFF-43EA-8B26-2E6E335D85C3}">
      <dgm:prSet/>
      <dgm:spPr/>
      <dgm:t>
        <a:bodyPr/>
        <a:lstStyle/>
        <a:p>
          <a:endParaRPr lang="en-US"/>
        </a:p>
      </dgm:t>
    </dgm:pt>
    <dgm:pt modelId="{077164C1-54B3-4BC4-A02D-49690B0F1B3B}" type="sibTrans" cxnId="{A2E350BB-6AFF-43EA-8B26-2E6E335D85C3}">
      <dgm:prSet/>
      <dgm:spPr/>
      <dgm:t>
        <a:bodyPr/>
        <a:lstStyle/>
        <a:p>
          <a:endParaRPr lang="en-US"/>
        </a:p>
      </dgm:t>
    </dgm:pt>
    <dgm:pt modelId="{22813473-A0DD-4842-A1BA-0FCBBF7E3636}">
      <dgm:prSet custT="1"/>
      <dgm:spPr/>
      <dgm:t>
        <a:bodyPr/>
        <a:lstStyle/>
        <a:p>
          <a:r>
            <a:rPr lang="en-US" sz="1000" b="1"/>
            <a:t>Criteria and rules for functioning of the system</a:t>
          </a:r>
        </a:p>
      </dgm:t>
    </dgm:pt>
    <dgm:pt modelId="{E5CBDCC9-9799-420C-8314-E61CF420D639}" type="parTrans" cxnId="{6B222D10-CFF6-472C-970F-0996A5C83F44}">
      <dgm:prSet/>
      <dgm:spPr/>
      <dgm:t>
        <a:bodyPr/>
        <a:lstStyle/>
        <a:p>
          <a:endParaRPr lang="en-US"/>
        </a:p>
      </dgm:t>
    </dgm:pt>
    <dgm:pt modelId="{FE139134-287B-4E1A-AFE1-50DCD3C1B7BD}" type="sibTrans" cxnId="{6B222D10-CFF6-472C-970F-0996A5C83F44}">
      <dgm:prSet/>
      <dgm:spPr/>
      <dgm:t>
        <a:bodyPr/>
        <a:lstStyle/>
        <a:p>
          <a:endParaRPr lang="en-US"/>
        </a:p>
      </dgm:t>
    </dgm:pt>
    <dgm:pt modelId="{BF976834-9DE4-4162-B199-2A04849D48CD}">
      <dgm:prSet/>
      <dgm:spPr/>
      <dgm:t>
        <a:bodyPr/>
        <a:lstStyle/>
        <a:p>
          <a:r>
            <a:rPr lang="en-US" b="1"/>
            <a:t>criteria for qualitative selection of economic operators</a:t>
          </a:r>
        </a:p>
      </dgm:t>
    </dgm:pt>
    <dgm:pt modelId="{EF4E7F02-C00E-4458-940F-A66CD755D31F}" type="parTrans" cxnId="{58F2FBAF-007B-417B-9DD3-4269A348E31B}">
      <dgm:prSet/>
      <dgm:spPr/>
      <dgm:t>
        <a:bodyPr/>
        <a:lstStyle/>
        <a:p>
          <a:endParaRPr lang="en-US"/>
        </a:p>
      </dgm:t>
    </dgm:pt>
    <dgm:pt modelId="{6D9F795D-EA36-4E9D-94F3-D3BAFDA83337}" type="sibTrans" cxnId="{58F2FBAF-007B-417B-9DD3-4269A348E31B}">
      <dgm:prSet/>
      <dgm:spPr/>
      <dgm:t>
        <a:bodyPr/>
        <a:lstStyle/>
        <a:p>
          <a:endParaRPr lang="en-US"/>
        </a:p>
      </dgm:t>
    </dgm:pt>
    <dgm:pt modelId="{0336614C-045F-4B32-AF79-33DEEBE2ABEE}" type="pres">
      <dgm:prSet presAssocID="{D0DB4C83-6532-44A4-BBCB-7DC3B9ED13C0}" presName="Name0" presStyleCnt="0">
        <dgm:presLayoutVars>
          <dgm:chMax val="11"/>
          <dgm:chPref val="11"/>
          <dgm:dir/>
          <dgm:resizeHandles/>
        </dgm:presLayoutVars>
      </dgm:prSet>
      <dgm:spPr/>
    </dgm:pt>
    <dgm:pt modelId="{57DD5AFA-485E-49CB-927B-27DF10E0CC61}" type="pres">
      <dgm:prSet presAssocID="{6966F8A3-1765-4DDD-BE87-83EB119EF41A}" presName="Accent5" presStyleCnt="0"/>
      <dgm:spPr/>
    </dgm:pt>
    <dgm:pt modelId="{8129FB57-3FB2-4C82-8651-0852F9C5FCD6}" type="pres">
      <dgm:prSet presAssocID="{6966F8A3-1765-4DDD-BE87-83EB119EF41A}" presName="Accent" presStyleLbl="node1" presStyleIdx="0" presStyleCnt="5"/>
      <dgm:spPr/>
    </dgm:pt>
    <dgm:pt modelId="{09812C48-790A-4DA9-8D53-CD9398F74894}" type="pres">
      <dgm:prSet presAssocID="{6966F8A3-1765-4DDD-BE87-83EB119EF41A}" presName="ParentBackground5" presStyleCnt="0"/>
      <dgm:spPr/>
    </dgm:pt>
    <dgm:pt modelId="{D34DD872-9DA8-496F-8C4E-6003F1F58234}" type="pres">
      <dgm:prSet presAssocID="{6966F8A3-1765-4DDD-BE87-83EB119EF41A}" presName="ParentBackground" presStyleLbl="fgAcc1" presStyleIdx="0" presStyleCnt="5"/>
      <dgm:spPr/>
    </dgm:pt>
    <dgm:pt modelId="{3A26D8B1-E642-4912-9B98-0D1085300E48}" type="pres">
      <dgm:prSet presAssocID="{6966F8A3-1765-4DDD-BE87-83EB119EF41A}" presName="Parent5" presStyleLbl="revTx" presStyleIdx="0" presStyleCnt="0">
        <dgm:presLayoutVars>
          <dgm:chMax val="1"/>
          <dgm:chPref val="1"/>
          <dgm:bulletEnabled val="1"/>
        </dgm:presLayoutVars>
      </dgm:prSet>
      <dgm:spPr/>
    </dgm:pt>
    <dgm:pt modelId="{BC432928-5500-4AC5-BBEF-E172E5A302FC}" type="pres">
      <dgm:prSet presAssocID="{3712BC54-8A35-45B0-9CE0-E16925BA6366}" presName="Accent4" presStyleCnt="0"/>
      <dgm:spPr/>
    </dgm:pt>
    <dgm:pt modelId="{69CDE11B-B382-4439-9AB9-AFC20F7CE997}" type="pres">
      <dgm:prSet presAssocID="{3712BC54-8A35-45B0-9CE0-E16925BA6366}" presName="Accent" presStyleLbl="node1" presStyleIdx="1" presStyleCnt="5"/>
      <dgm:spPr/>
    </dgm:pt>
    <dgm:pt modelId="{D2B05B55-4CF4-4D03-BD92-3D5EACC441C9}" type="pres">
      <dgm:prSet presAssocID="{3712BC54-8A35-45B0-9CE0-E16925BA6366}" presName="ParentBackground4" presStyleCnt="0"/>
      <dgm:spPr/>
    </dgm:pt>
    <dgm:pt modelId="{A262DC0B-60F3-4985-92E0-0873BC732676}" type="pres">
      <dgm:prSet presAssocID="{3712BC54-8A35-45B0-9CE0-E16925BA6366}" presName="ParentBackground" presStyleLbl="fgAcc1" presStyleIdx="1" presStyleCnt="5"/>
      <dgm:spPr/>
    </dgm:pt>
    <dgm:pt modelId="{E0E45838-B9CD-4AAF-9051-F6806E394539}" type="pres">
      <dgm:prSet presAssocID="{3712BC54-8A35-45B0-9CE0-E16925BA6366}" presName="Parent4" presStyleLbl="revTx" presStyleIdx="0" presStyleCnt="0">
        <dgm:presLayoutVars>
          <dgm:chMax val="1"/>
          <dgm:chPref val="1"/>
          <dgm:bulletEnabled val="1"/>
        </dgm:presLayoutVars>
      </dgm:prSet>
      <dgm:spPr/>
    </dgm:pt>
    <dgm:pt modelId="{7DF7CCFD-207E-4D72-A6B4-0CE6FE2EA668}" type="pres">
      <dgm:prSet presAssocID="{BF976834-9DE4-4162-B199-2A04849D48CD}" presName="Accent3" presStyleCnt="0"/>
      <dgm:spPr/>
    </dgm:pt>
    <dgm:pt modelId="{9D6C1B3D-2929-4777-9691-FFCC71250D0D}" type="pres">
      <dgm:prSet presAssocID="{BF976834-9DE4-4162-B199-2A04849D48CD}" presName="Accent" presStyleLbl="node1" presStyleIdx="2" presStyleCnt="5"/>
      <dgm:spPr/>
    </dgm:pt>
    <dgm:pt modelId="{457DBC6D-ACAF-4EBB-867E-046E9652E540}" type="pres">
      <dgm:prSet presAssocID="{BF976834-9DE4-4162-B199-2A04849D48CD}" presName="ParentBackground3" presStyleCnt="0"/>
      <dgm:spPr/>
    </dgm:pt>
    <dgm:pt modelId="{2220E58F-790E-4B1F-BC15-15771A6EAF4F}" type="pres">
      <dgm:prSet presAssocID="{BF976834-9DE4-4162-B199-2A04849D48CD}" presName="ParentBackground" presStyleLbl="fgAcc1" presStyleIdx="2" presStyleCnt="5"/>
      <dgm:spPr/>
    </dgm:pt>
    <dgm:pt modelId="{189A7EB5-96FC-46DF-9260-B8881CF6DBA7}" type="pres">
      <dgm:prSet presAssocID="{BF976834-9DE4-4162-B199-2A04849D48CD}" presName="Parent3" presStyleLbl="revTx" presStyleIdx="0" presStyleCnt="0">
        <dgm:presLayoutVars>
          <dgm:chMax val="1"/>
          <dgm:chPref val="1"/>
          <dgm:bulletEnabled val="1"/>
        </dgm:presLayoutVars>
      </dgm:prSet>
      <dgm:spPr/>
    </dgm:pt>
    <dgm:pt modelId="{0CF7E98F-5CA0-444F-9566-4E82F4EF0BBE}" type="pres">
      <dgm:prSet presAssocID="{22813473-A0DD-4842-A1BA-0FCBBF7E3636}" presName="Accent2" presStyleCnt="0"/>
      <dgm:spPr/>
    </dgm:pt>
    <dgm:pt modelId="{06AD240B-1B4D-4D12-B01F-38178A09E26F}" type="pres">
      <dgm:prSet presAssocID="{22813473-A0DD-4842-A1BA-0FCBBF7E3636}" presName="Accent" presStyleLbl="node1" presStyleIdx="3" presStyleCnt="5"/>
      <dgm:spPr/>
    </dgm:pt>
    <dgm:pt modelId="{530B5DF0-9B93-473F-B88E-C1ED8DB65B9A}" type="pres">
      <dgm:prSet presAssocID="{22813473-A0DD-4842-A1BA-0FCBBF7E3636}" presName="ParentBackground2" presStyleCnt="0"/>
      <dgm:spPr/>
    </dgm:pt>
    <dgm:pt modelId="{F4BEDD79-CE38-4FFB-A022-741BAE27C2B3}" type="pres">
      <dgm:prSet presAssocID="{22813473-A0DD-4842-A1BA-0FCBBF7E3636}" presName="ParentBackground" presStyleLbl="fgAcc1" presStyleIdx="3" presStyleCnt="5" custLinFactNeighborX="3846"/>
      <dgm:spPr/>
    </dgm:pt>
    <dgm:pt modelId="{15A4A899-6B11-44F1-B13D-54D3E57BBCD8}" type="pres">
      <dgm:prSet presAssocID="{22813473-A0DD-4842-A1BA-0FCBBF7E3636}" presName="Parent2" presStyleLbl="revTx" presStyleIdx="0" presStyleCnt="0">
        <dgm:presLayoutVars>
          <dgm:chMax val="1"/>
          <dgm:chPref val="1"/>
          <dgm:bulletEnabled val="1"/>
        </dgm:presLayoutVars>
      </dgm:prSet>
      <dgm:spPr/>
    </dgm:pt>
    <dgm:pt modelId="{6C90CD46-CB94-4294-B98B-569C84052985}" type="pres">
      <dgm:prSet presAssocID="{50A18D23-53F2-4E28-89EE-5C266BBFEB89}" presName="Accent1" presStyleCnt="0"/>
      <dgm:spPr/>
    </dgm:pt>
    <dgm:pt modelId="{CEAF0507-49FC-46AB-B95D-BDAE83135244}" type="pres">
      <dgm:prSet presAssocID="{50A18D23-53F2-4E28-89EE-5C266BBFEB89}" presName="Accent" presStyleLbl="node1" presStyleIdx="4" presStyleCnt="5"/>
      <dgm:spPr/>
    </dgm:pt>
    <dgm:pt modelId="{0700D68F-7D1C-4B23-AAB3-ED5ECB9E7320}" type="pres">
      <dgm:prSet presAssocID="{50A18D23-53F2-4E28-89EE-5C266BBFEB89}" presName="ParentBackground1" presStyleCnt="0"/>
      <dgm:spPr/>
    </dgm:pt>
    <dgm:pt modelId="{82D9661C-C268-4333-8E1E-DF0CAAB6258F}" type="pres">
      <dgm:prSet presAssocID="{50A18D23-53F2-4E28-89EE-5C266BBFEB89}" presName="ParentBackground" presStyleLbl="fgAcc1" presStyleIdx="4" presStyleCnt="5"/>
      <dgm:spPr/>
    </dgm:pt>
    <dgm:pt modelId="{4CE3AA8A-F0F4-42FA-AC89-A102E2081E9A}" type="pres">
      <dgm:prSet presAssocID="{50A18D23-53F2-4E28-89EE-5C266BBFEB89}" presName="Parent1" presStyleLbl="revTx" presStyleIdx="0" presStyleCnt="0">
        <dgm:presLayoutVars>
          <dgm:chMax val="1"/>
          <dgm:chPref val="1"/>
          <dgm:bulletEnabled val="1"/>
        </dgm:presLayoutVars>
      </dgm:prSet>
      <dgm:spPr/>
    </dgm:pt>
  </dgm:ptLst>
  <dgm:cxnLst>
    <dgm:cxn modelId="{38A8190C-A62E-4B04-B40D-719F40D6707C}" type="presOf" srcId="{50A18D23-53F2-4E28-89EE-5C266BBFEB89}" destId="{4CE3AA8A-F0F4-42FA-AC89-A102E2081E9A}" srcOrd="1" destOrd="0" presId="urn:microsoft.com/office/officeart/2011/layout/CircleProcess"/>
    <dgm:cxn modelId="{6B222D10-CFF6-472C-970F-0996A5C83F44}" srcId="{D0DB4C83-6532-44A4-BBCB-7DC3B9ED13C0}" destId="{22813473-A0DD-4842-A1BA-0FCBBF7E3636}" srcOrd="1" destOrd="0" parTransId="{E5CBDCC9-9799-420C-8314-E61CF420D639}" sibTransId="{FE139134-287B-4E1A-AFE1-50DCD3C1B7BD}"/>
    <dgm:cxn modelId="{F0761B18-EF4E-4C7F-9C86-CC2CF1283940}" type="presOf" srcId="{D0DB4C83-6532-44A4-BBCB-7DC3B9ED13C0}" destId="{0336614C-045F-4B32-AF79-33DEEBE2ABEE}" srcOrd="0" destOrd="0" presId="urn:microsoft.com/office/officeart/2011/layout/CircleProcess"/>
    <dgm:cxn modelId="{9FDF2918-D32D-424A-A3A0-89E7EEE8F54E}" type="presOf" srcId="{BF976834-9DE4-4162-B199-2A04849D48CD}" destId="{2220E58F-790E-4B1F-BC15-15771A6EAF4F}" srcOrd="0" destOrd="0" presId="urn:microsoft.com/office/officeart/2011/layout/CircleProcess"/>
    <dgm:cxn modelId="{87A6C132-D127-4AAF-8F35-B474257411BA}" type="presOf" srcId="{6966F8A3-1765-4DDD-BE87-83EB119EF41A}" destId="{D34DD872-9DA8-496F-8C4E-6003F1F58234}" srcOrd="0" destOrd="0" presId="urn:microsoft.com/office/officeart/2011/layout/CircleProcess"/>
    <dgm:cxn modelId="{F405CF47-5705-4195-A0AC-ACA070BC90FA}" type="presOf" srcId="{22813473-A0DD-4842-A1BA-0FCBBF7E3636}" destId="{F4BEDD79-CE38-4FFB-A022-741BAE27C2B3}" srcOrd="0" destOrd="0" presId="urn:microsoft.com/office/officeart/2011/layout/CircleProcess"/>
    <dgm:cxn modelId="{1FE5C34B-5D9A-47B2-98BA-E64020968CF2}" type="presOf" srcId="{22813473-A0DD-4842-A1BA-0FCBBF7E3636}" destId="{15A4A899-6B11-44F1-B13D-54D3E57BBCD8}" srcOrd="1" destOrd="0" presId="urn:microsoft.com/office/officeart/2011/layout/CircleProcess"/>
    <dgm:cxn modelId="{7A3B7E72-3439-4618-8834-7561BDA9C25D}" type="presOf" srcId="{6966F8A3-1765-4DDD-BE87-83EB119EF41A}" destId="{3A26D8B1-E642-4912-9B98-0D1085300E48}" srcOrd="1" destOrd="0" presId="urn:microsoft.com/office/officeart/2011/layout/CircleProcess"/>
    <dgm:cxn modelId="{7ED7BB73-C422-4596-B39E-5D32DD1AABF8}" type="presOf" srcId="{50A18D23-53F2-4E28-89EE-5C266BBFEB89}" destId="{82D9661C-C268-4333-8E1E-DF0CAAB6258F}" srcOrd="0" destOrd="0" presId="urn:microsoft.com/office/officeart/2011/layout/CircleProcess"/>
    <dgm:cxn modelId="{58F2FBAF-007B-417B-9DD3-4269A348E31B}" srcId="{D0DB4C83-6532-44A4-BBCB-7DC3B9ED13C0}" destId="{BF976834-9DE4-4162-B199-2A04849D48CD}" srcOrd="2" destOrd="0" parTransId="{EF4E7F02-C00E-4458-940F-A66CD755D31F}" sibTransId="{6D9F795D-EA36-4E9D-94F3-D3BAFDA83337}"/>
    <dgm:cxn modelId="{A2E350BB-6AFF-43EA-8B26-2E6E335D85C3}" srcId="{D0DB4C83-6532-44A4-BBCB-7DC3B9ED13C0}" destId="{3712BC54-8A35-45B0-9CE0-E16925BA6366}" srcOrd="3" destOrd="0" parTransId="{FEDD5136-225B-44EA-A572-A8C5FF63C1AC}" sibTransId="{077164C1-54B3-4BC4-A02D-49690B0F1B3B}"/>
    <dgm:cxn modelId="{85ABB1C5-8EFB-4CEE-B061-8EA30757C066}" type="presOf" srcId="{3712BC54-8A35-45B0-9CE0-E16925BA6366}" destId="{A262DC0B-60F3-4985-92E0-0873BC732676}" srcOrd="0" destOrd="0" presId="urn:microsoft.com/office/officeart/2011/layout/CircleProcess"/>
    <dgm:cxn modelId="{DF9961C7-F863-4D28-9FC3-D71C06D5E123}" type="presOf" srcId="{3712BC54-8A35-45B0-9CE0-E16925BA6366}" destId="{E0E45838-B9CD-4AAF-9051-F6806E394539}" srcOrd="1" destOrd="0" presId="urn:microsoft.com/office/officeart/2011/layout/CircleProcess"/>
    <dgm:cxn modelId="{3EF2BFEE-64EB-47BE-9BB4-CBFD5C18AE3E}" type="presOf" srcId="{BF976834-9DE4-4162-B199-2A04849D48CD}" destId="{189A7EB5-96FC-46DF-9260-B8881CF6DBA7}" srcOrd="1" destOrd="0" presId="urn:microsoft.com/office/officeart/2011/layout/CircleProcess"/>
    <dgm:cxn modelId="{EF21CEEE-CDFC-468D-B57F-D27D05D1CF93}" srcId="{D0DB4C83-6532-44A4-BBCB-7DC3B9ED13C0}" destId="{6966F8A3-1765-4DDD-BE87-83EB119EF41A}" srcOrd="4" destOrd="0" parTransId="{F769769D-67A1-4F93-A022-B19C2F4539C2}" sibTransId="{E104AA74-1EAF-4A4F-82A5-12B8E674A7B3}"/>
    <dgm:cxn modelId="{F41D20F9-7C54-477E-BF89-D57A1D697FC9}" srcId="{D0DB4C83-6532-44A4-BBCB-7DC3B9ED13C0}" destId="{50A18D23-53F2-4E28-89EE-5C266BBFEB89}" srcOrd="0" destOrd="0" parTransId="{214B9B67-A6C2-4C6A-8F74-D2E0D4038C6F}" sibTransId="{1A29B067-E56A-4568-B0EE-F78126262882}"/>
    <dgm:cxn modelId="{DA58FD40-6326-4B43-AF7B-BC20747C958B}" type="presParOf" srcId="{0336614C-045F-4B32-AF79-33DEEBE2ABEE}" destId="{57DD5AFA-485E-49CB-927B-27DF10E0CC61}" srcOrd="0" destOrd="0" presId="urn:microsoft.com/office/officeart/2011/layout/CircleProcess"/>
    <dgm:cxn modelId="{8738168F-B8D0-40BA-9CCE-DDA87579D801}" type="presParOf" srcId="{57DD5AFA-485E-49CB-927B-27DF10E0CC61}" destId="{8129FB57-3FB2-4C82-8651-0852F9C5FCD6}" srcOrd="0" destOrd="0" presId="urn:microsoft.com/office/officeart/2011/layout/CircleProcess"/>
    <dgm:cxn modelId="{E9866EAD-DF46-44BF-9CEF-94A7407958F1}" type="presParOf" srcId="{0336614C-045F-4B32-AF79-33DEEBE2ABEE}" destId="{09812C48-790A-4DA9-8D53-CD9398F74894}" srcOrd="1" destOrd="0" presId="urn:microsoft.com/office/officeart/2011/layout/CircleProcess"/>
    <dgm:cxn modelId="{2D7299D0-AF82-4BAF-B83F-9AF399C666E3}" type="presParOf" srcId="{09812C48-790A-4DA9-8D53-CD9398F74894}" destId="{D34DD872-9DA8-496F-8C4E-6003F1F58234}" srcOrd="0" destOrd="0" presId="urn:microsoft.com/office/officeart/2011/layout/CircleProcess"/>
    <dgm:cxn modelId="{DC108525-8E58-4530-85E8-EAA907AD45CB}" type="presParOf" srcId="{0336614C-045F-4B32-AF79-33DEEBE2ABEE}" destId="{3A26D8B1-E642-4912-9B98-0D1085300E48}" srcOrd="2" destOrd="0" presId="urn:microsoft.com/office/officeart/2011/layout/CircleProcess"/>
    <dgm:cxn modelId="{2CFDF7C2-D3E0-4357-A053-34B6192DFFEE}" type="presParOf" srcId="{0336614C-045F-4B32-AF79-33DEEBE2ABEE}" destId="{BC432928-5500-4AC5-BBEF-E172E5A302FC}" srcOrd="3" destOrd="0" presId="urn:microsoft.com/office/officeart/2011/layout/CircleProcess"/>
    <dgm:cxn modelId="{06434E0E-77B1-46AD-8DBC-2B2EAAA477E9}" type="presParOf" srcId="{BC432928-5500-4AC5-BBEF-E172E5A302FC}" destId="{69CDE11B-B382-4439-9AB9-AFC20F7CE997}" srcOrd="0" destOrd="0" presId="urn:microsoft.com/office/officeart/2011/layout/CircleProcess"/>
    <dgm:cxn modelId="{332CA9EC-E2EB-4DB2-A9D2-92EF44C5CCCC}" type="presParOf" srcId="{0336614C-045F-4B32-AF79-33DEEBE2ABEE}" destId="{D2B05B55-4CF4-4D03-BD92-3D5EACC441C9}" srcOrd="4" destOrd="0" presId="urn:microsoft.com/office/officeart/2011/layout/CircleProcess"/>
    <dgm:cxn modelId="{56B83A76-CA98-4717-8B4F-EDFA75A6870A}" type="presParOf" srcId="{D2B05B55-4CF4-4D03-BD92-3D5EACC441C9}" destId="{A262DC0B-60F3-4985-92E0-0873BC732676}" srcOrd="0" destOrd="0" presId="urn:microsoft.com/office/officeart/2011/layout/CircleProcess"/>
    <dgm:cxn modelId="{5822AEE5-A475-4461-841B-36018939F7A3}" type="presParOf" srcId="{0336614C-045F-4B32-AF79-33DEEBE2ABEE}" destId="{E0E45838-B9CD-4AAF-9051-F6806E394539}" srcOrd="5" destOrd="0" presId="urn:microsoft.com/office/officeart/2011/layout/CircleProcess"/>
    <dgm:cxn modelId="{12C2DF2F-5D33-4B7F-9335-8C78A81D63E7}" type="presParOf" srcId="{0336614C-045F-4B32-AF79-33DEEBE2ABEE}" destId="{7DF7CCFD-207E-4D72-A6B4-0CE6FE2EA668}" srcOrd="6" destOrd="0" presId="urn:microsoft.com/office/officeart/2011/layout/CircleProcess"/>
    <dgm:cxn modelId="{2B16CD5D-90B5-4465-9DE6-60BC229CF116}" type="presParOf" srcId="{7DF7CCFD-207E-4D72-A6B4-0CE6FE2EA668}" destId="{9D6C1B3D-2929-4777-9691-FFCC71250D0D}" srcOrd="0" destOrd="0" presId="urn:microsoft.com/office/officeart/2011/layout/CircleProcess"/>
    <dgm:cxn modelId="{715F96C0-F4A2-4225-AF78-BA846E7F32BF}" type="presParOf" srcId="{0336614C-045F-4B32-AF79-33DEEBE2ABEE}" destId="{457DBC6D-ACAF-4EBB-867E-046E9652E540}" srcOrd="7" destOrd="0" presId="urn:microsoft.com/office/officeart/2011/layout/CircleProcess"/>
    <dgm:cxn modelId="{FD092795-B1EF-4051-94C1-8576654378E4}" type="presParOf" srcId="{457DBC6D-ACAF-4EBB-867E-046E9652E540}" destId="{2220E58F-790E-4B1F-BC15-15771A6EAF4F}" srcOrd="0" destOrd="0" presId="urn:microsoft.com/office/officeart/2011/layout/CircleProcess"/>
    <dgm:cxn modelId="{1530910D-A174-4D92-871B-8B6D1E14FBFB}" type="presParOf" srcId="{0336614C-045F-4B32-AF79-33DEEBE2ABEE}" destId="{189A7EB5-96FC-46DF-9260-B8881CF6DBA7}" srcOrd="8" destOrd="0" presId="urn:microsoft.com/office/officeart/2011/layout/CircleProcess"/>
    <dgm:cxn modelId="{6B53C29D-AF56-475B-8023-3BC8AE18AAC5}" type="presParOf" srcId="{0336614C-045F-4B32-AF79-33DEEBE2ABEE}" destId="{0CF7E98F-5CA0-444F-9566-4E82F4EF0BBE}" srcOrd="9" destOrd="0" presId="urn:microsoft.com/office/officeart/2011/layout/CircleProcess"/>
    <dgm:cxn modelId="{A4199B02-D67A-4B58-B309-C2C46E5D014B}" type="presParOf" srcId="{0CF7E98F-5CA0-444F-9566-4E82F4EF0BBE}" destId="{06AD240B-1B4D-4D12-B01F-38178A09E26F}" srcOrd="0" destOrd="0" presId="urn:microsoft.com/office/officeart/2011/layout/CircleProcess"/>
    <dgm:cxn modelId="{52E636FC-42A9-4190-8F16-FE75C4D91D1C}" type="presParOf" srcId="{0336614C-045F-4B32-AF79-33DEEBE2ABEE}" destId="{530B5DF0-9B93-473F-B88E-C1ED8DB65B9A}" srcOrd="10" destOrd="0" presId="urn:microsoft.com/office/officeart/2011/layout/CircleProcess"/>
    <dgm:cxn modelId="{6993AD95-7E27-4EBA-9911-4368A25026E1}" type="presParOf" srcId="{530B5DF0-9B93-473F-B88E-C1ED8DB65B9A}" destId="{F4BEDD79-CE38-4FFB-A022-741BAE27C2B3}" srcOrd="0" destOrd="0" presId="urn:microsoft.com/office/officeart/2011/layout/CircleProcess"/>
    <dgm:cxn modelId="{BE4E3995-DC11-4CAE-997A-F725709FF57B}" type="presParOf" srcId="{0336614C-045F-4B32-AF79-33DEEBE2ABEE}" destId="{15A4A899-6B11-44F1-B13D-54D3E57BBCD8}" srcOrd="11" destOrd="0" presId="urn:microsoft.com/office/officeart/2011/layout/CircleProcess"/>
    <dgm:cxn modelId="{8B69DD14-D651-4914-A141-B3880E2CEAD4}" type="presParOf" srcId="{0336614C-045F-4B32-AF79-33DEEBE2ABEE}" destId="{6C90CD46-CB94-4294-B98B-569C84052985}" srcOrd="12" destOrd="0" presId="urn:microsoft.com/office/officeart/2011/layout/CircleProcess"/>
    <dgm:cxn modelId="{A653D6CB-053E-4724-B7BD-2674101386B2}" type="presParOf" srcId="{6C90CD46-CB94-4294-B98B-569C84052985}" destId="{CEAF0507-49FC-46AB-B95D-BDAE83135244}" srcOrd="0" destOrd="0" presId="urn:microsoft.com/office/officeart/2011/layout/CircleProcess"/>
    <dgm:cxn modelId="{375B5B7A-D74B-421E-AC4D-B3E16AA7E90E}" type="presParOf" srcId="{0336614C-045F-4B32-AF79-33DEEBE2ABEE}" destId="{0700D68F-7D1C-4B23-AAB3-ED5ECB9E7320}" srcOrd="13" destOrd="0" presId="urn:microsoft.com/office/officeart/2011/layout/CircleProcess"/>
    <dgm:cxn modelId="{B8B1278B-2AC1-498B-9632-81FF7FA20582}" type="presParOf" srcId="{0700D68F-7D1C-4B23-AAB3-ED5ECB9E7320}" destId="{82D9661C-C268-4333-8E1E-DF0CAAB6258F}" srcOrd="0" destOrd="0" presId="urn:microsoft.com/office/officeart/2011/layout/CircleProcess"/>
    <dgm:cxn modelId="{F1D58634-D190-4892-BDD7-B250C7FA2571}" type="presParOf" srcId="{0336614C-045F-4B32-AF79-33DEEBE2ABEE}" destId="{4CE3AA8A-F0F4-42FA-AC89-A102E2081E9A}" srcOrd="14" destOrd="0" presId="urn:microsoft.com/office/officeart/2011/layout/Circle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43F8A6-FCB4-4896-ABA8-BC0E8EBF798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965AD793-5F13-413A-94AD-FD5EE478220E}">
      <dgm:prSet phldrT="[Text]"/>
      <dgm:spPr/>
      <dgm:t>
        <a:bodyPr/>
        <a:lstStyle/>
        <a:p>
          <a:r>
            <a:rPr lang="en-US"/>
            <a:t>Initiating a public procurement procedure</a:t>
          </a:r>
        </a:p>
      </dgm:t>
    </dgm:pt>
    <dgm:pt modelId="{D351586F-C8ED-4643-A697-17EFA0C29E1B}" type="parTrans" cxnId="{B0741B4B-A7E8-4F2F-93EC-4096173A9D65}">
      <dgm:prSet/>
      <dgm:spPr/>
      <dgm:t>
        <a:bodyPr/>
        <a:lstStyle/>
        <a:p>
          <a:endParaRPr lang="en-US"/>
        </a:p>
      </dgm:t>
    </dgm:pt>
    <dgm:pt modelId="{AE6AF8C3-46DF-40FA-A3D8-CB08E61C692B}" type="sibTrans" cxnId="{B0741B4B-A7E8-4F2F-93EC-4096173A9D65}">
      <dgm:prSet/>
      <dgm:spPr/>
      <dgm:t>
        <a:bodyPr/>
        <a:lstStyle/>
        <a:p>
          <a:endParaRPr lang="en-US"/>
        </a:p>
      </dgm:t>
    </dgm:pt>
    <dgm:pt modelId="{6CAD3853-44F1-4F31-ADDA-4E59EE3D3CCF}">
      <dgm:prSet phldrT="[Text]"/>
      <dgm:spPr/>
      <dgm:t>
        <a:bodyPr/>
        <a:lstStyle/>
        <a:p>
          <a:r>
            <a:rPr lang="en-US"/>
            <a:t>Initial valuation of tenders</a:t>
          </a:r>
        </a:p>
      </dgm:t>
    </dgm:pt>
    <dgm:pt modelId="{EEA0CB73-8673-46EB-AEB5-C438928A5AA5}" type="parTrans" cxnId="{44916C62-4AF9-40E2-8F88-9918A41073D0}">
      <dgm:prSet/>
      <dgm:spPr/>
      <dgm:t>
        <a:bodyPr/>
        <a:lstStyle/>
        <a:p>
          <a:endParaRPr lang="en-US"/>
        </a:p>
      </dgm:t>
    </dgm:pt>
    <dgm:pt modelId="{28C6670B-CCF4-403C-B893-A9278B21246D}" type="sibTrans" cxnId="{44916C62-4AF9-40E2-8F88-9918A41073D0}">
      <dgm:prSet/>
      <dgm:spPr/>
      <dgm:t>
        <a:bodyPr/>
        <a:lstStyle/>
        <a:p>
          <a:endParaRPr lang="en-US"/>
        </a:p>
      </dgm:t>
    </dgm:pt>
    <dgm:pt modelId="{5D577340-B346-46AD-90D2-13644304ADAF}">
      <dgm:prSet phldrT="[Text]"/>
      <dgm:spPr/>
      <dgm:t>
        <a:bodyPr/>
        <a:lstStyle/>
        <a:p>
          <a:r>
            <a:rPr lang="en-US"/>
            <a:t>Invitation to take part in electronic auction - acceptable tenders </a:t>
          </a:r>
        </a:p>
      </dgm:t>
    </dgm:pt>
    <dgm:pt modelId="{6BCAD2DC-B14B-40A6-95A9-477ADC303D56}" type="parTrans" cxnId="{93464040-539E-4953-A21D-718C0ED81DAE}">
      <dgm:prSet/>
      <dgm:spPr/>
      <dgm:t>
        <a:bodyPr/>
        <a:lstStyle/>
        <a:p>
          <a:endParaRPr lang="en-US"/>
        </a:p>
      </dgm:t>
    </dgm:pt>
    <dgm:pt modelId="{FFBFF28F-09AE-426B-8071-019DF4A88B2C}" type="sibTrans" cxnId="{93464040-539E-4953-A21D-718C0ED81DAE}">
      <dgm:prSet/>
      <dgm:spPr/>
      <dgm:t>
        <a:bodyPr/>
        <a:lstStyle/>
        <a:p>
          <a:endParaRPr lang="en-US"/>
        </a:p>
      </dgm:t>
    </dgm:pt>
    <dgm:pt modelId="{616F2E7D-91CD-4CC6-948B-21769148B71D}">
      <dgm:prSet phldrT="[Text]"/>
      <dgm:spPr/>
      <dgm:t>
        <a:bodyPr/>
        <a:lstStyle/>
        <a:p>
          <a:r>
            <a:rPr lang="en-US"/>
            <a:t>Start of electronic auction - at least two working days from the invitation </a:t>
          </a:r>
        </a:p>
      </dgm:t>
    </dgm:pt>
    <dgm:pt modelId="{B6C751B4-F6C8-4DA0-B734-DC4B7C4EED09}" type="parTrans" cxnId="{DB8144D8-EFA2-4A2C-9A52-39B49B4A007F}">
      <dgm:prSet/>
      <dgm:spPr/>
      <dgm:t>
        <a:bodyPr/>
        <a:lstStyle/>
        <a:p>
          <a:endParaRPr lang="en-US"/>
        </a:p>
      </dgm:t>
    </dgm:pt>
    <dgm:pt modelId="{6DE286DB-2721-4FDA-8EA6-A949A8119DFA}" type="sibTrans" cxnId="{DB8144D8-EFA2-4A2C-9A52-39B49B4A007F}">
      <dgm:prSet/>
      <dgm:spPr/>
      <dgm:t>
        <a:bodyPr/>
        <a:lstStyle/>
        <a:p>
          <a:endParaRPr lang="en-US"/>
        </a:p>
      </dgm:t>
    </dgm:pt>
    <dgm:pt modelId="{41C0706F-324C-4902-A313-6A16B60E32F8}">
      <dgm:prSet phldrT="[Text]"/>
      <dgm:spPr/>
      <dgm:t>
        <a:bodyPr/>
        <a:lstStyle/>
        <a:p>
          <a:r>
            <a:rPr lang="en-US"/>
            <a:t>End of auctioning - public announcement of names and ranks of all tenderers that participated in the auction</a:t>
          </a:r>
        </a:p>
      </dgm:t>
    </dgm:pt>
    <dgm:pt modelId="{0EE05D34-95F0-4348-9EFE-A5331991F14E}" type="parTrans" cxnId="{760AE42B-CFD0-4627-8B04-EDC7FBB9250D}">
      <dgm:prSet/>
      <dgm:spPr/>
      <dgm:t>
        <a:bodyPr/>
        <a:lstStyle/>
        <a:p>
          <a:endParaRPr lang="en-US"/>
        </a:p>
      </dgm:t>
    </dgm:pt>
    <dgm:pt modelId="{2BDC9E72-6596-4F6E-A86A-846816670774}" type="sibTrans" cxnId="{760AE42B-CFD0-4627-8B04-EDC7FBB9250D}">
      <dgm:prSet/>
      <dgm:spPr/>
      <dgm:t>
        <a:bodyPr/>
        <a:lstStyle/>
        <a:p>
          <a:endParaRPr lang="en-US"/>
        </a:p>
      </dgm:t>
    </dgm:pt>
    <dgm:pt modelId="{681B9E61-7B48-4EB5-88EF-268C37588D47}">
      <dgm:prSet/>
      <dgm:spPr/>
      <dgm:t>
        <a:bodyPr/>
        <a:lstStyle/>
        <a:p>
          <a:r>
            <a:rPr lang="en-US"/>
            <a:t>Decision on awarding contract</a:t>
          </a:r>
        </a:p>
      </dgm:t>
    </dgm:pt>
    <dgm:pt modelId="{43634B75-2C52-4041-8F4F-80346805CB18}" type="parTrans" cxnId="{C3F95AE8-0C67-4D1A-B3EE-C7EE0920AC7B}">
      <dgm:prSet/>
      <dgm:spPr/>
    </dgm:pt>
    <dgm:pt modelId="{4C79233F-2491-4A0B-9AB2-EB4CCDA8F02E}" type="sibTrans" cxnId="{C3F95AE8-0C67-4D1A-B3EE-C7EE0920AC7B}">
      <dgm:prSet/>
      <dgm:spPr/>
    </dgm:pt>
    <dgm:pt modelId="{3DC30048-BF38-444F-BE31-D602C1C1DE2C}" type="pres">
      <dgm:prSet presAssocID="{1243F8A6-FCB4-4896-ABA8-BC0E8EBF7982}" presName="Name0" presStyleCnt="0">
        <dgm:presLayoutVars>
          <dgm:dir/>
          <dgm:resizeHandles val="exact"/>
        </dgm:presLayoutVars>
      </dgm:prSet>
      <dgm:spPr/>
    </dgm:pt>
    <dgm:pt modelId="{68F781DC-9250-4EAB-AD87-71A4C3390F3A}" type="pres">
      <dgm:prSet presAssocID="{965AD793-5F13-413A-94AD-FD5EE478220E}" presName="node" presStyleLbl="node1" presStyleIdx="0" presStyleCnt="6">
        <dgm:presLayoutVars>
          <dgm:bulletEnabled val="1"/>
        </dgm:presLayoutVars>
      </dgm:prSet>
      <dgm:spPr/>
    </dgm:pt>
    <dgm:pt modelId="{9CDE45BF-0185-4B78-874E-4235AE142DFD}" type="pres">
      <dgm:prSet presAssocID="{AE6AF8C3-46DF-40FA-A3D8-CB08E61C692B}" presName="sibTrans" presStyleLbl="sibTrans1D1" presStyleIdx="0" presStyleCnt="5"/>
      <dgm:spPr/>
    </dgm:pt>
    <dgm:pt modelId="{CE72F4C3-40FF-4FD9-AE5D-A95855622549}" type="pres">
      <dgm:prSet presAssocID="{AE6AF8C3-46DF-40FA-A3D8-CB08E61C692B}" presName="connectorText" presStyleLbl="sibTrans1D1" presStyleIdx="0" presStyleCnt="5"/>
      <dgm:spPr/>
    </dgm:pt>
    <dgm:pt modelId="{EB66F224-3F05-4E79-9D16-5A50FB3B51EC}" type="pres">
      <dgm:prSet presAssocID="{6CAD3853-44F1-4F31-ADDA-4E59EE3D3CCF}" presName="node" presStyleLbl="node1" presStyleIdx="1" presStyleCnt="6">
        <dgm:presLayoutVars>
          <dgm:bulletEnabled val="1"/>
        </dgm:presLayoutVars>
      </dgm:prSet>
      <dgm:spPr/>
    </dgm:pt>
    <dgm:pt modelId="{F992FDDC-AFA4-4B2C-952E-902F839AA0E8}" type="pres">
      <dgm:prSet presAssocID="{28C6670B-CCF4-403C-B893-A9278B21246D}" presName="sibTrans" presStyleLbl="sibTrans1D1" presStyleIdx="1" presStyleCnt="5"/>
      <dgm:spPr/>
    </dgm:pt>
    <dgm:pt modelId="{18D33374-DCE1-4F07-AF6E-D52C04819361}" type="pres">
      <dgm:prSet presAssocID="{28C6670B-CCF4-403C-B893-A9278B21246D}" presName="connectorText" presStyleLbl="sibTrans1D1" presStyleIdx="1" presStyleCnt="5"/>
      <dgm:spPr/>
    </dgm:pt>
    <dgm:pt modelId="{B7142AE2-29E7-4BB0-A53A-6510CC2E627B}" type="pres">
      <dgm:prSet presAssocID="{5D577340-B346-46AD-90D2-13644304ADAF}" presName="node" presStyleLbl="node1" presStyleIdx="2" presStyleCnt="6">
        <dgm:presLayoutVars>
          <dgm:bulletEnabled val="1"/>
        </dgm:presLayoutVars>
      </dgm:prSet>
      <dgm:spPr/>
    </dgm:pt>
    <dgm:pt modelId="{8D09A033-45EF-4EF4-BF7A-63B4DA491512}" type="pres">
      <dgm:prSet presAssocID="{FFBFF28F-09AE-426B-8071-019DF4A88B2C}" presName="sibTrans" presStyleLbl="sibTrans1D1" presStyleIdx="2" presStyleCnt="5"/>
      <dgm:spPr/>
    </dgm:pt>
    <dgm:pt modelId="{36963E0E-8B2F-4EF4-8395-44B3BE28A96D}" type="pres">
      <dgm:prSet presAssocID="{FFBFF28F-09AE-426B-8071-019DF4A88B2C}" presName="connectorText" presStyleLbl="sibTrans1D1" presStyleIdx="2" presStyleCnt="5"/>
      <dgm:spPr/>
    </dgm:pt>
    <dgm:pt modelId="{2B39E2B0-F9C3-43E5-AE44-E2E30AAF6C6B}" type="pres">
      <dgm:prSet presAssocID="{616F2E7D-91CD-4CC6-948B-21769148B71D}" presName="node" presStyleLbl="node1" presStyleIdx="3" presStyleCnt="6">
        <dgm:presLayoutVars>
          <dgm:bulletEnabled val="1"/>
        </dgm:presLayoutVars>
      </dgm:prSet>
      <dgm:spPr/>
    </dgm:pt>
    <dgm:pt modelId="{04378011-1FA2-4B79-9424-B7AF55786E89}" type="pres">
      <dgm:prSet presAssocID="{6DE286DB-2721-4FDA-8EA6-A949A8119DFA}" presName="sibTrans" presStyleLbl="sibTrans1D1" presStyleIdx="3" presStyleCnt="5"/>
      <dgm:spPr/>
    </dgm:pt>
    <dgm:pt modelId="{7EFDE54B-9BCC-4EC2-8AA2-E9CF6DAFDA69}" type="pres">
      <dgm:prSet presAssocID="{6DE286DB-2721-4FDA-8EA6-A949A8119DFA}" presName="connectorText" presStyleLbl="sibTrans1D1" presStyleIdx="3" presStyleCnt="5"/>
      <dgm:spPr/>
    </dgm:pt>
    <dgm:pt modelId="{F0B92A2A-71F8-4629-A159-A78B9D452E07}" type="pres">
      <dgm:prSet presAssocID="{41C0706F-324C-4902-A313-6A16B60E32F8}" presName="node" presStyleLbl="node1" presStyleIdx="4" presStyleCnt="6">
        <dgm:presLayoutVars>
          <dgm:bulletEnabled val="1"/>
        </dgm:presLayoutVars>
      </dgm:prSet>
      <dgm:spPr/>
    </dgm:pt>
    <dgm:pt modelId="{2C4C4948-E3B3-434A-BF28-9E4B9DC1FCB9}" type="pres">
      <dgm:prSet presAssocID="{2BDC9E72-6596-4F6E-A86A-846816670774}" presName="sibTrans" presStyleLbl="sibTrans1D1" presStyleIdx="4" presStyleCnt="5"/>
      <dgm:spPr/>
    </dgm:pt>
    <dgm:pt modelId="{B0CEF0E3-BAAD-4B53-8F47-72AE57265F91}" type="pres">
      <dgm:prSet presAssocID="{2BDC9E72-6596-4F6E-A86A-846816670774}" presName="connectorText" presStyleLbl="sibTrans1D1" presStyleIdx="4" presStyleCnt="5"/>
      <dgm:spPr/>
    </dgm:pt>
    <dgm:pt modelId="{199AEE8C-CF9A-489C-A8AF-65BE70A6E03C}" type="pres">
      <dgm:prSet presAssocID="{681B9E61-7B48-4EB5-88EF-268C37588D47}" presName="node" presStyleLbl="node1" presStyleIdx="5" presStyleCnt="6">
        <dgm:presLayoutVars>
          <dgm:bulletEnabled val="1"/>
        </dgm:presLayoutVars>
      </dgm:prSet>
      <dgm:spPr/>
    </dgm:pt>
  </dgm:ptLst>
  <dgm:cxnLst>
    <dgm:cxn modelId="{760AE42B-CFD0-4627-8B04-EDC7FBB9250D}" srcId="{1243F8A6-FCB4-4896-ABA8-BC0E8EBF7982}" destId="{41C0706F-324C-4902-A313-6A16B60E32F8}" srcOrd="4" destOrd="0" parTransId="{0EE05D34-95F0-4348-9EFE-A5331991F14E}" sibTransId="{2BDC9E72-6596-4F6E-A86A-846816670774}"/>
    <dgm:cxn modelId="{98FC1238-F242-4218-A4A6-19F374F1B74D}" type="presOf" srcId="{965AD793-5F13-413A-94AD-FD5EE478220E}" destId="{68F781DC-9250-4EAB-AD87-71A4C3390F3A}" srcOrd="0" destOrd="0" presId="urn:microsoft.com/office/officeart/2005/8/layout/bProcess3"/>
    <dgm:cxn modelId="{AE560A3E-229E-4986-89FE-AFA7C800938C}" type="presOf" srcId="{FFBFF28F-09AE-426B-8071-019DF4A88B2C}" destId="{36963E0E-8B2F-4EF4-8395-44B3BE28A96D}" srcOrd="1" destOrd="0" presId="urn:microsoft.com/office/officeart/2005/8/layout/bProcess3"/>
    <dgm:cxn modelId="{93464040-539E-4953-A21D-718C0ED81DAE}" srcId="{1243F8A6-FCB4-4896-ABA8-BC0E8EBF7982}" destId="{5D577340-B346-46AD-90D2-13644304ADAF}" srcOrd="2" destOrd="0" parTransId="{6BCAD2DC-B14B-40A6-95A9-477ADC303D56}" sibTransId="{FFBFF28F-09AE-426B-8071-019DF4A88B2C}"/>
    <dgm:cxn modelId="{44916C62-4AF9-40E2-8F88-9918A41073D0}" srcId="{1243F8A6-FCB4-4896-ABA8-BC0E8EBF7982}" destId="{6CAD3853-44F1-4F31-ADDA-4E59EE3D3CCF}" srcOrd="1" destOrd="0" parTransId="{EEA0CB73-8673-46EB-AEB5-C438928A5AA5}" sibTransId="{28C6670B-CCF4-403C-B893-A9278B21246D}"/>
    <dgm:cxn modelId="{F09A5A62-1DF5-4081-A7C4-447AA52BDF56}" type="presOf" srcId="{FFBFF28F-09AE-426B-8071-019DF4A88B2C}" destId="{8D09A033-45EF-4EF4-BF7A-63B4DA491512}" srcOrd="0" destOrd="0" presId="urn:microsoft.com/office/officeart/2005/8/layout/bProcess3"/>
    <dgm:cxn modelId="{3121EA63-56DD-4B2D-8770-2F101B868F0F}" type="presOf" srcId="{AE6AF8C3-46DF-40FA-A3D8-CB08E61C692B}" destId="{9CDE45BF-0185-4B78-874E-4235AE142DFD}" srcOrd="0" destOrd="0" presId="urn:microsoft.com/office/officeart/2005/8/layout/bProcess3"/>
    <dgm:cxn modelId="{B0741B4B-A7E8-4F2F-93EC-4096173A9D65}" srcId="{1243F8A6-FCB4-4896-ABA8-BC0E8EBF7982}" destId="{965AD793-5F13-413A-94AD-FD5EE478220E}" srcOrd="0" destOrd="0" parTransId="{D351586F-C8ED-4643-A697-17EFA0C29E1B}" sibTransId="{AE6AF8C3-46DF-40FA-A3D8-CB08E61C692B}"/>
    <dgm:cxn modelId="{F3060F4D-7B75-4992-8ABC-0AD04B6BFEDC}" type="presOf" srcId="{616F2E7D-91CD-4CC6-948B-21769148B71D}" destId="{2B39E2B0-F9C3-43E5-AE44-E2E30AAF6C6B}" srcOrd="0" destOrd="0" presId="urn:microsoft.com/office/officeart/2005/8/layout/bProcess3"/>
    <dgm:cxn modelId="{41B6E150-1D89-4972-986F-2FF0B5C29623}" type="presOf" srcId="{6DE286DB-2721-4FDA-8EA6-A949A8119DFA}" destId="{04378011-1FA2-4B79-9424-B7AF55786E89}" srcOrd="0" destOrd="0" presId="urn:microsoft.com/office/officeart/2005/8/layout/bProcess3"/>
    <dgm:cxn modelId="{1BBB9E77-0AB4-4CF9-B4A2-DA065ABEC6D2}" type="presOf" srcId="{28C6670B-CCF4-403C-B893-A9278B21246D}" destId="{18D33374-DCE1-4F07-AF6E-D52C04819361}" srcOrd="1" destOrd="0" presId="urn:microsoft.com/office/officeart/2005/8/layout/bProcess3"/>
    <dgm:cxn modelId="{E8487093-86C3-4CD0-8229-2EB7CCCF1B08}" type="presOf" srcId="{41C0706F-324C-4902-A313-6A16B60E32F8}" destId="{F0B92A2A-71F8-4629-A159-A78B9D452E07}" srcOrd="0" destOrd="0" presId="urn:microsoft.com/office/officeart/2005/8/layout/bProcess3"/>
    <dgm:cxn modelId="{9652EA99-2DEB-423B-88FE-A48A5CC589AC}" type="presOf" srcId="{1243F8A6-FCB4-4896-ABA8-BC0E8EBF7982}" destId="{3DC30048-BF38-444F-BE31-D602C1C1DE2C}" srcOrd="0" destOrd="0" presId="urn:microsoft.com/office/officeart/2005/8/layout/bProcess3"/>
    <dgm:cxn modelId="{B61029A2-1FD4-4145-B8B1-84F737FDFC77}" type="presOf" srcId="{AE6AF8C3-46DF-40FA-A3D8-CB08E61C692B}" destId="{CE72F4C3-40FF-4FD9-AE5D-A95855622549}" srcOrd="1" destOrd="0" presId="urn:microsoft.com/office/officeart/2005/8/layout/bProcess3"/>
    <dgm:cxn modelId="{D13BE7C9-F2C1-4623-8252-8581C280CE24}" type="presOf" srcId="{5D577340-B346-46AD-90D2-13644304ADAF}" destId="{B7142AE2-29E7-4BB0-A53A-6510CC2E627B}" srcOrd="0" destOrd="0" presId="urn:microsoft.com/office/officeart/2005/8/layout/bProcess3"/>
    <dgm:cxn modelId="{7A3D6ECC-1AB3-4C76-841A-8C7CA9EC7332}" type="presOf" srcId="{28C6670B-CCF4-403C-B893-A9278B21246D}" destId="{F992FDDC-AFA4-4B2C-952E-902F839AA0E8}" srcOrd="0" destOrd="0" presId="urn:microsoft.com/office/officeart/2005/8/layout/bProcess3"/>
    <dgm:cxn modelId="{9C6A17D8-F053-4D5B-9367-3FB0463A173C}" type="presOf" srcId="{2BDC9E72-6596-4F6E-A86A-846816670774}" destId="{B0CEF0E3-BAAD-4B53-8F47-72AE57265F91}" srcOrd="1" destOrd="0" presId="urn:microsoft.com/office/officeart/2005/8/layout/bProcess3"/>
    <dgm:cxn modelId="{DB8144D8-EFA2-4A2C-9A52-39B49B4A007F}" srcId="{1243F8A6-FCB4-4896-ABA8-BC0E8EBF7982}" destId="{616F2E7D-91CD-4CC6-948B-21769148B71D}" srcOrd="3" destOrd="0" parTransId="{B6C751B4-F6C8-4DA0-B734-DC4B7C4EED09}" sibTransId="{6DE286DB-2721-4FDA-8EA6-A949A8119DFA}"/>
    <dgm:cxn modelId="{6C587BD8-9D36-4A23-A37E-A82978E72235}" type="presOf" srcId="{681B9E61-7B48-4EB5-88EF-268C37588D47}" destId="{199AEE8C-CF9A-489C-A8AF-65BE70A6E03C}" srcOrd="0" destOrd="0" presId="urn:microsoft.com/office/officeart/2005/8/layout/bProcess3"/>
    <dgm:cxn modelId="{3DF1DDE0-671F-4129-9F52-B1CFF162C6FF}" type="presOf" srcId="{6CAD3853-44F1-4F31-ADDA-4E59EE3D3CCF}" destId="{EB66F224-3F05-4E79-9D16-5A50FB3B51EC}" srcOrd="0" destOrd="0" presId="urn:microsoft.com/office/officeart/2005/8/layout/bProcess3"/>
    <dgm:cxn modelId="{544F93E6-3B9E-4F22-A433-18AD237833C3}" type="presOf" srcId="{2BDC9E72-6596-4F6E-A86A-846816670774}" destId="{2C4C4948-E3B3-434A-BF28-9E4B9DC1FCB9}" srcOrd="0" destOrd="0" presId="urn:microsoft.com/office/officeart/2005/8/layout/bProcess3"/>
    <dgm:cxn modelId="{C3F95AE8-0C67-4D1A-B3EE-C7EE0920AC7B}" srcId="{1243F8A6-FCB4-4896-ABA8-BC0E8EBF7982}" destId="{681B9E61-7B48-4EB5-88EF-268C37588D47}" srcOrd="5" destOrd="0" parTransId="{43634B75-2C52-4041-8F4F-80346805CB18}" sibTransId="{4C79233F-2491-4A0B-9AB2-EB4CCDA8F02E}"/>
    <dgm:cxn modelId="{12DD30F8-9939-4518-A1EB-A245C8D1689F}" type="presOf" srcId="{6DE286DB-2721-4FDA-8EA6-A949A8119DFA}" destId="{7EFDE54B-9BCC-4EC2-8AA2-E9CF6DAFDA69}" srcOrd="1" destOrd="0" presId="urn:microsoft.com/office/officeart/2005/8/layout/bProcess3"/>
    <dgm:cxn modelId="{5C4229FD-2892-4743-B52C-816F721B24FF}" type="presParOf" srcId="{3DC30048-BF38-444F-BE31-D602C1C1DE2C}" destId="{68F781DC-9250-4EAB-AD87-71A4C3390F3A}" srcOrd="0" destOrd="0" presId="urn:microsoft.com/office/officeart/2005/8/layout/bProcess3"/>
    <dgm:cxn modelId="{2AC74E79-BC0A-4A16-85B5-B4CFB4258747}" type="presParOf" srcId="{3DC30048-BF38-444F-BE31-D602C1C1DE2C}" destId="{9CDE45BF-0185-4B78-874E-4235AE142DFD}" srcOrd="1" destOrd="0" presId="urn:microsoft.com/office/officeart/2005/8/layout/bProcess3"/>
    <dgm:cxn modelId="{27BFE75C-7CAA-4822-A9AF-1912F8CD71A6}" type="presParOf" srcId="{9CDE45BF-0185-4B78-874E-4235AE142DFD}" destId="{CE72F4C3-40FF-4FD9-AE5D-A95855622549}" srcOrd="0" destOrd="0" presId="urn:microsoft.com/office/officeart/2005/8/layout/bProcess3"/>
    <dgm:cxn modelId="{BAEADCE8-1615-410E-9CB0-817F99E6071E}" type="presParOf" srcId="{3DC30048-BF38-444F-BE31-D602C1C1DE2C}" destId="{EB66F224-3F05-4E79-9D16-5A50FB3B51EC}" srcOrd="2" destOrd="0" presId="urn:microsoft.com/office/officeart/2005/8/layout/bProcess3"/>
    <dgm:cxn modelId="{6ED26975-FCB0-4890-BC83-F072352989B3}" type="presParOf" srcId="{3DC30048-BF38-444F-BE31-D602C1C1DE2C}" destId="{F992FDDC-AFA4-4B2C-952E-902F839AA0E8}" srcOrd="3" destOrd="0" presId="urn:microsoft.com/office/officeart/2005/8/layout/bProcess3"/>
    <dgm:cxn modelId="{8BFE2499-9861-4BD4-BA30-40EBEEA98FB7}" type="presParOf" srcId="{F992FDDC-AFA4-4B2C-952E-902F839AA0E8}" destId="{18D33374-DCE1-4F07-AF6E-D52C04819361}" srcOrd="0" destOrd="0" presId="urn:microsoft.com/office/officeart/2005/8/layout/bProcess3"/>
    <dgm:cxn modelId="{F1093DA5-114D-434F-825C-7795EEFE9C0C}" type="presParOf" srcId="{3DC30048-BF38-444F-BE31-D602C1C1DE2C}" destId="{B7142AE2-29E7-4BB0-A53A-6510CC2E627B}" srcOrd="4" destOrd="0" presId="urn:microsoft.com/office/officeart/2005/8/layout/bProcess3"/>
    <dgm:cxn modelId="{2751058D-01F3-42CB-8844-9D654528E68D}" type="presParOf" srcId="{3DC30048-BF38-444F-BE31-D602C1C1DE2C}" destId="{8D09A033-45EF-4EF4-BF7A-63B4DA491512}" srcOrd="5" destOrd="0" presId="urn:microsoft.com/office/officeart/2005/8/layout/bProcess3"/>
    <dgm:cxn modelId="{4D1A1B41-F95C-4A84-B140-10B678637819}" type="presParOf" srcId="{8D09A033-45EF-4EF4-BF7A-63B4DA491512}" destId="{36963E0E-8B2F-4EF4-8395-44B3BE28A96D}" srcOrd="0" destOrd="0" presId="urn:microsoft.com/office/officeart/2005/8/layout/bProcess3"/>
    <dgm:cxn modelId="{5C7DC64B-0691-41FB-9D78-1DC1079AF6EF}" type="presParOf" srcId="{3DC30048-BF38-444F-BE31-D602C1C1DE2C}" destId="{2B39E2B0-F9C3-43E5-AE44-E2E30AAF6C6B}" srcOrd="6" destOrd="0" presId="urn:microsoft.com/office/officeart/2005/8/layout/bProcess3"/>
    <dgm:cxn modelId="{E72568A8-A463-42FA-9F97-E267C04BC5C6}" type="presParOf" srcId="{3DC30048-BF38-444F-BE31-D602C1C1DE2C}" destId="{04378011-1FA2-4B79-9424-B7AF55786E89}" srcOrd="7" destOrd="0" presId="urn:microsoft.com/office/officeart/2005/8/layout/bProcess3"/>
    <dgm:cxn modelId="{E1BD6711-E626-4EA0-B31E-9520DFDD9E26}" type="presParOf" srcId="{04378011-1FA2-4B79-9424-B7AF55786E89}" destId="{7EFDE54B-9BCC-4EC2-8AA2-E9CF6DAFDA69}" srcOrd="0" destOrd="0" presId="urn:microsoft.com/office/officeart/2005/8/layout/bProcess3"/>
    <dgm:cxn modelId="{42C2E27E-E2FC-4AE9-886E-7DBC4F8AAEE3}" type="presParOf" srcId="{3DC30048-BF38-444F-BE31-D602C1C1DE2C}" destId="{F0B92A2A-71F8-4629-A159-A78B9D452E07}" srcOrd="8" destOrd="0" presId="urn:microsoft.com/office/officeart/2005/8/layout/bProcess3"/>
    <dgm:cxn modelId="{686A4A26-9DD4-4E29-864B-B077C2ACBF4D}" type="presParOf" srcId="{3DC30048-BF38-444F-BE31-D602C1C1DE2C}" destId="{2C4C4948-E3B3-434A-BF28-9E4B9DC1FCB9}" srcOrd="9" destOrd="0" presId="urn:microsoft.com/office/officeart/2005/8/layout/bProcess3"/>
    <dgm:cxn modelId="{991642BF-6F87-4A30-B540-9AB52B62F6A1}" type="presParOf" srcId="{2C4C4948-E3B3-434A-BF28-9E4B9DC1FCB9}" destId="{B0CEF0E3-BAAD-4B53-8F47-72AE57265F91}" srcOrd="0" destOrd="0" presId="urn:microsoft.com/office/officeart/2005/8/layout/bProcess3"/>
    <dgm:cxn modelId="{91B0F755-2241-4E2D-8D25-3252160A9ACB}" type="presParOf" srcId="{3DC30048-BF38-444F-BE31-D602C1C1DE2C}" destId="{199AEE8C-CF9A-489C-A8AF-65BE70A6E03C}" srcOrd="10"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9FB57-3FB2-4C82-8651-0852F9C5FCD6}">
      <dsp:nvSpPr>
        <dsp:cNvPr id="0" name=""/>
        <dsp:cNvSpPr/>
      </dsp:nvSpPr>
      <dsp:spPr>
        <a:xfrm>
          <a:off x="4440935" y="370795"/>
          <a:ext cx="974098" cy="9742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4DD872-9DA8-496F-8C4E-6003F1F58234}">
      <dsp:nvSpPr>
        <dsp:cNvPr id="0" name=""/>
        <dsp:cNvSpPr/>
      </dsp:nvSpPr>
      <dsp:spPr>
        <a:xfrm>
          <a:off x="4473077" y="403276"/>
          <a:ext cx="909297" cy="90929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Method of submitting applications</a:t>
          </a:r>
        </a:p>
      </dsp:txBody>
      <dsp:txXfrm>
        <a:off x="4603198" y="533200"/>
        <a:ext cx="649571" cy="649448"/>
      </dsp:txXfrm>
    </dsp:sp>
    <dsp:sp modelId="{69CDE11B-B382-4439-9AB9-AFC20F7CE997}">
      <dsp:nvSpPr>
        <dsp:cNvPr id="0" name=""/>
        <dsp:cNvSpPr/>
      </dsp:nvSpPr>
      <dsp:spPr>
        <a:xfrm rot="2700000">
          <a:off x="3433714" y="370846"/>
          <a:ext cx="973986" cy="973986"/>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62DC0B-60F3-4985-92E0-0873BC732676}">
      <dsp:nvSpPr>
        <dsp:cNvPr id="0" name=""/>
        <dsp:cNvSpPr/>
      </dsp:nvSpPr>
      <dsp:spPr>
        <a:xfrm>
          <a:off x="3466836" y="403276"/>
          <a:ext cx="909297" cy="90929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Duration of the qualification system</a:t>
          </a:r>
        </a:p>
      </dsp:txBody>
      <dsp:txXfrm>
        <a:off x="3596440" y="533200"/>
        <a:ext cx="649571" cy="649448"/>
      </dsp:txXfrm>
    </dsp:sp>
    <dsp:sp modelId="{9D6C1B3D-2929-4777-9691-FFCC71250D0D}">
      <dsp:nvSpPr>
        <dsp:cNvPr id="0" name=""/>
        <dsp:cNvSpPr/>
      </dsp:nvSpPr>
      <dsp:spPr>
        <a:xfrm rot="2700000">
          <a:off x="2427474" y="370846"/>
          <a:ext cx="973986" cy="973986"/>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0E58F-790E-4B1F-BC15-15771A6EAF4F}">
      <dsp:nvSpPr>
        <dsp:cNvPr id="0" name=""/>
        <dsp:cNvSpPr/>
      </dsp:nvSpPr>
      <dsp:spPr>
        <a:xfrm>
          <a:off x="2460078" y="403276"/>
          <a:ext cx="909297" cy="90929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criteria for qualitative selection of economic operators</a:t>
          </a:r>
        </a:p>
      </dsp:txBody>
      <dsp:txXfrm>
        <a:off x="2589681" y="533200"/>
        <a:ext cx="649571" cy="649448"/>
      </dsp:txXfrm>
    </dsp:sp>
    <dsp:sp modelId="{06AD240B-1B4D-4D12-B01F-38178A09E26F}">
      <dsp:nvSpPr>
        <dsp:cNvPr id="0" name=""/>
        <dsp:cNvSpPr/>
      </dsp:nvSpPr>
      <dsp:spPr>
        <a:xfrm rot="2700000">
          <a:off x="1420715" y="370846"/>
          <a:ext cx="973986" cy="973986"/>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EDD79-CE38-4FFB-A022-741BAE27C2B3}">
      <dsp:nvSpPr>
        <dsp:cNvPr id="0" name=""/>
        <dsp:cNvSpPr/>
      </dsp:nvSpPr>
      <dsp:spPr>
        <a:xfrm>
          <a:off x="1488290" y="403276"/>
          <a:ext cx="909297" cy="90929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Criteria and rules for functioning of the system</a:t>
          </a:r>
        </a:p>
      </dsp:txBody>
      <dsp:txXfrm>
        <a:off x="1618412" y="533200"/>
        <a:ext cx="649571" cy="649448"/>
      </dsp:txXfrm>
    </dsp:sp>
    <dsp:sp modelId="{CEAF0507-49FC-46AB-B95D-BDAE83135244}">
      <dsp:nvSpPr>
        <dsp:cNvPr id="0" name=""/>
        <dsp:cNvSpPr/>
      </dsp:nvSpPr>
      <dsp:spPr>
        <a:xfrm rot="2700000">
          <a:off x="413956" y="370846"/>
          <a:ext cx="973986" cy="973986"/>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D9661C-C268-4333-8E1E-DF0CAAB6258F}">
      <dsp:nvSpPr>
        <dsp:cNvPr id="0" name=""/>
        <dsp:cNvSpPr/>
      </dsp:nvSpPr>
      <dsp:spPr>
        <a:xfrm>
          <a:off x="446560" y="403276"/>
          <a:ext cx="909297" cy="909296"/>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Description of goods, services, or works, and categories thereof</a:t>
          </a:r>
        </a:p>
      </dsp:txBody>
      <dsp:txXfrm>
        <a:off x="576682" y="533200"/>
        <a:ext cx="649571" cy="6494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DE45BF-0185-4B78-874E-4235AE142DFD}">
      <dsp:nvSpPr>
        <dsp:cNvPr id="0" name=""/>
        <dsp:cNvSpPr/>
      </dsp:nvSpPr>
      <dsp:spPr>
        <a:xfrm>
          <a:off x="1585639" y="59740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641299"/>
        <a:ext cx="18207" cy="3641"/>
      </dsp:txXfrm>
    </dsp:sp>
    <dsp:sp modelId="{68F781DC-9250-4EAB-AD87-71A4C3390F3A}">
      <dsp:nvSpPr>
        <dsp:cNvPr id="0" name=""/>
        <dsp:cNvSpPr/>
      </dsp:nvSpPr>
      <dsp:spPr>
        <a:xfrm>
          <a:off x="4205"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Initiating a public procurement procedure</a:t>
          </a:r>
        </a:p>
      </dsp:txBody>
      <dsp:txXfrm>
        <a:off x="4205" y="168150"/>
        <a:ext cx="1583233" cy="949940"/>
      </dsp:txXfrm>
    </dsp:sp>
    <dsp:sp modelId="{F992FDDC-AFA4-4B2C-952E-902F839AA0E8}">
      <dsp:nvSpPr>
        <dsp:cNvPr id="0" name=""/>
        <dsp:cNvSpPr/>
      </dsp:nvSpPr>
      <dsp:spPr>
        <a:xfrm>
          <a:off x="3533016" y="59740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641299"/>
        <a:ext cx="18207" cy="3641"/>
      </dsp:txXfrm>
    </dsp:sp>
    <dsp:sp modelId="{EB66F224-3F05-4E79-9D16-5A50FB3B51EC}">
      <dsp:nvSpPr>
        <dsp:cNvPr id="0" name=""/>
        <dsp:cNvSpPr/>
      </dsp:nvSpPr>
      <dsp:spPr>
        <a:xfrm>
          <a:off x="1951583"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Initial valuation of tenders</a:t>
          </a:r>
        </a:p>
      </dsp:txBody>
      <dsp:txXfrm>
        <a:off x="1951583" y="168150"/>
        <a:ext cx="1583233" cy="949940"/>
      </dsp:txXfrm>
    </dsp:sp>
    <dsp:sp modelId="{8D09A033-45EF-4EF4-BF7A-63B4DA491512}">
      <dsp:nvSpPr>
        <dsp:cNvPr id="0" name=""/>
        <dsp:cNvSpPr/>
      </dsp:nvSpPr>
      <dsp:spPr>
        <a:xfrm>
          <a:off x="795822" y="1116290"/>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5406" y="1281241"/>
        <a:ext cx="195587" cy="3641"/>
      </dsp:txXfrm>
    </dsp:sp>
    <dsp:sp modelId="{B7142AE2-29E7-4BB0-A53A-6510CC2E627B}">
      <dsp:nvSpPr>
        <dsp:cNvPr id="0" name=""/>
        <dsp:cNvSpPr/>
      </dsp:nvSpPr>
      <dsp:spPr>
        <a:xfrm>
          <a:off x="3898960"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Invitation to take part in electronic auction - acceptable tenders </a:t>
          </a:r>
        </a:p>
      </dsp:txBody>
      <dsp:txXfrm>
        <a:off x="3898960" y="168150"/>
        <a:ext cx="1583233" cy="949940"/>
      </dsp:txXfrm>
    </dsp:sp>
    <dsp:sp modelId="{04378011-1FA2-4B79-9424-B7AF55786E89}">
      <dsp:nvSpPr>
        <dsp:cNvPr id="0" name=""/>
        <dsp:cNvSpPr/>
      </dsp:nvSpPr>
      <dsp:spPr>
        <a:xfrm>
          <a:off x="1585639" y="191148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1955383"/>
        <a:ext cx="18207" cy="3641"/>
      </dsp:txXfrm>
    </dsp:sp>
    <dsp:sp modelId="{2B39E2B0-F9C3-43E5-AE44-E2E30AAF6C6B}">
      <dsp:nvSpPr>
        <dsp:cNvPr id="0" name=""/>
        <dsp:cNvSpPr/>
      </dsp:nvSpPr>
      <dsp:spPr>
        <a:xfrm>
          <a:off x="4205"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Start of electronic auction - at least two working days from the invitation </a:t>
          </a:r>
        </a:p>
      </dsp:txBody>
      <dsp:txXfrm>
        <a:off x="4205" y="1482234"/>
        <a:ext cx="1583233" cy="949940"/>
      </dsp:txXfrm>
    </dsp:sp>
    <dsp:sp modelId="{2C4C4948-E3B3-434A-BF28-9E4B9DC1FCB9}">
      <dsp:nvSpPr>
        <dsp:cNvPr id="0" name=""/>
        <dsp:cNvSpPr/>
      </dsp:nvSpPr>
      <dsp:spPr>
        <a:xfrm>
          <a:off x="3533016" y="191148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1955383"/>
        <a:ext cx="18207" cy="3641"/>
      </dsp:txXfrm>
    </dsp:sp>
    <dsp:sp modelId="{F0B92A2A-71F8-4629-A159-A78B9D452E07}">
      <dsp:nvSpPr>
        <dsp:cNvPr id="0" name=""/>
        <dsp:cNvSpPr/>
      </dsp:nvSpPr>
      <dsp:spPr>
        <a:xfrm>
          <a:off x="1951583"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End of auctioning - public announcement of names and ranks of all tenderers that participated in the auction</a:t>
          </a:r>
        </a:p>
      </dsp:txBody>
      <dsp:txXfrm>
        <a:off x="1951583" y="1482234"/>
        <a:ext cx="1583233" cy="949940"/>
      </dsp:txXfrm>
    </dsp:sp>
    <dsp:sp modelId="{199AEE8C-CF9A-489C-A8AF-65BE70A6E03C}">
      <dsp:nvSpPr>
        <dsp:cNvPr id="0" name=""/>
        <dsp:cNvSpPr/>
      </dsp:nvSpPr>
      <dsp:spPr>
        <a:xfrm>
          <a:off x="3898960"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Decision on awarding contract</a:t>
          </a:r>
        </a:p>
      </dsp:txBody>
      <dsp:txXfrm>
        <a:off x="3898960" y="1482234"/>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rgbClr val="262626"/>
      </a:dk1>
      <a:lt1>
        <a:srgbClr val="F2F2F2"/>
      </a:lt1>
      <a:dk2>
        <a:srgbClr val="3F3F3F"/>
      </a:dk2>
      <a:lt2>
        <a:srgbClr val="BFBFBF"/>
      </a:lt2>
      <a:accent1>
        <a:srgbClr val="2933D6"/>
      </a:accent1>
      <a:accent2>
        <a:srgbClr val="0E0E67"/>
      </a:accent2>
      <a:accent3>
        <a:srgbClr val="6EDA69"/>
      </a:accent3>
      <a:accent4>
        <a:srgbClr val="C2DFFD"/>
      </a:accent4>
      <a:accent5>
        <a:srgbClr val="E2EFD9"/>
      </a:accent5>
      <a:accent6>
        <a:srgbClr val="A8D08D"/>
      </a:accent6>
      <a:hlink>
        <a:srgbClr val="6EDA69"/>
      </a:hlink>
      <a:folHlink>
        <a:srgbClr val="6EDA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24A00-E314-46E4-9AA7-41E2495D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33</Pages>
  <Words>8223</Words>
  <Characters>46875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Trbojević</dc:creator>
  <cp:keywords/>
  <dc:description/>
  <cp:lastModifiedBy>Branka</cp:lastModifiedBy>
  <cp:revision>31</cp:revision>
  <dcterms:created xsi:type="dcterms:W3CDTF">2025-05-03T17:54:00Z</dcterms:created>
  <dcterms:modified xsi:type="dcterms:W3CDTF">2025-05-04T15:21:00Z</dcterms:modified>
</cp:coreProperties>
</file>