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6556E" w14:textId="77777777" w:rsidR="00C81B7C" w:rsidRPr="0063678E" w:rsidRDefault="00C81B7C" w:rsidP="00EB35E9">
      <w:pPr>
        <w:spacing w:after="0"/>
        <w:rPr>
          <w:rFonts w:ascii="Times New Roman" w:eastAsia="Times New Roman" w:hAnsi="Times New Roman" w:cs="Times New Roman"/>
          <w:b/>
          <w:sz w:val="20"/>
          <w:szCs w:val="20"/>
          <w:lang w:val="en-GB" w:eastAsia="en-GB"/>
        </w:rPr>
      </w:pPr>
    </w:p>
    <w:p w14:paraId="19382B0A" w14:textId="77777777" w:rsidR="00C81B7C" w:rsidRPr="0063678E" w:rsidRDefault="00C81B7C" w:rsidP="00C81B7C">
      <w:pPr>
        <w:spacing w:after="0"/>
        <w:jc w:val="center"/>
        <w:outlineLvl w:val="0"/>
        <w:rPr>
          <w:rFonts w:ascii="Times New Roman" w:hAnsi="Times New Roman" w:cs="Times New Roman"/>
          <w:sz w:val="20"/>
          <w:szCs w:val="20"/>
          <w:lang w:val="sr-Cyrl-CS" w:eastAsia="sr-Latn-CS"/>
        </w:rPr>
      </w:pPr>
    </w:p>
    <w:p w14:paraId="1AD7DC74" w14:textId="77777777" w:rsidR="00C81B7C" w:rsidRPr="0063678E" w:rsidRDefault="00C81B7C" w:rsidP="00C81B7C">
      <w:pPr>
        <w:spacing w:after="0"/>
        <w:jc w:val="center"/>
        <w:outlineLvl w:val="0"/>
        <w:rPr>
          <w:rFonts w:ascii="Times New Roman" w:hAnsi="Times New Roman" w:cs="Times New Roman"/>
          <w:b/>
          <w:sz w:val="24"/>
          <w:szCs w:val="24"/>
          <w:lang w:val="sr-Cyrl-CS" w:eastAsia="sr-Latn-CS"/>
        </w:rPr>
      </w:pPr>
    </w:p>
    <w:p w14:paraId="6630FBFF" w14:textId="77777777" w:rsidR="00C81B7C" w:rsidRPr="0063678E" w:rsidRDefault="00C81B7C" w:rsidP="00C81B7C">
      <w:pPr>
        <w:spacing w:after="0"/>
        <w:jc w:val="center"/>
        <w:rPr>
          <w:rFonts w:ascii="Times New Roman" w:eastAsia="Times New Roman" w:hAnsi="Times New Roman" w:cs="Times New Roman"/>
          <w:b/>
          <w:sz w:val="24"/>
          <w:szCs w:val="24"/>
          <w:lang w:val="ru-RU"/>
        </w:rPr>
      </w:pPr>
      <w:r w:rsidRPr="0063678E">
        <w:rPr>
          <w:rFonts w:ascii="Times New Roman" w:eastAsia="Times New Roman" w:hAnsi="Times New Roman" w:cs="Times New Roman"/>
          <w:b/>
          <w:noProof/>
          <w:sz w:val="24"/>
          <w:szCs w:val="24"/>
        </w:rPr>
        <w:drawing>
          <wp:inline distT="0" distB="0" distL="0" distR="0" wp14:anchorId="389E6885" wp14:editId="301C770E">
            <wp:extent cx="1276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r w:rsidRPr="0063678E">
        <w:rPr>
          <w:rFonts w:ascii="Times New Roman" w:eastAsia="Times New Roman" w:hAnsi="Times New Roman" w:cs="Times New Roman"/>
          <w:b/>
          <w:sz w:val="24"/>
          <w:szCs w:val="24"/>
          <w:lang w:val="ru-RU"/>
        </w:rPr>
        <w:br/>
      </w:r>
    </w:p>
    <w:p w14:paraId="004045C6" w14:textId="77777777" w:rsidR="00C81B7C" w:rsidRPr="0063678E" w:rsidRDefault="00C81B7C" w:rsidP="00C81B7C">
      <w:pPr>
        <w:spacing w:after="0"/>
        <w:jc w:val="center"/>
        <w:rPr>
          <w:rFonts w:ascii="Times New Roman" w:eastAsia="Times New Roman" w:hAnsi="Times New Roman" w:cs="Times New Roman"/>
          <w:b/>
          <w:sz w:val="24"/>
          <w:szCs w:val="24"/>
          <w:lang w:val="ru-RU"/>
        </w:rPr>
      </w:pPr>
      <w:r w:rsidRPr="0063678E">
        <w:rPr>
          <w:rFonts w:ascii="Times New Roman" w:eastAsia="Times New Roman" w:hAnsi="Times New Roman" w:cs="Times New Roman"/>
          <w:b/>
          <w:sz w:val="24"/>
          <w:szCs w:val="24"/>
          <w:lang w:val="ru-RU"/>
        </w:rPr>
        <w:t>РЕПУБЛИКА СРБИЈА</w:t>
      </w:r>
    </w:p>
    <w:p w14:paraId="3CC17221" w14:textId="77777777" w:rsidR="00C81B7C" w:rsidRPr="0063678E" w:rsidRDefault="00C81B7C" w:rsidP="00C81B7C">
      <w:pPr>
        <w:spacing w:after="0"/>
        <w:jc w:val="center"/>
        <w:rPr>
          <w:rFonts w:ascii="Times New Roman" w:eastAsia="Times New Roman" w:hAnsi="Times New Roman" w:cs="Times New Roman"/>
          <w:b/>
          <w:sz w:val="24"/>
          <w:szCs w:val="24"/>
          <w:lang w:val="ru-RU"/>
        </w:rPr>
      </w:pPr>
      <w:r w:rsidRPr="0063678E">
        <w:rPr>
          <w:rFonts w:ascii="Times New Roman" w:eastAsia="Times New Roman" w:hAnsi="Times New Roman" w:cs="Times New Roman"/>
          <w:b/>
          <w:sz w:val="24"/>
          <w:szCs w:val="24"/>
          <w:lang w:val="ru-RU"/>
        </w:rPr>
        <w:t>КАНЦЕЛАРИЈА ЗА ЈАВНЕ НАБАВКЕ</w:t>
      </w:r>
    </w:p>
    <w:p w14:paraId="6444347A" w14:textId="77777777" w:rsidR="00C81B7C" w:rsidRPr="0063678E"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sr-Cyrl-CS"/>
        </w:rPr>
      </w:pPr>
    </w:p>
    <w:p w14:paraId="279E2867" w14:textId="77777777" w:rsidR="00C81B7C" w:rsidRPr="0063678E" w:rsidRDefault="00C81B7C" w:rsidP="00C81B7C">
      <w:pPr>
        <w:spacing w:after="0"/>
        <w:rPr>
          <w:rFonts w:ascii="Times New Roman" w:hAnsi="Times New Roman" w:cs="Times New Roman"/>
          <w:b/>
          <w:sz w:val="24"/>
          <w:szCs w:val="24"/>
        </w:rPr>
      </w:pPr>
    </w:p>
    <w:p w14:paraId="7980C976" w14:textId="77777777" w:rsidR="00C81B7C" w:rsidRPr="0063678E" w:rsidRDefault="00C81B7C" w:rsidP="00C81B7C">
      <w:pPr>
        <w:spacing w:after="0"/>
        <w:rPr>
          <w:rFonts w:ascii="Times New Roman" w:hAnsi="Times New Roman" w:cs="Times New Roman"/>
          <w:b/>
          <w:sz w:val="24"/>
          <w:szCs w:val="24"/>
        </w:rPr>
      </w:pPr>
    </w:p>
    <w:p w14:paraId="5CBDB019" w14:textId="77777777" w:rsidR="00C81B7C" w:rsidRPr="0063678E" w:rsidRDefault="00C81B7C" w:rsidP="00C81B7C">
      <w:pPr>
        <w:spacing w:after="0"/>
        <w:rPr>
          <w:rFonts w:ascii="Times New Roman" w:hAnsi="Times New Roman" w:cs="Times New Roman"/>
          <w:b/>
          <w:sz w:val="24"/>
          <w:szCs w:val="24"/>
        </w:rPr>
      </w:pPr>
    </w:p>
    <w:p w14:paraId="74198F36" w14:textId="77777777" w:rsidR="00C81B7C" w:rsidRPr="0063678E" w:rsidRDefault="00C81B7C" w:rsidP="00C81B7C">
      <w:pPr>
        <w:spacing w:after="0"/>
        <w:rPr>
          <w:rFonts w:ascii="Times New Roman" w:hAnsi="Times New Roman" w:cs="Times New Roman"/>
          <w:b/>
          <w:sz w:val="24"/>
          <w:szCs w:val="24"/>
        </w:rPr>
      </w:pPr>
    </w:p>
    <w:p w14:paraId="13980C8C" w14:textId="77777777" w:rsidR="00C81B7C" w:rsidRPr="0063678E" w:rsidRDefault="00C81B7C" w:rsidP="00C81B7C">
      <w:pPr>
        <w:spacing w:after="0"/>
        <w:rPr>
          <w:rFonts w:ascii="Times New Roman" w:hAnsi="Times New Roman" w:cs="Times New Roman"/>
          <w:b/>
          <w:sz w:val="24"/>
          <w:szCs w:val="24"/>
        </w:rPr>
      </w:pPr>
    </w:p>
    <w:p w14:paraId="4B260923" w14:textId="77777777" w:rsidR="00C81B7C" w:rsidRPr="0063678E" w:rsidRDefault="00C81B7C" w:rsidP="00C81B7C">
      <w:pPr>
        <w:spacing w:after="0"/>
        <w:rPr>
          <w:rFonts w:ascii="Times New Roman" w:hAnsi="Times New Roman" w:cs="Times New Roman"/>
          <w:b/>
          <w:sz w:val="24"/>
          <w:szCs w:val="24"/>
        </w:rPr>
      </w:pPr>
    </w:p>
    <w:p w14:paraId="0D3958FD" w14:textId="77777777" w:rsidR="00C81B7C" w:rsidRPr="0063678E" w:rsidRDefault="00C81B7C" w:rsidP="00C81B7C">
      <w:pPr>
        <w:spacing w:after="0"/>
        <w:rPr>
          <w:rFonts w:ascii="Times New Roman" w:hAnsi="Times New Roman" w:cs="Times New Roman"/>
          <w:b/>
          <w:sz w:val="24"/>
          <w:szCs w:val="24"/>
        </w:rPr>
      </w:pPr>
    </w:p>
    <w:p w14:paraId="6C178A25" w14:textId="77777777" w:rsidR="00C81B7C" w:rsidRPr="0063678E" w:rsidRDefault="00C81B7C" w:rsidP="00C81B7C">
      <w:pPr>
        <w:spacing w:after="0"/>
        <w:rPr>
          <w:rFonts w:ascii="Times New Roman" w:hAnsi="Times New Roman" w:cs="Times New Roman"/>
          <w:b/>
          <w:sz w:val="24"/>
          <w:szCs w:val="24"/>
        </w:rPr>
      </w:pPr>
    </w:p>
    <w:p w14:paraId="5E1B9C09" w14:textId="77777777" w:rsidR="00C81B7C" w:rsidRPr="0063678E" w:rsidRDefault="00C81B7C" w:rsidP="00C81B7C">
      <w:pPr>
        <w:spacing w:after="0"/>
        <w:rPr>
          <w:rFonts w:ascii="Times New Roman" w:hAnsi="Times New Roman" w:cs="Times New Roman"/>
          <w:b/>
          <w:sz w:val="24"/>
          <w:szCs w:val="24"/>
        </w:rPr>
      </w:pPr>
    </w:p>
    <w:p w14:paraId="643DE301" w14:textId="77777777" w:rsidR="00C81B7C" w:rsidRPr="0063678E" w:rsidRDefault="00C81B7C" w:rsidP="00C81B7C">
      <w:pPr>
        <w:spacing w:after="0"/>
        <w:rPr>
          <w:rFonts w:ascii="Times New Roman" w:hAnsi="Times New Roman" w:cs="Times New Roman"/>
          <w:b/>
          <w:sz w:val="24"/>
          <w:szCs w:val="24"/>
        </w:rPr>
      </w:pPr>
    </w:p>
    <w:p w14:paraId="353A801F" w14:textId="77777777" w:rsidR="00C81B7C" w:rsidRPr="0063678E"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sr-Cyrl-CS"/>
        </w:rPr>
      </w:pPr>
      <w:r w:rsidRPr="0063678E">
        <w:rPr>
          <w:rFonts w:ascii="Times New Roman" w:hAnsi="Times New Roman" w:cs="Times New Roman"/>
          <w:b/>
          <w:sz w:val="24"/>
          <w:szCs w:val="24"/>
          <w:lang w:val="sr-Cyrl-CS"/>
        </w:rPr>
        <w:t>ИЗВЕШТАЈ О СПРОВОЂЕЊУ АКЦИОНОГ ПЛАНА</w:t>
      </w:r>
      <w:r w:rsidR="00415292" w:rsidRPr="0063678E">
        <w:rPr>
          <w:rFonts w:ascii="Times New Roman" w:hAnsi="Times New Roman" w:cs="Times New Roman"/>
          <w:b/>
          <w:sz w:val="24"/>
          <w:szCs w:val="24"/>
          <w:lang w:val="sr-Cyrl-CS"/>
        </w:rPr>
        <w:t xml:space="preserve"> </w:t>
      </w:r>
      <w:r w:rsidRPr="0063678E">
        <w:rPr>
          <w:rFonts w:ascii="Times New Roman" w:hAnsi="Times New Roman" w:cs="Times New Roman"/>
          <w:b/>
          <w:sz w:val="24"/>
          <w:szCs w:val="24"/>
          <w:lang w:val="sr-Cyrl-CS"/>
        </w:rPr>
        <w:t>ЗА СПРОВОЂЕЊЕ</w:t>
      </w:r>
    </w:p>
    <w:p w14:paraId="2051E82D" w14:textId="77777777" w:rsidR="00C81B7C" w:rsidRPr="0063678E"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sr-Cyrl-CS"/>
        </w:rPr>
      </w:pPr>
      <w:r w:rsidRPr="0063678E">
        <w:rPr>
          <w:rFonts w:ascii="Times New Roman" w:hAnsi="Times New Roman" w:cs="Times New Roman"/>
          <w:b/>
          <w:sz w:val="24"/>
          <w:szCs w:val="24"/>
          <w:lang w:val="sr-Cyrl-CS"/>
        </w:rPr>
        <w:t xml:space="preserve"> ПРОГРАМА РАЗВОЈА ЈАВНИХ НАБАВКИ У РЕПУБЛИЦИ СРБИЈИ</w:t>
      </w:r>
    </w:p>
    <w:p w14:paraId="0144C1B2" w14:textId="691A4D57" w:rsidR="00C81B7C" w:rsidRPr="0063678E" w:rsidRDefault="00415292"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rPr>
      </w:pPr>
      <w:r w:rsidRPr="0063678E">
        <w:rPr>
          <w:rFonts w:ascii="Times New Roman" w:hAnsi="Times New Roman" w:cs="Times New Roman"/>
          <w:b/>
          <w:sz w:val="24"/>
          <w:szCs w:val="24"/>
        </w:rPr>
        <w:t xml:space="preserve"> ЗА 202</w:t>
      </w:r>
      <w:r w:rsidR="00CB1C58">
        <w:rPr>
          <w:rFonts w:ascii="Times New Roman" w:hAnsi="Times New Roman" w:cs="Times New Roman"/>
          <w:b/>
          <w:sz w:val="24"/>
          <w:szCs w:val="24"/>
        </w:rPr>
        <w:t>4</w:t>
      </w:r>
      <w:r w:rsidR="00C81B7C" w:rsidRPr="0063678E">
        <w:rPr>
          <w:rFonts w:ascii="Times New Roman" w:hAnsi="Times New Roman" w:cs="Times New Roman"/>
          <w:b/>
          <w:sz w:val="24"/>
          <w:szCs w:val="24"/>
        </w:rPr>
        <w:t>. ГОДИНУ</w:t>
      </w:r>
    </w:p>
    <w:p w14:paraId="45C777BF" w14:textId="77777777" w:rsidR="00C81B7C" w:rsidRPr="0063678E" w:rsidRDefault="00C81B7C" w:rsidP="00C81B7C">
      <w:pPr>
        <w:spacing w:after="0"/>
        <w:rPr>
          <w:rFonts w:ascii="Times New Roman" w:hAnsi="Times New Roman" w:cs="Times New Roman"/>
          <w:b/>
          <w:sz w:val="24"/>
          <w:szCs w:val="24"/>
        </w:rPr>
      </w:pPr>
    </w:p>
    <w:p w14:paraId="1049A911" w14:textId="77777777" w:rsidR="00C81B7C" w:rsidRPr="0063678E" w:rsidRDefault="00C81B7C" w:rsidP="00C81B7C">
      <w:pPr>
        <w:spacing w:after="0"/>
        <w:rPr>
          <w:rFonts w:ascii="Times New Roman" w:hAnsi="Times New Roman" w:cs="Times New Roman"/>
          <w:b/>
          <w:sz w:val="24"/>
          <w:szCs w:val="24"/>
        </w:rPr>
      </w:pPr>
    </w:p>
    <w:p w14:paraId="74E7A579" w14:textId="77777777" w:rsidR="00C81B7C" w:rsidRPr="0063678E" w:rsidRDefault="00C81B7C" w:rsidP="00C81B7C">
      <w:pPr>
        <w:spacing w:after="0"/>
        <w:rPr>
          <w:rFonts w:ascii="Times New Roman" w:hAnsi="Times New Roman" w:cs="Times New Roman"/>
          <w:b/>
          <w:sz w:val="24"/>
          <w:szCs w:val="24"/>
        </w:rPr>
      </w:pPr>
    </w:p>
    <w:p w14:paraId="75C40AEA" w14:textId="77777777" w:rsidR="00C81B7C" w:rsidRPr="0063678E" w:rsidRDefault="00C81B7C" w:rsidP="00C81B7C">
      <w:pPr>
        <w:spacing w:after="0"/>
        <w:rPr>
          <w:rFonts w:ascii="Times New Roman" w:hAnsi="Times New Roman" w:cs="Times New Roman"/>
          <w:b/>
          <w:sz w:val="24"/>
          <w:szCs w:val="24"/>
        </w:rPr>
      </w:pPr>
    </w:p>
    <w:p w14:paraId="7CE3ABDD" w14:textId="77777777" w:rsidR="00C81B7C" w:rsidRPr="0063678E" w:rsidRDefault="00C81B7C" w:rsidP="00C81B7C">
      <w:pPr>
        <w:spacing w:after="0"/>
        <w:rPr>
          <w:rFonts w:ascii="Times New Roman" w:hAnsi="Times New Roman" w:cs="Times New Roman"/>
          <w:b/>
          <w:sz w:val="24"/>
          <w:szCs w:val="24"/>
        </w:rPr>
      </w:pPr>
    </w:p>
    <w:p w14:paraId="45453D0A" w14:textId="77777777" w:rsidR="00C81B7C" w:rsidRPr="0063678E" w:rsidRDefault="00C81B7C" w:rsidP="00C81B7C">
      <w:pPr>
        <w:spacing w:after="0"/>
        <w:rPr>
          <w:rFonts w:ascii="Times New Roman" w:hAnsi="Times New Roman" w:cs="Times New Roman"/>
          <w:b/>
          <w:sz w:val="24"/>
          <w:szCs w:val="24"/>
        </w:rPr>
      </w:pPr>
    </w:p>
    <w:p w14:paraId="0C4376F0" w14:textId="77777777" w:rsidR="00C81B7C" w:rsidRPr="0063678E" w:rsidRDefault="00C81B7C" w:rsidP="00C81B7C">
      <w:pPr>
        <w:spacing w:after="0"/>
        <w:rPr>
          <w:rFonts w:ascii="Times New Roman" w:hAnsi="Times New Roman" w:cs="Times New Roman"/>
          <w:b/>
          <w:sz w:val="24"/>
          <w:szCs w:val="24"/>
        </w:rPr>
      </w:pPr>
    </w:p>
    <w:p w14:paraId="1336818C" w14:textId="77777777" w:rsidR="00C81B7C" w:rsidRPr="0063678E" w:rsidRDefault="00C81B7C" w:rsidP="00C81B7C">
      <w:pPr>
        <w:spacing w:after="0"/>
        <w:rPr>
          <w:rFonts w:ascii="Times New Roman" w:hAnsi="Times New Roman" w:cs="Times New Roman"/>
          <w:b/>
          <w:sz w:val="24"/>
          <w:szCs w:val="24"/>
        </w:rPr>
      </w:pPr>
    </w:p>
    <w:p w14:paraId="2D149FB8" w14:textId="77777777" w:rsidR="00C81B7C" w:rsidRPr="0063678E" w:rsidRDefault="00C81B7C" w:rsidP="00C81B7C">
      <w:pPr>
        <w:spacing w:after="0"/>
        <w:rPr>
          <w:rFonts w:ascii="Times New Roman" w:hAnsi="Times New Roman" w:cs="Times New Roman"/>
          <w:b/>
          <w:sz w:val="24"/>
          <w:szCs w:val="24"/>
        </w:rPr>
      </w:pPr>
    </w:p>
    <w:p w14:paraId="0B4010BE" w14:textId="77777777" w:rsidR="00C81B7C" w:rsidRPr="0063678E" w:rsidRDefault="00C81B7C" w:rsidP="00C81B7C">
      <w:pPr>
        <w:spacing w:after="0"/>
        <w:rPr>
          <w:rFonts w:ascii="Times New Roman" w:hAnsi="Times New Roman" w:cs="Times New Roman"/>
          <w:b/>
          <w:sz w:val="24"/>
          <w:szCs w:val="24"/>
        </w:rPr>
      </w:pPr>
    </w:p>
    <w:p w14:paraId="33CEF3A9" w14:textId="77777777" w:rsidR="00C81B7C" w:rsidRPr="0063678E" w:rsidRDefault="00C81B7C" w:rsidP="00C81B7C">
      <w:pPr>
        <w:spacing w:after="0"/>
        <w:rPr>
          <w:rFonts w:ascii="Times New Roman" w:hAnsi="Times New Roman" w:cs="Times New Roman"/>
          <w:b/>
          <w:sz w:val="24"/>
          <w:szCs w:val="24"/>
        </w:rPr>
      </w:pPr>
    </w:p>
    <w:p w14:paraId="25665B6F" w14:textId="77777777" w:rsidR="00C81B7C" w:rsidRPr="0063678E" w:rsidRDefault="00C81B7C" w:rsidP="00C81B7C">
      <w:pPr>
        <w:spacing w:after="0"/>
        <w:rPr>
          <w:rFonts w:ascii="Times New Roman" w:hAnsi="Times New Roman" w:cs="Times New Roman"/>
          <w:b/>
          <w:sz w:val="24"/>
          <w:szCs w:val="24"/>
        </w:rPr>
      </w:pPr>
    </w:p>
    <w:p w14:paraId="62CE7E46" w14:textId="77777777" w:rsidR="00C81B7C" w:rsidRPr="0063678E" w:rsidRDefault="00C81B7C" w:rsidP="00C81B7C">
      <w:pPr>
        <w:spacing w:after="0"/>
        <w:rPr>
          <w:rFonts w:ascii="Times New Roman" w:hAnsi="Times New Roman" w:cs="Times New Roman"/>
          <w:b/>
          <w:sz w:val="24"/>
          <w:szCs w:val="24"/>
        </w:rPr>
      </w:pPr>
    </w:p>
    <w:p w14:paraId="26CF322D" w14:textId="77777777" w:rsidR="00C81B7C" w:rsidRPr="0063678E" w:rsidRDefault="00C81B7C" w:rsidP="00C81B7C">
      <w:pPr>
        <w:spacing w:after="0"/>
        <w:rPr>
          <w:rFonts w:ascii="Times New Roman" w:hAnsi="Times New Roman" w:cs="Times New Roman"/>
          <w:b/>
          <w:sz w:val="24"/>
          <w:szCs w:val="24"/>
        </w:rPr>
      </w:pPr>
    </w:p>
    <w:p w14:paraId="75C4ADA7" w14:textId="77777777" w:rsidR="00C81B7C" w:rsidRPr="0063678E" w:rsidRDefault="00C81B7C" w:rsidP="00C81B7C">
      <w:pPr>
        <w:spacing w:after="0"/>
        <w:rPr>
          <w:rFonts w:ascii="Times New Roman" w:hAnsi="Times New Roman" w:cs="Times New Roman"/>
          <w:b/>
          <w:sz w:val="24"/>
          <w:szCs w:val="24"/>
        </w:rPr>
      </w:pPr>
    </w:p>
    <w:p w14:paraId="1546E08C" w14:textId="77777777" w:rsidR="00C81B7C" w:rsidRPr="0063678E" w:rsidRDefault="00C81B7C" w:rsidP="00C81B7C">
      <w:pPr>
        <w:spacing w:after="0"/>
        <w:rPr>
          <w:rFonts w:ascii="Times New Roman" w:hAnsi="Times New Roman" w:cs="Times New Roman"/>
          <w:b/>
          <w:sz w:val="24"/>
          <w:szCs w:val="24"/>
        </w:rPr>
      </w:pPr>
    </w:p>
    <w:p w14:paraId="5B211E85" w14:textId="2F6ECACF" w:rsidR="00C81B7C" w:rsidRPr="0063678E" w:rsidRDefault="00C81B7C" w:rsidP="00C81B7C">
      <w:pPr>
        <w:spacing w:after="0"/>
        <w:jc w:val="center"/>
        <w:rPr>
          <w:rFonts w:ascii="Times New Roman" w:hAnsi="Times New Roman" w:cs="Times New Roman"/>
          <w:sz w:val="24"/>
          <w:szCs w:val="24"/>
        </w:rPr>
      </w:pPr>
      <w:r w:rsidRPr="0063678E">
        <w:rPr>
          <w:rFonts w:ascii="Times New Roman" w:hAnsi="Times New Roman" w:cs="Times New Roman"/>
          <w:sz w:val="24"/>
          <w:szCs w:val="24"/>
        </w:rPr>
        <w:t xml:space="preserve">Београд, </w:t>
      </w:r>
      <w:r w:rsidR="00415292" w:rsidRPr="0063678E">
        <w:rPr>
          <w:rFonts w:ascii="Times New Roman" w:hAnsi="Times New Roman" w:cs="Times New Roman"/>
          <w:sz w:val="24"/>
          <w:szCs w:val="24"/>
        </w:rPr>
        <w:t>април</w:t>
      </w:r>
      <w:r w:rsidR="00FA193A" w:rsidRPr="0063678E">
        <w:rPr>
          <w:rFonts w:ascii="Times New Roman" w:hAnsi="Times New Roman" w:cs="Times New Roman"/>
          <w:sz w:val="24"/>
          <w:szCs w:val="24"/>
        </w:rPr>
        <w:t xml:space="preserve"> </w:t>
      </w:r>
      <w:r w:rsidR="00415292" w:rsidRPr="0063678E">
        <w:rPr>
          <w:rFonts w:ascii="Times New Roman" w:hAnsi="Times New Roman" w:cs="Times New Roman"/>
          <w:sz w:val="24"/>
          <w:szCs w:val="24"/>
        </w:rPr>
        <w:t>202</w:t>
      </w:r>
      <w:r w:rsidR="00CB1C58">
        <w:rPr>
          <w:rFonts w:ascii="Times New Roman" w:hAnsi="Times New Roman" w:cs="Times New Roman"/>
          <w:sz w:val="24"/>
          <w:szCs w:val="24"/>
        </w:rPr>
        <w:t>5</w:t>
      </w:r>
      <w:r w:rsidRPr="0063678E">
        <w:rPr>
          <w:rFonts w:ascii="Times New Roman" w:hAnsi="Times New Roman" w:cs="Times New Roman"/>
          <w:sz w:val="24"/>
          <w:szCs w:val="24"/>
        </w:rPr>
        <w:t>. године</w:t>
      </w:r>
    </w:p>
    <w:p w14:paraId="209CAEFB" w14:textId="77777777" w:rsidR="00C81B7C" w:rsidRDefault="00C81B7C" w:rsidP="00C81B7C">
      <w:pPr>
        <w:spacing w:after="0"/>
        <w:jc w:val="center"/>
        <w:outlineLvl w:val="0"/>
        <w:rPr>
          <w:rFonts w:ascii="Times New Roman" w:hAnsi="Times New Roman" w:cs="Times New Roman"/>
          <w:b/>
          <w:sz w:val="24"/>
          <w:szCs w:val="24"/>
          <w:lang w:val="sr-Cyrl-CS" w:eastAsia="sr-Latn-CS"/>
        </w:rPr>
      </w:pPr>
    </w:p>
    <w:p w14:paraId="124B5F15" w14:textId="64D8C9C1" w:rsidR="0035009C" w:rsidRPr="00C22148" w:rsidRDefault="00C162CE" w:rsidP="00C22148">
      <w:pPr>
        <w:spacing w:after="0"/>
        <w:jc w:val="center"/>
        <w:outlineLvl w:val="0"/>
        <w:rPr>
          <w:rFonts w:ascii="Times New Roman" w:hAnsi="Times New Roman" w:cs="Times New Roman"/>
          <w:b/>
          <w:sz w:val="24"/>
          <w:szCs w:val="24"/>
          <w:lang w:eastAsia="sr-Latn-CS"/>
        </w:rPr>
      </w:pPr>
      <w:r>
        <w:rPr>
          <w:rFonts w:ascii="Times New Roman" w:hAnsi="Times New Roman" w:cs="Times New Roman"/>
          <w:b/>
          <w:sz w:val="24"/>
          <w:szCs w:val="24"/>
          <w:lang w:eastAsia="sr-Latn-CS"/>
        </w:rPr>
        <w:lastRenderedPageBreak/>
        <w:t>I</w:t>
      </w:r>
      <w:r w:rsidR="002A18EB">
        <w:rPr>
          <w:rFonts w:ascii="Times New Roman" w:hAnsi="Times New Roman" w:cs="Times New Roman"/>
          <w:b/>
          <w:sz w:val="24"/>
          <w:szCs w:val="24"/>
          <w:lang w:val="sr-Cyrl-RS" w:eastAsia="sr-Latn-CS"/>
        </w:rPr>
        <w:t>.</w:t>
      </w:r>
      <w:r>
        <w:rPr>
          <w:rFonts w:ascii="Times New Roman" w:hAnsi="Times New Roman" w:cs="Times New Roman"/>
          <w:b/>
          <w:sz w:val="24"/>
          <w:szCs w:val="24"/>
          <w:lang w:eastAsia="sr-Latn-CS"/>
        </w:rPr>
        <w:t xml:space="preserve"> </w:t>
      </w:r>
      <w:r w:rsidR="0035009C" w:rsidRPr="00C22148">
        <w:rPr>
          <w:rFonts w:ascii="Times New Roman" w:hAnsi="Times New Roman" w:cs="Times New Roman"/>
          <w:b/>
          <w:sz w:val="24"/>
          <w:szCs w:val="24"/>
          <w:lang w:val="sr-Cyrl-CS" w:eastAsia="sr-Latn-CS"/>
        </w:rPr>
        <w:t>УВОД</w:t>
      </w:r>
    </w:p>
    <w:p w14:paraId="708B549C" w14:textId="77777777" w:rsidR="0035009C" w:rsidRPr="00E469B3" w:rsidRDefault="0035009C" w:rsidP="0035009C">
      <w:pPr>
        <w:autoSpaceDE w:val="0"/>
        <w:autoSpaceDN w:val="0"/>
        <w:adjustRightInd w:val="0"/>
        <w:spacing w:after="0"/>
        <w:jc w:val="both"/>
        <w:rPr>
          <w:rFonts w:ascii="Times New Roman" w:hAnsi="Times New Roman" w:cs="Times New Roman"/>
          <w:sz w:val="24"/>
          <w:szCs w:val="24"/>
          <w:lang w:val="sr-Cyrl-CS"/>
        </w:rPr>
      </w:pPr>
    </w:p>
    <w:p w14:paraId="3E7B249B" w14:textId="77777777" w:rsidR="00E00747" w:rsidRDefault="00EB48F2" w:rsidP="00EB48F2">
      <w:pPr>
        <w:spacing w:after="0"/>
        <w:ind w:firstLine="708"/>
        <w:jc w:val="both"/>
        <w:rPr>
          <w:rFonts w:ascii="Times New Roman" w:hAnsi="Times New Roman" w:cs="Times New Roman"/>
          <w:sz w:val="24"/>
          <w:szCs w:val="24"/>
        </w:rPr>
      </w:pPr>
      <w:r w:rsidRPr="00EB48F2">
        <w:rPr>
          <w:rFonts w:ascii="Times New Roman" w:hAnsi="Times New Roman" w:cs="Times New Roman"/>
          <w:sz w:val="24"/>
          <w:szCs w:val="24"/>
          <w:lang w:val="sr-Cyrl-CS"/>
        </w:rPr>
        <w:t>Програм развоја јавних набавки у Републици Србији за период 2024 – 2028. године, са пратећим акционим планом за 2024. годину који је  објављен у „Службеном гласнику РС“ број 68/24 (у даљем тексту: Програм), представља даљу надоградњу резултата постигнутих у периоду 2019-2023. године.</w:t>
      </w:r>
      <w:r>
        <w:rPr>
          <w:rFonts w:ascii="Times New Roman" w:hAnsi="Times New Roman" w:cs="Times New Roman"/>
          <w:sz w:val="24"/>
          <w:szCs w:val="24"/>
        </w:rPr>
        <w:t xml:space="preserve"> </w:t>
      </w:r>
    </w:p>
    <w:p w14:paraId="2407A6E5" w14:textId="24F7732A" w:rsidR="00E00747" w:rsidRDefault="00E00747" w:rsidP="00E00747">
      <w:pPr>
        <w:pStyle w:val="Normal1"/>
        <w:spacing w:before="0" w:beforeAutospacing="0" w:after="0" w:afterAutospacing="0" w:line="276" w:lineRule="auto"/>
        <w:rPr>
          <w:rFonts w:ascii="Times New Roman" w:hAnsi="Times New Roman" w:cs="Times New Roman"/>
          <w:sz w:val="24"/>
          <w:szCs w:val="24"/>
          <w:lang w:val="sr-Cyrl-CS"/>
        </w:rPr>
      </w:pPr>
      <w:r>
        <w:rPr>
          <w:rFonts w:ascii="Times New Roman" w:hAnsi="Times New Roman" w:cs="Times New Roman"/>
          <w:sz w:val="24"/>
          <w:szCs w:val="24"/>
          <w:lang w:val="sr-Cyrl-RS" w:eastAsia="sr-Latn-RS"/>
        </w:rPr>
        <w:t>У</w:t>
      </w:r>
      <w:r w:rsidRPr="00813008">
        <w:rPr>
          <w:rFonts w:ascii="Times New Roman" w:hAnsi="Times New Roman" w:cs="Times New Roman"/>
          <w:sz w:val="24"/>
          <w:szCs w:val="24"/>
          <w:lang w:eastAsia="sr-Latn-RS"/>
        </w:rPr>
        <w:t xml:space="preserve"> поступку припреме </w:t>
      </w:r>
      <w:r>
        <w:rPr>
          <w:rFonts w:ascii="Times New Roman" w:hAnsi="Times New Roman" w:cs="Times New Roman"/>
          <w:sz w:val="24"/>
          <w:szCs w:val="24"/>
          <w:lang w:val="sr-Cyrl-RS" w:eastAsia="sr-Latn-RS"/>
        </w:rPr>
        <w:t>Програма</w:t>
      </w:r>
      <w:r w:rsidRPr="00813008">
        <w:rPr>
          <w:rFonts w:ascii="Times New Roman" w:hAnsi="Times New Roman" w:cs="Times New Roman"/>
          <w:sz w:val="24"/>
          <w:szCs w:val="24"/>
          <w:lang w:eastAsia="sr-Latn-RS"/>
        </w:rPr>
        <w:t xml:space="preserve">, </w:t>
      </w:r>
      <w:r>
        <w:rPr>
          <w:rFonts w:ascii="Times New Roman" w:hAnsi="Times New Roman" w:cs="Times New Roman"/>
          <w:sz w:val="24"/>
          <w:szCs w:val="24"/>
          <w:lang w:val="sr-Cyrl-RS" w:eastAsia="sr-Latn-RS"/>
        </w:rPr>
        <w:t>Канцеларија за јавне набавке (у даљем тексту: КЈН)</w:t>
      </w:r>
      <w:r w:rsidRPr="00813008">
        <w:rPr>
          <w:rFonts w:ascii="Times New Roman" w:hAnsi="Times New Roman" w:cs="Times New Roman"/>
          <w:sz w:val="24"/>
          <w:szCs w:val="24"/>
          <w:lang w:eastAsia="sr-Latn-RS"/>
        </w:rPr>
        <w:t xml:space="preserve"> спровела је консултације о </w:t>
      </w:r>
      <w:r>
        <w:rPr>
          <w:rFonts w:ascii="Times New Roman" w:hAnsi="Times New Roman" w:cs="Times New Roman"/>
          <w:sz w:val="24"/>
          <w:szCs w:val="24"/>
          <w:lang w:val="sr-Cyrl-RS" w:eastAsia="sr-Latn-RS"/>
        </w:rPr>
        <w:t>наведеном п</w:t>
      </w:r>
      <w:r w:rsidRPr="00813008">
        <w:rPr>
          <w:rFonts w:ascii="Times New Roman" w:hAnsi="Times New Roman" w:cs="Times New Roman"/>
          <w:sz w:val="24"/>
          <w:szCs w:val="24"/>
          <w:lang w:eastAsia="sr-Latn-RS"/>
        </w:rPr>
        <w:t>рограму у периоду од 15. до 25. децембра 2023. године, као и јавну расправу у периоду од 25. јануара до 15. фебруара 2024. године.</w:t>
      </w:r>
      <w:r>
        <w:rPr>
          <w:rFonts w:ascii="Times New Roman" w:hAnsi="Times New Roman" w:cs="Times New Roman"/>
          <w:sz w:val="24"/>
          <w:szCs w:val="24"/>
          <w:lang w:val="sr-Cyrl-RS" w:eastAsia="sr-Latn-RS"/>
        </w:rPr>
        <w:t xml:space="preserve"> </w:t>
      </w:r>
      <w:r w:rsidRPr="00813008">
        <w:rPr>
          <w:rFonts w:ascii="Times New Roman" w:hAnsi="Times New Roman" w:cs="Times New Roman"/>
          <w:sz w:val="24"/>
          <w:szCs w:val="24"/>
          <w:lang w:eastAsia="sr-Latn-RS"/>
        </w:rPr>
        <w:t xml:space="preserve">Текст Предлога програма </w:t>
      </w:r>
      <w:r>
        <w:rPr>
          <w:rFonts w:ascii="Times New Roman" w:hAnsi="Times New Roman" w:cs="Times New Roman"/>
          <w:sz w:val="24"/>
          <w:szCs w:val="24"/>
          <w:lang w:val="sr-Cyrl-RS" w:eastAsia="sr-Latn-RS"/>
        </w:rPr>
        <w:t xml:space="preserve">био је </w:t>
      </w:r>
      <w:r w:rsidRPr="00813008">
        <w:rPr>
          <w:rFonts w:ascii="Times New Roman" w:hAnsi="Times New Roman" w:cs="Times New Roman"/>
          <w:sz w:val="24"/>
          <w:szCs w:val="24"/>
          <w:lang w:eastAsia="sr-Latn-RS"/>
        </w:rPr>
        <w:t xml:space="preserve">објављен на интернет страници </w:t>
      </w:r>
      <w:r w:rsidR="00C22148">
        <w:rPr>
          <w:rFonts w:ascii="Times New Roman" w:hAnsi="Times New Roman" w:cs="Times New Roman"/>
          <w:sz w:val="24"/>
          <w:szCs w:val="24"/>
          <w:lang w:val="sr-Cyrl-RS" w:eastAsia="sr-Latn-RS"/>
        </w:rPr>
        <w:t>КЈН</w:t>
      </w:r>
      <w:r w:rsidRPr="00813008">
        <w:rPr>
          <w:rFonts w:ascii="Times New Roman" w:hAnsi="Times New Roman" w:cs="Times New Roman"/>
          <w:sz w:val="24"/>
          <w:szCs w:val="24"/>
          <w:lang w:eastAsia="sr-Latn-RS"/>
        </w:rPr>
        <w:t xml:space="preserve"> и порталу е-Консултације, а сва заинтересована лица била су у могућности да примедбе, предлоге, сугестије и коментаре доставе како електронским путем, тако и путем поште. </w:t>
      </w:r>
      <w:r>
        <w:rPr>
          <w:rFonts w:ascii="Times New Roman" w:hAnsi="Times New Roman"/>
          <w:sz w:val="24"/>
          <w:szCs w:val="24"/>
          <w:lang w:val="sr-Cyrl-CS"/>
        </w:rPr>
        <w:t>Након одржан</w:t>
      </w:r>
      <w:r>
        <w:rPr>
          <w:rFonts w:ascii="Times New Roman" w:hAnsi="Times New Roman"/>
          <w:sz w:val="24"/>
          <w:szCs w:val="24"/>
          <w:lang w:val="sr-Cyrl-RS"/>
        </w:rPr>
        <w:t>их</w:t>
      </w:r>
      <w:r>
        <w:rPr>
          <w:rFonts w:ascii="Times New Roman" w:hAnsi="Times New Roman"/>
          <w:sz w:val="24"/>
          <w:szCs w:val="24"/>
          <w:lang w:val="sr-Cyrl-CS"/>
        </w:rPr>
        <w:t xml:space="preserve"> консултација, као и јавне расправе, КЈН израдила је И</w:t>
      </w:r>
      <w:r w:rsidRPr="00D417E3">
        <w:rPr>
          <w:rFonts w:ascii="Times New Roman" w:hAnsi="Times New Roman"/>
          <w:sz w:val="24"/>
          <w:szCs w:val="24"/>
          <w:lang w:val="sr-Cyrl-CS"/>
        </w:rPr>
        <w:t>звештај о резултати</w:t>
      </w:r>
      <w:r>
        <w:rPr>
          <w:rFonts w:ascii="Times New Roman" w:hAnsi="Times New Roman"/>
          <w:sz w:val="24"/>
          <w:szCs w:val="24"/>
          <w:lang w:val="sr-Cyrl-CS"/>
        </w:rPr>
        <w:t xml:space="preserve">ма спроведених консултација, односно јавне расправе који је </w:t>
      </w:r>
      <w:r w:rsidRPr="00C82058">
        <w:rPr>
          <w:rFonts w:ascii="Times New Roman" w:hAnsi="Times New Roman"/>
          <w:sz w:val="24"/>
          <w:szCs w:val="24"/>
          <w:lang w:val="sr-Cyrl-CS"/>
        </w:rPr>
        <w:t xml:space="preserve">објављен на </w:t>
      </w:r>
      <w:r>
        <w:rPr>
          <w:rFonts w:ascii="Times New Roman" w:hAnsi="Times New Roman"/>
          <w:sz w:val="24"/>
          <w:szCs w:val="24"/>
          <w:lang w:val="sr-Cyrl-CS"/>
        </w:rPr>
        <w:t>интернет страници</w:t>
      </w:r>
      <w:r w:rsidRPr="00C82058">
        <w:rPr>
          <w:rFonts w:ascii="Times New Roman" w:hAnsi="Times New Roman"/>
          <w:sz w:val="24"/>
          <w:szCs w:val="24"/>
          <w:lang w:val="sr-Cyrl-CS"/>
        </w:rPr>
        <w:t xml:space="preserve"> </w:t>
      </w:r>
      <w:r>
        <w:rPr>
          <w:rFonts w:ascii="Times New Roman" w:hAnsi="Times New Roman"/>
          <w:sz w:val="24"/>
          <w:szCs w:val="24"/>
          <w:lang w:val="sr-Cyrl-CS"/>
        </w:rPr>
        <w:t>КЈН</w:t>
      </w:r>
      <w:r w:rsidRPr="00C82058">
        <w:rPr>
          <w:rFonts w:ascii="Times New Roman" w:hAnsi="Times New Roman"/>
          <w:sz w:val="24"/>
          <w:szCs w:val="24"/>
          <w:lang w:val="sr-Cyrl-CS"/>
        </w:rPr>
        <w:t xml:space="preserve"> и порталу е-Консултације. </w:t>
      </w:r>
      <w:r>
        <w:rPr>
          <w:rFonts w:ascii="Times New Roman" w:hAnsi="Times New Roman"/>
          <w:sz w:val="24"/>
          <w:szCs w:val="24"/>
          <w:lang w:val="sr-Cyrl-RS" w:eastAsia="sr-Latn-RS"/>
        </w:rPr>
        <w:t>КЈН је у виду</w:t>
      </w:r>
      <w:r w:rsidRPr="00813008">
        <w:rPr>
          <w:rFonts w:ascii="Times New Roman" w:hAnsi="Times New Roman"/>
          <w:sz w:val="24"/>
          <w:szCs w:val="24"/>
          <w:lang w:eastAsia="sr-Latn-RS"/>
        </w:rPr>
        <w:t xml:space="preserve"> посебн</w:t>
      </w:r>
      <w:r>
        <w:rPr>
          <w:rFonts w:ascii="Times New Roman" w:hAnsi="Times New Roman"/>
          <w:sz w:val="24"/>
          <w:szCs w:val="24"/>
          <w:lang w:val="sr-Cyrl-RS" w:eastAsia="sr-Latn-RS"/>
        </w:rPr>
        <w:t>е</w:t>
      </w:r>
      <w:r w:rsidRPr="00813008">
        <w:rPr>
          <w:rFonts w:ascii="Times New Roman" w:hAnsi="Times New Roman"/>
          <w:sz w:val="24"/>
          <w:szCs w:val="24"/>
          <w:lang w:eastAsia="sr-Latn-RS"/>
        </w:rPr>
        <w:t xml:space="preserve"> табел</w:t>
      </w:r>
      <w:r>
        <w:rPr>
          <w:rFonts w:ascii="Times New Roman" w:hAnsi="Times New Roman"/>
          <w:sz w:val="24"/>
          <w:szCs w:val="24"/>
          <w:lang w:val="sr-Cyrl-RS" w:eastAsia="sr-Latn-RS"/>
        </w:rPr>
        <w:t>е</w:t>
      </w:r>
      <w:r w:rsidRPr="00813008">
        <w:rPr>
          <w:rFonts w:ascii="Times New Roman" w:hAnsi="Times New Roman"/>
          <w:sz w:val="24"/>
          <w:szCs w:val="24"/>
          <w:lang w:eastAsia="sr-Latn-RS"/>
        </w:rPr>
        <w:t xml:space="preserve"> са примедбама </w:t>
      </w:r>
      <w:r>
        <w:rPr>
          <w:rFonts w:ascii="Times New Roman" w:hAnsi="Times New Roman"/>
          <w:sz w:val="24"/>
          <w:szCs w:val="24"/>
          <w:lang w:val="sr-Cyrl-RS" w:eastAsia="sr-Latn-RS"/>
        </w:rPr>
        <w:t xml:space="preserve">која је </w:t>
      </w:r>
      <w:r w:rsidRPr="00813008">
        <w:rPr>
          <w:rFonts w:ascii="Times New Roman" w:hAnsi="Times New Roman"/>
          <w:sz w:val="24"/>
          <w:szCs w:val="24"/>
          <w:lang w:eastAsia="sr-Latn-RS"/>
        </w:rPr>
        <w:t xml:space="preserve">саставни део </w:t>
      </w:r>
      <w:r>
        <w:rPr>
          <w:rFonts w:ascii="Times New Roman" w:hAnsi="Times New Roman"/>
          <w:sz w:val="24"/>
          <w:szCs w:val="24"/>
          <w:lang w:val="sr-Cyrl-RS" w:eastAsia="sr-Latn-RS"/>
        </w:rPr>
        <w:t>И</w:t>
      </w:r>
      <w:r w:rsidRPr="00813008">
        <w:rPr>
          <w:rFonts w:ascii="Times New Roman" w:hAnsi="Times New Roman"/>
          <w:sz w:val="24"/>
          <w:szCs w:val="24"/>
          <w:lang w:eastAsia="sr-Latn-RS"/>
        </w:rPr>
        <w:t>звештаја</w:t>
      </w:r>
      <w:r>
        <w:rPr>
          <w:rFonts w:ascii="Times New Roman" w:hAnsi="Times New Roman"/>
          <w:sz w:val="24"/>
          <w:szCs w:val="24"/>
          <w:lang w:val="sr-Cyrl-RS" w:eastAsia="sr-Latn-RS"/>
        </w:rPr>
        <w:t xml:space="preserve"> са јавне расправе дала</w:t>
      </w:r>
      <w:r w:rsidRPr="00813008">
        <w:rPr>
          <w:rFonts w:ascii="Times New Roman" w:hAnsi="Times New Roman"/>
          <w:sz w:val="24"/>
          <w:szCs w:val="24"/>
          <w:lang w:eastAsia="sr-Latn-RS"/>
        </w:rPr>
        <w:t xml:space="preserve"> одговоре на </w:t>
      </w:r>
      <w:r>
        <w:rPr>
          <w:rFonts w:ascii="Times New Roman" w:hAnsi="Times New Roman"/>
          <w:sz w:val="24"/>
          <w:szCs w:val="24"/>
          <w:lang w:val="sr-Cyrl-RS" w:eastAsia="sr-Latn-RS"/>
        </w:rPr>
        <w:t xml:space="preserve">достављене </w:t>
      </w:r>
      <w:r w:rsidRPr="00813008">
        <w:rPr>
          <w:rFonts w:ascii="Times New Roman" w:hAnsi="Times New Roman"/>
          <w:sz w:val="24"/>
          <w:szCs w:val="24"/>
          <w:lang w:eastAsia="sr-Latn-RS"/>
        </w:rPr>
        <w:t>коментаре</w:t>
      </w:r>
      <w:r>
        <w:rPr>
          <w:rFonts w:ascii="Times New Roman" w:hAnsi="Times New Roman"/>
          <w:sz w:val="24"/>
          <w:szCs w:val="24"/>
          <w:lang w:val="sr-Cyrl-RS" w:eastAsia="sr-Latn-RS"/>
        </w:rPr>
        <w:t xml:space="preserve">. </w:t>
      </w:r>
    </w:p>
    <w:p w14:paraId="372F6AAF" w14:textId="1552FF34"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 xml:space="preserve">Програмом </w:t>
      </w:r>
      <w:r w:rsidR="00E00747">
        <w:rPr>
          <w:rFonts w:ascii="Times New Roman" w:hAnsi="Times New Roman" w:cs="Times New Roman"/>
          <w:sz w:val="24"/>
          <w:szCs w:val="24"/>
          <w:lang w:val="sr-Cyrl-CS"/>
        </w:rPr>
        <w:t>су</w:t>
      </w:r>
      <w:r w:rsidRPr="00EB48F2">
        <w:rPr>
          <w:rFonts w:ascii="Times New Roman" w:hAnsi="Times New Roman" w:cs="Times New Roman"/>
          <w:sz w:val="24"/>
          <w:szCs w:val="24"/>
          <w:lang w:val="sr-Cyrl-CS"/>
        </w:rPr>
        <w:t xml:space="preserve"> дефинисан</w:t>
      </w:r>
      <w:r w:rsidR="00E00747">
        <w:rPr>
          <w:rFonts w:ascii="Times New Roman" w:hAnsi="Times New Roman" w:cs="Times New Roman"/>
          <w:sz w:val="24"/>
          <w:szCs w:val="24"/>
          <w:lang w:val="sr-Cyrl-CS"/>
        </w:rPr>
        <w:t>и</w:t>
      </w:r>
      <w:r w:rsidRPr="00EB48F2">
        <w:rPr>
          <w:rFonts w:ascii="Times New Roman" w:hAnsi="Times New Roman" w:cs="Times New Roman"/>
          <w:sz w:val="24"/>
          <w:szCs w:val="24"/>
          <w:lang w:val="sr-Cyrl-CS"/>
        </w:rPr>
        <w:t xml:space="preserve"> један општи циљ и три посебна циља.</w:t>
      </w:r>
    </w:p>
    <w:p w14:paraId="47D0B980" w14:textId="77777777" w:rsidR="00C22148" w:rsidRDefault="00C22148" w:rsidP="00EB48F2">
      <w:pPr>
        <w:spacing w:after="0"/>
        <w:ind w:firstLine="708"/>
        <w:jc w:val="both"/>
        <w:rPr>
          <w:rFonts w:ascii="Times New Roman" w:hAnsi="Times New Roman" w:cs="Times New Roman"/>
          <w:sz w:val="24"/>
          <w:szCs w:val="24"/>
          <w:lang w:val="sr-Cyrl-CS"/>
        </w:rPr>
      </w:pPr>
    </w:p>
    <w:p w14:paraId="3151ED09" w14:textId="030418DE" w:rsidR="00EB48F2" w:rsidRDefault="00C22148" w:rsidP="00C22148">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Општи циљ</w:t>
      </w:r>
    </w:p>
    <w:p w14:paraId="12588A48" w14:textId="18E41730" w:rsidR="00C22148" w:rsidRPr="00C22148" w:rsidRDefault="00C22148" w:rsidP="00C22148">
      <w:pPr>
        <w:spacing w:after="0"/>
        <w:ind w:firstLine="708"/>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w:t>
      </w:r>
      <w:r w:rsidRPr="00EB48F2">
        <w:rPr>
          <w:rFonts w:ascii="Times New Roman" w:hAnsi="Times New Roman" w:cs="Times New Roman"/>
          <w:sz w:val="24"/>
          <w:szCs w:val="24"/>
          <w:lang w:val="sr-Cyrl-CS"/>
        </w:rPr>
        <w:t>Даљи развој и јачање одрживог и правичног система јавних набавки</w:t>
      </w:r>
      <w:r>
        <w:rPr>
          <w:rFonts w:ascii="Times New Roman" w:hAnsi="Times New Roman" w:cs="Times New Roman"/>
          <w:sz w:val="24"/>
          <w:szCs w:val="24"/>
          <w:lang w:val="sr-Cyrl-CS"/>
        </w:rPr>
        <w:t>-</w:t>
      </w:r>
    </w:p>
    <w:p w14:paraId="2EFF2E37" w14:textId="77777777" w:rsidR="00EB48F2" w:rsidRPr="00EB48F2" w:rsidRDefault="00EB48F2" w:rsidP="00EB48F2">
      <w:pPr>
        <w:spacing w:after="0"/>
        <w:ind w:firstLine="708"/>
        <w:jc w:val="both"/>
        <w:rPr>
          <w:rFonts w:ascii="Times New Roman" w:hAnsi="Times New Roman" w:cs="Times New Roman"/>
          <w:sz w:val="24"/>
          <w:szCs w:val="24"/>
          <w:lang w:val="sr-Cyrl-CS"/>
        </w:rPr>
      </w:pPr>
    </w:p>
    <w:p w14:paraId="0E9CB373" w14:textId="015A429D"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Овако дефинисан општи циљ подразумева настојање да се систем јавних набавки даље развија и јача на темељима прописаних начела, одредаба Закон о јавним набавкама („Службени гласник РС”, бр. 91/19 и 92/23, у даљем тексту: ЗЈН) и европских правила, како би се остварио очекивани напредак у приступним преговорима са ЕУ.</w:t>
      </w:r>
    </w:p>
    <w:p w14:paraId="2C9CF07C"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Показатељ ефеката реализације овог циља је оцена Европске комисије о оствареном напретку у Поглављу 5 – Јавне набавке и испуњавање свих мерила утврђених у оквиру овог поглавља, што је било и предвиђено Акционим планом за 2024. годину.</w:t>
      </w:r>
    </w:p>
    <w:p w14:paraId="13310955"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До реализације општег циља доводе посебни циљеви и то:</w:t>
      </w:r>
    </w:p>
    <w:p w14:paraId="5B3FB341"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1. повећање економичности и конкурентности у јавним набавкама;</w:t>
      </w:r>
    </w:p>
    <w:p w14:paraId="35CCB95A"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2. шира примена еколошког и социјалног аспекта и техника и инструмената у јавним набавкама;</w:t>
      </w:r>
    </w:p>
    <w:p w14:paraId="09EF8B63"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3. смањење ризика од нерегуларности у јавним набавкама.</w:t>
      </w:r>
    </w:p>
    <w:p w14:paraId="45C318B3" w14:textId="77777777" w:rsidR="00EB48F2" w:rsidRPr="00EB48F2" w:rsidRDefault="00EB48F2" w:rsidP="00EB48F2">
      <w:pPr>
        <w:spacing w:after="0"/>
        <w:ind w:firstLine="708"/>
        <w:jc w:val="both"/>
        <w:rPr>
          <w:rFonts w:ascii="Times New Roman" w:hAnsi="Times New Roman" w:cs="Times New Roman"/>
          <w:sz w:val="24"/>
          <w:szCs w:val="24"/>
          <w:lang w:val="sr-Cyrl-CS"/>
        </w:rPr>
      </w:pPr>
    </w:p>
    <w:p w14:paraId="7E51C675" w14:textId="7ADDEEC5" w:rsidR="00C22148" w:rsidRDefault="00C22148" w:rsidP="00C22148">
      <w:pPr>
        <w:spacing w:after="0"/>
        <w:jc w:val="center"/>
        <w:rPr>
          <w:rFonts w:ascii="Times New Roman" w:hAnsi="Times New Roman" w:cs="Times New Roman"/>
          <w:sz w:val="24"/>
          <w:szCs w:val="24"/>
          <w:lang w:val="sr-Cyrl-CS"/>
        </w:rPr>
      </w:pPr>
      <w:r>
        <w:rPr>
          <w:rFonts w:ascii="Times New Roman" w:hAnsi="Times New Roman" w:cs="Times New Roman"/>
          <w:b/>
          <w:sz w:val="24"/>
          <w:szCs w:val="24"/>
          <w:lang w:val="sr-Cyrl-CS"/>
        </w:rPr>
        <w:t>Посебан циљ</w:t>
      </w:r>
      <w:r w:rsidR="00EB48F2" w:rsidRPr="00C22148">
        <w:rPr>
          <w:rFonts w:ascii="Times New Roman" w:hAnsi="Times New Roman" w:cs="Times New Roman"/>
          <w:b/>
          <w:sz w:val="24"/>
          <w:szCs w:val="24"/>
          <w:lang w:val="sr-Cyrl-CS"/>
        </w:rPr>
        <w:t xml:space="preserve"> 1</w:t>
      </w:r>
    </w:p>
    <w:p w14:paraId="14305CE0" w14:textId="45DA439A" w:rsidR="00EB48F2" w:rsidRDefault="00EB48F2" w:rsidP="00C22148">
      <w:pPr>
        <w:spacing w:after="0"/>
        <w:ind w:firstLine="708"/>
        <w:jc w:val="center"/>
        <w:rPr>
          <w:rFonts w:ascii="Times New Roman" w:hAnsi="Times New Roman" w:cs="Times New Roman"/>
          <w:sz w:val="24"/>
          <w:szCs w:val="24"/>
          <w:lang w:val="sr-Cyrl-CS"/>
        </w:rPr>
      </w:pPr>
      <w:r w:rsidRPr="00EB48F2">
        <w:rPr>
          <w:rFonts w:ascii="Times New Roman" w:hAnsi="Times New Roman" w:cs="Times New Roman"/>
          <w:sz w:val="24"/>
          <w:szCs w:val="24"/>
          <w:lang w:val="sr-Cyrl-CS"/>
        </w:rPr>
        <w:t>- Повећање економичности и конкурентности у јавним набавкама</w:t>
      </w:r>
      <w:r w:rsidR="00C22148">
        <w:rPr>
          <w:rFonts w:ascii="Times New Roman" w:hAnsi="Times New Roman" w:cs="Times New Roman"/>
          <w:sz w:val="24"/>
          <w:szCs w:val="24"/>
          <w:lang w:val="sr-Cyrl-CS"/>
        </w:rPr>
        <w:t>-</w:t>
      </w:r>
    </w:p>
    <w:p w14:paraId="61604FCC" w14:textId="77777777" w:rsidR="00C22148" w:rsidRPr="00EB48F2" w:rsidRDefault="00C22148" w:rsidP="00C22148">
      <w:pPr>
        <w:spacing w:after="0"/>
        <w:ind w:firstLine="708"/>
        <w:jc w:val="center"/>
        <w:rPr>
          <w:rFonts w:ascii="Times New Roman" w:hAnsi="Times New Roman" w:cs="Times New Roman"/>
          <w:sz w:val="24"/>
          <w:szCs w:val="24"/>
          <w:lang w:val="sr-Cyrl-CS"/>
        </w:rPr>
      </w:pPr>
    </w:p>
    <w:p w14:paraId="1E67A9CF"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 xml:space="preserve">ЗЈН се заснива на начелима која подразумевају обавезу наручиоца да поступа на економичан и ефикасан начин, узимајући у обзир заштиту животне средине, да обезбеди конкуренцију, једнак положај свих привредних субјеката, без дискриминације, као и да поступа на транспарентан и пропорционалан начин. Применом ових начела у пракси </w:t>
      </w:r>
      <w:r w:rsidRPr="00EB48F2">
        <w:rPr>
          <w:rFonts w:ascii="Times New Roman" w:hAnsi="Times New Roman" w:cs="Times New Roman"/>
          <w:sz w:val="24"/>
          <w:szCs w:val="24"/>
          <w:lang w:val="sr-Cyrl-CS"/>
        </w:rPr>
        <w:lastRenderedPageBreak/>
        <w:t>постижу се жељени резултати. Стога су повећање економичности и конкурентности препознати као посебни циљеви којима треба тежити у наредном периоду.</w:t>
      </w:r>
    </w:p>
    <w:p w14:paraId="09EA3907"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 xml:space="preserve">Показатељи исхода на нивоу овог посебног циља су: </w:t>
      </w:r>
    </w:p>
    <w:p w14:paraId="799A7850"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 xml:space="preserve">учешће МСП у поступцима јавних набавки; </w:t>
      </w:r>
    </w:p>
    <w:p w14:paraId="36068CCD"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учешће критеријума за доделу уговора који се не заснива само на цени.</w:t>
      </w:r>
    </w:p>
    <w:p w14:paraId="34545224"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 xml:space="preserve">У оквиру овог циља предвиђене су четири мере: </w:t>
      </w:r>
    </w:p>
    <w:p w14:paraId="21DFF55D"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унапређење регулаторног оквира и јачање праксе у области ЈПП – показатељ: донет закон о изменама и допунама закона о ЈПП,</w:t>
      </w:r>
    </w:p>
    <w:p w14:paraId="27D4B2CC"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јачање институционалних капацитета – показатељ: број запослених у КЈН, укупно,</w:t>
      </w:r>
    </w:p>
    <w:p w14:paraId="25DC16ED"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јачање административних капацитета наручилаца и привредних субјеката – показатељ: број сертификованих службеника за јавне набавке, укупно,</w:t>
      </w:r>
    </w:p>
    <w:p w14:paraId="07683B46" w14:textId="2DEDD5AE" w:rsid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унапређење електронског система јавних набавки – показатељ: имплементиране нове верзије Портала, укупно.</w:t>
      </w:r>
    </w:p>
    <w:p w14:paraId="182B431D" w14:textId="77777777" w:rsidR="00C22148" w:rsidRPr="00EB48F2" w:rsidRDefault="00C22148" w:rsidP="00EB48F2">
      <w:pPr>
        <w:spacing w:after="0"/>
        <w:ind w:firstLine="708"/>
        <w:jc w:val="both"/>
        <w:rPr>
          <w:rFonts w:ascii="Times New Roman" w:hAnsi="Times New Roman" w:cs="Times New Roman"/>
          <w:sz w:val="24"/>
          <w:szCs w:val="24"/>
          <w:lang w:val="sr-Cyrl-CS"/>
        </w:rPr>
      </w:pPr>
    </w:p>
    <w:p w14:paraId="42A0CD39" w14:textId="02616A56" w:rsidR="00C22148" w:rsidRPr="00C22148" w:rsidRDefault="00C22148" w:rsidP="00C22148">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Посебан циљ</w:t>
      </w:r>
      <w:r w:rsidR="00EB48F2" w:rsidRPr="00C22148">
        <w:rPr>
          <w:rFonts w:ascii="Times New Roman" w:hAnsi="Times New Roman" w:cs="Times New Roman"/>
          <w:b/>
          <w:sz w:val="24"/>
          <w:szCs w:val="24"/>
          <w:lang w:val="sr-Cyrl-CS"/>
        </w:rPr>
        <w:t xml:space="preserve"> 2</w:t>
      </w:r>
    </w:p>
    <w:p w14:paraId="44B6903F" w14:textId="4EBA6D47" w:rsidR="00EB48F2" w:rsidRPr="00EB48F2" w:rsidRDefault="00EB48F2" w:rsidP="00C22148">
      <w:pPr>
        <w:spacing w:after="0"/>
        <w:ind w:firstLine="708"/>
        <w:jc w:val="center"/>
        <w:rPr>
          <w:rFonts w:ascii="Times New Roman" w:hAnsi="Times New Roman" w:cs="Times New Roman"/>
          <w:sz w:val="24"/>
          <w:szCs w:val="24"/>
          <w:lang w:val="sr-Cyrl-CS"/>
        </w:rPr>
      </w:pPr>
      <w:r w:rsidRPr="00EB48F2">
        <w:rPr>
          <w:rFonts w:ascii="Times New Roman" w:hAnsi="Times New Roman" w:cs="Times New Roman"/>
          <w:sz w:val="24"/>
          <w:szCs w:val="24"/>
          <w:lang w:val="sr-Cyrl-CS"/>
        </w:rPr>
        <w:t>- Шира примена еколошког и социјалног аспекта и техника и инструмената у јавним набавкама</w:t>
      </w:r>
      <w:r w:rsidR="00C22148">
        <w:rPr>
          <w:rFonts w:ascii="Times New Roman" w:hAnsi="Times New Roman" w:cs="Times New Roman"/>
          <w:sz w:val="24"/>
          <w:szCs w:val="24"/>
          <w:lang w:val="sr-Cyrl-CS"/>
        </w:rPr>
        <w:t>-</w:t>
      </w:r>
    </w:p>
    <w:p w14:paraId="2AC893FC"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 xml:space="preserve">Последњих година, посебно се истиче значај еколошких и социјалних аспеката у поступцима јавних набавки. Примена еколошких аспеката подстиче развој понуде добара, услуга и радова са бољим карактеристикама по животну средину, док примена социјалних аспеката има значајну улогу за друштвени развој. </w:t>
      </w:r>
    </w:p>
    <w:p w14:paraId="6BE1EEE1"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Такође, користи од примене техника и инструмената у јавним набавкама огледају се у већој ефикасности поступка набавке и у економичности набављених добара, радова и услуга.</w:t>
      </w:r>
    </w:p>
    <w:p w14:paraId="559620C1"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 xml:space="preserve">Показатељи исхода на нивоу овог посебног циља су: </w:t>
      </w:r>
    </w:p>
    <w:p w14:paraId="7B735F0E"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број поступака јавних набавки са еколошким критеријумима;</w:t>
      </w:r>
    </w:p>
    <w:p w14:paraId="14129F37"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број поступака јавних набавки са социјалним критеријумима;</w:t>
      </w:r>
    </w:p>
    <w:p w14:paraId="2972AFAA"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број техника и инструмената у поступцима јавних набавки.</w:t>
      </w:r>
    </w:p>
    <w:p w14:paraId="2FC9C674"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У оквиру овог циља предвиђене су три мере:</w:t>
      </w:r>
    </w:p>
    <w:p w14:paraId="6ACF24BB"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јачање регулаторног и институционалног оквира у погледу зелених набавки – показатељ: број организованих обука и број израђених практичних алата;</w:t>
      </w:r>
    </w:p>
    <w:p w14:paraId="27C11CE9"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подстицање примене социјалног концепта у јавним набавкама – показатељ: број организованих обука и број израђених практичних алата;</w:t>
      </w:r>
    </w:p>
    <w:p w14:paraId="367EDD9A" w14:textId="1A540E4A" w:rsid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подстицање примене техника и инструмената у јавним набавкама – показатељ: број организованих обука и број израђених практичних алата.</w:t>
      </w:r>
    </w:p>
    <w:p w14:paraId="25B4F6EA" w14:textId="77777777" w:rsidR="00C22148" w:rsidRPr="00EB48F2" w:rsidRDefault="00C22148" w:rsidP="00EB48F2">
      <w:pPr>
        <w:spacing w:after="0"/>
        <w:ind w:firstLine="708"/>
        <w:jc w:val="both"/>
        <w:rPr>
          <w:rFonts w:ascii="Times New Roman" w:hAnsi="Times New Roman" w:cs="Times New Roman"/>
          <w:sz w:val="24"/>
          <w:szCs w:val="24"/>
          <w:lang w:val="sr-Cyrl-CS"/>
        </w:rPr>
      </w:pPr>
    </w:p>
    <w:p w14:paraId="1A489AB4" w14:textId="41EB9BF6" w:rsidR="00C22148" w:rsidRPr="00C22148" w:rsidRDefault="00C22148" w:rsidP="00C22148">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Посебан циљ</w:t>
      </w:r>
      <w:r w:rsidR="00EB48F2" w:rsidRPr="00C22148">
        <w:rPr>
          <w:rFonts w:ascii="Times New Roman" w:hAnsi="Times New Roman" w:cs="Times New Roman"/>
          <w:b/>
          <w:sz w:val="24"/>
          <w:szCs w:val="24"/>
          <w:lang w:val="sr-Cyrl-CS"/>
        </w:rPr>
        <w:t xml:space="preserve"> 3 </w:t>
      </w:r>
    </w:p>
    <w:p w14:paraId="3C08374F" w14:textId="2A71342B" w:rsidR="00EB48F2" w:rsidRDefault="00C22148" w:rsidP="00C2214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r w:rsidR="00EB48F2" w:rsidRPr="00EB48F2">
        <w:rPr>
          <w:rFonts w:ascii="Times New Roman" w:hAnsi="Times New Roman" w:cs="Times New Roman"/>
          <w:sz w:val="24"/>
          <w:szCs w:val="24"/>
          <w:lang w:val="sr-Cyrl-CS"/>
        </w:rPr>
        <w:t>Смањење ризика од нерегуларности у јавним набавкама</w:t>
      </w:r>
      <w:r>
        <w:rPr>
          <w:rFonts w:ascii="Times New Roman" w:hAnsi="Times New Roman" w:cs="Times New Roman"/>
          <w:sz w:val="24"/>
          <w:szCs w:val="24"/>
          <w:lang w:val="sr-Cyrl-CS"/>
        </w:rPr>
        <w:t>-</w:t>
      </w:r>
    </w:p>
    <w:p w14:paraId="53EB2232" w14:textId="77777777" w:rsidR="00C22148" w:rsidRPr="00EB48F2" w:rsidRDefault="00C22148" w:rsidP="00C22148">
      <w:pPr>
        <w:spacing w:after="0"/>
        <w:jc w:val="center"/>
        <w:rPr>
          <w:rFonts w:ascii="Times New Roman" w:hAnsi="Times New Roman" w:cs="Times New Roman"/>
          <w:sz w:val="24"/>
          <w:szCs w:val="24"/>
          <w:lang w:val="sr-Cyrl-CS"/>
        </w:rPr>
      </w:pPr>
    </w:p>
    <w:p w14:paraId="223EADCA"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Правичан и одржив систем јавних набавки и напредак није могуће остварити без смањења нерегуларности и ризика од корупције у поступцима јавних набавки.</w:t>
      </w:r>
    </w:p>
    <w:p w14:paraId="599DDAEC"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lastRenderedPageBreak/>
        <w:t xml:space="preserve">Показатељи исхода на нивоу овог посебног циља су: </w:t>
      </w:r>
    </w:p>
    <w:p w14:paraId="17E486F3"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број поступака над којима је спроведен мониторинг;</w:t>
      </w:r>
    </w:p>
    <w:p w14:paraId="3519CB61"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број субјеката редовног надзора над извршењем уговора.</w:t>
      </w:r>
    </w:p>
    <w:p w14:paraId="399C1D6F"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У оквиру овог циља предвиђене су три мере:</w:t>
      </w:r>
    </w:p>
    <w:p w14:paraId="3521F2F5"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 xml:space="preserve">јачање мониторинга и контрола набавки испод прагова на које се ЗЈН не примењује – показатељ: број субјеката мониторинга код којих се контролисане набавке испод прагова на које се ЗЈН не примењује, </w:t>
      </w:r>
    </w:p>
    <w:p w14:paraId="72726D5A" w14:textId="77777777" w:rsidR="00EB48F2" w:rsidRP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јачање сарадње институција у систему јавних набавки – показатељ: број организованих састанака, конференција и едукација, укупно,</w:t>
      </w:r>
    </w:p>
    <w:p w14:paraId="520AA0B9" w14:textId="2ADA196C" w:rsidR="00EB48F2" w:rsidRDefault="00EB48F2" w:rsidP="00EB48F2">
      <w:pPr>
        <w:spacing w:after="0"/>
        <w:ind w:firstLine="708"/>
        <w:jc w:val="both"/>
        <w:rPr>
          <w:rFonts w:ascii="Times New Roman" w:hAnsi="Times New Roman" w:cs="Times New Roman"/>
          <w:sz w:val="24"/>
          <w:szCs w:val="24"/>
          <w:lang w:val="sr-Cyrl-CS"/>
        </w:rPr>
      </w:pPr>
      <w:r w:rsidRPr="00EB48F2">
        <w:rPr>
          <w:rFonts w:ascii="Times New Roman" w:hAnsi="Times New Roman" w:cs="Times New Roman"/>
          <w:sz w:val="24"/>
          <w:szCs w:val="24"/>
          <w:lang w:val="sr-Cyrl-CS"/>
        </w:rPr>
        <w:t>-</w:t>
      </w:r>
      <w:r w:rsidRPr="00EB48F2">
        <w:rPr>
          <w:rFonts w:ascii="Times New Roman" w:hAnsi="Times New Roman" w:cs="Times New Roman"/>
          <w:sz w:val="24"/>
          <w:szCs w:val="24"/>
          <w:lang w:val="sr-Cyrl-CS"/>
        </w:rPr>
        <w:tab/>
        <w:t>унапређење квалитета управљања уговором – показатељ: број организованих обука на тему извршења уговора, годишње.</w:t>
      </w:r>
    </w:p>
    <w:p w14:paraId="5ED03520" w14:textId="018AA420" w:rsidR="00E00747" w:rsidRDefault="0035009C" w:rsidP="0035009C">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КЈН, у складу са Програмом дужна је да</w:t>
      </w:r>
      <w:r w:rsidR="004B577B">
        <w:rPr>
          <w:rFonts w:ascii="Times New Roman" w:hAnsi="Times New Roman" w:cs="Times New Roman"/>
          <w:sz w:val="24"/>
          <w:szCs w:val="24"/>
          <w:lang w:val="sr-Cyrl-CS"/>
        </w:rPr>
        <w:t>,</w:t>
      </w:r>
      <w:r w:rsidRPr="00E469B3">
        <w:rPr>
          <w:rFonts w:ascii="Times New Roman" w:hAnsi="Times New Roman" w:cs="Times New Roman"/>
          <w:sz w:val="24"/>
          <w:szCs w:val="24"/>
          <w:lang w:val="sr-Cyrl-CS"/>
        </w:rPr>
        <w:t xml:space="preserve"> ради реализације утврђених стратешких циљева и унапређења наведених приорите</w:t>
      </w:r>
      <w:r w:rsidRPr="00E469B3">
        <w:rPr>
          <w:rFonts w:ascii="Times New Roman" w:hAnsi="Times New Roman" w:cs="Times New Roman"/>
          <w:sz w:val="24"/>
          <w:szCs w:val="24"/>
        </w:rPr>
        <w:t>т</w:t>
      </w:r>
      <w:r w:rsidRPr="00E469B3">
        <w:rPr>
          <w:rFonts w:ascii="Times New Roman" w:hAnsi="Times New Roman" w:cs="Times New Roman"/>
          <w:sz w:val="24"/>
          <w:szCs w:val="24"/>
          <w:lang w:val="sr-Cyrl-CS"/>
        </w:rPr>
        <w:t>них области у Програму, припрем</w:t>
      </w:r>
      <w:r w:rsidR="004B577B">
        <w:rPr>
          <w:rFonts w:ascii="Times New Roman" w:hAnsi="Times New Roman" w:cs="Times New Roman"/>
          <w:sz w:val="24"/>
          <w:szCs w:val="24"/>
          <w:lang w:val="sr-Cyrl-CS"/>
        </w:rPr>
        <w:t>а</w:t>
      </w:r>
      <w:r w:rsidRPr="00E469B3">
        <w:rPr>
          <w:rFonts w:ascii="Times New Roman" w:hAnsi="Times New Roman" w:cs="Times New Roman"/>
          <w:sz w:val="24"/>
          <w:szCs w:val="24"/>
          <w:lang w:val="sr-Cyrl-CS"/>
        </w:rPr>
        <w:t xml:space="preserve"> предлог</w:t>
      </w:r>
      <w:r w:rsidR="004B577B">
        <w:rPr>
          <w:rFonts w:ascii="Times New Roman" w:hAnsi="Times New Roman" w:cs="Times New Roman"/>
          <w:sz w:val="24"/>
          <w:szCs w:val="24"/>
          <w:lang w:val="sr-Cyrl-CS"/>
        </w:rPr>
        <w:t>е</w:t>
      </w:r>
      <w:r w:rsidRPr="00E469B3">
        <w:rPr>
          <w:rFonts w:ascii="Times New Roman" w:hAnsi="Times New Roman" w:cs="Times New Roman"/>
          <w:sz w:val="24"/>
          <w:szCs w:val="24"/>
          <w:lang w:val="sr-Cyrl-CS"/>
        </w:rPr>
        <w:t xml:space="preserve"> акционих планова за Владу Републике Србије на период од годину дана. Пратећи </w:t>
      </w:r>
      <w:r w:rsidR="004B577B">
        <w:rPr>
          <w:rFonts w:ascii="Times New Roman" w:hAnsi="Times New Roman" w:cs="Times New Roman"/>
          <w:sz w:val="24"/>
          <w:szCs w:val="24"/>
          <w:lang w:val="sr-Cyrl-CS"/>
        </w:rPr>
        <w:t>а</w:t>
      </w:r>
      <w:r w:rsidRPr="00E469B3">
        <w:rPr>
          <w:rFonts w:ascii="Times New Roman" w:hAnsi="Times New Roman" w:cs="Times New Roman"/>
          <w:sz w:val="24"/>
          <w:szCs w:val="24"/>
          <w:lang w:val="sr-Cyrl-CS"/>
        </w:rPr>
        <w:t>кциони план за спровођење Програма развоја јавних набав</w:t>
      </w:r>
      <w:r w:rsidRPr="00E469B3">
        <w:rPr>
          <w:rFonts w:ascii="Times New Roman" w:hAnsi="Times New Roman" w:cs="Times New Roman"/>
          <w:sz w:val="24"/>
          <w:szCs w:val="24"/>
        </w:rPr>
        <w:t>к</w:t>
      </w:r>
      <w:r w:rsidRPr="00E469B3">
        <w:rPr>
          <w:rFonts w:ascii="Times New Roman" w:hAnsi="Times New Roman" w:cs="Times New Roman"/>
          <w:sz w:val="24"/>
          <w:szCs w:val="24"/>
          <w:lang w:val="sr-Cyrl-CS"/>
        </w:rPr>
        <w:t xml:space="preserve">и у Републици Србији за </w:t>
      </w:r>
      <w:r w:rsidR="00E00747">
        <w:rPr>
          <w:rFonts w:ascii="Times New Roman" w:hAnsi="Times New Roman" w:cs="Times New Roman"/>
          <w:sz w:val="24"/>
          <w:szCs w:val="24"/>
          <w:lang w:val="sr-Cyrl-CS"/>
        </w:rPr>
        <w:t>2024. годину</w:t>
      </w:r>
      <w:r w:rsidRPr="00E469B3">
        <w:rPr>
          <w:rFonts w:ascii="Times New Roman" w:hAnsi="Times New Roman" w:cs="Times New Roman"/>
          <w:sz w:val="24"/>
          <w:szCs w:val="24"/>
          <w:lang w:val="sr-Cyrl-CS"/>
        </w:rPr>
        <w:t xml:space="preserve"> је донет заједно са Програмом</w:t>
      </w:r>
      <w:r w:rsidR="00E00747">
        <w:rPr>
          <w:rFonts w:ascii="Times New Roman" w:hAnsi="Times New Roman" w:cs="Times New Roman"/>
          <w:sz w:val="24"/>
          <w:szCs w:val="24"/>
          <w:lang w:val="sr-Cyrl-CS"/>
        </w:rPr>
        <w:t xml:space="preserve">. </w:t>
      </w:r>
    </w:p>
    <w:p w14:paraId="63B09636" w14:textId="23646DAC" w:rsidR="0035009C" w:rsidRPr="00E469B3" w:rsidRDefault="0035009C" w:rsidP="0035009C">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Спровођење</w:t>
      </w:r>
      <w:r w:rsidR="005C7ED8" w:rsidRPr="00E469B3">
        <w:rPr>
          <w:rFonts w:ascii="Times New Roman" w:hAnsi="Times New Roman" w:cs="Times New Roman"/>
          <w:sz w:val="24"/>
          <w:szCs w:val="24"/>
          <w:lang w:val="en-GB"/>
        </w:rPr>
        <w:t xml:space="preserve"> </w:t>
      </w:r>
      <w:r w:rsidRPr="00E469B3">
        <w:rPr>
          <w:rFonts w:ascii="Times New Roman" w:hAnsi="Times New Roman" w:cs="Times New Roman"/>
          <w:sz w:val="24"/>
          <w:szCs w:val="24"/>
        </w:rPr>
        <w:t>П</w:t>
      </w:r>
      <w:r w:rsidRPr="00E469B3">
        <w:rPr>
          <w:rFonts w:ascii="Times New Roman" w:hAnsi="Times New Roman" w:cs="Times New Roman"/>
          <w:sz w:val="24"/>
          <w:szCs w:val="24"/>
          <w:lang w:val="sr-Cyrl-CS"/>
        </w:rPr>
        <w:t>рограма прати</w:t>
      </w:r>
      <w:r w:rsidR="005C7ED8" w:rsidRPr="00E469B3">
        <w:rPr>
          <w:rFonts w:ascii="Times New Roman" w:hAnsi="Times New Roman" w:cs="Times New Roman"/>
          <w:sz w:val="24"/>
          <w:szCs w:val="24"/>
          <w:lang w:val="en-GB"/>
        </w:rPr>
        <w:t xml:space="preserve"> </w:t>
      </w:r>
      <w:r w:rsidRPr="00E469B3">
        <w:rPr>
          <w:rFonts w:ascii="Times New Roman" w:hAnsi="Times New Roman" w:cs="Times New Roman"/>
          <w:sz w:val="24"/>
          <w:szCs w:val="24"/>
          <w:lang w:val="sr-Cyrl-CS"/>
        </w:rPr>
        <w:t xml:space="preserve">КЈН као координативно тело, док се мере за остварење циљева Програма спроводи у сарадњи са надлежним институцијама. КЈН је дужна да на основу прикупљених информација о извршењу Акционог плана припреми Извештај о спровођењу Акционог плана и достави га Влади ради информисања. </w:t>
      </w:r>
    </w:p>
    <w:p w14:paraId="087F8CE8" w14:textId="77777777" w:rsidR="0035009C" w:rsidRPr="00E469B3" w:rsidRDefault="0035009C" w:rsidP="0035009C">
      <w:pPr>
        <w:spacing w:after="0"/>
        <w:ind w:firstLine="708"/>
        <w:jc w:val="both"/>
        <w:rPr>
          <w:rFonts w:ascii="Times New Roman" w:hAnsi="Times New Roman" w:cs="Times New Roman"/>
          <w:sz w:val="24"/>
          <w:szCs w:val="24"/>
        </w:rPr>
      </w:pPr>
      <w:r w:rsidRPr="00E469B3">
        <w:rPr>
          <w:rFonts w:ascii="Times New Roman" w:hAnsi="Times New Roman" w:cs="Times New Roman"/>
          <w:sz w:val="24"/>
          <w:szCs w:val="24"/>
          <w:lang w:val="sr-Cyrl-CS"/>
        </w:rPr>
        <w:t>Извештавање о спровођењу Програма и пратећих акционих планова спроводи се у складу са чланом 43. Закона о планском систему Републике Србије</w:t>
      </w:r>
      <w:r w:rsidRPr="00E469B3">
        <w:rPr>
          <w:rFonts w:ascii="Times New Roman" w:hAnsi="Times New Roman" w:cs="Times New Roman"/>
          <w:sz w:val="24"/>
          <w:szCs w:val="24"/>
        </w:rPr>
        <w:t xml:space="preserve"> („Службени гласник РС“, број 30/18)</w:t>
      </w:r>
      <w:r w:rsidRPr="00E469B3">
        <w:rPr>
          <w:rFonts w:ascii="Times New Roman" w:hAnsi="Times New Roman" w:cs="Times New Roman"/>
          <w:sz w:val="24"/>
          <w:szCs w:val="24"/>
          <w:lang w:val="sr-Cyrl-CS"/>
        </w:rPr>
        <w:t xml:space="preserve"> којим је прописано да а</w:t>
      </w:r>
      <w:r w:rsidRPr="00E469B3">
        <w:rPr>
          <w:rFonts w:ascii="Times New Roman" w:hAnsi="Times New Roman" w:cs="Times New Roman"/>
          <w:sz w:val="24"/>
          <w:szCs w:val="24"/>
        </w:rPr>
        <w:t xml:space="preserve">ко је предлагач документа јавне политике орган државне управе, тај орган извештава Владу, преко органа државне управе надлежног за координацију јавних политика, о резултатима спровођења тог документа, односно о </w:t>
      </w:r>
      <w:r w:rsidRPr="00E469B3">
        <w:rPr>
          <w:rFonts w:ascii="Times New Roman" w:hAnsi="Times New Roman" w:cs="Times New Roman"/>
          <w:sz w:val="24"/>
          <w:szCs w:val="24"/>
          <w:lang w:val="en-GB"/>
        </w:rPr>
        <w:t>ex-post</w:t>
      </w:r>
      <w:r w:rsidRPr="00E469B3">
        <w:rPr>
          <w:rFonts w:ascii="Times New Roman" w:hAnsi="Times New Roman" w:cs="Times New Roman"/>
          <w:sz w:val="24"/>
          <w:szCs w:val="24"/>
        </w:rPr>
        <w:t xml:space="preserve"> анализи ефеката јавне политике утврђене тим документом. </w:t>
      </w:r>
    </w:p>
    <w:p w14:paraId="2F8BC1FA" w14:textId="77777777" w:rsidR="00E00747" w:rsidRDefault="0035009C" w:rsidP="00E00747">
      <w:pPr>
        <w:spacing w:after="0"/>
        <w:ind w:firstLine="708"/>
        <w:jc w:val="both"/>
        <w:rPr>
          <w:rFonts w:ascii="Times New Roman" w:hAnsi="Times New Roman" w:cs="Times New Roman"/>
          <w:sz w:val="24"/>
          <w:szCs w:val="24"/>
          <w:lang w:val="sr-Cyrl-CS"/>
        </w:rPr>
      </w:pPr>
      <w:r w:rsidRPr="00E469B3">
        <w:rPr>
          <w:rFonts w:ascii="Times New Roman" w:hAnsi="Times New Roman" w:cs="Times New Roman"/>
          <w:sz w:val="24"/>
          <w:szCs w:val="24"/>
          <w:lang w:val="sr-Cyrl-CS"/>
        </w:rPr>
        <w:t xml:space="preserve">У складу са наведеним, КЈН је припремила </w:t>
      </w:r>
      <w:r w:rsidR="005C7ED8" w:rsidRPr="00E469B3">
        <w:rPr>
          <w:rFonts w:ascii="Times New Roman" w:hAnsi="Times New Roman" w:cs="Times New Roman"/>
          <w:b/>
          <w:sz w:val="24"/>
          <w:szCs w:val="24"/>
        </w:rPr>
        <w:t>И</w:t>
      </w:r>
      <w:r w:rsidR="005C7ED8" w:rsidRPr="00E469B3">
        <w:rPr>
          <w:rFonts w:ascii="Times New Roman" w:hAnsi="Times New Roman" w:cs="Times New Roman"/>
          <w:b/>
          <w:sz w:val="24"/>
          <w:szCs w:val="24"/>
          <w:lang w:val="sr-Cyrl-CS"/>
        </w:rPr>
        <w:t>звештај</w:t>
      </w:r>
      <w:r w:rsidRPr="00E469B3">
        <w:rPr>
          <w:rFonts w:ascii="Times New Roman" w:hAnsi="Times New Roman" w:cs="Times New Roman"/>
          <w:b/>
          <w:sz w:val="24"/>
          <w:szCs w:val="24"/>
          <w:lang w:val="sr-Cyrl-CS"/>
        </w:rPr>
        <w:t xml:space="preserve"> о спровођењу Акционог плана за спровођење Програма развоја јавних набавки у Републици Србији за </w:t>
      </w:r>
      <w:r w:rsidR="005C7ED8" w:rsidRPr="00E469B3">
        <w:rPr>
          <w:rFonts w:ascii="Times New Roman" w:hAnsi="Times New Roman" w:cs="Times New Roman"/>
          <w:b/>
          <w:sz w:val="24"/>
          <w:szCs w:val="24"/>
          <w:lang w:val="sr-Cyrl-CS"/>
        </w:rPr>
        <w:t>202</w:t>
      </w:r>
      <w:r w:rsidR="00E00747">
        <w:rPr>
          <w:rFonts w:ascii="Times New Roman" w:hAnsi="Times New Roman" w:cs="Times New Roman"/>
          <w:b/>
          <w:sz w:val="24"/>
          <w:szCs w:val="24"/>
          <w:lang w:val="sr-Cyrl-RS"/>
        </w:rPr>
        <w:t>4</w:t>
      </w:r>
      <w:r w:rsidRPr="00E469B3">
        <w:rPr>
          <w:rFonts w:ascii="Times New Roman" w:hAnsi="Times New Roman" w:cs="Times New Roman"/>
          <w:b/>
          <w:sz w:val="24"/>
          <w:szCs w:val="24"/>
          <w:lang w:val="sr-Cyrl-CS"/>
        </w:rPr>
        <w:t xml:space="preserve">. годину </w:t>
      </w:r>
      <w:r w:rsidRPr="00E469B3">
        <w:rPr>
          <w:rFonts w:ascii="Times New Roman" w:hAnsi="Times New Roman" w:cs="Times New Roman"/>
          <w:sz w:val="24"/>
          <w:szCs w:val="24"/>
          <w:lang w:val="sr-Cyrl-CS"/>
        </w:rPr>
        <w:t xml:space="preserve">(у даљем тексту: Извештај). </w:t>
      </w:r>
    </w:p>
    <w:p w14:paraId="74FF7502" w14:textId="2A5DF1AB" w:rsidR="00855CFE" w:rsidRDefault="0035009C" w:rsidP="00286287">
      <w:pPr>
        <w:spacing w:after="0"/>
        <w:ind w:firstLine="708"/>
        <w:jc w:val="both"/>
        <w:rPr>
          <w:rFonts w:ascii="Times New Roman" w:hAnsi="Times New Roman" w:cs="Times New Roman"/>
          <w:i/>
          <w:sz w:val="20"/>
          <w:szCs w:val="20"/>
        </w:rPr>
      </w:pPr>
      <w:r w:rsidRPr="00051D92">
        <w:rPr>
          <w:rFonts w:ascii="Times New Roman" w:hAnsi="Times New Roman" w:cs="Times New Roman"/>
          <w:sz w:val="24"/>
          <w:szCs w:val="24"/>
          <w:lang w:eastAsia="sr-Latn-CS"/>
        </w:rPr>
        <w:t>У даљем тексту биће приказан</w:t>
      </w:r>
      <w:r w:rsidR="00286287" w:rsidRPr="00051D92">
        <w:rPr>
          <w:rFonts w:ascii="Times New Roman" w:hAnsi="Times New Roman" w:cs="Times New Roman"/>
          <w:sz w:val="24"/>
          <w:szCs w:val="24"/>
          <w:lang w:val="sr-Cyrl-RS" w:eastAsia="sr-Latn-CS"/>
        </w:rPr>
        <w:t xml:space="preserve"> степен реализације показатеља општег циља </w:t>
      </w:r>
      <w:r w:rsidR="00286287" w:rsidRPr="00051D92">
        <w:rPr>
          <w:rFonts w:ascii="Times New Roman" w:hAnsi="Times New Roman" w:cs="Times New Roman"/>
          <w:sz w:val="24"/>
          <w:szCs w:val="24"/>
          <w:lang w:eastAsia="sr-Latn-CS"/>
        </w:rPr>
        <w:t>(показатеља ефекта)</w:t>
      </w:r>
      <w:r w:rsidR="00286287" w:rsidRPr="00051D92">
        <w:rPr>
          <w:rFonts w:ascii="Times New Roman" w:hAnsi="Times New Roman" w:cs="Times New Roman"/>
          <w:sz w:val="24"/>
          <w:szCs w:val="24"/>
          <w:lang w:val="sr-Cyrl-RS" w:eastAsia="sr-Latn-CS"/>
        </w:rPr>
        <w:t>, показатеља посебних циљева (</w:t>
      </w:r>
      <w:r w:rsidR="00286287" w:rsidRPr="00051D92">
        <w:rPr>
          <w:rFonts w:ascii="Times New Roman" w:hAnsi="Times New Roman" w:cs="Times New Roman"/>
          <w:sz w:val="24"/>
          <w:szCs w:val="24"/>
          <w:lang w:eastAsia="sr-Latn-CS"/>
        </w:rPr>
        <w:t>показатеља исхода)</w:t>
      </w:r>
      <w:r w:rsidR="00286287" w:rsidRPr="00051D92">
        <w:rPr>
          <w:rFonts w:ascii="Times New Roman" w:hAnsi="Times New Roman" w:cs="Times New Roman"/>
          <w:sz w:val="24"/>
          <w:szCs w:val="24"/>
          <w:lang w:val="sr-Cyrl-RS" w:eastAsia="sr-Latn-CS"/>
        </w:rPr>
        <w:t>, као и</w:t>
      </w:r>
      <w:r w:rsidR="00286287" w:rsidRPr="00051D92">
        <w:rPr>
          <w:rFonts w:ascii="Times New Roman" w:hAnsi="Times New Roman" w:cs="Times New Roman"/>
          <w:sz w:val="24"/>
          <w:szCs w:val="24"/>
          <w:lang w:eastAsia="sr-Latn-CS"/>
        </w:rPr>
        <w:t xml:space="preserve"> </w:t>
      </w:r>
      <w:r w:rsidR="00286287" w:rsidRPr="00051D92">
        <w:rPr>
          <w:rFonts w:ascii="Times New Roman" w:hAnsi="Times New Roman" w:cs="Times New Roman"/>
          <w:sz w:val="24"/>
          <w:szCs w:val="24"/>
          <w:lang w:val="sr-Cyrl-RS" w:eastAsia="sr-Latn-CS"/>
        </w:rPr>
        <w:t xml:space="preserve">табела са свим мерама и </w:t>
      </w:r>
      <w:r w:rsidRPr="00051D92">
        <w:rPr>
          <w:rFonts w:ascii="Times New Roman" w:hAnsi="Times New Roman" w:cs="Times New Roman"/>
          <w:sz w:val="24"/>
          <w:szCs w:val="24"/>
          <w:lang w:eastAsia="sr-Latn-CS"/>
        </w:rPr>
        <w:t>активности</w:t>
      </w:r>
      <w:r w:rsidR="00051D92">
        <w:rPr>
          <w:rFonts w:ascii="Times New Roman" w:hAnsi="Times New Roman" w:cs="Times New Roman"/>
          <w:sz w:val="24"/>
          <w:szCs w:val="24"/>
          <w:lang w:val="sr-Cyrl-RS" w:eastAsia="sr-Latn-CS"/>
        </w:rPr>
        <w:t>ма</w:t>
      </w:r>
      <w:r w:rsidRPr="00051D92">
        <w:rPr>
          <w:rFonts w:ascii="Times New Roman" w:hAnsi="Times New Roman" w:cs="Times New Roman"/>
          <w:sz w:val="24"/>
          <w:szCs w:val="24"/>
          <w:lang w:eastAsia="sr-Latn-CS"/>
        </w:rPr>
        <w:t xml:space="preserve"> и степен</w:t>
      </w:r>
      <w:r w:rsidR="00286287" w:rsidRPr="00051D92">
        <w:rPr>
          <w:rFonts w:ascii="Times New Roman" w:hAnsi="Times New Roman" w:cs="Times New Roman"/>
          <w:sz w:val="24"/>
          <w:szCs w:val="24"/>
          <w:lang w:val="sr-Cyrl-RS" w:eastAsia="sr-Latn-CS"/>
        </w:rPr>
        <w:t>у</w:t>
      </w:r>
      <w:r w:rsidRPr="00051D92">
        <w:rPr>
          <w:rFonts w:ascii="Times New Roman" w:hAnsi="Times New Roman" w:cs="Times New Roman"/>
          <w:sz w:val="24"/>
          <w:szCs w:val="24"/>
          <w:lang w:eastAsia="sr-Latn-CS"/>
        </w:rPr>
        <w:t xml:space="preserve"> њихове реализације</w:t>
      </w:r>
      <w:r w:rsidR="005C7ED8" w:rsidRPr="00051D92">
        <w:rPr>
          <w:rFonts w:ascii="Times New Roman" w:hAnsi="Times New Roman" w:cs="Times New Roman"/>
          <w:sz w:val="24"/>
          <w:szCs w:val="24"/>
          <w:lang w:eastAsia="sr-Latn-CS"/>
        </w:rPr>
        <w:t xml:space="preserve"> у току 202</w:t>
      </w:r>
      <w:r w:rsidR="00E00747" w:rsidRPr="00051D92">
        <w:rPr>
          <w:rFonts w:ascii="Times New Roman" w:hAnsi="Times New Roman" w:cs="Times New Roman"/>
          <w:sz w:val="24"/>
          <w:szCs w:val="24"/>
          <w:lang w:val="sr-Cyrl-RS" w:eastAsia="sr-Latn-CS"/>
        </w:rPr>
        <w:t>4</w:t>
      </w:r>
      <w:r w:rsidRPr="00051D92">
        <w:rPr>
          <w:rFonts w:ascii="Times New Roman" w:hAnsi="Times New Roman" w:cs="Times New Roman"/>
          <w:sz w:val="24"/>
          <w:szCs w:val="24"/>
          <w:lang w:eastAsia="sr-Latn-CS"/>
        </w:rPr>
        <w:t xml:space="preserve">. </w:t>
      </w:r>
      <w:r w:rsidR="002A18EB">
        <w:rPr>
          <w:rFonts w:ascii="Times New Roman" w:hAnsi="Times New Roman" w:cs="Times New Roman"/>
          <w:sz w:val="24"/>
          <w:szCs w:val="24"/>
          <w:lang w:val="sr-Cyrl-RS" w:eastAsia="sr-Latn-CS"/>
        </w:rPr>
        <w:t>г</w:t>
      </w:r>
      <w:r w:rsidRPr="00051D92">
        <w:rPr>
          <w:rFonts w:ascii="Times New Roman" w:hAnsi="Times New Roman" w:cs="Times New Roman"/>
          <w:sz w:val="24"/>
          <w:szCs w:val="24"/>
          <w:lang w:eastAsia="sr-Latn-CS"/>
        </w:rPr>
        <w:t>одине</w:t>
      </w:r>
      <w:r w:rsidR="002A18EB">
        <w:rPr>
          <w:rFonts w:ascii="Times New Roman" w:hAnsi="Times New Roman" w:cs="Times New Roman"/>
          <w:sz w:val="24"/>
          <w:szCs w:val="24"/>
          <w:lang w:eastAsia="sr-Latn-CS"/>
        </w:rPr>
        <w:t xml:space="preserve"> (</w:t>
      </w:r>
      <w:r w:rsidR="002A18EB">
        <w:rPr>
          <w:rFonts w:ascii="Times New Roman" w:hAnsi="Times New Roman" w:cs="Times New Roman"/>
          <w:sz w:val="24"/>
          <w:szCs w:val="24"/>
          <w:lang w:val="sr-Cyrl-RS" w:eastAsia="sr-Latn-CS"/>
        </w:rPr>
        <w:t>прилог 1)</w:t>
      </w:r>
      <w:r w:rsidRPr="00051D92">
        <w:rPr>
          <w:rFonts w:ascii="Times New Roman" w:hAnsi="Times New Roman" w:cs="Times New Roman"/>
          <w:sz w:val="24"/>
          <w:szCs w:val="24"/>
          <w:lang w:eastAsia="sr-Latn-CS"/>
        </w:rPr>
        <w:t>.</w:t>
      </w:r>
      <w:r w:rsidRPr="00E469B3">
        <w:rPr>
          <w:rFonts w:ascii="Times New Roman" w:hAnsi="Times New Roman" w:cs="Times New Roman"/>
          <w:sz w:val="24"/>
          <w:szCs w:val="24"/>
          <w:lang w:eastAsia="sr-Latn-CS"/>
        </w:rPr>
        <w:t xml:space="preserve"> </w:t>
      </w:r>
    </w:p>
    <w:p w14:paraId="3C210F83" w14:textId="77777777" w:rsidR="00286287" w:rsidRPr="00E469B3" w:rsidRDefault="00286287" w:rsidP="004D2F24">
      <w:pPr>
        <w:jc w:val="center"/>
        <w:rPr>
          <w:rFonts w:ascii="Times New Roman" w:hAnsi="Times New Roman" w:cs="Times New Roman"/>
          <w:i/>
          <w:sz w:val="20"/>
          <w:szCs w:val="20"/>
        </w:rPr>
      </w:pPr>
    </w:p>
    <w:p w14:paraId="0738BF8C" w14:textId="7689497E" w:rsidR="0035009C" w:rsidRPr="002A18EB" w:rsidRDefault="002A18EB" w:rsidP="002A18EB">
      <w:pPr>
        <w:jc w:val="center"/>
        <w:rPr>
          <w:rFonts w:ascii="Times New Roman" w:hAnsi="Times New Roman" w:cs="Times New Roman"/>
          <w:b/>
          <w:bCs/>
          <w:sz w:val="24"/>
          <w:szCs w:val="24"/>
          <w:lang w:val="sr-Cyrl-CS"/>
        </w:rPr>
      </w:pPr>
      <w:r>
        <w:rPr>
          <w:rFonts w:ascii="Times New Roman" w:hAnsi="Times New Roman" w:cs="Times New Roman"/>
          <w:b/>
          <w:sz w:val="24"/>
          <w:szCs w:val="24"/>
          <w:lang w:val="sr-Latn-RS"/>
        </w:rPr>
        <w:t xml:space="preserve">II. </w:t>
      </w:r>
      <w:r w:rsidR="0035009C" w:rsidRPr="002A18EB">
        <w:rPr>
          <w:rFonts w:ascii="Times New Roman" w:hAnsi="Times New Roman" w:cs="Times New Roman"/>
          <w:b/>
          <w:sz w:val="24"/>
          <w:szCs w:val="24"/>
        </w:rPr>
        <w:t>РЕАЛИЗАЦИЈА ПОКАЗАТЕЉА ПОСЕБНИХ ЦИЉЕВА (</w:t>
      </w:r>
      <w:r w:rsidR="0035009C" w:rsidRPr="002A18EB">
        <w:rPr>
          <w:rFonts w:ascii="Times New Roman" w:hAnsi="Times New Roman" w:cs="Times New Roman"/>
          <w:b/>
          <w:bCs/>
          <w:sz w:val="24"/>
          <w:szCs w:val="24"/>
          <w:lang w:val="sr-Cyrl-CS"/>
        </w:rPr>
        <w:t>ПОКАЗАТЕЉ ИСХОДА) И ОПШТЕГ ЦИЉА (ПОКАЗАТЕЉ ЕФЕКТА)</w:t>
      </w:r>
    </w:p>
    <w:p w14:paraId="27190E0A" w14:textId="0F587B60" w:rsidR="0035009C" w:rsidRPr="00E469B3" w:rsidRDefault="004426D4" w:rsidP="00AD62E8">
      <w:pPr>
        <w:pStyle w:val="Default"/>
        <w:jc w:val="both"/>
        <w:rPr>
          <w:rFonts w:ascii="Times New Roman" w:hAnsi="Times New Roman" w:cs="Times New Roman"/>
          <w:bCs/>
          <w:color w:val="auto"/>
          <w:lang w:val="sr-Cyrl-CS"/>
        </w:rPr>
      </w:pPr>
      <w:r>
        <w:rPr>
          <w:rFonts w:ascii="Times New Roman" w:hAnsi="Times New Roman" w:cs="Times New Roman"/>
          <w:bCs/>
          <w:color w:val="auto"/>
          <w:lang w:val="sr-Cyrl-CS"/>
        </w:rPr>
        <w:t>Програмом и пратећим а</w:t>
      </w:r>
      <w:r w:rsidR="0035009C" w:rsidRPr="00E469B3">
        <w:rPr>
          <w:rFonts w:ascii="Times New Roman" w:hAnsi="Times New Roman" w:cs="Times New Roman"/>
          <w:bCs/>
          <w:color w:val="auto"/>
          <w:lang w:val="sr-Cyrl-CS"/>
        </w:rPr>
        <w:t xml:space="preserve">кционим планом као показатељи </w:t>
      </w:r>
      <w:r w:rsidR="00AD62E8">
        <w:rPr>
          <w:rFonts w:ascii="Times New Roman" w:hAnsi="Times New Roman" w:cs="Times New Roman"/>
          <w:bCs/>
          <w:color w:val="auto"/>
          <w:lang w:val="sr-Cyrl-CS"/>
        </w:rPr>
        <w:t xml:space="preserve">ефекта и показатељи </w:t>
      </w:r>
      <w:r w:rsidR="0035009C" w:rsidRPr="00E469B3">
        <w:rPr>
          <w:rFonts w:ascii="Times New Roman" w:hAnsi="Times New Roman" w:cs="Times New Roman"/>
          <w:bCs/>
          <w:color w:val="auto"/>
          <w:lang w:val="sr-Cyrl-CS"/>
        </w:rPr>
        <w:t xml:space="preserve">исхода дефинисани су следећи показатељи: </w:t>
      </w:r>
    </w:p>
    <w:p w14:paraId="1CC8230C" w14:textId="44F5466C" w:rsidR="00051D92" w:rsidRDefault="00051D92" w:rsidP="0035009C">
      <w:pPr>
        <w:pStyle w:val="Default"/>
        <w:rPr>
          <w:rFonts w:ascii="Times New Roman" w:hAnsi="Times New Roman" w:cs="Times New Roman"/>
          <w:bCs/>
          <w:color w:val="auto"/>
          <w:lang w:val="sr-Cyrl-CS"/>
        </w:rPr>
      </w:pPr>
    </w:p>
    <w:p w14:paraId="109B6684" w14:textId="2094F128" w:rsidR="00051D92" w:rsidRPr="00051D92" w:rsidRDefault="00051D92" w:rsidP="00051D92">
      <w:pPr>
        <w:pStyle w:val="Default"/>
        <w:numPr>
          <w:ilvl w:val="0"/>
          <w:numId w:val="7"/>
        </w:numPr>
        <w:jc w:val="both"/>
        <w:rPr>
          <w:rFonts w:ascii="Times New Roman" w:hAnsi="Times New Roman" w:cs="Times New Roman"/>
          <w:bCs/>
          <w:color w:val="auto"/>
          <w:lang w:val="sr-Cyrl-CS"/>
        </w:rPr>
      </w:pPr>
      <w:r w:rsidRPr="00051D92">
        <w:rPr>
          <w:rFonts w:ascii="Times New Roman" w:eastAsia="Times New Roman" w:hAnsi="Times New Roman" w:cs="Times New Roman"/>
          <w:bCs/>
          <w:lang w:val="sr-Cyrl-CS" w:eastAsia="en-GB"/>
        </w:rPr>
        <w:t xml:space="preserve">Оцена ЕК о оствареном напретку у Поглављу 5 – Јавне набавке и испуњавање свих мерила утврђених у оквиру овог поглавља - </w:t>
      </w:r>
      <w:r w:rsidRPr="00051D92">
        <w:rPr>
          <w:rFonts w:ascii="Times New Roman" w:eastAsia="Times New Roman" w:hAnsi="Times New Roman" w:cs="Times New Roman"/>
          <w:color w:val="222222"/>
        </w:rPr>
        <w:t>Oпшти циљ</w:t>
      </w:r>
      <w:r w:rsidRPr="00051D92">
        <w:rPr>
          <w:rFonts w:ascii="Times New Roman" w:eastAsia="Times New Roman" w:hAnsi="Times New Roman" w:cs="Times New Roman"/>
          <w:color w:val="222222"/>
          <w:lang w:val="sr-Cyrl-RS"/>
        </w:rPr>
        <w:t xml:space="preserve"> „Даљи развој и јачање одрживог и правичног система јавних набавки“; </w:t>
      </w:r>
    </w:p>
    <w:p w14:paraId="723788C7" w14:textId="786786F5" w:rsidR="004426D4" w:rsidRPr="00AD62E8" w:rsidRDefault="004426D4" w:rsidP="00051D92">
      <w:pPr>
        <w:pStyle w:val="ListParagraph"/>
        <w:numPr>
          <w:ilvl w:val="0"/>
          <w:numId w:val="7"/>
        </w:numPr>
        <w:spacing w:before="60"/>
        <w:jc w:val="both"/>
        <w:rPr>
          <w:rFonts w:ascii="Times New Roman" w:hAnsi="Times New Roman" w:cs="Times New Roman"/>
          <w:sz w:val="24"/>
          <w:szCs w:val="24"/>
          <w:lang w:val="sr-Cyrl-CS"/>
        </w:rPr>
      </w:pPr>
      <w:r w:rsidRPr="00AD62E8">
        <w:rPr>
          <w:rFonts w:ascii="Times New Roman" w:hAnsi="Times New Roman" w:cs="Times New Roman"/>
          <w:sz w:val="24"/>
          <w:szCs w:val="24"/>
          <w:lang w:val="sr-Cyrl-CS"/>
        </w:rPr>
        <w:lastRenderedPageBreak/>
        <w:t>Учешће МСП у броју закључених уговора (проценат)</w:t>
      </w:r>
      <w:r w:rsidR="00051D92" w:rsidRPr="00AD62E8">
        <w:rPr>
          <w:rFonts w:ascii="Times New Roman" w:hAnsi="Times New Roman" w:cs="Times New Roman"/>
          <w:sz w:val="24"/>
          <w:szCs w:val="24"/>
          <w:lang w:val="sr-Cyrl-CS"/>
        </w:rPr>
        <w:t>; У</w:t>
      </w:r>
      <w:r w:rsidRPr="00AD62E8">
        <w:rPr>
          <w:rFonts w:ascii="Times New Roman" w:hAnsi="Times New Roman" w:cs="Times New Roman"/>
          <w:sz w:val="24"/>
          <w:szCs w:val="24"/>
          <w:lang w:val="sr-Cyrl-CS"/>
        </w:rPr>
        <w:t xml:space="preserve">чешће критеријума за доделу уговора који се не заснива само на цени (проценат) - </w:t>
      </w:r>
      <w:r w:rsidR="0035009C" w:rsidRPr="00AD62E8">
        <w:rPr>
          <w:rFonts w:ascii="Times New Roman" w:hAnsi="Times New Roman" w:cs="Times New Roman"/>
          <w:sz w:val="24"/>
          <w:szCs w:val="24"/>
          <w:lang w:val="sr-Cyrl-CS"/>
        </w:rPr>
        <w:t>посебан циљ 1</w:t>
      </w:r>
      <w:r w:rsidR="00051D92" w:rsidRPr="00AD62E8">
        <w:rPr>
          <w:rFonts w:ascii="Times New Roman" w:hAnsi="Times New Roman" w:cs="Times New Roman"/>
          <w:sz w:val="24"/>
          <w:szCs w:val="24"/>
          <w:lang w:val="sr-Cyrl-CS"/>
        </w:rPr>
        <w:t xml:space="preserve">. </w:t>
      </w:r>
      <w:r w:rsidR="0035009C" w:rsidRPr="00AD62E8">
        <w:rPr>
          <w:rFonts w:ascii="Times New Roman" w:hAnsi="Times New Roman" w:cs="Times New Roman"/>
          <w:sz w:val="24"/>
          <w:szCs w:val="24"/>
          <w:lang w:val="sr-Cyrl-CS"/>
        </w:rPr>
        <w:t>„</w:t>
      </w:r>
      <w:r w:rsidRPr="00AD62E8">
        <w:rPr>
          <w:rFonts w:ascii="Times New Roman" w:hAnsi="Times New Roman" w:cs="Times New Roman"/>
          <w:sz w:val="24"/>
          <w:szCs w:val="24"/>
          <w:lang w:val="sr-Cyrl-CS"/>
        </w:rPr>
        <w:t>Повећање економичности и конкурентности у јавним набавкама</w:t>
      </w:r>
      <w:r w:rsidR="0035009C" w:rsidRPr="00AD62E8">
        <w:rPr>
          <w:rFonts w:ascii="Times New Roman" w:hAnsi="Times New Roman" w:cs="Times New Roman"/>
          <w:sz w:val="24"/>
          <w:szCs w:val="24"/>
          <w:lang w:val="sr-Cyrl-CS"/>
        </w:rPr>
        <w:t>“</w:t>
      </w:r>
      <w:r w:rsidR="0035009C" w:rsidRPr="00AD62E8">
        <w:rPr>
          <w:rFonts w:ascii="Times New Roman" w:hAnsi="Times New Roman" w:cs="Times New Roman"/>
          <w:sz w:val="24"/>
          <w:szCs w:val="24"/>
        </w:rPr>
        <w:t>;</w:t>
      </w:r>
    </w:p>
    <w:p w14:paraId="6FF9F95B" w14:textId="6A8502F2" w:rsidR="0035009C" w:rsidRPr="00AD62E8" w:rsidRDefault="004426D4" w:rsidP="00051D92">
      <w:pPr>
        <w:pStyle w:val="ListParagraph"/>
        <w:numPr>
          <w:ilvl w:val="0"/>
          <w:numId w:val="7"/>
        </w:numPr>
        <w:spacing w:before="60"/>
        <w:jc w:val="both"/>
        <w:rPr>
          <w:rFonts w:ascii="Times New Roman" w:hAnsi="Times New Roman" w:cs="Times New Roman"/>
          <w:sz w:val="24"/>
          <w:szCs w:val="24"/>
          <w:lang w:val="sr-Cyrl-CS"/>
        </w:rPr>
      </w:pPr>
      <w:r w:rsidRPr="00AD62E8">
        <w:rPr>
          <w:rFonts w:ascii="Times New Roman" w:hAnsi="Times New Roman" w:cs="Times New Roman"/>
          <w:sz w:val="24"/>
          <w:szCs w:val="24"/>
          <w:lang w:val="sr-Cyrl-CS"/>
        </w:rPr>
        <w:t>Број поступака јавних набавки са еколошким критеријумима, укупно; Број поступака јавних набавки са социјалним критеријумима, укупно; Број техника и инструмената у поступцима јавних набавки, укупно</w:t>
      </w:r>
      <w:r w:rsidR="00051D92" w:rsidRPr="00AD62E8">
        <w:rPr>
          <w:rFonts w:ascii="Times New Roman" w:hAnsi="Times New Roman" w:cs="Times New Roman"/>
          <w:sz w:val="24"/>
          <w:szCs w:val="24"/>
          <w:lang w:val="sr-Cyrl-CS"/>
        </w:rPr>
        <w:t xml:space="preserve"> - </w:t>
      </w:r>
      <w:r w:rsidR="0035009C" w:rsidRPr="00AD62E8">
        <w:rPr>
          <w:rFonts w:ascii="Times New Roman" w:hAnsi="Times New Roman" w:cs="Times New Roman"/>
          <w:bCs/>
          <w:sz w:val="24"/>
          <w:szCs w:val="24"/>
          <w:lang w:val="sr-Cyrl-CS"/>
        </w:rPr>
        <w:t>посебан циљ 2.</w:t>
      </w:r>
      <w:r w:rsidR="00051D92" w:rsidRPr="00AD62E8">
        <w:rPr>
          <w:rFonts w:ascii="Times New Roman" w:hAnsi="Times New Roman" w:cs="Times New Roman"/>
          <w:bCs/>
          <w:sz w:val="24"/>
          <w:szCs w:val="24"/>
          <w:lang w:val="sr-Cyrl-CS"/>
        </w:rPr>
        <w:t xml:space="preserve"> </w:t>
      </w:r>
      <w:r w:rsidR="0035009C" w:rsidRPr="00AD62E8">
        <w:rPr>
          <w:rFonts w:ascii="Times New Roman" w:hAnsi="Times New Roman" w:cs="Times New Roman"/>
          <w:bCs/>
          <w:sz w:val="24"/>
          <w:szCs w:val="24"/>
          <w:lang w:val="sr-Cyrl-CS"/>
        </w:rPr>
        <w:t>„</w:t>
      </w:r>
      <w:r w:rsidR="00051D92" w:rsidRPr="00AD62E8">
        <w:rPr>
          <w:rFonts w:ascii="Times New Roman" w:eastAsia="Times New Roman" w:hAnsi="Times New Roman" w:cs="Times New Roman"/>
          <w:color w:val="222222"/>
          <w:sz w:val="24"/>
          <w:szCs w:val="24"/>
          <w:lang w:val="sr-Cyrl-RS"/>
        </w:rPr>
        <w:t>Шира примена еколошког и социјалног аспекта и техника и инструмената у јавним набавкама</w:t>
      </w:r>
      <w:r w:rsidR="0035009C" w:rsidRPr="00AD62E8">
        <w:rPr>
          <w:rFonts w:ascii="Times New Roman" w:hAnsi="Times New Roman" w:cs="Times New Roman"/>
          <w:sz w:val="24"/>
          <w:szCs w:val="24"/>
          <w:lang w:val="sr-Cyrl-CS"/>
        </w:rPr>
        <w:t>“</w:t>
      </w:r>
      <w:r w:rsidR="0035009C" w:rsidRPr="00AD62E8">
        <w:rPr>
          <w:rFonts w:ascii="Times New Roman" w:hAnsi="Times New Roman" w:cs="Times New Roman"/>
          <w:sz w:val="24"/>
          <w:szCs w:val="24"/>
        </w:rPr>
        <w:t>;</w:t>
      </w:r>
    </w:p>
    <w:p w14:paraId="13836577" w14:textId="54CA3326" w:rsidR="004426D4" w:rsidRPr="00AD62E8" w:rsidRDefault="00051D92" w:rsidP="00051D92">
      <w:pPr>
        <w:pStyle w:val="ListParagraph"/>
        <w:numPr>
          <w:ilvl w:val="0"/>
          <w:numId w:val="7"/>
        </w:numPr>
        <w:spacing w:before="60"/>
        <w:jc w:val="both"/>
        <w:rPr>
          <w:rFonts w:ascii="Times New Roman" w:hAnsi="Times New Roman" w:cs="Times New Roman"/>
          <w:sz w:val="24"/>
          <w:szCs w:val="24"/>
          <w:lang w:val="sr-Cyrl-CS"/>
        </w:rPr>
      </w:pPr>
      <w:r w:rsidRPr="00AD62E8">
        <w:rPr>
          <w:rFonts w:ascii="Times New Roman" w:hAnsi="Times New Roman" w:cs="Times New Roman"/>
          <w:sz w:val="24"/>
          <w:szCs w:val="24"/>
          <w:lang w:val="sr-Cyrl-CS"/>
        </w:rPr>
        <w:t xml:space="preserve">Број поступака над којима је спроведен мониторинг, укупно; Број субјеката редовног надзора над извршењем уговора, укупно - </w:t>
      </w:r>
      <w:r w:rsidR="0035009C" w:rsidRPr="00AD62E8">
        <w:rPr>
          <w:rFonts w:ascii="Times New Roman" w:hAnsi="Times New Roman" w:cs="Times New Roman"/>
          <w:bCs/>
          <w:sz w:val="24"/>
          <w:szCs w:val="24"/>
          <w:lang w:val="sr-Cyrl-CS"/>
        </w:rPr>
        <w:t>посебан циљ 3.</w:t>
      </w:r>
      <w:r w:rsidRPr="00AD62E8">
        <w:rPr>
          <w:rFonts w:ascii="Times New Roman" w:hAnsi="Times New Roman" w:cs="Times New Roman"/>
          <w:bCs/>
          <w:sz w:val="24"/>
          <w:szCs w:val="24"/>
          <w:lang w:val="sr-Cyrl-CS"/>
        </w:rPr>
        <w:t xml:space="preserve"> </w:t>
      </w:r>
      <w:r w:rsidR="0035009C" w:rsidRPr="00AD62E8">
        <w:rPr>
          <w:rFonts w:ascii="Times New Roman" w:hAnsi="Times New Roman" w:cs="Times New Roman"/>
          <w:sz w:val="24"/>
          <w:szCs w:val="24"/>
          <w:lang w:val="sr-Cyrl-CS"/>
        </w:rPr>
        <w:t>„</w:t>
      </w:r>
      <w:r w:rsidRPr="00AD62E8">
        <w:rPr>
          <w:rFonts w:ascii="Times New Roman" w:eastAsia="Times New Roman" w:hAnsi="Times New Roman" w:cs="Times New Roman"/>
          <w:color w:val="222222"/>
          <w:sz w:val="24"/>
          <w:szCs w:val="24"/>
          <w:lang w:val="sr-Cyrl-RS"/>
        </w:rPr>
        <w:t>Смањење ризика од нерегуларности у јавним набавкама</w:t>
      </w:r>
      <w:r w:rsidR="0035009C" w:rsidRPr="00AD62E8">
        <w:rPr>
          <w:rFonts w:ascii="Times New Roman" w:hAnsi="Times New Roman" w:cs="Times New Roman"/>
          <w:sz w:val="24"/>
          <w:szCs w:val="24"/>
          <w:lang w:val="sr-Cyrl-CS"/>
        </w:rPr>
        <w:t>“</w:t>
      </w:r>
      <w:r w:rsidRPr="00AD62E8">
        <w:rPr>
          <w:rFonts w:ascii="Times New Roman" w:hAnsi="Times New Roman" w:cs="Times New Roman"/>
          <w:sz w:val="24"/>
          <w:szCs w:val="24"/>
          <w:lang w:val="sr-Cyrl-CS"/>
        </w:rPr>
        <w:t>.</w:t>
      </w:r>
      <w:r w:rsidR="001A638D" w:rsidRPr="00AD62E8">
        <w:rPr>
          <w:rFonts w:ascii="Times New Roman" w:hAnsi="Times New Roman" w:cs="Times New Roman"/>
          <w:sz w:val="24"/>
          <w:szCs w:val="24"/>
          <w:lang w:val="sr-Cyrl-CS"/>
        </w:rPr>
        <w:t xml:space="preserve"> </w:t>
      </w:r>
    </w:p>
    <w:p w14:paraId="5057C43E" w14:textId="051EDBD6" w:rsidR="00051D92" w:rsidRPr="00AD62E8" w:rsidRDefault="00051D92" w:rsidP="001A638D">
      <w:pPr>
        <w:spacing w:after="0" w:line="247" w:lineRule="auto"/>
        <w:ind w:right="-44" w:firstLine="540"/>
        <w:jc w:val="both"/>
        <w:rPr>
          <w:rFonts w:ascii="Times New Roman" w:hAnsi="Times New Roman" w:cs="Times New Roman"/>
          <w:sz w:val="24"/>
          <w:szCs w:val="24"/>
          <w:lang w:val="sr-Cyrl-CS"/>
        </w:rPr>
      </w:pPr>
      <w:r w:rsidRPr="00AD62E8">
        <w:rPr>
          <w:rFonts w:ascii="Times New Roman" w:eastAsia="Times New Roman" w:hAnsi="Times New Roman" w:cs="Times New Roman"/>
          <w:color w:val="222222"/>
          <w:sz w:val="24"/>
          <w:szCs w:val="24"/>
          <w:lang w:val="sr-Cyrl-RS"/>
        </w:rPr>
        <w:t xml:space="preserve">У погледу испуњења </w:t>
      </w:r>
      <w:r w:rsidRPr="00AD62E8">
        <w:rPr>
          <w:rFonts w:ascii="Times New Roman" w:eastAsia="Times New Roman" w:hAnsi="Times New Roman" w:cs="Times New Roman"/>
          <w:b/>
          <w:color w:val="222222"/>
          <w:sz w:val="24"/>
          <w:szCs w:val="24"/>
          <w:lang w:val="sr-Cyrl-RS"/>
        </w:rPr>
        <w:t>о</w:t>
      </w:r>
      <w:r w:rsidRPr="00AD62E8">
        <w:rPr>
          <w:rFonts w:ascii="Times New Roman" w:eastAsia="Times New Roman" w:hAnsi="Times New Roman" w:cs="Times New Roman"/>
          <w:b/>
          <w:color w:val="222222"/>
          <w:sz w:val="24"/>
          <w:szCs w:val="24"/>
        </w:rPr>
        <w:t>пшт</w:t>
      </w:r>
      <w:r w:rsidRPr="00AD62E8">
        <w:rPr>
          <w:rFonts w:ascii="Times New Roman" w:eastAsia="Times New Roman" w:hAnsi="Times New Roman" w:cs="Times New Roman"/>
          <w:b/>
          <w:color w:val="222222"/>
          <w:sz w:val="24"/>
          <w:szCs w:val="24"/>
          <w:lang w:val="sr-Cyrl-RS"/>
        </w:rPr>
        <w:t>ег</w:t>
      </w:r>
      <w:r w:rsidRPr="00AD62E8">
        <w:rPr>
          <w:rFonts w:ascii="Times New Roman" w:eastAsia="Times New Roman" w:hAnsi="Times New Roman" w:cs="Times New Roman"/>
          <w:b/>
          <w:color w:val="222222"/>
          <w:sz w:val="24"/>
          <w:szCs w:val="24"/>
        </w:rPr>
        <w:t xml:space="preserve"> циљ</w:t>
      </w:r>
      <w:r w:rsidRPr="00AD62E8">
        <w:rPr>
          <w:rFonts w:ascii="Times New Roman" w:eastAsia="Times New Roman" w:hAnsi="Times New Roman" w:cs="Times New Roman"/>
          <w:b/>
          <w:color w:val="222222"/>
          <w:sz w:val="24"/>
          <w:szCs w:val="24"/>
          <w:lang w:val="sr-Cyrl-RS"/>
        </w:rPr>
        <w:t>а</w:t>
      </w:r>
      <w:r w:rsidRPr="00AD62E8">
        <w:rPr>
          <w:rFonts w:ascii="Times New Roman" w:eastAsia="Times New Roman" w:hAnsi="Times New Roman" w:cs="Times New Roman"/>
          <w:color w:val="222222"/>
          <w:sz w:val="24"/>
          <w:szCs w:val="24"/>
          <w:lang w:val="sr-Cyrl-RS"/>
        </w:rPr>
        <w:t xml:space="preserve"> и показатеља ефекта „</w:t>
      </w:r>
      <w:r w:rsidR="00AD62E8" w:rsidRPr="00AD62E8">
        <w:rPr>
          <w:rFonts w:ascii="Times New Roman" w:eastAsia="Times New Roman" w:hAnsi="Times New Roman" w:cs="Times New Roman"/>
          <w:bCs/>
          <w:sz w:val="24"/>
          <w:szCs w:val="24"/>
          <w:lang w:val="sr-Cyrl-CS" w:eastAsia="en-GB"/>
        </w:rPr>
        <w:t>Оцена ЕК о оствареном напретку у Поглављу 5 – Јавне набавке и испуњавање свих мерила утврђених у оквиру овог поглавља</w:t>
      </w:r>
      <w:r w:rsidRPr="00AD62E8">
        <w:rPr>
          <w:rFonts w:ascii="Times New Roman" w:eastAsia="Times New Roman" w:hAnsi="Times New Roman" w:cs="Times New Roman"/>
          <w:color w:val="222222"/>
          <w:sz w:val="24"/>
          <w:szCs w:val="24"/>
          <w:lang w:val="sr-Cyrl-RS"/>
        </w:rPr>
        <w:t>“, остварен је напредак.</w:t>
      </w:r>
      <w:r w:rsidR="001A638D" w:rsidRPr="00AD62E8">
        <w:rPr>
          <w:rFonts w:ascii="Times New Roman" w:eastAsia="Times New Roman" w:hAnsi="Times New Roman" w:cs="Times New Roman"/>
          <w:color w:val="222222"/>
          <w:sz w:val="24"/>
          <w:szCs w:val="24"/>
          <w:lang w:val="sr-Cyrl-RS"/>
        </w:rPr>
        <w:t xml:space="preserve"> Наиме, у погледу почетне вредности показатеља за 2023. годину „Република Србија је умерено припремљена“ у погледу Поглавља 5 – јавне набавке, остварен је напредак имајући у виду</w:t>
      </w:r>
      <w:r w:rsidRPr="00AD62E8">
        <w:rPr>
          <w:rFonts w:ascii="Times New Roman" w:eastAsia="Times New Roman" w:hAnsi="Times New Roman" w:cs="Times New Roman"/>
          <w:color w:val="222222"/>
          <w:sz w:val="24"/>
          <w:szCs w:val="24"/>
          <w:lang w:val="sr-Cyrl-RS"/>
        </w:rPr>
        <w:t xml:space="preserve"> </w:t>
      </w:r>
      <w:r w:rsidRPr="00AD62E8">
        <w:rPr>
          <w:rFonts w:ascii="Times New Roman" w:eastAsia="Times New Roman" w:hAnsi="Times New Roman" w:cs="Times New Roman"/>
          <w:color w:val="000000"/>
          <w:sz w:val="24"/>
          <w:szCs w:val="24"/>
        </w:rPr>
        <w:t xml:space="preserve">Извештај о напретку </w:t>
      </w:r>
      <w:r w:rsidR="001A638D" w:rsidRPr="00AD62E8">
        <w:rPr>
          <w:rFonts w:ascii="Times New Roman" w:eastAsia="Times New Roman" w:hAnsi="Times New Roman" w:cs="Times New Roman"/>
          <w:color w:val="000000"/>
          <w:sz w:val="24"/>
          <w:szCs w:val="24"/>
          <w:lang w:val="sr-Cyrl-RS"/>
        </w:rPr>
        <w:t>ЕК</w:t>
      </w:r>
      <w:r w:rsidRPr="00AD62E8">
        <w:rPr>
          <w:rFonts w:ascii="Times New Roman" w:eastAsia="Times New Roman" w:hAnsi="Times New Roman" w:cs="Times New Roman"/>
          <w:color w:val="000000"/>
          <w:sz w:val="24"/>
          <w:szCs w:val="24"/>
        </w:rPr>
        <w:t xml:space="preserve"> </w:t>
      </w:r>
      <w:r w:rsidR="001A638D" w:rsidRPr="00AD62E8">
        <w:rPr>
          <w:rFonts w:ascii="Times New Roman" w:eastAsia="Times New Roman" w:hAnsi="Times New Roman" w:cs="Times New Roman"/>
          <w:color w:val="000000"/>
          <w:sz w:val="24"/>
          <w:szCs w:val="24"/>
          <w:lang w:val="sr-Cyrl-RS"/>
        </w:rPr>
        <w:t xml:space="preserve">за 2024. годину који </w:t>
      </w:r>
      <w:r w:rsidRPr="00AD62E8">
        <w:rPr>
          <w:rFonts w:ascii="Times New Roman" w:eastAsia="Times New Roman" w:hAnsi="Times New Roman" w:cs="Times New Roman"/>
          <w:color w:val="000000"/>
          <w:sz w:val="24"/>
          <w:szCs w:val="24"/>
        </w:rPr>
        <w:t>показује да</w:t>
      </w:r>
      <w:bookmarkStart w:id="0" w:name="_GoBack"/>
      <w:bookmarkEnd w:id="0"/>
      <w:r w:rsidRPr="00AD62E8">
        <w:rPr>
          <w:rFonts w:ascii="Times New Roman" w:eastAsia="Times New Roman" w:hAnsi="Times New Roman" w:cs="Times New Roman"/>
          <w:color w:val="000000"/>
          <w:sz w:val="24"/>
          <w:szCs w:val="24"/>
        </w:rPr>
        <w:t xml:space="preserve"> </w:t>
      </w:r>
      <w:r w:rsidRPr="00AD62E8">
        <w:rPr>
          <w:rFonts w:ascii="Times New Roman" w:eastAsia="Times New Roman" w:hAnsi="Times New Roman" w:cs="Times New Roman"/>
          <w:color w:val="000000"/>
          <w:sz w:val="24"/>
          <w:szCs w:val="24"/>
          <w:lang w:val="sr-Cyrl-RS"/>
        </w:rPr>
        <w:t xml:space="preserve">је </w:t>
      </w:r>
      <w:r w:rsidRPr="00AD62E8">
        <w:rPr>
          <w:rFonts w:ascii="Times New Roman" w:eastAsia="Times New Roman" w:hAnsi="Times New Roman" w:cs="Times New Roman"/>
          <w:color w:val="000000"/>
          <w:sz w:val="24"/>
          <w:szCs w:val="24"/>
        </w:rPr>
        <w:t xml:space="preserve">Република Србија у делу који се односи на Поглавље 5 – јавне набавке </w:t>
      </w:r>
      <w:r w:rsidRPr="00AD62E8">
        <w:rPr>
          <w:rFonts w:ascii="Times New Roman" w:eastAsia="Times New Roman" w:hAnsi="Times New Roman" w:cs="Times New Roman"/>
          <w:bCs/>
          <w:color w:val="000000"/>
          <w:sz w:val="24"/>
          <w:szCs w:val="24"/>
          <w:lang w:val="sr-Cyrl-RS" w:eastAsia="en-GB"/>
        </w:rPr>
        <w:t>у великој мери усклађена.</w:t>
      </w:r>
      <w:r w:rsidR="001A638D" w:rsidRPr="00AD62E8">
        <w:rPr>
          <w:rFonts w:ascii="Times New Roman" w:eastAsia="Times New Roman" w:hAnsi="Times New Roman" w:cs="Times New Roman"/>
          <w:bCs/>
          <w:color w:val="000000"/>
          <w:sz w:val="24"/>
          <w:szCs w:val="24"/>
          <w:lang w:val="sr-Cyrl-RS" w:eastAsia="en-GB"/>
        </w:rPr>
        <w:t xml:space="preserve"> </w:t>
      </w:r>
      <w:r w:rsidR="001A638D" w:rsidRPr="00AD62E8">
        <w:rPr>
          <w:rFonts w:ascii="Times New Roman" w:hAnsi="Times New Roman" w:cs="Times New Roman"/>
          <w:sz w:val="24"/>
          <w:szCs w:val="24"/>
          <w:lang w:val="sr-Cyrl-CS"/>
        </w:rPr>
        <w:t>(Графикон 1)</w:t>
      </w:r>
    </w:p>
    <w:p w14:paraId="622DC273" w14:textId="10899949" w:rsidR="00A25D9E" w:rsidRDefault="00A25D9E" w:rsidP="001A638D">
      <w:pPr>
        <w:spacing w:after="0" w:line="247" w:lineRule="auto"/>
        <w:ind w:right="-44" w:firstLine="540"/>
        <w:jc w:val="both"/>
        <w:rPr>
          <w:rFonts w:ascii="Times New Roman" w:eastAsia="Times New Roman" w:hAnsi="Times New Roman" w:cs="Times New Roman"/>
          <w:bCs/>
          <w:color w:val="000000"/>
          <w:sz w:val="24"/>
          <w:szCs w:val="24"/>
          <w:lang w:val="sr-Cyrl-RS" w:eastAsia="en-GB"/>
        </w:rPr>
      </w:pPr>
    </w:p>
    <w:p w14:paraId="09CA4164" w14:textId="1C4FF57D" w:rsidR="00A25D9E" w:rsidRDefault="00B57A5B" w:rsidP="001A638D">
      <w:pPr>
        <w:spacing w:after="0" w:line="247" w:lineRule="auto"/>
        <w:ind w:right="-44" w:firstLine="540"/>
        <w:jc w:val="both"/>
        <w:rPr>
          <w:rFonts w:ascii="Times New Roman" w:eastAsia="Times New Roman" w:hAnsi="Times New Roman" w:cs="Times New Roman"/>
          <w:bCs/>
          <w:color w:val="000000"/>
          <w:sz w:val="24"/>
          <w:szCs w:val="24"/>
          <w:lang w:val="sr-Cyrl-RS" w:eastAsia="en-GB"/>
        </w:rPr>
      </w:pPr>
      <w:r>
        <w:rPr>
          <w:rFonts w:ascii="Times New Roman" w:eastAsia="Times New Roman" w:hAnsi="Times New Roman" w:cs="Times New Roman"/>
          <w:bCs/>
          <w:noProof/>
          <w:color w:val="000000"/>
          <w:sz w:val="24"/>
          <w:szCs w:val="24"/>
          <w:lang w:val="sr-Cyrl-RS" w:eastAsia="en-GB"/>
        </w:rPr>
        <mc:AlternateContent>
          <mc:Choice Requires="cx2">
            <w:drawing>
              <wp:inline distT="0" distB="0" distL="0" distR="0" wp14:anchorId="42898C95" wp14:editId="06CBA651">
                <wp:extent cx="5486400" cy="3200400"/>
                <wp:effectExtent l="0" t="0" r="0" b="6985"/>
                <wp:docPr id="11" name="Chart 1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42898C95" wp14:editId="06CBA651">
                <wp:extent cx="5486400" cy="3200400"/>
                <wp:effectExtent l="0" t="0" r="0" b="6985"/>
                <wp:docPr id="11" name="Chart 1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pic:cNvPicPr>
                          <a:picLocks noGrp="1" noRot="1" noChangeAspect="1" noMove="1" noResize="1" noEditPoints="1" noAdjustHandles="1" noChangeArrowheads="1" noChangeShapeType="1"/>
                        </pic:cNvPicPr>
                      </pic:nvPicPr>
                      <pic:blipFill>
                        <a:blip r:embed="rId10"/>
                        <a:stretch>
                          <a:fillRect/>
                        </a:stretch>
                      </pic:blipFill>
                      <pic:spPr>
                        <a:xfrm>
                          <a:off x="0" y="0"/>
                          <a:ext cx="5486400" cy="3200400"/>
                        </a:xfrm>
                        <a:prstGeom prst="rect">
                          <a:avLst/>
                        </a:prstGeom>
                      </pic:spPr>
                    </pic:pic>
                  </a:graphicData>
                </a:graphic>
              </wp:inline>
            </w:drawing>
          </mc:Fallback>
        </mc:AlternateContent>
      </w:r>
    </w:p>
    <w:p w14:paraId="49E9301D" w14:textId="77777777" w:rsidR="00A25D9E" w:rsidRDefault="00A25D9E" w:rsidP="00A25D9E">
      <w:pPr>
        <w:tabs>
          <w:tab w:val="left" w:pos="270"/>
          <w:tab w:val="left" w:pos="709"/>
        </w:tabs>
        <w:spacing w:after="0"/>
        <w:jc w:val="center"/>
        <w:rPr>
          <w:rFonts w:ascii="Times New Roman" w:hAnsi="Times New Roman" w:cs="Times New Roman"/>
          <w:sz w:val="24"/>
          <w:szCs w:val="24"/>
          <w:lang w:val="sr-Cyrl-CS"/>
        </w:rPr>
      </w:pPr>
      <w:r w:rsidRPr="00E469B3">
        <w:rPr>
          <w:rFonts w:ascii="Times New Roman" w:hAnsi="Times New Roman" w:cs="Times New Roman"/>
          <w:i/>
          <w:sz w:val="20"/>
          <w:szCs w:val="20"/>
        </w:rPr>
        <w:t xml:space="preserve">(Графикон </w:t>
      </w:r>
      <w:r>
        <w:rPr>
          <w:rFonts w:ascii="Times New Roman" w:hAnsi="Times New Roman" w:cs="Times New Roman"/>
          <w:i/>
          <w:sz w:val="20"/>
          <w:szCs w:val="20"/>
        </w:rPr>
        <w:t>1</w:t>
      </w:r>
      <w:r w:rsidRPr="00E469B3">
        <w:rPr>
          <w:rFonts w:ascii="Times New Roman" w:hAnsi="Times New Roman" w:cs="Times New Roman"/>
          <w:i/>
          <w:sz w:val="20"/>
          <w:szCs w:val="20"/>
        </w:rPr>
        <w:t>)</w:t>
      </w:r>
    </w:p>
    <w:p w14:paraId="11BEE3D9" w14:textId="6337A74A" w:rsidR="00A25D9E" w:rsidRDefault="00A25D9E" w:rsidP="001A638D">
      <w:pPr>
        <w:spacing w:after="0" w:line="247" w:lineRule="auto"/>
        <w:ind w:right="-44" w:firstLine="540"/>
        <w:jc w:val="both"/>
        <w:rPr>
          <w:rFonts w:ascii="Times New Roman" w:eastAsia="Times New Roman" w:hAnsi="Times New Roman" w:cs="Times New Roman"/>
          <w:bCs/>
          <w:color w:val="000000"/>
          <w:sz w:val="24"/>
          <w:szCs w:val="24"/>
          <w:lang w:val="sr-Cyrl-RS" w:eastAsia="en-GB"/>
        </w:rPr>
      </w:pPr>
    </w:p>
    <w:p w14:paraId="3D7B72B8" w14:textId="68015885" w:rsidR="0035009C" w:rsidRDefault="0035009C" w:rsidP="00F256C4">
      <w:pPr>
        <w:spacing w:after="0" w:line="247" w:lineRule="auto"/>
        <w:ind w:right="-44" w:firstLine="540"/>
        <w:jc w:val="both"/>
        <w:rPr>
          <w:rFonts w:ascii="Times New Roman" w:hAnsi="Times New Roman" w:cs="Times New Roman"/>
          <w:sz w:val="24"/>
          <w:szCs w:val="24"/>
          <w:lang w:val="sr-Cyrl-CS"/>
        </w:rPr>
      </w:pPr>
      <w:r w:rsidRPr="00A25D9E">
        <w:rPr>
          <w:rFonts w:ascii="Times New Roman" w:hAnsi="Times New Roman" w:cs="Times New Roman"/>
          <w:b/>
          <w:sz w:val="24"/>
          <w:szCs w:val="24"/>
          <w:lang w:val="sr-Cyrl-CS"/>
        </w:rPr>
        <w:t>Посебан циљ 1.</w:t>
      </w:r>
      <w:r w:rsidR="00D01745">
        <w:rPr>
          <w:rFonts w:ascii="Times New Roman" w:hAnsi="Times New Roman" w:cs="Times New Roman"/>
          <w:b/>
          <w:sz w:val="24"/>
          <w:szCs w:val="24"/>
          <w:lang w:val="sr-Cyrl-CS"/>
        </w:rPr>
        <w:t>1</w:t>
      </w:r>
      <w:r w:rsidRPr="00A25D9E">
        <w:rPr>
          <w:rFonts w:ascii="Times New Roman" w:hAnsi="Times New Roman" w:cs="Times New Roman"/>
          <w:b/>
          <w:sz w:val="24"/>
          <w:szCs w:val="24"/>
          <w:lang w:val="sr-Cyrl-CS"/>
        </w:rPr>
        <w:t xml:space="preserve"> </w:t>
      </w:r>
      <w:r w:rsidR="00855CFE" w:rsidRPr="00A25D9E">
        <w:rPr>
          <w:rFonts w:ascii="Times New Roman" w:hAnsi="Times New Roman" w:cs="Times New Roman"/>
          <w:sz w:val="24"/>
          <w:szCs w:val="24"/>
          <w:lang w:val="sr-Cyrl-CS"/>
        </w:rPr>
        <w:t xml:space="preserve">и </w:t>
      </w:r>
      <w:r w:rsidRPr="00A25D9E">
        <w:rPr>
          <w:rFonts w:ascii="Times New Roman" w:hAnsi="Times New Roman" w:cs="Times New Roman"/>
          <w:bCs/>
          <w:sz w:val="24"/>
          <w:szCs w:val="24"/>
          <w:lang w:val="sr-Cyrl-CS"/>
        </w:rPr>
        <w:t>показатељ исхода</w:t>
      </w:r>
      <w:r w:rsidR="001A638D" w:rsidRPr="00A25D9E">
        <w:rPr>
          <w:rFonts w:ascii="Times New Roman" w:hAnsi="Times New Roman" w:cs="Times New Roman"/>
          <w:bCs/>
          <w:sz w:val="24"/>
          <w:szCs w:val="24"/>
          <w:lang w:val="sr-Cyrl-CS"/>
        </w:rPr>
        <w:t xml:space="preserve"> 1.</w:t>
      </w:r>
      <w:r w:rsidRPr="00A25D9E">
        <w:rPr>
          <w:rFonts w:ascii="Times New Roman" w:hAnsi="Times New Roman" w:cs="Times New Roman"/>
          <w:bCs/>
          <w:sz w:val="24"/>
          <w:szCs w:val="24"/>
          <w:lang w:val="sr-Cyrl-CS"/>
        </w:rPr>
        <w:t xml:space="preserve"> „</w:t>
      </w:r>
      <w:r w:rsidR="001A638D" w:rsidRPr="00A25D9E">
        <w:rPr>
          <w:rFonts w:ascii="Times New Roman" w:hAnsi="Times New Roman" w:cs="Times New Roman"/>
          <w:sz w:val="24"/>
          <w:szCs w:val="24"/>
          <w:lang w:val="sr-Cyrl-CS"/>
        </w:rPr>
        <w:t>Учешће МСП у броју закључених уговора (проценат)“</w:t>
      </w:r>
      <w:r w:rsidRPr="00A25D9E">
        <w:rPr>
          <w:rFonts w:ascii="Times New Roman" w:hAnsi="Times New Roman" w:cs="Times New Roman"/>
          <w:sz w:val="24"/>
          <w:szCs w:val="24"/>
          <w:lang w:val="sr-Cyrl-CS"/>
        </w:rPr>
        <w:t xml:space="preserve">, </w:t>
      </w:r>
      <w:r w:rsidR="001A638D" w:rsidRPr="00A25D9E">
        <w:rPr>
          <w:rFonts w:ascii="Times New Roman" w:hAnsi="Times New Roman" w:cs="Times New Roman"/>
          <w:sz w:val="24"/>
          <w:szCs w:val="24"/>
          <w:lang w:val="sr-Cyrl-CS"/>
        </w:rPr>
        <w:t xml:space="preserve">делимично је </w:t>
      </w:r>
      <w:r w:rsidRPr="00A25D9E">
        <w:rPr>
          <w:rFonts w:ascii="Times New Roman" w:hAnsi="Times New Roman" w:cs="Times New Roman"/>
          <w:sz w:val="24"/>
          <w:szCs w:val="24"/>
          <w:lang w:val="sr-Cyrl-CS"/>
        </w:rPr>
        <w:t xml:space="preserve">испуњен. </w:t>
      </w:r>
      <w:r w:rsidR="001A638D" w:rsidRPr="00A25D9E">
        <w:rPr>
          <w:rFonts w:ascii="Times New Roman" w:eastAsia="Times New Roman" w:hAnsi="Times New Roman" w:cs="Times New Roman"/>
          <w:color w:val="222222"/>
          <w:sz w:val="24"/>
          <w:szCs w:val="24"/>
        </w:rPr>
        <w:t xml:space="preserve">Почетна вредност показатеља била је </w:t>
      </w:r>
      <w:r w:rsidR="001A638D" w:rsidRPr="00A25D9E">
        <w:rPr>
          <w:rFonts w:ascii="Times New Roman" w:eastAsia="Times New Roman" w:hAnsi="Times New Roman" w:cs="Times New Roman"/>
          <w:color w:val="222222"/>
          <w:sz w:val="24"/>
          <w:szCs w:val="24"/>
          <w:lang w:val="sr-Cyrl-RS"/>
        </w:rPr>
        <w:t>79%</w:t>
      </w:r>
      <w:r w:rsidR="001A638D" w:rsidRPr="00A25D9E">
        <w:rPr>
          <w:rFonts w:ascii="Times New Roman" w:eastAsia="Times New Roman" w:hAnsi="Times New Roman" w:cs="Times New Roman"/>
          <w:color w:val="222222"/>
          <w:sz w:val="24"/>
          <w:szCs w:val="24"/>
        </w:rPr>
        <w:t xml:space="preserve"> у 202</w:t>
      </w:r>
      <w:r w:rsidR="001A638D" w:rsidRPr="00A25D9E">
        <w:rPr>
          <w:rFonts w:ascii="Times New Roman" w:eastAsia="Times New Roman" w:hAnsi="Times New Roman" w:cs="Times New Roman"/>
          <w:color w:val="222222"/>
          <w:sz w:val="24"/>
          <w:szCs w:val="24"/>
          <w:lang w:val="sr-Cyrl-RS"/>
        </w:rPr>
        <w:t>3</w:t>
      </w:r>
      <w:r w:rsidR="001A638D" w:rsidRPr="00A25D9E">
        <w:rPr>
          <w:rFonts w:ascii="Times New Roman" w:eastAsia="Times New Roman" w:hAnsi="Times New Roman" w:cs="Times New Roman"/>
          <w:color w:val="222222"/>
          <w:sz w:val="24"/>
          <w:szCs w:val="24"/>
        </w:rPr>
        <w:t>. години, док је закључно са 31. децембром 202</w:t>
      </w:r>
      <w:r w:rsidR="001A638D" w:rsidRPr="00A25D9E">
        <w:rPr>
          <w:rFonts w:ascii="Times New Roman" w:eastAsia="Times New Roman" w:hAnsi="Times New Roman" w:cs="Times New Roman"/>
          <w:color w:val="222222"/>
          <w:sz w:val="24"/>
          <w:szCs w:val="24"/>
          <w:lang w:val="sr-Cyrl-RS"/>
        </w:rPr>
        <w:t>4</w:t>
      </w:r>
      <w:r w:rsidR="001A638D" w:rsidRPr="00A25D9E">
        <w:rPr>
          <w:rFonts w:ascii="Times New Roman" w:eastAsia="Times New Roman" w:hAnsi="Times New Roman" w:cs="Times New Roman"/>
          <w:color w:val="222222"/>
          <w:sz w:val="24"/>
          <w:szCs w:val="24"/>
        </w:rPr>
        <w:t xml:space="preserve">. године </w:t>
      </w:r>
      <w:r w:rsidR="001A638D" w:rsidRPr="00A25D9E">
        <w:rPr>
          <w:rFonts w:ascii="Times New Roman" w:eastAsia="Times New Roman" w:hAnsi="Times New Roman" w:cs="Times New Roman"/>
          <w:color w:val="222222"/>
          <w:sz w:val="24"/>
          <w:szCs w:val="24"/>
          <w:lang w:val="sr-Cyrl-RS"/>
        </w:rPr>
        <w:t>остварена вредност од 75,82%</w:t>
      </w:r>
      <w:r w:rsidR="00615835" w:rsidRPr="00A25D9E">
        <w:rPr>
          <w:rFonts w:ascii="Times New Roman" w:hAnsi="Times New Roman" w:cs="Times New Roman"/>
          <w:sz w:val="24"/>
          <w:szCs w:val="24"/>
          <w:lang w:val="sr-Cyrl-CS"/>
        </w:rPr>
        <w:t>.</w:t>
      </w:r>
      <w:r w:rsidR="004D2F24" w:rsidRPr="00A25D9E">
        <w:rPr>
          <w:rFonts w:ascii="Times New Roman" w:hAnsi="Times New Roman" w:cs="Times New Roman"/>
          <w:sz w:val="24"/>
          <w:szCs w:val="24"/>
          <w:lang w:val="sr-Cyrl-CS"/>
        </w:rPr>
        <w:t xml:space="preserve"> (Графикон </w:t>
      </w:r>
      <w:r w:rsidR="001A638D" w:rsidRPr="00A25D9E">
        <w:rPr>
          <w:rFonts w:ascii="Times New Roman" w:hAnsi="Times New Roman" w:cs="Times New Roman"/>
          <w:sz w:val="24"/>
          <w:szCs w:val="24"/>
          <w:lang w:val="sr-Cyrl-CS"/>
        </w:rPr>
        <w:t>2</w:t>
      </w:r>
      <w:r w:rsidR="004D2F24" w:rsidRPr="00A25D9E">
        <w:rPr>
          <w:rFonts w:ascii="Times New Roman" w:hAnsi="Times New Roman" w:cs="Times New Roman"/>
          <w:sz w:val="24"/>
          <w:szCs w:val="24"/>
          <w:lang w:val="sr-Cyrl-CS"/>
        </w:rPr>
        <w:t>)</w:t>
      </w:r>
      <w:r w:rsidR="001A638D" w:rsidRPr="00A25D9E">
        <w:rPr>
          <w:rFonts w:ascii="Times New Roman" w:hAnsi="Times New Roman" w:cs="Times New Roman"/>
          <w:sz w:val="24"/>
          <w:szCs w:val="24"/>
          <w:lang w:val="sr-Cyrl-CS"/>
        </w:rPr>
        <w:t xml:space="preserve">. </w:t>
      </w:r>
      <w:r w:rsidR="001A638D" w:rsidRPr="00A25D9E">
        <w:rPr>
          <w:rFonts w:ascii="Times New Roman" w:eastAsia="Times New Roman" w:hAnsi="Times New Roman" w:cs="Times New Roman"/>
          <w:color w:val="222222"/>
          <w:sz w:val="24"/>
          <w:szCs w:val="24"/>
          <w:lang w:val="sr-Cyrl-RS"/>
        </w:rPr>
        <w:t>Неостваривање циљане вредности за 2024. годину је последица пада броја закључених уговора за грађевинске радове, са преко 60.000 на мање од 40.000, поготово имајући у виду да је у претходном периоду учешће малих и средњих предузећа у истим достизала и преко 70%.</w:t>
      </w:r>
      <w:r w:rsidRPr="00A25D9E">
        <w:rPr>
          <w:rFonts w:ascii="Times New Roman" w:hAnsi="Times New Roman" w:cs="Times New Roman"/>
          <w:sz w:val="24"/>
          <w:szCs w:val="24"/>
          <w:lang w:val="sr-Cyrl-CS"/>
        </w:rPr>
        <w:t xml:space="preserve"> </w:t>
      </w:r>
      <w:r w:rsidR="00A25D9E" w:rsidRPr="00E469B3">
        <w:rPr>
          <w:rFonts w:ascii="Times New Roman" w:hAnsi="Times New Roman" w:cs="Times New Roman"/>
          <w:sz w:val="24"/>
          <w:szCs w:val="24"/>
          <w:lang w:val="sr-Cyrl-CS"/>
        </w:rPr>
        <w:t xml:space="preserve">(Графикон </w:t>
      </w:r>
      <w:r w:rsidR="00A25D9E">
        <w:rPr>
          <w:rFonts w:ascii="Times New Roman" w:hAnsi="Times New Roman" w:cs="Times New Roman"/>
          <w:sz w:val="24"/>
          <w:szCs w:val="24"/>
          <w:lang w:val="sr-Cyrl-CS"/>
        </w:rPr>
        <w:t>2</w:t>
      </w:r>
      <w:r w:rsidR="00A25D9E" w:rsidRPr="00E469B3">
        <w:rPr>
          <w:rFonts w:ascii="Times New Roman" w:hAnsi="Times New Roman" w:cs="Times New Roman"/>
          <w:sz w:val="24"/>
          <w:szCs w:val="24"/>
          <w:lang w:val="sr-Cyrl-CS"/>
        </w:rPr>
        <w:t>)</w:t>
      </w:r>
    </w:p>
    <w:p w14:paraId="01F1339D" w14:textId="77777777" w:rsidR="00F42885" w:rsidRDefault="00F42885" w:rsidP="00F256C4">
      <w:pPr>
        <w:spacing w:after="0" w:line="247" w:lineRule="auto"/>
        <w:ind w:right="-44" w:firstLine="540"/>
        <w:jc w:val="both"/>
        <w:rPr>
          <w:rFonts w:ascii="Times New Roman" w:hAnsi="Times New Roman" w:cs="Times New Roman"/>
          <w:sz w:val="24"/>
          <w:szCs w:val="24"/>
          <w:lang w:val="sr-Cyrl-CS"/>
        </w:rPr>
      </w:pPr>
    </w:p>
    <w:p w14:paraId="7B1EFC17" w14:textId="77777777" w:rsidR="00F42885" w:rsidRDefault="00F42885" w:rsidP="00F256C4">
      <w:pPr>
        <w:spacing w:after="0" w:line="247" w:lineRule="auto"/>
        <w:ind w:right="-44" w:firstLine="540"/>
        <w:jc w:val="both"/>
        <w:rPr>
          <w:rFonts w:ascii="Times New Roman" w:hAnsi="Times New Roman" w:cs="Times New Roman"/>
          <w:sz w:val="24"/>
          <w:szCs w:val="24"/>
          <w:lang w:val="sr-Cyrl-CS"/>
        </w:rPr>
      </w:pPr>
    </w:p>
    <w:p w14:paraId="6E410E6C" w14:textId="6D6D2F34" w:rsidR="00F42885" w:rsidRDefault="00E9338D" w:rsidP="00F256C4">
      <w:pPr>
        <w:spacing w:after="0" w:line="247" w:lineRule="auto"/>
        <w:ind w:right="-44" w:firstLine="540"/>
        <w:jc w:val="both"/>
        <w:rPr>
          <w:rFonts w:ascii="Times New Roman" w:hAnsi="Times New Roman" w:cs="Times New Roman"/>
          <w:sz w:val="24"/>
          <w:szCs w:val="24"/>
          <w:lang w:val="sr-Cyrl-CS"/>
        </w:rPr>
      </w:pPr>
      <w:r w:rsidRPr="00E469B3">
        <w:rPr>
          <w:rFonts w:ascii="Times New Roman" w:hAnsi="Times New Roman" w:cs="Times New Roman"/>
          <w:noProof/>
          <w:sz w:val="24"/>
          <w:szCs w:val="24"/>
        </w:rPr>
        <w:drawing>
          <wp:inline distT="0" distB="0" distL="0" distR="0" wp14:anchorId="10B8C033" wp14:editId="28E2E5F0">
            <wp:extent cx="5436524" cy="3200400"/>
            <wp:effectExtent l="0" t="0" r="1206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970126" w14:textId="77777777" w:rsidR="00F42885" w:rsidRPr="00E469B3" w:rsidRDefault="00F42885" w:rsidP="00F42885">
      <w:pPr>
        <w:spacing w:after="0" w:line="247" w:lineRule="auto"/>
        <w:ind w:right="-44" w:firstLine="540"/>
        <w:jc w:val="center"/>
        <w:rPr>
          <w:rFonts w:ascii="Times New Roman" w:hAnsi="Times New Roman" w:cs="Times New Roman"/>
          <w:i/>
          <w:sz w:val="20"/>
          <w:szCs w:val="20"/>
          <w:lang w:val="sr-Cyrl-CS"/>
        </w:rPr>
      </w:pPr>
      <w:r w:rsidRPr="00E469B3">
        <w:rPr>
          <w:rFonts w:ascii="Times New Roman" w:hAnsi="Times New Roman" w:cs="Times New Roman"/>
          <w:i/>
          <w:sz w:val="20"/>
          <w:szCs w:val="20"/>
          <w:lang w:val="sr-Cyrl-CS"/>
        </w:rPr>
        <w:t xml:space="preserve">(Графикон </w:t>
      </w:r>
      <w:r>
        <w:rPr>
          <w:rFonts w:ascii="Times New Roman" w:hAnsi="Times New Roman" w:cs="Times New Roman"/>
          <w:i/>
          <w:sz w:val="20"/>
          <w:szCs w:val="20"/>
          <w:lang w:val="sr-Latn-RS"/>
        </w:rPr>
        <w:t>2</w:t>
      </w:r>
      <w:r w:rsidRPr="00E469B3">
        <w:rPr>
          <w:rFonts w:ascii="Times New Roman" w:hAnsi="Times New Roman" w:cs="Times New Roman"/>
          <w:i/>
          <w:sz w:val="20"/>
          <w:szCs w:val="20"/>
          <w:lang w:val="sr-Cyrl-CS"/>
        </w:rPr>
        <w:t>)</w:t>
      </w:r>
    </w:p>
    <w:p w14:paraId="52283AA6" w14:textId="77777777" w:rsidR="00F42885" w:rsidRPr="00A25D9E" w:rsidRDefault="00F42885" w:rsidP="00F256C4">
      <w:pPr>
        <w:spacing w:after="0" w:line="247" w:lineRule="auto"/>
        <w:ind w:right="-44" w:firstLine="540"/>
        <w:jc w:val="both"/>
        <w:rPr>
          <w:rFonts w:ascii="Times New Roman" w:hAnsi="Times New Roman" w:cs="Times New Roman"/>
          <w:sz w:val="24"/>
          <w:szCs w:val="24"/>
          <w:lang w:val="sr-Cyrl-CS"/>
        </w:rPr>
      </w:pPr>
    </w:p>
    <w:p w14:paraId="20866973" w14:textId="57A34B51" w:rsidR="001A638D" w:rsidRDefault="001A638D" w:rsidP="00F256C4">
      <w:pPr>
        <w:spacing w:after="0" w:line="247" w:lineRule="auto"/>
        <w:ind w:right="-44" w:firstLine="540"/>
        <w:jc w:val="both"/>
        <w:rPr>
          <w:rFonts w:ascii="Times New Roman" w:hAnsi="Times New Roman" w:cs="Times New Roman"/>
          <w:sz w:val="24"/>
          <w:szCs w:val="24"/>
          <w:lang w:val="sr-Cyrl-CS"/>
        </w:rPr>
      </w:pPr>
      <w:r w:rsidRPr="00A25D9E">
        <w:rPr>
          <w:rFonts w:ascii="Times New Roman" w:hAnsi="Times New Roman" w:cs="Times New Roman"/>
          <w:sz w:val="24"/>
          <w:szCs w:val="24"/>
          <w:lang w:val="sr-Cyrl-CS"/>
        </w:rPr>
        <w:t>Показатеља исхода</w:t>
      </w:r>
      <w:r w:rsidR="00A25D9E" w:rsidRPr="00A25D9E">
        <w:rPr>
          <w:rFonts w:ascii="Times New Roman" w:hAnsi="Times New Roman" w:cs="Times New Roman"/>
          <w:sz w:val="24"/>
          <w:szCs w:val="24"/>
          <w:lang w:val="sr-Cyrl-CS"/>
        </w:rPr>
        <w:t xml:space="preserve"> 2.</w:t>
      </w:r>
      <w:r w:rsidRPr="00A25D9E">
        <w:rPr>
          <w:rFonts w:ascii="Times New Roman" w:hAnsi="Times New Roman" w:cs="Times New Roman"/>
          <w:sz w:val="24"/>
          <w:szCs w:val="24"/>
          <w:lang w:val="sr-Cyrl-CS"/>
        </w:rPr>
        <w:t xml:space="preserve"> „Учешће критеријума за доделу уговора који се не заснива само на цени (проценат)“, је испуњен у потпуности. </w:t>
      </w:r>
      <w:r w:rsidRPr="00A25D9E">
        <w:rPr>
          <w:rFonts w:ascii="Times New Roman" w:eastAsia="Times New Roman" w:hAnsi="Times New Roman" w:cs="Times New Roman"/>
          <w:color w:val="222222"/>
          <w:sz w:val="24"/>
          <w:szCs w:val="24"/>
        </w:rPr>
        <w:t xml:space="preserve">Почетна вредност показатеља била је </w:t>
      </w:r>
      <w:r w:rsidRPr="00A25D9E">
        <w:rPr>
          <w:rFonts w:ascii="Times New Roman" w:eastAsia="Times New Roman" w:hAnsi="Times New Roman" w:cs="Times New Roman"/>
          <w:color w:val="222222"/>
          <w:sz w:val="24"/>
          <w:szCs w:val="24"/>
          <w:lang w:val="sr-Cyrl-RS"/>
        </w:rPr>
        <w:t>4,46%</w:t>
      </w:r>
      <w:r w:rsidRPr="00A25D9E">
        <w:rPr>
          <w:rFonts w:ascii="Times New Roman" w:eastAsia="Times New Roman" w:hAnsi="Times New Roman" w:cs="Times New Roman"/>
          <w:color w:val="222222"/>
          <w:sz w:val="24"/>
          <w:szCs w:val="24"/>
        </w:rPr>
        <w:t xml:space="preserve"> у 202</w:t>
      </w:r>
      <w:r w:rsidRPr="00A25D9E">
        <w:rPr>
          <w:rFonts w:ascii="Times New Roman" w:eastAsia="Times New Roman" w:hAnsi="Times New Roman" w:cs="Times New Roman"/>
          <w:color w:val="222222"/>
          <w:sz w:val="24"/>
          <w:szCs w:val="24"/>
          <w:lang w:val="sr-Cyrl-RS"/>
        </w:rPr>
        <w:t>3</w:t>
      </w:r>
      <w:r w:rsidRPr="00A25D9E">
        <w:rPr>
          <w:rFonts w:ascii="Times New Roman" w:eastAsia="Times New Roman" w:hAnsi="Times New Roman" w:cs="Times New Roman"/>
          <w:color w:val="222222"/>
          <w:sz w:val="24"/>
          <w:szCs w:val="24"/>
        </w:rPr>
        <w:t>. години, док је закључно са 31. децембром 202</w:t>
      </w:r>
      <w:r w:rsidRPr="00A25D9E">
        <w:rPr>
          <w:rFonts w:ascii="Times New Roman" w:eastAsia="Times New Roman" w:hAnsi="Times New Roman" w:cs="Times New Roman"/>
          <w:color w:val="222222"/>
          <w:sz w:val="24"/>
          <w:szCs w:val="24"/>
          <w:lang w:val="sr-Cyrl-RS"/>
        </w:rPr>
        <w:t>4</w:t>
      </w:r>
      <w:r w:rsidRPr="00A25D9E">
        <w:rPr>
          <w:rFonts w:ascii="Times New Roman" w:eastAsia="Times New Roman" w:hAnsi="Times New Roman" w:cs="Times New Roman"/>
          <w:color w:val="222222"/>
          <w:sz w:val="24"/>
          <w:szCs w:val="24"/>
        </w:rPr>
        <w:t xml:space="preserve">. </w:t>
      </w:r>
      <w:r w:rsidRPr="00A25D9E">
        <w:rPr>
          <w:rFonts w:ascii="Times New Roman" w:eastAsia="Times New Roman" w:hAnsi="Times New Roman" w:cs="Times New Roman"/>
          <w:color w:val="222222"/>
          <w:sz w:val="24"/>
          <w:szCs w:val="24"/>
          <w:lang w:val="sr-Cyrl-RS"/>
        </w:rPr>
        <w:t>г</w:t>
      </w:r>
      <w:r w:rsidRPr="00A25D9E">
        <w:rPr>
          <w:rFonts w:ascii="Times New Roman" w:eastAsia="Times New Roman" w:hAnsi="Times New Roman" w:cs="Times New Roman"/>
          <w:color w:val="222222"/>
          <w:sz w:val="24"/>
          <w:szCs w:val="24"/>
        </w:rPr>
        <w:t>одине</w:t>
      </w:r>
      <w:r w:rsidRPr="00A25D9E">
        <w:rPr>
          <w:rFonts w:ascii="Times New Roman" w:eastAsia="Times New Roman" w:hAnsi="Times New Roman" w:cs="Times New Roman"/>
          <w:color w:val="222222"/>
          <w:sz w:val="24"/>
          <w:szCs w:val="24"/>
          <w:lang w:val="sr-Cyrl-RS"/>
        </w:rPr>
        <w:t xml:space="preserve"> циљана вредност за 2024. годину од 5% надмашена и </w:t>
      </w:r>
      <w:r w:rsidRPr="00A25D9E">
        <w:rPr>
          <w:rFonts w:ascii="Times New Roman" w:eastAsia="Times New Roman" w:hAnsi="Times New Roman" w:cs="Times New Roman"/>
          <w:color w:val="000000"/>
          <w:sz w:val="24"/>
          <w:szCs w:val="24"/>
          <w:lang w:val="sr-Cyrl-CS" w:eastAsia="en-GB"/>
        </w:rPr>
        <w:t>износи</w:t>
      </w:r>
      <w:r w:rsidRPr="00A25D9E">
        <w:rPr>
          <w:rFonts w:ascii="Times New Roman" w:eastAsia="Times New Roman" w:hAnsi="Times New Roman" w:cs="Times New Roman"/>
          <w:color w:val="222222"/>
          <w:sz w:val="24"/>
          <w:szCs w:val="24"/>
          <w:lang w:val="sr-Cyrl-RS"/>
        </w:rPr>
        <w:t xml:space="preserve"> 9,78%. </w:t>
      </w:r>
      <w:r w:rsidRPr="00E9338D">
        <w:rPr>
          <w:rFonts w:ascii="Times New Roman" w:hAnsi="Times New Roman" w:cs="Times New Roman"/>
          <w:sz w:val="24"/>
          <w:szCs w:val="24"/>
          <w:lang w:val="sr-Cyrl-CS"/>
        </w:rPr>
        <w:t>(Графикон 3)</w:t>
      </w:r>
      <w:r w:rsidRPr="00A25D9E">
        <w:rPr>
          <w:rFonts w:ascii="Times New Roman" w:hAnsi="Times New Roman" w:cs="Times New Roman"/>
          <w:sz w:val="24"/>
          <w:szCs w:val="24"/>
          <w:lang w:val="sr-Cyrl-CS"/>
        </w:rPr>
        <w:t xml:space="preserve"> </w:t>
      </w:r>
    </w:p>
    <w:p w14:paraId="2E8D36DF" w14:textId="7A7ED7AF" w:rsidR="00E9338D" w:rsidRDefault="00E9338D" w:rsidP="00F256C4">
      <w:pPr>
        <w:spacing w:after="0" w:line="247" w:lineRule="auto"/>
        <w:ind w:right="-44" w:firstLine="540"/>
        <w:jc w:val="both"/>
        <w:rPr>
          <w:rFonts w:ascii="Times New Roman" w:hAnsi="Times New Roman" w:cs="Times New Roman"/>
          <w:sz w:val="24"/>
          <w:szCs w:val="24"/>
          <w:lang w:val="sr-Cyrl-CS"/>
        </w:rPr>
      </w:pPr>
    </w:p>
    <w:p w14:paraId="6F254A22" w14:textId="0499FA68" w:rsidR="00E9338D" w:rsidRDefault="00E9338D" w:rsidP="00F256C4">
      <w:pPr>
        <w:spacing w:after="0" w:line="247" w:lineRule="auto"/>
        <w:ind w:right="-44" w:firstLine="540"/>
        <w:jc w:val="both"/>
        <w:rPr>
          <w:rFonts w:ascii="Times New Roman" w:hAnsi="Times New Roman" w:cs="Times New Roman"/>
          <w:sz w:val="24"/>
          <w:szCs w:val="24"/>
          <w:lang w:val="sr-Cyrl-CS"/>
        </w:rPr>
      </w:pPr>
    </w:p>
    <w:p w14:paraId="22282B98" w14:textId="2D1D30BB" w:rsidR="00E9338D" w:rsidRDefault="00B358B4" w:rsidP="00F256C4">
      <w:pPr>
        <w:spacing w:after="0" w:line="247" w:lineRule="auto"/>
        <w:ind w:right="-44" w:firstLine="540"/>
        <w:jc w:val="both"/>
        <w:rPr>
          <w:rFonts w:ascii="Times New Roman" w:hAnsi="Times New Roman" w:cs="Times New Roman"/>
          <w:sz w:val="24"/>
          <w:szCs w:val="24"/>
          <w:lang w:val="sr-Cyrl-CS"/>
        </w:rPr>
      </w:pPr>
      <w:r w:rsidRPr="00E469B3">
        <w:rPr>
          <w:rFonts w:ascii="Times New Roman" w:hAnsi="Times New Roman" w:cs="Times New Roman"/>
          <w:noProof/>
          <w:sz w:val="24"/>
          <w:szCs w:val="24"/>
        </w:rPr>
        <w:drawing>
          <wp:inline distT="0" distB="0" distL="0" distR="0" wp14:anchorId="53E33B17" wp14:editId="43B713D8">
            <wp:extent cx="5386070" cy="3200400"/>
            <wp:effectExtent l="0" t="0" r="50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E6DC6E" w14:textId="6EE9B74D" w:rsidR="00E9338D" w:rsidRDefault="00E9338D" w:rsidP="00E9338D">
      <w:pPr>
        <w:tabs>
          <w:tab w:val="left" w:pos="270"/>
          <w:tab w:val="left" w:pos="709"/>
        </w:tabs>
        <w:spacing w:after="0"/>
        <w:jc w:val="center"/>
        <w:rPr>
          <w:rFonts w:ascii="Times New Roman" w:hAnsi="Times New Roman" w:cs="Times New Roman"/>
          <w:i/>
          <w:sz w:val="20"/>
          <w:szCs w:val="20"/>
        </w:rPr>
      </w:pPr>
      <w:r w:rsidRPr="00E469B3">
        <w:rPr>
          <w:rFonts w:ascii="Times New Roman" w:hAnsi="Times New Roman" w:cs="Times New Roman"/>
          <w:i/>
          <w:sz w:val="20"/>
          <w:szCs w:val="20"/>
        </w:rPr>
        <w:t xml:space="preserve">(Графикон </w:t>
      </w:r>
      <w:r>
        <w:rPr>
          <w:rFonts w:ascii="Times New Roman" w:hAnsi="Times New Roman" w:cs="Times New Roman"/>
          <w:i/>
          <w:sz w:val="20"/>
          <w:szCs w:val="20"/>
          <w:lang w:val="sr-Cyrl-RS"/>
        </w:rPr>
        <w:t>3</w:t>
      </w:r>
      <w:r w:rsidRPr="00E469B3">
        <w:rPr>
          <w:rFonts w:ascii="Times New Roman" w:hAnsi="Times New Roman" w:cs="Times New Roman"/>
          <w:i/>
          <w:sz w:val="20"/>
          <w:szCs w:val="20"/>
        </w:rPr>
        <w:t>)</w:t>
      </w:r>
    </w:p>
    <w:p w14:paraId="172A022E" w14:textId="77777777" w:rsidR="00B358B4" w:rsidRDefault="00B358B4" w:rsidP="00E9338D">
      <w:pPr>
        <w:tabs>
          <w:tab w:val="left" w:pos="270"/>
          <w:tab w:val="left" w:pos="709"/>
        </w:tabs>
        <w:spacing w:after="0"/>
        <w:jc w:val="center"/>
        <w:rPr>
          <w:rFonts w:ascii="Times New Roman" w:hAnsi="Times New Roman" w:cs="Times New Roman"/>
          <w:sz w:val="24"/>
          <w:szCs w:val="24"/>
          <w:lang w:val="sr-Cyrl-CS"/>
        </w:rPr>
      </w:pPr>
    </w:p>
    <w:p w14:paraId="712A7471" w14:textId="10059664" w:rsidR="00E9338D" w:rsidRPr="00A25D9E" w:rsidRDefault="0035009C" w:rsidP="00993D77">
      <w:pPr>
        <w:spacing w:after="0" w:line="247" w:lineRule="auto"/>
        <w:ind w:right="-44" w:firstLine="540"/>
        <w:jc w:val="both"/>
        <w:rPr>
          <w:rFonts w:ascii="Times New Roman" w:hAnsi="Times New Roman" w:cs="Times New Roman"/>
          <w:bCs/>
          <w:sz w:val="24"/>
          <w:szCs w:val="24"/>
          <w:lang w:val="sr-Cyrl-CS"/>
        </w:rPr>
      </w:pPr>
      <w:r w:rsidRPr="00A25D9E">
        <w:rPr>
          <w:rFonts w:ascii="Times New Roman" w:hAnsi="Times New Roman" w:cs="Times New Roman"/>
          <w:b/>
          <w:sz w:val="24"/>
          <w:szCs w:val="24"/>
          <w:lang w:val="sr-Cyrl-CS"/>
        </w:rPr>
        <w:t xml:space="preserve">Посебан циљ </w:t>
      </w:r>
      <w:r w:rsidR="00D01745">
        <w:rPr>
          <w:rFonts w:ascii="Times New Roman" w:hAnsi="Times New Roman" w:cs="Times New Roman"/>
          <w:b/>
          <w:sz w:val="24"/>
          <w:szCs w:val="24"/>
          <w:lang w:val="sr-Cyrl-CS"/>
        </w:rPr>
        <w:t>1.</w:t>
      </w:r>
      <w:r w:rsidRPr="00A25D9E">
        <w:rPr>
          <w:rFonts w:ascii="Times New Roman" w:hAnsi="Times New Roman" w:cs="Times New Roman"/>
          <w:b/>
          <w:sz w:val="24"/>
          <w:szCs w:val="24"/>
          <w:lang w:val="sr-Cyrl-CS"/>
        </w:rPr>
        <w:t xml:space="preserve">2 </w:t>
      </w:r>
      <w:r w:rsidRPr="00A25D9E">
        <w:rPr>
          <w:rFonts w:ascii="Times New Roman" w:hAnsi="Times New Roman" w:cs="Times New Roman"/>
          <w:sz w:val="24"/>
          <w:szCs w:val="24"/>
          <w:lang w:val="sr-Cyrl-CS"/>
        </w:rPr>
        <w:t xml:space="preserve">и </w:t>
      </w:r>
      <w:r w:rsidRPr="00A25D9E">
        <w:rPr>
          <w:rFonts w:ascii="Times New Roman" w:hAnsi="Times New Roman" w:cs="Times New Roman"/>
          <w:bCs/>
          <w:sz w:val="24"/>
          <w:szCs w:val="24"/>
          <w:lang w:val="sr-Cyrl-CS"/>
        </w:rPr>
        <w:t xml:space="preserve">показатељ исхода </w:t>
      </w:r>
      <w:r w:rsidR="00A25D9E" w:rsidRPr="00A25D9E">
        <w:rPr>
          <w:rFonts w:ascii="Times New Roman" w:hAnsi="Times New Roman" w:cs="Times New Roman"/>
          <w:bCs/>
          <w:sz w:val="24"/>
          <w:szCs w:val="24"/>
          <w:lang w:val="sr-Cyrl-CS"/>
        </w:rPr>
        <w:t>1. „</w:t>
      </w:r>
      <w:r w:rsidR="00A25D9E" w:rsidRPr="00A25D9E">
        <w:rPr>
          <w:rFonts w:ascii="Times New Roman" w:hAnsi="Times New Roman" w:cs="Times New Roman"/>
          <w:sz w:val="24"/>
          <w:szCs w:val="24"/>
          <w:lang w:val="sr-Cyrl-CS"/>
        </w:rPr>
        <w:t xml:space="preserve">Број поступака јавних набавки са еколошким критеријумима, укупно“, испуњен је у потпуности. </w:t>
      </w:r>
      <w:r w:rsidR="00A25D9E" w:rsidRPr="00A25D9E">
        <w:rPr>
          <w:rFonts w:ascii="Times New Roman" w:eastAsia="Times New Roman" w:hAnsi="Times New Roman" w:cs="Times New Roman"/>
          <w:color w:val="222222"/>
          <w:sz w:val="24"/>
          <w:szCs w:val="24"/>
        </w:rPr>
        <w:t xml:space="preserve">Почетна вредност показатеља била је </w:t>
      </w:r>
      <w:r w:rsidR="00A25D9E" w:rsidRPr="00A25D9E">
        <w:rPr>
          <w:rFonts w:ascii="Times New Roman" w:eastAsia="Times New Roman" w:hAnsi="Times New Roman" w:cs="Times New Roman"/>
          <w:color w:val="222222"/>
          <w:sz w:val="24"/>
          <w:szCs w:val="24"/>
          <w:lang w:val="sr-Cyrl-RS"/>
        </w:rPr>
        <w:t>1</w:t>
      </w:r>
      <w:r w:rsidR="00A25D9E" w:rsidRPr="00A25D9E">
        <w:rPr>
          <w:rFonts w:ascii="Times New Roman" w:eastAsia="Times New Roman" w:hAnsi="Times New Roman" w:cs="Times New Roman"/>
          <w:color w:val="222222"/>
          <w:sz w:val="24"/>
          <w:szCs w:val="24"/>
          <w:lang w:val="sr-Latn-RS"/>
        </w:rPr>
        <w:t>.</w:t>
      </w:r>
      <w:r w:rsidR="00A25D9E" w:rsidRPr="00A25D9E">
        <w:rPr>
          <w:rFonts w:ascii="Times New Roman" w:eastAsia="Times New Roman" w:hAnsi="Times New Roman" w:cs="Times New Roman"/>
          <w:color w:val="222222"/>
          <w:sz w:val="24"/>
          <w:szCs w:val="24"/>
          <w:lang w:val="sr-Cyrl-RS"/>
        </w:rPr>
        <w:t xml:space="preserve">592 </w:t>
      </w:r>
      <w:r w:rsidR="00A25D9E" w:rsidRPr="00A25D9E">
        <w:rPr>
          <w:rFonts w:ascii="Times New Roman" w:eastAsia="Times New Roman" w:hAnsi="Times New Roman" w:cs="Times New Roman"/>
          <w:color w:val="222222"/>
          <w:sz w:val="24"/>
          <w:szCs w:val="24"/>
        </w:rPr>
        <w:t>у 202</w:t>
      </w:r>
      <w:r w:rsidR="00A25D9E" w:rsidRPr="00A25D9E">
        <w:rPr>
          <w:rFonts w:ascii="Times New Roman" w:eastAsia="Times New Roman" w:hAnsi="Times New Roman" w:cs="Times New Roman"/>
          <w:color w:val="222222"/>
          <w:sz w:val="24"/>
          <w:szCs w:val="24"/>
          <w:lang w:val="sr-Cyrl-RS"/>
        </w:rPr>
        <w:t>3</w:t>
      </w:r>
      <w:r w:rsidR="00A25D9E" w:rsidRPr="00A25D9E">
        <w:rPr>
          <w:rFonts w:ascii="Times New Roman" w:eastAsia="Times New Roman" w:hAnsi="Times New Roman" w:cs="Times New Roman"/>
          <w:color w:val="222222"/>
          <w:sz w:val="24"/>
          <w:szCs w:val="24"/>
        </w:rPr>
        <w:t>. години, док је закључно са 31. децембром 202</w:t>
      </w:r>
      <w:r w:rsidR="00A25D9E" w:rsidRPr="00A25D9E">
        <w:rPr>
          <w:rFonts w:ascii="Times New Roman" w:eastAsia="Times New Roman" w:hAnsi="Times New Roman" w:cs="Times New Roman"/>
          <w:color w:val="222222"/>
          <w:sz w:val="24"/>
          <w:szCs w:val="24"/>
          <w:lang w:val="sr-Cyrl-RS"/>
        </w:rPr>
        <w:t>4</w:t>
      </w:r>
      <w:r w:rsidR="00A25D9E" w:rsidRPr="00A25D9E">
        <w:rPr>
          <w:rFonts w:ascii="Times New Roman" w:eastAsia="Times New Roman" w:hAnsi="Times New Roman" w:cs="Times New Roman"/>
          <w:color w:val="222222"/>
          <w:sz w:val="24"/>
          <w:szCs w:val="24"/>
        </w:rPr>
        <w:t xml:space="preserve">. године </w:t>
      </w:r>
      <w:r w:rsidR="00A25D9E" w:rsidRPr="00A25D9E">
        <w:rPr>
          <w:rFonts w:ascii="Times New Roman" w:eastAsia="Times New Roman" w:hAnsi="Times New Roman" w:cs="Times New Roman"/>
          <w:color w:val="222222"/>
          <w:sz w:val="24"/>
          <w:szCs w:val="24"/>
          <w:lang w:val="sr-Cyrl-RS"/>
        </w:rPr>
        <w:t>циљана вредност за 2024. годину од 1</w:t>
      </w:r>
      <w:r w:rsidR="00A25D9E" w:rsidRPr="00A25D9E">
        <w:rPr>
          <w:rFonts w:ascii="Times New Roman" w:eastAsia="Times New Roman" w:hAnsi="Times New Roman" w:cs="Times New Roman"/>
          <w:color w:val="222222"/>
          <w:sz w:val="24"/>
          <w:szCs w:val="24"/>
          <w:lang w:val="sr-Latn-RS"/>
        </w:rPr>
        <w:t>.</w:t>
      </w:r>
      <w:r w:rsidR="00A25D9E" w:rsidRPr="00A25D9E">
        <w:rPr>
          <w:rFonts w:ascii="Times New Roman" w:eastAsia="Times New Roman" w:hAnsi="Times New Roman" w:cs="Times New Roman"/>
          <w:color w:val="222222"/>
          <w:sz w:val="24"/>
          <w:szCs w:val="24"/>
          <w:lang w:val="sr-Cyrl-RS"/>
        </w:rPr>
        <w:t>700 надмашена и износи 3</w:t>
      </w:r>
      <w:r w:rsidR="00A25D9E" w:rsidRPr="00A25D9E">
        <w:rPr>
          <w:rFonts w:ascii="Times New Roman" w:eastAsia="Times New Roman" w:hAnsi="Times New Roman" w:cs="Times New Roman"/>
          <w:color w:val="222222"/>
          <w:sz w:val="24"/>
          <w:szCs w:val="24"/>
          <w:lang w:val="sr-Latn-RS"/>
        </w:rPr>
        <w:t>.</w:t>
      </w:r>
      <w:r w:rsidR="00A25D9E" w:rsidRPr="00A25D9E">
        <w:rPr>
          <w:rFonts w:ascii="Times New Roman" w:eastAsia="Times New Roman" w:hAnsi="Times New Roman" w:cs="Times New Roman"/>
          <w:color w:val="222222"/>
          <w:sz w:val="24"/>
          <w:szCs w:val="24"/>
          <w:lang w:val="sr-Cyrl-RS"/>
        </w:rPr>
        <w:t>2</w:t>
      </w:r>
      <w:r w:rsidR="00A25D9E" w:rsidRPr="00A25D9E">
        <w:rPr>
          <w:rFonts w:ascii="Times New Roman" w:eastAsia="Times New Roman" w:hAnsi="Times New Roman" w:cs="Times New Roman"/>
          <w:color w:val="222222"/>
          <w:sz w:val="24"/>
          <w:szCs w:val="24"/>
        </w:rPr>
        <w:t>4</w:t>
      </w:r>
      <w:r w:rsidR="00A25D9E" w:rsidRPr="00A25D9E">
        <w:rPr>
          <w:rFonts w:ascii="Times New Roman" w:eastAsia="Times New Roman" w:hAnsi="Times New Roman" w:cs="Times New Roman"/>
          <w:color w:val="222222"/>
          <w:sz w:val="24"/>
          <w:szCs w:val="24"/>
          <w:lang w:val="sr-Cyrl-RS"/>
        </w:rPr>
        <w:t xml:space="preserve">4.  </w:t>
      </w:r>
    </w:p>
    <w:p w14:paraId="023DB1AA" w14:textId="527329ED" w:rsidR="00E9338D" w:rsidRPr="00A25D9E" w:rsidRDefault="00A25D9E" w:rsidP="00993D77">
      <w:pPr>
        <w:spacing w:after="0" w:line="247" w:lineRule="auto"/>
        <w:ind w:right="-44" w:firstLine="540"/>
        <w:jc w:val="both"/>
        <w:rPr>
          <w:rFonts w:ascii="Times New Roman" w:hAnsi="Times New Roman" w:cs="Times New Roman"/>
          <w:bCs/>
          <w:sz w:val="24"/>
          <w:szCs w:val="24"/>
          <w:lang w:val="sr-Cyrl-CS"/>
        </w:rPr>
      </w:pPr>
      <w:r w:rsidRPr="00A25D9E">
        <w:rPr>
          <w:rFonts w:ascii="Times New Roman" w:hAnsi="Times New Roman" w:cs="Times New Roman"/>
          <w:bCs/>
          <w:sz w:val="24"/>
          <w:szCs w:val="24"/>
          <w:lang w:val="sr-Cyrl-CS"/>
        </w:rPr>
        <w:t>Показатељ исхода 2. „</w:t>
      </w:r>
      <w:r w:rsidRPr="00A25D9E">
        <w:rPr>
          <w:rFonts w:ascii="Times New Roman" w:hAnsi="Times New Roman" w:cs="Times New Roman"/>
          <w:sz w:val="24"/>
          <w:szCs w:val="24"/>
          <w:lang w:val="sr-Cyrl-CS"/>
        </w:rPr>
        <w:t xml:space="preserve">Број поступака јавних набавки са социјалним критеријумима, укупно“, испуњен је у потпуности. </w:t>
      </w:r>
      <w:r w:rsidRPr="00A25D9E">
        <w:rPr>
          <w:rFonts w:ascii="Times New Roman" w:eastAsia="Times New Roman" w:hAnsi="Times New Roman" w:cs="Times New Roman"/>
          <w:color w:val="222222"/>
          <w:sz w:val="24"/>
          <w:szCs w:val="24"/>
        </w:rPr>
        <w:t xml:space="preserve">Почетна вредност показатеља била је </w:t>
      </w:r>
      <w:r w:rsidRPr="00A25D9E">
        <w:rPr>
          <w:rFonts w:ascii="Times New Roman" w:eastAsia="Times New Roman" w:hAnsi="Times New Roman" w:cs="Times New Roman"/>
          <w:color w:val="222222"/>
          <w:sz w:val="24"/>
          <w:szCs w:val="24"/>
          <w:lang w:val="sr-Cyrl-RS"/>
        </w:rPr>
        <w:t xml:space="preserve">140 </w:t>
      </w:r>
      <w:r w:rsidRPr="00A25D9E">
        <w:rPr>
          <w:rFonts w:ascii="Times New Roman" w:eastAsia="Times New Roman" w:hAnsi="Times New Roman" w:cs="Times New Roman"/>
          <w:color w:val="222222"/>
          <w:sz w:val="24"/>
          <w:szCs w:val="24"/>
        </w:rPr>
        <w:t>у 202</w:t>
      </w:r>
      <w:r w:rsidRPr="00A25D9E">
        <w:rPr>
          <w:rFonts w:ascii="Times New Roman" w:eastAsia="Times New Roman" w:hAnsi="Times New Roman" w:cs="Times New Roman"/>
          <w:color w:val="222222"/>
          <w:sz w:val="24"/>
          <w:szCs w:val="24"/>
          <w:lang w:val="sr-Cyrl-RS"/>
        </w:rPr>
        <w:t>3</w:t>
      </w:r>
      <w:r w:rsidRPr="00A25D9E">
        <w:rPr>
          <w:rFonts w:ascii="Times New Roman" w:eastAsia="Times New Roman" w:hAnsi="Times New Roman" w:cs="Times New Roman"/>
          <w:color w:val="222222"/>
          <w:sz w:val="24"/>
          <w:szCs w:val="24"/>
        </w:rPr>
        <w:t>. години, док је закључно са 31. децембром 202</w:t>
      </w:r>
      <w:r w:rsidRPr="00A25D9E">
        <w:rPr>
          <w:rFonts w:ascii="Times New Roman" w:eastAsia="Times New Roman" w:hAnsi="Times New Roman" w:cs="Times New Roman"/>
          <w:color w:val="222222"/>
          <w:sz w:val="24"/>
          <w:szCs w:val="24"/>
          <w:lang w:val="sr-Cyrl-RS"/>
        </w:rPr>
        <w:t>4</w:t>
      </w:r>
      <w:r w:rsidRPr="00A25D9E">
        <w:rPr>
          <w:rFonts w:ascii="Times New Roman" w:eastAsia="Times New Roman" w:hAnsi="Times New Roman" w:cs="Times New Roman"/>
          <w:color w:val="222222"/>
          <w:sz w:val="24"/>
          <w:szCs w:val="24"/>
        </w:rPr>
        <w:t xml:space="preserve">. године </w:t>
      </w:r>
      <w:r w:rsidRPr="00A25D9E">
        <w:rPr>
          <w:rFonts w:ascii="Times New Roman" w:eastAsia="Times New Roman" w:hAnsi="Times New Roman" w:cs="Times New Roman"/>
          <w:color w:val="222222"/>
          <w:sz w:val="24"/>
          <w:szCs w:val="24"/>
          <w:lang w:val="sr-Cyrl-RS"/>
        </w:rPr>
        <w:t xml:space="preserve">циљана вредност за 2024. годину од 160 надмашена и износи 344. </w:t>
      </w:r>
    </w:p>
    <w:p w14:paraId="0E5BBB20" w14:textId="271C4137" w:rsidR="00A25D9E" w:rsidRPr="00A25D9E" w:rsidRDefault="00A25D9E" w:rsidP="00993D77">
      <w:pPr>
        <w:spacing w:after="0" w:line="247" w:lineRule="auto"/>
        <w:ind w:right="-44" w:firstLine="540"/>
        <w:jc w:val="both"/>
        <w:rPr>
          <w:rFonts w:ascii="Times New Roman" w:hAnsi="Times New Roman" w:cs="Times New Roman"/>
          <w:bCs/>
          <w:sz w:val="24"/>
          <w:szCs w:val="24"/>
          <w:lang w:val="sr-Cyrl-CS"/>
        </w:rPr>
      </w:pPr>
      <w:r w:rsidRPr="00A25D9E">
        <w:rPr>
          <w:rFonts w:ascii="Times New Roman" w:hAnsi="Times New Roman" w:cs="Times New Roman"/>
          <w:bCs/>
          <w:sz w:val="24"/>
          <w:szCs w:val="24"/>
          <w:lang w:val="sr-Cyrl-CS"/>
        </w:rPr>
        <w:t>Показатељ исхода 3. „</w:t>
      </w:r>
      <w:r w:rsidRPr="00A25D9E">
        <w:rPr>
          <w:rFonts w:ascii="Times New Roman" w:hAnsi="Times New Roman" w:cs="Times New Roman"/>
          <w:sz w:val="24"/>
          <w:szCs w:val="24"/>
          <w:lang w:val="sr-Cyrl-CS"/>
        </w:rPr>
        <w:t xml:space="preserve">Број техника и инструмената у поступцима јавних набавки, укупно“, испуњен је у потпуности. </w:t>
      </w:r>
      <w:r w:rsidRPr="00A25D9E">
        <w:rPr>
          <w:rFonts w:ascii="Times New Roman" w:eastAsia="Times New Roman" w:hAnsi="Times New Roman" w:cs="Times New Roman"/>
          <w:color w:val="222222"/>
          <w:sz w:val="24"/>
          <w:szCs w:val="24"/>
        </w:rPr>
        <w:t xml:space="preserve">Почетна вредност показатеља била је </w:t>
      </w:r>
      <w:r w:rsidRPr="00A25D9E">
        <w:rPr>
          <w:rFonts w:ascii="Times New Roman" w:eastAsia="Times New Roman" w:hAnsi="Times New Roman" w:cs="Times New Roman"/>
          <w:color w:val="222222"/>
          <w:sz w:val="24"/>
          <w:szCs w:val="24"/>
          <w:lang w:val="sr-Cyrl-RS"/>
        </w:rPr>
        <w:t xml:space="preserve">250 </w:t>
      </w:r>
      <w:r w:rsidRPr="00A25D9E">
        <w:rPr>
          <w:rFonts w:ascii="Times New Roman" w:eastAsia="Times New Roman" w:hAnsi="Times New Roman" w:cs="Times New Roman"/>
          <w:color w:val="222222"/>
          <w:sz w:val="24"/>
          <w:szCs w:val="24"/>
        </w:rPr>
        <w:t>у 202</w:t>
      </w:r>
      <w:r w:rsidRPr="00A25D9E">
        <w:rPr>
          <w:rFonts w:ascii="Times New Roman" w:eastAsia="Times New Roman" w:hAnsi="Times New Roman" w:cs="Times New Roman"/>
          <w:color w:val="222222"/>
          <w:sz w:val="24"/>
          <w:szCs w:val="24"/>
          <w:lang w:val="sr-Cyrl-RS"/>
        </w:rPr>
        <w:t>3</w:t>
      </w:r>
      <w:r w:rsidRPr="00A25D9E">
        <w:rPr>
          <w:rFonts w:ascii="Times New Roman" w:eastAsia="Times New Roman" w:hAnsi="Times New Roman" w:cs="Times New Roman"/>
          <w:color w:val="222222"/>
          <w:sz w:val="24"/>
          <w:szCs w:val="24"/>
        </w:rPr>
        <w:t>. години, док је закључно са 31. децембром 202</w:t>
      </w:r>
      <w:r w:rsidRPr="00A25D9E">
        <w:rPr>
          <w:rFonts w:ascii="Times New Roman" w:eastAsia="Times New Roman" w:hAnsi="Times New Roman" w:cs="Times New Roman"/>
          <w:color w:val="222222"/>
          <w:sz w:val="24"/>
          <w:szCs w:val="24"/>
          <w:lang w:val="sr-Cyrl-RS"/>
        </w:rPr>
        <w:t>4</w:t>
      </w:r>
      <w:r w:rsidRPr="00A25D9E">
        <w:rPr>
          <w:rFonts w:ascii="Times New Roman" w:eastAsia="Times New Roman" w:hAnsi="Times New Roman" w:cs="Times New Roman"/>
          <w:color w:val="222222"/>
          <w:sz w:val="24"/>
          <w:szCs w:val="24"/>
        </w:rPr>
        <w:t xml:space="preserve">. године </w:t>
      </w:r>
      <w:r w:rsidRPr="00A25D9E">
        <w:rPr>
          <w:rFonts w:ascii="Times New Roman" w:eastAsia="Times New Roman" w:hAnsi="Times New Roman" w:cs="Times New Roman"/>
          <w:color w:val="222222"/>
          <w:sz w:val="24"/>
          <w:szCs w:val="24"/>
          <w:lang w:val="sr-Cyrl-RS"/>
        </w:rPr>
        <w:t xml:space="preserve">циљана вредност за 2024. годину од 260 надмашена и износи 442. </w:t>
      </w:r>
      <w:r w:rsidRPr="00E469B3">
        <w:rPr>
          <w:rFonts w:ascii="Times New Roman" w:hAnsi="Times New Roman" w:cs="Times New Roman"/>
          <w:sz w:val="24"/>
          <w:szCs w:val="24"/>
          <w:lang w:val="sr-Cyrl-CS"/>
        </w:rPr>
        <w:t xml:space="preserve">(Графикон </w:t>
      </w:r>
      <w:r w:rsidR="00E9338D">
        <w:rPr>
          <w:rFonts w:ascii="Times New Roman" w:hAnsi="Times New Roman" w:cs="Times New Roman"/>
          <w:sz w:val="24"/>
          <w:szCs w:val="24"/>
          <w:lang w:val="sr-Cyrl-CS"/>
        </w:rPr>
        <w:t>4</w:t>
      </w:r>
      <w:r w:rsidRPr="00E469B3">
        <w:rPr>
          <w:rFonts w:ascii="Times New Roman" w:hAnsi="Times New Roman" w:cs="Times New Roman"/>
          <w:sz w:val="24"/>
          <w:szCs w:val="24"/>
          <w:lang w:val="sr-Cyrl-CS"/>
        </w:rPr>
        <w:t>)</w:t>
      </w:r>
    </w:p>
    <w:p w14:paraId="1AEBE3C0" w14:textId="560980C2" w:rsidR="00B358B4" w:rsidRDefault="00D01745" w:rsidP="004C4625">
      <w:pPr>
        <w:spacing w:after="0" w:line="247" w:lineRule="auto"/>
        <w:ind w:right="-44" w:firstLine="540"/>
        <w:jc w:val="both"/>
        <w:rPr>
          <w:rFonts w:ascii="Times New Roman" w:hAnsi="Times New Roman" w:cs="Times New Roman"/>
          <w:bCs/>
          <w:sz w:val="24"/>
          <w:szCs w:val="24"/>
          <w:lang w:val="sr-Cyrl-CS"/>
        </w:rPr>
      </w:pPr>
      <w:r w:rsidRPr="00E469B3">
        <w:rPr>
          <w:rFonts w:ascii="Times New Roman" w:hAnsi="Times New Roman" w:cs="Times New Roman"/>
          <w:noProof/>
          <w:sz w:val="24"/>
          <w:szCs w:val="24"/>
        </w:rPr>
        <w:drawing>
          <wp:anchor distT="0" distB="0" distL="114300" distR="114300" simplePos="0" relativeHeight="251659264" behindDoc="1" locked="0" layoutInCell="1" allowOverlap="1" wp14:anchorId="459D6533" wp14:editId="74E886F9">
            <wp:simplePos x="0" y="0"/>
            <wp:positionH relativeFrom="column">
              <wp:posOffset>0</wp:posOffset>
            </wp:positionH>
            <wp:positionV relativeFrom="paragraph">
              <wp:posOffset>182880</wp:posOffset>
            </wp:positionV>
            <wp:extent cx="5486400" cy="3826510"/>
            <wp:effectExtent l="0" t="0" r="0" b="2540"/>
            <wp:wrapTight wrapText="bothSides">
              <wp:wrapPolygon edited="0">
                <wp:start x="0" y="0"/>
                <wp:lineTo x="0" y="21507"/>
                <wp:lineTo x="21525" y="21507"/>
                <wp:lineTo x="21525"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818E2EB" w14:textId="4DC62D28" w:rsidR="00A25D9E" w:rsidRDefault="00A25D9E" w:rsidP="004C4625">
      <w:pPr>
        <w:spacing w:after="0" w:line="247" w:lineRule="auto"/>
        <w:ind w:right="-44" w:firstLine="540"/>
        <w:jc w:val="both"/>
        <w:rPr>
          <w:rFonts w:ascii="Times New Roman" w:hAnsi="Times New Roman" w:cs="Times New Roman"/>
          <w:bCs/>
          <w:sz w:val="24"/>
          <w:szCs w:val="24"/>
          <w:lang w:val="sr-Cyrl-CS"/>
        </w:rPr>
      </w:pPr>
    </w:p>
    <w:p w14:paraId="46BF44ED" w14:textId="32C4196E" w:rsidR="00A25D9E" w:rsidRDefault="00A25D9E" w:rsidP="004C4625">
      <w:pPr>
        <w:spacing w:after="0" w:line="247" w:lineRule="auto"/>
        <w:ind w:right="-44" w:firstLine="540"/>
        <w:jc w:val="both"/>
        <w:rPr>
          <w:rFonts w:ascii="Times New Roman" w:hAnsi="Times New Roman" w:cs="Times New Roman"/>
          <w:bCs/>
          <w:sz w:val="24"/>
          <w:szCs w:val="24"/>
          <w:lang w:val="sr-Cyrl-CS"/>
        </w:rPr>
      </w:pPr>
    </w:p>
    <w:p w14:paraId="281068EE" w14:textId="18962F61" w:rsidR="00A25D9E" w:rsidRDefault="00A25D9E" w:rsidP="004C4625">
      <w:pPr>
        <w:spacing w:after="0" w:line="247" w:lineRule="auto"/>
        <w:ind w:right="-44" w:firstLine="540"/>
        <w:jc w:val="both"/>
        <w:rPr>
          <w:rFonts w:ascii="Times New Roman" w:hAnsi="Times New Roman" w:cs="Times New Roman"/>
          <w:bCs/>
          <w:sz w:val="24"/>
          <w:szCs w:val="24"/>
          <w:lang w:val="sr-Cyrl-CS"/>
        </w:rPr>
      </w:pPr>
    </w:p>
    <w:p w14:paraId="151DEBAA" w14:textId="77777777" w:rsidR="00E9338D" w:rsidRDefault="00E9338D" w:rsidP="00E9338D">
      <w:pPr>
        <w:tabs>
          <w:tab w:val="left" w:pos="270"/>
          <w:tab w:val="left" w:pos="709"/>
        </w:tabs>
        <w:spacing w:after="0"/>
        <w:jc w:val="center"/>
        <w:rPr>
          <w:rFonts w:ascii="Times New Roman" w:hAnsi="Times New Roman" w:cs="Times New Roman"/>
          <w:sz w:val="24"/>
          <w:szCs w:val="24"/>
          <w:lang w:val="sr-Cyrl-CS"/>
        </w:rPr>
      </w:pPr>
      <w:r w:rsidRPr="00E469B3">
        <w:rPr>
          <w:rFonts w:ascii="Times New Roman" w:hAnsi="Times New Roman" w:cs="Times New Roman"/>
          <w:i/>
          <w:sz w:val="20"/>
          <w:szCs w:val="20"/>
        </w:rPr>
        <w:t xml:space="preserve">(Графикон </w:t>
      </w:r>
      <w:r>
        <w:rPr>
          <w:rFonts w:ascii="Times New Roman" w:hAnsi="Times New Roman" w:cs="Times New Roman"/>
          <w:i/>
          <w:sz w:val="20"/>
          <w:szCs w:val="20"/>
          <w:lang w:val="sr-Cyrl-RS"/>
        </w:rPr>
        <w:t>4</w:t>
      </w:r>
      <w:r w:rsidRPr="00E469B3">
        <w:rPr>
          <w:rFonts w:ascii="Times New Roman" w:hAnsi="Times New Roman" w:cs="Times New Roman"/>
          <w:i/>
          <w:sz w:val="20"/>
          <w:szCs w:val="20"/>
        </w:rPr>
        <w:t>)</w:t>
      </w:r>
    </w:p>
    <w:p w14:paraId="54A46990" w14:textId="4272A489" w:rsidR="00A25D9E" w:rsidRDefault="00A25D9E" w:rsidP="004C4625">
      <w:pPr>
        <w:spacing w:after="0" w:line="247" w:lineRule="auto"/>
        <w:ind w:right="-44" w:firstLine="540"/>
        <w:jc w:val="both"/>
        <w:rPr>
          <w:rFonts w:ascii="Times New Roman" w:hAnsi="Times New Roman" w:cs="Times New Roman"/>
          <w:bCs/>
          <w:sz w:val="24"/>
          <w:szCs w:val="24"/>
          <w:lang w:val="sr-Cyrl-CS"/>
        </w:rPr>
      </w:pPr>
    </w:p>
    <w:p w14:paraId="0D984A8F" w14:textId="2D6EAF95" w:rsidR="00E9338D" w:rsidRPr="00A25D9E" w:rsidRDefault="0035009C" w:rsidP="000C2592">
      <w:pPr>
        <w:spacing w:after="0" w:line="247" w:lineRule="auto"/>
        <w:ind w:right="-44" w:firstLine="540"/>
        <w:jc w:val="both"/>
        <w:rPr>
          <w:rFonts w:ascii="Times New Roman" w:hAnsi="Times New Roman" w:cs="Times New Roman"/>
          <w:sz w:val="24"/>
          <w:szCs w:val="24"/>
          <w:lang w:val="sr-Cyrl-CS"/>
        </w:rPr>
      </w:pPr>
      <w:r w:rsidRPr="00A25D9E">
        <w:rPr>
          <w:rFonts w:ascii="Times New Roman" w:hAnsi="Times New Roman" w:cs="Times New Roman"/>
          <w:b/>
          <w:sz w:val="24"/>
          <w:szCs w:val="24"/>
          <w:lang w:val="sr-Cyrl-CS"/>
        </w:rPr>
        <w:t xml:space="preserve">Посебан циљ </w:t>
      </w:r>
      <w:r w:rsidR="00D01745">
        <w:rPr>
          <w:rFonts w:ascii="Times New Roman" w:hAnsi="Times New Roman" w:cs="Times New Roman"/>
          <w:b/>
          <w:sz w:val="24"/>
          <w:szCs w:val="24"/>
          <w:lang w:val="sr-Cyrl-CS"/>
        </w:rPr>
        <w:t>1.</w:t>
      </w:r>
      <w:r w:rsidRPr="00A25D9E">
        <w:rPr>
          <w:rFonts w:ascii="Times New Roman" w:hAnsi="Times New Roman" w:cs="Times New Roman"/>
          <w:b/>
          <w:sz w:val="24"/>
          <w:szCs w:val="24"/>
          <w:lang w:val="sr-Cyrl-CS"/>
        </w:rPr>
        <w:t xml:space="preserve">3 </w:t>
      </w:r>
      <w:r w:rsidR="00FA4C3D" w:rsidRPr="00A25D9E">
        <w:rPr>
          <w:rFonts w:ascii="Times New Roman" w:hAnsi="Times New Roman" w:cs="Times New Roman"/>
          <w:sz w:val="24"/>
          <w:szCs w:val="24"/>
          <w:lang w:val="sr-Cyrl-CS"/>
        </w:rPr>
        <w:t xml:space="preserve">и </w:t>
      </w:r>
      <w:r w:rsidRPr="00A25D9E">
        <w:rPr>
          <w:rFonts w:ascii="Times New Roman" w:hAnsi="Times New Roman" w:cs="Times New Roman"/>
          <w:bCs/>
          <w:sz w:val="24"/>
          <w:szCs w:val="24"/>
          <w:lang w:val="sr-Cyrl-CS"/>
        </w:rPr>
        <w:t>показатељ исхода</w:t>
      </w:r>
      <w:r w:rsidR="00A25D9E" w:rsidRPr="00A25D9E">
        <w:rPr>
          <w:rFonts w:ascii="Times New Roman" w:hAnsi="Times New Roman" w:cs="Times New Roman"/>
          <w:bCs/>
          <w:sz w:val="24"/>
          <w:szCs w:val="24"/>
          <w:lang w:val="sr-Cyrl-CS"/>
        </w:rPr>
        <w:t xml:space="preserve"> 1. „</w:t>
      </w:r>
      <w:r w:rsidR="00A25D9E" w:rsidRPr="00A25D9E">
        <w:rPr>
          <w:rFonts w:ascii="Times New Roman" w:hAnsi="Times New Roman" w:cs="Times New Roman"/>
          <w:sz w:val="24"/>
          <w:szCs w:val="24"/>
          <w:lang w:val="sr-Cyrl-CS"/>
        </w:rPr>
        <w:t xml:space="preserve">Број поступака над којима је спроведен мониторинг, укупно“, испуњен је у потпуности. </w:t>
      </w:r>
      <w:r w:rsidR="00A25D9E" w:rsidRPr="00A25D9E">
        <w:rPr>
          <w:rFonts w:ascii="Times New Roman" w:eastAsia="Times New Roman" w:hAnsi="Times New Roman" w:cs="Times New Roman"/>
          <w:color w:val="222222"/>
          <w:sz w:val="24"/>
          <w:szCs w:val="24"/>
        </w:rPr>
        <w:t xml:space="preserve">Почетна вредност показатеља била је </w:t>
      </w:r>
      <w:r w:rsidR="00A25D9E" w:rsidRPr="00A25D9E">
        <w:rPr>
          <w:rFonts w:ascii="Times New Roman" w:eastAsia="Times New Roman" w:hAnsi="Times New Roman" w:cs="Times New Roman"/>
          <w:color w:val="222222"/>
          <w:sz w:val="24"/>
          <w:szCs w:val="24"/>
          <w:lang w:val="sr-Cyrl-RS"/>
        </w:rPr>
        <w:t xml:space="preserve">782 </w:t>
      </w:r>
      <w:r w:rsidR="00A25D9E" w:rsidRPr="00A25D9E">
        <w:rPr>
          <w:rFonts w:ascii="Times New Roman" w:eastAsia="Times New Roman" w:hAnsi="Times New Roman" w:cs="Times New Roman"/>
          <w:color w:val="222222"/>
          <w:sz w:val="24"/>
          <w:szCs w:val="24"/>
        </w:rPr>
        <w:t>у 202</w:t>
      </w:r>
      <w:r w:rsidR="00A25D9E" w:rsidRPr="00A25D9E">
        <w:rPr>
          <w:rFonts w:ascii="Times New Roman" w:eastAsia="Times New Roman" w:hAnsi="Times New Roman" w:cs="Times New Roman"/>
          <w:color w:val="222222"/>
          <w:sz w:val="24"/>
          <w:szCs w:val="24"/>
          <w:lang w:val="sr-Cyrl-RS"/>
        </w:rPr>
        <w:t>3</w:t>
      </w:r>
      <w:r w:rsidR="00A25D9E" w:rsidRPr="00A25D9E">
        <w:rPr>
          <w:rFonts w:ascii="Times New Roman" w:eastAsia="Times New Roman" w:hAnsi="Times New Roman" w:cs="Times New Roman"/>
          <w:color w:val="222222"/>
          <w:sz w:val="24"/>
          <w:szCs w:val="24"/>
        </w:rPr>
        <w:t xml:space="preserve">. години, док </w:t>
      </w:r>
      <w:r w:rsidR="00A25D9E" w:rsidRPr="00A25D9E">
        <w:rPr>
          <w:rFonts w:ascii="Times New Roman" w:eastAsia="Times New Roman" w:hAnsi="Times New Roman" w:cs="Times New Roman"/>
          <w:color w:val="222222"/>
          <w:sz w:val="24"/>
          <w:szCs w:val="24"/>
          <w:lang w:val="sr-Cyrl-RS"/>
        </w:rPr>
        <w:t>је</w:t>
      </w:r>
      <w:r w:rsidR="00A25D9E" w:rsidRPr="00A25D9E">
        <w:rPr>
          <w:rFonts w:ascii="Times New Roman" w:eastAsia="Times New Roman" w:hAnsi="Times New Roman" w:cs="Times New Roman"/>
          <w:color w:val="222222"/>
          <w:sz w:val="24"/>
          <w:szCs w:val="24"/>
        </w:rPr>
        <w:t xml:space="preserve"> закључно са 31. децембром 202</w:t>
      </w:r>
      <w:r w:rsidR="00A25D9E" w:rsidRPr="00A25D9E">
        <w:rPr>
          <w:rFonts w:ascii="Times New Roman" w:eastAsia="Times New Roman" w:hAnsi="Times New Roman" w:cs="Times New Roman"/>
          <w:color w:val="222222"/>
          <w:sz w:val="24"/>
          <w:szCs w:val="24"/>
          <w:lang w:val="sr-Cyrl-RS"/>
        </w:rPr>
        <w:t>4</w:t>
      </w:r>
      <w:r w:rsidR="00A25D9E" w:rsidRPr="00A25D9E">
        <w:rPr>
          <w:rFonts w:ascii="Times New Roman" w:eastAsia="Times New Roman" w:hAnsi="Times New Roman" w:cs="Times New Roman"/>
          <w:color w:val="222222"/>
          <w:sz w:val="24"/>
          <w:szCs w:val="24"/>
        </w:rPr>
        <w:t xml:space="preserve">. </w:t>
      </w:r>
      <w:r w:rsidR="00A25D9E" w:rsidRPr="00A25D9E">
        <w:rPr>
          <w:rFonts w:ascii="Times New Roman" w:eastAsia="Times New Roman" w:hAnsi="Times New Roman" w:cs="Times New Roman"/>
          <w:color w:val="222222"/>
          <w:sz w:val="24"/>
          <w:szCs w:val="24"/>
          <w:lang w:val="sr-Cyrl-RS"/>
        </w:rPr>
        <w:t>г</w:t>
      </w:r>
      <w:r w:rsidR="00A25D9E" w:rsidRPr="00A25D9E">
        <w:rPr>
          <w:rFonts w:ascii="Times New Roman" w:eastAsia="Times New Roman" w:hAnsi="Times New Roman" w:cs="Times New Roman"/>
          <w:color w:val="222222"/>
          <w:sz w:val="24"/>
          <w:szCs w:val="24"/>
        </w:rPr>
        <w:t>одине</w:t>
      </w:r>
      <w:r w:rsidR="00A25D9E" w:rsidRPr="00A25D9E">
        <w:rPr>
          <w:rFonts w:ascii="Times New Roman" w:eastAsia="Times New Roman" w:hAnsi="Times New Roman" w:cs="Times New Roman"/>
          <w:color w:val="222222"/>
          <w:sz w:val="24"/>
          <w:szCs w:val="24"/>
          <w:lang w:val="sr-Cyrl-RS"/>
        </w:rPr>
        <w:t xml:space="preserve"> циљана вредност за 2024. годину од 800 надмашена и </w:t>
      </w:r>
      <w:r w:rsidR="00A25D9E" w:rsidRPr="00A25D9E">
        <w:rPr>
          <w:rFonts w:ascii="Times New Roman" w:eastAsia="Times New Roman" w:hAnsi="Times New Roman" w:cs="Times New Roman"/>
          <w:color w:val="000000"/>
          <w:sz w:val="24"/>
          <w:szCs w:val="24"/>
          <w:lang w:val="sr-Cyrl-CS" w:eastAsia="en-GB"/>
        </w:rPr>
        <w:t>износи</w:t>
      </w:r>
      <w:r w:rsidR="00A25D9E" w:rsidRPr="00A25D9E">
        <w:rPr>
          <w:rFonts w:ascii="Times New Roman" w:eastAsia="Times New Roman" w:hAnsi="Times New Roman" w:cs="Times New Roman"/>
          <w:color w:val="222222"/>
          <w:sz w:val="24"/>
          <w:szCs w:val="24"/>
          <w:lang w:val="sr-Cyrl-RS"/>
        </w:rPr>
        <w:t xml:space="preserve"> 810. </w:t>
      </w:r>
    </w:p>
    <w:p w14:paraId="6C2A39EF" w14:textId="5ED0D373" w:rsidR="000C2592" w:rsidRDefault="00A25D9E" w:rsidP="0035009C">
      <w:pPr>
        <w:spacing w:after="0" w:line="247" w:lineRule="auto"/>
        <w:ind w:right="-44" w:firstLine="540"/>
        <w:jc w:val="both"/>
        <w:rPr>
          <w:rFonts w:ascii="Times New Roman" w:hAnsi="Times New Roman" w:cs="Times New Roman"/>
          <w:sz w:val="24"/>
          <w:szCs w:val="24"/>
          <w:lang w:val="sr-Cyrl-CS"/>
        </w:rPr>
      </w:pPr>
      <w:r w:rsidRPr="00A25D9E">
        <w:rPr>
          <w:rFonts w:ascii="Times New Roman" w:hAnsi="Times New Roman" w:cs="Times New Roman"/>
          <w:sz w:val="24"/>
          <w:szCs w:val="24"/>
          <w:lang w:val="sr-Cyrl-CS"/>
        </w:rPr>
        <w:t xml:space="preserve">Показатељ исхода 2. „Број субјеката редовног надзора над извршењем уговора, укупно“, испуњен је у потпуности. </w:t>
      </w:r>
      <w:r w:rsidRPr="00A25D9E">
        <w:rPr>
          <w:rFonts w:ascii="Times New Roman" w:eastAsia="Times New Roman" w:hAnsi="Times New Roman" w:cs="Times New Roman"/>
          <w:color w:val="000000"/>
          <w:sz w:val="24"/>
          <w:szCs w:val="24"/>
        </w:rPr>
        <w:t>Показатељ је</w:t>
      </w:r>
      <w:r w:rsidRPr="00A25D9E">
        <w:rPr>
          <w:rFonts w:ascii="Times New Roman" w:eastAsia="Times New Roman" w:hAnsi="Times New Roman" w:cs="Times New Roman"/>
          <w:color w:val="000000"/>
          <w:sz w:val="24"/>
          <w:szCs w:val="24"/>
          <w:lang w:val="sr-Cyrl-RS"/>
        </w:rPr>
        <w:t xml:space="preserve"> </w:t>
      </w:r>
      <w:r w:rsidRPr="00A25D9E">
        <w:rPr>
          <w:rFonts w:ascii="Times New Roman" w:eastAsia="Times New Roman" w:hAnsi="Times New Roman" w:cs="Times New Roman"/>
          <w:color w:val="000000"/>
          <w:sz w:val="24"/>
          <w:szCs w:val="24"/>
        </w:rPr>
        <w:t xml:space="preserve">испуњен у потпуности. </w:t>
      </w:r>
      <w:r w:rsidRPr="00A25D9E">
        <w:rPr>
          <w:rFonts w:ascii="Times New Roman" w:eastAsia="Times New Roman" w:hAnsi="Times New Roman" w:cs="Times New Roman"/>
          <w:color w:val="222222"/>
          <w:sz w:val="24"/>
          <w:szCs w:val="24"/>
        </w:rPr>
        <w:t xml:space="preserve">Почетна вредност показатеља била је </w:t>
      </w:r>
      <w:r w:rsidRPr="00A25D9E">
        <w:rPr>
          <w:rFonts w:ascii="Times New Roman" w:eastAsia="Times New Roman" w:hAnsi="Times New Roman" w:cs="Times New Roman"/>
          <w:color w:val="222222"/>
          <w:sz w:val="24"/>
          <w:szCs w:val="24"/>
          <w:lang w:val="sr-Cyrl-RS"/>
        </w:rPr>
        <w:t xml:space="preserve">43 </w:t>
      </w:r>
      <w:r w:rsidRPr="00A25D9E">
        <w:rPr>
          <w:rFonts w:ascii="Times New Roman" w:eastAsia="Times New Roman" w:hAnsi="Times New Roman" w:cs="Times New Roman"/>
          <w:color w:val="222222"/>
          <w:sz w:val="24"/>
          <w:szCs w:val="24"/>
        </w:rPr>
        <w:t>у 202</w:t>
      </w:r>
      <w:r w:rsidRPr="00A25D9E">
        <w:rPr>
          <w:rFonts w:ascii="Times New Roman" w:eastAsia="Times New Roman" w:hAnsi="Times New Roman" w:cs="Times New Roman"/>
          <w:color w:val="222222"/>
          <w:sz w:val="24"/>
          <w:szCs w:val="24"/>
          <w:lang w:val="sr-Cyrl-RS"/>
        </w:rPr>
        <w:t>3</w:t>
      </w:r>
      <w:r w:rsidRPr="00A25D9E">
        <w:rPr>
          <w:rFonts w:ascii="Times New Roman" w:eastAsia="Times New Roman" w:hAnsi="Times New Roman" w:cs="Times New Roman"/>
          <w:color w:val="222222"/>
          <w:sz w:val="24"/>
          <w:szCs w:val="24"/>
        </w:rPr>
        <w:t xml:space="preserve">. години, док </w:t>
      </w:r>
      <w:r w:rsidRPr="00A25D9E">
        <w:rPr>
          <w:rFonts w:ascii="Times New Roman" w:eastAsia="Times New Roman" w:hAnsi="Times New Roman" w:cs="Times New Roman"/>
          <w:color w:val="222222"/>
          <w:sz w:val="24"/>
          <w:szCs w:val="24"/>
          <w:lang w:val="sr-Cyrl-RS"/>
        </w:rPr>
        <w:t>је</w:t>
      </w:r>
      <w:r w:rsidRPr="00A25D9E">
        <w:rPr>
          <w:rFonts w:ascii="Times New Roman" w:eastAsia="Times New Roman" w:hAnsi="Times New Roman" w:cs="Times New Roman"/>
          <w:color w:val="222222"/>
          <w:sz w:val="24"/>
          <w:szCs w:val="24"/>
        </w:rPr>
        <w:t xml:space="preserve"> закључно са 31. децембром 202</w:t>
      </w:r>
      <w:r w:rsidRPr="00A25D9E">
        <w:rPr>
          <w:rFonts w:ascii="Times New Roman" w:eastAsia="Times New Roman" w:hAnsi="Times New Roman" w:cs="Times New Roman"/>
          <w:color w:val="222222"/>
          <w:sz w:val="24"/>
          <w:szCs w:val="24"/>
          <w:lang w:val="sr-Cyrl-RS"/>
        </w:rPr>
        <w:t>4</w:t>
      </w:r>
      <w:r w:rsidRPr="00A25D9E">
        <w:rPr>
          <w:rFonts w:ascii="Times New Roman" w:eastAsia="Times New Roman" w:hAnsi="Times New Roman" w:cs="Times New Roman"/>
          <w:color w:val="222222"/>
          <w:sz w:val="24"/>
          <w:szCs w:val="24"/>
        </w:rPr>
        <w:t xml:space="preserve">. године </w:t>
      </w:r>
      <w:r w:rsidRPr="00A25D9E">
        <w:rPr>
          <w:rFonts w:ascii="Times New Roman" w:eastAsia="Times New Roman" w:hAnsi="Times New Roman" w:cs="Times New Roman"/>
          <w:color w:val="222222"/>
          <w:sz w:val="24"/>
          <w:szCs w:val="24"/>
          <w:lang w:val="sr-Cyrl-RS"/>
        </w:rPr>
        <w:t xml:space="preserve">циљана вредност за 2024. годину од 80 остварена. </w:t>
      </w:r>
      <w:r w:rsidRPr="00A25D9E">
        <w:rPr>
          <w:rFonts w:ascii="Times New Roman" w:hAnsi="Times New Roman" w:cs="Times New Roman"/>
          <w:sz w:val="24"/>
          <w:szCs w:val="24"/>
          <w:lang w:val="sr-Cyrl-CS"/>
        </w:rPr>
        <w:t xml:space="preserve">(Графикон </w:t>
      </w:r>
      <w:r w:rsidR="000C2592">
        <w:rPr>
          <w:rFonts w:ascii="Times New Roman" w:hAnsi="Times New Roman" w:cs="Times New Roman"/>
          <w:sz w:val="24"/>
          <w:szCs w:val="24"/>
          <w:lang w:val="sr-Cyrl-CS"/>
        </w:rPr>
        <w:t>5</w:t>
      </w:r>
      <w:r w:rsidRPr="00A25D9E">
        <w:rPr>
          <w:rFonts w:ascii="Times New Roman" w:hAnsi="Times New Roman" w:cs="Times New Roman"/>
          <w:sz w:val="24"/>
          <w:szCs w:val="24"/>
          <w:lang w:val="sr-Cyrl-CS"/>
        </w:rPr>
        <w:t>)</w:t>
      </w:r>
    </w:p>
    <w:p w14:paraId="57A1B39B" w14:textId="7174147A" w:rsidR="000C2592" w:rsidRDefault="000C2592" w:rsidP="0035009C">
      <w:pPr>
        <w:spacing w:after="0" w:line="247" w:lineRule="auto"/>
        <w:ind w:right="-44" w:firstLine="540"/>
        <w:jc w:val="both"/>
        <w:rPr>
          <w:rFonts w:ascii="Times New Roman" w:hAnsi="Times New Roman" w:cs="Times New Roman"/>
          <w:sz w:val="24"/>
          <w:szCs w:val="24"/>
          <w:lang w:val="sr-Cyrl-CS"/>
        </w:rPr>
      </w:pPr>
    </w:p>
    <w:p w14:paraId="77C90476" w14:textId="2F3C084F" w:rsidR="000C2592" w:rsidRDefault="003C4887" w:rsidP="0035009C">
      <w:pPr>
        <w:spacing w:after="0" w:line="247" w:lineRule="auto"/>
        <w:ind w:right="-44" w:firstLine="540"/>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lastRenderedPageBreak/>
        <w:drawing>
          <wp:inline distT="0" distB="0" distL="0" distR="0" wp14:anchorId="2D17867B" wp14:editId="0D2C596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F6EB58" w14:textId="425B0E4E" w:rsidR="00E9338D" w:rsidRDefault="00E9338D" w:rsidP="00E9338D">
      <w:pPr>
        <w:tabs>
          <w:tab w:val="left" w:pos="270"/>
          <w:tab w:val="left" w:pos="709"/>
        </w:tabs>
        <w:spacing w:after="0"/>
        <w:jc w:val="center"/>
        <w:rPr>
          <w:rFonts w:ascii="Times New Roman" w:hAnsi="Times New Roman" w:cs="Times New Roman"/>
          <w:sz w:val="24"/>
          <w:szCs w:val="24"/>
          <w:lang w:val="sr-Cyrl-CS"/>
        </w:rPr>
      </w:pPr>
      <w:r w:rsidRPr="00E469B3">
        <w:rPr>
          <w:rFonts w:ascii="Times New Roman" w:hAnsi="Times New Roman" w:cs="Times New Roman"/>
          <w:i/>
          <w:sz w:val="20"/>
          <w:szCs w:val="20"/>
        </w:rPr>
        <w:t xml:space="preserve">(Графикон </w:t>
      </w:r>
      <w:r w:rsidR="000C2592">
        <w:rPr>
          <w:rFonts w:ascii="Times New Roman" w:hAnsi="Times New Roman" w:cs="Times New Roman"/>
          <w:i/>
          <w:sz w:val="20"/>
          <w:szCs w:val="20"/>
          <w:lang w:val="sr-Cyrl-RS"/>
        </w:rPr>
        <w:t>5</w:t>
      </w:r>
      <w:r w:rsidRPr="00E469B3">
        <w:rPr>
          <w:rFonts w:ascii="Times New Roman" w:hAnsi="Times New Roman" w:cs="Times New Roman"/>
          <w:i/>
          <w:sz w:val="20"/>
          <w:szCs w:val="20"/>
        </w:rPr>
        <w:t>)</w:t>
      </w:r>
    </w:p>
    <w:p w14:paraId="2888D242" w14:textId="77777777" w:rsidR="00E9338D" w:rsidRDefault="00E9338D" w:rsidP="0035009C">
      <w:pPr>
        <w:spacing w:after="0" w:line="247" w:lineRule="auto"/>
        <w:ind w:right="-44" w:firstLine="540"/>
        <w:jc w:val="both"/>
        <w:rPr>
          <w:rFonts w:ascii="Times New Roman" w:hAnsi="Times New Roman" w:cs="Times New Roman"/>
          <w:sz w:val="24"/>
          <w:szCs w:val="24"/>
          <w:lang w:val="sr-Cyrl-CS"/>
        </w:rPr>
      </w:pPr>
    </w:p>
    <w:p w14:paraId="337AF5F0" w14:textId="2A72B9DD" w:rsidR="0035009C" w:rsidRPr="002A18EB" w:rsidRDefault="002A18EB" w:rsidP="002A18EB">
      <w:pPr>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35009C" w:rsidRPr="002A18EB">
        <w:rPr>
          <w:rFonts w:ascii="Times New Roman" w:hAnsi="Times New Roman" w:cs="Times New Roman"/>
          <w:b/>
          <w:sz w:val="24"/>
          <w:szCs w:val="24"/>
        </w:rPr>
        <w:t>ЗАКЉУЧАК</w:t>
      </w:r>
    </w:p>
    <w:p w14:paraId="0F39D421" w14:textId="53FC2F10" w:rsidR="00526E3B" w:rsidRPr="00E469B3" w:rsidRDefault="0035009C" w:rsidP="00526E3B">
      <w:pPr>
        <w:spacing w:after="0"/>
        <w:ind w:firstLine="720"/>
        <w:jc w:val="both"/>
        <w:rPr>
          <w:rFonts w:ascii="Times New Roman" w:hAnsi="Times New Roman" w:cs="Times New Roman"/>
          <w:sz w:val="24"/>
          <w:szCs w:val="24"/>
        </w:rPr>
      </w:pPr>
      <w:r w:rsidRPr="00E469B3">
        <w:rPr>
          <w:rFonts w:ascii="Times New Roman" w:hAnsi="Times New Roman" w:cs="Times New Roman"/>
          <w:sz w:val="24"/>
          <w:szCs w:val="24"/>
        </w:rPr>
        <w:t>На основу анализе успешности импле</w:t>
      </w:r>
      <w:r w:rsidR="00BD2C16" w:rsidRPr="00E469B3">
        <w:rPr>
          <w:rFonts w:ascii="Times New Roman" w:hAnsi="Times New Roman" w:cs="Times New Roman"/>
          <w:sz w:val="24"/>
          <w:szCs w:val="24"/>
        </w:rPr>
        <w:t>ментације Акционог плана за 202</w:t>
      </w:r>
      <w:r w:rsidR="00050AB7">
        <w:rPr>
          <w:rFonts w:ascii="Times New Roman" w:hAnsi="Times New Roman" w:cs="Times New Roman"/>
          <w:sz w:val="24"/>
          <w:szCs w:val="24"/>
          <w:lang w:val="sr-Cyrl-RS"/>
        </w:rPr>
        <w:t>4</w:t>
      </w:r>
      <w:r w:rsidRPr="00E469B3">
        <w:rPr>
          <w:rFonts w:ascii="Times New Roman" w:hAnsi="Times New Roman" w:cs="Times New Roman"/>
          <w:sz w:val="24"/>
          <w:szCs w:val="24"/>
        </w:rPr>
        <w:t>. годину, може се закључити да је</w:t>
      </w:r>
      <w:r w:rsidR="00050AB7">
        <w:rPr>
          <w:rFonts w:ascii="Times New Roman" w:hAnsi="Times New Roman" w:cs="Times New Roman"/>
          <w:sz w:val="24"/>
          <w:szCs w:val="24"/>
          <w:lang w:val="sr-Cyrl-RS"/>
        </w:rPr>
        <w:t xml:space="preserve"> преко</w:t>
      </w:r>
      <w:r w:rsidRPr="00E469B3">
        <w:rPr>
          <w:rFonts w:ascii="Times New Roman" w:hAnsi="Times New Roman" w:cs="Times New Roman"/>
          <w:sz w:val="24"/>
          <w:szCs w:val="24"/>
        </w:rPr>
        <w:t xml:space="preserve"> </w:t>
      </w:r>
      <w:r w:rsidR="00837711" w:rsidRPr="00E469B3">
        <w:rPr>
          <w:rFonts w:ascii="Times New Roman" w:hAnsi="Times New Roman" w:cs="Times New Roman"/>
          <w:sz w:val="24"/>
          <w:szCs w:val="24"/>
        </w:rPr>
        <w:t>9</w:t>
      </w:r>
      <w:r w:rsidR="00B22866">
        <w:rPr>
          <w:rFonts w:ascii="Times New Roman" w:hAnsi="Times New Roman" w:cs="Times New Roman"/>
          <w:sz w:val="24"/>
          <w:szCs w:val="24"/>
          <w:lang w:val="sr-Cyrl-RS"/>
        </w:rPr>
        <w:t>0</w:t>
      </w:r>
      <w:r w:rsidR="00E1550A" w:rsidRPr="00E469B3">
        <w:rPr>
          <w:rFonts w:ascii="Times New Roman" w:hAnsi="Times New Roman" w:cs="Times New Roman"/>
          <w:sz w:val="24"/>
          <w:szCs w:val="24"/>
        </w:rPr>
        <w:t>%</w:t>
      </w:r>
      <w:r w:rsidRPr="00E469B3">
        <w:rPr>
          <w:rFonts w:ascii="Times New Roman" w:hAnsi="Times New Roman" w:cs="Times New Roman"/>
          <w:sz w:val="24"/>
          <w:szCs w:val="24"/>
        </w:rPr>
        <w:t xml:space="preserve"> дефинисаних активности спроведен</w:t>
      </w:r>
      <w:r w:rsidR="00BD2C16" w:rsidRPr="00E469B3">
        <w:rPr>
          <w:rFonts w:ascii="Times New Roman" w:hAnsi="Times New Roman" w:cs="Times New Roman"/>
          <w:sz w:val="24"/>
          <w:szCs w:val="24"/>
        </w:rPr>
        <w:t>о</w:t>
      </w:r>
      <w:r w:rsidRPr="00E469B3">
        <w:rPr>
          <w:rFonts w:ascii="Times New Roman" w:hAnsi="Times New Roman" w:cs="Times New Roman"/>
          <w:sz w:val="24"/>
          <w:szCs w:val="24"/>
        </w:rPr>
        <w:t xml:space="preserve"> у потпуности на утврђени начин и у предвиђеном року</w:t>
      </w:r>
      <w:r w:rsidR="00050AB7">
        <w:rPr>
          <w:rFonts w:ascii="Times New Roman" w:hAnsi="Times New Roman" w:cs="Times New Roman"/>
          <w:sz w:val="24"/>
          <w:szCs w:val="24"/>
          <w:lang w:val="sr-Cyrl-RS"/>
        </w:rPr>
        <w:t xml:space="preserve">. </w:t>
      </w:r>
      <w:r w:rsidRPr="00E469B3">
        <w:rPr>
          <w:rFonts w:ascii="Times New Roman" w:hAnsi="Times New Roman" w:cs="Times New Roman"/>
          <w:sz w:val="24"/>
          <w:szCs w:val="24"/>
        </w:rPr>
        <w:t xml:space="preserve">Активности које нису реализоване кроз овај Акциони план, као што је </w:t>
      </w:r>
      <w:r w:rsidR="00B22866">
        <w:rPr>
          <w:rFonts w:ascii="Times New Roman" w:hAnsi="Times New Roman" w:cs="Times New Roman"/>
          <w:sz w:val="24"/>
          <w:szCs w:val="24"/>
          <w:lang w:val="sr-Cyrl-RS"/>
        </w:rPr>
        <w:t xml:space="preserve">нпр. </w:t>
      </w:r>
      <w:r w:rsidRPr="00E469B3">
        <w:rPr>
          <w:rFonts w:ascii="Times New Roman" w:hAnsi="Times New Roman" w:cs="Times New Roman"/>
          <w:sz w:val="24"/>
          <w:szCs w:val="24"/>
        </w:rPr>
        <w:t xml:space="preserve">активност „Предлагање измена и допуна </w:t>
      </w:r>
      <w:proofErr w:type="gramStart"/>
      <w:r w:rsidRPr="00E469B3">
        <w:rPr>
          <w:rFonts w:ascii="Times New Roman" w:hAnsi="Times New Roman" w:cs="Times New Roman"/>
          <w:sz w:val="24"/>
          <w:szCs w:val="24"/>
        </w:rPr>
        <w:t>ЗЈППК“</w:t>
      </w:r>
      <w:proofErr w:type="gramEnd"/>
      <w:r w:rsidRPr="00E469B3">
        <w:rPr>
          <w:rFonts w:ascii="Times New Roman" w:hAnsi="Times New Roman" w:cs="Times New Roman"/>
          <w:sz w:val="24"/>
          <w:szCs w:val="24"/>
        </w:rPr>
        <w:t>, биће саст</w:t>
      </w:r>
      <w:r w:rsidR="00BD2C16" w:rsidRPr="00E469B3">
        <w:rPr>
          <w:rFonts w:ascii="Times New Roman" w:hAnsi="Times New Roman" w:cs="Times New Roman"/>
          <w:sz w:val="24"/>
          <w:szCs w:val="24"/>
        </w:rPr>
        <w:t xml:space="preserve">авни део </w:t>
      </w:r>
      <w:r w:rsidR="00050AB7">
        <w:rPr>
          <w:rFonts w:ascii="Times New Roman" w:hAnsi="Times New Roman" w:cs="Times New Roman"/>
          <w:sz w:val="24"/>
          <w:szCs w:val="24"/>
          <w:lang w:val="sr-Cyrl-RS"/>
        </w:rPr>
        <w:t>Акционог плана за 2025. годину за спровођење Програма развоја јавних набавки у Републици Србији за период 2024-2028. године</w:t>
      </w:r>
      <w:r w:rsidRPr="00E469B3">
        <w:rPr>
          <w:rFonts w:ascii="Times New Roman" w:hAnsi="Times New Roman" w:cs="Times New Roman"/>
          <w:sz w:val="24"/>
          <w:szCs w:val="24"/>
        </w:rPr>
        <w:t>.</w:t>
      </w:r>
    </w:p>
    <w:p w14:paraId="780125BE" w14:textId="65784E6C" w:rsidR="00F90C5F" w:rsidRPr="004E1FD6" w:rsidRDefault="0035009C" w:rsidP="00F90C5F">
      <w:pPr>
        <w:spacing w:after="0"/>
        <w:ind w:firstLine="720"/>
        <w:jc w:val="both"/>
        <w:rPr>
          <w:rFonts w:ascii="Times New Roman" w:hAnsi="Times New Roman" w:cs="Times New Roman"/>
          <w:sz w:val="24"/>
          <w:szCs w:val="24"/>
          <w:lang w:val="sr-Cyrl-RS"/>
        </w:rPr>
      </w:pPr>
      <w:r w:rsidRPr="00E469B3">
        <w:rPr>
          <w:rFonts w:ascii="Times New Roman" w:hAnsi="Times New Roman" w:cs="Times New Roman"/>
          <w:sz w:val="24"/>
          <w:szCs w:val="24"/>
        </w:rPr>
        <w:t xml:space="preserve">У погледу показатеља исхода на нивоу посебних циљева, као и показатеља резултата на нивоу мера, КЈН је остварила </w:t>
      </w:r>
      <w:r w:rsidR="001E3970" w:rsidRPr="00E469B3">
        <w:rPr>
          <w:rFonts w:ascii="Times New Roman" w:hAnsi="Times New Roman" w:cs="Times New Roman"/>
          <w:sz w:val="24"/>
          <w:szCs w:val="24"/>
        </w:rPr>
        <w:t>већи део планираних показатеља</w:t>
      </w:r>
      <w:r w:rsidR="005468A3" w:rsidRPr="00E469B3">
        <w:rPr>
          <w:rFonts w:ascii="Times New Roman" w:hAnsi="Times New Roman" w:cs="Times New Roman"/>
          <w:sz w:val="24"/>
          <w:szCs w:val="24"/>
        </w:rPr>
        <w:t xml:space="preserve">, док оне које </w:t>
      </w:r>
      <w:r w:rsidR="00837711" w:rsidRPr="00E469B3">
        <w:rPr>
          <w:rFonts w:ascii="Times New Roman" w:hAnsi="Times New Roman" w:cs="Times New Roman"/>
          <w:sz w:val="24"/>
          <w:szCs w:val="24"/>
          <w:lang w:val="sr-Cyrl-RS"/>
        </w:rPr>
        <w:t>нису испуњене</w:t>
      </w:r>
      <w:r w:rsidR="005468A3" w:rsidRPr="00E469B3">
        <w:rPr>
          <w:rFonts w:ascii="Times New Roman" w:hAnsi="Times New Roman" w:cs="Times New Roman"/>
          <w:sz w:val="24"/>
          <w:szCs w:val="24"/>
        </w:rPr>
        <w:t xml:space="preserve">, </w:t>
      </w:r>
      <w:r w:rsidR="00837711" w:rsidRPr="00E469B3">
        <w:rPr>
          <w:rFonts w:ascii="Times New Roman" w:hAnsi="Times New Roman" w:cs="Times New Roman"/>
          <w:sz w:val="24"/>
          <w:szCs w:val="24"/>
          <w:lang w:val="sr-Cyrl-RS"/>
        </w:rPr>
        <w:t xml:space="preserve">КЈН ће </w:t>
      </w:r>
      <w:r w:rsidR="000B24EC" w:rsidRPr="00E469B3">
        <w:rPr>
          <w:rFonts w:ascii="Times New Roman" w:hAnsi="Times New Roman" w:cs="Times New Roman"/>
          <w:sz w:val="24"/>
          <w:szCs w:val="24"/>
        </w:rPr>
        <w:t>настојати да</w:t>
      </w:r>
      <w:r w:rsidR="004E1FD6">
        <w:rPr>
          <w:rFonts w:ascii="Times New Roman" w:hAnsi="Times New Roman" w:cs="Times New Roman"/>
          <w:sz w:val="24"/>
          <w:szCs w:val="24"/>
          <w:lang w:val="sr-Cyrl-RS"/>
        </w:rPr>
        <w:t xml:space="preserve"> их</w:t>
      </w:r>
      <w:r w:rsidR="000B24EC" w:rsidRPr="00E469B3">
        <w:rPr>
          <w:rFonts w:ascii="Times New Roman" w:hAnsi="Times New Roman" w:cs="Times New Roman"/>
          <w:sz w:val="24"/>
          <w:szCs w:val="24"/>
        </w:rPr>
        <w:t xml:space="preserve"> испуни у потпуности </w:t>
      </w:r>
      <w:r w:rsidR="004E1FD6">
        <w:rPr>
          <w:rFonts w:ascii="Times New Roman" w:hAnsi="Times New Roman" w:cs="Times New Roman"/>
          <w:sz w:val="24"/>
          <w:szCs w:val="24"/>
          <w:lang w:val="sr-Cyrl-RS"/>
        </w:rPr>
        <w:t>у оквиру наредног годишњег планског документа у области јавних набавки.</w:t>
      </w:r>
    </w:p>
    <w:p w14:paraId="5F11DADD" w14:textId="77777777" w:rsidR="00F90C5F" w:rsidRPr="00F90C5F" w:rsidRDefault="00F90C5F" w:rsidP="0035009C">
      <w:pPr>
        <w:spacing w:after="0"/>
        <w:ind w:firstLine="720"/>
        <w:jc w:val="both"/>
        <w:rPr>
          <w:rFonts w:ascii="Times New Roman" w:hAnsi="Times New Roman" w:cs="Times New Roman"/>
          <w:sz w:val="24"/>
          <w:szCs w:val="24"/>
        </w:rPr>
      </w:pPr>
    </w:p>
    <w:p w14:paraId="4B063F67" w14:textId="77777777" w:rsidR="00994F24" w:rsidRPr="0063678E" w:rsidRDefault="00994F24" w:rsidP="00C81B7C">
      <w:pPr>
        <w:spacing w:after="0"/>
        <w:ind w:firstLine="720"/>
        <w:jc w:val="both"/>
        <w:rPr>
          <w:rFonts w:ascii="Times New Roman" w:hAnsi="Times New Roman" w:cs="Times New Roman"/>
          <w:sz w:val="20"/>
          <w:szCs w:val="20"/>
        </w:rPr>
      </w:pPr>
    </w:p>
    <w:p w14:paraId="49BB3A91" w14:textId="77777777" w:rsidR="00994F24" w:rsidRPr="0063678E" w:rsidRDefault="00994F24" w:rsidP="00B01F2D">
      <w:pPr>
        <w:spacing w:after="0"/>
        <w:ind w:firstLine="720"/>
        <w:jc w:val="both"/>
        <w:rPr>
          <w:rFonts w:ascii="Times New Roman" w:hAnsi="Times New Roman" w:cs="Times New Roman"/>
          <w:sz w:val="20"/>
          <w:szCs w:val="20"/>
        </w:rPr>
      </w:pPr>
    </w:p>
    <w:p w14:paraId="2EC2B8F3" w14:textId="77777777" w:rsidR="00994F24" w:rsidRPr="0063678E" w:rsidRDefault="00994F24" w:rsidP="00B01F2D">
      <w:pPr>
        <w:spacing w:after="0"/>
        <w:ind w:firstLine="720"/>
        <w:jc w:val="both"/>
        <w:rPr>
          <w:rFonts w:ascii="Times New Roman" w:hAnsi="Times New Roman" w:cs="Times New Roman"/>
          <w:sz w:val="20"/>
          <w:szCs w:val="20"/>
        </w:rPr>
      </w:pPr>
    </w:p>
    <w:p w14:paraId="767DBDE3" w14:textId="77777777" w:rsidR="00A8440E" w:rsidRDefault="00A8440E" w:rsidP="00A8440E">
      <w:pPr>
        <w:spacing w:after="0"/>
        <w:jc w:val="both"/>
        <w:rPr>
          <w:rFonts w:ascii="Times New Roman" w:hAnsi="Times New Roman" w:cs="Times New Roman"/>
          <w:sz w:val="20"/>
          <w:szCs w:val="20"/>
        </w:rPr>
      </w:pPr>
    </w:p>
    <w:p w14:paraId="09BE7F9F" w14:textId="50EAB5D5" w:rsidR="00D75AB8" w:rsidRPr="0063678E" w:rsidRDefault="00D75AB8" w:rsidP="00A8440E">
      <w:pPr>
        <w:spacing w:after="0"/>
        <w:jc w:val="both"/>
        <w:rPr>
          <w:rFonts w:ascii="Times New Roman" w:hAnsi="Times New Roman" w:cs="Times New Roman"/>
          <w:sz w:val="20"/>
          <w:szCs w:val="20"/>
        </w:rPr>
        <w:sectPr w:rsidR="00D75AB8" w:rsidRPr="0063678E" w:rsidSect="00055FC5">
          <w:footerReference w:type="default" r:id="rId15"/>
          <w:pgSz w:w="12240" w:h="15840"/>
          <w:pgMar w:top="1170" w:right="1417" w:bottom="1350" w:left="1417" w:header="708" w:footer="708" w:gutter="0"/>
          <w:cols w:space="708"/>
          <w:docGrid w:linePitch="360"/>
        </w:sectPr>
      </w:pPr>
    </w:p>
    <w:p w14:paraId="6C32AE22" w14:textId="77777777" w:rsidR="00994F24" w:rsidRPr="0063678E" w:rsidRDefault="00994F24" w:rsidP="00A8440E">
      <w:pPr>
        <w:spacing w:after="0"/>
        <w:jc w:val="both"/>
        <w:rPr>
          <w:rFonts w:ascii="Times New Roman" w:hAnsi="Times New Roman" w:cs="Times New Roman"/>
          <w:sz w:val="20"/>
          <w:szCs w:val="20"/>
        </w:rPr>
      </w:pPr>
    </w:p>
    <w:tbl>
      <w:tblPr>
        <w:tblpPr w:leftFromText="180" w:rightFromText="180" w:bottomFromText="200" w:vertAnchor="text" w:tblpXSpec="center" w:tblpY="1"/>
        <w:tblOverlap w:val="never"/>
        <w:tblW w:w="143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
        <w:gridCol w:w="2154"/>
        <w:gridCol w:w="10"/>
        <w:gridCol w:w="1596"/>
        <w:gridCol w:w="10"/>
        <w:gridCol w:w="1250"/>
        <w:gridCol w:w="10"/>
        <w:gridCol w:w="980"/>
        <w:gridCol w:w="10"/>
        <w:gridCol w:w="1160"/>
        <w:gridCol w:w="10"/>
        <w:gridCol w:w="1075"/>
        <w:gridCol w:w="10"/>
        <w:gridCol w:w="6090"/>
        <w:gridCol w:w="10"/>
      </w:tblGrid>
      <w:tr w:rsidR="00353A29" w14:paraId="28EB2ED6" w14:textId="77777777" w:rsidTr="00766164">
        <w:trPr>
          <w:gridAfter w:val="1"/>
          <w:wAfter w:w="10" w:type="dxa"/>
          <w:trHeight w:val="375"/>
        </w:trPr>
        <w:tc>
          <w:tcPr>
            <w:tcW w:w="14375" w:type="dxa"/>
            <w:gridSpan w:val="14"/>
            <w:tcBorders>
              <w:top w:val="single" w:sz="4" w:space="0" w:color="FFFFFF"/>
              <w:left w:val="single" w:sz="4" w:space="0" w:color="FFFFFF"/>
              <w:bottom w:val="single" w:sz="4" w:space="0" w:color="auto"/>
              <w:right w:val="single" w:sz="4" w:space="0" w:color="FFFFFF"/>
            </w:tcBorders>
            <w:noWrap/>
            <w:vAlign w:val="center"/>
          </w:tcPr>
          <w:p w14:paraId="3FA892C3" w14:textId="77777777" w:rsidR="002A18EB" w:rsidRDefault="00353A29" w:rsidP="00766164">
            <w:pPr>
              <w:spacing w:after="0" w:line="240" w:lineRule="auto"/>
              <w:rPr>
                <w:rFonts w:ascii="Times New Roman" w:eastAsia="Times New Roman" w:hAnsi="Times New Roman" w:cs="Times New Roman"/>
                <w:b/>
                <w:bCs/>
              </w:rPr>
            </w:pPr>
            <w:bookmarkStart w:id="1" w:name="_Hlk195263551"/>
            <w:r>
              <w:rPr>
                <w:rFonts w:ascii="Times New Roman" w:eastAsia="Times New Roman" w:hAnsi="Times New Roman" w:cs="Times New Roman"/>
                <w:b/>
                <w:bCs/>
              </w:rPr>
              <w:t xml:space="preserve">Прилог 1. </w:t>
            </w:r>
          </w:p>
          <w:p w14:paraId="50D25AC4" w14:textId="628C6917" w:rsidR="00353A29" w:rsidRDefault="00353A29" w:rsidP="00766164">
            <w:pPr>
              <w:spacing w:after="0" w:line="240" w:lineRule="auto"/>
              <w:rPr>
                <w:rFonts w:ascii="Times New Roman" w:eastAsia="Times New Roman" w:hAnsi="Times New Roman" w:cs="Times New Roman"/>
                <w:b/>
                <w:bCs/>
              </w:rPr>
            </w:pPr>
            <w:r>
              <w:rPr>
                <w:rFonts w:ascii="Times New Roman" w:eastAsia="ArialNarrow" w:hAnsi="Times New Roman" w:cs="Times New Roman"/>
                <w:b/>
              </w:rPr>
              <w:t>Спровођење Aкционог плана у 2024. години</w:t>
            </w:r>
          </w:p>
          <w:p w14:paraId="30F1021F" w14:textId="77777777" w:rsidR="00353A29" w:rsidRDefault="00353A29" w:rsidP="00766164">
            <w:pPr>
              <w:spacing w:after="0" w:line="240" w:lineRule="auto"/>
              <w:rPr>
                <w:rFonts w:ascii="Times New Roman" w:eastAsia="Times New Roman" w:hAnsi="Times New Roman" w:cs="Times New Roman"/>
                <w:b/>
                <w:bCs/>
                <w:color w:val="202529"/>
              </w:rPr>
            </w:pPr>
          </w:p>
        </w:tc>
      </w:tr>
      <w:tr w:rsidR="00353A29" w14:paraId="6BF8BD54" w14:textId="77777777" w:rsidTr="00766164">
        <w:trPr>
          <w:gridAfter w:val="1"/>
          <w:wAfter w:w="10" w:type="dxa"/>
          <w:trHeight w:val="375"/>
        </w:trPr>
        <w:tc>
          <w:tcPr>
            <w:tcW w:w="3770" w:type="dxa"/>
            <w:gridSpan w:val="4"/>
            <w:tcBorders>
              <w:top w:val="single" w:sz="4" w:space="0" w:color="auto"/>
              <w:left w:val="double" w:sz="4" w:space="0" w:color="auto"/>
              <w:bottom w:val="double" w:sz="4" w:space="0" w:color="auto"/>
              <w:right w:val="double" w:sz="4" w:space="0" w:color="auto"/>
            </w:tcBorders>
            <w:shd w:val="clear" w:color="auto" w:fill="D7E3EE"/>
            <w:noWrap/>
            <w:vAlign w:val="center"/>
            <w:hideMark/>
          </w:tcPr>
          <w:p w14:paraId="61709DD5" w14:textId="77777777" w:rsidR="00353A29" w:rsidRDefault="00353A29" w:rsidP="00766164">
            <w:pPr>
              <w:spacing w:after="0" w:line="240" w:lineRule="auto"/>
              <w:rPr>
                <w:rFonts w:ascii="Times New Roman" w:eastAsia="Times New Roman" w:hAnsi="Times New Roman" w:cs="Times New Roman"/>
                <w:b/>
                <w:bCs/>
                <w:color w:val="202529"/>
              </w:rPr>
            </w:pPr>
            <w:r>
              <w:rPr>
                <w:rFonts w:ascii="Times New Roman" w:eastAsia="Times New Roman" w:hAnsi="Times New Roman" w:cs="Times New Roman"/>
                <w:b/>
                <w:bCs/>
                <w:color w:val="202529"/>
              </w:rPr>
              <w:t>Годишњи извештај за:</w:t>
            </w:r>
          </w:p>
        </w:tc>
        <w:tc>
          <w:tcPr>
            <w:tcW w:w="10605" w:type="dxa"/>
            <w:gridSpan w:val="10"/>
            <w:tcBorders>
              <w:top w:val="single" w:sz="4" w:space="0" w:color="auto"/>
              <w:left w:val="double" w:sz="4" w:space="0" w:color="auto"/>
              <w:bottom w:val="double" w:sz="4" w:space="0" w:color="auto"/>
              <w:right w:val="double" w:sz="4" w:space="0" w:color="auto"/>
            </w:tcBorders>
            <w:shd w:val="clear" w:color="auto" w:fill="D7E3EE"/>
            <w:noWrap/>
            <w:vAlign w:val="center"/>
            <w:hideMark/>
          </w:tcPr>
          <w:p w14:paraId="3863E945" w14:textId="77777777" w:rsidR="00353A29" w:rsidRDefault="00353A29" w:rsidP="00766164">
            <w:pPr>
              <w:spacing w:after="0" w:line="240" w:lineRule="auto"/>
              <w:rPr>
                <w:rFonts w:ascii="Times New Roman" w:eastAsia="Times New Roman" w:hAnsi="Times New Roman" w:cs="Times New Roman"/>
                <w:b/>
                <w:bCs/>
                <w:color w:val="202529"/>
              </w:rPr>
            </w:pPr>
            <w:r>
              <w:rPr>
                <w:rFonts w:ascii="Times New Roman" w:eastAsia="Times New Roman" w:hAnsi="Times New Roman" w:cs="Times New Roman"/>
                <w:b/>
                <w:bCs/>
                <w:color w:val="202529"/>
              </w:rPr>
              <w:t>Акциони план за спровођење Програма развоја јавних набавки у Републици Србији за 2024. годину</w:t>
            </w:r>
          </w:p>
        </w:tc>
      </w:tr>
      <w:tr w:rsidR="00353A29" w14:paraId="4D9DA65D" w14:textId="77777777" w:rsidTr="00766164">
        <w:trPr>
          <w:gridAfter w:val="1"/>
          <w:wAfter w:w="10" w:type="dxa"/>
          <w:trHeight w:val="37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084215F" w14:textId="77777777" w:rsidR="00353A29" w:rsidRDefault="00353A29" w:rsidP="00766164">
            <w:pPr>
              <w:spacing w:after="0" w:line="240" w:lineRule="auto"/>
              <w:rPr>
                <w:rFonts w:ascii="Times New Roman" w:eastAsia="Times New Roman" w:hAnsi="Times New Roman" w:cs="Times New Roman"/>
                <w:b/>
                <w:bCs/>
                <w:color w:val="202529"/>
              </w:rPr>
            </w:pPr>
            <w:r>
              <w:rPr>
                <w:rFonts w:ascii="Times New Roman" w:eastAsia="Times New Roman" w:hAnsi="Times New Roman" w:cs="Times New Roman"/>
                <w:b/>
                <w:bCs/>
                <w:color w:val="202529"/>
              </w:rPr>
              <w:t>Институција одговорна за праћење и контролу реализације:</w:t>
            </w:r>
          </w:p>
        </w:tc>
        <w:tc>
          <w:tcPr>
            <w:tcW w:w="10605" w:type="dxa"/>
            <w:gridSpan w:val="10"/>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8011C0B" w14:textId="77777777" w:rsidR="00353A29" w:rsidRDefault="00353A29" w:rsidP="00766164">
            <w:pPr>
              <w:spacing w:after="0" w:line="240" w:lineRule="auto"/>
              <w:rPr>
                <w:rFonts w:ascii="Times New Roman" w:eastAsia="Times New Roman" w:hAnsi="Times New Roman" w:cs="Times New Roman"/>
                <w:b/>
                <w:bCs/>
                <w:color w:val="202529"/>
              </w:rPr>
            </w:pPr>
            <w:r>
              <w:rPr>
                <w:rFonts w:ascii="Times New Roman" w:eastAsia="Times New Roman" w:hAnsi="Times New Roman" w:cs="Times New Roman"/>
                <w:b/>
                <w:bCs/>
                <w:color w:val="202529"/>
              </w:rPr>
              <w:t>КАНЦЕЛАРИЈА ЗА ЈАВНЕ НАБАВКЕ</w:t>
            </w:r>
          </w:p>
        </w:tc>
      </w:tr>
      <w:tr w:rsidR="00353A29" w14:paraId="411FE7FA" w14:textId="77777777" w:rsidTr="00766164">
        <w:trPr>
          <w:gridAfter w:val="1"/>
          <w:wAfter w:w="10" w:type="dxa"/>
          <w:trHeight w:val="37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4042BDB" w14:textId="77777777" w:rsidR="00353A29" w:rsidRDefault="00353A29" w:rsidP="00766164">
            <w:pPr>
              <w:spacing w:after="0" w:line="240" w:lineRule="auto"/>
              <w:rPr>
                <w:rFonts w:ascii="Times New Roman" w:eastAsia="Times New Roman" w:hAnsi="Times New Roman" w:cs="Times New Roman"/>
                <w:b/>
                <w:bCs/>
                <w:color w:val="202529"/>
              </w:rPr>
            </w:pPr>
            <w:r>
              <w:rPr>
                <w:rFonts w:ascii="Times New Roman" w:eastAsia="Times New Roman" w:hAnsi="Times New Roman" w:cs="Times New Roman"/>
                <w:b/>
                <w:bCs/>
                <w:color w:val="202529"/>
              </w:rPr>
              <w:t>Документ јавне политике за који је акциони план утврђен:</w:t>
            </w:r>
            <w:r>
              <w:rPr>
                <w:rFonts w:ascii="Times New Roman" w:eastAsia="Times New Roman" w:hAnsi="Times New Roman" w:cs="Times New Roman"/>
                <w:b/>
                <w:bCs/>
                <w:color w:val="202529"/>
              </w:rPr>
              <w:tab/>
            </w:r>
          </w:p>
        </w:tc>
        <w:tc>
          <w:tcPr>
            <w:tcW w:w="10605" w:type="dxa"/>
            <w:gridSpan w:val="10"/>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F1343E2" w14:textId="77777777" w:rsidR="00353A29" w:rsidRDefault="00353A29" w:rsidP="00766164">
            <w:pPr>
              <w:spacing w:after="0" w:line="240" w:lineRule="auto"/>
              <w:rPr>
                <w:rFonts w:ascii="Times New Roman" w:eastAsia="Times New Roman" w:hAnsi="Times New Roman" w:cs="Times New Roman"/>
                <w:b/>
                <w:bCs/>
                <w:color w:val="202529"/>
              </w:rPr>
            </w:pPr>
            <w:r>
              <w:rPr>
                <w:rFonts w:ascii="Times New Roman" w:eastAsia="Times New Roman" w:hAnsi="Times New Roman" w:cs="Times New Roman"/>
                <w:b/>
                <w:bCs/>
                <w:color w:val="202529"/>
              </w:rPr>
              <w:t>Програм развоја јавних набавки у Републици Србији за период 2024-2028. године</w:t>
            </w:r>
          </w:p>
        </w:tc>
      </w:tr>
      <w:tr w:rsidR="00353A29" w14:paraId="7ED01DF3"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0013487A" w14:textId="77777777" w:rsidR="00353A29" w:rsidRDefault="00353A29" w:rsidP="00766164"/>
        </w:tc>
      </w:tr>
      <w:tr w:rsidR="00353A29" w14:paraId="296E0E5D" w14:textId="77777777" w:rsidTr="00766164">
        <w:trPr>
          <w:gridAfter w:val="1"/>
          <w:wAfter w:w="10" w:type="dxa"/>
          <w:trHeight w:val="780"/>
        </w:trPr>
        <w:tc>
          <w:tcPr>
            <w:tcW w:w="14375" w:type="dxa"/>
            <w:gridSpan w:val="14"/>
            <w:tcBorders>
              <w:top w:val="double" w:sz="4" w:space="0" w:color="auto"/>
              <w:left w:val="double" w:sz="4" w:space="0" w:color="auto"/>
              <w:bottom w:val="double" w:sz="4" w:space="0" w:color="auto"/>
              <w:right w:val="double" w:sz="4" w:space="0" w:color="auto"/>
            </w:tcBorders>
            <w:shd w:val="clear" w:color="auto" w:fill="98CBEF"/>
            <w:vAlign w:val="center"/>
            <w:hideMark/>
          </w:tcPr>
          <w:p w14:paraId="1119E4E0" w14:textId="77777777" w:rsidR="00353A29" w:rsidRDefault="00353A29" w:rsidP="00766164">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Oпшти циљ: </w:t>
            </w:r>
            <w:r>
              <w:rPr>
                <w:rFonts w:ascii="Times New Roman" w:eastAsia="Times New Roman" w:hAnsi="Times New Roman" w:cs="Times New Roman"/>
                <w:color w:val="222222"/>
                <w:lang w:val="sr-Cyrl-RS"/>
              </w:rPr>
              <w:t xml:space="preserve">Даљи развој и јачање одрживог и правичног система јавних набавки </w:t>
            </w:r>
          </w:p>
        </w:tc>
      </w:tr>
      <w:tr w:rsidR="00353A29" w14:paraId="23C31959"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98CBEF"/>
            <w:noWrap/>
            <w:vAlign w:val="center"/>
            <w:hideMark/>
          </w:tcPr>
          <w:p w14:paraId="7E29C6F8"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Институција одговорна за праћење и контролу реализације: КЈН</w:t>
            </w:r>
          </w:p>
        </w:tc>
      </w:tr>
      <w:tr w:rsidR="00353A29" w14:paraId="60A2ECBC"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EB02B8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78366E3"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Почетна вредност и година </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70EE1D1"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години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0F9D01E"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години: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AB1C36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Коментар напретка ка циљној вредности показатеља (опционо)</w:t>
            </w:r>
          </w:p>
        </w:tc>
      </w:tr>
      <w:tr w:rsidR="00353A29" w14:paraId="2CFDBE07"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6560E038"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bCs/>
                <w:color w:val="000000"/>
                <w:lang w:val="sr-Cyrl-CS" w:eastAsia="en-GB"/>
              </w:rPr>
              <w:t>Оцена ЕК о оствареном напретку у Поглављу 5 – Јавне набавке и испуњавање свих мерила утврђених у оквиру овог поглавља</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5086A680"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bCs/>
                <w:color w:val="000000"/>
                <w:lang w:val="sr-Cyrl-CS" w:eastAsia="en-GB"/>
              </w:rPr>
              <w:t xml:space="preserve">Умерено припремљена </w:t>
            </w:r>
            <w:r>
              <w:rPr>
                <w:rFonts w:ascii="Times New Roman" w:eastAsia="Times New Roman" w:hAnsi="Times New Roman" w:cs="Times New Roman"/>
                <w:color w:val="222222"/>
              </w:rPr>
              <w:t>(202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58AE5464"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bCs/>
                <w:color w:val="000000"/>
                <w:lang w:val="sr-Cyrl-CS" w:eastAsia="en-GB"/>
              </w:rPr>
              <w:t>Известан напредак</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2E85CA4"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bCs/>
                <w:color w:val="000000"/>
                <w:lang w:val="sr-Cyrl-RS" w:eastAsia="en-GB"/>
              </w:rPr>
              <w:t>Остварен напредак</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1736D107" w14:textId="77777777" w:rsidR="00353A29" w:rsidRDefault="00353A29" w:rsidP="00766164">
            <w:pPr>
              <w:spacing w:after="0" w:line="240" w:lineRule="auto"/>
              <w:jc w:val="both"/>
              <w:rPr>
                <w:rFonts w:ascii="Times New Roman" w:eastAsia="Times New Roman" w:hAnsi="Times New Roman" w:cs="Times New Roman"/>
                <w:color w:val="000000"/>
              </w:rPr>
            </w:pPr>
            <w:bookmarkStart w:id="2" w:name="_Hlk163470192"/>
            <w:r>
              <w:rPr>
                <w:rFonts w:ascii="Times New Roman" w:eastAsia="Times New Roman" w:hAnsi="Times New Roman" w:cs="Times New Roman"/>
                <w:color w:val="000000"/>
              </w:rPr>
              <w:t xml:space="preserve">Извештај о напретку </w:t>
            </w:r>
            <w:r>
              <w:rPr>
                <w:rFonts w:ascii="Times New Roman" w:eastAsia="Times New Roman" w:hAnsi="Times New Roman" w:cs="Times New Roman"/>
                <w:color w:val="000000"/>
                <w:lang w:val="sr-Cyrl-RS"/>
              </w:rPr>
              <w:t>Европске комисије</w:t>
            </w:r>
            <w:r>
              <w:rPr>
                <w:rFonts w:ascii="Times New Roman" w:eastAsia="Times New Roman" w:hAnsi="Times New Roman" w:cs="Times New Roman"/>
                <w:color w:val="000000"/>
              </w:rPr>
              <w:t xml:space="preserve"> показује да </w:t>
            </w:r>
            <w:r>
              <w:rPr>
                <w:rFonts w:ascii="Times New Roman" w:eastAsia="Times New Roman" w:hAnsi="Times New Roman" w:cs="Times New Roman"/>
                <w:color w:val="000000"/>
                <w:lang w:val="sr-Cyrl-RS"/>
              </w:rPr>
              <w:t xml:space="preserve">је </w:t>
            </w:r>
            <w:r>
              <w:rPr>
                <w:rFonts w:ascii="Times New Roman" w:eastAsia="Times New Roman" w:hAnsi="Times New Roman" w:cs="Times New Roman"/>
                <w:color w:val="000000"/>
              </w:rPr>
              <w:t xml:space="preserve">Република Србија у делу који се односи на Поглавље 5 – јавне набавке </w:t>
            </w:r>
            <w:r>
              <w:rPr>
                <w:rFonts w:ascii="Times New Roman" w:eastAsia="Times New Roman" w:hAnsi="Times New Roman" w:cs="Times New Roman"/>
                <w:bCs/>
                <w:color w:val="000000"/>
                <w:lang w:val="sr-Cyrl-RS" w:eastAsia="en-GB"/>
              </w:rPr>
              <w:t>у великој мери усклађена</w:t>
            </w:r>
            <w:bookmarkEnd w:id="2"/>
            <w:r>
              <w:rPr>
                <w:rStyle w:val="FootnoteReference"/>
                <w:rFonts w:ascii="Times New Roman" w:eastAsia="Times New Roman" w:hAnsi="Times New Roman" w:cs="Times New Roman"/>
                <w:color w:val="000000"/>
              </w:rPr>
              <w:footnoteReference w:id="1"/>
            </w:r>
            <w:r>
              <w:rPr>
                <w:rFonts w:ascii="Times New Roman" w:eastAsia="Times New Roman" w:hAnsi="Times New Roman" w:cs="Times New Roman"/>
                <w:color w:val="000000"/>
              </w:rPr>
              <w:t>.</w:t>
            </w:r>
          </w:p>
        </w:tc>
      </w:tr>
      <w:tr w:rsidR="00353A29" w14:paraId="69E8FBFA"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1D6FED22" w14:textId="77777777" w:rsidR="00353A29" w:rsidRDefault="00353A29" w:rsidP="00766164"/>
        </w:tc>
      </w:tr>
      <w:tr w:rsidR="00353A29" w14:paraId="67CA8B8A"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2A17A2BA" w14:textId="34ED5866"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Посебан циљ 1</w:t>
            </w:r>
            <w:r w:rsidR="00E96639">
              <w:rPr>
                <w:rFonts w:ascii="Times New Roman" w:eastAsia="Times New Roman" w:hAnsi="Times New Roman" w:cs="Times New Roman"/>
                <w:color w:val="222222"/>
                <w:lang w:val="sr-Cyrl-RS"/>
              </w:rPr>
              <w:t>.1</w:t>
            </w:r>
            <w:r>
              <w:rPr>
                <w:rFonts w:ascii="Times New Roman" w:eastAsia="Times New Roman" w:hAnsi="Times New Roman" w:cs="Times New Roman"/>
                <w:color w:val="222222"/>
              </w:rPr>
              <w:t xml:space="preserve">: Повећање </w:t>
            </w:r>
            <w:r>
              <w:rPr>
                <w:rFonts w:ascii="Times New Roman" w:eastAsia="Times New Roman" w:hAnsi="Times New Roman" w:cs="Times New Roman"/>
                <w:color w:val="222222"/>
                <w:lang w:val="sr-Cyrl-RS"/>
              </w:rPr>
              <w:t xml:space="preserve">економичности и конкурентности у јавним набавкама </w:t>
            </w:r>
          </w:p>
        </w:tc>
      </w:tr>
      <w:tr w:rsidR="00353A29" w14:paraId="302C60CC"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60582265"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Носилац циља: КЈН</w:t>
            </w:r>
          </w:p>
        </w:tc>
      </w:tr>
      <w:tr w:rsidR="00353A29" w14:paraId="1938D0B1"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18A3F5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FAD90A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Почетна вредност и година </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0941809"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C6AED48"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D1DBF19"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1505EB23"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33AAC907" w14:textId="77777777" w:rsidR="00353A29" w:rsidRDefault="00353A29" w:rsidP="00766164">
            <w:pPr>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Учешће МСП у</w:t>
            </w:r>
            <w:r>
              <w:rPr>
                <w:rFonts w:ascii="Times New Roman" w:eastAsia="Times New Roman" w:hAnsi="Times New Roman" w:cs="Times New Roman"/>
                <w:color w:val="000000"/>
                <w:lang w:val="sr-Cyrl-RS" w:eastAsia="en-GB"/>
              </w:rPr>
              <w:t xml:space="preserve"> броју закључених уговора </w:t>
            </w:r>
            <w:r>
              <w:rPr>
                <w:rFonts w:ascii="Times New Roman" w:eastAsia="Times New Roman" w:hAnsi="Times New Roman" w:cs="Times New Roman"/>
                <w:color w:val="000000"/>
                <w:lang w:val="sr-Cyrl-CS" w:eastAsia="en-GB"/>
              </w:rPr>
              <w:t xml:space="preserve"> (проценат)</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39EEEA42" w14:textId="77777777" w:rsidR="00353A29" w:rsidRDefault="00353A29" w:rsidP="00766164">
            <w:pPr>
              <w:spacing w:after="0" w:line="240" w:lineRule="auto"/>
              <w:jc w:val="center"/>
              <w:rPr>
                <w:rFonts w:ascii="Times New Roman" w:eastAsia="Times New Roman" w:hAnsi="Times New Roman" w:cs="Times New Roman"/>
                <w:color w:val="222222"/>
                <w:vertAlign w:val="superscript"/>
              </w:rPr>
            </w:pPr>
            <w:r>
              <w:rPr>
                <w:rFonts w:ascii="Times New Roman" w:eastAsia="Times New Roman" w:hAnsi="Times New Roman" w:cs="Times New Roman"/>
                <w:color w:val="222222"/>
                <w:lang w:val="sr-Cyrl-RS"/>
              </w:rPr>
              <w:t>79</w:t>
            </w:r>
            <w:r>
              <w:rPr>
                <w:rFonts w:ascii="Times New Roman" w:eastAsia="Times New Roman" w:hAnsi="Times New Roman" w:cs="Times New Roman"/>
                <w:color w:val="222222"/>
              </w:rPr>
              <w:t xml:space="preserve">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1D9DC237"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80</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48308276" w14:textId="77777777" w:rsidR="00353A29" w:rsidRDefault="00353A29" w:rsidP="0076616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lang w:val="sr-Cyrl-RS"/>
              </w:rPr>
              <w:t>75,82</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0809B17A" w14:textId="77777777" w:rsidR="00353A29" w:rsidRDefault="00353A29" w:rsidP="00766164">
            <w:pPr>
              <w:spacing w:after="0" w:line="240" w:lineRule="auto"/>
              <w:jc w:val="both"/>
              <w:rPr>
                <w:rFonts w:ascii="Times New Roman" w:eastAsia="Times New Roman" w:hAnsi="Times New Roman" w:cs="Times New Roman"/>
                <w:color w:val="222222"/>
                <w:lang w:val="sr-Cyrl-RS"/>
              </w:rPr>
            </w:pPr>
            <w:r>
              <w:rPr>
                <w:rFonts w:ascii="Times New Roman" w:eastAsia="Times New Roman" w:hAnsi="Times New Roman" w:cs="Times New Roman"/>
                <w:color w:val="000000"/>
              </w:rPr>
              <w:t xml:space="preserve">Показатељ </w:t>
            </w:r>
            <w:r>
              <w:rPr>
                <w:rFonts w:ascii="Times New Roman" w:eastAsia="Times New Roman" w:hAnsi="Times New Roman" w:cs="Times New Roman"/>
                <w:color w:val="000000"/>
                <w:lang w:val="sr-Cyrl-RS"/>
              </w:rPr>
              <w:t xml:space="preserve">није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79%</w:t>
            </w:r>
            <w:r>
              <w:rPr>
                <w:rFonts w:ascii="Times New Roman" w:eastAsia="Times New Roman" w:hAnsi="Times New Roman" w:cs="Times New Roman"/>
                <w:color w:val="222222"/>
              </w:rPr>
              <w:t xml:space="preserve"> 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години, док је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 xml:space="preserve">остварена вредност 75,82%. </w:t>
            </w:r>
            <w:r>
              <w:rPr>
                <w:rFonts w:ascii="Times New Roman" w:eastAsia="Times New Roman" w:hAnsi="Times New Roman" w:cs="Times New Roman"/>
                <w:color w:val="222222"/>
                <w:lang w:val="sr-Cyrl-RS"/>
              </w:rPr>
              <w:lastRenderedPageBreak/>
              <w:t>Неостваривање циљане вредности за 2024. годину је последица пада броја закључених уговора за грађевинске радове, са преко 60.000 на мање од 40.000, поготово имајући у виду да је у претходном периоду учешће малих и средњих предузећа у истим достизала и преко 70%.</w:t>
            </w:r>
          </w:p>
          <w:p w14:paraId="76EA492B" w14:textId="77777777" w:rsidR="00353A29" w:rsidRDefault="00353A29" w:rsidP="00766164">
            <w:pPr>
              <w:spacing w:after="0" w:line="240" w:lineRule="auto"/>
              <w:jc w:val="both"/>
              <w:rPr>
                <w:rFonts w:ascii="Times New Roman" w:eastAsia="Times New Roman" w:hAnsi="Times New Roman" w:cs="Times New Roman"/>
                <w:color w:val="222222"/>
                <w:lang w:val="sr-Cyrl-RS"/>
              </w:rPr>
            </w:pPr>
          </w:p>
        </w:tc>
      </w:tr>
      <w:tr w:rsidR="00353A29" w14:paraId="3953BDAA"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1F1A6294"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lastRenderedPageBreak/>
              <w:t>Учешће критеријума за доделу уговора који се не заснива само на цени (проценат)</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52447878"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4,46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27CE6FFB"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5</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5AAC89A"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9,78</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3DE7C4E" w14:textId="77777777" w:rsidR="00353A29" w:rsidRDefault="00353A29" w:rsidP="0076616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4,46%</w:t>
            </w:r>
            <w:r>
              <w:rPr>
                <w:rFonts w:ascii="Times New Roman" w:eastAsia="Times New Roman" w:hAnsi="Times New Roman" w:cs="Times New Roman"/>
                <w:color w:val="222222"/>
              </w:rPr>
              <w:t xml:space="preserve"> 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години, док је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lang w:val="sr-Cyrl-RS"/>
              </w:rPr>
              <w:t>г</w:t>
            </w:r>
            <w:r>
              <w:rPr>
                <w:rFonts w:ascii="Times New Roman" w:eastAsia="Times New Roman" w:hAnsi="Times New Roman" w:cs="Times New Roman"/>
                <w:color w:val="222222"/>
              </w:rPr>
              <w:t>одине</w:t>
            </w:r>
            <w:r>
              <w:rPr>
                <w:rFonts w:ascii="Times New Roman" w:eastAsia="Times New Roman" w:hAnsi="Times New Roman" w:cs="Times New Roman"/>
                <w:color w:val="222222"/>
                <w:lang w:val="sr-Cyrl-RS"/>
              </w:rPr>
              <w:t xml:space="preserve"> циљана вредност за 2024. годину од 5% надмашена и </w:t>
            </w:r>
            <w:r>
              <w:rPr>
                <w:rFonts w:ascii="Times New Roman" w:eastAsia="Times New Roman" w:hAnsi="Times New Roman" w:cs="Times New Roman"/>
                <w:color w:val="000000"/>
                <w:lang w:val="sr-Cyrl-CS" w:eastAsia="en-GB"/>
              </w:rPr>
              <w:t>износи</w:t>
            </w:r>
            <w:r>
              <w:rPr>
                <w:rFonts w:ascii="Times New Roman" w:eastAsia="Times New Roman" w:hAnsi="Times New Roman" w:cs="Times New Roman"/>
                <w:color w:val="222222"/>
                <w:lang w:val="sr-Cyrl-RS"/>
              </w:rPr>
              <w:t xml:space="preserve"> 9,78%. </w:t>
            </w:r>
          </w:p>
        </w:tc>
      </w:tr>
      <w:tr w:rsidR="00353A29" w14:paraId="7DE16B53"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tcPr>
          <w:p w14:paraId="5C9FEA03" w14:textId="77777777" w:rsidR="00353A29" w:rsidRDefault="00353A29" w:rsidP="00766164">
            <w:pPr>
              <w:spacing w:after="0" w:line="240" w:lineRule="auto"/>
              <w:jc w:val="both"/>
              <w:rPr>
                <w:rFonts w:ascii="Times New Roman" w:eastAsia="Times New Roman" w:hAnsi="Times New Roman" w:cs="Times New Roman"/>
                <w:color w:val="222222"/>
              </w:rPr>
            </w:pPr>
          </w:p>
        </w:tc>
      </w:tr>
      <w:tr w:rsidR="00353A29" w14:paraId="4ED20060" w14:textId="77777777" w:rsidTr="00766164">
        <w:trPr>
          <w:gridAfter w:val="1"/>
          <w:wAfter w:w="10" w:type="dxa"/>
          <w:trHeight w:val="780"/>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vAlign w:val="center"/>
            <w:hideMark/>
          </w:tcPr>
          <w:p w14:paraId="4BDF411E" w14:textId="77777777" w:rsidR="00353A29" w:rsidRDefault="00353A29" w:rsidP="00766164">
            <w:pPr>
              <w:spacing w:after="0" w:line="240" w:lineRule="auto"/>
              <w:rPr>
                <w:rFonts w:ascii="Times New Roman" w:eastAsia="Times New Roman" w:hAnsi="Times New Roman" w:cs="Times New Roman"/>
                <w:color w:val="222222"/>
              </w:rPr>
            </w:pPr>
            <w:bookmarkStart w:id="3" w:name="_Toc73613635"/>
            <w:r>
              <w:rPr>
                <w:rFonts w:ascii="Times New Roman" w:eastAsia="Times New Roman" w:hAnsi="Times New Roman" w:cs="Times New Roman"/>
                <w:b/>
                <w:i/>
                <w:color w:val="365F91"/>
                <w:lang w:val="sr-Cyrl-CS" w:eastAsia="en-GB"/>
              </w:rPr>
              <w:t xml:space="preserve">Мера 1.1.1: </w:t>
            </w:r>
            <w:bookmarkEnd w:id="3"/>
            <w:r>
              <w:rPr>
                <w:rFonts w:ascii="Times New Roman" w:eastAsia="Times New Roman" w:hAnsi="Times New Roman" w:cs="Times New Roman"/>
                <w:b/>
                <w:i/>
                <w:color w:val="365F91"/>
                <w:lang w:val="sr-Cyrl-CS" w:eastAsia="en-GB"/>
              </w:rPr>
              <w:t xml:space="preserve">Унапређење регулаторног оквира и јачање праксе у области ЈПП  </w:t>
            </w:r>
          </w:p>
        </w:tc>
      </w:tr>
      <w:tr w:rsidR="00353A29" w14:paraId="6F2CC3BD"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696552F7"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Носилац </w:t>
            </w:r>
            <w:r>
              <w:rPr>
                <w:rFonts w:ascii="Times New Roman" w:eastAsia="Times New Roman" w:hAnsi="Times New Roman" w:cs="Times New Roman"/>
                <w:color w:val="222222"/>
                <w:lang w:val="sr-Cyrl-RS"/>
              </w:rPr>
              <w:t>мер</w:t>
            </w:r>
            <w:r>
              <w:rPr>
                <w:rFonts w:ascii="Times New Roman" w:eastAsia="Times New Roman" w:hAnsi="Times New Roman" w:cs="Times New Roman"/>
                <w:color w:val="222222"/>
              </w:rPr>
              <w:t>е: МП</w:t>
            </w:r>
          </w:p>
        </w:tc>
      </w:tr>
      <w:tr w:rsidR="00353A29" w14:paraId="6678C219"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35E2D16"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EF46F8B"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2681D6F"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F3E019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8CEF423"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3B8F735D"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41BB1BB0" w14:textId="77777777" w:rsidR="00353A29" w:rsidRDefault="00353A29" w:rsidP="00766164">
            <w:pPr>
              <w:autoSpaceDE w:val="0"/>
              <w:autoSpaceDN w:val="0"/>
              <w:adjustRightInd w:val="0"/>
              <w:spacing w:after="0" w:line="240" w:lineRule="auto"/>
              <w:rPr>
                <w:rFonts w:ascii="Times New Roman" w:eastAsia="Calibri" w:hAnsi="Times New Roman" w:cs="Times New Roman"/>
                <w:bCs/>
                <w:lang w:val="sr-Cyrl-CS"/>
              </w:rPr>
            </w:pPr>
          </w:p>
          <w:p w14:paraId="42220A46" w14:textId="77777777" w:rsidR="00353A29" w:rsidRDefault="00353A29" w:rsidP="00766164">
            <w:pPr>
              <w:autoSpaceDE w:val="0"/>
              <w:autoSpaceDN w:val="0"/>
              <w:adjustRightInd w:val="0"/>
              <w:spacing w:after="0" w:line="240" w:lineRule="auto"/>
              <w:rPr>
                <w:rFonts w:ascii="Times New Roman" w:eastAsia="Calibri" w:hAnsi="Times New Roman" w:cs="Times New Roman"/>
                <w:bCs/>
                <w:lang w:val="sr-Cyrl-CS"/>
              </w:rPr>
            </w:pPr>
            <w:r>
              <w:rPr>
                <w:rFonts w:ascii="Times New Roman" w:eastAsia="Times New Roman" w:hAnsi="Times New Roman" w:cs="Times New Roman"/>
                <w:color w:val="000000"/>
                <w:lang w:val="sr-Cyrl-CS" w:eastAsia="en-GB"/>
              </w:rPr>
              <w:t>Донет закон о изменама и допунама ЗЈППК</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2EF10961"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Не</w:t>
            </w:r>
            <w:r>
              <w:rPr>
                <w:rFonts w:ascii="Times New Roman" w:eastAsia="Times New Roman" w:hAnsi="Times New Roman" w:cs="Times New Roman"/>
                <w:color w:val="222222"/>
              </w:rPr>
              <w:t xml:space="preserve">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7001A1EE"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lang w:val="sr-Cyrl-RS"/>
              </w:rPr>
              <w:t>Да</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09AE238C" w14:textId="77777777" w:rsidR="00353A29" w:rsidRDefault="00353A29" w:rsidP="0076616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222222"/>
                <w:lang w:val="sr-Cyrl-RS"/>
              </w:rPr>
              <w:t>Не</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8965D8A" w14:textId="77777777" w:rsidR="00353A29" w:rsidRDefault="00353A29" w:rsidP="00766164">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Показатељ, односно циљна вредност показатеља резултата 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години није испуњена, с обзиром да измене и допуне ЗЈППК нису усвојене у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години.</w:t>
            </w:r>
            <w:r>
              <w:rPr>
                <w:rFonts w:ascii="Times New Roman" w:eastAsia="Times New Roman" w:hAnsi="Times New Roman" w:cs="Times New Roman"/>
                <w:color w:val="222222"/>
              </w:rPr>
              <w:tab/>
            </w:r>
          </w:p>
        </w:tc>
      </w:tr>
      <w:tr w:rsidR="00353A29" w14:paraId="672F90EE"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094996EC" w14:textId="77777777" w:rsidR="00353A29" w:rsidRDefault="00353A29" w:rsidP="00766164"/>
        </w:tc>
      </w:tr>
      <w:tr w:rsidR="00353A29" w14:paraId="77E80ABB"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6D7F951"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6845FC2"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F5A6C5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Рок за реализацију у 2023</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AFA4D46"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F7334D8"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1BF2812"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7D712010" w14:textId="77777777" w:rsidR="00353A29" w:rsidRDefault="00353A29" w:rsidP="00766164">
            <w:pPr>
              <w:spacing w:after="0" w:line="240" w:lineRule="auto"/>
              <w:jc w:val="center"/>
              <w:rPr>
                <w:rFonts w:ascii="Times New Roman" w:eastAsia="Times New Roman" w:hAnsi="Times New Roman" w:cs="Times New Roman"/>
                <w:bCs/>
                <w:i/>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4CC042F1" w14:textId="77777777" w:rsidTr="00766164">
        <w:trPr>
          <w:gridAfter w:val="1"/>
          <w:wAfter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vAlign w:val="center"/>
            <w:hideMark/>
          </w:tcPr>
          <w:p w14:paraId="1BF0B121" w14:textId="77777777" w:rsidR="00353A29" w:rsidRPr="00194649" w:rsidRDefault="00353A29" w:rsidP="00766164">
            <w:pPr>
              <w:spacing w:after="0" w:line="240" w:lineRule="auto"/>
              <w:rPr>
                <w:rFonts w:ascii="Times New Roman" w:eastAsia="Times New Roman" w:hAnsi="Times New Roman" w:cs="Times New Roman"/>
              </w:rPr>
            </w:pPr>
            <w:r w:rsidRPr="00194649">
              <w:rPr>
                <w:rFonts w:ascii="Times New Roman" w:eastAsia="Times New Roman" w:hAnsi="Times New Roman" w:cs="Times New Roman"/>
                <w:lang w:val="sr-Cyrl-CS" w:eastAsia="en-GB"/>
              </w:rPr>
              <w:t>1.1.1.1. Предлагање измена и допуна ЗЈППК</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BC808F0" w14:textId="77777777" w:rsidR="00353A29" w:rsidRPr="00194649" w:rsidRDefault="00353A29" w:rsidP="00766164">
            <w:pPr>
              <w:spacing w:after="0" w:line="240" w:lineRule="auto"/>
              <w:jc w:val="center"/>
              <w:rPr>
                <w:rFonts w:ascii="Times New Roman" w:eastAsia="Calibri" w:hAnsi="Times New Roman" w:cs="Times New Roman"/>
                <w:iCs/>
                <w:lang w:val="sr-Cyrl-CS"/>
              </w:rPr>
            </w:pPr>
            <w:r w:rsidRPr="00194649">
              <w:rPr>
                <w:rFonts w:ascii="Times New Roman" w:eastAsia="Calibri" w:hAnsi="Times New Roman" w:cs="Times New Roman"/>
                <w:iCs/>
                <w:lang w:val="sr-Cyrl-CS"/>
              </w:rPr>
              <w:t>МП</w:t>
            </w:r>
          </w:p>
          <w:p w14:paraId="440BEA1B" w14:textId="77777777" w:rsidR="00353A29" w:rsidRPr="00194649" w:rsidRDefault="00353A29" w:rsidP="00766164">
            <w:pPr>
              <w:spacing w:after="0" w:line="240" w:lineRule="auto"/>
              <w:jc w:val="center"/>
              <w:rPr>
                <w:rFonts w:ascii="Times New Roman" w:eastAsia="Times New Roman" w:hAnsi="Times New Roman" w:cs="Times New Roman"/>
                <w:lang w:val="sr-Cyrl-RS"/>
              </w:rPr>
            </w:pPr>
            <w:r w:rsidRPr="00194649">
              <w:rPr>
                <w:rFonts w:ascii="Times New Roman" w:eastAsia="Times New Roman" w:hAnsi="Times New Roman" w:cs="Times New Roman"/>
                <w:lang w:val="sr-Cyrl-RS"/>
              </w:rPr>
              <w:t>КЈПП</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1820DEA9" w14:textId="77777777" w:rsidR="00353A29" w:rsidRPr="00194649" w:rsidRDefault="00353A29" w:rsidP="00766164">
            <w:pPr>
              <w:spacing w:after="0" w:line="240" w:lineRule="auto"/>
              <w:jc w:val="center"/>
              <w:rPr>
                <w:rFonts w:ascii="Times New Roman" w:eastAsia="Times New Roman" w:hAnsi="Times New Roman" w:cs="Times New Roman"/>
              </w:rPr>
            </w:pPr>
            <w:r w:rsidRPr="00194649">
              <w:rPr>
                <w:rFonts w:ascii="Times New Roman" w:eastAsia="Times New Roman" w:hAnsi="Times New Roman" w:cs="Times New Roman"/>
                <w:lang w:val="sr-Cyrl-CS" w:eastAsia="en-GB"/>
              </w:rPr>
              <w:t>4. квартал 2024.</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400AAC7F" w14:textId="77777777" w:rsidR="00353A29" w:rsidRPr="00194649" w:rsidRDefault="00353A29" w:rsidP="00766164">
            <w:pPr>
              <w:spacing w:after="0" w:line="240" w:lineRule="auto"/>
              <w:rPr>
                <w:rFonts w:ascii="Times New Roman" w:eastAsia="Times New Roman" w:hAnsi="Times New Roman" w:cs="Times New Roman"/>
              </w:rPr>
            </w:pPr>
            <w:r w:rsidRPr="00194649">
              <w:rPr>
                <w:rFonts w:ascii="Times New Roman" w:eastAsia="Times New Roman" w:hAnsi="Times New Roman" w:cs="Times New Roman"/>
              </w:rPr>
              <w:t>У току</w:t>
            </w:r>
          </w:p>
        </w:tc>
        <w:tc>
          <w:tcPr>
            <w:tcW w:w="2255" w:type="dxa"/>
            <w:gridSpan w:val="4"/>
            <w:tcBorders>
              <w:top w:val="double" w:sz="4" w:space="0" w:color="auto"/>
              <w:left w:val="double" w:sz="4" w:space="0" w:color="auto"/>
              <w:bottom w:val="double" w:sz="4" w:space="0" w:color="auto"/>
              <w:right w:val="double" w:sz="4" w:space="0" w:color="auto"/>
            </w:tcBorders>
            <w:noWrap/>
            <w:vAlign w:val="center"/>
            <w:hideMark/>
          </w:tcPr>
          <w:p w14:paraId="74885954" w14:textId="77777777" w:rsidR="00353A29" w:rsidRPr="00194649" w:rsidRDefault="00353A29" w:rsidP="00766164">
            <w:pPr>
              <w:spacing w:after="0" w:line="240" w:lineRule="auto"/>
              <w:jc w:val="center"/>
              <w:rPr>
                <w:rFonts w:ascii="Times New Roman" w:eastAsia="Times New Roman" w:hAnsi="Times New Roman" w:cs="Times New Roman"/>
              </w:rPr>
            </w:pPr>
            <w:r w:rsidRPr="00194649">
              <w:rPr>
                <w:rFonts w:ascii="Times New Roman" w:eastAsia="Times New Roman" w:hAnsi="Times New Roman" w:cs="Times New Roman"/>
              </w:rPr>
              <w:t>4. квартал 202</w:t>
            </w:r>
            <w:r w:rsidRPr="00194649">
              <w:rPr>
                <w:rFonts w:ascii="Times New Roman" w:eastAsia="Times New Roman" w:hAnsi="Times New Roman" w:cs="Times New Roman"/>
                <w:lang w:val="sr-Cyrl-RS"/>
              </w:rPr>
              <w:t>5.</w:t>
            </w: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2DD7D983" w14:textId="77777777" w:rsidR="00353A29" w:rsidRPr="00194649" w:rsidRDefault="00353A29" w:rsidP="00766164">
            <w:pPr>
              <w:spacing w:after="160" w:line="256" w:lineRule="auto"/>
              <w:jc w:val="both"/>
              <w:rPr>
                <w:rFonts w:ascii="Times New Roman" w:eastAsia="Times New Roman" w:hAnsi="Times New Roman" w:cs="Times New Roman"/>
              </w:rPr>
            </w:pPr>
            <w:r w:rsidRPr="00194649">
              <w:rPr>
                <w:rFonts w:ascii="Times New Roman" w:eastAsia="Times New Roman" w:hAnsi="Times New Roman" w:cs="Times New Roman"/>
              </w:rPr>
              <w:t>Измене и допуне законодавног оквира у области јавно-приватног партнерства и концесија планиране су да буду спроведене у 4. кварталу 202</w:t>
            </w:r>
            <w:r w:rsidRPr="00194649">
              <w:rPr>
                <w:rFonts w:ascii="Times New Roman" w:eastAsia="Times New Roman" w:hAnsi="Times New Roman" w:cs="Times New Roman"/>
                <w:lang w:val="sr-Cyrl-RS"/>
              </w:rPr>
              <w:t>4</w:t>
            </w:r>
            <w:r w:rsidRPr="00194649">
              <w:rPr>
                <w:rFonts w:ascii="Times New Roman" w:eastAsia="Times New Roman" w:hAnsi="Times New Roman" w:cs="Times New Roman"/>
              </w:rPr>
              <w:t>. године. Рок за реализацију ове активности ће бити померен за 2025. годину, с обзиром да измене и допуне ЗЈППК нису усвојене у планираном року.</w:t>
            </w:r>
          </w:p>
        </w:tc>
      </w:tr>
      <w:tr w:rsidR="00353A29" w14:paraId="37121CD9" w14:textId="77777777" w:rsidTr="00766164">
        <w:trPr>
          <w:gridAfter w:val="1"/>
          <w:wAfter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vAlign w:val="center"/>
          </w:tcPr>
          <w:p w14:paraId="06D4F4EA" w14:textId="77777777" w:rsidR="00353A29" w:rsidRPr="00194649" w:rsidRDefault="00353A29" w:rsidP="00766164">
            <w:pPr>
              <w:spacing w:after="0" w:line="240" w:lineRule="auto"/>
              <w:rPr>
                <w:rFonts w:ascii="Times New Roman" w:eastAsia="Times New Roman" w:hAnsi="Times New Roman" w:cs="Times New Roman"/>
                <w:lang w:val="sr-Cyrl-CS" w:eastAsia="en-GB"/>
              </w:rPr>
            </w:pPr>
          </w:p>
          <w:p w14:paraId="32C474EC" w14:textId="77777777" w:rsidR="00353A29" w:rsidRPr="00194649" w:rsidRDefault="00353A29" w:rsidP="00766164">
            <w:pPr>
              <w:spacing w:after="0" w:line="240" w:lineRule="auto"/>
              <w:rPr>
                <w:rFonts w:ascii="Times New Roman" w:eastAsia="Times New Roman" w:hAnsi="Times New Roman" w:cs="Times New Roman"/>
                <w:lang w:val="sr-Cyrl-CS" w:eastAsia="en-GB"/>
              </w:rPr>
            </w:pPr>
            <w:r w:rsidRPr="00194649">
              <w:rPr>
                <w:rFonts w:ascii="Times New Roman" w:eastAsia="Times New Roman" w:hAnsi="Times New Roman" w:cs="Times New Roman"/>
                <w:lang w:val="sr-Cyrl-CS" w:eastAsia="en-GB"/>
              </w:rPr>
              <w:t xml:space="preserve">1.1.1.2. Израда смерница и модела конкурсних документација за јавно-приватно </w:t>
            </w:r>
            <w:r w:rsidRPr="00194649">
              <w:rPr>
                <w:rFonts w:ascii="Times New Roman" w:eastAsia="Times New Roman" w:hAnsi="Times New Roman" w:cs="Times New Roman"/>
                <w:lang w:val="sr-Cyrl-CS" w:eastAsia="en-GB"/>
              </w:rPr>
              <w:lastRenderedPageBreak/>
              <w:t>партнерство и концесије</w:t>
            </w:r>
          </w:p>
          <w:p w14:paraId="35C65940" w14:textId="77777777" w:rsidR="00353A29" w:rsidRPr="00194649" w:rsidRDefault="00353A29" w:rsidP="00766164">
            <w:pPr>
              <w:spacing w:after="0" w:line="240" w:lineRule="auto"/>
              <w:rPr>
                <w:rFonts w:ascii="Times New Roman" w:eastAsia="Times New Roman" w:hAnsi="Times New Roman" w:cs="Times New Roman"/>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155ACC16" w14:textId="77777777" w:rsidR="00353A29" w:rsidRPr="00194649" w:rsidRDefault="00353A29" w:rsidP="00766164">
            <w:pPr>
              <w:spacing w:after="0" w:line="240" w:lineRule="auto"/>
              <w:jc w:val="center"/>
              <w:rPr>
                <w:rFonts w:ascii="Times New Roman" w:eastAsia="Calibri" w:hAnsi="Times New Roman" w:cs="Times New Roman"/>
                <w:iCs/>
                <w:lang w:val="sr-Cyrl-CS"/>
              </w:rPr>
            </w:pPr>
            <w:r w:rsidRPr="00194649">
              <w:rPr>
                <w:rFonts w:ascii="Times New Roman" w:eastAsia="Calibri" w:hAnsi="Times New Roman" w:cs="Times New Roman"/>
                <w:iCs/>
                <w:lang w:val="sr-Cyrl-CS"/>
              </w:rPr>
              <w:lastRenderedPageBreak/>
              <w:t>МП</w:t>
            </w:r>
          </w:p>
          <w:p w14:paraId="575427AE" w14:textId="77777777" w:rsidR="00353A29" w:rsidRPr="00194649" w:rsidRDefault="00353A29" w:rsidP="00766164">
            <w:pPr>
              <w:spacing w:after="0" w:line="240" w:lineRule="auto"/>
              <w:jc w:val="center"/>
              <w:rPr>
                <w:rFonts w:ascii="Times New Roman" w:eastAsia="Times New Roman" w:hAnsi="Times New Roman" w:cs="Times New Roman"/>
              </w:rPr>
            </w:pPr>
            <w:r w:rsidRPr="00194649">
              <w:rPr>
                <w:rFonts w:ascii="Times New Roman" w:eastAsia="Times New Roman" w:hAnsi="Times New Roman" w:cs="Times New Roman"/>
                <w:lang w:val="sr-Cyrl-RS"/>
              </w:rPr>
              <w:t>КЈПП</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283272F" w14:textId="77777777" w:rsidR="00353A29" w:rsidRPr="00194649" w:rsidRDefault="00353A29" w:rsidP="00766164">
            <w:pPr>
              <w:spacing w:after="0" w:line="240" w:lineRule="auto"/>
              <w:jc w:val="center"/>
              <w:rPr>
                <w:rFonts w:ascii="Times New Roman" w:eastAsia="Times New Roman" w:hAnsi="Times New Roman" w:cs="Times New Roman"/>
              </w:rPr>
            </w:pPr>
            <w:r w:rsidRPr="00194649">
              <w:rPr>
                <w:rFonts w:ascii="Times New Roman" w:eastAsia="Times New Roman" w:hAnsi="Times New Roman" w:cs="Times New Roman"/>
                <w:lang w:val="sr-Cyrl-CS" w:eastAsia="en-GB"/>
              </w:rPr>
              <w:t>4. квартал 2024.</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0C832246" w14:textId="77777777" w:rsidR="00353A29" w:rsidRPr="00194649" w:rsidRDefault="00353A29" w:rsidP="00766164">
            <w:pPr>
              <w:spacing w:after="0" w:line="240" w:lineRule="auto"/>
              <w:rPr>
                <w:rFonts w:ascii="Times New Roman" w:eastAsia="Times New Roman" w:hAnsi="Times New Roman" w:cs="Times New Roman"/>
              </w:rPr>
            </w:pPr>
            <w:r w:rsidRPr="00194649">
              <w:rPr>
                <w:rFonts w:ascii="Times New Roman" w:eastAsia="Times New Roman" w:hAnsi="Times New Roman" w:cs="Times New Roman"/>
              </w:rPr>
              <w:t>У току</w:t>
            </w:r>
          </w:p>
        </w:tc>
        <w:tc>
          <w:tcPr>
            <w:tcW w:w="2255" w:type="dxa"/>
            <w:gridSpan w:val="4"/>
            <w:tcBorders>
              <w:top w:val="double" w:sz="4" w:space="0" w:color="auto"/>
              <w:left w:val="double" w:sz="4" w:space="0" w:color="auto"/>
              <w:bottom w:val="double" w:sz="4" w:space="0" w:color="auto"/>
              <w:right w:val="double" w:sz="4" w:space="0" w:color="auto"/>
            </w:tcBorders>
            <w:noWrap/>
            <w:vAlign w:val="center"/>
            <w:hideMark/>
          </w:tcPr>
          <w:p w14:paraId="1DC695FF" w14:textId="77777777" w:rsidR="00353A29" w:rsidRPr="00194649" w:rsidRDefault="00353A29" w:rsidP="00766164">
            <w:pPr>
              <w:spacing w:after="0" w:line="240" w:lineRule="auto"/>
              <w:jc w:val="center"/>
              <w:rPr>
                <w:rFonts w:ascii="Times New Roman" w:eastAsia="Times New Roman" w:hAnsi="Times New Roman" w:cs="Times New Roman"/>
                <w:lang w:val="sr-Cyrl-RS"/>
              </w:rPr>
            </w:pPr>
            <w:r w:rsidRPr="00194649">
              <w:rPr>
                <w:rFonts w:ascii="Times New Roman" w:eastAsia="Times New Roman" w:hAnsi="Times New Roman" w:cs="Times New Roman"/>
              </w:rPr>
              <w:t>4. квартал 202</w:t>
            </w:r>
            <w:r w:rsidRPr="00194649">
              <w:rPr>
                <w:rFonts w:ascii="Times New Roman" w:eastAsia="Times New Roman" w:hAnsi="Times New Roman" w:cs="Times New Roman"/>
                <w:lang w:val="sr-Cyrl-RS"/>
              </w:rPr>
              <w:t>5.</w:t>
            </w: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667524D0" w14:textId="77777777" w:rsidR="00353A29" w:rsidRPr="00194649" w:rsidRDefault="00353A29" w:rsidP="00766164">
            <w:pPr>
              <w:spacing w:after="160" w:line="256" w:lineRule="auto"/>
              <w:jc w:val="both"/>
              <w:rPr>
                <w:rFonts w:ascii="Times New Roman" w:eastAsia="Times New Roman" w:hAnsi="Times New Roman" w:cs="Times New Roman"/>
              </w:rPr>
            </w:pPr>
            <w:r w:rsidRPr="00194649">
              <w:rPr>
                <w:rFonts w:ascii="Times New Roman" w:eastAsia="Times New Roman" w:hAnsi="Times New Roman" w:cs="Times New Roman"/>
                <w:lang w:val="sr-Cyrl-RS"/>
              </w:rPr>
              <w:t>Након усвајања и</w:t>
            </w:r>
            <w:r w:rsidRPr="00194649">
              <w:rPr>
                <w:rFonts w:ascii="Times New Roman" w:eastAsia="Times New Roman" w:hAnsi="Times New Roman" w:cs="Times New Roman"/>
              </w:rPr>
              <w:t>змен</w:t>
            </w:r>
            <w:r w:rsidRPr="00194649">
              <w:rPr>
                <w:rFonts w:ascii="Times New Roman" w:eastAsia="Times New Roman" w:hAnsi="Times New Roman" w:cs="Times New Roman"/>
                <w:lang w:val="sr-Cyrl-RS"/>
              </w:rPr>
              <w:t>а</w:t>
            </w:r>
            <w:r w:rsidRPr="00194649">
              <w:rPr>
                <w:rFonts w:ascii="Times New Roman" w:eastAsia="Times New Roman" w:hAnsi="Times New Roman" w:cs="Times New Roman"/>
              </w:rPr>
              <w:t xml:space="preserve"> и допуне законодавног оквира у области јавно-приватног партнерства и концесија планиран</w:t>
            </w:r>
            <w:r w:rsidRPr="00194649">
              <w:rPr>
                <w:rFonts w:ascii="Times New Roman" w:eastAsia="Times New Roman" w:hAnsi="Times New Roman" w:cs="Times New Roman"/>
                <w:lang w:val="sr-Cyrl-RS"/>
              </w:rPr>
              <w:t xml:space="preserve">о је да се израде </w:t>
            </w:r>
            <w:r w:rsidRPr="00194649">
              <w:rPr>
                <w:rFonts w:ascii="Times New Roman" w:eastAsia="Times New Roman" w:hAnsi="Times New Roman" w:cs="Times New Roman"/>
                <w:lang w:val="sr-Cyrl-CS" w:eastAsia="en-GB"/>
              </w:rPr>
              <w:t>смернице и модели конкурсних документација за јавно-приватно партнерство и концесије.</w:t>
            </w:r>
          </w:p>
        </w:tc>
      </w:tr>
      <w:tr w:rsidR="00353A29" w14:paraId="628E795D" w14:textId="77777777" w:rsidTr="00766164">
        <w:trPr>
          <w:gridAfter w:val="1"/>
          <w:wAfter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vAlign w:val="center"/>
          </w:tcPr>
          <w:p w14:paraId="4CE99024" w14:textId="77777777" w:rsidR="00353A29" w:rsidRPr="00194649" w:rsidRDefault="00353A29" w:rsidP="00766164">
            <w:pPr>
              <w:spacing w:after="0" w:line="240" w:lineRule="auto"/>
              <w:rPr>
                <w:rFonts w:ascii="Times New Roman" w:eastAsia="Times New Roman" w:hAnsi="Times New Roman" w:cs="Times New Roman"/>
                <w:lang w:val="sr-Cyrl-CS" w:eastAsia="en-GB"/>
              </w:rPr>
            </w:pPr>
          </w:p>
          <w:p w14:paraId="374B90B7" w14:textId="77777777" w:rsidR="00353A29" w:rsidRPr="00194649" w:rsidRDefault="00353A29" w:rsidP="00766164">
            <w:pPr>
              <w:spacing w:after="0" w:line="240" w:lineRule="auto"/>
              <w:rPr>
                <w:rFonts w:ascii="Times New Roman" w:eastAsia="Times New Roman" w:hAnsi="Times New Roman" w:cs="Times New Roman"/>
                <w:lang w:val="sr-Cyrl-CS" w:eastAsia="en-GB"/>
              </w:rPr>
            </w:pPr>
            <w:r w:rsidRPr="00194649">
              <w:rPr>
                <w:rFonts w:ascii="Times New Roman" w:eastAsia="Times New Roman" w:hAnsi="Times New Roman" w:cs="Times New Roman"/>
                <w:lang w:val="sr-Cyrl-CS" w:eastAsia="en-GB"/>
              </w:rPr>
              <w:t>1.1.1.3. Организовање обука за наручиоце и привредне субјекте у области јавно-приватног партнерства и концесија</w:t>
            </w:r>
          </w:p>
          <w:p w14:paraId="68FB9BF0" w14:textId="77777777" w:rsidR="00353A29" w:rsidRPr="00194649" w:rsidRDefault="00353A29" w:rsidP="00766164">
            <w:pPr>
              <w:spacing w:after="0" w:line="240" w:lineRule="auto"/>
              <w:rPr>
                <w:rFonts w:ascii="Times New Roman" w:eastAsia="Times New Roman" w:hAnsi="Times New Roman" w:cs="Times New Roman"/>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179A2FC4" w14:textId="77777777" w:rsidR="00353A29" w:rsidRPr="00194649" w:rsidRDefault="00353A29" w:rsidP="00766164">
            <w:pPr>
              <w:spacing w:after="0" w:line="240" w:lineRule="auto"/>
              <w:jc w:val="center"/>
              <w:rPr>
                <w:rFonts w:ascii="Times New Roman" w:eastAsia="Calibri" w:hAnsi="Times New Roman" w:cs="Times New Roman"/>
                <w:iCs/>
                <w:lang w:val="sr-Cyrl-CS"/>
              </w:rPr>
            </w:pPr>
            <w:r w:rsidRPr="00194649">
              <w:rPr>
                <w:rFonts w:ascii="Times New Roman" w:eastAsia="Calibri" w:hAnsi="Times New Roman" w:cs="Times New Roman"/>
                <w:iCs/>
                <w:lang w:val="sr-Cyrl-CS"/>
              </w:rPr>
              <w:t>МП</w:t>
            </w:r>
          </w:p>
          <w:p w14:paraId="1127230F" w14:textId="77777777" w:rsidR="00353A29" w:rsidRPr="00194649" w:rsidRDefault="00353A29" w:rsidP="00766164">
            <w:pPr>
              <w:spacing w:after="0" w:line="240" w:lineRule="auto"/>
              <w:jc w:val="center"/>
              <w:rPr>
                <w:rFonts w:ascii="Times New Roman" w:eastAsia="Times New Roman" w:hAnsi="Times New Roman" w:cs="Times New Roman"/>
              </w:rPr>
            </w:pPr>
            <w:r w:rsidRPr="00194649">
              <w:rPr>
                <w:rFonts w:ascii="Times New Roman" w:eastAsia="Times New Roman" w:hAnsi="Times New Roman" w:cs="Times New Roman"/>
                <w:lang w:val="sr-Cyrl-RS"/>
              </w:rPr>
              <w:t>КЈПП</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2578BA69" w14:textId="77777777" w:rsidR="00353A29" w:rsidRPr="00194649" w:rsidRDefault="00353A29" w:rsidP="00766164">
            <w:pPr>
              <w:spacing w:after="0" w:line="240" w:lineRule="auto"/>
              <w:jc w:val="center"/>
              <w:rPr>
                <w:rFonts w:ascii="Times New Roman" w:eastAsia="Times New Roman" w:hAnsi="Times New Roman" w:cs="Times New Roman"/>
              </w:rPr>
            </w:pPr>
            <w:r w:rsidRPr="00194649">
              <w:rPr>
                <w:rFonts w:ascii="Times New Roman" w:eastAsia="Times New Roman" w:hAnsi="Times New Roman" w:cs="Times New Roman"/>
                <w:lang w:val="sr-Cyrl-CS" w:eastAsia="en-GB"/>
              </w:rPr>
              <w:t>4. квартал 2024.</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23941E52" w14:textId="77777777" w:rsidR="00353A29" w:rsidRPr="00194649" w:rsidRDefault="00353A29" w:rsidP="00766164">
            <w:pPr>
              <w:spacing w:after="0" w:line="240" w:lineRule="auto"/>
              <w:rPr>
                <w:rFonts w:ascii="Times New Roman" w:eastAsia="Times New Roman" w:hAnsi="Times New Roman" w:cs="Times New Roman"/>
              </w:rPr>
            </w:pPr>
            <w:r w:rsidRPr="00194649">
              <w:rPr>
                <w:rFonts w:ascii="Times New Roman" w:eastAsia="Times New Roman" w:hAnsi="Times New Roman" w:cs="Times New Roman"/>
              </w:rPr>
              <w:t>У току</w:t>
            </w:r>
          </w:p>
        </w:tc>
        <w:tc>
          <w:tcPr>
            <w:tcW w:w="2255" w:type="dxa"/>
            <w:gridSpan w:val="4"/>
            <w:tcBorders>
              <w:top w:val="double" w:sz="4" w:space="0" w:color="auto"/>
              <w:left w:val="double" w:sz="4" w:space="0" w:color="auto"/>
              <w:bottom w:val="double" w:sz="4" w:space="0" w:color="auto"/>
              <w:right w:val="double" w:sz="4" w:space="0" w:color="auto"/>
            </w:tcBorders>
            <w:noWrap/>
            <w:vAlign w:val="center"/>
            <w:hideMark/>
          </w:tcPr>
          <w:p w14:paraId="045BF0E8" w14:textId="77777777" w:rsidR="00353A29" w:rsidRPr="00194649" w:rsidRDefault="00353A29" w:rsidP="00766164">
            <w:pPr>
              <w:spacing w:after="0" w:line="240" w:lineRule="auto"/>
              <w:jc w:val="center"/>
              <w:rPr>
                <w:rFonts w:ascii="Times New Roman" w:eastAsia="Times New Roman" w:hAnsi="Times New Roman" w:cs="Times New Roman"/>
              </w:rPr>
            </w:pPr>
            <w:r w:rsidRPr="00194649">
              <w:rPr>
                <w:rFonts w:ascii="Times New Roman" w:eastAsia="Times New Roman" w:hAnsi="Times New Roman" w:cs="Times New Roman"/>
              </w:rPr>
              <w:t>4. квартал 202</w:t>
            </w:r>
            <w:r w:rsidRPr="00194649">
              <w:rPr>
                <w:rFonts w:ascii="Times New Roman" w:eastAsia="Times New Roman" w:hAnsi="Times New Roman" w:cs="Times New Roman"/>
                <w:lang w:val="sr-Cyrl-RS"/>
              </w:rPr>
              <w:t>5.</w:t>
            </w: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5635A1D6" w14:textId="77777777" w:rsidR="00353A29" w:rsidRPr="00F84578" w:rsidRDefault="00353A29" w:rsidP="00766164">
            <w:pPr>
              <w:tabs>
                <w:tab w:val="left" w:pos="2234"/>
              </w:tabs>
              <w:spacing w:after="160" w:line="256" w:lineRule="auto"/>
              <w:jc w:val="both"/>
              <w:rPr>
                <w:rFonts w:ascii="Times New Roman" w:eastAsia="Times New Roman" w:hAnsi="Times New Roman" w:cs="Times New Roman"/>
                <w:lang w:val="sr-Cyrl-RS"/>
              </w:rPr>
            </w:pPr>
            <w:bookmarkStart w:id="4" w:name="_Hlk163463939"/>
            <w:r w:rsidRPr="00194649">
              <w:rPr>
                <w:rFonts w:ascii="Times New Roman" w:eastAsia="Times New Roman" w:hAnsi="Times New Roman" w:cs="Times New Roman"/>
                <w:lang w:val="sr-Cyrl-RS"/>
              </w:rPr>
              <w:t xml:space="preserve">Након усвајања измена и допуна ЗЈПП и </w:t>
            </w:r>
            <w:bookmarkEnd w:id="4"/>
            <w:r w:rsidRPr="00194649">
              <w:rPr>
                <w:rFonts w:ascii="Times New Roman" w:eastAsia="Times New Roman" w:hAnsi="Times New Roman" w:cs="Times New Roman"/>
                <w:lang w:val="sr-Cyrl-RS"/>
              </w:rPr>
              <w:t xml:space="preserve">израде </w:t>
            </w:r>
            <w:r w:rsidRPr="00194649">
              <w:rPr>
                <w:rFonts w:ascii="Times New Roman" w:eastAsia="Times New Roman" w:hAnsi="Times New Roman" w:cs="Times New Roman"/>
                <w:lang w:val="sr-Cyrl-CS" w:eastAsia="en-GB"/>
              </w:rPr>
              <w:t>смерница и модела конкурсних документација за јавно-приватно партнерство и концесије, планирано да се организују обуке за наручиоце и привредне субјекте у области јавно-приватног партнерства и концесија.</w:t>
            </w:r>
          </w:p>
        </w:tc>
      </w:tr>
      <w:tr w:rsidR="00353A29" w14:paraId="48A2525F"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0ED2D0D6" w14:textId="77777777" w:rsidR="00353A29" w:rsidRDefault="00353A29" w:rsidP="00766164"/>
        </w:tc>
      </w:tr>
      <w:tr w:rsidR="00353A29" w14:paraId="04881600" w14:textId="77777777" w:rsidTr="00766164">
        <w:trPr>
          <w:gridAfter w:val="1"/>
          <w:wAfter w:w="10" w:type="dxa"/>
          <w:trHeight w:val="5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vAlign w:val="center"/>
            <w:hideMark/>
          </w:tcPr>
          <w:p w14:paraId="163EDBEF" w14:textId="77777777" w:rsidR="00353A29" w:rsidRDefault="00353A29" w:rsidP="00766164">
            <w:pPr>
              <w:spacing w:after="0" w:line="240" w:lineRule="auto"/>
              <w:jc w:val="both"/>
              <w:rPr>
                <w:rFonts w:ascii="Times New Roman" w:eastAsia="Times New Roman" w:hAnsi="Times New Roman" w:cs="Times New Roman"/>
                <w:color w:val="222222"/>
              </w:rPr>
            </w:pPr>
            <w:bookmarkStart w:id="5" w:name="_Toc73613639"/>
            <w:r>
              <w:rPr>
                <w:rFonts w:ascii="Times New Roman" w:eastAsia="Times New Roman" w:hAnsi="Times New Roman" w:cs="Times New Roman"/>
                <w:b/>
                <w:i/>
                <w:color w:val="365F91"/>
                <w:lang w:val="sr-Cyrl-CS" w:eastAsia="en-GB"/>
              </w:rPr>
              <w:t xml:space="preserve">Мера 1.1.2: </w:t>
            </w:r>
            <w:bookmarkEnd w:id="5"/>
            <w:r>
              <w:rPr>
                <w:rFonts w:ascii="Times New Roman" w:eastAsia="Times New Roman" w:hAnsi="Times New Roman" w:cs="Times New Roman"/>
                <w:b/>
                <w:i/>
                <w:color w:val="365F91"/>
                <w:lang w:val="sr-Cyrl-CS" w:eastAsia="en-GB"/>
              </w:rPr>
              <w:t>Јачање институционалних капацитета</w:t>
            </w:r>
          </w:p>
        </w:tc>
      </w:tr>
      <w:tr w:rsidR="00353A29" w14:paraId="44457165"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73C0BDFC"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Носилац </w:t>
            </w:r>
            <w:r>
              <w:rPr>
                <w:rFonts w:ascii="Times New Roman" w:eastAsia="Times New Roman" w:hAnsi="Times New Roman" w:cs="Times New Roman"/>
                <w:color w:val="222222"/>
                <w:lang w:val="sr-Cyrl-RS"/>
              </w:rPr>
              <w:t>мер</w:t>
            </w:r>
            <w:r>
              <w:rPr>
                <w:rFonts w:ascii="Times New Roman" w:eastAsia="Times New Roman" w:hAnsi="Times New Roman" w:cs="Times New Roman"/>
                <w:color w:val="222222"/>
              </w:rPr>
              <w:t>е: КЈН</w:t>
            </w:r>
          </w:p>
        </w:tc>
      </w:tr>
      <w:tr w:rsidR="00353A29" w14:paraId="5623737A"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71C0B7B"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9F134B7"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58031D0"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203D087"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763AE53"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09B599B9"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2911FA8B" w14:textId="77777777" w:rsidR="00353A29" w:rsidRDefault="00353A29" w:rsidP="00766164">
            <w:pPr>
              <w:tabs>
                <w:tab w:val="left" w:pos="332"/>
              </w:tabs>
              <w:spacing w:before="40" w:after="40" w:line="240" w:lineRule="auto"/>
              <w:rPr>
                <w:rFonts w:ascii="Times New Roman" w:hAnsi="Times New Roman" w:cs="Times New Roman"/>
                <w:lang w:val="sr-Cyrl-CS"/>
              </w:rPr>
            </w:pPr>
            <w:r>
              <w:rPr>
                <w:rFonts w:ascii="Times New Roman" w:eastAsia="Times New Roman" w:hAnsi="Times New Roman" w:cs="Times New Roman"/>
                <w:lang w:val="sr-Cyrl-CS" w:eastAsia="en-GB"/>
              </w:rPr>
              <w:t>Број запослених у КЈН, укупно</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31C57D90"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38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006ED9B4" w14:textId="77777777" w:rsidR="00353A29" w:rsidRDefault="00353A29" w:rsidP="0076616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40</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7A28072"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40</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02655C7" w14:textId="77777777" w:rsidR="00353A29" w:rsidRDefault="00353A29" w:rsidP="00766164">
            <w:pPr>
              <w:rPr>
                <w:rFonts w:ascii="Times New Roman" w:hAnsi="Times New Roman" w:cs="Times New Roman"/>
                <w:lang w:val="sr-Cyrl-RS"/>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38</w:t>
            </w:r>
            <w:r>
              <w:rPr>
                <w:rFonts w:ascii="Times New Roman" w:eastAsia="Times New Roman" w:hAnsi="Times New Roman" w:cs="Times New Roman"/>
                <w:color w:val="222222"/>
              </w:rPr>
              <w:t xml:space="preserve"> 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години, док је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 xml:space="preserve">циљана вредност за 2024. годину остварена и износи 40. </w:t>
            </w:r>
          </w:p>
        </w:tc>
      </w:tr>
      <w:tr w:rsidR="00353A29" w14:paraId="5328D412"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16D70D60" w14:textId="77777777" w:rsidR="00353A29" w:rsidRDefault="00353A29" w:rsidP="00766164"/>
        </w:tc>
      </w:tr>
      <w:tr w:rsidR="00353A29" w14:paraId="24CFA94B"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05C9938"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B6EDBA6"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6ED5522"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Рок за реализацију у 202</w:t>
            </w:r>
            <w:r>
              <w:rPr>
                <w:rFonts w:ascii="Times New Roman" w:eastAsia="Times New Roman" w:hAnsi="Times New Roman" w:cs="Times New Roman"/>
                <w:b/>
                <w:bCs/>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9E7CD6C"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CC07A6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F25B1C4"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542183F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7BC1F2BB" w14:textId="77777777" w:rsidTr="00766164">
        <w:trPr>
          <w:gridAfter w:val="1"/>
          <w:wAfter w:w="10" w:type="dxa"/>
          <w:trHeight w:val="96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4D9E5592"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4E45AC23"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lang w:val="sr-Cyrl-CS" w:eastAsia="en-GB"/>
              </w:rPr>
              <w:t xml:space="preserve">1.1.2.1. Израда Правилника о унутрашњем уређењу и </w:t>
            </w:r>
            <w:r>
              <w:rPr>
                <w:rFonts w:ascii="Times New Roman" w:eastAsia="Times New Roman" w:hAnsi="Times New Roman" w:cs="Times New Roman"/>
                <w:lang w:val="sr-Cyrl-CS" w:eastAsia="en-GB"/>
              </w:rPr>
              <w:lastRenderedPageBreak/>
              <w:t>систематизацији радних места КЈН</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61E99C58"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КЈН</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A1FCFCE"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11740B00"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У току</w:t>
            </w:r>
          </w:p>
        </w:tc>
        <w:tc>
          <w:tcPr>
            <w:tcW w:w="2255" w:type="dxa"/>
            <w:gridSpan w:val="4"/>
            <w:tcBorders>
              <w:top w:val="double" w:sz="4" w:space="0" w:color="auto"/>
              <w:left w:val="double" w:sz="4" w:space="0" w:color="auto"/>
              <w:bottom w:val="double" w:sz="4" w:space="0" w:color="auto"/>
              <w:right w:val="double" w:sz="4" w:space="0" w:color="auto"/>
            </w:tcBorders>
            <w:noWrap/>
            <w:vAlign w:val="center"/>
            <w:hideMark/>
          </w:tcPr>
          <w:p w14:paraId="2BD6A776" w14:textId="77777777" w:rsidR="00353A29" w:rsidRDefault="00353A29" w:rsidP="00766164">
            <w:pPr>
              <w:spacing w:after="0" w:line="240" w:lineRule="auto"/>
              <w:jc w:val="center"/>
              <w:rPr>
                <w:rFonts w:ascii="Times New Roman" w:eastAsia="Times New Roman" w:hAnsi="Times New Roman" w:cs="Times New Roman"/>
                <w:color w:val="222222"/>
                <w:lang w:val="sr-Latn-RS"/>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Latn-RS"/>
              </w:rPr>
              <w:t>5</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64E33700" w14:textId="77777777" w:rsidR="00353A29" w:rsidRDefault="00353A29" w:rsidP="00766164">
            <w:pPr>
              <w:pStyle w:val="NoSpacing"/>
              <w:spacing w:line="276" w:lineRule="auto"/>
              <w:jc w:val="both"/>
              <w:rPr>
                <w:rFonts w:ascii="Times New Roman" w:eastAsia="Calibri" w:hAnsi="Times New Roman" w:cs="Times New Roman"/>
                <w:lang w:val="sr-Cyrl-RS"/>
              </w:rPr>
            </w:pPr>
            <w:r>
              <w:rPr>
                <w:rFonts w:ascii="Times New Roman" w:eastAsia="Calibri" w:hAnsi="Times New Roman" w:cs="Times New Roman"/>
                <w:lang w:val="sr-Cyrl-RS"/>
              </w:rPr>
              <w:t xml:space="preserve">Како постојећи капацитети КЈН нису још увек у потпуности попуњени, није се током 2024. године приступило изради </w:t>
            </w:r>
            <w:r>
              <w:rPr>
                <w:rFonts w:ascii="Times New Roman" w:eastAsia="Times New Roman" w:hAnsi="Times New Roman" w:cs="Times New Roman"/>
                <w:lang w:val="sr-Cyrl-CS" w:eastAsia="en-GB"/>
              </w:rPr>
              <w:t xml:space="preserve">Правилника о унутрашњем уређењу и систематизацији радних места КЈН. </w:t>
            </w:r>
            <w:r>
              <w:rPr>
                <w:rFonts w:ascii="Times New Roman" w:eastAsia="Calibri" w:hAnsi="Times New Roman" w:cs="Times New Roman"/>
                <w:lang w:val="sr-Cyrl-RS"/>
              </w:rPr>
              <w:t xml:space="preserve">У циљу повећања кадровских капацитета, КЈН је у августу 2024. године расписала јавни конкурс за попуњавање </w:t>
            </w:r>
            <w:r>
              <w:rPr>
                <w:rFonts w:ascii="Times New Roman" w:eastAsia="Calibri" w:hAnsi="Times New Roman" w:cs="Times New Roman"/>
                <w:lang w:val="sr-Cyrl-RS"/>
              </w:rPr>
              <w:lastRenderedPageBreak/>
              <w:t xml:space="preserve">извршилачких радних места. Након успешно окончаног јавног конкурса, кадровски капацитети КЈН увећани су за пет (5) извршилаца са високом стручном спремом, од чега један (1) у звању саветник и четири (4) у звању млађи саветник. </w:t>
            </w:r>
          </w:p>
        </w:tc>
      </w:tr>
      <w:tr w:rsidR="00353A29" w14:paraId="6D5ED3B7" w14:textId="77777777" w:rsidTr="00766164">
        <w:trPr>
          <w:gridAfter w:val="1"/>
          <w:wAfter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5A89FA2D"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7A4F6F21"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54673C93"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178BA959"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63EC7BEB"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025AD63E"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71D9C344"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4A24F121"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06435F46"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61AAC390" w14:textId="77777777" w:rsidR="00353A29" w:rsidRDefault="00353A29" w:rsidP="00766164">
            <w:pPr>
              <w:spacing w:after="0" w:line="240" w:lineRule="auto"/>
              <w:jc w:val="center"/>
              <w:rPr>
                <w:rFonts w:ascii="Times New Roman" w:eastAsia="Times New Roman" w:hAnsi="Times New Roman" w:cs="Times New Roman"/>
                <w:b/>
                <w:bCs/>
                <w:color w:val="000000"/>
                <w:lang w:val="sr-Cyrl-CS" w:eastAsia="en-GB"/>
              </w:rPr>
            </w:pPr>
          </w:p>
          <w:p w14:paraId="6F1D61EC"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lang w:val="sr-Cyrl-CS" w:eastAsia="en-GB"/>
              </w:rPr>
              <w:t>1.1.2.2. Организовање обука и стручних усавршавања запослених у кључним институцијама у систему јавних набавки</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5542892D"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КЈН</w:t>
            </w:r>
          </w:p>
          <w:p w14:paraId="749579A8" w14:textId="77777777" w:rsidR="00353A29" w:rsidRDefault="00353A29" w:rsidP="00766164">
            <w:pPr>
              <w:tabs>
                <w:tab w:val="left" w:pos="9923"/>
              </w:tabs>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РК</w:t>
            </w:r>
          </w:p>
          <w:p w14:paraId="25691AF8" w14:textId="77777777" w:rsidR="00353A29" w:rsidRDefault="00353A29" w:rsidP="00766164">
            <w:pPr>
              <w:tabs>
                <w:tab w:val="left" w:pos="9923"/>
              </w:tabs>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КЈПП</w:t>
            </w:r>
          </w:p>
          <w:p w14:paraId="4C3C562A" w14:textId="77777777" w:rsidR="00353A29" w:rsidRDefault="00353A29" w:rsidP="00766164">
            <w:pPr>
              <w:tabs>
                <w:tab w:val="left" w:pos="9923"/>
              </w:tabs>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КЗК</w:t>
            </w:r>
          </w:p>
          <w:p w14:paraId="41C25A55" w14:textId="77777777" w:rsidR="00353A29" w:rsidRDefault="00353A29" w:rsidP="00766164">
            <w:pPr>
              <w:tabs>
                <w:tab w:val="left" w:pos="9923"/>
              </w:tabs>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НАЛЕД</w:t>
            </w:r>
          </w:p>
          <w:p w14:paraId="581036E2" w14:textId="77777777" w:rsidR="00353A29" w:rsidRDefault="00353A29" w:rsidP="00766164">
            <w:pPr>
              <w:tabs>
                <w:tab w:val="left" w:pos="9923"/>
              </w:tabs>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УНДП</w:t>
            </w:r>
          </w:p>
          <w:p w14:paraId="01166B4D"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lang w:val="sr-Cyrl-CS" w:eastAsia="en-GB"/>
              </w:rPr>
              <w:t>УСАИД</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41F0B5D"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4603D6F0"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hideMark/>
          </w:tcPr>
          <w:p w14:paraId="1C598690"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318BFFD4" w14:textId="77777777" w:rsidR="00353A29" w:rsidRPr="006F62CD" w:rsidRDefault="00353A29" w:rsidP="00766164">
            <w:pPr>
              <w:spacing w:after="0" w:line="240" w:lineRule="auto"/>
              <w:jc w:val="both"/>
              <w:rPr>
                <w:rFonts w:ascii="Times New Roman" w:eastAsia="Times New Roman" w:hAnsi="Times New Roman" w:cs="Times New Roman"/>
                <w:color w:val="222222"/>
              </w:rPr>
            </w:pPr>
            <w:r w:rsidRPr="006F62CD">
              <w:rPr>
                <w:rFonts w:ascii="Times New Roman" w:eastAsia="Times New Roman" w:hAnsi="Times New Roman" w:cs="Times New Roman"/>
                <w:color w:val="222222"/>
                <w:lang w:val="sr-Cyrl-RS"/>
              </w:rPr>
              <w:t xml:space="preserve">- </w:t>
            </w:r>
            <w:r w:rsidRPr="006F62CD">
              <w:rPr>
                <w:rFonts w:ascii="Times New Roman" w:hAnsi="Times New Roman" w:cs="Times New Roman"/>
              </w:rPr>
              <w:t xml:space="preserve">Представници КЈН учествовали су у службеној посети Холандији и Белгији. Учесници из КЈН, Републичке комисије за заштиту права у поступцима јавних набавки, Министарства науке, технолошког развоја и иновација, Фонда за иновациону делатност, Града Београда и других локалних самоуправа имали су прилику да размене искуства са другим институцијама у области јавних набавки, као што су Korversa, European Innovation Council (EIC), SPIN4EIC initiative итд.  </w:t>
            </w:r>
          </w:p>
          <w:p w14:paraId="62E246B9" w14:textId="77777777" w:rsidR="00353A29" w:rsidRPr="006F62CD" w:rsidRDefault="00353A29" w:rsidP="00766164">
            <w:pPr>
              <w:spacing w:after="0" w:line="240" w:lineRule="auto"/>
              <w:jc w:val="both"/>
              <w:rPr>
                <w:rFonts w:ascii="Times New Roman" w:hAnsi="Times New Roman" w:cs="Times New Roman"/>
              </w:rPr>
            </w:pPr>
            <w:r w:rsidRPr="006F62CD">
              <w:rPr>
                <w:rFonts w:ascii="Times New Roman" w:eastAsia="Times New Roman" w:hAnsi="Times New Roman" w:cs="Times New Roman"/>
                <w:color w:val="222222"/>
                <w:lang w:val="sr-Cyrl-RS"/>
              </w:rPr>
              <w:t xml:space="preserve">- </w:t>
            </w:r>
            <w:r w:rsidRPr="006F62CD">
              <w:rPr>
                <w:rFonts w:ascii="Times New Roman" w:hAnsi="Times New Roman" w:cs="Times New Roman"/>
              </w:rPr>
              <w:t>Представници КЈН учествовали су у службеној посети Данској. Током службене посете је организовано неколико састанака са инситуцијама Данске у области јавних набавки: Предузеће за јавне набавке SKI (Public Procurement Entreprise SKI); Ecolabelling Denmark; Управа за заштиту конкуренције и потрошача Данске (The Danish Competition and Consumer Authority); Град Копенхаген – Одељење за стратешке набавке; Агенција за јавне финансије и менаџмент у оквиру Министарства финансија – Одељење за државни програм набавки; Саветодавна јединица за државне набавке. На поменутим састанцима представници надлежних институција Краљевине Данске представили су учесницима студијске посете прописе у области јавних набавки, своје надлежности и овлашћења, праксу у области планирања и спровођења поступака јавних набавки, одрживих (зелених и социјалних) јавних набавки, управања уговорима и мониторингом над поступцима јавних набавки, као и праксу у области заштите конкуренције у поступцима јавних набавки.</w:t>
            </w:r>
          </w:p>
          <w:p w14:paraId="1DC017D4" w14:textId="77777777" w:rsidR="00353A29" w:rsidRPr="006F62CD" w:rsidRDefault="00353A29" w:rsidP="00766164">
            <w:pPr>
              <w:spacing w:after="0" w:line="240" w:lineRule="auto"/>
              <w:jc w:val="both"/>
              <w:rPr>
                <w:rFonts w:ascii="Times New Roman" w:eastAsia="Times New Roman" w:hAnsi="Times New Roman" w:cs="Times New Roman"/>
                <w:color w:val="222222"/>
              </w:rPr>
            </w:pPr>
            <w:r w:rsidRPr="006F62CD">
              <w:rPr>
                <w:rFonts w:ascii="Times New Roman" w:eastAsia="Times New Roman" w:hAnsi="Times New Roman" w:cs="Times New Roman"/>
                <w:color w:val="222222"/>
                <w:lang w:val="sr-Cyrl-RS"/>
              </w:rPr>
              <w:t xml:space="preserve">- </w:t>
            </w:r>
            <w:r w:rsidRPr="006F62CD">
              <w:rPr>
                <w:rFonts w:ascii="Times New Roman" w:hAnsi="Times New Roman" w:cs="Times New Roman"/>
              </w:rPr>
              <w:t xml:space="preserve">Представник КЈН учествовао је на радионици организованој од стране CEF у Љубљани, Словенија, на тему „Процена економског утицаја реформи које подржавају пословно окружење“. Радионица је организована са циљем да се окупе представници јурисдикција Западног Балкана ради размене мишљења и стечених искустава у изради структурних реформи своје државе. Представник КЈН је имао активно учешће у раду </w:t>
            </w:r>
            <w:r w:rsidRPr="006F62CD">
              <w:rPr>
                <w:rFonts w:ascii="Times New Roman" w:hAnsi="Times New Roman" w:cs="Times New Roman"/>
              </w:rPr>
              <w:lastRenderedPageBreak/>
              <w:t xml:space="preserve">по групама и самостално, како у погледу израде процене утицаја реформских активности на пословно окружење, тако и у погледу размене искустава са другим учесницима радионице. </w:t>
            </w:r>
          </w:p>
        </w:tc>
      </w:tr>
      <w:tr w:rsidR="00353A29" w14:paraId="4341DE8D"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69ECFA0E" w14:textId="77777777" w:rsidR="00353A29" w:rsidRDefault="00353A29" w:rsidP="00766164"/>
        </w:tc>
      </w:tr>
      <w:tr w:rsidR="00353A29" w14:paraId="12BF9A91"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hideMark/>
          </w:tcPr>
          <w:p w14:paraId="51039D8A" w14:textId="77777777" w:rsidR="00353A29" w:rsidRDefault="00353A29" w:rsidP="00766164">
            <w:pPr>
              <w:spacing w:after="0" w:line="240" w:lineRule="auto"/>
              <w:rPr>
                <w:rFonts w:ascii="Times New Roman" w:eastAsia="Times New Roman" w:hAnsi="Times New Roman" w:cs="Times New Roman"/>
                <w:color w:val="222222"/>
              </w:rPr>
            </w:pPr>
            <w:bookmarkStart w:id="6" w:name="_Toc73613643"/>
            <w:r>
              <w:rPr>
                <w:rFonts w:ascii="Times New Roman" w:eastAsia="Times New Roman" w:hAnsi="Times New Roman" w:cs="Times New Roman"/>
                <w:b/>
                <w:i/>
                <w:color w:val="365F91"/>
                <w:lang w:val="sr-Cyrl-CS" w:eastAsia="en-GB"/>
              </w:rPr>
              <w:t xml:space="preserve">Мера 1.1.3: </w:t>
            </w:r>
            <w:bookmarkEnd w:id="6"/>
            <w:r>
              <w:rPr>
                <w:rFonts w:ascii="Times New Roman" w:eastAsia="Times New Roman" w:hAnsi="Times New Roman" w:cs="Times New Roman"/>
                <w:b/>
                <w:i/>
                <w:color w:val="365F91"/>
                <w:lang w:val="sr-Cyrl-CS" w:eastAsia="en-GB"/>
              </w:rPr>
              <w:t>Јачање административних капацитета наручилаца и привредних субјеката</w:t>
            </w:r>
          </w:p>
        </w:tc>
      </w:tr>
      <w:tr w:rsidR="00353A29" w14:paraId="26412762"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5B996193"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Носилац </w:t>
            </w:r>
            <w:r>
              <w:rPr>
                <w:rFonts w:ascii="Times New Roman" w:eastAsia="Times New Roman" w:hAnsi="Times New Roman" w:cs="Times New Roman"/>
                <w:color w:val="222222"/>
                <w:lang w:val="sr-Cyrl-RS"/>
              </w:rPr>
              <w:t>мере</w:t>
            </w:r>
            <w:r>
              <w:rPr>
                <w:rFonts w:ascii="Times New Roman" w:eastAsia="Times New Roman" w:hAnsi="Times New Roman" w:cs="Times New Roman"/>
                <w:color w:val="222222"/>
              </w:rPr>
              <w:t>: КЈН</w:t>
            </w:r>
          </w:p>
        </w:tc>
      </w:tr>
      <w:tr w:rsidR="00353A29" w14:paraId="16DAEF26"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C90B26B"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6198837"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C8B7B8C"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E0F9454"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6BA5EF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53B5E71E"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6815331C"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lang w:val="sr-Cyrl-CS" w:eastAsia="en-GB"/>
              </w:rPr>
              <w:t>Број сертификованих службеника за јавне набавке, укупно</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10569CC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lang w:val="sr-Cyrl-RS"/>
              </w:rPr>
              <w:t xml:space="preserve">5231 </w:t>
            </w:r>
            <w:r>
              <w:rPr>
                <w:rFonts w:ascii="Times New Roman" w:eastAsia="Times New Roman" w:hAnsi="Times New Roman" w:cs="Times New Roman"/>
                <w:color w:val="222222"/>
              </w:rPr>
              <w:t>(202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65C85AF3" w14:textId="77777777" w:rsidR="00353A29" w:rsidRDefault="00353A29" w:rsidP="00766164">
            <w:pPr>
              <w:spacing w:after="0" w:line="240" w:lineRule="auto"/>
              <w:rPr>
                <w:rFonts w:ascii="Times New Roman" w:eastAsia="Times New Roman" w:hAnsi="Times New Roman" w:cs="Times New Roman"/>
                <w:bCs/>
                <w:color w:val="222222"/>
                <w:lang w:val="sr-Cyrl-RS"/>
              </w:rPr>
            </w:pPr>
            <w:r>
              <w:rPr>
                <w:rFonts w:ascii="Times New Roman" w:eastAsia="Times New Roman" w:hAnsi="Times New Roman" w:cs="Times New Roman"/>
                <w:bCs/>
                <w:lang w:val="sr-Cyrl-RS"/>
              </w:rPr>
              <w:t>5400</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5255F704" w14:textId="77777777" w:rsidR="00353A29" w:rsidRDefault="00353A29" w:rsidP="00766164">
            <w:pPr>
              <w:spacing w:after="0" w:line="240" w:lineRule="auto"/>
              <w:rPr>
                <w:rFonts w:ascii="Times New Roman" w:eastAsia="Times New Roman" w:hAnsi="Times New Roman" w:cs="Times New Roman"/>
                <w:bCs/>
                <w:color w:val="222222"/>
                <w:lang w:val="sr-Cyrl-RS"/>
              </w:rPr>
            </w:pPr>
            <w:r>
              <w:rPr>
                <w:rFonts w:ascii="Times New Roman" w:eastAsia="Times New Roman" w:hAnsi="Times New Roman" w:cs="Times New Roman"/>
                <w:bCs/>
                <w:color w:val="222222"/>
                <w:lang w:val="sr-Cyrl-RS"/>
              </w:rPr>
              <w:t>5529</w:t>
            </w:r>
            <w:r>
              <w:rPr>
                <w:rStyle w:val="FootnoteReference"/>
                <w:rFonts w:ascii="Times New Roman" w:eastAsia="Times New Roman" w:hAnsi="Times New Roman" w:cs="Times New Roman"/>
                <w:color w:val="222222"/>
              </w:rPr>
              <w:footnoteReference w:id="2"/>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46F22D05" w14:textId="77777777" w:rsidR="00353A29" w:rsidRDefault="00353A29" w:rsidP="00766164">
            <w:pPr>
              <w:spacing w:after="0" w:line="240" w:lineRule="auto"/>
              <w:jc w:val="both"/>
              <w:rPr>
                <w:rFonts w:ascii="Times New Roman" w:eastAsia="Times New Roman" w:hAnsi="Times New Roman" w:cs="Times New Roman"/>
                <w:b/>
                <w:bCs/>
                <w:color w:val="222222"/>
              </w:rPr>
            </w:pPr>
            <w:r>
              <w:rPr>
                <w:rFonts w:ascii="Times New Roman" w:eastAsia="Times New Roman" w:hAnsi="Times New Roman" w:cs="Times New Roman"/>
                <w:color w:val="000000"/>
              </w:rPr>
              <w:t>Показатељ, односно циљна вредност показатеља резултата у 202</w:t>
            </w:r>
            <w:r>
              <w:rPr>
                <w:rFonts w:ascii="Times New Roman" w:eastAsia="Times New Roman" w:hAnsi="Times New Roman" w:cs="Times New Roman"/>
                <w:color w:val="000000"/>
                <w:lang w:val="sr-Cyrl-RS"/>
              </w:rPr>
              <w:t>4</w:t>
            </w:r>
            <w:r>
              <w:rPr>
                <w:rFonts w:ascii="Times New Roman" w:eastAsia="Times New Roman" w:hAnsi="Times New Roman" w:cs="Times New Roman"/>
                <w:color w:val="000000"/>
              </w:rPr>
              <w:t>. години је испуњена у потпуности, с обзиром да je закључно са 31. децембром 202</w:t>
            </w:r>
            <w:r>
              <w:rPr>
                <w:rFonts w:ascii="Times New Roman" w:eastAsia="Times New Roman" w:hAnsi="Times New Roman" w:cs="Times New Roman"/>
                <w:color w:val="000000"/>
                <w:lang w:val="sr-Cyrl-RS"/>
              </w:rPr>
              <w:t>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г</w:t>
            </w:r>
            <w:r>
              <w:rPr>
                <w:rFonts w:ascii="Times New Roman" w:eastAsia="Times New Roman" w:hAnsi="Times New Roman" w:cs="Times New Roman"/>
                <w:color w:val="000000"/>
              </w:rPr>
              <w:t>одине</w:t>
            </w:r>
            <w:r>
              <w:rPr>
                <w:rFonts w:ascii="Times New Roman" w:eastAsia="Times New Roman" w:hAnsi="Times New Roman" w:cs="Times New Roman"/>
                <w:color w:val="000000"/>
                <w:lang w:val="sr-Cyrl-RS"/>
              </w:rPr>
              <w:t xml:space="preserve"> циљана вредност за 2024. годину од 5400 надмашена и износи </w:t>
            </w:r>
            <w:r>
              <w:rPr>
                <w:rFonts w:ascii="Times New Roman" w:eastAsia="Times New Roman" w:hAnsi="Times New Roman" w:cs="Times New Roman"/>
                <w:lang w:val="sr-Cyrl-CS" w:eastAsia="en-GB"/>
              </w:rPr>
              <w:t>5529.</w:t>
            </w:r>
          </w:p>
        </w:tc>
      </w:tr>
      <w:tr w:rsidR="00353A29" w14:paraId="60D2679E"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04703CA0" w14:textId="77777777" w:rsidR="00353A29" w:rsidRDefault="00353A29" w:rsidP="00766164"/>
        </w:tc>
      </w:tr>
      <w:tr w:rsidR="00353A29" w14:paraId="71580513"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2DDF9A9"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8BF7308"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3ACBAF3"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Рок за реализацију у 202</w:t>
            </w:r>
            <w:r>
              <w:rPr>
                <w:rFonts w:ascii="Times New Roman" w:eastAsia="Times New Roman" w:hAnsi="Times New Roman" w:cs="Times New Roman"/>
                <w:b/>
                <w:bCs/>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48CB9DF"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5C35F53"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32CDFA6"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4B8CBDB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1083C54A"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58C7AF0C" w14:textId="77777777" w:rsidR="00353A29" w:rsidRDefault="00353A29" w:rsidP="00766164">
            <w:pPr>
              <w:spacing w:after="0" w:line="240" w:lineRule="auto"/>
              <w:jc w:val="both"/>
              <w:rPr>
                <w:rFonts w:ascii="Times New Roman" w:eastAsia="Times New Roman" w:hAnsi="Times New Roman" w:cs="Times New Roman"/>
                <w:b/>
                <w:bCs/>
                <w:color w:val="000000"/>
                <w:lang w:val="sr-Cyrl-CS" w:eastAsia="en-GB"/>
              </w:rPr>
            </w:pPr>
          </w:p>
          <w:p w14:paraId="7F935704" w14:textId="77777777" w:rsidR="00353A29" w:rsidRDefault="00353A29" w:rsidP="00766164">
            <w:pPr>
              <w:spacing w:after="0" w:line="240" w:lineRule="auto"/>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1.1.3.1. Организовање испита за службеника за јавне набавке</w:t>
            </w:r>
          </w:p>
          <w:p w14:paraId="527E37BA" w14:textId="77777777" w:rsidR="00353A29" w:rsidRDefault="00353A29" w:rsidP="00766164">
            <w:pPr>
              <w:spacing w:after="0" w:line="240" w:lineRule="auto"/>
              <w:rPr>
                <w:rFonts w:ascii="Times New Roman" w:eastAsia="Times New Roman" w:hAnsi="Times New Roman" w:cs="Times New Roman"/>
                <w:color w:val="222222"/>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F2CBD66"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КЈН</w:t>
            </w:r>
          </w:p>
          <w:p w14:paraId="026AE24D"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 xml:space="preserve"> </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9785B32"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794F61FB"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hideMark/>
          </w:tcPr>
          <w:p w14:paraId="756EE2B3"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9FBEB6F" w14:textId="77777777" w:rsidR="00353A29" w:rsidRDefault="00353A29" w:rsidP="00766164">
            <w:pPr>
              <w:spacing w:after="0" w:line="240" w:lineRule="auto"/>
              <w:jc w:val="both"/>
              <w:rPr>
                <w:rFonts w:ascii="Times New Roman" w:eastAsia="Times New Roman" w:hAnsi="Times New Roman" w:cs="Times New Roman"/>
                <w:color w:val="000000"/>
                <w:highlight w:val="yellow"/>
              </w:rPr>
            </w:pPr>
            <w:r>
              <w:rPr>
                <w:rFonts w:ascii="Times New Roman" w:hAnsi="Times New Roman" w:cs="Times New Roman"/>
              </w:rPr>
              <w:t>Током 2024. године организовано је укупно 23 испита. У овом периоду укупно се пријавило 489 кандидата за полагање испита, од чега је 289 кандидата положило испит. Проценат успешности кандидата који полажу испит је 59%.</w:t>
            </w:r>
          </w:p>
        </w:tc>
      </w:tr>
      <w:tr w:rsidR="00353A29" w14:paraId="6331E2D2"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2A3451B2"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p>
          <w:p w14:paraId="342EDAC7"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lang w:val="sr-Cyrl-CS" w:eastAsia="en-GB"/>
              </w:rPr>
              <w:t>1.1.3.2. Организовање обука за наручиоце и понуђаче у области јавних набавки</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048BD837"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p>
          <w:p w14:paraId="03F27A3E"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КЈН</w:t>
            </w:r>
          </w:p>
          <w:p w14:paraId="08486236" w14:textId="77777777" w:rsidR="00353A29" w:rsidRDefault="00353A29" w:rsidP="00766164">
            <w:pPr>
              <w:tabs>
                <w:tab w:val="left" w:pos="9923"/>
              </w:tabs>
              <w:spacing w:after="0" w:line="240" w:lineRule="auto"/>
              <w:jc w:val="center"/>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НАЛЕД</w:t>
            </w:r>
          </w:p>
          <w:p w14:paraId="5BEC623F" w14:textId="77777777" w:rsidR="00353A29" w:rsidRDefault="00353A29" w:rsidP="00766164">
            <w:pPr>
              <w:tabs>
                <w:tab w:val="left" w:pos="9923"/>
              </w:tabs>
              <w:spacing w:after="0" w:line="240" w:lineRule="auto"/>
              <w:jc w:val="center"/>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ПКС</w:t>
            </w:r>
          </w:p>
          <w:p w14:paraId="1681E04F"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 xml:space="preserve"> </w:t>
            </w:r>
          </w:p>
          <w:p w14:paraId="0F86ECE0" w14:textId="77777777" w:rsidR="00353A29" w:rsidRDefault="00353A29" w:rsidP="00766164">
            <w:pPr>
              <w:spacing w:after="0" w:line="240" w:lineRule="auto"/>
              <w:jc w:val="center"/>
              <w:rPr>
                <w:rFonts w:ascii="Times New Roman" w:eastAsia="Times New Roman" w:hAnsi="Times New Roman" w:cs="Times New Roman"/>
                <w:color w:val="222222"/>
              </w:rPr>
            </w:pP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463A0D5D"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3C1F8745"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20953DC8" w14:textId="77777777" w:rsidR="00353A29" w:rsidRDefault="00353A29" w:rsidP="00766164">
            <w:pPr>
              <w:spacing w:after="0" w:line="240" w:lineRule="auto"/>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186FE1B9"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Током 2024. године, КЈН је наставила са организацијом обука/радионица у вези са применом ЗЈН и коришћењем Портала. </w:t>
            </w:r>
          </w:p>
          <w:p w14:paraId="1733354D"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У 2024. години, одржани су следећи вебинари: </w:t>
            </w:r>
          </w:p>
          <w:p w14:paraId="22907C34"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за наручиоце и понуђаче ради представљања нових функционалности Портала. Наручиоцима је објашњен начин уношења података о уговорима на Порталу, док је понуђачима представљен нов начин регистрације привредних субјеката, све у складу са новим законским решењима која су у примени </w:t>
            </w:r>
            <w:r w:rsidRPr="006F62CD">
              <w:rPr>
                <w:rFonts w:ascii="Times New Roman" w:hAnsi="Times New Roman" w:cs="Times New Roman"/>
              </w:rPr>
              <w:lastRenderedPageBreak/>
              <w:t xml:space="preserve">од 1. јануара 2024. године. Вебинару је приступило више од 480 представника наручилаца, као и више од 300 представника понуђача. </w:t>
            </w:r>
          </w:p>
          <w:p w14:paraId="1BF99755"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за наручиоце на тему „Објављивање података о уговорима на Порталу јавних </w:t>
            </w:r>
            <w:proofErr w:type="gramStart"/>
            <w:r w:rsidRPr="006F62CD">
              <w:rPr>
                <w:rFonts w:ascii="Times New Roman" w:hAnsi="Times New Roman" w:cs="Times New Roman"/>
              </w:rPr>
              <w:t>набавки“</w:t>
            </w:r>
            <w:proofErr w:type="gramEnd"/>
            <w:r w:rsidRPr="006F62CD">
              <w:rPr>
                <w:rFonts w:ascii="Times New Roman" w:hAnsi="Times New Roman" w:cs="Times New Roman"/>
              </w:rPr>
              <w:t xml:space="preserve">. Наручиоцима су, поред начина објављивања података о уговорима на Порталу сходно члану 152а ЗЈН, презентована и општа правила спровођења набавки испод прагова на основу члана 27. ЗЈН. Због великог интересовања и актуелности теме, вебинару је приступило 2000 учесника. </w:t>
            </w:r>
          </w:p>
          <w:p w14:paraId="512F5372"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за наручиоце за које набавке спороводе тела за централизоване јавне набавке. Поред презентације нових законских решења, полазницима је приказан начин објављивања података о уговорима на Порталу, сходно новим законским и подзаконским решењима која су у примени од 1. јануара 2024. године. </w:t>
            </w:r>
          </w:p>
          <w:p w14:paraId="1FA125C4"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Две тродневне обуке за припрему полагања испита за стицање сертификата за службеника за јавне набавке сходно новим законским и подзаконским решењима која су у примени од 1. јануара 2024. године. Обуку је сваког дана похађало око 1000 полазника. Поред законских и подзаконских решења, полазницима су презентоване и основе рада на Порталу.</w:t>
            </w:r>
          </w:p>
          <w:p w14:paraId="04329285"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у циљу појашњења начина објављивања података о уговорима сходно новим законским и подзаконским решењима. Од 1. јануара 2024. године у примени је Правилник о начину објављивања и врсти података о уговорима и изменама уговора које наручиоци објављују на Порталу јавних набавки („Службени гласник РС”, број 115/23). С тим у вези, одржан је вебинар на коме је учесницима објашњен начин објављивања података о уговорима на Порталу када се користи опција „паметне </w:t>
            </w:r>
            <w:proofErr w:type="gramStart"/>
            <w:r w:rsidRPr="006F62CD">
              <w:rPr>
                <w:rFonts w:ascii="Times New Roman" w:hAnsi="Times New Roman" w:cs="Times New Roman"/>
              </w:rPr>
              <w:t>партије“ за</w:t>
            </w:r>
            <w:proofErr w:type="gramEnd"/>
            <w:r w:rsidRPr="006F62CD">
              <w:rPr>
                <w:rFonts w:ascii="Times New Roman" w:hAnsi="Times New Roman" w:cs="Times New Roman"/>
              </w:rPr>
              <w:t xml:space="preserve"> закључење оквирног споразума. </w:t>
            </w:r>
          </w:p>
          <w:p w14:paraId="232BA247"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на тему „Нова законска и подзаконска решења у области јавних </w:t>
            </w:r>
            <w:proofErr w:type="gramStart"/>
            <w:r w:rsidRPr="006F62CD">
              <w:rPr>
                <w:rFonts w:ascii="Times New Roman" w:hAnsi="Times New Roman" w:cs="Times New Roman"/>
              </w:rPr>
              <w:t>набавки“</w:t>
            </w:r>
            <w:proofErr w:type="gramEnd"/>
            <w:r w:rsidRPr="006F62CD">
              <w:rPr>
                <w:rFonts w:ascii="Times New Roman" w:hAnsi="Times New Roman" w:cs="Times New Roman"/>
              </w:rPr>
              <w:t xml:space="preserve">. Учесницима вебинара презентоване </w:t>
            </w:r>
            <w:r w:rsidRPr="006F62CD">
              <w:rPr>
                <w:rFonts w:ascii="Times New Roman" w:hAnsi="Times New Roman" w:cs="Times New Roman"/>
              </w:rPr>
              <w:lastRenderedPageBreak/>
              <w:t>су новине у ЗЈН</w:t>
            </w:r>
            <w:r>
              <w:rPr>
                <w:rFonts w:ascii="Times New Roman" w:hAnsi="Times New Roman" w:cs="Times New Roman"/>
                <w:lang w:val="sr-Cyrl-RS"/>
              </w:rPr>
              <w:t>, зелене јавне набавке</w:t>
            </w:r>
            <w:r w:rsidRPr="006F62CD">
              <w:rPr>
                <w:rFonts w:ascii="Times New Roman" w:hAnsi="Times New Roman" w:cs="Times New Roman"/>
              </w:rPr>
              <w:t xml:space="preserve">, нове функционалности Портала, као и основне карактеристике партнерства за иновације. Вебинару је приступило више стотина учесника. </w:t>
            </w:r>
          </w:p>
          <w:p w14:paraId="5BFD4CD7"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Дводневни вебинар на тему „Критеријуми за доделу уговора – нова законска решења у примени од 1. јануара 2024. </w:t>
            </w:r>
            <w:proofErr w:type="gramStart"/>
            <w:r w:rsidRPr="006F62CD">
              <w:rPr>
                <w:rFonts w:ascii="Times New Roman" w:hAnsi="Times New Roman" w:cs="Times New Roman"/>
              </w:rPr>
              <w:t>године“</w:t>
            </w:r>
            <w:proofErr w:type="gramEnd"/>
            <w:r w:rsidRPr="006F62CD">
              <w:rPr>
                <w:rFonts w:ascii="Times New Roman" w:hAnsi="Times New Roman" w:cs="Times New Roman"/>
              </w:rPr>
              <w:t xml:space="preserve">. Обуку је сваког дана похађало више од 500 учесника. Полазници обуке су имали прилику да се упознају са новим законским решењима у области критеријума за доделу уговора, начином примене критеријума за доделу уговора на Порталу, као и са моделима конкурсних документација са примерима примене критеријума за доделу уговора који није заснован само на цени. </w:t>
            </w:r>
          </w:p>
          <w:p w14:paraId="1F79C626"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Дводневни вебинар на тему „Рад на Порталу јавних набавки – спровођење система динамичне </w:t>
            </w:r>
            <w:proofErr w:type="gramStart"/>
            <w:r w:rsidRPr="006F62CD">
              <w:rPr>
                <w:rFonts w:ascii="Times New Roman" w:hAnsi="Times New Roman" w:cs="Times New Roman"/>
              </w:rPr>
              <w:t>набавке“</w:t>
            </w:r>
            <w:proofErr w:type="gramEnd"/>
            <w:r w:rsidRPr="006F62CD">
              <w:rPr>
                <w:rFonts w:ascii="Times New Roman" w:hAnsi="Times New Roman" w:cs="Times New Roman"/>
              </w:rPr>
              <w:t>. Представници наручилаца су имали прилику да се упознају са начином спровођења система динамичне набавке путем Портала, док су представници понуђача имали прилику да се упознају са начином подношења пријава и понуда у систему. Вебинар je сваког дана слушало више од 350 учесника.</w:t>
            </w:r>
          </w:p>
          <w:p w14:paraId="1DB364D1" w14:textId="77777777" w:rsidR="00353A29" w:rsidRPr="004F5443" w:rsidRDefault="00353A29" w:rsidP="00766164">
            <w:pPr>
              <w:spacing w:after="0" w:line="240" w:lineRule="auto"/>
              <w:jc w:val="both"/>
              <w:rPr>
                <w:rFonts w:ascii="Times New Roman" w:hAnsi="Times New Roman" w:cs="Times New Roman"/>
                <w:lang w:val="sr-Cyrl-RS"/>
              </w:rPr>
            </w:pPr>
            <w:r w:rsidRPr="004F5443">
              <w:rPr>
                <w:rFonts w:ascii="Times New Roman" w:hAnsi="Times New Roman" w:cs="Times New Roman"/>
                <w:lang w:val="sr-Cyrl-RS"/>
              </w:rPr>
              <w:t xml:space="preserve">- </w:t>
            </w:r>
            <w:r w:rsidRPr="004F5443">
              <w:rPr>
                <w:rFonts w:ascii="Times New Roman" w:hAnsi="Times New Roman" w:cs="Times New Roman"/>
              </w:rPr>
              <w:t xml:space="preserve">У циљу промоције зелених и социјалних јавних набавки, као и техника и инструмената у поступцима јавних набавки одржан је семинар за наручиоце и понуђаче. Први део семинара био је посвећен зеленим јавним набавкама и промоцији модела конкурсних документација са примерима примене еколошких аспеката. У другом делу учесници су имали прилику да се упознају са социјалним набавкама, затим са моделима конкурсних документација са примерима примене социјалних аспеката, али и са сличностима и разликама између оквирног споразума и система динамичне набавке. На семинару је било присутно више од 70 представника наручилаца и понуђача. </w:t>
            </w:r>
          </w:p>
          <w:p w14:paraId="062F6492" w14:textId="77777777" w:rsidR="00353A29" w:rsidRPr="004F5443" w:rsidRDefault="00353A29" w:rsidP="00766164">
            <w:pPr>
              <w:spacing w:after="0"/>
              <w:jc w:val="both"/>
              <w:rPr>
                <w:rFonts w:ascii="Times New Roman" w:hAnsi="Times New Roman" w:cs="Times New Roman"/>
              </w:rPr>
            </w:pPr>
            <w:r w:rsidRPr="004F5443">
              <w:rPr>
                <w:rFonts w:ascii="Times New Roman" w:hAnsi="Times New Roman" w:cs="Times New Roman"/>
                <w:lang w:val="sr-Cyrl-RS"/>
              </w:rPr>
              <w:t>- В</w:t>
            </w:r>
            <w:r w:rsidRPr="004F5443">
              <w:rPr>
                <w:rFonts w:ascii="Times New Roman" w:hAnsi="Times New Roman" w:cs="Times New Roman"/>
              </w:rPr>
              <w:t xml:space="preserve">ебинар за наручиоце и понуђаче у циљу промоције зелених и социјалних јавних набавки, као и техника и инструмената у поступцима јавних набавки. Први део био је посвећен зеленим јавним набавкама и промоцији модела конкурсних </w:t>
            </w:r>
            <w:r w:rsidRPr="004F5443">
              <w:rPr>
                <w:rFonts w:ascii="Times New Roman" w:hAnsi="Times New Roman" w:cs="Times New Roman"/>
              </w:rPr>
              <w:lastRenderedPageBreak/>
              <w:t xml:space="preserve">документација са примерима примене еколошких аспеката. У другом делу, учесници су имали прилику да се упознају са социјалним набавкама, затим са моделима конкурсних документација са примерима примене социјалних аспеката, али и са сличностима и разликама између оквирног споразума и система динамичне набавке. </w:t>
            </w:r>
            <w:r w:rsidRPr="004F5443">
              <w:rPr>
                <w:rFonts w:ascii="Times New Roman" w:hAnsi="Times New Roman" w:cs="Times New Roman"/>
                <w:lang w:val="sr-Cyrl-RS"/>
              </w:rPr>
              <w:t>В</w:t>
            </w:r>
            <w:r w:rsidRPr="004F5443">
              <w:rPr>
                <w:rFonts w:ascii="Times New Roman" w:hAnsi="Times New Roman" w:cs="Times New Roman"/>
              </w:rPr>
              <w:t>ебинар</w:t>
            </w:r>
            <w:r w:rsidRPr="004F5443">
              <w:rPr>
                <w:rFonts w:ascii="Times New Roman" w:hAnsi="Times New Roman" w:cs="Times New Roman"/>
                <w:lang w:val="sr-Cyrl-RS"/>
              </w:rPr>
              <w:t>у</w:t>
            </w:r>
            <w:r w:rsidRPr="004F5443">
              <w:rPr>
                <w:rFonts w:ascii="Times New Roman" w:hAnsi="Times New Roman" w:cs="Times New Roman"/>
              </w:rPr>
              <w:t xml:space="preserve"> </w:t>
            </w:r>
            <w:r w:rsidRPr="004F5443">
              <w:rPr>
                <w:rFonts w:ascii="Times New Roman" w:hAnsi="Times New Roman" w:cs="Times New Roman"/>
                <w:lang w:val="sr-Cyrl-RS"/>
              </w:rPr>
              <w:t>је присустовало око</w:t>
            </w:r>
            <w:r w:rsidRPr="004F5443">
              <w:rPr>
                <w:rFonts w:ascii="Times New Roman" w:hAnsi="Times New Roman" w:cs="Times New Roman"/>
              </w:rPr>
              <w:t xml:space="preserve"> </w:t>
            </w:r>
            <w:r w:rsidRPr="004F5443">
              <w:rPr>
                <w:rFonts w:ascii="Times New Roman" w:hAnsi="Times New Roman" w:cs="Times New Roman"/>
                <w:lang w:val="sr-Cyrl-RS"/>
              </w:rPr>
              <w:t>4</w:t>
            </w:r>
            <w:r w:rsidRPr="004F5443">
              <w:rPr>
                <w:rFonts w:ascii="Times New Roman" w:hAnsi="Times New Roman" w:cs="Times New Roman"/>
              </w:rPr>
              <w:t>00 представника наручилаца и понуђача.</w:t>
            </w:r>
            <w:r w:rsidRPr="006F62CD">
              <w:rPr>
                <w:rFonts w:ascii="Times New Roman" w:hAnsi="Times New Roman" w:cs="Times New Roman"/>
              </w:rPr>
              <w:t xml:space="preserve"> </w:t>
            </w:r>
            <w:r>
              <w:rPr>
                <w:rFonts w:ascii="Times New Roman" w:hAnsi="Times New Roman" w:cs="Times New Roman"/>
                <w:lang w:val="sr-Cyrl-RS"/>
              </w:rPr>
              <w:t xml:space="preserve"> </w:t>
            </w:r>
          </w:p>
        </w:tc>
      </w:tr>
      <w:tr w:rsidR="00353A29" w14:paraId="2B4884D9"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0BD76B75" w14:textId="77777777" w:rsidR="00353A29" w:rsidRDefault="00353A29" w:rsidP="00766164">
            <w:pPr>
              <w:spacing w:after="0" w:line="240" w:lineRule="auto"/>
              <w:jc w:val="both"/>
              <w:rPr>
                <w:rFonts w:ascii="Times New Roman" w:eastAsia="Times New Roman" w:hAnsi="Times New Roman" w:cs="Times New Roman"/>
                <w:b/>
                <w:bCs/>
                <w:color w:val="000000"/>
                <w:lang w:val="sr-Cyrl-CS" w:eastAsia="en-GB"/>
              </w:rPr>
            </w:pPr>
          </w:p>
          <w:p w14:paraId="624220D3" w14:textId="77777777" w:rsidR="00353A29" w:rsidRDefault="00353A29" w:rsidP="00766164">
            <w:pPr>
              <w:tabs>
                <w:tab w:val="left" w:pos="9923"/>
              </w:tabs>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1.1.3.3. Организовање обука за припрему службеника за полагање испита за службеника за јавне набавке</w:t>
            </w:r>
          </w:p>
          <w:p w14:paraId="1DF216C5" w14:textId="77777777" w:rsidR="00353A29" w:rsidRDefault="00353A29" w:rsidP="00766164">
            <w:pPr>
              <w:spacing w:after="0" w:line="240" w:lineRule="auto"/>
              <w:rPr>
                <w:rFonts w:ascii="Times New Roman" w:eastAsia="Times New Roman" w:hAnsi="Times New Roman" w:cs="Times New Roman"/>
                <w:color w:val="222222"/>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6B604E6B"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КЈН</w:t>
            </w:r>
          </w:p>
          <w:p w14:paraId="68AD4A51" w14:textId="77777777" w:rsidR="00353A29" w:rsidRDefault="00353A29" w:rsidP="00766164">
            <w:pPr>
              <w:tabs>
                <w:tab w:val="left" w:pos="9923"/>
              </w:tabs>
              <w:spacing w:after="0" w:line="240" w:lineRule="auto"/>
              <w:jc w:val="center"/>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НАЛЕД</w:t>
            </w:r>
          </w:p>
          <w:p w14:paraId="5B08F18C" w14:textId="77777777" w:rsidR="00353A29" w:rsidRDefault="00353A29" w:rsidP="00766164">
            <w:pPr>
              <w:tabs>
                <w:tab w:val="left" w:pos="9923"/>
              </w:tabs>
              <w:spacing w:after="0" w:line="240" w:lineRule="auto"/>
              <w:jc w:val="center"/>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ПКС</w:t>
            </w:r>
          </w:p>
          <w:p w14:paraId="012765D3" w14:textId="77777777" w:rsidR="00353A29" w:rsidRDefault="00353A29" w:rsidP="00766164">
            <w:pPr>
              <w:spacing w:after="0" w:line="240" w:lineRule="auto"/>
              <w:jc w:val="center"/>
              <w:rPr>
                <w:rFonts w:ascii="Times New Roman" w:eastAsia="Times New Roman" w:hAnsi="Times New Roman" w:cs="Times New Roman"/>
                <w:color w:val="222222"/>
              </w:rPr>
            </w:pP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F79FA96"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658F2967"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403442B6" w14:textId="77777777" w:rsidR="00353A29" w:rsidRDefault="00353A29" w:rsidP="00766164">
            <w:pPr>
              <w:spacing w:after="0" w:line="240" w:lineRule="auto"/>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FF02858"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Две тродневне обуке за припрему полагања испита за стицање сертификата за службеника за јавне набавке сходно новим законским и подзаконским решењима која су у примени од 1. јануара 2024. године. Обуку је сваког дана похађало око 1000 полазника. Поред законских и подзаконских решења, полазницима су презентоване и основе рада на Порталу.</w:t>
            </w:r>
          </w:p>
        </w:tc>
      </w:tr>
      <w:tr w:rsidR="00353A29" w14:paraId="61BC4081"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181D3A3F" w14:textId="77777777" w:rsidR="00353A29" w:rsidRDefault="00353A29" w:rsidP="00766164">
            <w:pPr>
              <w:tabs>
                <w:tab w:val="left" w:pos="9923"/>
              </w:tabs>
              <w:spacing w:after="0" w:line="240" w:lineRule="auto"/>
              <w:jc w:val="both"/>
              <w:rPr>
                <w:rFonts w:ascii="Times New Roman" w:eastAsia="Times New Roman" w:hAnsi="Times New Roman" w:cs="Times New Roman"/>
                <w:lang w:val="sr-Cyrl-CS" w:eastAsia="en-GB"/>
              </w:rPr>
            </w:pPr>
          </w:p>
          <w:p w14:paraId="34504C51" w14:textId="77777777" w:rsidR="00353A29" w:rsidRDefault="00353A29" w:rsidP="00766164">
            <w:pPr>
              <w:tabs>
                <w:tab w:val="left" w:pos="9923"/>
              </w:tabs>
              <w:spacing w:after="0" w:line="240" w:lineRule="auto"/>
              <w:jc w:val="both"/>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1.1.3.4. Израда упоредне анализе о конкуренцији у поступцима јавних набавки у РС и пет држава ЕУ</w:t>
            </w:r>
          </w:p>
          <w:p w14:paraId="078C9991" w14:textId="77777777" w:rsidR="00353A29" w:rsidRDefault="00353A29" w:rsidP="00766164">
            <w:pPr>
              <w:tabs>
                <w:tab w:val="left" w:pos="9923"/>
              </w:tabs>
              <w:spacing w:after="0" w:line="240" w:lineRule="auto"/>
              <w:jc w:val="both"/>
              <w:rPr>
                <w:rFonts w:ascii="Times New Roman" w:eastAsia="Times New Roman" w:hAnsi="Times New Roman" w:cs="Times New Roman"/>
                <w:color w:val="222222"/>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37EC16DC"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7735BED3"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63E69ABD"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Pr>
                <w:rStyle w:val="FootnoteReference"/>
                <w:rFonts w:ascii="Times New Roman" w:eastAsia="Times New Roman" w:hAnsi="Times New Roman" w:cs="Times New Roman"/>
                <w:color w:val="222222"/>
              </w:rPr>
              <w:footnoteReference w:id="3"/>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20CB28B1" w14:textId="77777777" w:rsidR="00353A29" w:rsidRDefault="00353A29" w:rsidP="00766164">
            <w:pPr>
              <w:spacing w:after="0" w:line="240" w:lineRule="auto"/>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CE4D496" w14:textId="77777777" w:rsidR="00353A29" w:rsidRDefault="00353A29" w:rsidP="00766164">
            <w:pPr>
              <w:spacing w:after="0" w:line="240" w:lineRule="auto"/>
              <w:jc w:val="both"/>
              <w:rPr>
                <w:rFonts w:ascii="Times New Roman" w:eastAsia="Times New Roman" w:hAnsi="Times New Roman" w:cs="Times New Roman"/>
                <w:color w:val="000000"/>
                <w:highlight w:val="yellow"/>
                <w:lang w:val="sr-Cyrl-RS"/>
              </w:rPr>
            </w:pPr>
            <w:r>
              <w:rPr>
                <w:rFonts w:ascii="Times New Roman" w:eastAsia="Times New Roman" w:hAnsi="Times New Roman" w:cs="Times New Roman"/>
                <w:color w:val="000000"/>
                <w:lang w:val="sr-Cyrl-RS"/>
              </w:rPr>
              <w:t>Уз подршку п</w:t>
            </w:r>
            <w:r>
              <w:rPr>
                <w:rFonts w:ascii="Times New Roman" w:eastAsia="Times New Roman" w:hAnsi="Times New Roman" w:cs="Times New Roman"/>
                <w:color w:val="000000"/>
              </w:rPr>
              <w:t xml:space="preserve">ројекта EU Public Finance – Management Facility који је финансиран од стране ЕУ, а имплементиран од стране УНДП, </w:t>
            </w:r>
            <w:r>
              <w:rPr>
                <w:rFonts w:ascii="Times New Roman" w:eastAsia="Times New Roman" w:hAnsi="Times New Roman" w:cs="Times New Roman"/>
                <w:color w:val="000000"/>
                <w:lang w:val="sr-Cyrl-RS"/>
              </w:rPr>
              <w:t>израђена је Упоредна анализа – Информација о нивоу конкуренције у поступција јавних набавки у државама ЕУ (статистички подаци о просечном броју поднетих понуда и мере које предузимају државе чланице ЕУ са циљем да се тај број повећа).</w:t>
            </w:r>
          </w:p>
        </w:tc>
      </w:tr>
      <w:tr w:rsidR="00353A29" w14:paraId="28ECAEBE"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0E036FAE" w14:textId="77777777" w:rsidR="00353A29" w:rsidRDefault="00353A29" w:rsidP="00766164">
            <w:pPr>
              <w:spacing w:after="0" w:line="240" w:lineRule="auto"/>
              <w:rPr>
                <w:rFonts w:ascii="Times New Roman" w:eastAsia="Times New Roman" w:hAnsi="Times New Roman" w:cs="Times New Roman"/>
                <w:lang w:val="sr-Cyrl-CS" w:eastAsia="en-GB"/>
              </w:rPr>
            </w:pPr>
          </w:p>
          <w:p w14:paraId="34E01F62" w14:textId="77777777" w:rsidR="00353A29" w:rsidRDefault="00353A29" w:rsidP="00766164">
            <w:pPr>
              <w:spacing w:after="0" w:line="240" w:lineRule="auto"/>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1.1.3.5. Израда водича за примену ЕНП критеријума</w:t>
            </w:r>
          </w:p>
          <w:p w14:paraId="1520BCC9" w14:textId="77777777" w:rsidR="00353A29" w:rsidRDefault="00353A29" w:rsidP="00766164">
            <w:pPr>
              <w:spacing w:after="0" w:line="240" w:lineRule="auto"/>
              <w:rPr>
                <w:rFonts w:ascii="Times New Roman" w:eastAsia="Times New Roman" w:hAnsi="Times New Roman" w:cs="Times New Roman"/>
                <w:color w:val="222222"/>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23F717C1"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УНДП</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9570B72"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7B5F076D"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Pr>
                <w:rStyle w:val="FootnoteReference"/>
                <w:rFonts w:ascii="Times New Roman" w:eastAsia="Times New Roman" w:hAnsi="Times New Roman" w:cs="Times New Roman"/>
                <w:color w:val="222222"/>
              </w:rPr>
              <w:footnoteReference w:id="4"/>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07ACD9D6" w14:textId="77777777" w:rsidR="00353A29" w:rsidRDefault="00353A29" w:rsidP="00766164">
            <w:pPr>
              <w:spacing w:after="0" w:line="240" w:lineRule="auto"/>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0D2D9653" w14:textId="77777777" w:rsidR="00353A29" w:rsidRDefault="00353A29" w:rsidP="0076616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Уз подршку п</w:t>
            </w:r>
            <w:r>
              <w:rPr>
                <w:rFonts w:ascii="Times New Roman" w:eastAsia="Times New Roman" w:hAnsi="Times New Roman" w:cs="Times New Roman"/>
                <w:color w:val="000000"/>
              </w:rPr>
              <w:t>ројекта EU Public Finance – Management Facility који је финансиран од стране ЕУ, а имплементиран од стране УНДП,</w:t>
            </w:r>
            <w:r>
              <w:rPr>
                <w:rFonts w:ascii="Times New Roman" w:eastAsia="Times New Roman" w:hAnsi="Times New Roman" w:cs="Times New Roman"/>
                <w:color w:val="000000"/>
                <w:lang w:val="sr-Cyrl-RS"/>
              </w:rPr>
              <w:t xml:space="preserve"> израђена је Анализа примене критеријума за доделу уговора који није заснован на цени.</w:t>
            </w:r>
          </w:p>
        </w:tc>
      </w:tr>
      <w:tr w:rsidR="00353A29" w14:paraId="4934B426"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1AF87888" w14:textId="77777777" w:rsidR="00353A29" w:rsidRDefault="00353A29" w:rsidP="00766164"/>
        </w:tc>
      </w:tr>
      <w:tr w:rsidR="00353A29" w14:paraId="631F43B6" w14:textId="77777777" w:rsidTr="00766164">
        <w:trPr>
          <w:gridAfter w:val="1"/>
          <w:wAfter w:w="10" w:type="dxa"/>
          <w:trHeight w:val="780"/>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vAlign w:val="center"/>
            <w:hideMark/>
          </w:tcPr>
          <w:p w14:paraId="05EFFF3C"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b/>
                <w:i/>
                <w:color w:val="365F91"/>
                <w:lang w:val="sr-Cyrl-CS" w:eastAsia="en-GB"/>
              </w:rPr>
              <w:t>Мера 1.1.4: Унапређење електронског система јавних набавки</w:t>
            </w:r>
          </w:p>
        </w:tc>
      </w:tr>
      <w:tr w:rsidR="00353A29" w14:paraId="5615FBFF"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41758FAF"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Носилац </w:t>
            </w:r>
            <w:r>
              <w:rPr>
                <w:rFonts w:ascii="Times New Roman" w:eastAsia="Times New Roman" w:hAnsi="Times New Roman" w:cs="Times New Roman"/>
                <w:color w:val="222222"/>
                <w:lang w:val="sr-Cyrl-RS"/>
              </w:rPr>
              <w:t>мер</w:t>
            </w:r>
            <w:r>
              <w:rPr>
                <w:rFonts w:ascii="Times New Roman" w:eastAsia="Times New Roman" w:hAnsi="Times New Roman" w:cs="Times New Roman"/>
                <w:color w:val="222222"/>
              </w:rPr>
              <w:t>е: КЈН</w:t>
            </w:r>
          </w:p>
        </w:tc>
      </w:tr>
      <w:tr w:rsidR="00353A29" w14:paraId="71FD7320"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4715428"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lastRenderedPageBreak/>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AB6594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08C9F7D" w14:textId="77777777" w:rsidR="00353A29" w:rsidRDefault="00353A29" w:rsidP="00766164">
            <w:pPr>
              <w:spacing w:after="0" w:line="240" w:lineRule="auto"/>
              <w:jc w:val="center"/>
              <w:rPr>
                <w:rFonts w:ascii="Times New Roman" w:eastAsia="Times New Roman" w:hAnsi="Times New Roman" w:cs="Times New Roman"/>
                <w:b/>
                <w:bCs/>
                <w:color w:val="222222"/>
                <w:lang w:val="sr-Latn-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Latn-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DCF40F3" w14:textId="77777777" w:rsidR="00353A29" w:rsidRDefault="00353A29" w:rsidP="00766164">
            <w:pPr>
              <w:spacing w:after="0" w:line="240" w:lineRule="auto"/>
              <w:jc w:val="center"/>
              <w:rPr>
                <w:rFonts w:ascii="Times New Roman" w:eastAsia="Times New Roman" w:hAnsi="Times New Roman" w:cs="Times New Roman"/>
                <w:b/>
                <w:bCs/>
                <w:color w:val="222222"/>
                <w:lang w:val="sr-Latn-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Latn-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2FB6925"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7BED07EB" w14:textId="77777777" w:rsidTr="00766164">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233685CB"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lang w:val="sr-Cyrl-CS" w:eastAsia="en-GB"/>
              </w:rPr>
              <w:t>Имплементиране нове верзије Портала, укупно</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7DB77743"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15 (2023)</w:t>
            </w:r>
            <w:r>
              <w:rPr>
                <w:rStyle w:val="FootnoteReference"/>
                <w:rFonts w:ascii="Times New Roman" w:eastAsia="Times New Roman" w:hAnsi="Times New Roman" w:cs="Times New Roman"/>
                <w:color w:val="222222"/>
              </w:rPr>
              <w:footnoteReference w:id="5"/>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0267403A" w14:textId="77777777" w:rsidR="00353A29" w:rsidRDefault="00353A29" w:rsidP="00766164">
            <w:pPr>
              <w:spacing w:after="0" w:line="240" w:lineRule="auto"/>
              <w:rPr>
                <w:rFonts w:ascii="Times New Roman" w:eastAsia="Times New Roman" w:hAnsi="Times New Roman" w:cs="Times New Roman"/>
                <w:color w:val="222222"/>
                <w:lang w:val="sr-Latn-RS"/>
              </w:rPr>
            </w:pPr>
            <w:r>
              <w:rPr>
                <w:rFonts w:ascii="Times New Roman" w:eastAsia="Times New Roman" w:hAnsi="Times New Roman" w:cs="Times New Roman"/>
                <w:color w:val="222222"/>
                <w:lang w:val="sr-Latn-RS"/>
              </w:rPr>
              <w:t>18</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4E17A059" w14:textId="0267EFE9" w:rsidR="00353A29" w:rsidRDefault="00353A29" w:rsidP="00766164">
            <w:pPr>
              <w:spacing w:after="0" w:line="240" w:lineRule="auto"/>
              <w:rPr>
                <w:rFonts w:ascii="Times New Roman" w:eastAsia="Times New Roman" w:hAnsi="Times New Roman" w:cs="Times New Roman"/>
                <w:color w:val="222222"/>
                <w:lang w:val="sr-Latn-RS"/>
              </w:rPr>
            </w:pPr>
            <w:r>
              <w:rPr>
                <w:rFonts w:ascii="Times New Roman" w:eastAsia="Times New Roman" w:hAnsi="Times New Roman" w:cs="Times New Roman"/>
              </w:rPr>
              <w:t>1</w:t>
            </w:r>
            <w:r>
              <w:rPr>
                <w:rFonts w:ascii="Times New Roman" w:eastAsia="Times New Roman" w:hAnsi="Times New Roman" w:cs="Times New Roman"/>
                <w:lang w:val="sr-Latn-RS"/>
              </w:rPr>
              <w:t>9</w:t>
            </w:r>
            <w:r w:rsidR="007548CE">
              <w:rPr>
                <w:rStyle w:val="FootnoteReference"/>
                <w:rFonts w:ascii="Times New Roman" w:eastAsia="Times New Roman" w:hAnsi="Times New Roman" w:cs="Times New Roman"/>
                <w:lang w:val="sr-Latn-RS"/>
              </w:rPr>
              <w:footnoteReference w:id="6"/>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B6F67C6" w14:textId="77777777" w:rsidR="00353A29" w:rsidRDefault="00353A29" w:rsidP="0076616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Latn-RS"/>
              </w:rPr>
              <w:t>15</w:t>
            </w:r>
            <w:r>
              <w:rPr>
                <w:rFonts w:ascii="Times New Roman" w:eastAsia="Times New Roman" w:hAnsi="Times New Roman" w:cs="Times New Roman"/>
                <w:color w:val="222222"/>
                <w:lang w:val="sr-Cyrl-RS"/>
              </w:rPr>
              <w:t xml:space="preserve"> верзија Портала</w:t>
            </w:r>
            <w:r>
              <w:rPr>
                <w:rFonts w:ascii="Times New Roman" w:eastAsia="Times New Roman" w:hAnsi="Times New Roman" w:cs="Times New Roman"/>
                <w:color w:val="222222"/>
              </w:rPr>
              <w:t xml:space="preserve"> 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години, док је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циљана вредност за 2024. годину од 18 надмашена и износи 19.</w:t>
            </w:r>
          </w:p>
        </w:tc>
      </w:tr>
      <w:tr w:rsidR="00353A29" w14:paraId="2797D8D7" w14:textId="77777777" w:rsidTr="00766164">
        <w:trPr>
          <w:gridAfter w:val="1"/>
          <w:wAfter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4F55BF47" w14:textId="77777777" w:rsidR="00353A29" w:rsidRDefault="00353A29" w:rsidP="00766164"/>
        </w:tc>
      </w:tr>
      <w:tr w:rsidR="00353A29" w14:paraId="2D79D758" w14:textId="77777777" w:rsidTr="00766164">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76685FA"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 xml:space="preserve">Активности за </w:t>
            </w:r>
            <w:r>
              <w:rPr>
                <w:rFonts w:ascii="Times New Roman" w:eastAsia="Times New Roman" w:hAnsi="Times New Roman" w:cs="Times New Roman"/>
                <w:b/>
                <w:bCs/>
              </w:rPr>
              <w:t>реализацију мере: 202</w:t>
            </w:r>
            <w:r>
              <w:rPr>
                <w:rFonts w:ascii="Times New Roman" w:eastAsia="Times New Roman" w:hAnsi="Times New Roman" w:cs="Times New Roman"/>
                <w:b/>
                <w:bCs/>
                <w:lang w:val="sr-Cyrl-RS"/>
              </w:rPr>
              <w:t>3</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32E8172"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A2899AE"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Рок за реализацију у 202</w:t>
            </w:r>
            <w:r>
              <w:rPr>
                <w:rFonts w:ascii="Times New Roman" w:eastAsia="Times New Roman" w:hAnsi="Times New Roman" w:cs="Times New Roman"/>
                <w:b/>
                <w:bCs/>
                <w:color w:val="222222"/>
                <w:lang w:val="sr-Cyrl-RS"/>
              </w:rPr>
              <w:t>3</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29C6294"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47ECBB6"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F5A0060"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7ACD351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16E3AD63" w14:textId="77777777" w:rsidTr="00766164">
        <w:trPr>
          <w:gridAfter w:val="1"/>
          <w:wAfter w:w="10" w:type="dxa"/>
          <w:trHeight w:val="5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hideMark/>
          </w:tcPr>
          <w:p w14:paraId="364722B6" w14:textId="77777777" w:rsidR="00353A29" w:rsidRDefault="00353A29" w:rsidP="00766164">
            <w:pPr>
              <w:spacing w:after="0" w:line="240" w:lineRule="auto"/>
              <w:rPr>
                <w:rFonts w:ascii="Times New Roman" w:eastAsia="Times New Roman" w:hAnsi="Times New Roman" w:cs="Times New Roman"/>
                <w:lang w:val="sr-Cyrl-CS" w:eastAsia="en-GB"/>
              </w:rPr>
            </w:pPr>
          </w:p>
          <w:p w14:paraId="620B6E7E" w14:textId="77777777" w:rsidR="00353A29" w:rsidRDefault="00353A29" w:rsidP="00766164">
            <w:pPr>
              <w:spacing w:after="0" w:line="240" w:lineRule="auto"/>
              <w:rPr>
                <w:rFonts w:ascii="Times New Roman" w:hAnsi="Times New Roman" w:cs="Times New Roman"/>
                <w:lang w:val="sr-Cyrl-CS"/>
              </w:rPr>
            </w:pPr>
            <w:r>
              <w:rPr>
                <w:rFonts w:ascii="Times New Roman" w:eastAsia="Times New Roman" w:hAnsi="Times New Roman" w:cs="Times New Roman"/>
                <w:lang w:val="sr-Cyrl-CS" w:eastAsia="en-GB"/>
              </w:rPr>
              <w:t xml:space="preserve">1.1.4.1. Израда техничке спецификације за израду нових функционалности на Порталу </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6B9AB176"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 xml:space="preserve">КЈН </w:t>
            </w:r>
          </w:p>
          <w:p w14:paraId="2896E5F8"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Calibri" w:hAnsi="Times New Roman" w:cs="Times New Roman"/>
                <w:lang w:val="sr-Cyrl-CS"/>
              </w:rPr>
              <w:t>УНДП</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4001165D"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Calibri" w:hAnsi="Times New Roman" w:cs="Times New Roman"/>
                <w:color w:val="000000"/>
              </w:rPr>
              <w:t>4. квартал 202</w:t>
            </w:r>
            <w:r>
              <w:rPr>
                <w:rFonts w:ascii="Times New Roman" w:eastAsia="Calibri" w:hAnsi="Times New Roman" w:cs="Times New Roman"/>
                <w:color w:val="000000"/>
                <w:lang w:val="sr-Cyrl-RS"/>
              </w:rPr>
              <w:t>4</w:t>
            </w:r>
            <w:r>
              <w:rPr>
                <w:rFonts w:ascii="Times New Roman" w:eastAsia="Calibri" w:hAnsi="Times New Roman" w:cs="Times New Roman"/>
                <w:color w:val="000000"/>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04C3BB44"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Pr>
                <w:rStyle w:val="FootnoteReference"/>
                <w:rFonts w:ascii="Times New Roman" w:eastAsia="Times New Roman" w:hAnsi="Times New Roman" w:cs="Times New Roman"/>
                <w:color w:val="222222"/>
              </w:rPr>
              <w:footnoteReference w:id="7"/>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63F3CC22" w14:textId="77777777" w:rsidR="00353A29" w:rsidRDefault="00353A29" w:rsidP="00766164">
            <w:pPr>
              <w:spacing w:after="0" w:line="240" w:lineRule="auto"/>
              <w:rPr>
                <w:rFonts w:ascii="Times New Roman" w:eastAsia="Times New Roman" w:hAnsi="Times New Roman" w:cs="Times New Roman"/>
              </w:rPr>
            </w:pPr>
          </w:p>
          <w:p w14:paraId="1AEB298B" w14:textId="77777777" w:rsidR="00353A29" w:rsidRDefault="00353A29" w:rsidP="00766164">
            <w:pPr>
              <w:spacing w:after="0" w:line="240" w:lineRule="auto"/>
              <w:rPr>
                <w:rFonts w:ascii="Times New Roman" w:eastAsia="Times New Roman" w:hAnsi="Times New Roman" w:cs="Times New Roman"/>
              </w:rPr>
            </w:pPr>
          </w:p>
          <w:p w14:paraId="4AA57045" w14:textId="77777777" w:rsidR="00353A29" w:rsidRDefault="00353A29" w:rsidP="00766164">
            <w:pPr>
              <w:spacing w:after="0" w:line="240" w:lineRule="auto"/>
              <w:rPr>
                <w:rFonts w:ascii="Times New Roman" w:eastAsia="Times New Roman" w:hAnsi="Times New Roman" w:cs="Times New Roman"/>
              </w:rPr>
            </w:pPr>
          </w:p>
          <w:p w14:paraId="47D0D870" w14:textId="77777777" w:rsidR="00353A29" w:rsidRDefault="00353A29" w:rsidP="00766164">
            <w:pPr>
              <w:spacing w:after="0" w:line="240" w:lineRule="auto"/>
              <w:rPr>
                <w:rFonts w:ascii="Times New Roman" w:eastAsia="Times New Roman" w:hAnsi="Times New Roman" w:cs="Times New Roman"/>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20C2491" w14:textId="77777777" w:rsidR="00353A29" w:rsidRDefault="00353A29" w:rsidP="0076616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Израђене су техничке спецификације за 4 нове верзије Портала јавних набавки у току 2024. године.</w:t>
            </w:r>
          </w:p>
        </w:tc>
      </w:tr>
      <w:tr w:rsidR="00353A29" w14:paraId="26D0E808" w14:textId="77777777" w:rsidTr="00766164">
        <w:trPr>
          <w:gridAfter w:val="1"/>
          <w:wAfter w:w="10" w:type="dxa"/>
          <w:trHeight w:val="5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377F7938"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305A3369" w14:textId="77777777" w:rsidR="00353A29" w:rsidRDefault="00353A29" w:rsidP="00766164">
            <w:pPr>
              <w:spacing w:after="0" w:line="240" w:lineRule="auto"/>
              <w:jc w:val="both"/>
              <w:rPr>
                <w:rFonts w:ascii="Times New Roman" w:eastAsia="Times New Roman" w:hAnsi="Times New Roman" w:cs="Times New Roman"/>
                <w:b/>
                <w:bCs/>
                <w:color w:val="000000"/>
                <w:lang w:val="sr-Cyrl-CS" w:eastAsia="en-GB"/>
              </w:rPr>
            </w:pPr>
            <w:r>
              <w:rPr>
                <w:rFonts w:ascii="Times New Roman" w:eastAsia="Times New Roman" w:hAnsi="Times New Roman" w:cs="Times New Roman"/>
                <w:lang w:val="sr-Cyrl-CS" w:eastAsia="en-GB"/>
              </w:rPr>
              <w:t>1.1.4.2. Израда нових функционалности на Порталу</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0F73035D"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 xml:space="preserve">КЈН </w:t>
            </w:r>
          </w:p>
          <w:p w14:paraId="4A54AD73"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УНДП</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2D8EE421" w14:textId="77777777" w:rsidR="00353A29" w:rsidRDefault="00353A29" w:rsidP="00766164">
            <w:pPr>
              <w:spacing w:after="0" w:line="240" w:lineRule="auto"/>
              <w:rPr>
                <w:rFonts w:ascii="Times New Roman" w:eastAsia="Calibri" w:hAnsi="Times New Roman" w:cs="Times New Roman"/>
                <w:color w:val="000000"/>
              </w:rPr>
            </w:pPr>
            <w:r>
              <w:rPr>
                <w:rFonts w:ascii="Times New Roman" w:eastAsia="Calibri" w:hAnsi="Times New Roman" w:cs="Times New Roman"/>
              </w:rPr>
              <w:t>4. квартал 202</w:t>
            </w:r>
            <w:r>
              <w:rPr>
                <w:rFonts w:ascii="Times New Roman" w:eastAsia="Calibri" w:hAnsi="Times New Roman" w:cs="Times New Roman"/>
                <w:lang w:val="sr-Cyrl-RS"/>
              </w:rPr>
              <w:t>4</w:t>
            </w:r>
            <w:r>
              <w:rPr>
                <w:rFonts w:ascii="Times New Roman" w:eastAsia="Calibri" w:hAnsi="Times New Roman" w:cs="Times New Roman"/>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5DD2872D"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lang w:val="sr-Cyrl-RS"/>
              </w:rPr>
              <w:t>З</w:t>
            </w:r>
            <w:r>
              <w:rPr>
                <w:rFonts w:ascii="Times New Roman" w:eastAsia="Times New Roman" w:hAnsi="Times New Roman" w:cs="Times New Roman"/>
              </w:rPr>
              <w:t>авршено</w:t>
            </w:r>
            <w:r>
              <w:rPr>
                <w:rStyle w:val="FootnoteReference"/>
                <w:rFonts w:ascii="Times New Roman" w:eastAsia="Times New Roman" w:hAnsi="Times New Roman" w:cs="Times New Roman"/>
              </w:rPr>
              <w:t xml:space="preserve"> </w:t>
            </w:r>
            <w:r w:rsidRPr="00E6237F">
              <w:rPr>
                <w:rFonts w:ascii="Times New Roman" w:hAnsi="Times New Roman" w:cs="Times New Roman"/>
              </w:rPr>
              <w:footnoteReference w:id="8"/>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7098A43C" w14:textId="77777777" w:rsidR="00353A29" w:rsidRDefault="00353A29" w:rsidP="00766164">
            <w:pPr>
              <w:spacing w:after="0" w:line="240" w:lineRule="auto"/>
              <w:rPr>
                <w:rFonts w:ascii="Times New Roman" w:eastAsia="Times New Roman" w:hAnsi="Times New Roman" w:cs="Times New Roman"/>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AE1784D" w14:textId="77777777" w:rsidR="00353A29" w:rsidRDefault="00353A29" w:rsidP="0076616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rPr>
              <w:t xml:space="preserve">Од јануара до децембра 2024. године, КЈН је развила четири нове верзије Портала јавних набавки, </w:t>
            </w:r>
            <w:r>
              <w:rPr>
                <w:rFonts w:ascii="Times New Roman" w:eastAsia="Times New Roman" w:hAnsi="Times New Roman" w:cs="Times New Roman"/>
                <w:lang w:val="sr-Cyrl-RS"/>
              </w:rPr>
              <w:t xml:space="preserve">којима је унапређен Портал, углавном са циљем побољшања и уподовљавања са изменама и допунама ЗЈН. </w:t>
            </w:r>
            <w:r>
              <w:rPr>
                <w:rFonts w:ascii="Times New Roman" w:eastAsia="Calibri" w:hAnsi="Times New Roman" w:cs="Times New Roman"/>
              </w:rPr>
              <w:t>КЈН ће наставити и у наредном периоду са унапређењем Портала, развојем нових модула, функционалности и опција на истом.</w:t>
            </w:r>
          </w:p>
        </w:tc>
      </w:tr>
      <w:tr w:rsidR="00353A29" w14:paraId="51915277" w14:textId="77777777" w:rsidTr="00766164">
        <w:trPr>
          <w:gridAfter w:val="1"/>
          <w:wAfter w:w="10" w:type="dxa"/>
          <w:trHeight w:val="5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37624E61"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5165A00D" w14:textId="77777777" w:rsidR="00353A29" w:rsidRDefault="00353A29" w:rsidP="00766164">
            <w:pPr>
              <w:spacing w:after="0" w:line="240" w:lineRule="auto"/>
              <w:jc w:val="both"/>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 xml:space="preserve">1.1.4.3. Израда упоредне анализе других Портала у пет држава ЕУ са препорукама за </w:t>
            </w:r>
            <w:r>
              <w:rPr>
                <w:rFonts w:ascii="Times New Roman" w:eastAsia="Times New Roman" w:hAnsi="Times New Roman" w:cs="Times New Roman"/>
                <w:lang w:val="sr-Cyrl-CS" w:eastAsia="en-GB"/>
              </w:rPr>
              <w:lastRenderedPageBreak/>
              <w:t>унапређење Портала јавних набавки</w:t>
            </w:r>
          </w:p>
          <w:p w14:paraId="42B9F122" w14:textId="77777777" w:rsidR="00353A29" w:rsidRDefault="00353A29" w:rsidP="00766164">
            <w:pPr>
              <w:spacing w:after="0" w:line="240" w:lineRule="auto"/>
              <w:jc w:val="both"/>
              <w:rPr>
                <w:rFonts w:ascii="Times New Roman" w:eastAsia="Times New Roman" w:hAnsi="Times New Roman" w:cs="Times New Roman"/>
                <w:lang w:val="sr-Cyrl-CS" w:eastAsia="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2647A18"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lastRenderedPageBreak/>
              <w:t xml:space="preserve">КЈН </w:t>
            </w:r>
          </w:p>
          <w:p w14:paraId="13ACD545"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УНДП</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687E76EE" w14:textId="77777777" w:rsidR="00353A29" w:rsidRDefault="00353A29" w:rsidP="00766164">
            <w:pPr>
              <w:spacing w:after="0" w:line="240" w:lineRule="auto"/>
              <w:rPr>
                <w:rFonts w:ascii="Times New Roman" w:eastAsia="Calibri" w:hAnsi="Times New Roman" w:cs="Times New Roman"/>
              </w:rPr>
            </w:pPr>
            <w:r>
              <w:rPr>
                <w:rFonts w:ascii="Times New Roman" w:eastAsia="Calibri" w:hAnsi="Times New Roman" w:cs="Times New Roman"/>
                <w:color w:val="000000"/>
              </w:rPr>
              <w:t>4. квартал 202</w:t>
            </w:r>
            <w:r>
              <w:rPr>
                <w:rFonts w:ascii="Times New Roman" w:eastAsia="Calibri" w:hAnsi="Times New Roman" w:cs="Times New Roman"/>
                <w:color w:val="000000"/>
                <w:lang w:val="sr-Cyrl-RS"/>
              </w:rPr>
              <w:t>4</w:t>
            </w:r>
            <w:r>
              <w:rPr>
                <w:rFonts w:ascii="Times New Roman" w:eastAsia="Calibri" w:hAnsi="Times New Roman" w:cs="Times New Roman"/>
                <w:color w:val="000000"/>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56A57182" w14:textId="77777777" w:rsidR="00353A29" w:rsidRDefault="00353A29" w:rsidP="00766164">
            <w:pPr>
              <w:spacing w:after="0" w:line="240" w:lineRule="auto"/>
              <w:rPr>
                <w:rFonts w:ascii="Times New Roman" w:eastAsia="Times New Roman" w:hAnsi="Times New Roman" w:cs="Times New Roman"/>
                <w:lang w:val="sr-Cyrl-RS"/>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Pr>
                <w:rStyle w:val="FootnoteReference"/>
                <w:rFonts w:ascii="Times New Roman" w:eastAsia="Times New Roman" w:hAnsi="Times New Roman" w:cs="Times New Roman"/>
                <w:color w:val="222222"/>
              </w:rPr>
              <w:t xml:space="preserve"> </w:t>
            </w:r>
            <w:r w:rsidRPr="00E6237F">
              <w:rPr>
                <w:rFonts w:ascii="Times New Roman" w:hAnsi="Times New Roman" w:cs="Times New Roman"/>
              </w:rPr>
              <w:footnoteReference w:id="9"/>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24007B65" w14:textId="77777777" w:rsidR="00353A29" w:rsidRDefault="00353A29" w:rsidP="00766164">
            <w:pPr>
              <w:spacing w:after="0" w:line="240" w:lineRule="auto"/>
              <w:rPr>
                <w:rFonts w:ascii="Times New Roman" w:eastAsia="Times New Roman" w:hAnsi="Times New Roman" w:cs="Times New Roman"/>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418A8C23" w14:textId="77777777" w:rsidR="00353A29" w:rsidRDefault="00353A29" w:rsidP="0076616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color w:val="000000"/>
                <w:lang w:val="sr-Cyrl-RS"/>
              </w:rPr>
              <w:t>Уз подршку п</w:t>
            </w:r>
            <w:r>
              <w:rPr>
                <w:rFonts w:ascii="Times New Roman" w:eastAsia="Times New Roman" w:hAnsi="Times New Roman" w:cs="Times New Roman"/>
                <w:color w:val="000000"/>
              </w:rPr>
              <w:t>ројекта EU Public Finance – Management Facility који је финансиран од стране ЕУ, а имплементиран од стране УНДП,</w:t>
            </w:r>
            <w:r>
              <w:rPr>
                <w:rFonts w:ascii="Times New Roman" w:eastAsia="Times New Roman" w:hAnsi="Times New Roman" w:cs="Times New Roman"/>
                <w:color w:val="000000"/>
                <w:lang w:val="sr-Cyrl-RS"/>
              </w:rPr>
              <w:t xml:space="preserve"> крајем 2024. године израђен је </w:t>
            </w:r>
            <w:r>
              <w:rPr>
                <w:rFonts w:ascii="Times New Roman" w:eastAsia="Times New Roman" w:hAnsi="Times New Roman" w:cs="Times New Roman"/>
              </w:rPr>
              <w:t>Извештај о анализи портала јавних набавки и е-решења која се примењују  у пет земаља ЕУ са препорукама за потенцијално унапређење е-набавке у Србији</w:t>
            </w:r>
            <w:r>
              <w:rPr>
                <w:rFonts w:ascii="Times New Roman" w:eastAsia="Times New Roman" w:hAnsi="Times New Roman" w:cs="Times New Roman"/>
                <w:lang w:val="sr-Cyrl-RS"/>
              </w:rPr>
              <w:t>, који је на интернет страници КЈН објављен у јануару 2025. године.</w:t>
            </w:r>
          </w:p>
          <w:p w14:paraId="7B2EE843" w14:textId="77777777" w:rsidR="00353A29" w:rsidRDefault="00353A29" w:rsidP="00766164">
            <w:pPr>
              <w:spacing w:after="0" w:line="240" w:lineRule="auto"/>
              <w:jc w:val="both"/>
              <w:rPr>
                <w:rFonts w:ascii="Times New Roman" w:eastAsia="Times New Roman" w:hAnsi="Times New Roman" w:cs="Times New Roman"/>
              </w:rPr>
            </w:pPr>
          </w:p>
        </w:tc>
      </w:tr>
      <w:tr w:rsidR="00353A29" w14:paraId="495D433B" w14:textId="77777777" w:rsidTr="00766164">
        <w:trPr>
          <w:gridAfter w:val="1"/>
          <w:wAfter w:w="10" w:type="dxa"/>
          <w:trHeight w:val="5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4F159072"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095350DD"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5C51F3E4" w14:textId="7684B06D" w:rsidR="00353A29" w:rsidRDefault="00353A29" w:rsidP="00766164">
            <w:pPr>
              <w:spacing w:after="0" w:line="240" w:lineRule="auto"/>
              <w:jc w:val="both"/>
              <w:rPr>
                <w:rFonts w:ascii="Times New Roman" w:eastAsia="Times New Roman" w:hAnsi="Times New Roman" w:cs="Times New Roman"/>
                <w:lang w:val="sr-Cyrl-CS" w:eastAsia="en-GB"/>
              </w:rPr>
            </w:pPr>
          </w:p>
          <w:p w14:paraId="5B714E7E" w14:textId="24DD0C38" w:rsidR="007548CE" w:rsidRDefault="007548CE" w:rsidP="00766164">
            <w:pPr>
              <w:spacing w:after="0" w:line="240" w:lineRule="auto"/>
              <w:jc w:val="both"/>
              <w:rPr>
                <w:rFonts w:ascii="Times New Roman" w:eastAsia="Times New Roman" w:hAnsi="Times New Roman" w:cs="Times New Roman"/>
                <w:lang w:val="sr-Cyrl-CS" w:eastAsia="en-GB"/>
              </w:rPr>
            </w:pPr>
          </w:p>
          <w:p w14:paraId="4F2A8F05" w14:textId="2EBD8204" w:rsidR="007548CE" w:rsidRDefault="007548CE" w:rsidP="00766164">
            <w:pPr>
              <w:spacing w:after="0" w:line="240" w:lineRule="auto"/>
              <w:jc w:val="both"/>
              <w:rPr>
                <w:rFonts w:ascii="Times New Roman" w:eastAsia="Times New Roman" w:hAnsi="Times New Roman" w:cs="Times New Roman"/>
                <w:lang w:val="sr-Cyrl-CS" w:eastAsia="en-GB"/>
              </w:rPr>
            </w:pPr>
          </w:p>
          <w:p w14:paraId="3731AD11" w14:textId="07C9484F" w:rsidR="007548CE" w:rsidRDefault="007548CE" w:rsidP="00766164">
            <w:pPr>
              <w:spacing w:after="0" w:line="240" w:lineRule="auto"/>
              <w:jc w:val="both"/>
              <w:rPr>
                <w:rFonts w:ascii="Times New Roman" w:eastAsia="Times New Roman" w:hAnsi="Times New Roman" w:cs="Times New Roman"/>
                <w:lang w:val="sr-Cyrl-CS" w:eastAsia="en-GB"/>
              </w:rPr>
            </w:pPr>
          </w:p>
          <w:p w14:paraId="4FE7BE17" w14:textId="08744576" w:rsidR="007548CE" w:rsidRDefault="007548CE" w:rsidP="00766164">
            <w:pPr>
              <w:spacing w:after="0" w:line="240" w:lineRule="auto"/>
              <w:jc w:val="both"/>
              <w:rPr>
                <w:rFonts w:ascii="Times New Roman" w:eastAsia="Times New Roman" w:hAnsi="Times New Roman" w:cs="Times New Roman"/>
                <w:lang w:val="sr-Cyrl-CS" w:eastAsia="en-GB"/>
              </w:rPr>
            </w:pPr>
          </w:p>
          <w:p w14:paraId="6F996FD2" w14:textId="6C63AEB7" w:rsidR="007548CE" w:rsidRDefault="007548CE" w:rsidP="00766164">
            <w:pPr>
              <w:spacing w:after="0" w:line="240" w:lineRule="auto"/>
              <w:jc w:val="both"/>
              <w:rPr>
                <w:rFonts w:ascii="Times New Roman" w:eastAsia="Times New Roman" w:hAnsi="Times New Roman" w:cs="Times New Roman"/>
                <w:lang w:val="sr-Cyrl-CS" w:eastAsia="en-GB"/>
              </w:rPr>
            </w:pPr>
          </w:p>
          <w:p w14:paraId="4732A42E" w14:textId="7CD162BB" w:rsidR="007548CE" w:rsidRDefault="007548CE" w:rsidP="00766164">
            <w:pPr>
              <w:spacing w:after="0" w:line="240" w:lineRule="auto"/>
              <w:jc w:val="both"/>
              <w:rPr>
                <w:rFonts w:ascii="Times New Roman" w:eastAsia="Times New Roman" w:hAnsi="Times New Roman" w:cs="Times New Roman"/>
                <w:lang w:val="sr-Cyrl-CS" w:eastAsia="en-GB"/>
              </w:rPr>
            </w:pPr>
          </w:p>
          <w:p w14:paraId="07C5A0F7" w14:textId="43BCCF1D" w:rsidR="007548CE" w:rsidRDefault="007548CE" w:rsidP="00766164">
            <w:pPr>
              <w:spacing w:after="0" w:line="240" w:lineRule="auto"/>
              <w:jc w:val="both"/>
              <w:rPr>
                <w:rFonts w:ascii="Times New Roman" w:eastAsia="Times New Roman" w:hAnsi="Times New Roman" w:cs="Times New Roman"/>
                <w:lang w:val="sr-Cyrl-CS" w:eastAsia="en-GB"/>
              </w:rPr>
            </w:pPr>
          </w:p>
          <w:p w14:paraId="3D626BE5" w14:textId="03D1FA4D" w:rsidR="007548CE" w:rsidRDefault="007548CE" w:rsidP="00766164">
            <w:pPr>
              <w:spacing w:after="0" w:line="240" w:lineRule="auto"/>
              <w:jc w:val="both"/>
              <w:rPr>
                <w:rFonts w:ascii="Times New Roman" w:eastAsia="Times New Roman" w:hAnsi="Times New Roman" w:cs="Times New Roman"/>
                <w:lang w:val="sr-Cyrl-CS" w:eastAsia="en-GB"/>
              </w:rPr>
            </w:pPr>
          </w:p>
          <w:p w14:paraId="1BBA3C23" w14:textId="52A1C276" w:rsidR="007548CE" w:rsidRDefault="007548CE" w:rsidP="00766164">
            <w:pPr>
              <w:spacing w:after="0" w:line="240" w:lineRule="auto"/>
              <w:jc w:val="both"/>
              <w:rPr>
                <w:rFonts w:ascii="Times New Roman" w:eastAsia="Times New Roman" w:hAnsi="Times New Roman" w:cs="Times New Roman"/>
                <w:lang w:val="sr-Cyrl-CS" w:eastAsia="en-GB"/>
              </w:rPr>
            </w:pPr>
          </w:p>
          <w:p w14:paraId="22AE081A" w14:textId="77777777" w:rsidR="007548CE" w:rsidRDefault="007548CE" w:rsidP="00766164">
            <w:pPr>
              <w:spacing w:after="0" w:line="240" w:lineRule="auto"/>
              <w:jc w:val="both"/>
              <w:rPr>
                <w:rFonts w:ascii="Times New Roman" w:eastAsia="Times New Roman" w:hAnsi="Times New Roman" w:cs="Times New Roman"/>
                <w:lang w:val="sr-Cyrl-CS" w:eastAsia="en-GB"/>
              </w:rPr>
            </w:pPr>
          </w:p>
          <w:p w14:paraId="4F066837"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43D8DF85"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7203CD7A" w14:textId="77777777" w:rsidR="00353A29" w:rsidRDefault="00353A29" w:rsidP="00766164">
            <w:pPr>
              <w:spacing w:after="0" w:line="240" w:lineRule="auto"/>
              <w:jc w:val="both"/>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 xml:space="preserve">1.1.4.4. Спровођење обука и промоција Портала у погледу нових функционалности Портала </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16EEAB32"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КЈН</w:t>
            </w:r>
          </w:p>
          <w:p w14:paraId="5D2A69F7"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УНДП</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3F30098A" w14:textId="77777777" w:rsidR="00353A29" w:rsidRDefault="00353A29" w:rsidP="00766164">
            <w:pPr>
              <w:spacing w:after="0" w:line="240" w:lineRule="auto"/>
              <w:jc w:val="center"/>
              <w:rPr>
                <w:rFonts w:ascii="Times New Roman" w:eastAsia="Calibri" w:hAnsi="Times New Roman" w:cs="Times New Roman"/>
              </w:rPr>
            </w:pPr>
            <w:r>
              <w:rPr>
                <w:rFonts w:ascii="Times New Roman" w:eastAsia="Calibri" w:hAnsi="Times New Roman" w:cs="Times New Roman"/>
                <w:color w:val="000000"/>
              </w:rPr>
              <w:t>4. квартал 202</w:t>
            </w:r>
            <w:r>
              <w:rPr>
                <w:rFonts w:ascii="Times New Roman" w:eastAsia="Calibri" w:hAnsi="Times New Roman" w:cs="Times New Roman"/>
                <w:color w:val="000000"/>
                <w:lang w:val="sr-Cyrl-RS"/>
              </w:rPr>
              <w:t>4</w:t>
            </w:r>
            <w:r>
              <w:rPr>
                <w:rFonts w:ascii="Times New Roman" w:eastAsia="Calibri" w:hAnsi="Times New Roman" w:cs="Times New Roman"/>
                <w:color w:val="000000"/>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30EAC0AF"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Pr>
                <w:rStyle w:val="FootnoteReference"/>
                <w:rFonts w:ascii="Times New Roman" w:eastAsia="Times New Roman" w:hAnsi="Times New Roman" w:cs="Times New Roman"/>
                <w:color w:val="222222"/>
              </w:rPr>
              <w:t xml:space="preserve"> </w:t>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38EED357" w14:textId="77777777" w:rsidR="00353A29" w:rsidRDefault="00353A29" w:rsidP="00766164">
            <w:pPr>
              <w:spacing w:after="0" w:line="240" w:lineRule="auto"/>
              <w:rPr>
                <w:rFonts w:ascii="Times New Roman" w:eastAsia="Times New Roman" w:hAnsi="Times New Roman" w:cs="Times New Roman"/>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D2E7B4F"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за наручиоце и понуђаче ради представљања нових функционалности Портала. Наручиоцима је објашњен начин уношења података о уговорима на Порталу, док је понуђачима представљен нов начин регистрације привредних субјеката, све у складу са новим законским решењима која су у примени од 1. јануара 2024. године. Вебинару је приступило више од 480 представника наручилаца, као и више од 300 представника понуђача. </w:t>
            </w:r>
          </w:p>
          <w:p w14:paraId="3B3D6336"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за наручиоце на тему „Објављивање података о уговорима на Порталу јавних </w:t>
            </w:r>
            <w:proofErr w:type="gramStart"/>
            <w:r w:rsidRPr="006F62CD">
              <w:rPr>
                <w:rFonts w:ascii="Times New Roman" w:hAnsi="Times New Roman" w:cs="Times New Roman"/>
              </w:rPr>
              <w:t>набавки“</w:t>
            </w:r>
            <w:proofErr w:type="gramEnd"/>
            <w:r w:rsidRPr="006F62CD">
              <w:rPr>
                <w:rFonts w:ascii="Times New Roman" w:hAnsi="Times New Roman" w:cs="Times New Roman"/>
              </w:rPr>
              <w:t xml:space="preserve">. Наручиоцима су, поред начина објављивања података о уговорима на Порталу сходно члану 152а ЗЈН, презентована и општа правила спровођења набавки испод прагова на основу члана 27. ЗЈН. Због великог интересовања и актуелности теме, вебинару је приступило 2000 учесника. </w:t>
            </w:r>
          </w:p>
          <w:p w14:paraId="3D13DC78"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у циљу појашњења начина објављивања података о уговорима сходно новим законским и подзаконским решењима. Од 1. јануара 2024. године у примени је Правилник о начину објављивања и врсти података о уговорима и изменама уговора које наручиоци објављују на Порталу јавних набавки („Службени гласник РС”, број 115/23). С тим у вези, одржан је вебинар на коме је учесницима објашњен начин објављивања података о уговорима на Порталу када се користи опција „паметне </w:t>
            </w:r>
            <w:proofErr w:type="gramStart"/>
            <w:r w:rsidRPr="006F62CD">
              <w:rPr>
                <w:rFonts w:ascii="Times New Roman" w:hAnsi="Times New Roman" w:cs="Times New Roman"/>
              </w:rPr>
              <w:t>партије“ за</w:t>
            </w:r>
            <w:proofErr w:type="gramEnd"/>
            <w:r w:rsidRPr="006F62CD">
              <w:rPr>
                <w:rFonts w:ascii="Times New Roman" w:hAnsi="Times New Roman" w:cs="Times New Roman"/>
              </w:rPr>
              <w:t xml:space="preserve"> закључење оквирног споразума. </w:t>
            </w:r>
          </w:p>
          <w:p w14:paraId="3DFDB6DE" w14:textId="77777777" w:rsidR="00353A29" w:rsidRPr="00084C49"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Дводневни вебинар на тему „Рад на Порталу јавних набавки – спровођење система динамичне </w:t>
            </w:r>
            <w:proofErr w:type="gramStart"/>
            <w:r w:rsidRPr="006F62CD">
              <w:rPr>
                <w:rFonts w:ascii="Times New Roman" w:hAnsi="Times New Roman" w:cs="Times New Roman"/>
              </w:rPr>
              <w:t>набавке“</w:t>
            </w:r>
            <w:proofErr w:type="gramEnd"/>
            <w:r w:rsidRPr="006F62CD">
              <w:rPr>
                <w:rFonts w:ascii="Times New Roman" w:hAnsi="Times New Roman" w:cs="Times New Roman"/>
              </w:rPr>
              <w:t xml:space="preserve">. Представници наручилаца су имали прилику да се упознају са начином спровођења система динамичне набавке путем Портала, док су представници понуђача имали прилику да се упознају са </w:t>
            </w:r>
            <w:r w:rsidRPr="006F62CD">
              <w:rPr>
                <w:rFonts w:ascii="Times New Roman" w:hAnsi="Times New Roman" w:cs="Times New Roman"/>
              </w:rPr>
              <w:lastRenderedPageBreak/>
              <w:t>начином подношења пријава и понуда у систему. Вебинар je сваког дана слушало више од 350 учесника.</w:t>
            </w:r>
          </w:p>
        </w:tc>
      </w:tr>
      <w:tr w:rsidR="00353A29" w14:paraId="1CB58E2E"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tcPr>
          <w:p w14:paraId="19E90D72" w14:textId="77777777" w:rsidR="00353A29" w:rsidRDefault="00353A29" w:rsidP="00766164">
            <w:pPr>
              <w:spacing w:after="0" w:line="240" w:lineRule="auto"/>
              <w:rPr>
                <w:rFonts w:ascii="Times New Roman" w:eastAsia="Times New Roman" w:hAnsi="Times New Roman" w:cs="Times New Roman"/>
                <w:color w:val="222222"/>
              </w:rPr>
            </w:pPr>
          </w:p>
        </w:tc>
      </w:tr>
      <w:tr w:rsidR="00353A29" w14:paraId="6374B2F5"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7C1C444A" w14:textId="068C1F58"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Посебан циљ </w:t>
            </w:r>
            <w:r w:rsidR="00E96639">
              <w:rPr>
                <w:rFonts w:ascii="Times New Roman" w:eastAsia="Times New Roman" w:hAnsi="Times New Roman" w:cs="Times New Roman"/>
                <w:color w:val="222222"/>
                <w:lang w:val="sr-Cyrl-RS"/>
              </w:rPr>
              <w:t>1.</w:t>
            </w:r>
            <w:r>
              <w:rPr>
                <w:rFonts w:ascii="Times New Roman" w:eastAsia="Times New Roman" w:hAnsi="Times New Roman" w:cs="Times New Roman"/>
                <w:color w:val="222222"/>
                <w:lang w:val="sr-Cyrl-RS"/>
              </w:rPr>
              <w:t>2</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lang w:val="sr-Cyrl-RS"/>
              </w:rPr>
              <w:t xml:space="preserve">Шира примена еколошког и социјалног аспекта и техника и инструмената у јавним набавкама </w:t>
            </w:r>
          </w:p>
        </w:tc>
      </w:tr>
      <w:tr w:rsidR="00353A29" w14:paraId="6552EE39"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0F024663"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Носилац циља: КЈН</w:t>
            </w:r>
          </w:p>
        </w:tc>
      </w:tr>
      <w:tr w:rsidR="00353A29" w14:paraId="5EFC192C"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989EBA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7B21610B"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Почетна вредност и година </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A94CFDE"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9F74EA4"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F90BEFF"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2D06D519"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085E9357"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p>
          <w:p w14:paraId="2F4728BA" w14:textId="77777777" w:rsidR="00353A29" w:rsidRDefault="00353A29" w:rsidP="00D05C68">
            <w:pPr>
              <w:spacing w:after="0" w:line="240" w:lineRule="auto"/>
              <w:rPr>
                <w:rFonts w:ascii="Times New Roman" w:eastAsia="Times New Roman" w:hAnsi="Times New Roman" w:cs="Times New Roman"/>
                <w:color w:val="222222"/>
                <w:lang w:val="sr-Cyrl-CS"/>
              </w:rPr>
            </w:pPr>
            <w:r>
              <w:rPr>
                <w:rFonts w:ascii="Times New Roman" w:eastAsia="Times New Roman" w:hAnsi="Times New Roman" w:cs="Times New Roman"/>
                <w:color w:val="000000"/>
                <w:lang w:val="sr-Cyrl-CS" w:eastAsia="en-GB"/>
              </w:rPr>
              <w:t>Број поступака јавних набавки са еколошким критеријумима, укупно</w:t>
            </w:r>
          </w:p>
        </w:tc>
        <w:tc>
          <w:tcPr>
            <w:tcW w:w="2250" w:type="dxa"/>
            <w:gridSpan w:val="4"/>
            <w:tcBorders>
              <w:top w:val="double" w:sz="4" w:space="0" w:color="auto"/>
              <w:left w:val="double" w:sz="4" w:space="0" w:color="auto"/>
              <w:bottom w:val="double" w:sz="4" w:space="0" w:color="auto"/>
              <w:right w:val="double" w:sz="4" w:space="0" w:color="auto"/>
            </w:tcBorders>
            <w:noWrap/>
          </w:tcPr>
          <w:p w14:paraId="57F24348" w14:textId="77777777" w:rsidR="00353A29" w:rsidRDefault="00353A29" w:rsidP="00766164">
            <w:pPr>
              <w:spacing w:after="0" w:line="240" w:lineRule="auto"/>
              <w:jc w:val="center"/>
              <w:rPr>
                <w:rFonts w:ascii="Times New Roman" w:eastAsia="Times New Roman" w:hAnsi="Times New Roman" w:cs="Times New Roman"/>
                <w:color w:val="000000"/>
                <w:lang w:val="sr-Cyrl-CS" w:eastAsia="en-GB"/>
              </w:rPr>
            </w:pPr>
          </w:p>
          <w:p w14:paraId="040C0796" w14:textId="77777777" w:rsidR="00353A29" w:rsidRDefault="00353A29" w:rsidP="00766164">
            <w:pPr>
              <w:spacing w:after="0" w:line="240" w:lineRule="auto"/>
              <w:jc w:val="center"/>
              <w:rPr>
                <w:rFonts w:ascii="Times New Roman" w:eastAsia="Times New Roman" w:hAnsi="Times New Roman" w:cs="Times New Roman"/>
                <w:color w:val="222222"/>
                <w:vertAlign w:val="superscript"/>
              </w:rPr>
            </w:pPr>
            <w:r>
              <w:rPr>
                <w:rFonts w:ascii="Times New Roman" w:eastAsia="Times New Roman" w:hAnsi="Times New Roman" w:cs="Times New Roman"/>
                <w:color w:val="000000"/>
                <w:lang w:val="sr-Cyrl-CS" w:eastAsia="en-GB"/>
              </w:rPr>
              <w:t>1.592</w:t>
            </w:r>
          </w:p>
        </w:tc>
        <w:tc>
          <w:tcPr>
            <w:tcW w:w="1170" w:type="dxa"/>
            <w:gridSpan w:val="2"/>
            <w:tcBorders>
              <w:top w:val="double" w:sz="4" w:space="0" w:color="auto"/>
              <w:left w:val="double" w:sz="4" w:space="0" w:color="auto"/>
              <w:bottom w:val="double" w:sz="4" w:space="0" w:color="auto"/>
              <w:right w:val="double" w:sz="4" w:space="0" w:color="auto"/>
            </w:tcBorders>
            <w:noWrap/>
          </w:tcPr>
          <w:p w14:paraId="5C8BC495" w14:textId="77777777" w:rsidR="00353A29" w:rsidRDefault="00353A29" w:rsidP="00766164">
            <w:pPr>
              <w:spacing w:after="0" w:line="240" w:lineRule="auto"/>
              <w:jc w:val="center"/>
              <w:rPr>
                <w:rFonts w:ascii="Times New Roman" w:eastAsia="Times New Roman" w:hAnsi="Times New Roman" w:cs="Times New Roman"/>
                <w:color w:val="000000"/>
                <w:lang w:val="sr-Cyrl-CS" w:eastAsia="en-GB"/>
              </w:rPr>
            </w:pPr>
          </w:p>
          <w:p w14:paraId="79015FB8"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000000"/>
                <w:lang w:val="sr-Cyrl-CS" w:eastAsia="en-GB"/>
              </w:rPr>
              <w:t>1.700</w:t>
            </w:r>
          </w:p>
        </w:tc>
        <w:tc>
          <w:tcPr>
            <w:tcW w:w="1085" w:type="dxa"/>
            <w:gridSpan w:val="2"/>
            <w:tcBorders>
              <w:top w:val="double" w:sz="4" w:space="0" w:color="auto"/>
              <w:left w:val="double" w:sz="4" w:space="0" w:color="auto"/>
              <w:bottom w:val="double" w:sz="4" w:space="0" w:color="auto"/>
              <w:right w:val="double" w:sz="4" w:space="0" w:color="auto"/>
            </w:tcBorders>
            <w:noWrap/>
          </w:tcPr>
          <w:p w14:paraId="44C1FCA5" w14:textId="77777777" w:rsidR="00353A29" w:rsidRDefault="00353A29" w:rsidP="00766164">
            <w:pPr>
              <w:spacing w:after="0" w:line="240" w:lineRule="auto"/>
              <w:jc w:val="center"/>
              <w:rPr>
                <w:rFonts w:ascii="Times New Roman" w:eastAsia="Times New Roman" w:hAnsi="Times New Roman" w:cs="Times New Roman"/>
                <w:lang w:val="sr-Cyrl-RS" w:eastAsia="en-GB"/>
              </w:rPr>
            </w:pPr>
          </w:p>
          <w:p w14:paraId="610627DF" w14:textId="77777777" w:rsidR="00353A29" w:rsidRDefault="00353A29" w:rsidP="0076616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lang w:val="sr-Cyrl-RS" w:eastAsia="en-GB"/>
              </w:rPr>
              <w:t>3.2</w:t>
            </w:r>
            <w:r>
              <w:rPr>
                <w:rFonts w:ascii="Times New Roman" w:eastAsia="Times New Roman" w:hAnsi="Times New Roman" w:cs="Times New Roman"/>
                <w:lang w:eastAsia="en-GB"/>
              </w:rPr>
              <w:t>4</w:t>
            </w:r>
            <w:r>
              <w:rPr>
                <w:rFonts w:ascii="Times New Roman" w:eastAsia="Times New Roman" w:hAnsi="Times New Roman" w:cs="Times New Roman"/>
                <w:lang w:val="sr-Cyrl-RS" w:eastAsia="en-GB"/>
              </w:rPr>
              <w:t>4</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44347F5C" w14:textId="77777777" w:rsidR="00353A29" w:rsidRDefault="00353A29" w:rsidP="00766164">
            <w:pPr>
              <w:spacing w:after="0" w:line="240" w:lineRule="auto"/>
              <w:jc w:val="both"/>
              <w:rPr>
                <w:rFonts w:ascii="Times New Roman" w:eastAsia="Times New Roman" w:hAnsi="Times New Roman" w:cs="Times New Roman"/>
                <w:color w:val="222222"/>
                <w:lang w:val="sr-Cyrl-RS"/>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1</w:t>
            </w:r>
            <w:r>
              <w:rPr>
                <w:rFonts w:ascii="Times New Roman" w:eastAsia="Times New Roman" w:hAnsi="Times New Roman" w:cs="Times New Roman"/>
                <w:color w:val="222222"/>
                <w:lang w:val="sr-Latn-RS"/>
              </w:rPr>
              <w:t>.</w:t>
            </w:r>
            <w:r>
              <w:rPr>
                <w:rFonts w:ascii="Times New Roman" w:eastAsia="Times New Roman" w:hAnsi="Times New Roman" w:cs="Times New Roman"/>
                <w:color w:val="222222"/>
                <w:lang w:val="sr-Cyrl-RS"/>
              </w:rPr>
              <w:t xml:space="preserve">592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години, док је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циљана вредност за 2024. годину од 1</w:t>
            </w:r>
            <w:r>
              <w:rPr>
                <w:rFonts w:ascii="Times New Roman" w:eastAsia="Times New Roman" w:hAnsi="Times New Roman" w:cs="Times New Roman"/>
                <w:color w:val="222222"/>
                <w:lang w:val="sr-Latn-RS"/>
              </w:rPr>
              <w:t>.</w:t>
            </w:r>
            <w:r>
              <w:rPr>
                <w:rFonts w:ascii="Times New Roman" w:eastAsia="Times New Roman" w:hAnsi="Times New Roman" w:cs="Times New Roman"/>
                <w:color w:val="222222"/>
                <w:lang w:val="sr-Cyrl-RS"/>
              </w:rPr>
              <w:t>700 надмашена и износи 3</w:t>
            </w:r>
            <w:r>
              <w:rPr>
                <w:rFonts w:ascii="Times New Roman" w:eastAsia="Times New Roman" w:hAnsi="Times New Roman" w:cs="Times New Roman"/>
                <w:color w:val="222222"/>
                <w:lang w:val="sr-Latn-RS"/>
              </w:rPr>
              <w:t>.</w:t>
            </w:r>
            <w:r>
              <w:rPr>
                <w:rFonts w:ascii="Times New Roman" w:eastAsia="Times New Roman" w:hAnsi="Times New Roman" w:cs="Times New Roman"/>
                <w:color w:val="222222"/>
                <w:lang w:val="sr-Cyrl-RS"/>
              </w:rPr>
              <w:t>2</w:t>
            </w:r>
            <w:r>
              <w:rPr>
                <w:rFonts w:ascii="Times New Roman" w:eastAsia="Times New Roman" w:hAnsi="Times New Roman" w:cs="Times New Roman"/>
                <w:color w:val="222222"/>
              </w:rPr>
              <w:t>4</w:t>
            </w:r>
            <w:r>
              <w:rPr>
                <w:rFonts w:ascii="Times New Roman" w:eastAsia="Times New Roman" w:hAnsi="Times New Roman" w:cs="Times New Roman"/>
                <w:color w:val="222222"/>
                <w:lang w:val="sr-Cyrl-RS"/>
              </w:rPr>
              <w:t xml:space="preserve">4. </w:t>
            </w:r>
          </w:p>
        </w:tc>
      </w:tr>
      <w:tr w:rsidR="00353A29" w14:paraId="02CB90D4"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7A29F067"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p>
          <w:p w14:paraId="35F894D5"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Број поступака јавних набавки са социјалним критеријумима, укупно</w:t>
            </w:r>
          </w:p>
        </w:tc>
        <w:tc>
          <w:tcPr>
            <w:tcW w:w="2250" w:type="dxa"/>
            <w:gridSpan w:val="4"/>
            <w:tcBorders>
              <w:top w:val="double" w:sz="4" w:space="0" w:color="auto"/>
              <w:left w:val="double" w:sz="4" w:space="0" w:color="auto"/>
              <w:bottom w:val="double" w:sz="4" w:space="0" w:color="auto"/>
              <w:right w:val="double" w:sz="4" w:space="0" w:color="auto"/>
            </w:tcBorders>
            <w:noWrap/>
          </w:tcPr>
          <w:p w14:paraId="1C727B22" w14:textId="77777777" w:rsidR="00353A29" w:rsidRDefault="00353A29" w:rsidP="00766164">
            <w:pPr>
              <w:spacing w:after="0" w:line="240" w:lineRule="auto"/>
              <w:jc w:val="center"/>
              <w:rPr>
                <w:rFonts w:ascii="Times New Roman" w:eastAsia="Times New Roman" w:hAnsi="Times New Roman" w:cs="Times New Roman"/>
                <w:color w:val="000000"/>
                <w:lang w:val="sr-Cyrl-CS" w:eastAsia="en-GB"/>
              </w:rPr>
            </w:pPr>
          </w:p>
          <w:p w14:paraId="6EEA9354"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000000"/>
                <w:lang w:val="sr-Cyrl-CS" w:eastAsia="en-GB"/>
              </w:rPr>
              <w:t>140</w:t>
            </w:r>
          </w:p>
        </w:tc>
        <w:tc>
          <w:tcPr>
            <w:tcW w:w="1170" w:type="dxa"/>
            <w:gridSpan w:val="2"/>
            <w:tcBorders>
              <w:top w:val="double" w:sz="4" w:space="0" w:color="auto"/>
              <w:left w:val="double" w:sz="4" w:space="0" w:color="auto"/>
              <w:bottom w:val="double" w:sz="4" w:space="0" w:color="auto"/>
              <w:right w:val="double" w:sz="4" w:space="0" w:color="auto"/>
            </w:tcBorders>
            <w:noWrap/>
          </w:tcPr>
          <w:p w14:paraId="3822DE66" w14:textId="77777777" w:rsidR="00353A29" w:rsidRDefault="00353A29" w:rsidP="00766164">
            <w:pPr>
              <w:spacing w:after="0" w:line="240" w:lineRule="auto"/>
              <w:jc w:val="center"/>
              <w:rPr>
                <w:rFonts w:ascii="Times New Roman" w:eastAsia="Times New Roman" w:hAnsi="Times New Roman" w:cs="Times New Roman"/>
                <w:color w:val="000000"/>
                <w:lang w:val="sr-Cyrl-CS" w:eastAsia="en-GB"/>
              </w:rPr>
            </w:pPr>
          </w:p>
          <w:p w14:paraId="2CBAC3A6"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000000"/>
                <w:lang w:val="sr-Cyrl-CS" w:eastAsia="en-GB"/>
              </w:rPr>
              <w:t>160</w:t>
            </w:r>
          </w:p>
        </w:tc>
        <w:tc>
          <w:tcPr>
            <w:tcW w:w="1085" w:type="dxa"/>
            <w:gridSpan w:val="2"/>
            <w:tcBorders>
              <w:top w:val="double" w:sz="4" w:space="0" w:color="auto"/>
              <w:left w:val="double" w:sz="4" w:space="0" w:color="auto"/>
              <w:bottom w:val="double" w:sz="4" w:space="0" w:color="auto"/>
              <w:right w:val="double" w:sz="4" w:space="0" w:color="auto"/>
            </w:tcBorders>
            <w:noWrap/>
          </w:tcPr>
          <w:p w14:paraId="13F093EB" w14:textId="77777777" w:rsidR="00353A29" w:rsidRDefault="00353A29" w:rsidP="00766164">
            <w:pPr>
              <w:spacing w:after="0" w:line="240" w:lineRule="auto"/>
              <w:jc w:val="center"/>
              <w:rPr>
                <w:rFonts w:ascii="Times New Roman" w:eastAsia="Times New Roman" w:hAnsi="Times New Roman" w:cs="Times New Roman"/>
                <w:lang w:val="sr-Cyrl-RS" w:eastAsia="en-GB"/>
              </w:rPr>
            </w:pPr>
          </w:p>
          <w:p w14:paraId="0F676555"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eastAsia="en-GB"/>
              </w:rPr>
              <w:t>344</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0CA721E2" w14:textId="77777777" w:rsidR="00353A29" w:rsidRDefault="00353A29" w:rsidP="0076616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140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години, док је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 xml:space="preserve">циљана вредност за 2024. годину од 160 надмашена и износи 344. </w:t>
            </w:r>
          </w:p>
        </w:tc>
      </w:tr>
      <w:tr w:rsidR="00353A29" w14:paraId="0F460BCE"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567FD18F"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bookmarkStart w:id="7" w:name="_Hlk161828169"/>
          </w:p>
          <w:p w14:paraId="00972BCE"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Број техника и инструмената у поступцима јавних набавки</w:t>
            </w:r>
            <w:bookmarkEnd w:id="7"/>
            <w:r>
              <w:rPr>
                <w:rFonts w:ascii="Times New Roman" w:eastAsia="Times New Roman" w:hAnsi="Times New Roman" w:cs="Times New Roman"/>
                <w:color w:val="000000"/>
                <w:lang w:val="sr-Cyrl-CS" w:eastAsia="en-GB"/>
              </w:rPr>
              <w:t>, укупно</w:t>
            </w:r>
          </w:p>
        </w:tc>
        <w:tc>
          <w:tcPr>
            <w:tcW w:w="2250" w:type="dxa"/>
            <w:gridSpan w:val="4"/>
            <w:tcBorders>
              <w:top w:val="double" w:sz="4" w:space="0" w:color="auto"/>
              <w:left w:val="double" w:sz="4" w:space="0" w:color="auto"/>
              <w:bottom w:val="double" w:sz="4" w:space="0" w:color="auto"/>
              <w:right w:val="double" w:sz="4" w:space="0" w:color="auto"/>
            </w:tcBorders>
            <w:noWrap/>
          </w:tcPr>
          <w:p w14:paraId="42782194"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15ACF6E6"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lang w:val="sr-Cyrl-CS" w:eastAsia="en-GB"/>
              </w:rPr>
              <w:t>250</w:t>
            </w:r>
          </w:p>
        </w:tc>
        <w:tc>
          <w:tcPr>
            <w:tcW w:w="1170" w:type="dxa"/>
            <w:gridSpan w:val="2"/>
            <w:tcBorders>
              <w:top w:val="double" w:sz="4" w:space="0" w:color="auto"/>
              <w:left w:val="double" w:sz="4" w:space="0" w:color="auto"/>
              <w:bottom w:val="double" w:sz="4" w:space="0" w:color="auto"/>
              <w:right w:val="double" w:sz="4" w:space="0" w:color="auto"/>
            </w:tcBorders>
            <w:noWrap/>
          </w:tcPr>
          <w:p w14:paraId="2788831D"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3B1AB3CC"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lang w:val="sr-Cyrl-CS" w:eastAsia="en-GB"/>
              </w:rPr>
              <w:t>260</w:t>
            </w:r>
          </w:p>
        </w:tc>
        <w:tc>
          <w:tcPr>
            <w:tcW w:w="1085" w:type="dxa"/>
            <w:gridSpan w:val="2"/>
            <w:tcBorders>
              <w:top w:val="double" w:sz="4" w:space="0" w:color="auto"/>
              <w:left w:val="double" w:sz="4" w:space="0" w:color="auto"/>
              <w:bottom w:val="double" w:sz="4" w:space="0" w:color="auto"/>
              <w:right w:val="double" w:sz="4" w:space="0" w:color="auto"/>
            </w:tcBorders>
            <w:noWrap/>
          </w:tcPr>
          <w:p w14:paraId="0A705ECC" w14:textId="77777777" w:rsidR="00353A29" w:rsidRDefault="00353A29" w:rsidP="00766164">
            <w:pPr>
              <w:spacing w:after="0" w:line="240" w:lineRule="auto"/>
              <w:jc w:val="center"/>
              <w:rPr>
                <w:rFonts w:ascii="Times New Roman" w:eastAsia="Times New Roman" w:hAnsi="Times New Roman" w:cs="Times New Roman"/>
                <w:lang w:val="sr-Cyrl-RS" w:eastAsia="en-GB"/>
              </w:rPr>
            </w:pPr>
          </w:p>
          <w:p w14:paraId="13F168BE"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eastAsia="en-GB"/>
              </w:rPr>
              <w:t>442</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F4BF014" w14:textId="77777777" w:rsidR="00353A29" w:rsidRDefault="00353A29" w:rsidP="0076616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250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години, док је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 xml:space="preserve">циљана вредност за 2024. годину од 260 надмашена и износи 442. </w:t>
            </w:r>
          </w:p>
        </w:tc>
      </w:tr>
      <w:tr w:rsidR="00353A29" w14:paraId="5C968623"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tcPr>
          <w:p w14:paraId="0D3F9DD4" w14:textId="77777777" w:rsidR="00353A29" w:rsidRDefault="00353A29" w:rsidP="00766164">
            <w:pPr>
              <w:spacing w:after="0" w:line="240" w:lineRule="auto"/>
              <w:jc w:val="both"/>
              <w:rPr>
                <w:rFonts w:ascii="Times New Roman" w:eastAsia="Times New Roman" w:hAnsi="Times New Roman" w:cs="Times New Roman"/>
                <w:color w:val="222222"/>
              </w:rPr>
            </w:pPr>
          </w:p>
        </w:tc>
      </w:tr>
      <w:tr w:rsidR="00353A29" w14:paraId="6DA9E406" w14:textId="77777777" w:rsidTr="00766164">
        <w:trPr>
          <w:gridBefore w:val="1"/>
          <w:wBefore w:w="10" w:type="dxa"/>
          <w:trHeight w:val="780"/>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vAlign w:val="center"/>
            <w:hideMark/>
          </w:tcPr>
          <w:p w14:paraId="15A4C86E" w14:textId="77777777" w:rsidR="00353A29" w:rsidRDefault="00353A29" w:rsidP="00766164">
            <w:pPr>
              <w:spacing w:after="0" w:line="240" w:lineRule="auto"/>
              <w:rPr>
                <w:rFonts w:ascii="Times New Roman" w:eastAsia="Times New Roman" w:hAnsi="Times New Roman" w:cs="Times New Roman"/>
                <w:color w:val="222222"/>
              </w:rPr>
            </w:pPr>
            <w:bookmarkStart w:id="8" w:name="_Toc73613654"/>
            <w:r>
              <w:rPr>
                <w:rFonts w:ascii="Times New Roman" w:eastAsia="Times New Roman" w:hAnsi="Times New Roman" w:cs="Times New Roman"/>
                <w:b/>
                <w:i/>
                <w:color w:val="365F91"/>
                <w:lang w:val="sr-Cyrl-CS" w:eastAsia="en-GB"/>
              </w:rPr>
              <w:t xml:space="preserve">Мера 1.2.1: </w:t>
            </w:r>
            <w:bookmarkEnd w:id="8"/>
            <w:r>
              <w:rPr>
                <w:rFonts w:ascii="Times New Roman" w:eastAsia="Times New Roman" w:hAnsi="Times New Roman" w:cs="Times New Roman"/>
                <w:b/>
                <w:i/>
                <w:color w:val="365F91"/>
                <w:lang w:val="sr-Cyrl-CS" w:eastAsia="en-GB"/>
              </w:rPr>
              <w:t>Јачање регулаторног и институционалног оквира у погледу зелених набавки</w:t>
            </w:r>
          </w:p>
        </w:tc>
      </w:tr>
      <w:tr w:rsidR="00353A29" w14:paraId="1F01E198"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299D9FA2"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Носилац </w:t>
            </w:r>
            <w:r>
              <w:rPr>
                <w:rFonts w:ascii="Times New Roman" w:eastAsia="Times New Roman" w:hAnsi="Times New Roman" w:cs="Times New Roman"/>
                <w:color w:val="222222"/>
                <w:lang w:val="sr-Cyrl-RS"/>
              </w:rPr>
              <w:t>мер</w:t>
            </w:r>
            <w:r>
              <w:rPr>
                <w:rFonts w:ascii="Times New Roman" w:eastAsia="Times New Roman" w:hAnsi="Times New Roman" w:cs="Times New Roman"/>
                <w:color w:val="222222"/>
              </w:rPr>
              <w:t xml:space="preserve">е: </w:t>
            </w:r>
            <w:r>
              <w:rPr>
                <w:rFonts w:ascii="Times New Roman" w:eastAsia="Times New Roman" w:hAnsi="Times New Roman" w:cs="Times New Roman"/>
                <w:color w:val="222222"/>
                <w:lang w:val="sr-Cyrl-RS"/>
              </w:rPr>
              <w:t>КЈН</w:t>
            </w:r>
          </w:p>
        </w:tc>
      </w:tr>
      <w:tr w:rsidR="00353A29" w14:paraId="1CB21035"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6385298"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9C56AE8"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5A33062"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083DAD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D706A7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005258F2"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76249013" w14:textId="77777777" w:rsidR="00353A29" w:rsidRDefault="00353A29" w:rsidP="00766164">
            <w:pPr>
              <w:autoSpaceDE w:val="0"/>
              <w:autoSpaceDN w:val="0"/>
              <w:adjustRightInd w:val="0"/>
              <w:spacing w:after="0" w:line="240" w:lineRule="auto"/>
              <w:rPr>
                <w:rFonts w:ascii="Times New Roman" w:eastAsia="Calibri" w:hAnsi="Times New Roman" w:cs="Times New Roman"/>
                <w:bCs/>
                <w:lang w:val="sr-Cyrl-CS"/>
              </w:rPr>
            </w:pPr>
            <w:bookmarkStart w:id="9" w:name="_Hlk160094195"/>
            <w:r>
              <w:rPr>
                <w:rFonts w:ascii="Times New Roman" w:eastAsia="Times New Roman" w:hAnsi="Times New Roman" w:cs="Times New Roman"/>
                <w:color w:val="000000"/>
                <w:lang w:val="sr-Cyrl-CS" w:eastAsia="en-GB"/>
              </w:rPr>
              <w:t>Број организованих обука на тему поступака јавних набавки</w:t>
            </w:r>
            <w:bookmarkEnd w:id="9"/>
            <w:r>
              <w:rPr>
                <w:rFonts w:ascii="Times New Roman" w:eastAsia="Times New Roman" w:hAnsi="Times New Roman" w:cs="Times New Roman"/>
                <w:color w:val="000000"/>
                <w:lang w:val="sr-Cyrl-CS" w:eastAsia="en-GB"/>
              </w:rPr>
              <w:t xml:space="preserve"> са еколошким аспектима, годишње  </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73B82C66"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2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7B8C3CDD" w14:textId="77777777" w:rsidR="00353A29" w:rsidRDefault="00353A29" w:rsidP="00766164">
            <w:pPr>
              <w:spacing w:after="0" w:line="240" w:lineRule="auto"/>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4E07D535"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1D8B33E3" w14:textId="77777777" w:rsidR="00353A29" w:rsidRDefault="00353A29" w:rsidP="00766164">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2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 xml:space="preserve">циљана вредност за 2024. годину надмашена и износи </w:t>
            </w:r>
            <w:r>
              <w:rPr>
                <w:rFonts w:ascii="Times New Roman" w:eastAsia="Times New Roman" w:hAnsi="Times New Roman" w:cs="Times New Roman"/>
                <w:color w:val="222222"/>
              </w:rPr>
              <w:t>3</w:t>
            </w:r>
            <w:r>
              <w:rPr>
                <w:rFonts w:ascii="Times New Roman" w:eastAsia="Times New Roman" w:hAnsi="Times New Roman" w:cs="Times New Roman"/>
                <w:color w:val="222222"/>
                <w:lang w:val="sr-Cyrl-RS"/>
              </w:rPr>
              <w:t>.</w:t>
            </w:r>
          </w:p>
        </w:tc>
      </w:tr>
      <w:tr w:rsidR="00353A29" w14:paraId="70E7333E"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722AE858" w14:textId="77777777" w:rsidR="00353A29" w:rsidRDefault="00353A29" w:rsidP="00766164">
            <w:pPr>
              <w:tabs>
                <w:tab w:val="left" w:pos="9923"/>
              </w:tabs>
              <w:spacing w:after="0" w:line="240" w:lineRule="auto"/>
              <w:jc w:val="both"/>
              <w:rPr>
                <w:rFonts w:ascii="Times New Roman" w:eastAsia="Times New Roman" w:hAnsi="Times New Roman" w:cs="Times New Roman"/>
                <w:color w:val="000000"/>
                <w:lang w:val="sr-Cyrl-CS" w:eastAsia="en-GB"/>
              </w:rPr>
            </w:pPr>
          </w:p>
          <w:p w14:paraId="73206D28" w14:textId="77777777" w:rsidR="00353A29" w:rsidRDefault="00353A29" w:rsidP="00766164">
            <w:pPr>
              <w:tabs>
                <w:tab w:val="left" w:pos="9923"/>
              </w:tabs>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Број израђених практичних алата (водичи или смернице или модели конкурсних документација) за зелене набавке, укупно</w:t>
            </w:r>
          </w:p>
          <w:p w14:paraId="3E08830E" w14:textId="77777777" w:rsidR="00353A29" w:rsidRDefault="00353A29" w:rsidP="00766164">
            <w:pPr>
              <w:tabs>
                <w:tab w:val="left" w:pos="9923"/>
              </w:tabs>
              <w:spacing w:after="0" w:line="240" w:lineRule="auto"/>
              <w:jc w:val="both"/>
              <w:rPr>
                <w:rFonts w:ascii="Times New Roman" w:eastAsia="Times New Roman" w:hAnsi="Times New Roman" w:cs="Times New Roman"/>
                <w:color w:val="000000"/>
                <w:lang w:val="sr-Cyrl-CS" w:eastAsia="en-GB"/>
              </w:rPr>
            </w:pP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67987CBC"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2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5FF63187"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 xml:space="preserve">10 </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02D70434" w14:textId="77777777" w:rsidR="00353A29" w:rsidRDefault="00353A29" w:rsidP="00766164">
            <w:pPr>
              <w:spacing w:after="0" w:line="240" w:lineRule="auto"/>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11</w:t>
            </w:r>
            <w:r>
              <w:rPr>
                <w:rStyle w:val="FootnoteReference"/>
                <w:rFonts w:ascii="Times New Roman" w:eastAsia="Times New Roman" w:hAnsi="Times New Roman" w:cs="Times New Roman"/>
                <w:color w:val="000000"/>
                <w:lang w:val="sr-Cyrl-RS"/>
              </w:rPr>
              <w:footnoteReference w:id="10"/>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0DC8F18C" w14:textId="77777777" w:rsidR="00353A29" w:rsidRDefault="00353A29" w:rsidP="00766164">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2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циљана вредност за 2024. годину од 10 надмашена и износи 11</w:t>
            </w:r>
            <w:r>
              <w:rPr>
                <w:rStyle w:val="FootnoteReference"/>
                <w:rFonts w:ascii="Times New Roman" w:eastAsia="Times New Roman" w:hAnsi="Times New Roman" w:cs="Times New Roman"/>
                <w:color w:val="222222"/>
                <w:lang w:val="sr-Cyrl-RS"/>
              </w:rPr>
              <w:footnoteReference w:id="11"/>
            </w:r>
            <w:r>
              <w:rPr>
                <w:rFonts w:ascii="Times New Roman" w:eastAsia="Times New Roman" w:hAnsi="Times New Roman" w:cs="Times New Roman"/>
                <w:color w:val="222222"/>
                <w:lang w:val="sr-Cyrl-RS"/>
              </w:rPr>
              <w:t xml:space="preserve">. </w:t>
            </w:r>
          </w:p>
        </w:tc>
      </w:tr>
      <w:tr w:rsidR="00353A29" w14:paraId="23186D94"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70A5C8E2" w14:textId="77777777" w:rsidR="00353A29" w:rsidRDefault="00353A29" w:rsidP="00766164"/>
        </w:tc>
      </w:tr>
      <w:tr w:rsidR="00353A29" w14:paraId="38367F1F"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B309AC2"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2ADF612"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6C5D21A"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Рок за реализацију у 2023</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E1A06CF"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7842B76"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48415CD"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2A451B56" w14:textId="77777777" w:rsidR="00353A29" w:rsidRDefault="00353A29" w:rsidP="00766164">
            <w:pPr>
              <w:spacing w:after="0" w:line="240" w:lineRule="auto"/>
              <w:jc w:val="center"/>
              <w:rPr>
                <w:rFonts w:ascii="Times New Roman" w:eastAsia="Times New Roman" w:hAnsi="Times New Roman" w:cs="Times New Roman"/>
                <w:bCs/>
                <w:i/>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3512ABE9"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1DB789AD" w14:textId="77777777" w:rsidR="00353A29" w:rsidRDefault="00353A29" w:rsidP="00766164">
            <w:pPr>
              <w:spacing w:after="0" w:line="240" w:lineRule="auto"/>
              <w:rPr>
                <w:rFonts w:ascii="Times New Roman" w:eastAsia="Times New Roman" w:hAnsi="Times New Roman" w:cs="Times New Roman"/>
                <w:lang w:val="sr-Cyrl-CS" w:eastAsia="en-GB"/>
              </w:rPr>
            </w:pPr>
          </w:p>
          <w:p w14:paraId="25297B48" w14:textId="77777777" w:rsidR="00353A29" w:rsidRDefault="00353A29" w:rsidP="00766164">
            <w:pPr>
              <w:spacing w:after="0" w:line="240" w:lineRule="auto"/>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1.2.1.1. Израда водича за зелене јавне набавке</w:t>
            </w:r>
          </w:p>
          <w:p w14:paraId="436B2CEF" w14:textId="77777777" w:rsidR="00353A29" w:rsidRDefault="00353A29" w:rsidP="00766164">
            <w:pPr>
              <w:spacing w:after="0" w:line="240" w:lineRule="auto"/>
              <w:rPr>
                <w:rFonts w:ascii="Times New Roman" w:eastAsia="Times New Roman" w:hAnsi="Times New Roman" w:cs="Times New Roman"/>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01A79403"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КЈН</w:t>
            </w:r>
          </w:p>
          <w:p w14:paraId="14E5D9A2"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tcPr>
          <w:p w14:paraId="50DAEB93" w14:textId="77777777" w:rsidR="00353A29" w:rsidRDefault="00353A29" w:rsidP="00766164">
            <w:pPr>
              <w:spacing w:after="0" w:line="240" w:lineRule="auto"/>
              <w:jc w:val="center"/>
              <w:rPr>
                <w:rFonts w:ascii="Times New Roman" w:eastAsia="Times New Roman" w:hAnsi="Times New Roman" w:cs="Times New Roman"/>
                <w:b/>
                <w:bCs/>
                <w:lang w:val="sr-Cyrl-CS" w:eastAsia="en-GB"/>
              </w:rPr>
            </w:pPr>
          </w:p>
          <w:p w14:paraId="798C55EE"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17C986CC" w14:textId="77777777" w:rsidR="00353A29" w:rsidRDefault="00353A29" w:rsidP="00766164">
            <w:pPr>
              <w:spacing w:after="0" w:line="240" w:lineRule="auto"/>
              <w:jc w:val="center"/>
              <w:rPr>
                <w:rFonts w:ascii="Times New Roman" w:eastAsia="Times New Roman" w:hAnsi="Times New Roman" w:cs="Times New Roman"/>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2944F2FD" w14:textId="77777777" w:rsidR="00353A29" w:rsidRDefault="00353A29" w:rsidP="00766164">
            <w:pPr>
              <w:spacing w:after="0" w:line="240" w:lineRule="auto"/>
              <w:rPr>
                <w:rFonts w:ascii="Times New Roman" w:eastAsia="Times New Roman" w:hAnsi="Times New Roman" w:cs="Times New Roman"/>
                <w:lang w:val="sr-Cyrl-RS"/>
              </w:rPr>
            </w:pPr>
            <w:r>
              <w:rPr>
                <w:rFonts w:ascii="Times New Roman" w:eastAsia="Times New Roman" w:hAnsi="Times New Roman" w:cs="Times New Roman"/>
                <w:lang w:val="sr-Cyrl-RS"/>
              </w:rPr>
              <w:t>З</w:t>
            </w:r>
            <w:r>
              <w:rPr>
                <w:rFonts w:ascii="Times New Roman" w:eastAsia="Times New Roman" w:hAnsi="Times New Roman" w:cs="Times New Roman"/>
              </w:rPr>
              <w:t>авршено</w:t>
            </w:r>
            <w:r>
              <w:rPr>
                <w:rStyle w:val="FootnoteReference"/>
                <w:rFonts w:ascii="Times New Roman" w:eastAsia="Times New Roman" w:hAnsi="Times New Roman" w:cs="Times New Roman"/>
              </w:rPr>
              <w:t xml:space="preserve"> </w:t>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552A9433" w14:textId="77777777" w:rsidR="00353A29" w:rsidRDefault="00353A29" w:rsidP="00766164">
            <w:pPr>
              <w:spacing w:after="0" w:line="240" w:lineRule="auto"/>
              <w:jc w:val="center"/>
              <w:rPr>
                <w:rFonts w:ascii="Times New Roman" w:eastAsia="Times New Roman" w:hAnsi="Times New Roman" w:cs="Times New Roman"/>
              </w:rPr>
            </w:pP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5D843C85" w14:textId="77777777" w:rsidR="00353A29" w:rsidRDefault="00353A29" w:rsidP="00766164">
            <w:pPr>
              <w:spacing w:after="160" w:line="256"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Уз подршку </w:t>
            </w:r>
            <w:r>
              <w:rPr>
                <w:rFonts w:ascii="Times New Roman" w:eastAsia="Times New Roman" w:hAnsi="Times New Roman" w:cs="Times New Roman"/>
              </w:rPr>
              <w:t xml:space="preserve">пројекта „Јавне набавке и добро управљање за већу конкурентност“ </w:t>
            </w:r>
            <w:r>
              <w:rPr>
                <w:rFonts w:ascii="Times New Roman" w:eastAsia="Times New Roman" w:hAnsi="Times New Roman" w:cs="Times New Roman"/>
                <w:lang w:val="sr-Cyrl-RS"/>
              </w:rPr>
              <w:t>који финансира</w:t>
            </w:r>
            <w:r>
              <w:rPr>
                <w:rFonts w:ascii="Times New Roman" w:eastAsia="Times New Roman" w:hAnsi="Times New Roman" w:cs="Times New Roman"/>
              </w:rPr>
              <w:t xml:space="preserve"> СИДА</w:t>
            </w:r>
            <w:r>
              <w:rPr>
                <w:rFonts w:ascii="Times New Roman" w:eastAsia="Times New Roman" w:hAnsi="Times New Roman" w:cs="Times New Roman"/>
                <w:lang w:val="sr-Cyrl-RS"/>
              </w:rPr>
              <w:t xml:space="preserve"> и спроводи НАЛЕД, израђене су ажуриране Смернице за зелене јавне набавке, које су доступне и на интернет страници КЈН.</w:t>
            </w:r>
          </w:p>
        </w:tc>
      </w:tr>
      <w:tr w:rsidR="00353A29" w14:paraId="476C6C2A"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2859CB35"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17D587A0" w14:textId="77777777" w:rsidR="00353A29" w:rsidRDefault="00353A29" w:rsidP="00766164">
            <w:pPr>
              <w:spacing w:after="0" w:line="240" w:lineRule="auto"/>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1.2.1.2. Израда модела конкурсне документације за зелене јавне набавке</w:t>
            </w:r>
          </w:p>
          <w:p w14:paraId="75C0B0A8" w14:textId="77777777" w:rsidR="00353A29" w:rsidRDefault="00353A29" w:rsidP="00766164">
            <w:pPr>
              <w:spacing w:after="0" w:line="240" w:lineRule="auto"/>
              <w:rPr>
                <w:rFonts w:ascii="Times New Roman" w:eastAsia="Times New Roman" w:hAnsi="Times New Roman" w:cs="Times New Roman"/>
                <w:color w:val="222222"/>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C460B53"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КЈН</w:t>
            </w:r>
          </w:p>
          <w:p w14:paraId="262D5761"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tcPr>
          <w:p w14:paraId="347DF131" w14:textId="77777777" w:rsidR="00353A29" w:rsidRDefault="00353A29" w:rsidP="00766164">
            <w:pPr>
              <w:spacing w:after="0" w:line="240" w:lineRule="auto"/>
              <w:jc w:val="center"/>
              <w:rPr>
                <w:rFonts w:ascii="Times New Roman" w:eastAsia="Times New Roman" w:hAnsi="Times New Roman" w:cs="Times New Roman"/>
                <w:color w:val="000000"/>
                <w:lang w:val="sr-Cyrl-CS" w:eastAsia="en-GB"/>
              </w:rPr>
            </w:pPr>
          </w:p>
          <w:p w14:paraId="5E9AAD2E"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6EF2A961"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6E58EF1D" w14:textId="77777777" w:rsidR="00353A29" w:rsidRDefault="00353A29" w:rsidP="00766164">
            <w:pPr>
              <w:spacing w:after="0" w:line="240" w:lineRule="auto"/>
              <w:jc w:val="center"/>
              <w:rPr>
                <w:rFonts w:ascii="Times New Roman" w:eastAsia="Times New Roman" w:hAnsi="Times New Roman" w:cs="Times New Roman"/>
                <w:color w:val="222222"/>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64DA158F"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Pr>
                <w:rStyle w:val="FootnoteReference"/>
                <w:rFonts w:ascii="Times New Roman" w:eastAsia="Times New Roman" w:hAnsi="Times New Roman" w:cs="Times New Roman"/>
                <w:color w:val="222222"/>
              </w:rPr>
              <w:footnoteReference w:id="12"/>
            </w:r>
            <w:r>
              <w:rPr>
                <w:rStyle w:val="FootnoteReference"/>
                <w:rFonts w:ascii="Times New Roman" w:eastAsia="Times New Roman" w:hAnsi="Times New Roman" w:cs="Times New Roman"/>
                <w:color w:val="222222"/>
              </w:rPr>
              <w:t xml:space="preserve"> </w:t>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1D79E9B1"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6906DD80" w14:textId="77777777" w:rsidR="00353A29" w:rsidRDefault="00353A29" w:rsidP="00766164">
            <w:pPr>
              <w:spacing w:after="160" w:line="256" w:lineRule="auto"/>
              <w:jc w:val="both"/>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 xml:space="preserve">Током 2024. године израђено је </w:t>
            </w:r>
            <w:r>
              <w:rPr>
                <w:rFonts w:ascii="Times New Roman" w:eastAsia="Times New Roman" w:hAnsi="Times New Roman" w:cs="Times New Roman"/>
                <w:color w:val="222222"/>
              </w:rPr>
              <w:t>6</w:t>
            </w:r>
            <w:r>
              <w:rPr>
                <w:rFonts w:ascii="Times New Roman" w:eastAsia="Times New Roman" w:hAnsi="Times New Roman" w:cs="Times New Roman"/>
                <w:color w:val="222222"/>
                <w:lang w:val="sr-Cyrl-RS"/>
              </w:rPr>
              <w:t xml:space="preserve"> модела </w:t>
            </w:r>
            <w:r>
              <w:rPr>
                <w:rFonts w:ascii="Times New Roman" w:eastAsia="Times New Roman" w:hAnsi="Times New Roman" w:cs="Times New Roman"/>
                <w:color w:val="000000"/>
                <w:lang w:val="sr-Cyrl-CS" w:eastAsia="en-GB"/>
              </w:rPr>
              <w:t>конкурсне документације за зелене јавне набавке.</w:t>
            </w:r>
          </w:p>
        </w:tc>
      </w:tr>
      <w:tr w:rsidR="00353A29" w14:paraId="554B8EF5"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257E59FB"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7B4EBA09"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1643F2E5"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47C9E5FA"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278876CC"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394234D2"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3BF1256B"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2D355E80"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73772C2A"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3DE63507"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lang w:val="sr-Cyrl-CS" w:eastAsia="en-GB"/>
              </w:rPr>
              <w:t>1.2.1.3. Организовање обука на тему зелених  набавки</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BFADAD5"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217DC582"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6055919C"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58324677"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1B9DBE78"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6D939411"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22E3E214"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0A6A8903"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6CE51C07" w14:textId="768E7865" w:rsidR="00370A87" w:rsidRDefault="00370A87" w:rsidP="00766164">
            <w:pPr>
              <w:spacing w:after="0" w:line="240" w:lineRule="auto"/>
              <w:jc w:val="center"/>
              <w:rPr>
                <w:rFonts w:ascii="Times New Roman" w:eastAsia="Times New Roman" w:hAnsi="Times New Roman" w:cs="Times New Roman"/>
                <w:color w:val="222222"/>
                <w:lang w:val="sr-Cyrl-RS"/>
              </w:rPr>
            </w:pPr>
          </w:p>
          <w:p w14:paraId="52ADC30F" w14:textId="77777777" w:rsidR="00370A87" w:rsidRDefault="00370A87" w:rsidP="00766164">
            <w:pPr>
              <w:spacing w:after="0" w:line="240" w:lineRule="auto"/>
              <w:jc w:val="center"/>
              <w:rPr>
                <w:rFonts w:ascii="Times New Roman" w:eastAsia="Times New Roman" w:hAnsi="Times New Roman" w:cs="Times New Roman"/>
                <w:color w:val="222222"/>
                <w:lang w:val="sr-Cyrl-RS"/>
              </w:rPr>
            </w:pPr>
          </w:p>
          <w:p w14:paraId="438D2B6E" w14:textId="3416E1E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КЈН</w:t>
            </w:r>
          </w:p>
          <w:p w14:paraId="19C7E54B"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НАЛЕД</w:t>
            </w:r>
          </w:p>
          <w:p w14:paraId="24B428EB"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ПКС</w:t>
            </w:r>
          </w:p>
        </w:tc>
        <w:tc>
          <w:tcPr>
            <w:tcW w:w="1260" w:type="dxa"/>
            <w:gridSpan w:val="2"/>
            <w:tcBorders>
              <w:top w:val="double" w:sz="4" w:space="0" w:color="auto"/>
              <w:left w:val="double" w:sz="4" w:space="0" w:color="auto"/>
              <w:bottom w:val="double" w:sz="4" w:space="0" w:color="auto"/>
              <w:right w:val="double" w:sz="4" w:space="0" w:color="auto"/>
            </w:tcBorders>
            <w:noWrap/>
          </w:tcPr>
          <w:p w14:paraId="2E927B77" w14:textId="77777777" w:rsidR="00353A29" w:rsidRDefault="00353A29" w:rsidP="00766164">
            <w:pPr>
              <w:spacing w:after="0" w:line="240" w:lineRule="auto"/>
              <w:jc w:val="center"/>
              <w:rPr>
                <w:rFonts w:ascii="Times New Roman" w:eastAsia="Times New Roman" w:hAnsi="Times New Roman" w:cs="Times New Roman"/>
                <w:color w:val="000000"/>
                <w:lang w:val="sr-Cyrl-CS" w:eastAsia="en-GB"/>
              </w:rPr>
            </w:pPr>
          </w:p>
          <w:p w14:paraId="449751A2"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7C237FAD"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78E60927"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2BFA205E"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35B89216"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04C92AF7"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3481F875"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291C5FAF" w14:textId="6F2106C4" w:rsidR="00353A29" w:rsidRDefault="00353A29" w:rsidP="00766164">
            <w:pPr>
              <w:spacing w:after="0" w:line="240" w:lineRule="auto"/>
              <w:jc w:val="center"/>
              <w:rPr>
                <w:rFonts w:ascii="Times New Roman" w:eastAsia="Times New Roman" w:hAnsi="Times New Roman" w:cs="Times New Roman"/>
                <w:lang w:val="sr-Cyrl-CS" w:eastAsia="en-GB"/>
              </w:rPr>
            </w:pPr>
          </w:p>
          <w:p w14:paraId="610D71C1" w14:textId="77777777" w:rsidR="00370A87" w:rsidRDefault="00370A87" w:rsidP="00766164">
            <w:pPr>
              <w:spacing w:after="0" w:line="240" w:lineRule="auto"/>
              <w:jc w:val="center"/>
              <w:rPr>
                <w:rFonts w:ascii="Times New Roman" w:eastAsia="Times New Roman" w:hAnsi="Times New Roman" w:cs="Times New Roman"/>
                <w:lang w:val="sr-Cyrl-CS" w:eastAsia="en-GB"/>
              </w:rPr>
            </w:pPr>
          </w:p>
          <w:p w14:paraId="408F8C26"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5E0063E5" w14:textId="77777777" w:rsidR="00353A29" w:rsidRDefault="00353A29" w:rsidP="00766164">
            <w:pPr>
              <w:spacing w:after="0" w:line="240" w:lineRule="auto"/>
              <w:jc w:val="center"/>
              <w:rPr>
                <w:rFonts w:ascii="Times New Roman" w:eastAsia="Times New Roman" w:hAnsi="Times New Roman" w:cs="Times New Roman"/>
                <w:color w:val="222222"/>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34D076B2" w14:textId="77777777" w:rsidR="00370A87" w:rsidRDefault="00370A87" w:rsidP="00766164">
            <w:pPr>
              <w:spacing w:after="0" w:line="240" w:lineRule="auto"/>
              <w:rPr>
                <w:rFonts w:ascii="Times New Roman" w:eastAsia="Times New Roman" w:hAnsi="Times New Roman" w:cs="Times New Roman"/>
                <w:color w:val="222222"/>
                <w:lang w:val="sr-Cyrl-RS"/>
              </w:rPr>
            </w:pPr>
          </w:p>
          <w:p w14:paraId="3FDCB284" w14:textId="77777777" w:rsidR="00370A87" w:rsidRDefault="00370A87" w:rsidP="00766164">
            <w:pPr>
              <w:spacing w:after="0" w:line="240" w:lineRule="auto"/>
              <w:rPr>
                <w:rFonts w:ascii="Times New Roman" w:eastAsia="Times New Roman" w:hAnsi="Times New Roman" w:cs="Times New Roman"/>
                <w:color w:val="222222"/>
                <w:lang w:val="sr-Cyrl-RS"/>
              </w:rPr>
            </w:pPr>
          </w:p>
          <w:p w14:paraId="318066B1" w14:textId="77777777" w:rsidR="00370A87" w:rsidRDefault="00370A87" w:rsidP="00766164">
            <w:pPr>
              <w:spacing w:after="0" w:line="240" w:lineRule="auto"/>
              <w:rPr>
                <w:rFonts w:ascii="Times New Roman" w:eastAsia="Times New Roman" w:hAnsi="Times New Roman" w:cs="Times New Roman"/>
                <w:color w:val="222222"/>
                <w:lang w:val="sr-Cyrl-RS"/>
              </w:rPr>
            </w:pPr>
          </w:p>
          <w:p w14:paraId="1367F0A2" w14:textId="77777777" w:rsidR="00370A87" w:rsidRDefault="00370A87" w:rsidP="00766164">
            <w:pPr>
              <w:spacing w:after="0" w:line="240" w:lineRule="auto"/>
              <w:rPr>
                <w:rFonts w:ascii="Times New Roman" w:eastAsia="Times New Roman" w:hAnsi="Times New Roman" w:cs="Times New Roman"/>
                <w:color w:val="222222"/>
                <w:lang w:val="sr-Cyrl-RS"/>
              </w:rPr>
            </w:pPr>
          </w:p>
          <w:p w14:paraId="7EA61C37" w14:textId="77777777" w:rsidR="00370A87" w:rsidRDefault="00370A87" w:rsidP="00766164">
            <w:pPr>
              <w:spacing w:after="0" w:line="240" w:lineRule="auto"/>
              <w:rPr>
                <w:rFonts w:ascii="Times New Roman" w:eastAsia="Times New Roman" w:hAnsi="Times New Roman" w:cs="Times New Roman"/>
                <w:color w:val="222222"/>
                <w:lang w:val="sr-Cyrl-RS"/>
              </w:rPr>
            </w:pPr>
          </w:p>
          <w:p w14:paraId="12508538" w14:textId="77777777" w:rsidR="00370A87" w:rsidRDefault="00370A87" w:rsidP="00766164">
            <w:pPr>
              <w:spacing w:after="0" w:line="240" w:lineRule="auto"/>
              <w:rPr>
                <w:rFonts w:ascii="Times New Roman" w:eastAsia="Times New Roman" w:hAnsi="Times New Roman" w:cs="Times New Roman"/>
                <w:color w:val="222222"/>
                <w:lang w:val="sr-Cyrl-RS"/>
              </w:rPr>
            </w:pPr>
          </w:p>
          <w:p w14:paraId="2116788F" w14:textId="5BD1F053" w:rsidR="00370A87" w:rsidRDefault="00370A87" w:rsidP="00766164">
            <w:pPr>
              <w:spacing w:after="0" w:line="240" w:lineRule="auto"/>
              <w:rPr>
                <w:rFonts w:ascii="Times New Roman" w:eastAsia="Times New Roman" w:hAnsi="Times New Roman" w:cs="Times New Roman"/>
                <w:color w:val="222222"/>
                <w:lang w:val="sr-Cyrl-RS"/>
              </w:rPr>
            </w:pPr>
          </w:p>
          <w:p w14:paraId="1FFD799E" w14:textId="77777777" w:rsidR="00370A87" w:rsidRDefault="00370A87" w:rsidP="00766164">
            <w:pPr>
              <w:spacing w:after="0" w:line="240" w:lineRule="auto"/>
              <w:rPr>
                <w:rFonts w:ascii="Times New Roman" w:eastAsia="Times New Roman" w:hAnsi="Times New Roman" w:cs="Times New Roman"/>
                <w:color w:val="222222"/>
                <w:lang w:val="sr-Cyrl-RS"/>
              </w:rPr>
            </w:pPr>
          </w:p>
          <w:p w14:paraId="23545D5D" w14:textId="77777777" w:rsidR="00370A87" w:rsidRDefault="00370A87" w:rsidP="00766164">
            <w:pPr>
              <w:spacing w:after="0" w:line="240" w:lineRule="auto"/>
              <w:rPr>
                <w:rFonts w:ascii="Times New Roman" w:eastAsia="Times New Roman" w:hAnsi="Times New Roman" w:cs="Times New Roman"/>
                <w:color w:val="222222"/>
                <w:lang w:val="sr-Cyrl-RS"/>
              </w:rPr>
            </w:pPr>
          </w:p>
          <w:p w14:paraId="50053D14" w14:textId="761BCB54"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Pr>
                <w:rStyle w:val="FootnoteReference"/>
                <w:rFonts w:ascii="Times New Roman" w:eastAsia="Times New Roman" w:hAnsi="Times New Roman" w:cs="Times New Roman"/>
                <w:color w:val="222222"/>
              </w:rPr>
              <w:t xml:space="preserve"> </w:t>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74050FE3" w14:textId="77777777" w:rsidR="00353A29" w:rsidRDefault="00353A29" w:rsidP="00766164">
            <w:pPr>
              <w:spacing w:after="0" w:line="240" w:lineRule="auto"/>
              <w:jc w:val="center"/>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013F7FB0"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на тему „Нова законска и подзаконска решења у области јавних </w:t>
            </w:r>
            <w:proofErr w:type="gramStart"/>
            <w:r w:rsidRPr="006F62CD">
              <w:rPr>
                <w:rFonts w:ascii="Times New Roman" w:hAnsi="Times New Roman" w:cs="Times New Roman"/>
              </w:rPr>
              <w:t>набавки“</w:t>
            </w:r>
            <w:proofErr w:type="gramEnd"/>
            <w:r w:rsidRPr="006F62CD">
              <w:rPr>
                <w:rFonts w:ascii="Times New Roman" w:hAnsi="Times New Roman" w:cs="Times New Roman"/>
              </w:rPr>
              <w:t>. Учесницима вебинара презентоване су новине у ЗЈН</w:t>
            </w:r>
            <w:r>
              <w:rPr>
                <w:rFonts w:ascii="Times New Roman" w:hAnsi="Times New Roman" w:cs="Times New Roman"/>
                <w:lang w:val="sr-Cyrl-RS"/>
              </w:rPr>
              <w:t>, зелене јавне набавке</w:t>
            </w:r>
            <w:r w:rsidRPr="006F62CD">
              <w:rPr>
                <w:rFonts w:ascii="Times New Roman" w:hAnsi="Times New Roman" w:cs="Times New Roman"/>
              </w:rPr>
              <w:t xml:space="preserve">, нове функционалности Портала, као и основне карактеристике партнерства за иновације. Вебинару је приступило више стотина учесника. </w:t>
            </w:r>
          </w:p>
          <w:p w14:paraId="7C123F1A" w14:textId="77777777" w:rsidR="00353A29" w:rsidRPr="004F5443" w:rsidRDefault="00353A29" w:rsidP="00766164">
            <w:pPr>
              <w:spacing w:after="0" w:line="240" w:lineRule="auto"/>
              <w:jc w:val="both"/>
              <w:rPr>
                <w:rFonts w:ascii="Times New Roman" w:hAnsi="Times New Roman" w:cs="Times New Roman"/>
                <w:lang w:val="sr-Cyrl-RS"/>
              </w:rPr>
            </w:pPr>
            <w:r w:rsidRPr="004F5443">
              <w:rPr>
                <w:rFonts w:ascii="Times New Roman" w:hAnsi="Times New Roman" w:cs="Times New Roman"/>
                <w:lang w:val="sr-Cyrl-RS"/>
              </w:rPr>
              <w:t xml:space="preserve">- </w:t>
            </w:r>
            <w:r w:rsidRPr="004F5443">
              <w:rPr>
                <w:rFonts w:ascii="Times New Roman" w:hAnsi="Times New Roman" w:cs="Times New Roman"/>
              </w:rPr>
              <w:t xml:space="preserve">У циљу промоције зелених и социјалних јавних набавки, као и техника и инструмената у поступцима јавних набавки одржан је семинар за наручиоце и понуђаче. Први део семинара био је посвећен зеленим јавним набавкама и промоцији модела конкурсних документација са примерима примене еколошких аспеката. У другом делу учесници су имали прилику да се упознају са социјалним набавкама, затим </w:t>
            </w:r>
            <w:r w:rsidRPr="004F5443">
              <w:rPr>
                <w:rFonts w:ascii="Times New Roman" w:hAnsi="Times New Roman" w:cs="Times New Roman"/>
              </w:rPr>
              <w:lastRenderedPageBreak/>
              <w:t xml:space="preserve">са моделима конкурсних документација са примерима примене социјалних аспеката, али и са сличностима и разликама између оквирног споразума и система динамичне набавке. На семинару је било присутно више од 70 представника наручилаца и понуђача. </w:t>
            </w:r>
          </w:p>
          <w:p w14:paraId="630BC32D" w14:textId="77777777" w:rsidR="00353A29" w:rsidRDefault="00353A29" w:rsidP="00766164">
            <w:pPr>
              <w:spacing w:after="0"/>
              <w:jc w:val="both"/>
              <w:rPr>
                <w:rFonts w:ascii="Times New Roman" w:hAnsi="Times New Roman" w:cs="Times New Roman"/>
              </w:rPr>
            </w:pPr>
            <w:r w:rsidRPr="004F5443">
              <w:rPr>
                <w:rFonts w:ascii="Times New Roman" w:hAnsi="Times New Roman" w:cs="Times New Roman"/>
                <w:lang w:val="sr-Cyrl-RS"/>
              </w:rPr>
              <w:t>- В</w:t>
            </w:r>
            <w:r w:rsidRPr="004F5443">
              <w:rPr>
                <w:rFonts w:ascii="Times New Roman" w:hAnsi="Times New Roman" w:cs="Times New Roman"/>
              </w:rPr>
              <w:t xml:space="preserve">ебинар за наручиоце и понуђаче у циљу промоције зелених и социјалних јавних набавки, као и техника и инструмената у поступцима јавних набавки. Први део био је посвећен зеленим јавним набавкама и промоцији модела конкурсних документација са примерима примене еколошких аспеката. У другом делу, учесници су имали прилику да се упознају са социјалним набавкама, затим са моделима конкурсних документација са примерима примене социјалних аспеката, али и са сличностима и разликама између оквирног споразума и система динамичне набавке. </w:t>
            </w:r>
            <w:r w:rsidRPr="004F5443">
              <w:rPr>
                <w:rFonts w:ascii="Times New Roman" w:hAnsi="Times New Roman" w:cs="Times New Roman"/>
                <w:lang w:val="sr-Cyrl-RS"/>
              </w:rPr>
              <w:t>В</w:t>
            </w:r>
            <w:r w:rsidRPr="004F5443">
              <w:rPr>
                <w:rFonts w:ascii="Times New Roman" w:hAnsi="Times New Roman" w:cs="Times New Roman"/>
              </w:rPr>
              <w:t>ебинар</w:t>
            </w:r>
            <w:r w:rsidRPr="004F5443">
              <w:rPr>
                <w:rFonts w:ascii="Times New Roman" w:hAnsi="Times New Roman" w:cs="Times New Roman"/>
                <w:lang w:val="sr-Cyrl-RS"/>
              </w:rPr>
              <w:t>у</w:t>
            </w:r>
            <w:r w:rsidRPr="004F5443">
              <w:rPr>
                <w:rFonts w:ascii="Times New Roman" w:hAnsi="Times New Roman" w:cs="Times New Roman"/>
              </w:rPr>
              <w:t xml:space="preserve"> </w:t>
            </w:r>
            <w:r w:rsidRPr="004F5443">
              <w:rPr>
                <w:rFonts w:ascii="Times New Roman" w:hAnsi="Times New Roman" w:cs="Times New Roman"/>
                <w:lang w:val="sr-Cyrl-RS"/>
              </w:rPr>
              <w:t>је присустовало око</w:t>
            </w:r>
            <w:r w:rsidRPr="004F5443">
              <w:rPr>
                <w:rFonts w:ascii="Times New Roman" w:hAnsi="Times New Roman" w:cs="Times New Roman"/>
              </w:rPr>
              <w:t xml:space="preserve"> </w:t>
            </w:r>
            <w:r w:rsidRPr="004F5443">
              <w:rPr>
                <w:rFonts w:ascii="Times New Roman" w:hAnsi="Times New Roman" w:cs="Times New Roman"/>
                <w:lang w:val="sr-Cyrl-RS"/>
              </w:rPr>
              <w:t>4</w:t>
            </w:r>
            <w:r w:rsidRPr="004F5443">
              <w:rPr>
                <w:rFonts w:ascii="Times New Roman" w:hAnsi="Times New Roman" w:cs="Times New Roman"/>
              </w:rPr>
              <w:t>00 представника наручилаца и понуђача.</w:t>
            </w:r>
            <w:r w:rsidRPr="006F62CD">
              <w:rPr>
                <w:rFonts w:ascii="Times New Roman" w:hAnsi="Times New Roman" w:cs="Times New Roman"/>
              </w:rPr>
              <w:t xml:space="preserve"> </w:t>
            </w:r>
            <w:r>
              <w:rPr>
                <w:rFonts w:ascii="Times New Roman" w:hAnsi="Times New Roman" w:cs="Times New Roman"/>
                <w:lang w:val="sr-Cyrl-RS"/>
              </w:rPr>
              <w:t xml:space="preserve"> </w:t>
            </w:r>
          </w:p>
        </w:tc>
      </w:tr>
      <w:tr w:rsidR="00353A29" w14:paraId="0894AB35"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4EB81F46" w14:textId="77777777" w:rsidR="00353A29" w:rsidRDefault="00353A29" w:rsidP="00766164"/>
        </w:tc>
      </w:tr>
      <w:tr w:rsidR="00353A29" w14:paraId="150B1958" w14:textId="77777777" w:rsidTr="00766164">
        <w:trPr>
          <w:gridBefore w:val="1"/>
          <w:wBefore w:w="10" w:type="dxa"/>
          <w:trHeight w:val="5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vAlign w:val="center"/>
            <w:hideMark/>
          </w:tcPr>
          <w:p w14:paraId="4A78BD83" w14:textId="77777777" w:rsidR="00353A29" w:rsidRDefault="00353A29" w:rsidP="00766164">
            <w:pPr>
              <w:spacing w:after="0" w:line="240" w:lineRule="auto"/>
              <w:rPr>
                <w:rFonts w:ascii="Times New Roman" w:eastAsia="Times New Roman" w:hAnsi="Times New Roman" w:cs="Times New Roman"/>
                <w:b/>
                <w:i/>
                <w:color w:val="365F91"/>
                <w:lang w:val="sr-Cyrl-CS" w:eastAsia="en-GB"/>
              </w:rPr>
            </w:pPr>
            <w:r>
              <w:rPr>
                <w:rFonts w:ascii="Times New Roman" w:eastAsia="Times New Roman" w:hAnsi="Times New Roman" w:cs="Times New Roman"/>
                <w:b/>
                <w:i/>
                <w:color w:val="365F91"/>
                <w:lang w:val="sr-Cyrl-CS" w:eastAsia="en-GB"/>
              </w:rPr>
              <w:t>Мера 1.2.2: Подстицање примене социјалног концепта у јавним набавкама</w:t>
            </w:r>
          </w:p>
        </w:tc>
      </w:tr>
      <w:tr w:rsidR="00353A29" w14:paraId="28D6256D"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65D7F4C5"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Носилац </w:t>
            </w:r>
            <w:r>
              <w:rPr>
                <w:rFonts w:ascii="Times New Roman" w:eastAsia="Times New Roman" w:hAnsi="Times New Roman" w:cs="Times New Roman"/>
                <w:color w:val="222222"/>
                <w:lang w:val="sr-Cyrl-RS"/>
              </w:rPr>
              <w:t>мер</w:t>
            </w:r>
            <w:r>
              <w:rPr>
                <w:rFonts w:ascii="Times New Roman" w:eastAsia="Times New Roman" w:hAnsi="Times New Roman" w:cs="Times New Roman"/>
                <w:color w:val="222222"/>
              </w:rPr>
              <w:t>е: КЈН</w:t>
            </w:r>
          </w:p>
        </w:tc>
      </w:tr>
      <w:tr w:rsidR="00353A29" w14:paraId="7752A386"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A6683B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9D8CBE5"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D12C8B0"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4A9E021"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740823CF"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319C054D"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3858381A" w14:textId="77777777" w:rsidR="00353A29" w:rsidRDefault="00353A29" w:rsidP="00766164">
            <w:pPr>
              <w:tabs>
                <w:tab w:val="left" w:pos="332"/>
              </w:tabs>
              <w:spacing w:before="40" w:after="40" w:line="240" w:lineRule="auto"/>
              <w:jc w:val="both"/>
              <w:rPr>
                <w:rFonts w:ascii="Times New Roman" w:eastAsia="Times New Roman" w:hAnsi="Times New Roman" w:cs="Times New Roman"/>
                <w:lang w:val="sr-Cyrl-CS" w:eastAsia="en-GB"/>
              </w:rPr>
            </w:pPr>
            <w:r>
              <w:rPr>
                <w:rFonts w:ascii="Times New Roman" w:eastAsia="Times New Roman" w:hAnsi="Times New Roman" w:cs="Times New Roman"/>
                <w:color w:val="000000"/>
                <w:lang w:val="sr-Cyrl-CS" w:eastAsia="en-GB"/>
              </w:rPr>
              <w:t>Број организованих обука на тему поступака јавних набавки са социјалним аспектима, годишње</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2B6D10FE"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2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1231A80F" w14:textId="77777777" w:rsidR="00353A29" w:rsidRDefault="00353A29" w:rsidP="0076616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1608FB61"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2</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1A066FE" w14:textId="77777777" w:rsidR="00353A29" w:rsidRDefault="00353A29" w:rsidP="00766164">
            <w:pPr>
              <w:rPr>
                <w:rFonts w:ascii="Times New Roman" w:hAnsi="Times New Roman" w:cs="Times New Roman"/>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2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су</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укупно организоване 2 обуке.</w:t>
            </w:r>
          </w:p>
        </w:tc>
      </w:tr>
      <w:tr w:rsidR="00353A29" w14:paraId="15A79B10"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49842B85" w14:textId="77777777" w:rsidR="00353A29" w:rsidRDefault="00353A29" w:rsidP="00766164">
            <w:pPr>
              <w:tabs>
                <w:tab w:val="left" w:pos="9923"/>
              </w:tabs>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 xml:space="preserve">Број израђених практичних алата (водичи или смернице или модели </w:t>
            </w:r>
            <w:r>
              <w:rPr>
                <w:rFonts w:ascii="Times New Roman" w:eastAsia="Times New Roman" w:hAnsi="Times New Roman" w:cs="Times New Roman"/>
                <w:lang w:val="sr-Cyrl-CS" w:eastAsia="en-GB"/>
              </w:rPr>
              <w:t xml:space="preserve">конкурсне документације) </w:t>
            </w:r>
            <w:r>
              <w:rPr>
                <w:rFonts w:ascii="Times New Roman" w:eastAsia="Times New Roman" w:hAnsi="Times New Roman" w:cs="Times New Roman"/>
                <w:color w:val="000000"/>
                <w:lang w:val="sr-Cyrl-CS" w:eastAsia="en-GB"/>
              </w:rPr>
              <w:t>за примену социјалног концепта, годишње</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6E867145"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0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36B449BF" w14:textId="77777777" w:rsidR="00353A29" w:rsidRDefault="00353A29" w:rsidP="0076616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D7DEA98"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2</w:t>
            </w:r>
            <w:r>
              <w:rPr>
                <w:rStyle w:val="FootnoteReference"/>
                <w:rFonts w:ascii="Times New Roman" w:eastAsia="Times New Roman" w:hAnsi="Times New Roman" w:cs="Times New Roman"/>
                <w:color w:val="222222"/>
              </w:rPr>
              <w:footnoteReference w:id="13"/>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29DAAA1" w14:textId="77777777" w:rsidR="00353A29" w:rsidRDefault="00353A29" w:rsidP="00766164">
            <w:pPr>
              <w:rPr>
                <w:rFonts w:ascii="Times New Roman" w:hAnsi="Times New Roman" w:cs="Times New Roman"/>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о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 xml:space="preserve">циљана вредност за 2024. годину остварена. </w:t>
            </w:r>
          </w:p>
        </w:tc>
      </w:tr>
      <w:tr w:rsidR="00353A29" w14:paraId="111DC760"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59F46D9B" w14:textId="77777777" w:rsidR="00353A29" w:rsidRDefault="00353A29" w:rsidP="00766164"/>
        </w:tc>
      </w:tr>
      <w:tr w:rsidR="00353A29" w14:paraId="5704E6B6"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E766F37"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095537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BAEF44F"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Рок за реализацију у 202</w:t>
            </w:r>
            <w:r>
              <w:rPr>
                <w:rFonts w:ascii="Times New Roman" w:eastAsia="Times New Roman" w:hAnsi="Times New Roman" w:cs="Times New Roman"/>
                <w:b/>
                <w:bCs/>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1DF67D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2A0A270"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7848703"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323C869C"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7598E62E" w14:textId="77777777" w:rsidTr="00766164">
        <w:trPr>
          <w:gridBefore w:val="1"/>
          <w:wBefore w:w="10" w:type="dxa"/>
          <w:trHeight w:val="96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7213BE5D"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7A7AE55A" w14:textId="77777777" w:rsidR="00353A29" w:rsidRDefault="00353A29" w:rsidP="00766164">
            <w:pPr>
              <w:spacing w:after="0" w:line="240" w:lineRule="auto"/>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1.2.2.1. Израда модела конкурсних документација са применом социјалног концепта</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57BD995E"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КЈН</w:t>
            </w:r>
          </w:p>
          <w:p w14:paraId="1FB185BD"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78646E49"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3FE7E36D" w14:textId="6581DE21"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Завршено</w:t>
            </w:r>
            <w:r w:rsidR="00370A87">
              <w:rPr>
                <w:rStyle w:val="FootnoteReference"/>
                <w:rFonts w:ascii="Times New Roman" w:eastAsia="Times New Roman" w:hAnsi="Times New Roman" w:cs="Times New Roman"/>
                <w:color w:val="222222"/>
              </w:rPr>
              <w:footnoteReference w:id="14"/>
            </w:r>
          </w:p>
        </w:tc>
        <w:tc>
          <w:tcPr>
            <w:tcW w:w="2255" w:type="dxa"/>
            <w:gridSpan w:val="4"/>
            <w:tcBorders>
              <w:top w:val="double" w:sz="4" w:space="0" w:color="auto"/>
              <w:left w:val="double" w:sz="4" w:space="0" w:color="auto"/>
              <w:bottom w:val="double" w:sz="4" w:space="0" w:color="auto"/>
              <w:right w:val="double" w:sz="4" w:space="0" w:color="auto"/>
            </w:tcBorders>
            <w:noWrap/>
            <w:vAlign w:val="center"/>
            <w:hideMark/>
          </w:tcPr>
          <w:p w14:paraId="3E0C9EA5" w14:textId="77777777" w:rsidR="00353A29" w:rsidRDefault="00353A29" w:rsidP="00766164">
            <w:pPr>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052EF5D0" w14:textId="77777777" w:rsidR="00353A29" w:rsidRDefault="00353A29" w:rsidP="00766164">
            <w:pPr>
              <w:pStyle w:val="NoSpacing"/>
              <w:spacing w:line="276" w:lineRule="auto"/>
              <w:jc w:val="both"/>
              <w:rPr>
                <w:rFonts w:ascii="Times New Roman" w:eastAsia="Calibri" w:hAnsi="Times New Roman" w:cs="Times New Roman"/>
                <w:lang w:val="sr-Cyrl-RS"/>
              </w:rPr>
            </w:pPr>
            <w:r>
              <w:rPr>
                <w:rFonts w:ascii="Times New Roman" w:eastAsia="Times New Roman" w:hAnsi="Times New Roman" w:cs="Times New Roman"/>
                <w:color w:val="222222"/>
                <w:lang w:val="sr-Cyrl-RS"/>
              </w:rPr>
              <w:t xml:space="preserve">Током 2024. године израђено је 2 модела </w:t>
            </w:r>
            <w:r>
              <w:rPr>
                <w:rFonts w:ascii="Times New Roman" w:eastAsia="Times New Roman" w:hAnsi="Times New Roman" w:cs="Times New Roman"/>
                <w:color w:val="000000"/>
                <w:lang w:val="sr-Cyrl-CS" w:eastAsia="en-GB"/>
              </w:rPr>
              <w:t>конкурсне документације за социјалне јавне набавке.</w:t>
            </w:r>
          </w:p>
        </w:tc>
      </w:tr>
      <w:tr w:rsidR="00353A29" w14:paraId="3DFE6412"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05C366B4"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3447C1C3"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3FE11C6C"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3A0C391F"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01F82498"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27A095E4"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56A307EC"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4773CD23"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4091A0D7"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2DD42BE0"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lang w:val="sr-Cyrl-CS" w:eastAsia="en-GB"/>
              </w:rPr>
              <w:t>1.2.2.2. Организовање обука на тему социјалних набавки</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3FA40D10"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КЈН</w:t>
            </w:r>
          </w:p>
          <w:p w14:paraId="1395ECBE"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НАЛЕД</w:t>
            </w:r>
          </w:p>
          <w:p w14:paraId="79A7E4E6"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ПКС</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39054E61"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1B9CBEC6"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hideMark/>
          </w:tcPr>
          <w:p w14:paraId="674F7C1B"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6F591144" w14:textId="77777777" w:rsidR="00353A29" w:rsidRPr="004F5443" w:rsidRDefault="00353A29" w:rsidP="00766164">
            <w:pPr>
              <w:spacing w:after="0" w:line="240" w:lineRule="auto"/>
              <w:jc w:val="both"/>
              <w:rPr>
                <w:rFonts w:ascii="Times New Roman" w:hAnsi="Times New Roman" w:cs="Times New Roman"/>
                <w:lang w:val="sr-Cyrl-RS"/>
              </w:rPr>
            </w:pPr>
            <w:r w:rsidRPr="004F5443">
              <w:rPr>
                <w:rFonts w:ascii="Times New Roman" w:hAnsi="Times New Roman" w:cs="Times New Roman"/>
                <w:lang w:val="sr-Cyrl-RS"/>
              </w:rPr>
              <w:t xml:space="preserve">- </w:t>
            </w:r>
            <w:r w:rsidRPr="004F5443">
              <w:rPr>
                <w:rFonts w:ascii="Times New Roman" w:hAnsi="Times New Roman" w:cs="Times New Roman"/>
              </w:rPr>
              <w:t xml:space="preserve">У циљу промоције зелених и социјалних јавних набавки, као и техника и инструмената у поступцима јавних набавки одржан је семинар за наручиоце и понуђаче. Први део семинара био је посвећен зеленим јавним набавкама и промоцији модела конкурсних документација са примерима примене еколошких аспеката. У другом делу учесници су имали прилику да се упознају са социјалним набавкама, затим са моделима конкурсних документација са примерима примене социјалних аспеката, али и са сличностима и разликама између оквирног споразума и система динамичне набавке. На семинару је било присутно више од 70 представника наручилаца и понуђача. </w:t>
            </w:r>
          </w:p>
          <w:p w14:paraId="46F84867" w14:textId="77777777" w:rsidR="00353A29" w:rsidRPr="004F5443" w:rsidRDefault="00353A29" w:rsidP="00766164">
            <w:pPr>
              <w:spacing w:after="0" w:line="240" w:lineRule="auto"/>
              <w:jc w:val="both"/>
              <w:rPr>
                <w:rFonts w:ascii="Times New Roman" w:eastAsia="Times New Roman" w:hAnsi="Times New Roman" w:cs="Times New Roman"/>
                <w:color w:val="222222"/>
                <w:lang w:val="sr-Cyrl-RS"/>
              </w:rPr>
            </w:pPr>
            <w:r w:rsidRPr="004F5443">
              <w:rPr>
                <w:rFonts w:ascii="Times New Roman" w:hAnsi="Times New Roman" w:cs="Times New Roman"/>
                <w:lang w:val="sr-Cyrl-RS"/>
              </w:rPr>
              <w:t>- В</w:t>
            </w:r>
            <w:r w:rsidRPr="004F5443">
              <w:rPr>
                <w:rFonts w:ascii="Times New Roman" w:hAnsi="Times New Roman" w:cs="Times New Roman"/>
              </w:rPr>
              <w:t xml:space="preserve">ебинар за наручиоце и понуђаче у циљу промоције зелених и социјалних јавних набавки, као и техника и инструмената у поступцима јавних набавки. Први део био је посвећен зеленим јавним набавкама и промоцији модела конкурсних документација са примерима примене еколошких аспеката. У другом делу, учесници су имали прилику да се упознају са социјалним набавкама, затим са моделима конкурсних документација са примерима примене социјалних аспеката, али и са сличностима и разликама између оквирног споразума и система динамичне набавке. </w:t>
            </w:r>
            <w:r w:rsidRPr="004F5443">
              <w:rPr>
                <w:rFonts w:ascii="Times New Roman" w:hAnsi="Times New Roman" w:cs="Times New Roman"/>
                <w:lang w:val="sr-Cyrl-RS"/>
              </w:rPr>
              <w:t>В</w:t>
            </w:r>
            <w:r w:rsidRPr="004F5443">
              <w:rPr>
                <w:rFonts w:ascii="Times New Roman" w:hAnsi="Times New Roman" w:cs="Times New Roman"/>
              </w:rPr>
              <w:t>ебинар</w:t>
            </w:r>
            <w:r w:rsidRPr="004F5443">
              <w:rPr>
                <w:rFonts w:ascii="Times New Roman" w:hAnsi="Times New Roman" w:cs="Times New Roman"/>
                <w:lang w:val="sr-Cyrl-RS"/>
              </w:rPr>
              <w:t>у</w:t>
            </w:r>
            <w:r w:rsidRPr="004F5443">
              <w:rPr>
                <w:rFonts w:ascii="Times New Roman" w:hAnsi="Times New Roman" w:cs="Times New Roman"/>
              </w:rPr>
              <w:t xml:space="preserve"> </w:t>
            </w:r>
            <w:r w:rsidRPr="004F5443">
              <w:rPr>
                <w:rFonts w:ascii="Times New Roman" w:hAnsi="Times New Roman" w:cs="Times New Roman"/>
                <w:lang w:val="sr-Cyrl-RS"/>
              </w:rPr>
              <w:t>је присустовало око</w:t>
            </w:r>
            <w:r w:rsidRPr="004F5443">
              <w:rPr>
                <w:rFonts w:ascii="Times New Roman" w:hAnsi="Times New Roman" w:cs="Times New Roman"/>
              </w:rPr>
              <w:t xml:space="preserve"> </w:t>
            </w:r>
            <w:r w:rsidRPr="004F5443">
              <w:rPr>
                <w:rFonts w:ascii="Times New Roman" w:hAnsi="Times New Roman" w:cs="Times New Roman"/>
                <w:lang w:val="sr-Cyrl-RS"/>
              </w:rPr>
              <w:t>4</w:t>
            </w:r>
            <w:r w:rsidRPr="004F5443">
              <w:rPr>
                <w:rFonts w:ascii="Times New Roman" w:hAnsi="Times New Roman" w:cs="Times New Roman"/>
              </w:rPr>
              <w:t>00 представника наручилаца и понуђача.</w:t>
            </w:r>
            <w:r w:rsidRPr="006F62CD">
              <w:rPr>
                <w:rFonts w:ascii="Times New Roman" w:hAnsi="Times New Roman" w:cs="Times New Roman"/>
              </w:rPr>
              <w:t xml:space="preserve"> </w:t>
            </w:r>
            <w:r>
              <w:rPr>
                <w:rFonts w:ascii="Times New Roman" w:hAnsi="Times New Roman" w:cs="Times New Roman"/>
                <w:lang w:val="sr-Cyrl-RS"/>
              </w:rPr>
              <w:t xml:space="preserve"> </w:t>
            </w:r>
          </w:p>
        </w:tc>
      </w:tr>
      <w:tr w:rsidR="00353A29" w14:paraId="560E66F0"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6351D968" w14:textId="77777777" w:rsidR="00353A29" w:rsidRDefault="00353A29" w:rsidP="00766164"/>
        </w:tc>
      </w:tr>
      <w:tr w:rsidR="00353A29" w14:paraId="074C42A4"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hideMark/>
          </w:tcPr>
          <w:p w14:paraId="018FDE35"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b/>
                <w:i/>
                <w:color w:val="365F91"/>
                <w:lang w:val="sr-Cyrl-CS" w:eastAsia="en-GB"/>
              </w:rPr>
              <w:t>Мера 1.2.3: Подстицање примене техника и инструмената у јавним набавкама</w:t>
            </w:r>
          </w:p>
        </w:tc>
      </w:tr>
      <w:tr w:rsidR="00353A29" w14:paraId="46B7A802"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13A54794"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Носилац ставке: КЈН</w:t>
            </w:r>
          </w:p>
        </w:tc>
      </w:tr>
      <w:tr w:rsidR="00353A29" w14:paraId="068665E5"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EB52F8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lastRenderedPageBreak/>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7EC30B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B14E56C"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BB22206"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BD00616"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4F8F1078"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6CFFA4E1" w14:textId="77777777" w:rsidR="00353A29" w:rsidRDefault="00353A29" w:rsidP="00766164">
            <w:pPr>
              <w:spacing w:after="0" w:line="240" w:lineRule="auto"/>
              <w:jc w:val="both"/>
              <w:rPr>
                <w:rFonts w:ascii="Times New Roman" w:eastAsia="Times New Roman" w:hAnsi="Times New Roman" w:cs="Times New Roman"/>
                <w:lang w:val="sr-Cyrl-CS" w:eastAsia="en-GB"/>
              </w:rPr>
            </w:pPr>
            <w:bookmarkStart w:id="10" w:name="_Hlk161828804"/>
            <w:r>
              <w:rPr>
                <w:rFonts w:ascii="Times New Roman" w:eastAsia="Times New Roman" w:hAnsi="Times New Roman" w:cs="Times New Roman"/>
                <w:color w:val="000000"/>
                <w:lang w:val="sr-Cyrl-CS" w:eastAsia="en-GB"/>
              </w:rPr>
              <w:t>Број организованих обука у вези са применом техника и инструмената у јавним набавкама</w:t>
            </w:r>
            <w:bookmarkEnd w:id="10"/>
            <w:r>
              <w:rPr>
                <w:rFonts w:ascii="Times New Roman" w:eastAsia="Times New Roman" w:hAnsi="Times New Roman" w:cs="Times New Roman"/>
                <w:color w:val="000000"/>
                <w:lang w:val="sr-Cyrl-CS" w:eastAsia="en-GB"/>
              </w:rPr>
              <w:t>, годишње</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26654FC4"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0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17B1C7C8" w14:textId="77777777" w:rsidR="00353A29" w:rsidRDefault="00353A29" w:rsidP="00766164">
            <w:pPr>
              <w:spacing w:after="0" w:line="240" w:lineRule="auto"/>
              <w:rPr>
                <w:rFonts w:ascii="Times New Roman" w:eastAsia="Times New Roman" w:hAnsi="Times New Roman" w:cs="Times New Roman"/>
                <w:bCs/>
                <w:lang w:val="sr-Cyrl-RS"/>
              </w:rPr>
            </w:pPr>
            <w:r>
              <w:rPr>
                <w:rFonts w:ascii="Times New Roman" w:eastAsia="Times New Roman" w:hAnsi="Times New Roman" w:cs="Times New Roman"/>
                <w:bCs/>
                <w:lang w:val="sr-Cyrl-RS"/>
              </w:rPr>
              <w:t>2</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1A49F244" w14:textId="77777777" w:rsidR="00353A29" w:rsidRDefault="00353A29" w:rsidP="00766164">
            <w:pPr>
              <w:spacing w:after="0" w:line="240" w:lineRule="auto"/>
              <w:rPr>
                <w:rFonts w:ascii="Times New Roman" w:eastAsia="Times New Roman" w:hAnsi="Times New Roman" w:cs="Times New Roman"/>
                <w:bCs/>
                <w:color w:val="222222"/>
                <w:lang w:val="sr-Cyrl-RS"/>
              </w:rPr>
            </w:pPr>
            <w:r>
              <w:rPr>
                <w:rFonts w:ascii="Times New Roman" w:eastAsia="Times New Roman" w:hAnsi="Times New Roman" w:cs="Times New Roman"/>
                <w:bCs/>
                <w:color w:val="222222"/>
                <w:lang w:val="sr-Cyrl-RS"/>
              </w:rPr>
              <w:t>3</w:t>
            </w: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21DFCD6F" w14:textId="77777777" w:rsidR="00353A29" w:rsidRDefault="00353A29" w:rsidP="00766164">
            <w:pPr>
              <w:spacing w:after="0" w:line="240" w:lineRule="auto"/>
              <w:jc w:val="both"/>
              <w:rPr>
                <w:rFonts w:ascii="Times New Roman" w:eastAsia="Times New Roman" w:hAnsi="Times New Roman" w:cs="Times New Roman"/>
                <w:color w:val="000000"/>
              </w:rPr>
            </w:pPr>
          </w:p>
          <w:p w14:paraId="21D8CDAE" w14:textId="77777777" w:rsidR="00353A29" w:rsidRDefault="00353A29" w:rsidP="00766164">
            <w:pPr>
              <w:spacing w:after="0" w:line="240" w:lineRule="auto"/>
              <w:jc w:val="both"/>
              <w:rPr>
                <w:rFonts w:ascii="Times New Roman" w:eastAsia="Times New Roman" w:hAnsi="Times New Roman" w:cs="Times New Roman"/>
                <w:color w:val="222222"/>
                <w:lang w:val="sr-Cyrl-RS"/>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0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lang w:val="sr-Cyrl-RS"/>
              </w:rPr>
              <w:t>г</w:t>
            </w:r>
            <w:r>
              <w:rPr>
                <w:rFonts w:ascii="Times New Roman" w:eastAsia="Times New Roman" w:hAnsi="Times New Roman" w:cs="Times New Roman"/>
                <w:color w:val="222222"/>
              </w:rPr>
              <w:t>одине</w:t>
            </w:r>
            <w:r>
              <w:rPr>
                <w:rFonts w:ascii="Times New Roman" w:eastAsia="Times New Roman" w:hAnsi="Times New Roman" w:cs="Times New Roman"/>
                <w:color w:val="222222"/>
                <w:lang w:val="sr-Cyrl-RS"/>
              </w:rPr>
              <w:t xml:space="preserve"> циљана вредност за 2024. годину од 2 надмашена и износи 3.</w:t>
            </w:r>
          </w:p>
          <w:p w14:paraId="15574216" w14:textId="77777777" w:rsidR="00353A29" w:rsidRDefault="00353A29" w:rsidP="00766164">
            <w:pPr>
              <w:spacing w:after="0" w:line="240" w:lineRule="auto"/>
              <w:jc w:val="both"/>
              <w:rPr>
                <w:rFonts w:ascii="Times New Roman" w:eastAsia="Times New Roman" w:hAnsi="Times New Roman" w:cs="Times New Roman"/>
                <w:color w:val="000000"/>
              </w:rPr>
            </w:pPr>
          </w:p>
        </w:tc>
      </w:tr>
      <w:tr w:rsidR="00353A29" w14:paraId="13927CE8"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3E77BA90"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p>
          <w:p w14:paraId="123D0087"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Број израђених практичних алата (смернице или водичи или модели конкурсних документација) који укључују примену техника и инструмената у јавним набавкама, годишње</w:t>
            </w:r>
          </w:p>
          <w:p w14:paraId="494A0931" w14:textId="77777777" w:rsidR="00353A29" w:rsidRDefault="00353A29" w:rsidP="00766164">
            <w:pPr>
              <w:spacing w:after="0" w:line="240" w:lineRule="auto"/>
              <w:jc w:val="both"/>
              <w:rPr>
                <w:rFonts w:ascii="Times New Roman" w:eastAsia="Times New Roman" w:hAnsi="Times New Roman" w:cs="Times New Roman"/>
                <w:b/>
                <w:bCs/>
                <w:color w:val="222222"/>
              </w:rPr>
            </w:pP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384F87F3" w14:textId="77777777" w:rsidR="00353A29" w:rsidRDefault="00353A29" w:rsidP="00766164">
            <w:pPr>
              <w:spacing w:after="0" w:line="240" w:lineRule="auto"/>
              <w:jc w:val="center"/>
              <w:rPr>
                <w:rFonts w:ascii="Times New Roman" w:eastAsia="Times New Roman" w:hAnsi="Times New Roman" w:cs="Times New Roman"/>
                <w:bCs/>
                <w:color w:val="222222"/>
                <w:lang w:val="sr-Cyrl-RS"/>
              </w:rPr>
            </w:pPr>
            <w:r>
              <w:rPr>
                <w:rFonts w:ascii="Times New Roman" w:eastAsia="Times New Roman" w:hAnsi="Times New Roman" w:cs="Times New Roman"/>
                <w:bCs/>
                <w:color w:val="222222"/>
                <w:lang w:val="sr-Cyrl-RS"/>
              </w:rPr>
              <w:t>2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5E1F4560" w14:textId="77777777" w:rsidR="00353A29" w:rsidRDefault="00353A29" w:rsidP="00766164">
            <w:pPr>
              <w:spacing w:after="0" w:line="240" w:lineRule="auto"/>
              <w:rPr>
                <w:rFonts w:ascii="Times New Roman" w:eastAsia="Times New Roman" w:hAnsi="Times New Roman" w:cs="Times New Roman"/>
                <w:bCs/>
                <w:color w:val="222222"/>
                <w:lang w:val="sr-Cyrl-RS"/>
              </w:rPr>
            </w:pPr>
            <w:r>
              <w:rPr>
                <w:rFonts w:ascii="Times New Roman" w:eastAsia="Times New Roman" w:hAnsi="Times New Roman" w:cs="Times New Roman"/>
                <w:bCs/>
                <w:color w:val="222222"/>
                <w:lang w:val="sr-Cyrl-RS"/>
              </w:rPr>
              <w:t>3</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70B55461" w14:textId="77777777" w:rsidR="00353A29" w:rsidRPr="00152A9F" w:rsidRDefault="00353A29" w:rsidP="00766164">
            <w:pPr>
              <w:spacing w:after="0" w:line="240" w:lineRule="auto"/>
              <w:rPr>
                <w:rFonts w:ascii="Times New Roman" w:eastAsia="Times New Roman" w:hAnsi="Times New Roman" w:cs="Times New Roman"/>
                <w:bCs/>
                <w:color w:val="222222"/>
              </w:rPr>
            </w:pPr>
            <w:r>
              <w:rPr>
                <w:rFonts w:ascii="Times New Roman" w:eastAsia="Times New Roman" w:hAnsi="Times New Roman" w:cs="Times New Roman"/>
                <w:bCs/>
                <w:color w:val="222222"/>
              </w:rPr>
              <w:t>6</w:t>
            </w:r>
            <w:r>
              <w:rPr>
                <w:rStyle w:val="FootnoteReference"/>
                <w:rFonts w:ascii="Times New Roman" w:eastAsia="Times New Roman" w:hAnsi="Times New Roman" w:cs="Times New Roman"/>
                <w:bCs/>
                <w:color w:val="222222"/>
              </w:rPr>
              <w:footnoteReference w:id="15"/>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7730BA4" w14:textId="77777777" w:rsidR="00353A29" w:rsidRDefault="00353A29" w:rsidP="00766164">
            <w:pPr>
              <w:spacing w:after="0" w:line="240" w:lineRule="auto"/>
              <w:jc w:val="both"/>
              <w:rPr>
                <w:rFonts w:ascii="Times New Roman" w:eastAsia="Times New Roman" w:hAnsi="Times New Roman" w:cs="Times New Roman"/>
                <w:b/>
                <w:bCs/>
                <w:color w:val="222222"/>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2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lang w:val="sr-Cyrl-RS"/>
              </w:rPr>
              <w:t>г</w:t>
            </w:r>
            <w:r>
              <w:rPr>
                <w:rFonts w:ascii="Times New Roman" w:eastAsia="Times New Roman" w:hAnsi="Times New Roman" w:cs="Times New Roman"/>
                <w:color w:val="222222"/>
              </w:rPr>
              <w:t>одине</w:t>
            </w:r>
            <w:r>
              <w:rPr>
                <w:rFonts w:ascii="Times New Roman" w:eastAsia="Times New Roman" w:hAnsi="Times New Roman" w:cs="Times New Roman"/>
                <w:color w:val="222222"/>
                <w:lang w:val="sr-Cyrl-RS"/>
              </w:rPr>
              <w:t xml:space="preserve"> циљана вредност за 2024. годину од 3 надмашена и износи </w:t>
            </w:r>
            <w:r>
              <w:rPr>
                <w:rFonts w:ascii="Times New Roman" w:eastAsia="Times New Roman" w:hAnsi="Times New Roman" w:cs="Times New Roman"/>
                <w:color w:val="222222"/>
              </w:rPr>
              <w:t>6</w:t>
            </w:r>
            <w:r>
              <w:rPr>
                <w:rFonts w:ascii="Times New Roman" w:eastAsia="Times New Roman" w:hAnsi="Times New Roman" w:cs="Times New Roman"/>
                <w:color w:val="222222"/>
                <w:lang w:val="sr-Cyrl-RS"/>
              </w:rPr>
              <w:t>.</w:t>
            </w:r>
          </w:p>
        </w:tc>
      </w:tr>
      <w:tr w:rsidR="00353A29" w14:paraId="0D318BB5"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75CE7A2A" w14:textId="77777777" w:rsidR="00353A29" w:rsidRDefault="00353A29" w:rsidP="00766164"/>
        </w:tc>
      </w:tr>
      <w:tr w:rsidR="00353A29" w14:paraId="273EF766"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0C94857"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4E9042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A5212A1"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Рок за реализацију у 202</w:t>
            </w:r>
            <w:r>
              <w:rPr>
                <w:rFonts w:ascii="Times New Roman" w:eastAsia="Times New Roman" w:hAnsi="Times New Roman" w:cs="Times New Roman"/>
                <w:b/>
                <w:bCs/>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9A193F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6B7212A"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A7FE9FA"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583FEB9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7868A926"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35A5C638" w14:textId="77777777" w:rsidR="00353A29" w:rsidRDefault="00353A29" w:rsidP="00766164">
            <w:pPr>
              <w:spacing w:after="0" w:line="240" w:lineRule="auto"/>
              <w:jc w:val="both"/>
              <w:rPr>
                <w:rFonts w:ascii="Times New Roman" w:eastAsia="Times New Roman" w:hAnsi="Times New Roman" w:cs="Times New Roman"/>
                <w:b/>
                <w:bCs/>
                <w:lang w:val="sr-Cyrl-CS" w:eastAsia="en-GB"/>
              </w:rPr>
            </w:pPr>
          </w:p>
          <w:p w14:paraId="33B214BB" w14:textId="77777777" w:rsidR="00353A29" w:rsidRDefault="00353A29" w:rsidP="00766164">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eastAsia="en-GB"/>
              </w:rPr>
              <w:t>1.2.3.1. Израда смерница за коришћење оквирног споразума</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51D22139"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КЈН</w:t>
            </w:r>
          </w:p>
          <w:p w14:paraId="05517901"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УНДП УСАИД</w:t>
            </w:r>
          </w:p>
          <w:p w14:paraId="219BC10E"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 xml:space="preserve"> </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6F49F792"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квартал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03AB92CE"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Pr>
                <w:rStyle w:val="FootnoteReference"/>
                <w:rFonts w:ascii="Times New Roman" w:eastAsia="Times New Roman" w:hAnsi="Times New Roman" w:cs="Times New Roman"/>
                <w:color w:val="222222"/>
              </w:rPr>
              <w:footnoteReference w:id="16"/>
            </w:r>
          </w:p>
        </w:tc>
        <w:tc>
          <w:tcPr>
            <w:tcW w:w="2255" w:type="dxa"/>
            <w:gridSpan w:val="4"/>
            <w:tcBorders>
              <w:top w:val="double" w:sz="4" w:space="0" w:color="auto"/>
              <w:left w:val="double" w:sz="4" w:space="0" w:color="auto"/>
              <w:bottom w:val="double" w:sz="4" w:space="0" w:color="auto"/>
              <w:right w:val="double" w:sz="4" w:space="0" w:color="auto"/>
            </w:tcBorders>
            <w:noWrap/>
            <w:vAlign w:val="bottom"/>
            <w:hideMark/>
          </w:tcPr>
          <w:p w14:paraId="682B9890"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6B88C133" w14:textId="77777777" w:rsidR="00353A29" w:rsidRDefault="00353A29" w:rsidP="0076616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lang w:val="sr-Cyrl-RS"/>
              </w:rPr>
              <w:t xml:space="preserve">Уз подршку </w:t>
            </w:r>
            <w:r>
              <w:rPr>
                <w:rFonts w:ascii="Times New Roman" w:eastAsia="Times New Roman" w:hAnsi="Times New Roman" w:cs="Times New Roman"/>
              </w:rPr>
              <w:t xml:space="preserve">пројекта „Јавне набавке и добро управљање за већу конкурентност“ </w:t>
            </w:r>
            <w:r>
              <w:rPr>
                <w:rFonts w:ascii="Times New Roman" w:eastAsia="Times New Roman" w:hAnsi="Times New Roman" w:cs="Times New Roman"/>
                <w:lang w:val="sr-Cyrl-RS"/>
              </w:rPr>
              <w:t>који финансира</w:t>
            </w:r>
            <w:r>
              <w:rPr>
                <w:rFonts w:ascii="Times New Roman" w:eastAsia="Times New Roman" w:hAnsi="Times New Roman" w:cs="Times New Roman"/>
              </w:rPr>
              <w:t xml:space="preserve"> СИДА</w:t>
            </w:r>
            <w:r>
              <w:rPr>
                <w:rFonts w:ascii="Times New Roman" w:eastAsia="Times New Roman" w:hAnsi="Times New Roman" w:cs="Times New Roman"/>
                <w:lang w:val="sr-Cyrl-RS"/>
              </w:rPr>
              <w:t xml:space="preserve"> и спроводи НАЛЕД, израђене су Смернице за коришћење оквирног споразума.</w:t>
            </w:r>
          </w:p>
        </w:tc>
      </w:tr>
      <w:tr w:rsidR="00353A29" w14:paraId="156449D3"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622E1F19"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1E6BEB82" w14:textId="77777777" w:rsidR="00353A29" w:rsidRDefault="00353A29" w:rsidP="00766164">
            <w:pPr>
              <w:spacing w:after="0" w:line="240" w:lineRule="auto"/>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1.2.3.2. Израда упутства за коришћење система динамичне набавке</w:t>
            </w:r>
          </w:p>
          <w:p w14:paraId="2D36A382" w14:textId="77777777" w:rsidR="00353A29" w:rsidRDefault="00353A29" w:rsidP="00766164">
            <w:pPr>
              <w:spacing w:after="0" w:line="240" w:lineRule="auto"/>
              <w:rPr>
                <w:rFonts w:ascii="Times New Roman" w:eastAsia="Times New Roman" w:hAnsi="Times New Roman" w:cs="Times New Roman"/>
                <w:color w:val="222222"/>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242B7E6E"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p>
          <w:p w14:paraId="339E1163"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КЈН</w:t>
            </w:r>
          </w:p>
          <w:p w14:paraId="520DCB1F" w14:textId="77777777" w:rsidR="00353A29" w:rsidRDefault="00353A29" w:rsidP="00766164">
            <w:pPr>
              <w:tabs>
                <w:tab w:val="left" w:pos="9923"/>
              </w:tabs>
              <w:spacing w:after="0" w:line="240" w:lineRule="auto"/>
              <w:jc w:val="center"/>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НАЛЕД</w:t>
            </w:r>
          </w:p>
          <w:p w14:paraId="76363B07" w14:textId="77777777" w:rsidR="00353A29" w:rsidRDefault="00353A29" w:rsidP="00766164">
            <w:pPr>
              <w:tabs>
                <w:tab w:val="left" w:pos="332"/>
              </w:tabs>
              <w:spacing w:before="40" w:after="40" w:line="240" w:lineRule="auto"/>
              <w:jc w:val="center"/>
              <w:rPr>
                <w:rFonts w:ascii="Times New Roman" w:eastAsia="Calibri" w:hAnsi="Times New Roman" w:cs="Times New Roman"/>
                <w:lang w:val="sr-Cyrl-CS"/>
              </w:rPr>
            </w:pPr>
            <w:r>
              <w:rPr>
                <w:rFonts w:ascii="Times New Roman" w:eastAsia="Calibri" w:hAnsi="Times New Roman" w:cs="Times New Roman"/>
                <w:lang w:val="sr-Cyrl-CS"/>
              </w:rPr>
              <w:t xml:space="preserve"> </w:t>
            </w:r>
          </w:p>
          <w:p w14:paraId="1983626C" w14:textId="77777777" w:rsidR="00353A29" w:rsidRDefault="00353A29" w:rsidP="00766164">
            <w:pPr>
              <w:spacing w:after="0" w:line="240" w:lineRule="auto"/>
              <w:jc w:val="center"/>
              <w:rPr>
                <w:rFonts w:ascii="Times New Roman" w:eastAsia="Times New Roman" w:hAnsi="Times New Roman" w:cs="Times New Roman"/>
                <w:color w:val="222222"/>
              </w:rPr>
            </w:pP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60638BD8"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65F8C9AA" w14:textId="6D319C3D"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r w:rsidR="00370A87">
              <w:rPr>
                <w:rStyle w:val="FootnoteReference"/>
                <w:rFonts w:ascii="Times New Roman" w:eastAsia="Times New Roman" w:hAnsi="Times New Roman" w:cs="Times New Roman"/>
                <w:color w:val="222222"/>
              </w:rPr>
              <w:footnoteReference w:id="17"/>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145D63B0" w14:textId="77777777" w:rsidR="00353A29" w:rsidRDefault="00353A29" w:rsidP="00766164">
            <w:pPr>
              <w:spacing w:after="0" w:line="240" w:lineRule="auto"/>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5DC6241D" w14:textId="77777777" w:rsidR="00353A29" w:rsidRDefault="00353A29" w:rsidP="00766164">
            <w:pPr>
              <w:spacing w:after="0"/>
              <w:jc w:val="both"/>
              <w:rPr>
                <w:rFonts w:ascii="Times New Roman" w:eastAsia="Times New Roman" w:hAnsi="Times New Roman" w:cs="Times New Roman"/>
                <w:color w:val="000000"/>
              </w:rPr>
            </w:pPr>
            <w:r>
              <w:rPr>
                <w:rFonts w:ascii="Times New Roman" w:eastAsia="Times New Roman" w:hAnsi="Times New Roman" w:cs="Times New Roman"/>
                <w:lang w:val="sr-Cyrl-RS"/>
              </w:rPr>
              <w:t xml:space="preserve">Уз подршку </w:t>
            </w:r>
            <w:r>
              <w:rPr>
                <w:rFonts w:ascii="Times New Roman" w:eastAsia="Times New Roman" w:hAnsi="Times New Roman" w:cs="Times New Roman"/>
              </w:rPr>
              <w:t xml:space="preserve">пројекта „Јавне набавке и добро управљање за већу конкурентност“ </w:t>
            </w:r>
            <w:r>
              <w:rPr>
                <w:rFonts w:ascii="Times New Roman" w:eastAsia="Times New Roman" w:hAnsi="Times New Roman" w:cs="Times New Roman"/>
                <w:lang w:val="sr-Cyrl-RS"/>
              </w:rPr>
              <w:t>који финансира</w:t>
            </w:r>
            <w:r>
              <w:rPr>
                <w:rFonts w:ascii="Times New Roman" w:eastAsia="Times New Roman" w:hAnsi="Times New Roman" w:cs="Times New Roman"/>
              </w:rPr>
              <w:t xml:space="preserve"> СИДА</w:t>
            </w:r>
            <w:r>
              <w:rPr>
                <w:rFonts w:ascii="Times New Roman" w:eastAsia="Times New Roman" w:hAnsi="Times New Roman" w:cs="Times New Roman"/>
                <w:lang w:val="sr-Cyrl-RS"/>
              </w:rPr>
              <w:t xml:space="preserve"> и спроводи НАЛЕД, из</w:t>
            </w:r>
            <w:r>
              <w:rPr>
                <w:rFonts w:ascii="Times New Roman" w:eastAsia="Times New Roman" w:hAnsi="Times New Roman" w:cs="Times New Roman"/>
                <w:color w:val="000000"/>
                <w:lang w:val="sr-Cyrl-RS"/>
              </w:rPr>
              <w:t>рађено је и на интернет страници КЈН објављено У</w:t>
            </w:r>
            <w:r>
              <w:rPr>
                <w:rFonts w:ascii="Times New Roman" w:eastAsia="Times New Roman" w:hAnsi="Times New Roman" w:cs="Times New Roman"/>
                <w:lang w:val="sr-Cyrl-CS" w:eastAsia="en-GB"/>
              </w:rPr>
              <w:t>путство за коришћење система динамичне набавке.</w:t>
            </w:r>
          </w:p>
        </w:tc>
      </w:tr>
      <w:tr w:rsidR="00353A29" w14:paraId="225C3BD2"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4370DC99"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5BCBB538" w14:textId="77777777" w:rsidR="00353A29" w:rsidRDefault="00353A29" w:rsidP="00766164">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eastAsia="en-GB"/>
              </w:rPr>
              <w:t>1.2.3.3. Израда водича за коришћење система квалификације, електронске лицитације и електронских каталога</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30F404CE" w14:textId="77777777" w:rsidR="00353A29" w:rsidRDefault="00353A29" w:rsidP="00766164">
            <w:pPr>
              <w:spacing w:after="0" w:line="240" w:lineRule="auto"/>
              <w:jc w:val="center"/>
              <w:rPr>
                <w:rFonts w:ascii="Times New Roman" w:eastAsia="Times New Roman" w:hAnsi="Times New Roman" w:cs="Times New Roman"/>
              </w:rPr>
            </w:pPr>
          </w:p>
          <w:p w14:paraId="1C69160D" w14:textId="77777777" w:rsidR="00353A29" w:rsidRDefault="00353A29" w:rsidP="007661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КЈН</w:t>
            </w:r>
          </w:p>
          <w:p w14:paraId="067FA194" w14:textId="77777777" w:rsidR="00353A29" w:rsidRDefault="00353A29" w:rsidP="00766164">
            <w:pPr>
              <w:tabs>
                <w:tab w:val="left" w:pos="9923"/>
              </w:tabs>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НАЛЕД</w:t>
            </w:r>
          </w:p>
          <w:p w14:paraId="69666EB9" w14:textId="77777777" w:rsidR="00353A29" w:rsidRDefault="00353A29" w:rsidP="00766164">
            <w:pPr>
              <w:spacing w:after="0" w:line="240" w:lineRule="auto"/>
              <w:jc w:val="center"/>
              <w:rPr>
                <w:rFonts w:ascii="Times New Roman" w:eastAsia="Times New Roman" w:hAnsi="Times New Roman" w:cs="Times New Roman"/>
              </w:rPr>
            </w:pP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19B2A5BF" w14:textId="77777777" w:rsidR="00353A29" w:rsidRDefault="00353A29" w:rsidP="00766164">
            <w:pPr>
              <w:spacing w:after="0" w:line="240" w:lineRule="auto"/>
              <w:rPr>
                <w:rFonts w:ascii="Times New Roman" w:eastAsia="Times New Roman" w:hAnsi="Times New Roman" w:cs="Times New Roman"/>
              </w:rPr>
            </w:pPr>
            <w:r>
              <w:rPr>
                <w:rFonts w:ascii="Times New Roman" w:eastAsia="Times New Roman" w:hAnsi="Times New Roman" w:cs="Times New Roman"/>
              </w:rPr>
              <w:t>4. квартал 202</w:t>
            </w:r>
            <w:r>
              <w:rPr>
                <w:rFonts w:ascii="Times New Roman" w:eastAsia="Times New Roman" w:hAnsi="Times New Roman" w:cs="Times New Roman"/>
                <w:lang w:val="sr-Cyrl-RS"/>
              </w:rPr>
              <w:t>4</w:t>
            </w:r>
            <w:r>
              <w:rPr>
                <w:rFonts w:ascii="Times New Roman" w:eastAsia="Times New Roman" w:hAnsi="Times New Roman" w:cs="Times New Roman"/>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758D517F" w14:textId="31346190" w:rsidR="00353A29" w:rsidRDefault="00353A29" w:rsidP="00766164">
            <w:pPr>
              <w:spacing w:after="0" w:line="240" w:lineRule="auto"/>
              <w:rPr>
                <w:rFonts w:ascii="Times New Roman" w:eastAsia="Times New Roman" w:hAnsi="Times New Roman" w:cs="Times New Roman"/>
              </w:rPr>
            </w:pPr>
            <w:r>
              <w:rPr>
                <w:rFonts w:ascii="Times New Roman" w:eastAsia="Times New Roman" w:hAnsi="Times New Roman" w:cs="Times New Roman"/>
                <w:lang w:val="sr-Cyrl-RS"/>
              </w:rPr>
              <w:t>З</w:t>
            </w:r>
            <w:r>
              <w:rPr>
                <w:rFonts w:ascii="Times New Roman" w:eastAsia="Times New Roman" w:hAnsi="Times New Roman" w:cs="Times New Roman"/>
              </w:rPr>
              <w:t>авршено</w:t>
            </w:r>
            <w:r w:rsidR="00370A87">
              <w:rPr>
                <w:rStyle w:val="FootnoteReference"/>
                <w:rFonts w:ascii="Times New Roman" w:eastAsia="Times New Roman" w:hAnsi="Times New Roman" w:cs="Times New Roman"/>
              </w:rPr>
              <w:footnoteReference w:id="18"/>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497C6F6B" w14:textId="77777777" w:rsidR="00353A29" w:rsidRDefault="00353A29" w:rsidP="00766164">
            <w:pPr>
              <w:spacing w:after="0" w:line="240" w:lineRule="auto"/>
              <w:rPr>
                <w:rFonts w:ascii="Times New Roman" w:eastAsia="Times New Roman" w:hAnsi="Times New Roman" w:cs="Times New Roman"/>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45CB467E" w14:textId="77777777" w:rsidR="00353A29" w:rsidRDefault="00353A29" w:rsidP="00766164">
            <w:pPr>
              <w:spacing w:after="0"/>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Уз подршку </w:t>
            </w:r>
            <w:r>
              <w:rPr>
                <w:rFonts w:ascii="Times New Roman" w:eastAsia="Times New Roman" w:hAnsi="Times New Roman" w:cs="Times New Roman"/>
              </w:rPr>
              <w:t xml:space="preserve">пројекта „Јавне набавке и добро управљање за већу конкурентност“ </w:t>
            </w:r>
            <w:r>
              <w:rPr>
                <w:rFonts w:ascii="Times New Roman" w:eastAsia="Times New Roman" w:hAnsi="Times New Roman" w:cs="Times New Roman"/>
                <w:lang w:val="sr-Cyrl-RS"/>
              </w:rPr>
              <w:t>који финансира</w:t>
            </w:r>
            <w:r>
              <w:rPr>
                <w:rFonts w:ascii="Times New Roman" w:eastAsia="Times New Roman" w:hAnsi="Times New Roman" w:cs="Times New Roman"/>
              </w:rPr>
              <w:t xml:space="preserve"> СИДА</w:t>
            </w:r>
            <w:r>
              <w:rPr>
                <w:rFonts w:ascii="Times New Roman" w:eastAsia="Times New Roman" w:hAnsi="Times New Roman" w:cs="Times New Roman"/>
                <w:lang w:val="sr-Cyrl-RS"/>
              </w:rPr>
              <w:t xml:space="preserve"> и спроводи НАЛЕД, израђен</w:t>
            </w:r>
            <w:r>
              <w:rPr>
                <w:rFonts w:ascii="Times New Roman" w:eastAsia="Times New Roman" w:hAnsi="Times New Roman" w:cs="Times New Roman"/>
                <w:lang w:val="sr-Latn-RS"/>
              </w:rPr>
              <w:t xml:space="preserve"> je</w:t>
            </w:r>
            <w:r>
              <w:rPr>
                <w:rFonts w:ascii="Times New Roman" w:eastAsia="Times New Roman" w:hAnsi="Times New Roman" w:cs="Times New Roman"/>
                <w:lang w:val="sr-Cyrl-RS"/>
              </w:rPr>
              <w:t xml:space="preserve"> Водич за примену инструмената у поступцима јавних набавки.</w:t>
            </w:r>
          </w:p>
        </w:tc>
      </w:tr>
      <w:tr w:rsidR="00353A29" w14:paraId="3334CDCF"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476FBE48" w14:textId="77777777" w:rsidR="00353A29" w:rsidRDefault="00353A29" w:rsidP="00766164">
            <w:pPr>
              <w:spacing w:after="0" w:line="240" w:lineRule="auto"/>
              <w:jc w:val="both"/>
              <w:rPr>
                <w:rFonts w:ascii="Times New Roman" w:eastAsia="Times New Roman" w:hAnsi="Times New Roman" w:cs="Times New Roman"/>
                <w:lang w:val="sr-Cyrl-CS" w:eastAsia="en-GB"/>
              </w:rPr>
            </w:pPr>
          </w:p>
          <w:p w14:paraId="24E3A594" w14:textId="77777777" w:rsidR="00353A29" w:rsidRDefault="00353A29" w:rsidP="00766164">
            <w:pPr>
              <w:tabs>
                <w:tab w:val="left" w:pos="9923"/>
              </w:tabs>
              <w:spacing w:after="0" w:line="240" w:lineRule="auto"/>
              <w:jc w:val="both"/>
              <w:rPr>
                <w:rFonts w:ascii="Times New Roman" w:eastAsia="Times New Roman" w:hAnsi="Times New Roman" w:cs="Times New Roman"/>
                <w:lang w:val="sr-Cyrl-CS" w:eastAsia="en-GB"/>
              </w:rPr>
            </w:pPr>
          </w:p>
          <w:p w14:paraId="4C53D4F0" w14:textId="77777777" w:rsidR="00353A29" w:rsidRDefault="00353A29" w:rsidP="00766164">
            <w:pPr>
              <w:tabs>
                <w:tab w:val="left" w:pos="9923"/>
              </w:tabs>
              <w:spacing w:after="0" w:line="240" w:lineRule="auto"/>
              <w:jc w:val="both"/>
              <w:rPr>
                <w:rFonts w:ascii="Times New Roman" w:eastAsia="Times New Roman" w:hAnsi="Times New Roman" w:cs="Times New Roman"/>
                <w:lang w:val="sr-Cyrl-CS" w:eastAsia="en-GB"/>
              </w:rPr>
            </w:pPr>
          </w:p>
          <w:p w14:paraId="471CE18A" w14:textId="77777777" w:rsidR="00353A29" w:rsidRDefault="00353A29" w:rsidP="00766164">
            <w:pPr>
              <w:tabs>
                <w:tab w:val="left" w:pos="9923"/>
              </w:tabs>
              <w:spacing w:after="0" w:line="240" w:lineRule="auto"/>
              <w:jc w:val="both"/>
              <w:rPr>
                <w:rFonts w:ascii="Times New Roman" w:eastAsia="Times New Roman" w:hAnsi="Times New Roman" w:cs="Times New Roman"/>
                <w:lang w:val="sr-Cyrl-CS" w:eastAsia="en-GB"/>
              </w:rPr>
            </w:pPr>
          </w:p>
          <w:p w14:paraId="3A05499E" w14:textId="77777777" w:rsidR="00353A29" w:rsidRDefault="00353A29" w:rsidP="00766164">
            <w:pPr>
              <w:tabs>
                <w:tab w:val="left" w:pos="9923"/>
              </w:tabs>
              <w:spacing w:after="0" w:line="240" w:lineRule="auto"/>
              <w:jc w:val="both"/>
              <w:rPr>
                <w:rFonts w:ascii="Times New Roman" w:eastAsia="Times New Roman" w:hAnsi="Times New Roman" w:cs="Times New Roman"/>
                <w:lang w:val="sr-Cyrl-CS" w:eastAsia="en-GB"/>
              </w:rPr>
            </w:pPr>
          </w:p>
          <w:p w14:paraId="77E60E1C" w14:textId="77777777" w:rsidR="00353A29" w:rsidRDefault="00353A29" w:rsidP="00766164">
            <w:pPr>
              <w:tabs>
                <w:tab w:val="left" w:pos="9923"/>
              </w:tabs>
              <w:spacing w:after="0" w:line="240" w:lineRule="auto"/>
              <w:jc w:val="both"/>
              <w:rPr>
                <w:rFonts w:ascii="Times New Roman" w:eastAsia="Times New Roman" w:hAnsi="Times New Roman" w:cs="Times New Roman"/>
                <w:lang w:val="sr-Cyrl-CS" w:eastAsia="en-GB"/>
              </w:rPr>
            </w:pPr>
          </w:p>
          <w:p w14:paraId="4FB82E99" w14:textId="77777777" w:rsidR="00353A29" w:rsidRDefault="00353A29" w:rsidP="00766164">
            <w:pPr>
              <w:tabs>
                <w:tab w:val="left" w:pos="9923"/>
              </w:tabs>
              <w:spacing w:after="0" w:line="240" w:lineRule="auto"/>
              <w:jc w:val="both"/>
              <w:rPr>
                <w:rFonts w:ascii="Times New Roman" w:eastAsia="Times New Roman" w:hAnsi="Times New Roman" w:cs="Times New Roman"/>
                <w:lang w:val="sr-Cyrl-CS" w:eastAsia="en-GB"/>
              </w:rPr>
            </w:pPr>
          </w:p>
          <w:p w14:paraId="67E0891C" w14:textId="77777777" w:rsidR="00353A29" w:rsidRDefault="00353A29" w:rsidP="00766164">
            <w:pPr>
              <w:tabs>
                <w:tab w:val="left" w:pos="9923"/>
              </w:tabs>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lang w:val="sr-Cyrl-CS" w:eastAsia="en-GB"/>
              </w:rPr>
              <w:t xml:space="preserve">1.2.3.4. Организовање обуке за промоцију </w:t>
            </w:r>
            <w:r>
              <w:rPr>
                <w:rFonts w:ascii="Times New Roman" w:eastAsia="Times New Roman" w:hAnsi="Times New Roman" w:cs="Times New Roman"/>
                <w:color w:val="000000"/>
                <w:lang w:val="sr-Cyrl-CS" w:eastAsia="en-GB"/>
              </w:rPr>
              <w:t>примен</w:t>
            </w:r>
            <w:r>
              <w:rPr>
                <w:rFonts w:ascii="Times New Roman" w:eastAsia="Times New Roman" w:hAnsi="Times New Roman" w:cs="Times New Roman"/>
                <w:color w:val="000000"/>
                <w:lang w:val="sr-Latn-RS" w:eastAsia="en-GB"/>
              </w:rPr>
              <w:t>e</w:t>
            </w:r>
            <w:r>
              <w:rPr>
                <w:rFonts w:ascii="Times New Roman" w:eastAsia="Times New Roman" w:hAnsi="Times New Roman" w:cs="Times New Roman"/>
                <w:color w:val="000000"/>
                <w:lang w:val="sr-Cyrl-CS" w:eastAsia="en-GB"/>
              </w:rPr>
              <w:t xml:space="preserve"> техника и инструмената у јавним набавкама</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2BF8D5BC"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КЈН</w:t>
            </w:r>
          </w:p>
          <w:p w14:paraId="042C499E"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3210EE58"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 квартал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w:t>
            </w: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4E94656F" w14:textId="11F132AC"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З</w:t>
            </w:r>
            <w:r>
              <w:rPr>
                <w:rFonts w:ascii="Times New Roman" w:eastAsia="Times New Roman" w:hAnsi="Times New Roman" w:cs="Times New Roman"/>
                <w:color w:val="222222"/>
              </w:rPr>
              <w:t>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2E042765" w14:textId="77777777" w:rsidR="00353A29" w:rsidRDefault="00353A29" w:rsidP="00766164">
            <w:pPr>
              <w:spacing w:after="0" w:line="240" w:lineRule="auto"/>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0681FE3" w14:textId="77777777" w:rsidR="00353A29" w:rsidRPr="006F62CD"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Вебинар у циљу појашњења начина објављивања података о уговорима сходно новим законским и подзаконским решењима. Од 1. јануара 2024. године у примени је Правилник о начину објављивања и врсти података о уговорима и изменама уговора које наручиоци објављују на Порталу јавних набавки („Службени гласник РС”, број 115/23). С тим у вези, одржан је вебинар на коме је учесницима објашњен начин објављивања података о уговорима на Порталу када се користи опција „паметне </w:t>
            </w:r>
            <w:proofErr w:type="gramStart"/>
            <w:r w:rsidRPr="006F62CD">
              <w:rPr>
                <w:rFonts w:ascii="Times New Roman" w:hAnsi="Times New Roman" w:cs="Times New Roman"/>
              </w:rPr>
              <w:t>партије“ за</w:t>
            </w:r>
            <w:proofErr w:type="gramEnd"/>
            <w:r w:rsidRPr="006F62CD">
              <w:rPr>
                <w:rFonts w:ascii="Times New Roman" w:hAnsi="Times New Roman" w:cs="Times New Roman"/>
              </w:rPr>
              <w:t xml:space="preserve"> закључење оквирног споразума. </w:t>
            </w:r>
          </w:p>
          <w:p w14:paraId="659C2B44" w14:textId="77777777" w:rsidR="00353A29" w:rsidRPr="004F5443" w:rsidRDefault="00353A29" w:rsidP="00766164">
            <w:pPr>
              <w:spacing w:after="0"/>
              <w:jc w:val="both"/>
              <w:rPr>
                <w:rFonts w:ascii="Times New Roman" w:hAnsi="Times New Roman" w:cs="Times New Roman"/>
              </w:rPr>
            </w:pPr>
            <w:r w:rsidRPr="006F62CD">
              <w:rPr>
                <w:rFonts w:ascii="Times New Roman" w:hAnsi="Times New Roman" w:cs="Times New Roman"/>
              </w:rPr>
              <w:t xml:space="preserve">− Дводневни вебинар на тему „Рад на Порталу јавних набавки – спровођење система динамичне </w:t>
            </w:r>
            <w:proofErr w:type="gramStart"/>
            <w:r w:rsidRPr="006F62CD">
              <w:rPr>
                <w:rFonts w:ascii="Times New Roman" w:hAnsi="Times New Roman" w:cs="Times New Roman"/>
              </w:rPr>
              <w:t>набавке“</w:t>
            </w:r>
            <w:proofErr w:type="gramEnd"/>
            <w:r w:rsidRPr="006F62CD">
              <w:rPr>
                <w:rFonts w:ascii="Times New Roman" w:hAnsi="Times New Roman" w:cs="Times New Roman"/>
              </w:rPr>
              <w:t>. Представници наручилаца су имали прилику да се упознају са начином спровођења система динамичне набавке путем Портала, док су представници понуђача имали прилику да се упознају са начином подношења пријава и понуда у систему. Вебинар je сваког дана слушало више од 350 учесника.</w:t>
            </w:r>
          </w:p>
        </w:tc>
      </w:tr>
      <w:tr w:rsidR="00353A29" w14:paraId="1E2E7D18"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0BC84C94" w14:textId="77777777" w:rsidR="00353A29" w:rsidRDefault="00353A29" w:rsidP="00766164"/>
        </w:tc>
      </w:tr>
      <w:tr w:rsidR="00353A29" w14:paraId="2580D4C6"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7881C573" w14:textId="5EF8B6DD"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Посебан циљ </w:t>
            </w:r>
            <w:r w:rsidR="00E96639">
              <w:rPr>
                <w:rFonts w:ascii="Times New Roman" w:eastAsia="Times New Roman" w:hAnsi="Times New Roman" w:cs="Times New Roman"/>
                <w:color w:val="222222"/>
                <w:lang w:val="sr-Cyrl-RS"/>
              </w:rPr>
              <w:t>1.3</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lang w:val="sr-Cyrl-RS"/>
              </w:rPr>
              <w:t xml:space="preserve">Смањење ризика од нерегуларности у јавним набавкама </w:t>
            </w:r>
          </w:p>
        </w:tc>
      </w:tr>
      <w:tr w:rsidR="00353A29" w14:paraId="022DB174"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5A6F7D7B"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Носилац циља: КЈН</w:t>
            </w:r>
          </w:p>
        </w:tc>
      </w:tr>
      <w:tr w:rsidR="00353A29" w14:paraId="7E93AC6C"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DFD537B"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A787332"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Почетна вредност и година </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9E82A05"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AA0C806"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5266F97"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0709CF95"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024AB0C3"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bookmarkStart w:id="11" w:name="_Hlk161829098"/>
          </w:p>
          <w:p w14:paraId="066BD055" w14:textId="77777777" w:rsidR="00353A29" w:rsidRDefault="00353A29" w:rsidP="00766164">
            <w:pPr>
              <w:spacing w:after="0" w:line="240" w:lineRule="auto"/>
              <w:jc w:val="both"/>
              <w:rPr>
                <w:rFonts w:ascii="Times New Roman" w:eastAsia="Times New Roman" w:hAnsi="Times New Roman" w:cs="Times New Roman"/>
                <w:color w:val="222222"/>
                <w:lang w:val="sr-Cyrl-CS"/>
              </w:rPr>
            </w:pPr>
            <w:r>
              <w:rPr>
                <w:rFonts w:ascii="Times New Roman" w:eastAsia="Times New Roman" w:hAnsi="Times New Roman" w:cs="Times New Roman"/>
                <w:color w:val="000000"/>
                <w:lang w:val="sr-Cyrl-CS" w:eastAsia="en-GB"/>
              </w:rPr>
              <w:t>Број поступака над којима је спроведен мониторинг</w:t>
            </w:r>
            <w:bookmarkEnd w:id="11"/>
            <w:r>
              <w:rPr>
                <w:rFonts w:ascii="Times New Roman" w:eastAsia="Times New Roman" w:hAnsi="Times New Roman" w:cs="Times New Roman"/>
                <w:color w:val="000000"/>
                <w:lang w:val="sr-Cyrl-CS" w:eastAsia="en-GB"/>
              </w:rPr>
              <w:t>, укупно</w:t>
            </w:r>
          </w:p>
        </w:tc>
        <w:tc>
          <w:tcPr>
            <w:tcW w:w="2250" w:type="dxa"/>
            <w:gridSpan w:val="4"/>
            <w:tcBorders>
              <w:top w:val="double" w:sz="4" w:space="0" w:color="auto"/>
              <w:left w:val="double" w:sz="4" w:space="0" w:color="auto"/>
              <w:bottom w:val="double" w:sz="4" w:space="0" w:color="auto"/>
              <w:right w:val="double" w:sz="4" w:space="0" w:color="auto"/>
            </w:tcBorders>
            <w:noWrap/>
          </w:tcPr>
          <w:p w14:paraId="7123F5CA" w14:textId="77777777" w:rsidR="00353A29" w:rsidRDefault="00353A29" w:rsidP="00766164">
            <w:pPr>
              <w:spacing w:after="0" w:line="240" w:lineRule="auto"/>
              <w:jc w:val="center"/>
              <w:rPr>
                <w:rFonts w:ascii="Times New Roman" w:eastAsia="Times New Roman" w:hAnsi="Times New Roman" w:cs="Times New Roman"/>
                <w:color w:val="222222"/>
                <w:vertAlign w:val="superscript"/>
                <w:lang w:val="sr-Cyrl-RS"/>
              </w:rPr>
            </w:pPr>
          </w:p>
          <w:p w14:paraId="0B993DF6"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782</w:t>
            </w:r>
          </w:p>
        </w:tc>
        <w:tc>
          <w:tcPr>
            <w:tcW w:w="1170" w:type="dxa"/>
            <w:gridSpan w:val="2"/>
            <w:tcBorders>
              <w:top w:val="double" w:sz="4" w:space="0" w:color="auto"/>
              <w:left w:val="double" w:sz="4" w:space="0" w:color="auto"/>
              <w:bottom w:val="double" w:sz="4" w:space="0" w:color="auto"/>
              <w:right w:val="double" w:sz="4" w:space="0" w:color="auto"/>
            </w:tcBorders>
            <w:noWrap/>
          </w:tcPr>
          <w:p w14:paraId="10EACD2D"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p w14:paraId="1ACE03C7"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800</w:t>
            </w:r>
          </w:p>
        </w:tc>
        <w:tc>
          <w:tcPr>
            <w:tcW w:w="1085" w:type="dxa"/>
            <w:gridSpan w:val="2"/>
            <w:tcBorders>
              <w:top w:val="double" w:sz="4" w:space="0" w:color="auto"/>
              <w:left w:val="double" w:sz="4" w:space="0" w:color="auto"/>
              <w:bottom w:val="double" w:sz="4" w:space="0" w:color="auto"/>
              <w:right w:val="double" w:sz="4" w:space="0" w:color="auto"/>
            </w:tcBorders>
            <w:noWrap/>
          </w:tcPr>
          <w:p w14:paraId="6C73A742" w14:textId="77777777" w:rsidR="00353A29" w:rsidRDefault="00353A29" w:rsidP="00766164">
            <w:pPr>
              <w:spacing w:after="0" w:line="240" w:lineRule="auto"/>
              <w:jc w:val="center"/>
              <w:rPr>
                <w:rFonts w:ascii="Times New Roman" w:eastAsia="Times New Roman" w:hAnsi="Times New Roman" w:cs="Times New Roman"/>
                <w:color w:val="000000"/>
                <w:lang w:val="sr-Cyrl-RS"/>
              </w:rPr>
            </w:pPr>
          </w:p>
          <w:p w14:paraId="2BE47122" w14:textId="77777777" w:rsidR="00353A29" w:rsidRDefault="00353A29" w:rsidP="0076616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810</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5D4FD64" w14:textId="77777777" w:rsidR="00353A29" w:rsidRDefault="00353A29" w:rsidP="00766164">
            <w:pPr>
              <w:spacing w:after="0" w:line="240" w:lineRule="auto"/>
              <w:jc w:val="both"/>
              <w:rPr>
                <w:rFonts w:ascii="Times New Roman" w:eastAsia="Times New Roman" w:hAnsi="Times New Roman" w:cs="Times New Roman"/>
                <w:color w:val="222222"/>
                <w:lang w:val="sr-Cyrl-RS"/>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782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lang w:val="sr-Cyrl-RS"/>
              </w:rPr>
              <w:t>г</w:t>
            </w:r>
            <w:r>
              <w:rPr>
                <w:rFonts w:ascii="Times New Roman" w:eastAsia="Times New Roman" w:hAnsi="Times New Roman" w:cs="Times New Roman"/>
                <w:color w:val="222222"/>
              </w:rPr>
              <w:t>одине</w:t>
            </w:r>
            <w:r>
              <w:rPr>
                <w:rFonts w:ascii="Times New Roman" w:eastAsia="Times New Roman" w:hAnsi="Times New Roman" w:cs="Times New Roman"/>
                <w:color w:val="222222"/>
                <w:lang w:val="sr-Cyrl-RS"/>
              </w:rPr>
              <w:t xml:space="preserve"> циљана вредност за 2024. годину од 800 надмашена и </w:t>
            </w:r>
            <w:r>
              <w:rPr>
                <w:rFonts w:ascii="Times New Roman" w:eastAsia="Times New Roman" w:hAnsi="Times New Roman" w:cs="Times New Roman"/>
                <w:color w:val="000000"/>
                <w:lang w:val="sr-Cyrl-CS" w:eastAsia="en-GB"/>
              </w:rPr>
              <w:t>износи</w:t>
            </w:r>
            <w:r>
              <w:rPr>
                <w:rFonts w:ascii="Times New Roman" w:eastAsia="Times New Roman" w:hAnsi="Times New Roman" w:cs="Times New Roman"/>
                <w:color w:val="222222"/>
                <w:lang w:val="sr-Cyrl-RS"/>
              </w:rPr>
              <w:t xml:space="preserve"> 810.</w:t>
            </w:r>
          </w:p>
        </w:tc>
      </w:tr>
      <w:tr w:rsidR="00353A29" w14:paraId="088168B4"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1E6D2A1F" w14:textId="77777777" w:rsidR="00353A29" w:rsidRDefault="00353A29" w:rsidP="00766164">
            <w:pPr>
              <w:spacing w:after="0" w:line="240" w:lineRule="auto"/>
              <w:jc w:val="both"/>
              <w:rPr>
                <w:rFonts w:ascii="Times New Roman" w:eastAsia="Times New Roman" w:hAnsi="Times New Roman" w:cs="Times New Roman"/>
                <w:b/>
                <w:bCs/>
                <w:color w:val="000000"/>
                <w:lang w:val="sr-Cyrl-CS" w:eastAsia="en-GB"/>
              </w:rPr>
            </w:pPr>
          </w:p>
          <w:p w14:paraId="5CF5BA6E"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Број субјеката редовног надзора над извршењем уговора, укупно</w:t>
            </w:r>
          </w:p>
        </w:tc>
        <w:tc>
          <w:tcPr>
            <w:tcW w:w="2250" w:type="dxa"/>
            <w:gridSpan w:val="4"/>
            <w:tcBorders>
              <w:top w:val="double" w:sz="4" w:space="0" w:color="auto"/>
              <w:left w:val="double" w:sz="4" w:space="0" w:color="auto"/>
              <w:bottom w:val="double" w:sz="4" w:space="0" w:color="auto"/>
              <w:right w:val="double" w:sz="4" w:space="0" w:color="auto"/>
            </w:tcBorders>
            <w:noWrap/>
          </w:tcPr>
          <w:p w14:paraId="59FDFFA0"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p w14:paraId="00448C06"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43</w:t>
            </w:r>
          </w:p>
        </w:tc>
        <w:tc>
          <w:tcPr>
            <w:tcW w:w="1170" w:type="dxa"/>
            <w:gridSpan w:val="2"/>
            <w:tcBorders>
              <w:top w:val="double" w:sz="4" w:space="0" w:color="auto"/>
              <w:left w:val="double" w:sz="4" w:space="0" w:color="auto"/>
              <w:bottom w:val="double" w:sz="4" w:space="0" w:color="auto"/>
              <w:right w:val="double" w:sz="4" w:space="0" w:color="auto"/>
            </w:tcBorders>
            <w:noWrap/>
          </w:tcPr>
          <w:p w14:paraId="60BC6F0F"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p w14:paraId="37FD8B16"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80</w:t>
            </w:r>
          </w:p>
        </w:tc>
        <w:tc>
          <w:tcPr>
            <w:tcW w:w="1085" w:type="dxa"/>
            <w:gridSpan w:val="2"/>
            <w:tcBorders>
              <w:top w:val="double" w:sz="4" w:space="0" w:color="auto"/>
              <w:left w:val="double" w:sz="4" w:space="0" w:color="auto"/>
              <w:bottom w:val="double" w:sz="4" w:space="0" w:color="auto"/>
              <w:right w:val="double" w:sz="4" w:space="0" w:color="auto"/>
            </w:tcBorders>
            <w:noWrap/>
          </w:tcPr>
          <w:p w14:paraId="14CD9DCA" w14:textId="77777777" w:rsidR="00353A29" w:rsidRDefault="00353A29" w:rsidP="00766164">
            <w:pPr>
              <w:spacing w:after="0" w:line="240" w:lineRule="auto"/>
              <w:jc w:val="center"/>
              <w:rPr>
                <w:rFonts w:ascii="Times New Roman" w:eastAsia="Times New Roman" w:hAnsi="Times New Roman" w:cs="Times New Roman"/>
                <w:lang w:val="sr-Cyrl-RS"/>
              </w:rPr>
            </w:pPr>
          </w:p>
          <w:p w14:paraId="2F2B1D35"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80</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40C5764" w14:textId="77777777" w:rsidR="00353A29" w:rsidRDefault="00353A29" w:rsidP="0076616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43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циљана вредност за 2024. годину од 80 остварена.</w:t>
            </w:r>
          </w:p>
        </w:tc>
      </w:tr>
      <w:tr w:rsidR="00353A29" w14:paraId="2D0368FE"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tcPr>
          <w:p w14:paraId="679A7EE8" w14:textId="77777777" w:rsidR="00353A29" w:rsidRDefault="00353A29" w:rsidP="00766164">
            <w:pPr>
              <w:spacing w:after="0" w:line="240" w:lineRule="auto"/>
              <w:jc w:val="both"/>
              <w:rPr>
                <w:rFonts w:ascii="Times New Roman" w:eastAsia="Times New Roman" w:hAnsi="Times New Roman" w:cs="Times New Roman"/>
                <w:color w:val="222222"/>
              </w:rPr>
            </w:pPr>
          </w:p>
        </w:tc>
      </w:tr>
      <w:tr w:rsidR="00353A29" w14:paraId="7C6AEF1A" w14:textId="77777777" w:rsidTr="00766164">
        <w:trPr>
          <w:gridBefore w:val="1"/>
          <w:wBefore w:w="10" w:type="dxa"/>
          <w:trHeight w:val="780"/>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vAlign w:val="center"/>
            <w:hideMark/>
          </w:tcPr>
          <w:p w14:paraId="76DFA286" w14:textId="77777777" w:rsidR="00353A29" w:rsidRDefault="00353A29" w:rsidP="00766164">
            <w:pPr>
              <w:spacing w:after="0" w:line="240" w:lineRule="auto"/>
              <w:rPr>
                <w:rFonts w:ascii="Times New Roman" w:eastAsia="Times New Roman" w:hAnsi="Times New Roman" w:cs="Times New Roman"/>
                <w:color w:val="222222"/>
              </w:rPr>
            </w:pPr>
            <w:bookmarkStart w:id="12" w:name="_Toc73613675"/>
            <w:r>
              <w:rPr>
                <w:rFonts w:ascii="Times New Roman" w:eastAsia="Times New Roman" w:hAnsi="Times New Roman" w:cs="Times New Roman"/>
                <w:b/>
                <w:i/>
                <w:color w:val="365F91"/>
                <w:lang w:val="sr-Cyrl-CS" w:eastAsia="en-GB"/>
              </w:rPr>
              <w:t xml:space="preserve">Мера 1.3.1: </w:t>
            </w:r>
            <w:bookmarkEnd w:id="12"/>
            <w:r>
              <w:rPr>
                <w:rFonts w:ascii="Times New Roman" w:eastAsia="Times New Roman" w:hAnsi="Times New Roman" w:cs="Times New Roman"/>
                <w:b/>
                <w:i/>
                <w:color w:val="365F91"/>
                <w:lang w:val="sr-Cyrl-CS" w:eastAsia="en-GB"/>
              </w:rPr>
              <w:t>Јачање мониторинга и контрола набавки испод прагова на које се ЗЈН не примењује</w:t>
            </w:r>
          </w:p>
        </w:tc>
      </w:tr>
      <w:tr w:rsidR="00353A29" w14:paraId="679DF3CE"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2D63C589"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Носилац </w:t>
            </w:r>
            <w:r>
              <w:rPr>
                <w:rFonts w:ascii="Times New Roman" w:eastAsia="Times New Roman" w:hAnsi="Times New Roman" w:cs="Times New Roman"/>
                <w:color w:val="222222"/>
                <w:lang w:val="sr-Cyrl-RS"/>
              </w:rPr>
              <w:t>мер</w:t>
            </w:r>
            <w:r>
              <w:rPr>
                <w:rFonts w:ascii="Times New Roman" w:eastAsia="Times New Roman" w:hAnsi="Times New Roman" w:cs="Times New Roman"/>
                <w:color w:val="222222"/>
              </w:rPr>
              <w:t xml:space="preserve">е: </w:t>
            </w:r>
            <w:r>
              <w:rPr>
                <w:rFonts w:ascii="Times New Roman" w:eastAsia="Times New Roman" w:hAnsi="Times New Roman" w:cs="Times New Roman"/>
                <w:color w:val="222222"/>
                <w:lang w:val="sr-Cyrl-RS"/>
              </w:rPr>
              <w:t>КЈН</w:t>
            </w:r>
          </w:p>
        </w:tc>
      </w:tr>
      <w:tr w:rsidR="00353A29" w14:paraId="2BB67C1A"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19F1A47"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FBFD39C"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D25DBE4"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707199F5"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12C4DE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45CB7D5D"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12C3C6B7"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p>
          <w:p w14:paraId="7BAB2914"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 xml:space="preserve">Број субјеката мониторинга код којих су контролисане набавке испод прагова на које се ЗЈН не примењује, годишње </w:t>
            </w:r>
          </w:p>
          <w:p w14:paraId="7053D2DB" w14:textId="77777777" w:rsidR="00353A29" w:rsidRDefault="00353A29" w:rsidP="00766164">
            <w:pPr>
              <w:autoSpaceDE w:val="0"/>
              <w:autoSpaceDN w:val="0"/>
              <w:adjustRightInd w:val="0"/>
              <w:spacing w:after="0" w:line="240" w:lineRule="auto"/>
              <w:rPr>
                <w:rFonts w:ascii="Times New Roman" w:eastAsia="Calibri" w:hAnsi="Times New Roman" w:cs="Times New Roman"/>
                <w:bCs/>
                <w:lang w:val="sr-Cyrl-CS"/>
              </w:rPr>
            </w:pP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5ACD1FA8"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0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0A4452DE" w14:textId="77777777" w:rsidR="00353A29" w:rsidRDefault="00353A29" w:rsidP="00766164">
            <w:pPr>
              <w:spacing w:after="0" w:line="240" w:lineRule="auto"/>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7A2BB229"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20</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95ED2D7" w14:textId="77777777" w:rsidR="00353A29" w:rsidRDefault="00353A29" w:rsidP="00766164">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0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циљана вредност за 2024. годину од 20 остварена.</w:t>
            </w:r>
          </w:p>
        </w:tc>
      </w:tr>
      <w:tr w:rsidR="00353A29" w14:paraId="379EC2FD"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2A952AFC" w14:textId="77777777" w:rsidR="00353A29" w:rsidRDefault="00353A29" w:rsidP="00766164"/>
        </w:tc>
      </w:tr>
      <w:tr w:rsidR="00353A29" w14:paraId="0A539450"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0AB3BA6"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41C440C"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B6B33AF"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Рок за реализацију у 2023</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AAAAAA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0626A1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A8DCE5F"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5D330BAB" w14:textId="77777777" w:rsidR="00353A29" w:rsidRDefault="00353A29" w:rsidP="00766164">
            <w:pPr>
              <w:spacing w:after="0" w:line="240" w:lineRule="auto"/>
              <w:jc w:val="center"/>
              <w:rPr>
                <w:rFonts w:ascii="Times New Roman" w:eastAsia="Times New Roman" w:hAnsi="Times New Roman" w:cs="Times New Roman"/>
                <w:bCs/>
                <w:i/>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3860410E"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436D77D6" w14:textId="77777777" w:rsidR="00353A29" w:rsidRDefault="00353A29" w:rsidP="00766164">
            <w:pPr>
              <w:spacing w:after="0" w:line="240" w:lineRule="auto"/>
              <w:jc w:val="both"/>
              <w:rPr>
                <w:rFonts w:ascii="Times New Roman" w:eastAsia="Times New Roman" w:hAnsi="Times New Roman" w:cs="Times New Roman"/>
                <w:b/>
                <w:bCs/>
                <w:lang w:val="sr-Cyrl-CS" w:eastAsia="en-GB"/>
              </w:rPr>
            </w:pPr>
          </w:p>
          <w:p w14:paraId="599B1E1D" w14:textId="77777777" w:rsidR="00353A29" w:rsidRDefault="00353A29" w:rsidP="00766164">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eastAsia="en-GB"/>
              </w:rPr>
              <w:t>1.3.1.1. Израда анализ</w:t>
            </w:r>
            <w:r>
              <w:rPr>
                <w:rFonts w:ascii="Times New Roman" w:eastAsia="Times New Roman" w:hAnsi="Times New Roman" w:cs="Times New Roman"/>
                <w:lang w:val="sr-Latn-RS" w:eastAsia="en-GB"/>
              </w:rPr>
              <w:t>e</w:t>
            </w:r>
            <w:r>
              <w:rPr>
                <w:rFonts w:ascii="Times New Roman" w:eastAsia="Times New Roman" w:hAnsi="Times New Roman" w:cs="Times New Roman"/>
                <w:lang w:val="sr-Cyrl-CS" w:eastAsia="en-GB"/>
              </w:rPr>
              <w:t xml:space="preserve"> постојећих капацитета КЈН за спровођењем мониторинга са препорукама за даљим јачањем</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2EDF226A"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КЈН</w:t>
            </w:r>
          </w:p>
          <w:p w14:paraId="41381B38" w14:textId="77777777" w:rsidR="00353A29"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УНДП</w:t>
            </w:r>
          </w:p>
        </w:tc>
        <w:tc>
          <w:tcPr>
            <w:tcW w:w="1260" w:type="dxa"/>
            <w:gridSpan w:val="2"/>
            <w:tcBorders>
              <w:top w:val="double" w:sz="4" w:space="0" w:color="auto"/>
              <w:left w:val="double" w:sz="4" w:space="0" w:color="auto"/>
              <w:bottom w:val="double" w:sz="4" w:space="0" w:color="auto"/>
              <w:right w:val="double" w:sz="4" w:space="0" w:color="auto"/>
            </w:tcBorders>
            <w:noWrap/>
          </w:tcPr>
          <w:p w14:paraId="2078FD9A"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5CA5B0A5"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5B769084"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6E930B57"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1A26FE52"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64F7510D" w14:textId="77777777" w:rsidR="00353A29" w:rsidRDefault="00353A29" w:rsidP="00766164">
            <w:pPr>
              <w:spacing w:after="0" w:line="240" w:lineRule="auto"/>
              <w:jc w:val="center"/>
              <w:rPr>
                <w:rFonts w:ascii="Times New Roman" w:eastAsia="Times New Roman" w:hAnsi="Times New Roman" w:cs="Times New Roman"/>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7EED4193" w14:textId="77777777" w:rsidR="00353A29" w:rsidRDefault="00353A29" w:rsidP="00766164">
            <w:pPr>
              <w:spacing w:after="0" w:line="240" w:lineRule="auto"/>
              <w:rPr>
                <w:rFonts w:ascii="Times New Roman" w:eastAsia="Times New Roman" w:hAnsi="Times New Roman" w:cs="Times New Roman"/>
                <w:lang w:val="sr-Cyrl-RS"/>
              </w:rPr>
            </w:pPr>
            <w:r>
              <w:rPr>
                <w:rFonts w:ascii="Times New Roman" w:eastAsia="Times New Roman" w:hAnsi="Times New Roman" w:cs="Times New Roman"/>
                <w:lang w:val="sr-Cyrl-RS"/>
              </w:rPr>
              <w:t xml:space="preserve">Завршено </w:t>
            </w:r>
            <w:r>
              <w:rPr>
                <w:rStyle w:val="FootnoteReference"/>
                <w:rFonts w:ascii="Times New Roman" w:eastAsia="Times New Roman" w:hAnsi="Times New Roman" w:cs="Times New Roman"/>
                <w:lang w:val="sr-Cyrl-RS"/>
              </w:rPr>
              <w:footnoteReference w:id="19"/>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6EF9AD25" w14:textId="77777777" w:rsidR="00353A29" w:rsidRPr="005A6275" w:rsidRDefault="00353A29" w:rsidP="0076616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4. квартал 2025.</w:t>
            </w: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7B74514F" w14:textId="77777777" w:rsidR="00353A29" w:rsidRDefault="00353A29" w:rsidP="00766164">
            <w:pPr>
              <w:spacing w:after="160" w:line="256"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Током 2024. године уз подршку </w:t>
            </w:r>
            <w:r>
              <w:rPr>
                <w:rFonts w:ascii="Times New Roman" w:eastAsia="Times New Roman" w:hAnsi="Times New Roman" w:cs="Times New Roman"/>
              </w:rPr>
              <w:t xml:space="preserve">пројекта „Јавне набавке и добро управљање за већу конкурентност“ </w:t>
            </w:r>
            <w:r>
              <w:rPr>
                <w:rFonts w:ascii="Times New Roman" w:eastAsia="Times New Roman" w:hAnsi="Times New Roman" w:cs="Times New Roman"/>
                <w:lang w:val="sr-Cyrl-RS"/>
              </w:rPr>
              <w:t>који финансира</w:t>
            </w:r>
            <w:r>
              <w:rPr>
                <w:rFonts w:ascii="Times New Roman" w:eastAsia="Times New Roman" w:hAnsi="Times New Roman" w:cs="Times New Roman"/>
              </w:rPr>
              <w:t xml:space="preserve"> СИДА</w:t>
            </w:r>
            <w:r>
              <w:rPr>
                <w:rFonts w:ascii="Times New Roman" w:eastAsia="Times New Roman" w:hAnsi="Times New Roman" w:cs="Times New Roman"/>
                <w:lang w:val="sr-Cyrl-RS"/>
              </w:rPr>
              <w:t xml:space="preserve"> и спроводи НАЛЕД, израђена је Анализа актуелног стања у вези са нерегуларностима у поступцима јавних набавки са препорукама за побољшање мера за њихово ефикасно откривање и санкционисање. Планирано је да током 2025. године буде израђена и анализа која ће се односити на </w:t>
            </w:r>
            <w:r>
              <w:rPr>
                <w:rFonts w:ascii="Times New Roman" w:eastAsia="Times New Roman" w:hAnsi="Times New Roman" w:cs="Times New Roman"/>
                <w:lang w:val="sr-Cyrl-RS"/>
              </w:rPr>
              <w:lastRenderedPageBreak/>
              <w:t>постојеће капацитете КЈН у вези са спровођењем мониторинга са препорукама за даљим јачањем.</w:t>
            </w:r>
          </w:p>
        </w:tc>
      </w:tr>
      <w:tr w:rsidR="00353A29" w14:paraId="50CFE88B"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5FAC8B94" w14:textId="77777777" w:rsidR="00353A29" w:rsidRDefault="00353A29" w:rsidP="00766164">
            <w:pPr>
              <w:spacing w:after="0" w:line="240" w:lineRule="auto"/>
              <w:rPr>
                <w:rFonts w:ascii="Times New Roman" w:eastAsia="Times New Roman" w:hAnsi="Times New Roman" w:cs="Times New Roman"/>
                <w:lang w:val="sr-Cyrl-CS" w:eastAsia="en-GB"/>
              </w:rPr>
            </w:pPr>
          </w:p>
          <w:p w14:paraId="79739044" w14:textId="77777777" w:rsidR="00353A29" w:rsidRDefault="00353A29" w:rsidP="00766164">
            <w:pPr>
              <w:spacing w:after="0" w:line="240" w:lineRule="auto"/>
              <w:rPr>
                <w:rFonts w:ascii="Times New Roman" w:eastAsia="Times New Roman" w:hAnsi="Times New Roman" w:cs="Times New Roman"/>
                <w:lang w:val="sr-Cyrl-CS" w:eastAsia="en-GB"/>
              </w:rPr>
            </w:pPr>
          </w:p>
          <w:p w14:paraId="6172894C" w14:textId="77777777" w:rsidR="00353A29" w:rsidRDefault="00353A29" w:rsidP="00766164">
            <w:pPr>
              <w:spacing w:after="0" w:line="240" w:lineRule="auto"/>
              <w:rPr>
                <w:rFonts w:ascii="Times New Roman" w:eastAsia="Times New Roman" w:hAnsi="Times New Roman" w:cs="Times New Roman"/>
                <w:lang w:val="sr-Cyrl-CS" w:eastAsia="en-GB"/>
              </w:rPr>
            </w:pPr>
          </w:p>
          <w:p w14:paraId="020A078C" w14:textId="77777777" w:rsidR="00353A29" w:rsidRDefault="00353A29" w:rsidP="00766164">
            <w:pPr>
              <w:spacing w:after="0" w:line="240" w:lineRule="auto"/>
              <w:rPr>
                <w:rFonts w:ascii="Times New Roman" w:eastAsia="Times New Roman" w:hAnsi="Times New Roman" w:cs="Times New Roman"/>
                <w:lang w:val="sr-Cyrl-CS" w:eastAsia="en-GB"/>
              </w:rPr>
            </w:pPr>
          </w:p>
          <w:p w14:paraId="55D03EA7" w14:textId="77777777" w:rsidR="00353A29" w:rsidRDefault="00353A29" w:rsidP="00766164">
            <w:pPr>
              <w:spacing w:after="0" w:line="240" w:lineRule="auto"/>
              <w:rPr>
                <w:rFonts w:ascii="Times New Roman" w:eastAsia="Times New Roman" w:hAnsi="Times New Roman" w:cs="Times New Roman"/>
                <w:lang w:val="sr-Cyrl-CS" w:eastAsia="en-GB"/>
              </w:rPr>
            </w:pPr>
          </w:p>
          <w:p w14:paraId="310080BC" w14:textId="77777777" w:rsidR="00353A29" w:rsidRDefault="00353A29" w:rsidP="00766164">
            <w:pPr>
              <w:spacing w:after="0" w:line="240" w:lineRule="auto"/>
              <w:rPr>
                <w:rFonts w:ascii="Times New Roman" w:eastAsia="Times New Roman" w:hAnsi="Times New Roman" w:cs="Times New Roman"/>
                <w:lang w:val="sr-Cyrl-CS" w:eastAsia="en-GB"/>
              </w:rPr>
            </w:pPr>
          </w:p>
          <w:p w14:paraId="7B5784A2" w14:textId="77777777" w:rsidR="00353A29" w:rsidRDefault="00353A29" w:rsidP="00766164">
            <w:pPr>
              <w:spacing w:after="0" w:line="240" w:lineRule="auto"/>
              <w:rPr>
                <w:rFonts w:ascii="Times New Roman" w:eastAsia="Times New Roman" w:hAnsi="Times New Roman" w:cs="Times New Roman"/>
                <w:lang w:val="sr-Cyrl-CS" w:eastAsia="en-GB"/>
              </w:rPr>
            </w:pPr>
          </w:p>
          <w:p w14:paraId="678840F9" w14:textId="77777777" w:rsidR="00353A29" w:rsidRDefault="00353A29" w:rsidP="00766164">
            <w:pPr>
              <w:spacing w:after="0" w:line="240" w:lineRule="auto"/>
              <w:rPr>
                <w:rFonts w:ascii="Times New Roman" w:eastAsia="Times New Roman" w:hAnsi="Times New Roman" w:cs="Times New Roman"/>
                <w:lang w:val="sr-Cyrl-CS" w:eastAsia="en-GB"/>
              </w:rPr>
            </w:pPr>
          </w:p>
          <w:p w14:paraId="71316FB0" w14:textId="77777777" w:rsidR="00353A29" w:rsidRDefault="00353A29" w:rsidP="00766164">
            <w:pPr>
              <w:spacing w:after="0" w:line="240" w:lineRule="auto"/>
              <w:rPr>
                <w:rFonts w:ascii="Times New Roman" w:eastAsia="Times New Roman" w:hAnsi="Times New Roman" w:cs="Times New Roman"/>
                <w:lang w:val="sr-Cyrl-CS" w:eastAsia="en-GB"/>
              </w:rPr>
            </w:pPr>
          </w:p>
          <w:p w14:paraId="1096ADF9"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lang w:val="sr-Cyrl-CS" w:eastAsia="en-GB"/>
              </w:rPr>
              <w:t>1.3.1.2. Упознавање кључних институција у систему јавних набавки са добрим праксама у државама ЕУ у погледу спровођења мониторинга</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7F9CE6D2"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p w14:paraId="414FFD6D"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p w14:paraId="34BA113F"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КЈН</w:t>
            </w:r>
          </w:p>
          <w:p w14:paraId="61345EC6" w14:textId="77777777" w:rsidR="00353A29" w:rsidRDefault="00353A29" w:rsidP="00766164">
            <w:pPr>
              <w:tabs>
                <w:tab w:val="left" w:pos="9923"/>
              </w:tabs>
              <w:spacing w:after="0" w:line="240" w:lineRule="auto"/>
              <w:jc w:val="center"/>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УНДП</w:t>
            </w:r>
          </w:p>
          <w:p w14:paraId="3124B74F" w14:textId="77777777" w:rsidR="00353A29" w:rsidRDefault="00353A29" w:rsidP="00766164">
            <w:pPr>
              <w:tabs>
                <w:tab w:val="left" w:pos="9923"/>
              </w:tabs>
              <w:spacing w:after="0" w:line="240" w:lineRule="auto"/>
              <w:jc w:val="center"/>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 xml:space="preserve">УСАИД </w:t>
            </w:r>
          </w:p>
          <w:p w14:paraId="68992252" w14:textId="77777777" w:rsidR="00353A29" w:rsidRDefault="00353A29" w:rsidP="00766164">
            <w:pPr>
              <w:tabs>
                <w:tab w:val="left" w:pos="9923"/>
              </w:tabs>
              <w:spacing w:after="0" w:line="240" w:lineRule="auto"/>
              <w:jc w:val="center"/>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НАЛЕД</w:t>
            </w:r>
          </w:p>
          <w:p w14:paraId="55C68EB6"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tc>
        <w:tc>
          <w:tcPr>
            <w:tcW w:w="1260" w:type="dxa"/>
            <w:gridSpan w:val="2"/>
            <w:tcBorders>
              <w:top w:val="double" w:sz="4" w:space="0" w:color="auto"/>
              <w:left w:val="double" w:sz="4" w:space="0" w:color="auto"/>
              <w:bottom w:val="double" w:sz="4" w:space="0" w:color="auto"/>
              <w:right w:val="double" w:sz="4" w:space="0" w:color="auto"/>
            </w:tcBorders>
            <w:noWrap/>
          </w:tcPr>
          <w:p w14:paraId="3D5DBDAD"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50425C5B"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1CDDE5FA"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07CC7646"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49E215B9"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01684030"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17732D15"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38954896"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520E6C2F"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0E592663"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0D22593E"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79C6589E"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49428EF9"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1973BDC0" w14:textId="77777777" w:rsidR="00353A29" w:rsidRDefault="00353A29" w:rsidP="00766164">
            <w:pPr>
              <w:spacing w:after="0" w:line="240" w:lineRule="auto"/>
              <w:jc w:val="center"/>
              <w:rPr>
                <w:rFonts w:ascii="Times New Roman" w:eastAsia="Times New Roman" w:hAnsi="Times New Roman" w:cs="Times New Roman"/>
                <w:color w:val="222222"/>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084339AF"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 xml:space="preserve">Завршено </w:t>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16089444"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622CB630" w14:textId="77777777" w:rsidR="00353A29" w:rsidRPr="006F62CD" w:rsidRDefault="00353A29" w:rsidP="00766164">
            <w:pPr>
              <w:spacing w:after="0" w:line="240" w:lineRule="auto"/>
              <w:jc w:val="both"/>
              <w:rPr>
                <w:rFonts w:ascii="Times New Roman" w:eastAsia="Times New Roman" w:hAnsi="Times New Roman" w:cs="Times New Roman"/>
                <w:color w:val="222222"/>
              </w:rPr>
            </w:pPr>
            <w:r w:rsidRPr="006F62CD">
              <w:rPr>
                <w:rFonts w:ascii="Times New Roman" w:eastAsia="Times New Roman" w:hAnsi="Times New Roman" w:cs="Times New Roman"/>
                <w:color w:val="222222"/>
                <w:lang w:val="sr-Cyrl-RS"/>
              </w:rPr>
              <w:t xml:space="preserve">- </w:t>
            </w:r>
            <w:r w:rsidRPr="006F62CD">
              <w:rPr>
                <w:rFonts w:ascii="Times New Roman" w:hAnsi="Times New Roman" w:cs="Times New Roman"/>
              </w:rPr>
              <w:t xml:space="preserve">Представници КЈН учествовали су у службеној посети Холандији и Белгији. Учесници из КЈН, Републичке комисије за заштиту права у поступцима јавних набавки, Министарства науке, технолошког развоја и иновација, Фонда за иновациону делатност, Града Београда и других локалних самоуправа имали су прилику да размене искуства са другим институцијама у области јавних набавки, као што су Korversa, European Innovation Council (EIC), SPIN4EIC initiative итд.  </w:t>
            </w:r>
          </w:p>
          <w:p w14:paraId="68564632" w14:textId="77777777" w:rsidR="00353A29" w:rsidRPr="004F5443" w:rsidRDefault="00353A29" w:rsidP="00766164">
            <w:pPr>
              <w:spacing w:after="0" w:line="240" w:lineRule="auto"/>
              <w:jc w:val="both"/>
              <w:rPr>
                <w:rFonts w:ascii="Times New Roman" w:hAnsi="Times New Roman" w:cs="Times New Roman"/>
                <w:lang w:val="sr-Cyrl-RS"/>
              </w:rPr>
            </w:pPr>
            <w:r w:rsidRPr="006F62CD">
              <w:rPr>
                <w:rFonts w:ascii="Times New Roman" w:eastAsia="Times New Roman" w:hAnsi="Times New Roman" w:cs="Times New Roman"/>
                <w:color w:val="222222"/>
                <w:lang w:val="sr-Cyrl-RS"/>
              </w:rPr>
              <w:t xml:space="preserve">- </w:t>
            </w:r>
            <w:r w:rsidRPr="006F62CD">
              <w:rPr>
                <w:rFonts w:ascii="Times New Roman" w:hAnsi="Times New Roman" w:cs="Times New Roman"/>
              </w:rPr>
              <w:t>Представници КЈН учествовали су у службеној посети Данској. Током службене посете је организовано неколико састанака са инситуцијама Данске у области јавних набавки: Предузеће за јавне набавке SKI (Public Procurement Entreprise SKI); Ecolabelling Denmark; Управа за заштиту конкуренције и потрошача Данске (The Danish Competition and Consumer Authority); Град Копенхаген – Одељење за стратешке набавке; Агенција за јавне финансије и менаџмент у оквиру Министарства финансија – Одељење за државни програм набавки; Саветодавна јединица за државне набавке. На поменутим састанцима представници надлежних институција Краљевине Данске представили су учесницима студијске посете прописе у области јавних набавки, своје надлежности и овлашћења, праксу у области планирања и спровођења поступака јавних набавки, одрживих (зелених и социјалних) јавних набавки, управања уговорима и мониторингом над поступцима јавних набавки, као и праксу у области заштите конкуренције у поступцима јавних набавки</w:t>
            </w:r>
            <w:r>
              <w:rPr>
                <w:rFonts w:ascii="Times New Roman" w:hAnsi="Times New Roman" w:cs="Times New Roman"/>
                <w:lang w:val="sr-Cyrl-RS"/>
              </w:rPr>
              <w:t>.</w:t>
            </w:r>
          </w:p>
        </w:tc>
      </w:tr>
      <w:tr w:rsidR="00353A29" w14:paraId="02B17042"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53190A6A" w14:textId="77777777" w:rsidR="00353A29" w:rsidRDefault="00353A29" w:rsidP="00766164"/>
        </w:tc>
      </w:tr>
      <w:tr w:rsidR="00353A29" w14:paraId="7AE3319F" w14:textId="77777777" w:rsidTr="00766164">
        <w:trPr>
          <w:gridBefore w:val="1"/>
          <w:wBefore w:w="10" w:type="dxa"/>
          <w:trHeight w:val="5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vAlign w:val="center"/>
            <w:hideMark/>
          </w:tcPr>
          <w:p w14:paraId="6C2C4F18" w14:textId="77777777" w:rsidR="00353A29" w:rsidRDefault="00353A29" w:rsidP="00766164">
            <w:pPr>
              <w:spacing w:after="0" w:line="240" w:lineRule="auto"/>
              <w:rPr>
                <w:rFonts w:ascii="Times New Roman" w:eastAsia="Times New Roman" w:hAnsi="Times New Roman" w:cs="Times New Roman"/>
                <w:b/>
                <w:i/>
                <w:color w:val="365F91"/>
                <w:lang w:val="sr-Cyrl-CS" w:eastAsia="en-GB"/>
              </w:rPr>
            </w:pPr>
            <w:bookmarkStart w:id="13" w:name="_Toc73613686"/>
            <w:r>
              <w:rPr>
                <w:rFonts w:ascii="Times New Roman" w:eastAsia="Times New Roman" w:hAnsi="Times New Roman" w:cs="Times New Roman"/>
                <w:b/>
                <w:i/>
                <w:color w:val="365F91"/>
                <w:lang w:val="sr-Cyrl-CS" w:eastAsia="en-GB"/>
              </w:rPr>
              <w:t>Mera 1.3.2: Јачање сарадње институција у систему јавних набавки</w:t>
            </w:r>
            <w:bookmarkEnd w:id="13"/>
          </w:p>
        </w:tc>
      </w:tr>
      <w:tr w:rsidR="00353A29" w14:paraId="33568DCB"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78F392E0"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Носилац </w:t>
            </w:r>
            <w:r>
              <w:rPr>
                <w:rFonts w:ascii="Times New Roman" w:eastAsia="Times New Roman" w:hAnsi="Times New Roman" w:cs="Times New Roman"/>
                <w:color w:val="222222"/>
                <w:lang w:val="sr-Cyrl-RS"/>
              </w:rPr>
              <w:t>мер</w:t>
            </w:r>
            <w:r>
              <w:rPr>
                <w:rFonts w:ascii="Times New Roman" w:eastAsia="Times New Roman" w:hAnsi="Times New Roman" w:cs="Times New Roman"/>
                <w:color w:val="222222"/>
              </w:rPr>
              <w:t>е: КЈН</w:t>
            </w:r>
          </w:p>
        </w:tc>
      </w:tr>
      <w:tr w:rsidR="00353A29" w14:paraId="2310A030"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A8A6650"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A83BC11"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AD2AA13"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ED362D5"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E836D9B"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4F253FD3"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4FDE12D9" w14:textId="77777777" w:rsidR="00353A29" w:rsidRDefault="00353A29" w:rsidP="00766164">
            <w:pPr>
              <w:tabs>
                <w:tab w:val="left" w:pos="332"/>
              </w:tabs>
              <w:spacing w:before="40" w:after="40" w:line="240" w:lineRule="auto"/>
              <w:rPr>
                <w:rFonts w:ascii="Times New Roman" w:eastAsia="Times New Roman" w:hAnsi="Times New Roman" w:cs="Times New Roman"/>
                <w:lang w:val="sr-Cyrl-CS" w:eastAsia="en-GB"/>
              </w:rPr>
            </w:pPr>
            <w:r>
              <w:rPr>
                <w:rFonts w:ascii="Times New Roman" w:eastAsia="Times New Roman" w:hAnsi="Times New Roman" w:cs="Times New Roman"/>
                <w:color w:val="000000"/>
                <w:lang w:val="sr-Cyrl-CS" w:eastAsia="en-GB"/>
              </w:rPr>
              <w:lastRenderedPageBreak/>
              <w:t>Број организованих састанака, конференција и едукација, годишње</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1585FEA1"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2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50861A43" w14:textId="77777777" w:rsidR="00353A29" w:rsidRDefault="00353A29" w:rsidP="0076616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6</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43AA69E3"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18</w:t>
            </w: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26DCC42C" w14:textId="77777777" w:rsidR="00A20325" w:rsidRDefault="00A20325" w:rsidP="00766164">
            <w:pPr>
              <w:rPr>
                <w:rFonts w:ascii="Times New Roman" w:eastAsia="Times New Roman" w:hAnsi="Times New Roman" w:cs="Times New Roman"/>
                <w:color w:val="000000"/>
              </w:rPr>
            </w:pPr>
          </w:p>
          <w:p w14:paraId="34DAF63D" w14:textId="54C50EFC" w:rsidR="00353A29" w:rsidRDefault="00353A29" w:rsidP="00766164">
            <w:pPr>
              <w:rPr>
                <w:rFonts w:ascii="Times New Roman" w:hAnsi="Times New Roman" w:cs="Times New Roman"/>
              </w:rPr>
            </w:pPr>
            <w:r>
              <w:rPr>
                <w:rFonts w:ascii="Times New Roman" w:eastAsia="Times New Roman" w:hAnsi="Times New Roman" w:cs="Times New Roman"/>
                <w:color w:val="000000"/>
              </w:rPr>
              <w:t>Показатељ је</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 xml:space="preserve">испуњен у потпуности. </w:t>
            </w:r>
            <w:r>
              <w:rPr>
                <w:rFonts w:ascii="Times New Roman" w:eastAsia="Times New Roman" w:hAnsi="Times New Roman" w:cs="Times New Roman"/>
                <w:color w:val="222222"/>
              </w:rPr>
              <w:t xml:space="preserve">Почетна вредност показатеља била је </w:t>
            </w:r>
            <w:r>
              <w:rPr>
                <w:rFonts w:ascii="Times New Roman" w:eastAsia="Times New Roman" w:hAnsi="Times New Roman" w:cs="Times New Roman"/>
                <w:color w:val="222222"/>
                <w:lang w:val="sr-Cyrl-RS"/>
              </w:rPr>
              <w:t xml:space="preserve">2 </w:t>
            </w:r>
            <w:r>
              <w:rPr>
                <w:rFonts w:ascii="Times New Roman" w:eastAsia="Times New Roman" w:hAnsi="Times New Roman" w:cs="Times New Roman"/>
                <w:color w:val="222222"/>
              </w:rPr>
              <w:t>у 202</w:t>
            </w:r>
            <w:r>
              <w:rPr>
                <w:rFonts w:ascii="Times New Roman" w:eastAsia="Times New Roman" w:hAnsi="Times New Roman" w:cs="Times New Roman"/>
                <w:color w:val="222222"/>
                <w:lang w:val="sr-Cyrl-RS"/>
              </w:rPr>
              <w:t>3</w:t>
            </w:r>
            <w:r>
              <w:rPr>
                <w:rFonts w:ascii="Times New Roman" w:eastAsia="Times New Roman" w:hAnsi="Times New Roman" w:cs="Times New Roman"/>
                <w:color w:val="222222"/>
              </w:rPr>
              <w:t xml:space="preserve">. години, док </w:t>
            </w:r>
            <w:r>
              <w:rPr>
                <w:rFonts w:ascii="Times New Roman" w:eastAsia="Times New Roman" w:hAnsi="Times New Roman" w:cs="Times New Roman"/>
                <w:color w:val="222222"/>
                <w:lang w:val="sr-Cyrl-RS"/>
              </w:rPr>
              <w:t>је</w:t>
            </w:r>
            <w:r>
              <w:rPr>
                <w:rFonts w:ascii="Times New Roman" w:eastAsia="Times New Roman" w:hAnsi="Times New Roman" w:cs="Times New Roman"/>
                <w:color w:val="222222"/>
              </w:rPr>
              <w:t xml:space="preserve"> закључно са 31. децембром 202</w:t>
            </w:r>
            <w:r>
              <w:rPr>
                <w:rFonts w:ascii="Times New Roman" w:eastAsia="Times New Roman" w:hAnsi="Times New Roman" w:cs="Times New Roman"/>
                <w:color w:val="222222"/>
                <w:lang w:val="sr-Cyrl-RS"/>
              </w:rPr>
              <w:t>4</w:t>
            </w:r>
            <w:r>
              <w:rPr>
                <w:rFonts w:ascii="Times New Roman" w:eastAsia="Times New Roman" w:hAnsi="Times New Roman" w:cs="Times New Roman"/>
                <w:color w:val="222222"/>
              </w:rPr>
              <w:t xml:space="preserve">. године </w:t>
            </w:r>
            <w:r>
              <w:rPr>
                <w:rFonts w:ascii="Times New Roman" w:eastAsia="Times New Roman" w:hAnsi="Times New Roman" w:cs="Times New Roman"/>
                <w:color w:val="222222"/>
                <w:lang w:val="sr-Cyrl-RS"/>
              </w:rPr>
              <w:t>циљана вредност за 2024. годину од 6 надмашења и износи 18.</w:t>
            </w:r>
          </w:p>
        </w:tc>
      </w:tr>
      <w:tr w:rsidR="00353A29" w14:paraId="3BAA41FC"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630E6E4C" w14:textId="77777777" w:rsidR="00353A29" w:rsidRDefault="00353A29" w:rsidP="00766164"/>
        </w:tc>
      </w:tr>
      <w:tr w:rsidR="00353A29" w14:paraId="55DF4CAD"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DB23B5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99C17F6"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44FDC2F"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Рок за реализацију у 202</w:t>
            </w:r>
            <w:r>
              <w:rPr>
                <w:rFonts w:ascii="Times New Roman" w:eastAsia="Times New Roman" w:hAnsi="Times New Roman" w:cs="Times New Roman"/>
                <w:b/>
                <w:bCs/>
                <w:color w:val="222222"/>
                <w:lang w:val="sr-Cyrl-RS"/>
              </w:rPr>
              <w:t>4</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6BECA2B"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05EBE52"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DB81C70" w14:textId="77777777" w:rsidR="00353A29" w:rsidRDefault="00353A29" w:rsidP="007661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w:t>
            </w:r>
          </w:p>
          <w:p w14:paraId="4B27EDEC"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Cs/>
                <w:i/>
              </w:rPr>
              <w:t>(</w:t>
            </w:r>
            <w:r>
              <w:rPr>
                <w:rFonts w:ascii="Times New Roman" w:eastAsia="Calibri" w:hAnsi="Times New Roman" w:cs="Times New Roman"/>
                <w:i/>
              </w:rPr>
              <w:t>Образложење одступања + Остварени напредак + Будући кораци)</w:t>
            </w:r>
          </w:p>
        </w:tc>
      </w:tr>
      <w:tr w:rsidR="00353A29" w14:paraId="157D57F8" w14:textId="77777777" w:rsidTr="00766164">
        <w:trPr>
          <w:gridBefore w:val="1"/>
          <w:wBefore w:w="10" w:type="dxa"/>
          <w:trHeight w:val="96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728D6FCC" w14:textId="77777777" w:rsidR="00353A29" w:rsidRDefault="00353A29" w:rsidP="00766164">
            <w:pPr>
              <w:spacing w:after="0" w:line="240" w:lineRule="auto"/>
              <w:jc w:val="both"/>
              <w:rPr>
                <w:rFonts w:ascii="Times New Roman" w:eastAsia="Times New Roman" w:hAnsi="Times New Roman" w:cs="Times New Roman"/>
                <w:b/>
                <w:bCs/>
                <w:color w:val="000000"/>
                <w:lang w:val="sr-Cyrl-CS" w:eastAsia="en-GB"/>
              </w:rPr>
            </w:pPr>
          </w:p>
          <w:p w14:paraId="3706D4FA"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1.3.2.1. Организовање радионице ради усклађивања ставова КЈН, РК, МФИН и других кључних институција у систему јавних набавки у вези са применом ЗЈН</w:t>
            </w:r>
          </w:p>
          <w:p w14:paraId="1C255C01" w14:textId="77777777" w:rsidR="00353A29" w:rsidRDefault="00353A29" w:rsidP="00766164">
            <w:pPr>
              <w:spacing w:after="0" w:line="240" w:lineRule="auto"/>
              <w:jc w:val="both"/>
              <w:rPr>
                <w:rFonts w:ascii="Times New Roman" w:eastAsia="Times New Roman" w:hAnsi="Times New Roman" w:cs="Times New Roman"/>
                <w:color w:val="000000"/>
                <w:lang w:val="sr-Cyrl-CS" w:eastAsia="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60475C64"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КЈН</w:t>
            </w:r>
          </w:p>
          <w:p w14:paraId="2CB053DA"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038D9EC7"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6B10DDD4" w14:textId="77777777" w:rsidR="00353A29" w:rsidRDefault="00353A29" w:rsidP="00766164">
            <w:pPr>
              <w:spacing w:after="0" w:line="240" w:lineRule="auto"/>
              <w:rPr>
                <w:rFonts w:ascii="Times New Roman" w:eastAsia="Times New Roman" w:hAnsi="Times New Roman" w:cs="Times New Roman"/>
                <w:color w:val="222222"/>
                <w:lang w:val="sr-Cyrl-RS"/>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011B0E4C"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 xml:space="preserve">Завршено </w:t>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06002BE4" w14:textId="77777777" w:rsidR="00353A29" w:rsidRDefault="00353A29" w:rsidP="00766164">
            <w:pPr>
              <w:spacing w:after="0" w:line="240" w:lineRule="auto"/>
              <w:jc w:val="center"/>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4FA078BC" w14:textId="77777777" w:rsidR="00353A29" w:rsidRPr="00015AFB" w:rsidRDefault="00353A29" w:rsidP="00766164">
            <w:pPr>
              <w:pStyle w:val="NoSpacing"/>
              <w:spacing w:line="276" w:lineRule="auto"/>
              <w:jc w:val="both"/>
              <w:rPr>
                <w:rFonts w:ascii="Times New Roman" w:eastAsia="Calibri" w:hAnsi="Times New Roman" w:cs="Times New Roman"/>
                <w:lang w:val="sr-Cyrl-RS"/>
              </w:rPr>
            </w:pPr>
            <w:r>
              <w:rPr>
                <w:rFonts w:ascii="Times New Roman" w:eastAsia="Calibri" w:hAnsi="Times New Roman" w:cs="Times New Roman"/>
                <w:lang w:val="sr-Cyrl-RS"/>
              </w:rPr>
              <w:t>Током 2024. године организоване су р</w:t>
            </w:r>
            <w:r w:rsidRPr="00015AFB">
              <w:rPr>
                <w:rFonts w:ascii="Times New Roman" w:hAnsi="Times New Roman" w:cs="Times New Roman"/>
              </w:rPr>
              <w:t xml:space="preserve">адиониоце </w:t>
            </w:r>
            <w:r>
              <w:rPr>
                <w:rFonts w:ascii="Times New Roman" w:hAnsi="Times New Roman" w:cs="Times New Roman"/>
                <w:lang w:val="sr-Cyrl-RS"/>
              </w:rPr>
              <w:t xml:space="preserve">на </w:t>
            </w:r>
            <w:r w:rsidRPr="00015AFB">
              <w:rPr>
                <w:rFonts w:ascii="Times New Roman" w:hAnsi="Times New Roman" w:cs="Times New Roman"/>
              </w:rPr>
              <w:t xml:space="preserve">којој су присуствовали представници КЈН и Републичке комисије за заштиту права у поступцима јавних набавки </w:t>
            </w:r>
            <w:r>
              <w:rPr>
                <w:rFonts w:ascii="Times New Roman" w:hAnsi="Times New Roman" w:cs="Times New Roman"/>
                <w:lang w:val="sr-Cyrl-RS"/>
              </w:rPr>
              <w:t xml:space="preserve">и које </w:t>
            </w:r>
            <w:r w:rsidRPr="00015AFB">
              <w:rPr>
                <w:rFonts w:ascii="Times New Roman" w:hAnsi="Times New Roman" w:cs="Times New Roman"/>
              </w:rPr>
              <w:t>су биле прилика да институције још једном размене знања и искуства из области јавних набавки, а све у циљу наставка сарадње и координације органа надлежних за регулисање и праћење јавних набавки.</w:t>
            </w:r>
          </w:p>
          <w:p w14:paraId="5A449E64" w14:textId="77777777" w:rsidR="00353A29" w:rsidRPr="00015AFB" w:rsidRDefault="00353A29" w:rsidP="00766164">
            <w:pPr>
              <w:pStyle w:val="NoSpacing"/>
              <w:spacing w:line="276" w:lineRule="auto"/>
              <w:jc w:val="both"/>
              <w:rPr>
                <w:rFonts w:ascii="Times New Roman" w:eastAsia="Calibri" w:hAnsi="Times New Roman" w:cs="Times New Roman"/>
                <w:lang w:val="sr-Cyrl-RS"/>
              </w:rPr>
            </w:pPr>
          </w:p>
        </w:tc>
      </w:tr>
      <w:tr w:rsidR="00353A29" w14:paraId="26001E86"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04A47F51" w14:textId="77777777" w:rsidR="00353A29" w:rsidRDefault="00353A29" w:rsidP="00766164">
            <w:pPr>
              <w:spacing w:after="0" w:line="240" w:lineRule="auto"/>
              <w:rPr>
                <w:rFonts w:ascii="Times New Roman" w:eastAsia="Times New Roman" w:hAnsi="Times New Roman" w:cs="Times New Roman"/>
                <w:lang w:val="sr-Cyrl-CS" w:eastAsia="en-GB"/>
              </w:rPr>
            </w:pPr>
          </w:p>
          <w:p w14:paraId="35B4FF13" w14:textId="77777777" w:rsidR="00353A29" w:rsidRDefault="00353A29" w:rsidP="00766164">
            <w:pPr>
              <w:spacing w:after="0" w:line="240" w:lineRule="auto"/>
              <w:rPr>
                <w:rFonts w:ascii="Times New Roman" w:eastAsia="Times New Roman" w:hAnsi="Times New Roman" w:cs="Times New Roman"/>
                <w:color w:val="000000"/>
                <w:lang w:val="sr-Cyrl-CS" w:eastAsia="en-GB"/>
              </w:rPr>
            </w:pPr>
            <w:r>
              <w:rPr>
                <w:rFonts w:ascii="Times New Roman" w:eastAsia="Times New Roman" w:hAnsi="Times New Roman" w:cs="Times New Roman"/>
                <w:lang w:val="sr-Cyrl-CS" w:eastAsia="en-GB"/>
              </w:rPr>
              <w:t>1.3.2.2. Организовање обука за представнике буџетске инспекције у погледу примене прописа у области јавних набавки</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BAA3BAA"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КЈН</w:t>
            </w:r>
          </w:p>
          <w:p w14:paraId="4CBFD8B3"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76E93340"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6B60117D"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5F8BD056" w14:textId="77777777" w:rsidR="00353A29" w:rsidRDefault="00353A29" w:rsidP="00766164">
            <w:pPr>
              <w:spacing w:after="0" w:line="240" w:lineRule="auto"/>
              <w:rPr>
                <w:rFonts w:ascii="Times New Roman" w:eastAsia="Times New Roman" w:hAnsi="Times New Roman" w:cs="Times New Roman"/>
                <w:color w:val="222222"/>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11C44AB0"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3271F471" w14:textId="77777777" w:rsidR="00353A29" w:rsidRDefault="00353A29" w:rsidP="00766164">
            <w:pPr>
              <w:spacing w:after="0" w:line="240" w:lineRule="auto"/>
              <w:rPr>
                <w:rFonts w:ascii="Times New Roman" w:eastAsia="Times New Roman" w:hAnsi="Times New Roman" w:cs="Times New Roman"/>
                <w:color w:val="000000"/>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58BB56DC" w14:textId="77777777" w:rsidR="00353A29" w:rsidRPr="004F5443" w:rsidRDefault="00353A29" w:rsidP="00766164">
            <w:pPr>
              <w:spacing w:after="0"/>
              <w:jc w:val="both"/>
              <w:rPr>
                <w:rFonts w:ascii="Times New Roman" w:eastAsia="Times New Roman" w:hAnsi="Times New Roman" w:cs="Times New Roman"/>
                <w:color w:val="000000"/>
                <w:lang w:val="sr-Cyrl-RS"/>
              </w:rPr>
            </w:pPr>
            <w:r w:rsidRPr="00084C49">
              <w:rPr>
                <w:rFonts w:ascii="Times New Roman" w:hAnsi="Times New Roman" w:cs="Times New Roman"/>
              </w:rPr>
              <w:t xml:space="preserve">На тему измена уговора о јавним набавкама одржане су три радионице, у циљу пружања подршке јачању капацитета Министарства финансија - буџетске инспекције из области јавних набавки. Представницима Министарства финансија - буџетске инспекције, поред одредаба ЗЈН којима су уређене измене уговора о јавним набавкама, презентовани су и практични примери из праксе КЈН. </w:t>
            </w:r>
            <w:r>
              <w:rPr>
                <w:rFonts w:ascii="Times New Roman" w:hAnsi="Times New Roman" w:cs="Times New Roman"/>
                <w:lang w:val="sr-Cyrl-RS"/>
              </w:rPr>
              <w:t xml:space="preserve"> </w:t>
            </w:r>
          </w:p>
        </w:tc>
      </w:tr>
      <w:tr w:rsidR="00353A29" w14:paraId="4C7D02A2"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6D9FC408" w14:textId="77777777" w:rsidR="00353A29" w:rsidRDefault="00353A29" w:rsidP="00766164">
            <w:pPr>
              <w:spacing w:after="0" w:line="240" w:lineRule="auto"/>
              <w:rPr>
                <w:rFonts w:ascii="Times New Roman" w:eastAsia="Times New Roman" w:hAnsi="Times New Roman" w:cs="Times New Roman"/>
                <w:lang w:val="sr-Cyrl-CS" w:eastAsia="en-GB"/>
              </w:rPr>
            </w:pPr>
          </w:p>
          <w:p w14:paraId="25306071" w14:textId="77777777" w:rsidR="00353A29" w:rsidRDefault="00353A29" w:rsidP="00766164">
            <w:pPr>
              <w:spacing w:after="0" w:line="240" w:lineRule="auto"/>
              <w:rPr>
                <w:rFonts w:ascii="Times New Roman" w:eastAsia="Times New Roman" w:hAnsi="Times New Roman" w:cs="Times New Roman"/>
                <w:color w:val="000000"/>
                <w:lang w:val="sr-Cyrl-CS" w:eastAsia="en-GB"/>
              </w:rPr>
            </w:pPr>
            <w:r>
              <w:rPr>
                <w:rFonts w:ascii="Times New Roman" w:eastAsia="Times New Roman" w:hAnsi="Times New Roman" w:cs="Times New Roman"/>
                <w:lang w:val="sr-Cyrl-CS" w:eastAsia="en-GB"/>
              </w:rPr>
              <w:t xml:space="preserve">1.3.2.3. Организовање обука за представнике </w:t>
            </w:r>
            <w:r>
              <w:rPr>
                <w:rFonts w:ascii="Times New Roman" w:eastAsia="Times New Roman" w:hAnsi="Times New Roman" w:cs="Times New Roman"/>
                <w:lang w:val="sr-Cyrl-CS" w:eastAsia="en-GB"/>
              </w:rPr>
              <w:lastRenderedPageBreak/>
              <w:t>полиције и  тужилаштва</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BF09A81"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lastRenderedPageBreak/>
              <w:t>КЈН</w:t>
            </w:r>
          </w:p>
          <w:p w14:paraId="68641D54"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lang w:val="sr-Cyrl-RS"/>
              </w:rPr>
              <w:t>УСАИД</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63C610E1"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4082811F"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69A065FD" w14:textId="77777777" w:rsidR="00353A29" w:rsidRDefault="00353A29" w:rsidP="00766164">
            <w:pPr>
              <w:spacing w:after="0" w:line="240" w:lineRule="auto"/>
              <w:rPr>
                <w:rFonts w:ascii="Times New Roman" w:eastAsia="Times New Roman" w:hAnsi="Times New Roman" w:cs="Times New Roman"/>
                <w:color w:val="222222"/>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4975920C"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3E70A8DB" w14:textId="77777777" w:rsidR="00353A29" w:rsidRDefault="00353A29" w:rsidP="00766164">
            <w:pPr>
              <w:spacing w:after="0" w:line="240" w:lineRule="auto"/>
              <w:rPr>
                <w:rFonts w:ascii="Times New Roman" w:eastAsia="Times New Roman" w:hAnsi="Times New Roman" w:cs="Times New Roman"/>
                <w:color w:val="000000"/>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030AB2E1" w14:textId="77777777" w:rsidR="00353A29" w:rsidRPr="004F5443" w:rsidRDefault="00353A29" w:rsidP="00766164">
            <w:pPr>
              <w:jc w:val="both"/>
              <w:rPr>
                <w:rFonts w:ascii="Times New Roman" w:hAnsi="Times New Roman" w:cs="Times New Roman"/>
              </w:rPr>
            </w:pPr>
            <w:r w:rsidRPr="004F5443">
              <w:rPr>
                <w:rFonts w:ascii="Times New Roman" w:hAnsi="Times New Roman" w:cs="Times New Roman"/>
              </w:rPr>
              <w:t xml:space="preserve">За напредно коришћење Портала за полицију и тужилаштво одржане су две обуке. КЈН је учесницима представила основне и напредне функционалности Портала од значаја за рад надлежних органа. Другог дана обуке учесницима је </w:t>
            </w:r>
            <w:r w:rsidRPr="004F5443">
              <w:rPr>
                <w:rFonts w:ascii="Times New Roman" w:hAnsi="Times New Roman" w:cs="Times New Roman"/>
              </w:rPr>
              <w:lastRenderedPageBreak/>
              <w:t xml:space="preserve">презентована улога и значај службеника за везу, као и најчешће неправилности у поступцима јавних набавки. </w:t>
            </w:r>
          </w:p>
        </w:tc>
      </w:tr>
      <w:tr w:rsidR="00353A29" w14:paraId="2F2778E1"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72DAD0BA" w14:textId="77777777" w:rsidR="00353A29" w:rsidRDefault="00353A29" w:rsidP="00766164">
            <w:pPr>
              <w:spacing w:after="0" w:line="240" w:lineRule="auto"/>
              <w:rPr>
                <w:rFonts w:ascii="Times New Roman" w:eastAsia="Times New Roman" w:hAnsi="Times New Roman" w:cs="Times New Roman"/>
                <w:lang w:val="sr-Cyrl-CS" w:eastAsia="en-GB"/>
              </w:rPr>
            </w:pPr>
          </w:p>
          <w:p w14:paraId="4F86522D" w14:textId="77777777" w:rsidR="00353A29" w:rsidRDefault="00353A29" w:rsidP="00766164">
            <w:pPr>
              <w:spacing w:after="0" w:line="240" w:lineRule="auto"/>
              <w:rPr>
                <w:rFonts w:ascii="Times New Roman" w:eastAsia="Times New Roman" w:hAnsi="Times New Roman" w:cs="Times New Roman"/>
                <w:color w:val="000000"/>
                <w:lang w:val="sr-Cyrl-CS" w:eastAsia="en-GB"/>
              </w:rPr>
            </w:pPr>
            <w:r>
              <w:rPr>
                <w:rFonts w:ascii="Times New Roman" w:eastAsia="Times New Roman" w:hAnsi="Times New Roman" w:cs="Times New Roman"/>
                <w:lang w:val="sr-Cyrl-CS" w:eastAsia="en-GB"/>
              </w:rPr>
              <w:t>1.3.2.4. Организовање обуке за представнике прекршајних судова</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6F0B63AF"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КЈН</w:t>
            </w:r>
          </w:p>
          <w:p w14:paraId="22FC1A86"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lang w:val="sr-Cyrl-RS"/>
              </w:rPr>
              <w:t>УСАИД</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3C925A86"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55A7AA55"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1C3E6F0D" w14:textId="77777777" w:rsidR="00353A29" w:rsidRDefault="00353A29" w:rsidP="00766164">
            <w:pPr>
              <w:spacing w:after="0" w:line="240" w:lineRule="auto"/>
              <w:rPr>
                <w:rFonts w:ascii="Times New Roman" w:eastAsia="Times New Roman" w:hAnsi="Times New Roman" w:cs="Times New Roman"/>
                <w:color w:val="222222"/>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2236F5FB"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318750C3" w14:textId="77777777" w:rsidR="00353A29" w:rsidRDefault="00353A29" w:rsidP="00766164">
            <w:pPr>
              <w:spacing w:after="0" w:line="240" w:lineRule="auto"/>
              <w:rPr>
                <w:rFonts w:ascii="Times New Roman" w:eastAsia="Times New Roman" w:hAnsi="Times New Roman" w:cs="Times New Roman"/>
                <w:color w:val="000000"/>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2F32139F" w14:textId="77777777" w:rsidR="00353A29" w:rsidRPr="00015AFB" w:rsidRDefault="00353A29" w:rsidP="00766164">
            <w:pPr>
              <w:spacing w:after="0"/>
              <w:jc w:val="both"/>
              <w:rPr>
                <w:rFonts w:ascii="Times New Roman" w:eastAsia="Times New Roman" w:hAnsi="Times New Roman" w:cs="Times New Roman"/>
                <w:color w:val="000000"/>
                <w:lang w:val="sr-Cyrl-RS"/>
              </w:rPr>
            </w:pPr>
            <w:r w:rsidRPr="00015AFB">
              <w:rPr>
                <w:rFonts w:ascii="Times New Roman" w:hAnsi="Times New Roman" w:cs="Times New Roman"/>
              </w:rPr>
              <w:t xml:space="preserve">Одржана је радионица на тему: „Одговорност за прекршаје у вези са јавним </w:t>
            </w:r>
            <w:proofErr w:type="gramStart"/>
            <w:r w:rsidRPr="00015AFB">
              <w:rPr>
                <w:rFonts w:ascii="Times New Roman" w:hAnsi="Times New Roman" w:cs="Times New Roman"/>
              </w:rPr>
              <w:t>набавкама“</w:t>
            </w:r>
            <w:proofErr w:type="gramEnd"/>
            <w:r w:rsidRPr="00015AFB">
              <w:rPr>
                <w:rFonts w:ascii="Times New Roman" w:hAnsi="Times New Roman" w:cs="Times New Roman"/>
              </w:rPr>
              <w:t>, на којој су представници КЈН и судије прекршајних апелационих судова имали су прилику да из угла својих надлежности размене ставове и искуства у вези са покретањем и вођењем прекршајних поступака за прекршаје из области јавних набавки.</w:t>
            </w:r>
          </w:p>
        </w:tc>
      </w:tr>
      <w:tr w:rsidR="00353A29" w14:paraId="735B40BA"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18551978"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p w14:paraId="13BEE03F" w14:textId="77777777" w:rsidR="00353A29" w:rsidRDefault="00353A29" w:rsidP="00766164">
            <w:pPr>
              <w:spacing w:after="0" w:line="240" w:lineRule="auto"/>
              <w:rPr>
                <w:rFonts w:ascii="Times New Roman" w:eastAsia="Times New Roman" w:hAnsi="Times New Roman" w:cs="Times New Roman"/>
                <w:color w:val="000000"/>
                <w:lang w:val="sr-Cyrl-CS" w:eastAsia="en-GB"/>
              </w:rPr>
            </w:pPr>
            <w:r>
              <w:rPr>
                <w:rFonts w:ascii="Times New Roman" w:eastAsia="Times New Roman" w:hAnsi="Times New Roman" w:cs="Times New Roman"/>
                <w:color w:val="000000"/>
                <w:lang w:val="sr-Cyrl-CS" w:eastAsia="en-GB"/>
              </w:rPr>
              <w:t>1.3.2.5. Организовање радионице ради усклађивања ставова КЈН и АСК у вези са применом прописа у области јавних набавки</w:t>
            </w:r>
          </w:p>
          <w:p w14:paraId="1CAD8796" w14:textId="77777777" w:rsidR="00353A29" w:rsidRDefault="00353A29" w:rsidP="00766164">
            <w:pPr>
              <w:spacing w:after="0" w:line="240" w:lineRule="auto"/>
              <w:rPr>
                <w:rFonts w:ascii="Times New Roman" w:eastAsia="Times New Roman" w:hAnsi="Times New Roman" w:cs="Times New Roman"/>
                <w:color w:val="000000"/>
                <w:lang w:val="sr-Cyrl-CS" w:eastAsia="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8374FE5"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КЈН</w:t>
            </w:r>
          </w:p>
          <w:p w14:paraId="0D00EC32" w14:textId="77777777" w:rsidR="00353A29" w:rsidRDefault="00353A29" w:rsidP="00766164">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lang w:val="sr-Cyrl-RS"/>
              </w:rPr>
              <w:t>УСАИД</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7771F222"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6962F67D"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1497083B" w14:textId="77777777" w:rsidR="00353A29" w:rsidRDefault="00353A29" w:rsidP="00766164">
            <w:pPr>
              <w:spacing w:after="0" w:line="240" w:lineRule="auto"/>
              <w:rPr>
                <w:rFonts w:ascii="Times New Roman" w:eastAsia="Times New Roman" w:hAnsi="Times New Roman" w:cs="Times New Roman"/>
                <w:color w:val="222222"/>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hideMark/>
          </w:tcPr>
          <w:p w14:paraId="01238BB7"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4BB39B82" w14:textId="77777777" w:rsidR="00353A29" w:rsidRDefault="00353A29" w:rsidP="00766164">
            <w:pPr>
              <w:spacing w:after="0" w:line="240" w:lineRule="auto"/>
              <w:rPr>
                <w:rFonts w:ascii="Times New Roman" w:eastAsia="Times New Roman" w:hAnsi="Times New Roman" w:cs="Times New Roman"/>
                <w:color w:val="000000"/>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4461B4A0" w14:textId="77777777" w:rsidR="00353A29" w:rsidRPr="00015AFB" w:rsidRDefault="00353A29" w:rsidP="00766164">
            <w:pPr>
              <w:spacing w:after="0"/>
              <w:jc w:val="both"/>
              <w:rPr>
                <w:rFonts w:ascii="Times New Roman" w:eastAsia="Times New Roman" w:hAnsi="Times New Roman" w:cs="Times New Roman"/>
                <w:color w:val="000000"/>
                <w:lang w:val="sr-Cyrl-RS"/>
              </w:rPr>
            </w:pPr>
            <w:r w:rsidRPr="00015AFB">
              <w:rPr>
                <w:rFonts w:ascii="Times New Roman" w:hAnsi="Times New Roman" w:cs="Times New Roman"/>
              </w:rPr>
              <w:t>Организована је радионица на којој су ставове у вези са применом ЗЈН разменили представници КЈН и Агенције за спречавање корупције. Представници органа имали су</w:t>
            </w:r>
            <w:r w:rsidRPr="00015AFB">
              <w:rPr>
                <w:rFonts w:ascii="Times New Roman" w:hAnsi="Times New Roman" w:cs="Times New Roman"/>
                <w:lang w:val="sr-Cyrl-RS"/>
              </w:rPr>
              <w:t xml:space="preserve"> </w:t>
            </w:r>
            <w:r w:rsidRPr="00015AFB">
              <w:rPr>
                <w:rFonts w:ascii="Times New Roman" w:hAnsi="Times New Roman" w:cs="Times New Roman"/>
              </w:rPr>
              <w:t>прилику да из угла својих надлежности размене искуства и досадашње активности у области јавних набавки, а све у циљу наставка сарадње и координације органа надлежних за регулисање и праћење јавних набавки.</w:t>
            </w:r>
          </w:p>
        </w:tc>
      </w:tr>
      <w:tr w:rsidR="00353A29" w14:paraId="14DEB812"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hideMark/>
          </w:tcPr>
          <w:p w14:paraId="0ECF2146" w14:textId="77777777" w:rsidR="00353A29" w:rsidRDefault="00353A29" w:rsidP="00766164">
            <w:pPr>
              <w:spacing w:after="0" w:line="240" w:lineRule="auto"/>
              <w:rPr>
                <w:rFonts w:ascii="Times New Roman" w:eastAsia="Times New Roman" w:hAnsi="Times New Roman" w:cs="Times New Roman"/>
                <w:lang w:val="sr-Cyrl-CS" w:eastAsia="en-GB"/>
              </w:rPr>
            </w:pPr>
          </w:p>
          <w:p w14:paraId="3B3C3E17"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lang w:val="sr-Cyrl-CS" w:eastAsia="en-GB"/>
              </w:rPr>
              <w:t>1.3.2.6. Организовање радног саветовања и размене мишљења са кључним институцијама у погледу заштите конкуренције у поступцима јавних набавки</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1126D306"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p>
          <w:p w14:paraId="197A386A"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КЈН</w:t>
            </w:r>
          </w:p>
          <w:p w14:paraId="00D30CEF" w14:textId="77777777" w:rsidR="00353A29" w:rsidRDefault="00353A29" w:rsidP="00766164">
            <w:pPr>
              <w:spacing w:after="0" w:line="240" w:lineRule="auto"/>
              <w:jc w:val="center"/>
              <w:rPr>
                <w:rFonts w:ascii="Times New Roman" w:eastAsia="Times New Roman" w:hAnsi="Times New Roman" w:cs="Times New Roman"/>
                <w:color w:val="222222"/>
                <w:lang w:val="sr-Cyrl-RS"/>
              </w:rPr>
            </w:pPr>
            <w:r>
              <w:rPr>
                <w:rFonts w:ascii="Times New Roman" w:eastAsia="Times New Roman" w:hAnsi="Times New Roman" w:cs="Times New Roman"/>
                <w:color w:val="222222"/>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3BA3D8CF" w14:textId="77777777" w:rsidR="00353A29" w:rsidRDefault="00353A29" w:rsidP="00766164">
            <w:pPr>
              <w:spacing w:after="0" w:line="240" w:lineRule="auto"/>
              <w:jc w:val="center"/>
              <w:rPr>
                <w:rFonts w:ascii="Times New Roman" w:eastAsia="Times New Roman" w:hAnsi="Times New Roman" w:cs="Times New Roman"/>
                <w:lang w:val="sr-Cyrl-CS" w:eastAsia="en-GB"/>
              </w:rPr>
            </w:pPr>
          </w:p>
          <w:p w14:paraId="17C14895" w14:textId="77777777" w:rsidR="00353A29" w:rsidRDefault="00353A29" w:rsidP="00766164">
            <w:pPr>
              <w:spacing w:after="0" w:line="240" w:lineRule="auto"/>
              <w:jc w:val="center"/>
              <w:rPr>
                <w:rFonts w:ascii="Times New Roman" w:eastAsia="Times New Roman" w:hAnsi="Times New Roman" w:cs="Times New Roman"/>
                <w:lang w:val="sr-Cyrl-CS" w:eastAsia="en-GB"/>
              </w:rPr>
            </w:pPr>
            <w:r>
              <w:rPr>
                <w:rFonts w:ascii="Times New Roman" w:eastAsia="Times New Roman" w:hAnsi="Times New Roman" w:cs="Times New Roman"/>
                <w:lang w:val="sr-Cyrl-CS" w:eastAsia="en-GB"/>
              </w:rPr>
              <w:t>4. квартал 2024.</w:t>
            </w:r>
          </w:p>
          <w:p w14:paraId="6D0A30BA" w14:textId="77777777" w:rsidR="00353A29" w:rsidRDefault="00353A29" w:rsidP="00766164">
            <w:pPr>
              <w:spacing w:after="0" w:line="240" w:lineRule="auto"/>
              <w:rPr>
                <w:rFonts w:ascii="Times New Roman" w:eastAsia="Times New Roman" w:hAnsi="Times New Roman" w:cs="Times New Roman"/>
                <w:color w:val="222222"/>
                <w:lang w:val="sr-Cyrl-RS"/>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tcPr>
          <w:p w14:paraId="3AFC3D0B" w14:textId="77777777" w:rsidR="00353A29" w:rsidRDefault="00353A29" w:rsidP="00766164">
            <w:pPr>
              <w:spacing w:after="0" w:line="240" w:lineRule="auto"/>
              <w:rPr>
                <w:rFonts w:ascii="Times New Roman" w:eastAsia="Times New Roman" w:hAnsi="Times New Roman" w:cs="Times New Roman"/>
                <w:color w:val="222222"/>
                <w:lang w:val="sr-Cyrl-RS"/>
              </w:rPr>
            </w:pPr>
          </w:p>
          <w:p w14:paraId="79BE9101" w14:textId="77777777" w:rsidR="00353A29" w:rsidRDefault="00353A29" w:rsidP="00766164">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lang w:val="sr-Cyrl-RS"/>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1ECDD48B" w14:textId="77777777" w:rsidR="00353A29" w:rsidRDefault="00353A29" w:rsidP="00766164">
            <w:pPr>
              <w:spacing w:after="0" w:line="240" w:lineRule="auto"/>
              <w:rPr>
                <w:rFonts w:ascii="Times New Roman" w:eastAsia="Times New Roman" w:hAnsi="Times New Roman" w:cs="Times New Roman"/>
                <w:color w:val="222222"/>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595F91AA" w14:textId="77777777" w:rsidR="00353A29" w:rsidRPr="00015AFB" w:rsidRDefault="00353A29" w:rsidP="00766164">
            <w:pPr>
              <w:spacing w:after="0" w:line="240" w:lineRule="auto"/>
              <w:jc w:val="both"/>
              <w:rPr>
                <w:rFonts w:ascii="Times New Roman" w:hAnsi="Times New Roman" w:cs="Times New Roman"/>
              </w:rPr>
            </w:pPr>
            <w:r w:rsidRPr="00015AFB">
              <w:rPr>
                <w:rFonts w:ascii="Times New Roman" w:hAnsi="Times New Roman" w:cs="Times New Roman"/>
                <w:lang w:val="sr-Cyrl-RS"/>
              </w:rPr>
              <w:t xml:space="preserve">- </w:t>
            </w:r>
            <w:r w:rsidRPr="00015AFB">
              <w:rPr>
                <w:rFonts w:ascii="Times New Roman" w:hAnsi="Times New Roman" w:cs="Times New Roman"/>
              </w:rPr>
              <w:t>У 2024. години одржано је радно саветовање на тему „Унапређење сарадње КЈН и Комисије за заштиту конкуренције “. Представници органа имали су прилику да из угла својих надлежности размене искуства и досадашње активности у области јавних набавки, са посебним освртом на мониторинг поступака јавних набавки и функционалности Портала.</w:t>
            </w:r>
          </w:p>
          <w:p w14:paraId="4264174D" w14:textId="77777777" w:rsidR="00353A29" w:rsidRPr="00015AFB" w:rsidRDefault="00353A29" w:rsidP="00766164">
            <w:pPr>
              <w:spacing w:after="0" w:line="240" w:lineRule="auto"/>
              <w:jc w:val="both"/>
              <w:rPr>
                <w:rFonts w:ascii="Times New Roman" w:eastAsia="Times New Roman" w:hAnsi="Times New Roman" w:cs="Times New Roman"/>
                <w:color w:val="222222"/>
                <w:lang w:val="sr-Cyrl-RS"/>
              </w:rPr>
            </w:pPr>
            <w:r w:rsidRPr="00015AFB">
              <w:rPr>
                <w:rFonts w:ascii="Times New Roman" w:eastAsia="Times New Roman" w:hAnsi="Times New Roman" w:cs="Times New Roman"/>
                <w:color w:val="222222"/>
                <w:lang w:val="sr-Cyrl-RS"/>
              </w:rPr>
              <w:t xml:space="preserve">- На тему „Напредне функционалности Портала јавних набавки за потребе Комисије за заштиту конкуренције“ у склопу наставка сарадње Канцеларије за заштиту конкуренције и КЈН, организовано је још једно радно саветовање. Комисија за зажтиту конкуренције је поделила своја искуства и активноси у области јавних набавки у вези са коришћењем Портала јавних набавки. Одржана је и обука за коришћење Портала јавних набавки, напредних функционалности Портала јавних набавки за потребе Комисије за заштиту конкуренције. Урађена је презентација </w:t>
            </w:r>
            <w:r w:rsidRPr="00015AFB">
              <w:rPr>
                <w:rFonts w:ascii="Times New Roman" w:eastAsia="Times New Roman" w:hAnsi="Times New Roman" w:cs="Times New Roman"/>
                <w:color w:val="222222"/>
                <w:lang w:val="sr-Cyrl-RS"/>
              </w:rPr>
              <w:lastRenderedPageBreak/>
              <w:t>функционалности Портала јавних набавки и отклањање недоумица у коришћењу истог.</w:t>
            </w:r>
            <w:r>
              <w:rPr>
                <w:rFonts w:ascii="Times New Roman" w:eastAsia="Times New Roman" w:hAnsi="Times New Roman" w:cs="Times New Roman"/>
                <w:color w:val="222222"/>
                <w:lang w:val="sr-Cyrl-RS"/>
              </w:rPr>
              <w:t xml:space="preserve"> </w:t>
            </w:r>
          </w:p>
        </w:tc>
      </w:tr>
      <w:tr w:rsidR="00353A29" w14:paraId="5406B407"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3F484EE0" w14:textId="77777777" w:rsidR="00353A29" w:rsidRDefault="00353A29" w:rsidP="00766164"/>
        </w:tc>
      </w:tr>
      <w:tr w:rsidR="00353A29" w14:paraId="36680F4D"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hideMark/>
          </w:tcPr>
          <w:p w14:paraId="2035436A" w14:textId="77777777" w:rsidR="00353A29" w:rsidRDefault="00353A29" w:rsidP="00766164">
            <w:pPr>
              <w:spacing w:after="0" w:line="240" w:lineRule="auto"/>
              <w:rPr>
                <w:rFonts w:ascii="Times New Roman" w:eastAsia="Times New Roman" w:hAnsi="Times New Roman" w:cs="Times New Roman"/>
                <w:color w:val="222222"/>
              </w:rPr>
            </w:pPr>
            <w:bookmarkStart w:id="14" w:name="_Toc73613690"/>
            <w:r>
              <w:rPr>
                <w:rFonts w:ascii="Times New Roman" w:eastAsia="Times New Roman" w:hAnsi="Times New Roman" w:cs="Times New Roman"/>
                <w:b/>
                <w:i/>
                <w:color w:val="365F91"/>
                <w:lang w:val="sr-Cyrl-CS" w:eastAsia="en-GB"/>
              </w:rPr>
              <w:t xml:space="preserve">Мера 1.3.3: </w:t>
            </w:r>
            <w:bookmarkEnd w:id="14"/>
            <w:r>
              <w:rPr>
                <w:rFonts w:ascii="Times New Roman" w:eastAsia="Times New Roman" w:hAnsi="Times New Roman" w:cs="Times New Roman"/>
                <w:b/>
                <w:bCs/>
                <w:i/>
                <w:color w:val="365F91" w:themeColor="accent1" w:themeShade="BF"/>
                <w:lang w:val="sr-Cyrl-CS" w:eastAsia="en-GB"/>
              </w:rPr>
              <w:t xml:space="preserve">Унапређење квалитета управљања уговором   </w:t>
            </w:r>
          </w:p>
        </w:tc>
      </w:tr>
      <w:tr w:rsidR="00353A29" w14:paraId="4D611CA8"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511FD5FD" w14:textId="77777777" w:rsidR="00353A29" w:rsidRDefault="00353A29" w:rsidP="00766164">
            <w:pPr>
              <w:spacing w:after="0" w:line="240" w:lineRule="auto"/>
              <w:rPr>
                <w:rFonts w:ascii="Times New Roman" w:eastAsia="Times New Roman" w:hAnsi="Times New Roman" w:cs="Times New Roman"/>
                <w:color w:val="222222"/>
                <w:lang w:val="sr-Cyrl-RS"/>
              </w:rPr>
            </w:pPr>
            <w:r>
              <w:rPr>
                <w:rFonts w:ascii="Times New Roman" w:eastAsia="Times New Roman" w:hAnsi="Times New Roman" w:cs="Times New Roman"/>
                <w:color w:val="222222"/>
              </w:rPr>
              <w:t xml:space="preserve">Носилац ставке: </w:t>
            </w:r>
            <w:r>
              <w:rPr>
                <w:rFonts w:ascii="Times New Roman" w:eastAsia="Times New Roman" w:hAnsi="Times New Roman" w:cs="Times New Roman"/>
                <w:color w:val="222222"/>
                <w:lang w:val="sr-Cyrl-RS"/>
              </w:rPr>
              <w:t>МФИН</w:t>
            </w:r>
          </w:p>
        </w:tc>
      </w:tr>
      <w:tr w:rsidR="00353A29" w14:paraId="532A8E50"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1953964"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74C77B6E"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3D71D74"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Циљана вредност у 202</w:t>
            </w:r>
            <w:r>
              <w:rPr>
                <w:rFonts w:ascii="Times New Roman" w:eastAsia="Times New Roman" w:hAnsi="Times New Roman" w:cs="Times New Roman"/>
                <w:b/>
                <w:bCs/>
                <w:color w:val="222222"/>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E91B39A" w14:textId="77777777" w:rsidR="00353A29" w:rsidRDefault="00353A29" w:rsidP="00766164">
            <w:pPr>
              <w:spacing w:after="0" w:line="240" w:lineRule="auto"/>
              <w:jc w:val="center"/>
              <w:rPr>
                <w:rFonts w:ascii="Times New Roman" w:eastAsia="Times New Roman" w:hAnsi="Times New Roman" w:cs="Times New Roman"/>
                <w:b/>
                <w:bCs/>
                <w:color w:val="222222"/>
                <w:lang w:val="sr-Cyrl-RS"/>
              </w:rPr>
            </w:pPr>
            <w:r>
              <w:rPr>
                <w:rFonts w:ascii="Times New Roman" w:eastAsia="Times New Roman" w:hAnsi="Times New Roman" w:cs="Times New Roman"/>
                <w:b/>
                <w:bCs/>
                <w:color w:val="222222"/>
              </w:rPr>
              <w:t>Остварена вредност у 202</w:t>
            </w:r>
            <w:r>
              <w:rPr>
                <w:rFonts w:ascii="Times New Roman" w:eastAsia="Times New Roman" w:hAnsi="Times New Roman" w:cs="Times New Roman"/>
                <w:b/>
                <w:bCs/>
                <w:color w:val="222222"/>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6A3C0DD" w14:textId="77777777" w:rsidR="00353A29" w:rsidRDefault="00353A29" w:rsidP="00766164">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Образложење одступања од циљне вредности показатеља</w:t>
            </w:r>
          </w:p>
        </w:tc>
      </w:tr>
      <w:tr w:rsidR="00353A29" w14:paraId="6F183CF0"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22A27D76" w14:textId="77777777" w:rsidR="00353A29" w:rsidRPr="00F9474C" w:rsidRDefault="00353A29" w:rsidP="00766164">
            <w:pPr>
              <w:spacing w:after="0" w:line="240" w:lineRule="auto"/>
              <w:jc w:val="both"/>
              <w:rPr>
                <w:rFonts w:ascii="Times New Roman" w:hAnsi="Times New Roman" w:cs="Times New Roman"/>
                <w:lang w:val="sr-Cyrl-CS"/>
              </w:rPr>
            </w:pPr>
            <w:r w:rsidRPr="00F9474C">
              <w:rPr>
                <w:rFonts w:ascii="Times New Roman" w:hAnsi="Times New Roman" w:cs="Times New Roman"/>
                <w:lang w:val="sr-Cyrl-CS"/>
              </w:rPr>
              <w:t>Број организованих обука на тему извршења уговора, годишње</w:t>
            </w:r>
          </w:p>
          <w:p w14:paraId="4EB3EF02"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67E50314"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3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57B410EC" w14:textId="77777777" w:rsidR="00353A29" w:rsidRPr="00F9474C" w:rsidRDefault="00353A29" w:rsidP="00766164">
            <w:pPr>
              <w:spacing w:after="0" w:line="240" w:lineRule="auto"/>
              <w:rPr>
                <w:rFonts w:ascii="Times New Roman" w:eastAsia="Times New Roman" w:hAnsi="Times New Roman" w:cs="Times New Roman"/>
                <w:bCs/>
                <w:lang w:val="sr-Cyrl-RS"/>
              </w:rPr>
            </w:pPr>
            <w:r w:rsidRPr="00F9474C">
              <w:rPr>
                <w:rFonts w:ascii="Times New Roman" w:eastAsia="Times New Roman" w:hAnsi="Times New Roman" w:cs="Times New Roman"/>
                <w:bCs/>
                <w:lang w:val="sr-Cyrl-RS"/>
              </w:rPr>
              <w:t>4</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1FA14D6" w14:textId="77777777" w:rsidR="00353A29" w:rsidRPr="00F9474C" w:rsidRDefault="00353A29" w:rsidP="00766164">
            <w:pPr>
              <w:spacing w:after="0" w:line="240" w:lineRule="auto"/>
              <w:rPr>
                <w:rFonts w:ascii="Times New Roman" w:eastAsia="Times New Roman" w:hAnsi="Times New Roman" w:cs="Times New Roman"/>
                <w:bCs/>
                <w:lang w:val="sr-Cyrl-RS"/>
              </w:rPr>
            </w:pPr>
            <w:r w:rsidRPr="00F9474C">
              <w:rPr>
                <w:rFonts w:ascii="Times New Roman" w:eastAsia="Times New Roman" w:hAnsi="Times New Roman" w:cs="Times New Roman"/>
                <w:bCs/>
                <w:lang w:val="sr-Cyrl-RS"/>
              </w:rPr>
              <w:t>4</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61FE2D2F" w14:textId="77777777" w:rsidR="00353A29" w:rsidRPr="00F9474C" w:rsidRDefault="00353A29" w:rsidP="00766164">
            <w:pPr>
              <w:spacing w:after="0" w:line="240" w:lineRule="auto"/>
              <w:jc w:val="both"/>
              <w:rPr>
                <w:rFonts w:ascii="Times New Roman" w:eastAsia="Times New Roman" w:hAnsi="Times New Roman" w:cs="Times New Roman"/>
              </w:rPr>
            </w:pPr>
            <w:r w:rsidRPr="00F9474C">
              <w:rPr>
                <w:rFonts w:ascii="Times New Roman" w:eastAsia="Times New Roman" w:hAnsi="Times New Roman" w:cs="Times New Roman"/>
              </w:rPr>
              <w:t>Показатељ је</w:t>
            </w:r>
            <w:r w:rsidRPr="00F9474C">
              <w:rPr>
                <w:rFonts w:ascii="Times New Roman" w:eastAsia="Times New Roman" w:hAnsi="Times New Roman" w:cs="Times New Roman"/>
                <w:lang w:val="sr-Cyrl-RS"/>
              </w:rPr>
              <w:t xml:space="preserve"> </w:t>
            </w:r>
            <w:r w:rsidRPr="00F9474C">
              <w:rPr>
                <w:rFonts w:ascii="Times New Roman" w:eastAsia="Times New Roman" w:hAnsi="Times New Roman" w:cs="Times New Roman"/>
              </w:rPr>
              <w:t xml:space="preserve">испуњен у потпуности. Почетна вредност показатеља била је </w:t>
            </w:r>
            <w:r w:rsidRPr="00F9474C">
              <w:rPr>
                <w:rFonts w:ascii="Times New Roman" w:eastAsia="Times New Roman" w:hAnsi="Times New Roman" w:cs="Times New Roman"/>
                <w:lang w:val="sr-Cyrl-RS"/>
              </w:rPr>
              <w:t xml:space="preserve">2 </w:t>
            </w:r>
            <w:r w:rsidRPr="00F9474C">
              <w:rPr>
                <w:rFonts w:ascii="Times New Roman" w:eastAsia="Times New Roman" w:hAnsi="Times New Roman" w:cs="Times New Roman"/>
              </w:rPr>
              <w:t>у 202</w:t>
            </w:r>
            <w:r w:rsidRPr="00F9474C">
              <w:rPr>
                <w:rFonts w:ascii="Times New Roman" w:eastAsia="Times New Roman" w:hAnsi="Times New Roman" w:cs="Times New Roman"/>
                <w:lang w:val="sr-Cyrl-RS"/>
              </w:rPr>
              <w:t>3</w:t>
            </w:r>
            <w:r w:rsidRPr="00F9474C">
              <w:rPr>
                <w:rFonts w:ascii="Times New Roman" w:eastAsia="Times New Roman" w:hAnsi="Times New Roman" w:cs="Times New Roman"/>
              </w:rPr>
              <w:t xml:space="preserve">. години, док </w:t>
            </w:r>
            <w:r w:rsidRPr="00F9474C">
              <w:rPr>
                <w:rFonts w:ascii="Times New Roman" w:eastAsia="Times New Roman" w:hAnsi="Times New Roman" w:cs="Times New Roman"/>
                <w:lang w:val="sr-Cyrl-RS"/>
              </w:rPr>
              <w:t>је</w:t>
            </w:r>
            <w:r w:rsidRPr="00F9474C">
              <w:rPr>
                <w:rFonts w:ascii="Times New Roman" w:eastAsia="Times New Roman" w:hAnsi="Times New Roman" w:cs="Times New Roman"/>
              </w:rPr>
              <w:t xml:space="preserve"> закључно са 31. децембром 202</w:t>
            </w:r>
            <w:r w:rsidRPr="00F9474C">
              <w:rPr>
                <w:rFonts w:ascii="Times New Roman" w:eastAsia="Times New Roman" w:hAnsi="Times New Roman" w:cs="Times New Roman"/>
                <w:lang w:val="sr-Cyrl-RS"/>
              </w:rPr>
              <w:t>4</w:t>
            </w:r>
            <w:r w:rsidRPr="00F9474C">
              <w:rPr>
                <w:rFonts w:ascii="Times New Roman" w:eastAsia="Times New Roman" w:hAnsi="Times New Roman" w:cs="Times New Roman"/>
              </w:rPr>
              <w:t xml:space="preserve">. године </w:t>
            </w:r>
            <w:r w:rsidRPr="00F9474C">
              <w:rPr>
                <w:rFonts w:ascii="Times New Roman" w:eastAsia="Times New Roman" w:hAnsi="Times New Roman" w:cs="Times New Roman"/>
                <w:lang w:val="sr-Cyrl-RS"/>
              </w:rPr>
              <w:t>циљана вредност за 2024. годину од 4 остварена.</w:t>
            </w:r>
          </w:p>
        </w:tc>
      </w:tr>
      <w:tr w:rsidR="00353A29" w14:paraId="1F958B19"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0FE6AD5D" w14:textId="77777777" w:rsidR="00353A29" w:rsidRPr="00F9474C" w:rsidRDefault="00353A29" w:rsidP="00766164"/>
        </w:tc>
      </w:tr>
      <w:tr w:rsidR="00353A29" w14:paraId="140B2E89"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7060E68" w14:textId="77777777" w:rsidR="00353A29" w:rsidRPr="00F9474C" w:rsidRDefault="00353A29" w:rsidP="00766164">
            <w:pPr>
              <w:spacing w:after="0" w:line="240" w:lineRule="auto"/>
              <w:jc w:val="center"/>
              <w:rPr>
                <w:rFonts w:ascii="Times New Roman" w:eastAsia="Times New Roman" w:hAnsi="Times New Roman" w:cs="Times New Roman"/>
                <w:b/>
                <w:bCs/>
                <w:lang w:val="sr-Cyrl-RS"/>
              </w:rPr>
            </w:pPr>
            <w:r w:rsidRPr="00F9474C">
              <w:rPr>
                <w:rFonts w:ascii="Times New Roman" w:eastAsia="Times New Roman" w:hAnsi="Times New Roman" w:cs="Times New Roman"/>
                <w:b/>
                <w:bCs/>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E637AD4"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96C090E" w14:textId="77777777" w:rsidR="00353A29" w:rsidRPr="00F9474C" w:rsidRDefault="00353A29" w:rsidP="00766164">
            <w:pPr>
              <w:spacing w:after="0" w:line="240" w:lineRule="auto"/>
              <w:jc w:val="center"/>
              <w:rPr>
                <w:rFonts w:ascii="Times New Roman" w:eastAsia="Times New Roman" w:hAnsi="Times New Roman" w:cs="Times New Roman"/>
                <w:b/>
                <w:bCs/>
                <w:lang w:val="sr-Cyrl-RS"/>
              </w:rPr>
            </w:pPr>
            <w:r w:rsidRPr="00F9474C">
              <w:rPr>
                <w:rFonts w:ascii="Times New Roman" w:eastAsia="Times New Roman" w:hAnsi="Times New Roman" w:cs="Times New Roman"/>
                <w:b/>
                <w:bCs/>
              </w:rPr>
              <w:t>Рок за реализацију у 202</w:t>
            </w:r>
            <w:r w:rsidRPr="00F9474C">
              <w:rPr>
                <w:rFonts w:ascii="Times New Roman" w:eastAsia="Times New Roman" w:hAnsi="Times New Roman" w:cs="Times New Roman"/>
                <w:b/>
                <w:bCs/>
                <w:lang w:val="sr-Cyrl-RS"/>
              </w:rPr>
              <w:t>4</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0A44976"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9A2F282"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B3E395F"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Опис</w:t>
            </w:r>
          </w:p>
          <w:p w14:paraId="7D2BCAAC"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Cs/>
                <w:i/>
              </w:rPr>
              <w:t>(</w:t>
            </w:r>
            <w:r w:rsidRPr="00F9474C">
              <w:rPr>
                <w:rFonts w:ascii="Times New Roman" w:eastAsia="Calibri" w:hAnsi="Times New Roman" w:cs="Times New Roman"/>
                <w:i/>
              </w:rPr>
              <w:t>Образложење одступања + Остварени напредак + Будући кораци)</w:t>
            </w:r>
          </w:p>
        </w:tc>
      </w:tr>
      <w:tr w:rsidR="00353A29" w14:paraId="2C0DA773"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0C04EF9A" w14:textId="77777777" w:rsidR="00353A29" w:rsidRPr="00F9474C" w:rsidRDefault="00353A29" w:rsidP="00766164">
            <w:pPr>
              <w:spacing w:after="0" w:line="240" w:lineRule="auto"/>
              <w:rPr>
                <w:rFonts w:ascii="Times New Roman" w:eastAsia="Times New Roman" w:hAnsi="Times New Roman" w:cs="Times New Roman"/>
                <w:bCs/>
                <w:lang w:val="sr-Cyrl-CS" w:eastAsia="en-GB"/>
              </w:rPr>
            </w:pPr>
          </w:p>
          <w:p w14:paraId="34689268" w14:textId="77777777" w:rsidR="00353A29" w:rsidRPr="00F9474C" w:rsidRDefault="00353A29" w:rsidP="00766164">
            <w:pPr>
              <w:spacing w:after="0" w:line="240" w:lineRule="auto"/>
              <w:rPr>
                <w:rFonts w:ascii="Times New Roman" w:eastAsia="Times New Roman" w:hAnsi="Times New Roman" w:cs="Times New Roman"/>
                <w:bCs/>
                <w:lang w:val="sr-Cyrl-CS" w:eastAsia="en-GB"/>
              </w:rPr>
            </w:pPr>
            <w:r w:rsidRPr="00F9474C">
              <w:rPr>
                <w:rFonts w:ascii="Times New Roman" w:eastAsia="Times New Roman" w:hAnsi="Times New Roman" w:cs="Times New Roman"/>
                <w:bCs/>
                <w:lang w:val="sr-Cyrl-CS" w:eastAsia="en-GB"/>
              </w:rPr>
              <w:t>1.3.3.1. Организовање обука на тему извршења уговора</w:t>
            </w:r>
          </w:p>
          <w:p w14:paraId="2AC560BF" w14:textId="77777777" w:rsidR="00353A29" w:rsidRPr="00F9474C" w:rsidRDefault="00353A29" w:rsidP="00766164">
            <w:pPr>
              <w:spacing w:after="0" w:line="240" w:lineRule="auto"/>
              <w:rPr>
                <w:rFonts w:ascii="Times New Roman" w:eastAsia="Times New Roman" w:hAnsi="Times New Roman" w:cs="Times New Roman"/>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11D455E"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МФИН</w:t>
            </w:r>
          </w:p>
          <w:p w14:paraId="0AFB1A04"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 xml:space="preserve"> НАЛЕД</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5E21D076"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r w:rsidRPr="00F9474C">
              <w:rPr>
                <w:rFonts w:ascii="Times New Roman" w:eastAsia="Times New Roman" w:hAnsi="Times New Roman" w:cs="Times New Roman"/>
                <w:lang w:val="sr-Cyrl-CS" w:eastAsia="en-GB"/>
              </w:rPr>
              <w:t>4. квартал 2024.</w:t>
            </w:r>
          </w:p>
          <w:p w14:paraId="524723DF" w14:textId="77777777" w:rsidR="00353A29" w:rsidRPr="00F9474C" w:rsidRDefault="00353A29" w:rsidP="00766164">
            <w:pPr>
              <w:spacing w:after="0" w:line="240" w:lineRule="auto"/>
              <w:rPr>
                <w:rFonts w:ascii="Times New Roman" w:eastAsia="Times New Roman" w:hAnsi="Times New Roman" w:cs="Times New Roman"/>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tcPr>
          <w:p w14:paraId="0E37F629" w14:textId="77777777" w:rsidR="00353A29" w:rsidRPr="00F9474C" w:rsidRDefault="00353A29" w:rsidP="00766164">
            <w:pPr>
              <w:spacing w:after="0" w:line="240" w:lineRule="auto"/>
              <w:rPr>
                <w:rFonts w:ascii="Times New Roman" w:eastAsia="Times New Roman" w:hAnsi="Times New Roman" w:cs="Times New Roman"/>
              </w:rPr>
            </w:pPr>
            <w:r w:rsidRPr="00F9474C">
              <w:rPr>
                <w:rFonts w:ascii="Times New Roman" w:eastAsia="Times New Roman" w:hAnsi="Times New Roman" w:cs="Times New Roman"/>
                <w:lang w:val="sr-Cyrl-RS"/>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bottom"/>
          </w:tcPr>
          <w:p w14:paraId="13EB35B3" w14:textId="77777777" w:rsidR="00353A29" w:rsidRPr="00F9474C" w:rsidRDefault="00353A29" w:rsidP="00766164">
            <w:pPr>
              <w:spacing w:after="0" w:line="240" w:lineRule="auto"/>
              <w:rPr>
                <w:rFonts w:ascii="Times New Roman" w:eastAsia="Times New Roman" w:hAnsi="Times New Roman" w:cs="Times New Roman"/>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4177CD59" w14:textId="0D07241E" w:rsidR="00353A29" w:rsidRPr="00F9474C" w:rsidRDefault="00353A29" w:rsidP="00766164">
            <w:pPr>
              <w:spacing w:after="0" w:line="240" w:lineRule="auto"/>
              <w:jc w:val="both"/>
              <w:rPr>
                <w:rFonts w:ascii="Times New Roman" w:eastAsia="Times New Roman" w:hAnsi="Times New Roman" w:cs="Times New Roman"/>
                <w:lang w:val="sr-Cyrl-RS"/>
              </w:rPr>
            </w:pPr>
          </w:p>
        </w:tc>
      </w:tr>
      <w:tr w:rsidR="00353A29" w14:paraId="2DF458F0"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tcPr>
          <w:p w14:paraId="22DDB1A2" w14:textId="77777777" w:rsidR="00353A29" w:rsidRPr="00F9474C" w:rsidRDefault="00353A29" w:rsidP="00766164">
            <w:pPr>
              <w:spacing w:after="0" w:line="240" w:lineRule="auto"/>
              <w:jc w:val="both"/>
              <w:rPr>
                <w:rFonts w:ascii="Times New Roman" w:eastAsia="Times New Roman" w:hAnsi="Times New Roman" w:cs="Times New Roman"/>
              </w:rPr>
            </w:pPr>
          </w:p>
        </w:tc>
      </w:tr>
      <w:tr w:rsidR="00353A29" w14:paraId="5998C622" w14:textId="77777777" w:rsidTr="00766164">
        <w:trPr>
          <w:gridBefore w:val="1"/>
          <w:wBefore w:w="10" w:type="dxa"/>
          <w:trHeight w:val="780"/>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vAlign w:val="center"/>
            <w:hideMark/>
          </w:tcPr>
          <w:p w14:paraId="1204B4CD" w14:textId="77777777" w:rsidR="00353A29" w:rsidRPr="00F9474C" w:rsidRDefault="00353A29" w:rsidP="00766164">
            <w:pPr>
              <w:spacing w:after="0" w:line="240" w:lineRule="auto"/>
              <w:rPr>
                <w:rFonts w:ascii="Times New Roman" w:eastAsia="Times New Roman" w:hAnsi="Times New Roman" w:cs="Times New Roman"/>
              </w:rPr>
            </w:pPr>
            <w:r w:rsidRPr="00F9474C">
              <w:rPr>
                <w:rFonts w:ascii="Times New Roman" w:eastAsia="Times New Roman" w:hAnsi="Times New Roman" w:cs="Times New Roman"/>
                <w:b/>
                <w:i/>
                <w:lang w:val="sr-Cyrl-CS" w:eastAsia="en-GB"/>
              </w:rPr>
              <w:t xml:space="preserve">Мера 1.3.4: </w:t>
            </w:r>
            <w:r w:rsidRPr="00F9474C">
              <w:rPr>
                <w:rFonts w:ascii="Times New Roman" w:eastAsia="Times New Roman" w:hAnsi="Times New Roman" w:cs="Times New Roman"/>
                <w:b/>
                <w:bCs/>
                <w:i/>
                <w:lang w:val="sr-Cyrl-CS" w:eastAsia="en-GB"/>
              </w:rPr>
              <w:t xml:space="preserve">Јачање институционалних капацитета буџетске инспекције </w:t>
            </w:r>
            <w:r w:rsidRPr="00F9474C">
              <w:rPr>
                <w:rFonts w:ascii="Times New Roman" w:eastAsia="Times New Roman" w:hAnsi="Times New Roman" w:cs="Times New Roman"/>
                <w:b/>
                <w:i/>
                <w:lang w:val="sr-Cyrl-CS" w:eastAsia="en-GB"/>
              </w:rPr>
              <w:t>МФИН</w:t>
            </w:r>
          </w:p>
        </w:tc>
      </w:tr>
      <w:tr w:rsidR="00353A29" w14:paraId="779B09FD"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54F5DFE4" w14:textId="77777777" w:rsidR="00353A29" w:rsidRPr="00F9474C" w:rsidRDefault="00353A29" w:rsidP="00766164">
            <w:pPr>
              <w:spacing w:after="0" w:line="240" w:lineRule="auto"/>
              <w:rPr>
                <w:rFonts w:ascii="Times New Roman" w:eastAsia="Times New Roman" w:hAnsi="Times New Roman" w:cs="Times New Roman"/>
              </w:rPr>
            </w:pPr>
            <w:r w:rsidRPr="00F9474C">
              <w:rPr>
                <w:rFonts w:ascii="Times New Roman" w:eastAsia="Times New Roman" w:hAnsi="Times New Roman" w:cs="Times New Roman"/>
              </w:rPr>
              <w:t xml:space="preserve">Носилац </w:t>
            </w:r>
            <w:r w:rsidRPr="00F9474C">
              <w:rPr>
                <w:rFonts w:ascii="Times New Roman" w:eastAsia="Times New Roman" w:hAnsi="Times New Roman" w:cs="Times New Roman"/>
                <w:lang w:val="sr-Cyrl-RS"/>
              </w:rPr>
              <w:t>мер</w:t>
            </w:r>
            <w:r w:rsidRPr="00F9474C">
              <w:rPr>
                <w:rFonts w:ascii="Times New Roman" w:eastAsia="Times New Roman" w:hAnsi="Times New Roman" w:cs="Times New Roman"/>
              </w:rPr>
              <w:t xml:space="preserve">е: </w:t>
            </w:r>
            <w:r w:rsidRPr="00F9474C">
              <w:rPr>
                <w:rFonts w:ascii="Times New Roman" w:eastAsia="Times New Roman" w:hAnsi="Times New Roman" w:cs="Times New Roman"/>
                <w:lang w:val="sr-Cyrl-RS"/>
              </w:rPr>
              <w:t>МФИН</w:t>
            </w:r>
          </w:p>
        </w:tc>
      </w:tr>
      <w:tr w:rsidR="00353A29" w14:paraId="7E2CD419"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1DB18C9"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Назив показатеља</w:t>
            </w:r>
          </w:p>
        </w:tc>
        <w:tc>
          <w:tcPr>
            <w:tcW w:w="225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D52A3D3"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Почетна вредност и година</w:t>
            </w:r>
          </w:p>
        </w:tc>
        <w:tc>
          <w:tcPr>
            <w:tcW w:w="117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663901A" w14:textId="77777777" w:rsidR="00353A29" w:rsidRPr="00F9474C" w:rsidRDefault="00353A29" w:rsidP="00766164">
            <w:pPr>
              <w:spacing w:after="0" w:line="240" w:lineRule="auto"/>
              <w:jc w:val="center"/>
              <w:rPr>
                <w:rFonts w:ascii="Times New Roman" w:eastAsia="Times New Roman" w:hAnsi="Times New Roman" w:cs="Times New Roman"/>
                <w:b/>
                <w:bCs/>
                <w:lang w:val="sr-Cyrl-RS"/>
              </w:rPr>
            </w:pPr>
            <w:r w:rsidRPr="00F9474C">
              <w:rPr>
                <w:rFonts w:ascii="Times New Roman" w:eastAsia="Times New Roman" w:hAnsi="Times New Roman" w:cs="Times New Roman"/>
                <w:b/>
                <w:bCs/>
              </w:rPr>
              <w:t>Циљана вредност у 202</w:t>
            </w:r>
            <w:r w:rsidRPr="00F9474C">
              <w:rPr>
                <w:rFonts w:ascii="Times New Roman" w:eastAsia="Times New Roman" w:hAnsi="Times New Roman" w:cs="Times New Roman"/>
                <w:b/>
                <w:bCs/>
                <w:lang w:val="sr-Cyrl-RS"/>
              </w:rPr>
              <w:t>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49BDCA2"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Остварена вредност у 202</w:t>
            </w:r>
            <w:r w:rsidRPr="00F9474C">
              <w:rPr>
                <w:rFonts w:ascii="Times New Roman" w:eastAsia="Times New Roman" w:hAnsi="Times New Roman" w:cs="Times New Roman"/>
                <w:b/>
                <w:bCs/>
                <w:lang w:val="sr-Cyrl-RS"/>
              </w:rPr>
              <w:t>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A6C0C9D"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Образложење одступања од циљне вредности показатеља</w:t>
            </w:r>
          </w:p>
        </w:tc>
      </w:tr>
      <w:tr w:rsidR="00353A29" w14:paraId="032B09E1" w14:textId="77777777" w:rsidTr="00766164">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18D1C6F5" w14:textId="77777777" w:rsidR="00353A29" w:rsidRPr="00F9474C" w:rsidRDefault="00353A29" w:rsidP="00766164">
            <w:pPr>
              <w:autoSpaceDE w:val="0"/>
              <w:autoSpaceDN w:val="0"/>
              <w:adjustRightInd w:val="0"/>
              <w:spacing w:after="0" w:line="240" w:lineRule="auto"/>
              <w:rPr>
                <w:rFonts w:ascii="Times New Roman" w:eastAsia="Calibri" w:hAnsi="Times New Roman" w:cs="Times New Roman"/>
                <w:bCs/>
                <w:lang w:val="sr-Cyrl-CS"/>
              </w:rPr>
            </w:pPr>
            <w:r w:rsidRPr="00F9474C">
              <w:rPr>
                <w:rFonts w:ascii="Times New Roman" w:eastAsia="Times New Roman" w:hAnsi="Times New Roman" w:cs="Times New Roman"/>
                <w:bCs/>
                <w:lang w:val="sr-Cyrl-CS" w:eastAsia="en-GB"/>
              </w:rPr>
              <w:t>Број запослених у МФИН - буџетској инспекцији, укупно</w:t>
            </w:r>
          </w:p>
        </w:tc>
        <w:tc>
          <w:tcPr>
            <w:tcW w:w="2250" w:type="dxa"/>
            <w:gridSpan w:val="4"/>
            <w:tcBorders>
              <w:top w:val="double" w:sz="4" w:space="0" w:color="auto"/>
              <w:left w:val="double" w:sz="4" w:space="0" w:color="auto"/>
              <w:bottom w:val="double" w:sz="4" w:space="0" w:color="auto"/>
              <w:right w:val="double" w:sz="4" w:space="0" w:color="auto"/>
            </w:tcBorders>
            <w:noWrap/>
            <w:vAlign w:val="center"/>
            <w:hideMark/>
          </w:tcPr>
          <w:p w14:paraId="42CA72DB" w14:textId="77777777" w:rsidR="00353A29" w:rsidRPr="00F9474C" w:rsidRDefault="00353A29" w:rsidP="00766164">
            <w:pPr>
              <w:spacing w:after="0" w:line="240" w:lineRule="auto"/>
              <w:rPr>
                <w:rFonts w:ascii="Times New Roman" w:eastAsia="Times New Roman" w:hAnsi="Times New Roman" w:cs="Times New Roman"/>
                <w:lang w:val="sr-Cyrl-RS"/>
              </w:rPr>
            </w:pPr>
            <w:r w:rsidRPr="00F9474C">
              <w:rPr>
                <w:rFonts w:ascii="Times New Roman" w:eastAsia="Times New Roman" w:hAnsi="Times New Roman" w:cs="Times New Roman"/>
                <w:lang w:val="sr-Cyrl-RS"/>
              </w:rPr>
              <w:t>27 (2023)</w:t>
            </w:r>
          </w:p>
        </w:tc>
        <w:tc>
          <w:tcPr>
            <w:tcW w:w="1170" w:type="dxa"/>
            <w:gridSpan w:val="2"/>
            <w:tcBorders>
              <w:top w:val="double" w:sz="4" w:space="0" w:color="auto"/>
              <w:left w:val="double" w:sz="4" w:space="0" w:color="auto"/>
              <w:bottom w:val="double" w:sz="4" w:space="0" w:color="auto"/>
              <w:right w:val="double" w:sz="4" w:space="0" w:color="auto"/>
            </w:tcBorders>
            <w:noWrap/>
            <w:vAlign w:val="center"/>
            <w:hideMark/>
          </w:tcPr>
          <w:p w14:paraId="6BA50AD5" w14:textId="77777777" w:rsidR="00353A29" w:rsidRPr="00F9474C" w:rsidRDefault="00353A29" w:rsidP="00766164">
            <w:pPr>
              <w:spacing w:after="0" w:line="240" w:lineRule="auto"/>
              <w:rPr>
                <w:rFonts w:ascii="Times New Roman" w:eastAsia="Times New Roman" w:hAnsi="Times New Roman" w:cs="Times New Roman"/>
                <w:lang w:val="sr-Cyrl-RS"/>
              </w:rPr>
            </w:pPr>
            <w:r w:rsidRPr="00F9474C">
              <w:rPr>
                <w:rFonts w:ascii="Times New Roman" w:eastAsia="Times New Roman" w:hAnsi="Times New Roman" w:cs="Times New Roman"/>
                <w:lang w:val="sr-Cyrl-RS"/>
              </w:rPr>
              <w:t>45</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59D6DF6" w14:textId="77777777" w:rsidR="00353A29" w:rsidRPr="00F9474C" w:rsidRDefault="00353A29" w:rsidP="00766164">
            <w:pPr>
              <w:spacing w:after="0" w:line="240" w:lineRule="auto"/>
              <w:rPr>
                <w:rFonts w:ascii="Times New Roman" w:eastAsia="Times New Roman" w:hAnsi="Times New Roman" w:cs="Times New Roman"/>
                <w:lang w:val="sr-Cyrl-RS"/>
              </w:rPr>
            </w:pPr>
            <w:r w:rsidRPr="00F9474C">
              <w:rPr>
                <w:rFonts w:ascii="Times New Roman" w:eastAsia="Times New Roman" w:hAnsi="Times New Roman" w:cs="Times New Roman"/>
                <w:lang w:val="sr-Cyrl-RS"/>
              </w:rPr>
              <w:t>45</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3905573" w14:textId="77777777" w:rsidR="00353A29" w:rsidRPr="00F9474C" w:rsidRDefault="00353A29" w:rsidP="00766164">
            <w:pPr>
              <w:spacing w:after="0" w:line="240" w:lineRule="auto"/>
              <w:jc w:val="both"/>
              <w:rPr>
                <w:rFonts w:ascii="Times New Roman" w:eastAsia="Times New Roman" w:hAnsi="Times New Roman" w:cs="Times New Roman"/>
              </w:rPr>
            </w:pPr>
            <w:r w:rsidRPr="00F9474C">
              <w:rPr>
                <w:rFonts w:ascii="Times New Roman" w:eastAsia="Times New Roman" w:hAnsi="Times New Roman" w:cs="Times New Roman"/>
              </w:rPr>
              <w:t>Показатељ је</w:t>
            </w:r>
            <w:r w:rsidRPr="00F9474C">
              <w:rPr>
                <w:rFonts w:ascii="Times New Roman" w:eastAsia="Times New Roman" w:hAnsi="Times New Roman" w:cs="Times New Roman"/>
                <w:lang w:val="sr-Cyrl-RS"/>
              </w:rPr>
              <w:t xml:space="preserve"> </w:t>
            </w:r>
            <w:r w:rsidRPr="00F9474C">
              <w:rPr>
                <w:rFonts w:ascii="Times New Roman" w:eastAsia="Times New Roman" w:hAnsi="Times New Roman" w:cs="Times New Roman"/>
              </w:rPr>
              <w:t xml:space="preserve">испуњен у потпуности. Почетна вредност показатеља била је </w:t>
            </w:r>
            <w:r w:rsidRPr="00F9474C">
              <w:rPr>
                <w:rFonts w:ascii="Times New Roman" w:eastAsia="Times New Roman" w:hAnsi="Times New Roman" w:cs="Times New Roman"/>
                <w:lang w:val="sr-Cyrl-RS"/>
              </w:rPr>
              <w:t xml:space="preserve">27 </w:t>
            </w:r>
            <w:r w:rsidRPr="00F9474C">
              <w:rPr>
                <w:rFonts w:ascii="Times New Roman" w:eastAsia="Times New Roman" w:hAnsi="Times New Roman" w:cs="Times New Roman"/>
              </w:rPr>
              <w:t>у 202</w:t>
            </w:r>
            <w:r w:rsidRPr="00F9474C">
              <w:rPr>
                <w:rFonts w:ascii="Times New Roman" w:eastAsia="Times New Roman" w:hAnsi="Times New Roman" w:cs="Times New Roman"/>
                <w:lang w:val="sr-Cyrl-RS"/>
              </w:rPr>
              <w:t>3</w:t>
            </w:r>
            <w:r w:rsidRPr="00F9474C">
              <w:rPr>
                <w:rFonts w:ascii="Times New Roman" w:eastAsia="Times New Roman" w:hAnsi="Times New Roman" w:cs="Times New Roman"/>
              </w:rPr>
              <w:t xml:space="preserve">. години, док </w:t>
            </w:r>
            <w:r w:rsidRPr="00F9474C">
              <w:rPr>
                <w:rFonts w:ascii="Times New Roman" w:eastAsia="Times New Roman" w:hAnsi="Times New Roman" w:cs="Times New Roman"/>
                <w:lang w:val="sr-Cyrl-RS"/>
              </w:rPr>
              <w:t>је</w:t>
            </w:r>
            <w:r w:rsidRPr="00F9474C">
              <w:rPr>
                <w:rFonts w:ascii="Times New Roman" w:eastAsia="Times New Roman" w:hAnsi="Times New Roman" w:cs="Times New Roman"/>
              </w:rPr>
              <w:t xml:space="preserve"> закључно са 31. </w:t>
            </w:r>
            <w:r w:rsidRPr="00F9474C">
              <w:rPr>
                <w:rFonts w:ascii="Times New Roman" w:eastAsia="Times New Roman" w:hAnsi="Times New Roman" w:cs="Times New Roman"/>
              </w:rPr>
              <w:lastRenderedPageBreak/>
              <w:t>децембром 202</w:t>
            </w:r>
            <w:r w:rsidRPr="00F9474C">
              <w:rPr>
                <w:rFonts w:ascii="Times New Roman" w:eastAsia="Times New Roman" w:hAnsi="Times New Roman" w:cs="Times New Roman"/>
                <w:lang w:val="sr-Cyrl-RS"/>
              </w:rPr>
              <w:t>4</w:t>
            </w:r>
            <w:r w:rsidRPr="00F9474C">
              <w:rPr>
                <w:rFonts w:ascii="Times New Roman" w:eastAsia="Times New Roman" w:hAnsi="Times New Roman" w:cs="Times New Roman"/>
              </w:rPr>
              <w:t xml:space="preserve">. године </w:t>
            </w:r>
            <w:r w:rsidRPr="00F9474C">
              <w:rPr>
                <w:rFonts w:ascii="Times New Roman" w:eastAsia="Times New Roman" w:hAnsi="Times New Roman" w:cs="Times New Roman"/>
                <w:lang w:val="sr-Cyrl-RS"/>
              </w:rPr>
              <w:t>циљана вредност за 2024. годину од 45 остварена.</w:t>
            </w:r>
          </w:p>
        </w:tc>
      </w:tr>
      <w:tr w:rsidR="00353A29" w14:paraId="553522D5" w14:textId="77777777" w:rsidTr="00766164">
        <w:trPr>
          <w:gridBefore w:val="1"/>
          <w:wBefore w:w="10" w:type="dxa"/>
          <w:trHeight w:val="255"/>
        </w:trPr>
        <w:tc>
          <w:tcPr>
            <w:tcW w:w="14375" w:type="dxa"/>
            <w:gridSpan w:val="14"/>
            <w:tcBorders>
              <w:top w:val="double" w:sz="4" w:space="0" w:color="auto"/>
              <w:left w:val="double" w:sz="4" w:space="0" w:color="auto"/>
              <w:bottom w:val="double" w:sz="4" w:space="0" w:color="auto"/>
              <w:right w:val="double" w:sz="4" w:space="0" w:color="auto"/>
            </w:tcBorders>
            <w:noWrap/>
            <w:vAlign w:val="center"/>
            <w:hideMark/>
          </w:tcPr>
          <w:p w14:paraId="25269BD6" w14:textId="77777777" w:rsidR="00353A29" w:rsidRPr="00F9474C" w:rsidRDefault="00353A29" w:rsidP="00766164"/>
        </w:tc>
      </w:tr>
      <w:tr w:rsidR="00353A29" w14:paraId="662FD268" w14:textId="77777777" w:rsidTr="00766164">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28617CC" w14:textId="77777777" w:rsidR="00353A29" w:rsidRPr="00F9474C" w:rsidRDefault="00353A29" w:rsidP="00766164">
            <w:pPr>
              <w:spacing w:after="0" w:line="240" w:lineRule="auto"/>
              <w:jc w:val="center"/>
              <w:rPr>
                <w:rFonts w:ascii="Times New Roman" w:eastAsia="Times New Roman" w:hAnsi="Times New Roman" w:cs="Times New Roman"/>
                <w:b/>
                <w:bCs/>
                <w:lang w:val="sr-Cyrl-RS"/>
              </w:rPr>
            </w:pPr>
            <w:r w:rsidRPr="00F9474C">
              <w:rPr>
                <w:rFonts w:ascii="Times New Roman" w:eastAsia="Times New Roman" w:hAnsi="Times New Roman" w:cs="Times New Roman"/>
                <w:b/>
                <w:bCs/>
              </w:rPr>
              <w:t xml:space="preserve">Активности за реализацију мере: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D4BE5D2"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Институција одговорна за реализацију</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3BC74BF"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Рок за реализацију у 2023</w:t>
            </w:r>
          </w:p>
        </w:tc>
        <w:tc>
          <w:tcPr>
            <w:tcW w:w="99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FD7737D"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Статус активности</w:t>
            </w:r>
          </w:p>
        </w:tc>
        <w:tc>
          <w:tcPr>
            <w:tcW w:w="2255"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77673C7"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Нови рок за реализацију</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6446C63" w14:textId="77777777" w:rsidR="00353A29" w:rsidRPr="00F9474C" w:rsidRDefault="00353A29" w:rsidP="00766164">
            <w:pPr>
              <w:spacing w:after="0" w:line="240" w:lineRule="auto"/>
              <w:jc w:val="center"/>
              <w:rPr>
                <w:rFonts w:ascii="Times New Roman" w:eastAsia="Times New Roman" w:hAnsi="Times New Roman" w:cs="Times New Roman"/>
                <w:b/>
                <w:bCs/>
              </w:rPr>
            </w:pPr>
            <w:r w:rsidRPr="00F9474C">
              <w:rPr>
                <w:rFonts w:ascii="Times New Roman" w:eastAsia="Times New Roman" w:hAnsi="Times New Roman" w:cs="Times New Roman"/>
                <w:b/>
                <w:bCs/>
              </w:rPr>
              <w:t>Опис</w:t>
            </w:r>
          </w:p>
          <w:p w14:paraId="19FEFCAA" w14:textId="77777777" w:rsidR="00353A29" w:rsidRPr="00F9474C" w:rsidRDefault="00353A29" w:rsidP="00766164">
            <w:pPr>
              <w:spacing w:after="0" w:line="240" w:lineRule="auto"/>
              <w:jc w:val="center"/>
              <w:rPr>
                <w:rFonts w:ascii="Times New Roman" w:eastAsia="Times New Roman" w:hAnsi="Times New Roman" w:cs="Times New Roman"/>
                <w:bCs/>
                <w:i/>
              </w:rPr>
            </w:pPr>
            <w:r w:rsidRPr="00F9474C">
              <w:rPr>
                <w:rFonts w:ascii="Times New Roman" w:eastAsia="Times New Roman" w:hAnsi="Times New Roman" w:cs="Times New Roman"/>
                <w:bCs/>
                <w:i/>
              </w:rPr>
              <w:t>(</w:t>
            </w:r>
            <w:r w:rsidRPr="00F9474C">
              <w:rPr>
                <w:rFonts w:ascii="Times New Roman" w:eastAsia="Calibri" w:hAnsi="Times New Roman" w:cs="Times New Roman"/>
                <w:i/>
              </w:rPr>
              <w:t>Образложење одступања + Остварени напредак + Будући кораци)</w:t>
            </w:r>
          </w:p>
        </w:tc>
      </w:tr>
      <w:tr w:rsidR="00353A29" w14:paraId="3DE52022"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53A7D904" w14:textId="77777777" w:rsidR="00353A29" w:rsidRPr="00F9474C" w:rsidRDefault="00353A29" w:rsidP="00766164">
            <w:pPr>
              <w:spacing w:after="0" w:line="240" w:lineRule="auto"/>
              <w:rPr>
                <w:rFonts w:ascii="Times New Roman" w:eastAsia="Times New Roman" w:hAnsi="Times New Roman" w:cs="Times New Roman"/>
                <w:lang w:val="sr-Cyrl-CS" w:eastAsia="en-GB"/>
              </w:rPr>
            </w:pPr>
          </w:p>
          <w:p w14:paraId="693D443E" w14:textId="77777777" w:rsidR="00353A29" w:rsidRPr="00F9474C" w:rsidRDefault="00353A29" w:rsidP="00766164">
            <w:pPr>
              <w:spacing w:after="0" w:line="240" w:lineRule="auto"/>
              <w:rPr>
                <w:rFonts w:ascii="Times New Roman" w:eastAsia="Times New Roman" w:hAnsi="Times New Roman" w:cs="Times New Roman"/>
                <w:lang w:val="sr-Cyrl-CS" w:eastAsia="en-GB"/>
              </w:rPr>
            </w:pPr>
            <w:r w:rsidRPr="00F9474C">
              <w:rPr>
                <w:rFonts w:ascii="Times New Roman" w:eastAsia="Times New Roman" w:hAnsi="Times New Roman" w:cs="Times New Roman"/>
                <w:lang w:val="sr-Cyrl-CS" w:eastAsia="en-GB"/>
              </w:rPr>
              <w:t>1.3.4.1. Упознавање запослених у буџетској инспекцији МФИН са добром праксом у државама ЕУ</w:t>
            </w:r>
          </w:p>
          <w:p w14:paraId="6E6FFDE6" w14:textId="77777777" w:rsidR="00353A29" w:rsidRPr="00F9474C" w:rsidRDefault="00353A29" w:rsidP="00766164">
            <w:pPr>
              <w:spacing w:after="0" w:line="240" w:lineRule="auto"/>
              <w:rPr>
                <w:rFonts w:ascii="Times New Roman" w:eastAsia="Times New Roman" w:hAnsi="Times New Roman" w:cs="Times New Roman"/>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596C58AA"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МФИН</w:t>
            </w:r>
          </w:p>
          <w:p w14:paraId="2C925231"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УСАИД</w:t>
            </w:r>
          </w:p>
          <w:p w14:paraId="0467F2E1"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tcPr>
          <w:p w14:paraId="22DD4362"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p>
          <w:p w14:paraId="1D6ECF6F"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p>
          <w:p w14:paraId="3F189E14"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p>
          <w:p w14:paraId="2E754D6B"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r w:rsidRPr="00F9474C">
              <w:rPr>
                <w:rFonts w:ascii="Times New Roman" w:eastAsia="Times New Roman" w:hAnsi="Times New Roman" w:cs="Times New Roman"/>
                <w:lang w:val="sr-Cyrl-CS" w:eastAsia="en-GB"/>
              </w:rPr>
              <w:t>4. квартал 2024.</w:t>
            </w:r>
          </w:p>
          <w:p w14:paraId="6527C7C7" w14:textId="77777777" w:rsidR="00353A29" w:rsidRPr="00F9474C" w:rsidRDefault="00353A29" w:rsidP="00766164">
            <w:pPr>
              <w:spacing w:after="0" w:line="240" w:lineRule="auto"/>
              <w:jc w:val="center"/>
              <w:rPr>
                <w:rFonts w:ascii="Times New Roman" w:eastAsia="Times New Roman" w:hAnsi="Times New Roman" w:cs="Times New Roman"/>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tcPr>
          <w:p w14:paraId="42280931" w14:textId="77777777" w:rsidR="00353A29" w:rsidRPr="00F9474C" w:rsidRDefault="00353A29" w:rsidP="00766164">
            <w:pPr>
              <w:spacing w:after="0" w:line="240" w:lineRule="auto"/>
              <w:rPr>
                <w:rFonts w:ascii="Times New Roman" w:eastAsia="Times New Roman" w:hAnsi="Times New Roman" w:cs="Times New Roman"/>
                <w:lang w:val="sr-Cyrl-RS"/>
              </w:rPr>
            </w:pPr>
            <w:r w:rsidRPr="00F9474C">
              <w:rPr>
                <w:rFonts w:ascii="Times New Roman" w:eastAsia="Times New Roman" w:hAnsi="Times New Roman" w:cs="Times New Roman"/>
                <w:lang w:val="sr-Cyrl-RS"/>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14F565DC" w14:textId="77777777" w:rsidR="00353A29" w:rsidRPr="00F9474C" w:rsidRDefault="00353A29" w:rsidP="00766164">
            <w:pPr>
              <w:spacing w:after="0" w:line="240" w:lineRule="auto"/>
              <w:jc w:val="center"/>
              <w:rPr>
                <w:rFonts w:ascii="Times New Roman" w:eastAsia="Times New Roman" w:hAnsi="Times New Roman" w:cs="Times New Roman"/>
              </w:rPr>
            </w:pPr>
          </w:p>
        </w:tc>
        <w:tc>
          <w:tcPr>
            <w:tcW w:w="6100" w:type="dxa"/>
            <w:gridSpan w:val="2"/>
            <w:tcBorders>
              <w:top w:val="double" w:sz="4" w:space="0" w:color="auto"/>
              <w:left w:val="double" w:sz="4" w:space="0" w:color="auto"/>
              <w:bottom w:val="double" w:sz="4" w:space="0" w:color="auto"/>
              <w:right w:val="double" w:sz="4" w:space="0" w:color="auto"/>
            </w:tcBorders>
            <w:vAlign w:val="center"/>
          </w:tcPr>
          <w:p w14:paraId="25516039" w14:textId="77777777" w:rsidR="00353A29" w:rsidRPr="00F9474C" w:rsidRDefault="00353A29" w:rsidP="00766164">
            <w:pPr>
              <w:spacing w:after="160" w:line="256" w:lineRule="auto"/>
              <w:jc w:val="both"/>
              <w:rPr>
                <w:rFonts w:ascii="Times New Roman" w:eastAsia="Times New Roman" w:hAnsi="Times New Roman" w:cs="Times New Roman"/>
                <w:lang w:val="sr-Cyrl-RS"/>
              </w:rPr>
            </w:pPr>
          </w:p>
        </w:tc>
      </w:tr>
      <w:tr w:rsidR="00353A29" w14:paraId="06FD31BC" w14:textId="77777777" w:rsidTr="00766164">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1A0E7F63" w14:textId="77777777" w:rsidR="00353A29" w:rsidRPr="00F9474C" w:rsidRDefault="00353A29" w:rsidP="00766164">
            <w:pPr>
              <w:spacing w:after="0" w:line="240" w:lineRule="auto"/>
              <w:rPr>
                <w:rFonts w:ascii="Times New Roman" w:eastAsia="Times New Roman" w:hAnsi="Times New Roman" w:cs="Times New Roman"/>
                <w:lang w:val="sr-Cyrl-CS" w:eastAsia="en-GB"/>
              </w:rPr>
            </w:pPr>
          </w:p>
          <w:p w14:paraId="3939B3EF" w14:textId="77777777" w:rsidR="00353A29" w:rsidRPr="00F9474C" w:rsidRDefault="00353A29" w:rsidP="00766164">
            <w:pPr>
              <w:spacing w:after="0" w:line="240" w:lineRule="auto"/>
              <w:rPr>
                <w:rFonts w:ascii="Times New Roman" w:eastAsia="Times New Roman" w:hAnsi="Times New Roman" w:cs="Times New Roman"/>
                <w:lang w:val="sr-Cyrl-CS" w:eastAsia="en-GB"/>
              </w:rPr>
            </w:pPr>
            <w:r w:rsidRPr="00F9474C">
              <w:rPr>
                <w:rFonts w:ascii="Times New Roman" w:eastAsia="Times New Roman" w:hAnsi="Times New Roman" w:cs="Times New Roman"/>
                <w:lang w:val="sr-Cyrl-CS" w:eastAsia="en-GB"/>
              </w:rPr>
              <w:t>1.3.4.2. Израда упоредне анализе о начину вршења буџетске инспекције у најмање две државe ЕУ</w:t>
            </w:r>
          </w:p>
          <w:p w14:paraId="75B8AFC9" w14:textId="77777777" w:rsidR="00353A29" w:rsidRPr="00F9474C" w:rsidRDefault="00353A29" w:rsidP="00766164">
            <w:pPr>
              <w:spacing w:after="0" w:line="240" w:lineRule="auto"/>
              <w:rPr>
                <w:rFonts w:ascii="Times New Roman" w:eastAsia="Times New Roman" w:hAnsi="Times New Roman" w:cs="Times New Roman"/>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93CBBAA"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МФИН</w:t>
            </w:r>
          </w:p>
          <w:p w14:paraId="39F83629"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УСАИД</w:t>
            </w:r>
          </w:p>
          <w:p w14:paraId="02428EBA" w14:textId="77777777" w:rsidR="00353A29" w:rsidRPr="00F9474C" w:rsidRDefault="00353A29" w:rsidP="00766164">
            <w:pPr>
              <w:spacing w:after="0" w:line="240" w:lineRule="auto"/>
              <w:jc w:val="center"/>
              <w:rPr>
                <w:rFonts w:ascii="Times New Roman" w:eastAsia="Times New Roman" w:hAnsi="Times New Roman" w:cs="Times New Roman"/>
                <w:lang w:val="sr-Cyrl-RS"/>
              </w:rPr>
            </w:pPr>
            <w:r w:rsidRPr="00F9474C">
              <w:rPr>
                <w:rFonts w:ascii="Times New Roman" w:eastAsia="Times New Roman" w:hAnsi="Times New Roman" w:cs="Times New Roman"/>
                <w:lang w:val="sr-Cyrl-RS"/>
              </w:rPr>
              <w:t>НАЛЕД</w:t>
            </w:r>
          </w:p>
        </w:tc>
        <w:tc>
          <w:tcPr>
            <w:tcW w:w="1260" w:type="dxa"/>
            <w:gridSpan w:val="2"/>
            <w:tcBorders>
              <w:top w:val="double" w:sz="4" w:space="0" w:color="auto"/>
              <w:left w:val="double" w:sz="4" w:space="0" w:color="auto"/>
              <w:bottom w:val="double" w:sz="4" w:space="0" w:color="auto"/>
              <w:right w:val="double" w:sz="4" w:space="0" w:color="auto"/>
            </w:tcBorders>
            <w:noWrap/>
          </w:tcPr>
          <w:p w14:paraId="4E6A2227"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p>
          <w:p w14:paraId="58AD0EEE"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p>
          <w:p w14:paraId="0222AC5D" w14:textId="77777777" w:rsidR="00353A29" w:rsidRPr="00F9474C" w:rsidRDefault="00353A29" w:rsidP="00766164">
            <w:pPr>
              <w:spacing w:after="0" w:line="240" w:lineRule="auto"/>
              <w:jc w:val="center"/>
              <w:rPr>
                <w:rFonts w:ascii="Times New Roman" w:eastAsia="Times New Roman" w:hAnsi="Times New Roman" w:cs="Times New Roman"/>
                <w:lang w:val="sr-Cyrl-CS" w:eastAsia="en-GB"/>
              </w:rPr>
            </w:pPr>
            <w:r w:rsidRPr="00F9474C">
              <w:rPr>
                <w:rFonts w:ascii="Times New Roman" w:eastAsia="Times New Roman" w:hAnsi="Times New Roman" w:cs="Times New Roman"/>
                <w:lang w:val="sr-Cyrl-CS" w:eastAsia="en-GB"/>
              </w:rPr>
              <w:t>4. квартал 2024.</w:t>
            </w:r>
          </w:p>
          <w:p w14:paraId="073B0E7B" w14:textId="77777777" w:rsidR="00353A29" w:rsidRPr="00F9474C" w:rsidRDefault="00353A29" w:rsidP="00766164">
            <w:pPr>
              <w:spacing w:after="0" w:line="240" w:lineRule="auto"/>
              <w:jc w:val="center"/>
              <w:rPr>
                <w:rFonts w:ascii="Times New Roman" w:eastAsia="Times New Roman" w:hAnsi="Times New Roman" w:cs="Times New Roman"/>
              </w:rPr>
            </w:pPr>
          </w:p>
        </w:tc>
        <w:tc>
          <w:tcPr>
            <w:tcW w:w="990" w:type="dxa"/>
            <w:gridSpan w:val="2"/>
            <w:tcBorders>
              <w:top w:val="double" w:sz="4" w:space="0" w:color="auto"/>
              <w:left w:val="double" w:sz="4" w:space="0" w:color="auto"/>
              <w:bottom w:val="double" w:sz="4" w:space="0" w:color="auto"/>
              <w:right w:val="double" w:sz="4" w:space="0" w:color="auto"/>
            </w:tcBorders>
            <w:noWrap/>
            <w:vAlign w:val="center"/>
          </w:tcPr>
          <w:p w14:paraId="7FA73BFB" w14:textId="77777777" w:rsidR="00353A29" w:rsidRPr="00F9474C" w:rsidRDefault="00353A29" w:rsidP="00766164">
            <w:pPr>
              <w:spacing w:after="0" w:line="240" w:lineRule="auto"/>
              <w:rPr>
                <w:rFonts w:ascii="Times New Roman" w:eastAsia="Times New Roman" w:hAnsi="Times New Roman" w:cs="Times New Roman"/>
                <w:lang w:val="sr-Cyrl-RS"/>
              </w:rPr>
            </w:pPr>
            <w:r w:rsidRPr="00F9474C">
              <w:rPr>
                <w:rFonts w:ascii="Times New Roman" w:eastAsia="Times New Roman" w:hAnsi="Times New Roman" w:cs="Times New Roman"/>
                <w:lang w:val="sr-Cyrl-RS"/>
              </w:rPr>
              <w:t>Завршено</w:t>
            </w:r>
          </w:p>
        </w:tc>
        <w:tc>
          <w:tcPr>
            <w:tcW w:w="2255" w:type="dxa"/>
            <w:gridSpan w:val="4"/>
            <w:tcBorders>
              <w:top w:val="double" w:sz="4" w:space="0" w:color="auto"/>
              <w:left w:val="double" w:sz="4" w:space="0" w:color="auto"/>
              <w:bottom w:val="double" w:sz="4" w:space="0" w:color="auto"/>
              <w:right w:val="double" w:sz="4" w:space="0" w:color="auto"/>
            </w:tcBorders>
            <w:noWrap/>
            <w:vAlign w:val="center"/>
          </w:tcPr>
          <w:p w14:paraId="4DB4FEF7" w14:textId="77777777" w:rsidR="00353A29" w:rsidRPr="00F9474C" w:rsidRDefault="00353A29" w:rsidP="00766164">
            <w:pPr>
              <w:spacing w:after="0" w:line="240" w:lineRule="auto"/>
              <w:jc w:val="center"/>
              <w:rPr>
                <w:rFonts w:ascii="Times New Roman" w:eastAsia="Times New Roman" w:hAnsi="Times New Roman" w:cs="Times New Roman"/>
                <w:lang w:val="sr-Cyrl-RS"/>
              </w:rPr>
            </w:pPr>
          </w:p>
        </w:tc>
        <w:tc>
          <w:tcPr>
            <w:tcW w:w="6100" w:type="dxa"/>
            <w:gridSpan w:val="2"/>
            <w:tcBorders>
              <w:top w:val="double" w:sz="4" w:space="0" w:color="auto"/>
              <w:left w:val="double" w:sz="4" w:space="0" w:color="auto"/>
              <w:bottom w:val="double" w:sz="4" w:space="0" w:color="auto"/>
              <w:right w:val="double" w:sz="4" w:space="0" w:color="auto"/>
            </w:tcBorders>
            <w:vAlign w:val="center"/>
          </w:tcPr>
          <w:p w14:paraId="33A61EED" w14:textId="77777777" w:rsidR="00353A29" w:rsidRPr="00F9474C" w:rsidRDefault="00353A29" w:rsidP="00766164">
            <w:pPr>
              <w:spacing w:after="160" w:line="256" w:lineRule="auto"/>
              <w:jc w:val="both"/>
              <w:rPr>
                <w:rFonts w:ascii="Times New Roman" w:eastAsia="Times New Roman" w:hAnsi="Times New Roman" w:cs="Times New Roman"/>
                <w:lang w:val="sr-Cyrl-RS"/>
              </w:rPr>
            </w:pPr>
          </w:p>
        </w:tc>
        <w:bookmarkEnd w:id="1"/>
      </w:tr>
    </w:tbl>
    <w:p w14:paraId="6A0BC9D9" w14:textId="77777777" w:rsidR="00370A87" w:rsidRDefault="00370A87" w:rsidP="002A18EB">
      <w:pPr>
        <w:spacing w:after="0" w:line="240" w:lineRule="auto"/>
        <w:rPr>
          <w:rFonts w:ascii="Times New Roman" w:hAnsi="Times New Roman" w:cs="Times New Roman"/>
          <w:b/>
          <w:sz w:val="24"/>
          <w:szCs w:val="24"/>
          <w:lang w:val="sr-Cyrl-RS"/>
        </w:rPr>
      </w:pPr>
    </w:p>
    <w:p w14:paraId="27F5E439" w14:textId="77777777" w:rsidR="00370A87" w:rsidRDefault="00370A87" w:rsidP="002A18EB">
      <w:pPr>
        <w:spacing w:after="0" w:line="240" w:lineRule="auto"/>
        <w:rPr>
          <w:rFonts w:ascii="Times New Roman" w:hAnsi="Times New Roman" w:cs="Times New Roman"/>
          <w:b/>
          <w:sz w:val="24"/>
          <w:szCs w:val="24"/>
          <w:lang w:val="sr-Cyrl-RS"/>
        </w:rPr>
      </w:pPr>
    </w:p>
    <w:p w14:paraId="20409148" w14:textId="77777777" w:rsidR="00370A87" w:rsidRDefault="00370A87" w:rsidP="002A18EB">
      <w:pPr>
        <w:spacing w:after="0" w:line="240" w:lineRule="auto"/>
        <w:rPr>
          <w:rFonts w:ascii="Times New Roman" w:hAnsi="Times New Roman" w:cs="Times New Roman"/>
          <w:b/>
          <w:sz w:val="24"/>
          <w:szCs w:val="24"/>
          <w:lang w:val="sr-Cyrl-RS"/>
        </w:rPr>
      </w:pPr>
    </w:p>
    <w:p w14:paraId="1CE0502E" w14:textId="77777777" w:rsidR="00370A87" w:rsidRDefault="00370A87" w:rsidP="002A18EB">
      <w:pPr>
        <w:spacing w:after="0" w:line="240" w:lineRule="auto"/>
        <w:rPr>
          <w:rFonts w:ascii="Times New Roman" w:hAnsi="Times New Roman" w:cs="Times New Roman"/>
          <w:b/>
          <w:sz w:val="24"/>
          <w:szCs w:val="24"/>
          <w:lang w:val="sr-Cyrl-RS"/>
        </w:rPr>
      </w:pPr>
    </w:p>
    <w:p w14:paraId="5335B0FC" w14:textId="77777777" w:rsidR="00370A87" w:rsidRDefault="00370A87" w:rsidP="002A18EB">
      <w:pPr>
        <w:spacing w:after="0" w:line="240" w:lineRule="auto"/>
        <w:rPr>
          <w:rFonts w:ascii="Times New Roman" w:hAnsi="Times New Roman" w:cs="Times New Roman"/>
          <w:b/>
          <w:sz w:val="24"/>
          <w:szCs w:val="24"/>
          <w:lang w:val="sr-Cyrl-RS"/>
        </w:rPr>
      </w:pPr>
    </w:p>
    <w:p w14:paraId="498D4D7F" w14:textId="77777777" w:rsidR="00370A87" w:rsidRDefault="00370A87" w:rsidP="002A18EB">
      <w:pPr>
        <w:spacing w:after="0" w:line="240" w:lineRule="auto"/>
        <w:rPr>
          <w:rFonts w:ascii="Times New Roman" w:hAnsi="Times New Roman" w:cs="Times New Roman"/>
          <w:b/>
          <w:sz w:val="24"/>
          <w:szCs w:val="24"/>
          <w:lang w:val="sr-Cyrl-RS"/>
        </w:rPr>
      </w:pPr>
    </w:p>
    <w:p w14:paraId="367BB48B" w14:textId="77777777" w:rsidR="00370A87" w:rsidRDefault="00370A87" w:rsidP="002A18EB">
      <w:pPr>
        <w:spacing w:after="0" w:line="240" w:lineRule="auto"/>
        <w:rPr>
          <w:rFonts w:ascii="Times New Roman" w:hAnsi="Times New Roman" w:cs="Times New Roman"/>
          <w:b/>
          <w:sz w:val="24"/>
          <w:szCs w:val="24"/>
          <w:lang w:val="sr-Cyrl-RS"/>
        </w:rPr>
      </w:pPr>
    </w:p>
    <w:p w14:paraId="5D733BCF" w14:textId="77777777" w:rsidR="00370A87" w:rsidRDefault="00370A87" w:rsidP="002A18EB">
      <w:pPr>
        <w:spacing w:after="0" w:line="240" w:lineRule="auto"/>
        <w:rPr>
          <w:rFonts w:ascii="Times New Roman" w:hAnsi="Times New Roman" w:cs="Times New Roman"/>
          <w:b/>
          <w:sz w:val="24"/>
          <w:szCs w:val="24"/>
          <w:lang w:val="sr-Cyrl-RS"/>
        </w:rPr>
      </w:pPr>
    </w:p>
    <w:p w14:paraId="767C4C25" w14:textId="77777777" w:rsidR="00370A87" w:rsidRDefault="00370A87" w:rsidP="002A18EB">
      <w:pPr>
        <w:spacing w:after="0" w:line="240" w:lineRule="auto"/>
        <w:rPr>
          <w:rFonts w:ascii="Times New Roman" w:hAnsi="Times New Roman" w:cs="Times New Roman"/>
          <w:b/>
          <w:sz w:val="24"/>
          <w:szCs w:val="24"/>
          <w:lang w:val="sr-Cyrl-RS"/>
        </w:rPr>
      </w:pPr>
    </w:p>
    <w:p w14:paraId="2DF05C74" w14:textId="77777777" w:rsidR="00370A87" w:rsidRDefault="00370A87" w:rsidP="002A18EB">
      <w:pPr>
        <w:spacing w:after="0" w:line="240" w:lineRule="auto"/>
        <w:rPr>
          <w:rFonts w:ascii="Times New Roman" w:hAnsi="Times New Roman" w:cs="Times New Roman"/>
          <w:b/>
          <w:sz w:val="24"/>
          <w:szCs w:val="24"/>
          <w:lang w:val="sr-Cyrl-RS"/>
        </w:rPr>
      </w:pPr>
    </w:p>
    <w:p w14:paraId="18EAD882" w14:textId="77777777" w:rsidR="00370A87" w:rsidRDefault="00370A87" w:rsidP="002A18EB">
      <w:pPr>
        <w:spacing w:after="0" w:line="240" w:lineRule="auto"/>
        <w:rPr>
          <w:rFonts w:ascii="Times New Roman" w:hAnsi="Times New Roman" w:cs="Times New Roman"/>
          <w:b/>
          <w:sz w:val="24"/>
          <w:szCs w:val="24"/>
          <w:lang w:val="sr-Cyrl-RS"/>
        </w:rPr>
      </w:pPr>
    </w:p>
    <w:p w14:paraId="591D3B51" w14:textId="77777777" w:rsidR="00370A87" w:rsidRDefault="00370A87" w:rsidP="002A18EB">
      <w:pPr>
        <w:spacing w:after="0" w:line="240" w:lineRule="auto"/>
        <w:rPr>
          <w:rFonts w:ascii="Times New Roman" w:hAnsi="Times New Roman" w:cs="Times New Roman"/>
          <w:b/>
          <w:sz w:val="24"/>
          <w:szCs w:val="24"/>
          <w:lang w:val="sr-Cyrl-RS"/>
        </w:rPr>
      </w:pPr>
    </w:p>
    <w:p w14:paraId="3BD92BC1" w14:textId="77777777" w:rsidR="00370A87" w:rsidRDefault="00370A87" w:rsidP="002A18EB">
      <w:pPr>
        <w:spacing w:after="0" w:line="240" w:lineRule="auto"/>
        <w:rPr>
          <w:rFonts w:ascii="Times New Roman" w:hAnsi="Times New Roman" w:cs="Times New Roman"/>
          <w:b/>
          <w:sz w:val="24"/>
          <w:szCs w:val="24"/>
          <w:lang w:val="sr-Cyrl-RS"/>
        </w:rPr>
      </w:pPr>
    </w:p>
    <w:p w14:paraId="111A9621" w14:textId="77777777" w:rsidR="00370A87" w:rsidRDefault="00370A87" w:rsidP="002A18EB">
      <w:pPr>
        <w:spacing w:after="0" w:line="240" w:lineRule="auto"/>
        <w:rPr>
          <w:rFonts w:ascii="Times New Roman" w:hAnsi="Times New Roman" w:cs="Times New Roman"/>
          <w:b/>
          <w:sz w:val="24"/>
          <w:szCs w:val="24"/>
          <w:lang w:val="sr-Cyrl-RS"/>
        </w:rPr>
      </w:pPr>
    </w:p>
    <w:p w14:paraId="162EA627" w14:textId="15705286" w:rsidR="002A18EB" w:rsidRPr="002A18EB" w:rsidRDefault="002A18EB" w:rsidP="002A18EB">
      <w:pPr>
        <w:spacing w:after="0" w:line="240" w:lineRule="auto"/>
        <w:rPr>
          <w:rFonts w:ascii="Times New Roman" w:hAnsi="Times New Roman" w:cs="Times New Roman"/>
          <w:b/>
          <w:sz w:val="24"/>
          <w:szCs w:val="24"/>
          <w:lang w:val="sr-Cyrl-RS"/>
        </w:rPr>
      </w:pPr>
      <w:r w:rsidRPr="002A18EB">
        <w:rPr>
          <w:rFonts w:ascii="Times New Roman" w:hAnsi="Times New Roman" w:cs="Times New Roman"/>
          <w:b/>
          <w:sz w:val="24"/>
          <w:szCs w:val="24"/>
          <w:lang w:val="sr-Cyrl-RS"/>
        </w:rPr>
        <w:lastRenderedPageBreak/>
        <w:t xml:space="preserve">Прилог 2. </w:t>
      </w:r>
    </w:p>
    <w:p w14:paraId="0A04C27D" w14:textId="32A67E14" w:rsidR="00370A87" w:rsidRDefault="002A18EB" w:rsidP="002A18EB">
      <w:pPr>
        <w:spacing w:after="0" w:line="240" w:lineRule="auto"/>
        <w:rPr>
          <w:rFonts w:ascii="Times New Roman" w:hAnsi="Times New Roman" w:cs="Times New Roman"/>
          <w:b/>
          <w:sz w:val="24"/>
          <w:szCs w:val="24"/>
          <w:lang w:val="sr-Cyrl-RS"/>
        </w:rPr>
      </w:pPr>
      <w:r w:rsidRPr="002A18EB">
        <w:rPr>
          <w:rFonts w:ascii="Times New Roman" w:hAnsi="Times New Roman" w:cs="Times New Roman"/>
          <w:b/>
          <w:sz w:val="24"/>
          <w:szCs w:val="24"/>
          <w:lang w:val="sr-Cyrl-RS"/>
        </w:rPr>
        <w:t>Листа скраћеница</w:t>
      </w:r>
      <w:r w:rsidR="00370A87">
        <w:rPr>
          <w:rFonts w:ascii="Times New Roman" w:hAnsi="Times New Roman" w:cs="Times New Roman"/>
          <w:b/>
          <w:sz w:val="24"/>
          <w:szCs w:val="24"/>
          <w:lang w:val="sr-Cyrl-RS"/>
        </w:rPr>
        <w:t>:</w:t>
      </w:r>
    </w:p>
    <w:p w14:paraId="383F9657" w14:textId="77777777" w:rsidR="00370A87" w:rsidRPr="002A18EB" w:rsidRDefault="00370A87" w:rsidP="002A18EB">
      <w:pPr>
        <w:spacing w:after="0" w:line="240" w:lineRule="auto"/>
        <w:rPr>
          <w:rFonts w:ascii="Times New Roman" w:hAnsi="Times New Roman" w:cs="Times New Roman"/>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584"/>
      </w:tblGrid>
      <w:tr w:rsidR="00051D92" w:rsidRPr="00CE5A7F" w14:paraId="0CB0C3F8" w14:textId="77777777" w:rsidTr="003C4887">
        <w:tc>
          <w:tcPr>
            <w:tcW w:w="1432" w:type="dxa"/>
            <w:shd w:val="clear" w:color="auto" w:fill="F2F2F2"/>
          </w:tcPr>
          <w:p w14:paraId="3FD19509"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ЕУ</w:t>
            </w:r>
          </w:p>
        </w:tc>
        <w:tc>
          <w:tcPr>
            <w:tcW w:w="7584" w:type="dxa"/>
            <w:shd w:val="clear" w:color="auto" w:fill="F2F2F2"/>
          </w:tcPr>
          <w:p w14:paraId="664F565B" w14:textId="77777777" w:rsidR="00051D92" w:rsidRPr="00CE5A7F" w:rsidRDefault="00051D92" w:rsidP="003C4887">
            <w:pPr>
              <w:spacing w:after="0"/>
              <w:ind w:firstLine="30"/>
              <w:rPr>
                <w:rFonts w:ascii="Times New Roman" w:hAnsi="Times New Roman"/>
                <w:sz w:val="24"/>
                <w:szCs w:val="24"/>
                <w:lang w:val="sr-Cyrl-CS"/>
              </w:rPr>
            </w:pPr>
            <w:r w:rsidRPr="00CE5A7F">
              <w:rPr>
                <w:rFonts w:ascii="Times New Roman" w:hAnsi="Times New Roman"/>
                <w:sz w:val="24"/>
                <w:szCs w:val="24"/>
                <w:lang w:val="sr-Cyrl-CS"/>
              </w:rPr>
              <w:t>Европска унија</w:t>
            </w:r>
          </w:p>
        </w:tc>
      </w:tr>
      <w:tr w:rsidR="00051D92" w:rsidRPr="00CE5A7F" w14:paraId="0A487AC8" w14:textId="77777777" w:rsidTr="003C4887">
        <w:tc>
          <w:tcPr>
            <w:tcW w:w="1432" w:type="dxa"/>
            <w:shd w:val="clear" w:color="auto" w:fill="F2F2F2"/>
          </w:tcPr>
          <w:p w14:paraId="745AAB93"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КЈН</w:t>
            </w:r>
          </w:p>
        </w:tc>
        <w:tc>
          <w:tcPr>
            <w:tcW w:w="7584" w:type="dxa"/>
            <w:shd w:val="clear" w:color="auto" w:fill="F2F2F2"/>
          </w:tcPr>
          <w:p w14:paraId="5575263B" w14:textId="77777777" w:rsidR="00051D92" w:rsidRPr="00CE5A7F" w:rsidRDefault="00051D92" w:rsidP="003C4887">
            <w:pPr>
              <w:spacing w:after="0"/>
              <w:ind w:firstLine="30"/>
              <w:rPr>
                <w:rFonts w:ascii="Times New Roman" w:hAnsi="Times New Roman"/>
                <w:sz w:val="24"/>
                <w:szCs w:val="24"/>
                <w:lang w:val="sr-Cyrl-CS"/>
              </w:rPr>
            </w:pPr>
            <w:r w:rsidRPr="00CE5A7F">
              <w:rPr>
                <w:rFonts w:ascii="Times New Roman" w:hAnsi="Times New Roman"/>
                <w:sz w:val="24"/>
                <w:szCs w:val="24"/>
                <w:lang w:val="sr-Cyrl-CS"/>
              </w:rPr>
              <w:t>Канцеларија за јавне набавке</w:t>
            </w:r>
          </w:p>
        </w:tc>
      </w:tr>
      <w:tr w:rsidR="00051D92" w:rsidRPr="00CE5A7F" w14:paraId="15D59BCE" w14:textId="77777777" w:rsidTr="003C4887">
        <w:tc>
          <w:tcPr>
            <w:tcW w:w="1432" w:type="dxa"/>
            <w:shd w:val="clear" w:color="auto" w:fill="F2F2F2"/>
          </w:tcPr>
          <w:p w14:paraId="199AF9DD"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МФИН</w:t>
            </w:r>
          </w:p>
        </w:tc>
        <w:tc>
          <w:tcPr>
            <w:tcW w:w="7584" w:type="dxa"/>
            <w:shd w:val="clear" w:color="auto" w:fill="F2F2F2"/>
          </w:tcPr>
          <w:p w14:paraId="69705765" w14:textId="77777777" w:rsidR="00051D92" w:rsidRPr="00CE5A7F" w:rsidRDefault="00051D92" w:rsidP="003C4887">
            <w:pPr>
              <w:spacing w:after="0"/>
              <w:ind w:firstLine="30"/>
              <w:rPr>
                <w:rFonts w:ascii="Times New Roman" w:hAnsi="Times New Roman"/>
                <w:sz w:val="24"/>
                <w:szCs w:val="24"/>
                <w:lang w:val="sr-Cyrl-CS"/>
              </w:rPr>
            </w:pPr>
            <w:r w:rsidRPr="00CE5A7F">
              <w:rPr>
                <w:rFonts w:ascii="Times New Roman" w:hAnsi="Times New Roman"/>
                <w:sz w:val="24"/>
                <w:szCs w:val="24"/>
                <w:lang w:val="sr-Cyrl-CS"/>
              </w:rPr>
              <w:t>Министарство финансија</w:t>
            </w:r>
          </w:p>
        </w:tc>
      </w:tr>
      <w:tr w:rsidR="00051D92" w:rsidRPr="00CE5A7F" w14:paraId="22D14CD1" w14:textId="77777777" w:rsidTr="003C4887">
        <w:tc>
          <w:tcPr>
            <w:tcW w:w="1432" w:type="dxa"/>
            <w:shd w:val="clear" w:color="auto" w:fill="F2F2F2"/>
          </w:tcPr>
          <w:p w14:paraId="3EC6E6B5"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РК</w:t>
            </w:r>
          </w:p>
        </w:tc>
        <w:tc>
          <w:tcPr>
            <w:tcW w:w="7584" w:type="dxa"/>
            <w:shd w:val="clear" w:color="auto" w:fill="F2F2F2"/>
          </w:tcPr>
          <w:p w14:paraId="6F8D826C" w14:textId="77777777" w:rsidR="00051D92" w:rsidRPr="00CE5A7F" w:rsidRDefault="00051D92" w:rsidP="003C4887">
            <w:pPr>
              <w:spacing w:after="0"/>
              <w:ind w:firstLine="30"/>
              <w:rPr>
                <w:rFonts w:ascii="Times New Roman" w:hAnsi="Times New Roman"/>
                <w:sz w:val="24"/>
                <w:szCs w:val="24"/>
                <w:lang w:val="sr-Cyrl-CS"/>
              </w:rPr>
            </w:pPr>
            <w:r w:rsidRPr="00CE5A7F">
              <w:rPr>
                <w:rFonts w:ascii="Times New Roman" w:hAnsi="Times New Roman"/>
                <w:sz w:val="24"/>
                <w:szCs w:val="24"/>
                <w:lang w:val="sr-Cyrl-CS"/>
              </w:rPr>
              <w:t>Републичка комисија за заштиту права у поступцима јавних набавки</w:t>
            </w:r>
          </w:p>
        </w:tc>
      </w:tr>
      <w:tr w:rsidR="00051D92" w:rsidRPr="00CE5A7F" w14:paraId="485A8739" w14:textId="77777777" w:rsidTr="003C4887">
        <w:tc>
          <w:tcPr>
            <w:tcW w:w="1432" w:type="dxa"/>
            <w:shd w:val="clear" w:color="auto" w:fill="F2F2F2"/>
          </w:tcPr>
          <w:p w14:paraId="527CB0D6"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МП</w:t>
            </w:r>
          </w:p>
        </w:tc>
        <w:tc>
          <w:tcPr>
            <w:tcW w:w="7584" w:type="dxa"/>
            <w:shd w:val="clear" w:color="auto" w:fill="F2F2F2"/>
          </w:tcPr>
          <w:p w14:paraId="1498E374"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Министарство привреде</w:t>
            </w:r>
          </w:p>
        </w:tc>
      </w:tr>
      <w:tr w:rsidR="00051D92" w:rsidRPr="00CE5A7F" w14:paraId="5E90DC16" w14:textId="77777777" w:rsidTr="003C4887">
        <w:tc>
          <w:tcPr>
            <w:tcW w:w="1432" w:type="dxa"/>
            <w:shd w:val="clear" w:color="auto" w:fill="F2F2F2"/>
          </w:tcPr>
          <w:p w14:paraId="54026461"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КЈПП</w:t>
            </w:r>
          </w:p>
        </w:tc>
        <w:tc>
          <w:tcPr>
            <w:tcW w:w="7584" w:type="dxa"/>
            <w:shd w:val="clear" w:color="auto" w:fill="F2F2F2"/>
          </w:tcPr>
          <w:p w14:paraId="7AD1D2CC"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 xml:space="preserve">Комисија за јавно-приватно партнерство </w:t>
            </w:r>
          </w:p>
        </w:tc>
      </w:tr>
      <w:tr w:rsidR="00051D92" w:rsidRPr="00CE5A7F" w14:paraId="272B18B5" w14:textId="77777777" w:rsidTr="003C4887">
        <w:tc>
          <w:tcPr>
            <w:tcW w:w="1432" w:type="dxa"/>
            <w:shd w:val="clear" w:color="auto" w:fill="F2F2F2"/>
          </w:tcPr>
          <w:p w14:paraId="76581B1F"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КЗК</w:t>
            </w:r>
          </w:p>
        </w:tc>
        <w:tc>
          <w:tcPr>
            <w:tcW w:w="7584" w:type="dxa"/>
            <w:shd w:val="clear" w:color="auto" w:fill="F2F2F2"/>
          </w:tcPr>
          <w:p w14:paraId="2D155A04"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Комисија за заштиту конкуренције</w:t>
            </w:r>
          </w:p>
        </w:tc>
      </w:tr>
      <w:tr w:rsidR="00051D92" w:rsidRPr="00CE5A7F" w14:paraId="65E3EC00" w14:textId="77777777" w:rsidTr="003C4887">
        <w:tc>
          <w:tcPr>
            <w:tcW w:w="1432" w:type="dxa"/>
            <w:shd w:val="clear" w:color="auto" w:fill="F2F2F2"/>
          </w:tcPr>
          <w:p w14:paraId="3B5F95A5"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ПКС</w:t>
            </w:r>
          </w:p>
        </w:tc>
        <w:tc>
          <w:tcPr>
            <w:tcW w:w="7584" w:type="dxa"/>
            <w:shd w:val="clear" w:color="auto" w:fill="F2F2F2"/>
          </w:tcPr>
          <w:p w14:paraId="5CFCB621"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Привредна комора Србије</w:t>
            </w:r>
          </w:p>
        </w:tc>
      </w:tr>
      <w:tr w:rsidR="00051D92" w:rsidRPr="00CE5A7F" w14:paraId="6BAF82C5" w14:textId="77777777" w:rsidTr="003C4887">
        <w:tc>
          <w:tcPr>
            <w:tcW w:w="1432" w:type="dxa"/>
            <w:shd w:val="clear" w:color="auto" w:fill="F2F2F2"/>
          </w:tcPr>
          <w:p w14:paraId="73E197EF"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ЕК</w:t>
            </w:r>
          </w:p>
        </w:tc>
        <w:tc>
          <w:tcPr>
            <w:tcW w:w="7584" w:type="dxa"/>
            <w:shd w:val="clear" w:color="auto" w:fill="F2F2F2"/>
          </w:tcPr>
          <w:p w14:paraId="308EA728"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Европска комисија</w:t>
            </w:r>
          </w:p>
        </w:tc>
      </w:tr>
      <w:tr w:rsidR="00051D92" w:rsidRPr="00CE5A7F" w14:paraId="302D4293" w14:textId="77777777" w:rsidTr="003C4887">
        <w:tc>
          <w:tcPr>
            <w:tcW w:w="1432" w:type="dxa"/>
            <w:shd w:val="clear" w:color="auto" w:fill="F2F2F2"/>
          </w:tcPr>
          <w:p w14:paraId="4738A638"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ЗЈН</w:t>
            </w:r>
          </w:p>
        </w:tc>
        <w:tc>
          <w:tcPr>
            <w:tcW w:w="7584" w:type="dxa"/>
            <w:shd w:val="clear" w:color="auto" w:fill="F2F2F2"/>
          </w:tcPr>
          <w:p w14:paraId="634D867D"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Закон о јавним набавкама</w:t>
            </w:r>
          </w:p>
        </w:tc>
      </w:tr>
      <w:tr w:rsidR="00051D92" w:rsidRPr="00CE5A7F" w14:paraId="73AABA06" w14:textId="77777777" w:rsidTr="003C4887">
        <w:tc>
          <w:tcPr>
            <w:tcW w:w="1432" w:type="dxa"/>
            <w:shd w:val="clear" w:color="auto" w:fill="F2F2F2"/>
          </w:tcPr>
          <w:p w14:paraId="535FE116"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ЗЈППК</w:t>
            </w:r>
          </w:p>
        </w:tc>
        <w:tc>
          <w:tcPr>
            <w:tcW w:w="7584" w:type="dxa"/>
            <w:shd w:val="clear" w:color="auto" w:fill="F2F2F2"/>
          </w:tcPr>
          <w:p w14:paraId="204AE11C"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Закон о јавно-приватном партнерству и концесијама</w:t>
            </w:r>
          </w:p>
        </w:tc>
      </w:tr>
      <w:tr w:rsidR="00051D92" w:rsidRPr="00CE5A7F" w14:paraId="436D97EC" w14:textId="77777777" w:rsidTr="003C4887">
        <w:tc>
          <w:tcPr>
            <w:tcW w:w="1432" w:type="dxa"/>
            <w:shd w:val="clear" w:color="auto" w:fill="F2F2F2"/>
          </w:tcPr>
          <w:p w14:paraId="77AF63A0"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Портал</w:t>
            </w:r>
          </w:p>
        </w:tc>
        <w:tc>
          <w:tcPr>
            <w:tcW w:w="7584" w:type="dxa"/>
            <w:shd w:val="clear" w:color="auto" w:fill="F2F2F2"/>
          </w:tcPr>
          <w:p w14:paraId="1E8DDD40"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Портал јавних набавки</w:t>
            </w:r>
          </w:p>
        </w:tc>
      </w:tr>
      <w:tr w:rsidR="00051D92" w:rsidRPr="00CE5A7F" w14:paraId="75B9F996" w14:textId="77777777" w:rsidTr="003C4887">
        <w:tc>
          <w:tcPr>
            <w:tcW w:w="1432" w:type="dxa"/>
            <w:shd w:val="clear" w:color="auto" w:fill="F2F2F2"/>
          </w:tcPr>
          <w:p w14:paraId="5E6A1100"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ЈПП</w:t>
            </w:r>
          </w:p>
        </w:tc>
        <w:tc>
          <w:tcPr>
            <w:tcW w:w="7584" w:type="dxa"/>
            <w:shd w:val="clear" w:color="auto" w:fill="F2F2F2"/>
          </w:tcPr>
          <w:p w14:paraId="261B05CB"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Јавно-приватно партнерство</w:t>
            </w:r>
          </w:p>
        </w:tc>
      </w:tr>
      <w:tr w:rsidR="00051D92" w:rsidRPr="00CE5A7F" w14:paraId="2DBC7E02" w14:textId="77777777" w:rsidTr="003C4887">
        <w:tc>
          <w:tcPr>
            <w:tcW w:w="1432" w:type="dxa"/>
            <w:shd w:val="clear" w:color="auto" w:fill="F2F2F2"/>
          </w:tcPr>
          <w:p w14:paraId="7AA8DC36"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ЕНП</w:t>
            </w:r>
          </w:p>
        </w:tc>
        <w:tc>
          <w:tcPr>
            <w:tcW w:w="7584" w:type="dxa"/>
            <w:shd w:val="clear" w:color="auto" w:fill="F2F2F2"/>
          </w:tcPr>
          <w:p w14:paraId="3B14F309"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Економски најповољнија понуда</w:t>
            </w:r>
          </w:p>
        </w:tc>
      </w:tr>
      <w:tr w:rsidR="00051D92" w:rsidRPr="00CE5A7F" w14:paraId="1AD5C8B2" w14:textId="77777777" w:rsidTr="003C4887">
        <w:tc>
          <w:tcPr>
            <w:tcW w:w="1432" w:type="dxa"/>
            <w:shd w:val="clear" w:color="auto" w:fill="F2F2F2"/>
          </w:tcPr>
          <w:p w14:paraId="333ACF1F"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НПАА</w:t>
            </w:r>
          </w:p>
        </w:tc>
        <w:tc>
          <w:tcPr>
            <w:tcW w:w="7584" w:type="dxa"/>
            <w:shd w:val="clear" w:color="auto" w:fill="F2F2F2"/>
          </w:tcPr>
          <w:p w14:paraId="72289B2C"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 xml:space="preserve">Национални програм за усвајање правних тековина ЕУ </w:t>
            </w:r>
          </w:p>
        </w:tc>
      </w:tr>
      <w:tr w:rsidR="001A638D" w:rsidRPr="00CE5A7F" w14:paraId="0435F98E" w14:textId="77777777" w:rsidTr="003C4887">
        <w:tc>
          <w:tcPr>
            <w:tcW w:w="1432" w:type="dxa"/>
            <w:shd w:val="clear" w:color="auto" w:fill="F2F2F2"/>
          </w:tcPr>
          <w:p w14:paraId="6E05C87C" w14:textId="77777777" w:rsidR="001A638D" w:rsidRPr="00CE5A7F" w:rsidRDefault="001A638D" w:rsidP="003C4887">
            <w:pPr>
              <w:spacing w:after="0"/>
              <w:ind w:firstLine="183"/>
              <w:rPr>
                <w:rFonts w:ascii="Times New Roman" w:hAnsi="Times New Roman"/>
                <w:sz w:val="24"/>
                <w:szCs w:val="24"/>
                <w:lang w:val="sr-Cyrl-CS"/>
              </w:rPr>
            </w:pPr>
            <w:r>
              <w:rPr>
                <w:rFonts w:ascii="Times New Roman" w:hAnsi="Times New Roman"/>
                <w:sz w:val="24"/>
                <w:szCs w:val="24"/>
                <w:lang w:val="sr-Cyrl-CS"/>
              </w:rPr>
              <w:t>ЕК</w:t>
            </w:r>
          </w:p>
        </w:tc>
        <w:tc>
          <w:tcPr>
            <w:tcW w:w="7584" w:type="dxa"/>
            <w:shd w:val="clear" w:color="auto" w:fill="F2F2F2"/>
          </w:tcPr>
          <w:p w14:paraId="6EE938D3" w14:textId="77777777" w:rsidR="001A638D" w:rsidRPr="00CE5A7F" w:rsidRDefault="001A638D" w:rsidP="003C4887">
            <w:pPr>
              <w:spacing w:after="0"/>
              <w:ind w:firstLine="30"/>
              <w:rPr>
                <w:rFonts w:ascii="Times New Roman" w:hAnsi="Times New Roman"/>
                <w:sz w:val="24"/>
                <w:szCs w:val="24"/>
                <w:lang w:val="sr-Cyrl-CS"/>
              </w:rPr>
            </w:pPr>
            <w:r>
              <w:rPr>
                <w:rFonts w:ascii="Times New Roman" w:hAnsi="Times New Roman"/>
                <w:sz w:val="24"/>
                <w:szCs w:val="24"/>
                <w:lang w:val="sr-Cyrl-CS"/>
              </w:rPr>
              <w:t>Европка комисија</w:t>
            </w:r>
          </w:p>
        </w:tc>
      </w:tr>
      <w:tr w:rsidR="00051D92" w:rsidRPr="00CE5A7F" w14:paraId="0734BD04" w14:textId="77777777" w:rsidTr="003C4887">
        <w:tc>
          <w:tcPr>
            <w:tcW w:w="1432" w:type="dxa"/>
            <w:shd w:val="clear" w:color="auto" w:fill="F2F2F2"/>
          </w:tcPr>
          <w:p w14:paraId="168102BF"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МСП</w:t>
            </w:r>
          </w:p>
        </w:tc>
        <w:tc>
          <w:tcPr>
            <w:tcW w:w="7584" w:type="dxa"/>
            <w:shd w:val="clear" w:color="auto" w:fill="F2F2F2"/>
          </w:tcPr>
          <w:p w14:paraId="6E53280F"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Мала и средња предузећа</w:t>
            </w:r>
          </w:p>
        </w:tc>
      </w:tr>
      <w:tr w:rsidR="00051D92" w:rsidRPr="00CE5A7F" w14:paraId="32C686F6" w14:textId="77777777" w:rsidTr="003C4887">
        <w:tc>
          <w:tcPr>
            <w:tcW w:w="1432" w:type="dxa"/>
            <w:shd w:val="clear" w:color="auto" w:fill="F2F2F2"/>
          </w:tcPr>
          <w:p w14:paraId="0D43F5C8"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УНДП</w:t>
            </w:r>
          </w:p>
        </w:tc>
        <w:tc>
          <w:tcPr>
            <w:tcW w:w="7584" w:type="dxa"/>
            <w:shd w:val="clear" w:color="auto" w:fill="F2F2F2"/>
          </w:tcPr>
          <w:p w14:paraId="0338BD65"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 xml:space="preserve">Програм развоја Уједињених нација </w:t>
            </w:r>
          </w:p>
        </w:tc>
      </w:tr>
      <w:tr w:rsidR="00051D92" w:rsidRPr="00CE5A7F" w14:paraId="164B5CD4" w14:textId="77777777" w:rsidTr="003C4887">
        <w:tc>
          <w:tcPr>
            <w:tcW w:w="1432" w:type="dxa"/>
            <w:shd w:val="clear" w:color="auto" w:fill="F2F2F2"/>
          </w:tcPr>
          <w:p w14:paraId="053458D9"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НАЛЕД</w:t>
            </w:r>
          </w:p>
        </w:tc>
        <w:tc>
          <w:tcPr>
            <w:tcW w:w="7584" w:type="dxa"/>
            <w:shd w:val="clear" w:color="auto" w:fill="F2F2F2"/>
          </w:tcPr>
          <w:p w14:paraId="44414044"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Национална алијанса за локални економски развој</w:t>
            </w:r>
          </w:p>
        </w:tc>
      </w:tr>
      <w:tr w:rsidR="00051D92" w:rsidRPr="00CE5A7F" w14:paraId="312FB9CB" w14:textId="77777777" w:rsidTr="003C4887">
        <w:tc>
          <w:tcPr>
            <w:tcW w:w="1432" w:type="dxa"/>
            <w:shd w:val="clear" w:color="auto" w:fill="F2F2F2"/>
          </w:tcPr>
          <w:p w14:paraId="6434E89C" w14:textId="77777777" w:rsidR="00051D92" w:rsidRPr="00CE5A7F" w:rsidRDefault="00051D92" w:rsidP="003C4887">
            <w:pPr>
              <w:spacing w:after="0"/>
              <w:ind w:firstLine="183"/>
              <w:rPr>
                <w:rFonts w:ascii="Times New Roman" w:hAnsi="Times New Roman"/>
                <w:sz w:val="24"/>
                <w:szCs w:val="24"/>
                <w:lang w:val="sr-Cyrl-CS"/>
              </w:rPr>
            </w:pPr>
            <w:r w:rsidRPr="00CE5A7F">
              <w:rPr>
                <w:rFonts w:ascii="Times New Roman" w:hAnsi="Times New Roman"/>
                <w:sz w:val="24"/>
                <w:szCs w:val="24"/>
                <w:lang w:val="sr-Cyrl-CS"/>
              </w:rPr>
              <w:t>УСАИД</w:t>
            </w:r>
          </w:p>
        </w:tc>
        <w:tc>
          <w:tcPr>
            <w:tcW w:w="7584" w:type="dxa"/>
            <w:shd w:val="clear" w:color="auto" w:fill="F2F2F2"/>
          </w:tcPr>
          <w:p w14:paraId="5CCCA055" w14:textId="77777777" w:rsidR="00051D92" w:rsidRPr="00CE5A7F" w:rsidRDefault="00051D92" w:rsidP="003C4887">
            <w:pPr>
              <w:spacing w:after="0"/>
              <w:ind w:firstLine="40"/>
              <w:rPr>
                <w:rFonts w:ascii="Times New Roman" w:hAnsi="Times New Roman"/>
                <w:sz w:val="24"/>
                <w:szCs w:val="24"/>
                <w:lang w:val="sr-Cyrl-CS"/>
              </w:rPr>
            </w:pPr>
            <w:r w:rsidRPr="00CE5A7F">
              <w:rPr>
                <w:rFonts w:ascii="Times New Roman" w:hAnsi="Times New Roman"/>
                <w:sz w:val="24"/>
                <w:szCs w:val="24"/>
                <w:lang w:val="sr-Cyrl-CS"/>
              </w:rPr>
              <w:t>Агенција Сједињених Америчких Држава за међународни развој</w:t>
            </w:r>
          </w:p>
        </w:tc>
      </w:tr>
    </w:tbl>
    <w:p w14:paraId="1885CABF" w14:textId="77777777" w:rsidR="00766164" w:rsidRPr="00CB1C58" w:rsidRDefault="00766164" w:rsidP="002A41D5">
      <w:pPr>
        <w:spacing w:after="0"/>
        <w:jc w:val="both"/>
        <w:rPr>
          <w:rFonts w:ascii="Times New Roman" w:hAnsi="Times New Roman" w:cs="Times New Roman"/>
          <w:sz w:val="20"/>
          <w:szCs w:val="20"/>
          <w:lang w:val="sr-Cyrl-RS"/>
        </w:rPr>
      </w:pPr>
    </w:p>
    <w:sectPr w:rsidR="00766164" w:rsidRPr="00CB1C58" w:rsidSect="00055FC5">
      <w:pgSz w:w="15840" w:h="12240" w:orient="landscape"/>
      <w:pgMar w:top="990" w:right="1138" w:bottom="1411"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0C4C" w14:textId="77777777" w:rsidR="00DB6AA9" w:rsidRDefault="00DB6AA9" w:rsidP="00C34DF1">
      <w:pPr>
        <w:spacing w:after="0" w:line="240" w:lineRule="auto"/>
      </w:pPr>
      <w:r>
        <w:separator/>
      </w:r>
    </w:p>
  </w:endnote>
  <w:endnote w:type="continuationSeparator" w:id="0">
    <w:p w14:paraId="36A9306B" w14:textId="77777777" w:rsidR="00DB6AA9" w:rsidRDefault="00DB6AA9" w:rsidP="00C3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090286"/>
      <w:docPartObj>
        <w:docPartGallery w:val="Page Numbers (Bottom of Page)"/>
        <w:docPartUnique/>
      </w:docPartObj>
    </w:sdtPr>
    <w:sdtEndPr>
      <w:rPr>
        <w:rFonts w:ascii="Times New Roman" w:hAnsi="Times New Roman" w:cs="Times New Roman"/>
        <w:noProof/>
      </w:rPr>
    </w:sdtEndPr>
    <w:sdtContent>
      <w:p w14:paraId="3E7FDD10" w14:textId="77777777" w:rsidR="00497DCA" w:rsidRPr="00FA193A" w:rsidRDefault="00497DCA">
        <w:pPr>
          <w:pStyle w:val="Footer"/>
          <w:jc w:val="right"/>
          <w:rPr>
            <w:rFonts w:ascii="Times New Roman" w:hAnsi="Times New Roman" w:cs="Times New Roman"/>
          </w:rPr>
        </w:pPr>
        <w:r w:rsidRPr="00FA193A">
          <w:rPr>
            <w:rFonts w:ascii="Times New Roman" w:hAnsi="Times New Roman" w:cs="Times New Roman"/>
          </w:rPr>
          <w:fldChar w:fldCharType="begin"/>
        </w:r>
        <w:r w:rsidRPr="00FA193A">
          <w:rPr>
            <w:rFonts w:ascii="Times New Roman" w:hAnsi="Times New Roman" w:cs="Times New Roman"/>
          </w:rPr>
          <w:instrText xml:space="preserve"> PAGE   \* MERGEFORMAT </w:instrText>
        </w:r>
        <w:r w:rsidRPr="00FA193A">
          <w:rPr>
            <w:rFonts w:ascii="Times New Roman" w:hAnsi="Times New Roman" w:cs="Times New Roman"/>
          </w:rPr>
          <w:fldChar w:fldCharType="separate"/>
        </w:r>
        <w:r>
          <w:rPr>
            <w:rFonts w:ascii="Times New Roman" w:hAnsi="Times New Roman" w:cs="Times New Roman"/>
            <w:noProof/>
          </w:rPr>
          <w:t>4</w:t>
        </w:r>
        <w:r w:rsidRPr="00FA193A">
          <w:rPr>
            <w:rFonts w:ascii="Times New Roman" w:hAnsi="Times New Roman" w:cs="Times New Roman"/>
            <w:noProof/>
          </w:rPr>
          <w:fldChar w:fldCharType="end"/>
        </w:r>
      </w:p>
    </w:sdtContent>
  </w:sdt>
  <w:p w14:paraId="4A508594" w14:textId="77777777" w:rsidR="00497DCA" w:rsidRDefault="0049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EB2FF" w14:textId="77777777" w:rsidR="00DB6AA9" w:rsidRDefault="00DB6AA9" w:rsidP="00C34DF1">
      <w:pPr>
        <w:spacing w:after="0" w:line="240" w:lineRule="auto"/>
      </w:pPr>
      <w:r>
        <w:separator/>
      </w:r>
    </w:p>
  </w:footnote>
  <w:footnote w:type="continuationSeparator" w:id="0">
    <w:p w14:paraId="6645C2C0" w14:textId="77777777" w:rsidR="00DB6AA9" w:rsidRDefault="00DB6AA9" w:rsidP="00C34DF1">
      <w:pPr>
        <w:spacing w:after="0" w:line="240" w:lineRule="auto"/>
      </w:pPr>
      <w:r>
        <w:continuationSeparator/>
      </w:r>
    </w:p>
  </w:footnote>
  <w:footnote w:id="1">
    <w:p w14:paraId="3A699F49" w14:textId="77777777" w:rsidR="00497DCA" w:rsidRPr="00A20325" w:rsidRDefault="00497DCA"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1" w:history="1">
        <w:r w:rsidRPr="00A20325">
          <w:rPr>
            <w:rStyle w:val="Hyperlink"/>
            <w:rFonts w:ascii="Times New Roman" w:hAnsi="Times New Roman" w:cs="Times New Roman"/>
            <w:sz w:val="18"/>
            <w:szCs w:val="18"/>
          </w:rPr>
          <w:t>https://www.mei.gov.rs/upload/documents/eu_dokumenta/2024/izvestaj_24.pdf</w:t>
        </w:r>
      </w:hyperlink>
      <w:r w:rsidRPr="00A20325">
        <w:rPr>
          <w:rFonts w:ascii="Times New Roman" w:hAnsi="Times New Roman" w:cs="Times New Roman"/>
          <w:sz w:val="18"/>
          <w:szCs w:val="18"/>
          <w:lang w:val="sr-Cyrl-RS"/>
        </w:rPr>
        <w:t xml:space="preserve"> </w:t>
      </w:r>
    </w:p>
  </w:footnote>
  <w:footnote w:id="2">
    <w:p w14:paraId="011090E2" w14:textId="77777777" w:rsidR="00497DCA" w:rsidRDefault="00497DCA" w:rsidP="00353A2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lang w:val="sr-Cyrl-RS"/>
        </w:rPr>
        <w:t xml:space="preserve"> </w:t>
      </w:r>
      <w:r>
        <w:rPr>
          <w:rFonts w:ascii="Times New Roman" w:hAnsi="Times New Roman" w:cs="Times New Roman"/>
          <w:sz w:val="18"/>
          <w:szCs w:val="18"/>
        </w:rPr>
        <w:t>Податак из Регистра службеника за јавне набавке кој</w:t>
      </w:r>
      <w:r>
        <w:rPr>
          <w:rFonts w:ascii="Times New Roman" w:hAnsi="Times New Roman" w:cs="Times New Roman"/>
          <w:sz w:val="18"/>
          <w:szCs w:val="18"/>
          <w:lang w:val="sr-Cyrl-RS"/>
        </w:rPr>
        <w:t>и</w:t>
      </w:r>
      <w:r>
        <w:rPr>
          <w:rFonts w:ascii="Times New Roman" w:hAnsi="Times New Roman" w:cs="Times New Roman"/>
          <w:sz w:val="18"/>
          <w:szCs w:val="18"/>
        </w:rPr>
        <w:t xml:space="preserve"> води КЈН закључно са 31. децембром 202</w:t>
      </w:r>
      <w:r>
        <w:rPr>
          <w:rFonts w:ascii="Times New Roman" w:hAnsi="Times New Roman" w:cs="Times New Roman"/>
          <w:sz w:val="18"/>
          <w:szCs w:val="18"/>
          <w:lang w:val="sr-Cyrl-RS"/>
        </w:rPr>
        <w:t>4</w:t>
      </w:r>
      <w:r>
        <w:rPr>
          <w:rFonts w:ascii="Times New Roman" w:hAnsi="Times New Roman" w:cs="Times New Roman"/>
          <w:sz w:val="18"/>
          <w:szCs w:val="18"/>
        </w:rPr>
        <w:t>. године.</w:t>
      </w:r>
    </w:p>
  </w:footnote>
  <w:footnote w:id="3">
    <w:p w14:paraId="7392EE03" w14:textId="77777777" w:rsidR="00497DCA" w:rsidRPr="00A20325" w:rsidRDefault="00497DCA" w:rsidP="00353A29">
      <w:pPr>
        <w:pStyle w:val="FootnoteText"/>
        <w:rPr>
          <w:rFonts w:ascii="Times New Roman" w:hAnsi="Times New Roman" w:cs="Times New Roman"/>
          <w:sz w:val="18"/>
          <w:szCs w:val="18"/>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2" w:history="1">
        <w:r w:rsidRPr="00A20325">
          <w:rPr>
            <w:rStyle w:val="Hyperlink"/>
            <w:rFonts w:ascii="Times New Roman" w:hAnsi="Times New Roman" w:cs="Times New Roman"/>
            <w:sz w:val="18"/>
            <w:szCs w:val="18"/>
          </w:rPr>
          <w:t>https://www.ujn.gov.rs/?page_id=1190</w:t>
        </w:r>
      </w:hyperlink>
      <w:r w:rsidRPr="00A20325">
        <w:rPr>
          <w:rFonts w:ascii="Times New Roman" w:hAnsi="Times New Roman" w:cs="Times New Roman"/>
          <w:sz w:val="18"/>
          <w:szCs w:val="18"/>
        </w:rPr>
        <w:t xml:space="preserve"> </w:t>
      </w:r>
    </w:p>
  </w:footnote>
  <w:footnote w:id="4">
    <w:p w14:paraId="66C1E6F8" w14:textId="77777777" w:rsidR="00497DCA" w:rsidRDefault="00497DCA" w:rsidP="00353A29">
      <w:pPr>
        <w:pStyle w:val="FootnoteText"/>
        <w:rPr>
          <w:rFonts w:ascii="Times New Roman" w:hAnsi="Times New Roman" w:cs="Times New Roman"/>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3" w:history="1">
        <w:r w:rsidRPr="00A20325">
          <w:rPr>
            <w:rStyle w:val="Hyperlink"/>
            <w:rFonts w:ascii="Times New Roman" w:hAnsi="Times New Roman" w:cs="Times New Roman"/>
            <w:sz w:val="18"/>
            <w:szCs w:val="18"/>
          </w:rPr>
          <w:t>https://www.ujn.gov.rs/?page_id=1190</w:t>
        </w:r>
      </w:hyperlink>
      <w:r>
        <w:rPr>
          <w:rFonts w:ascii="Times New Roman" w:hAnsi="Times New Roman" w:cs="Times New Roman"/>
        </w:rPr>
        <w:t xml:space="preserve"> </w:t>
      </w:r>
    </w:p>
  </w:footnote>
  <w:footnote w:id="5">
    <w:p w14:paraId="37C6A378" w14:textId="77777777" w:rsidR="00497DCA" w:rsidRPr="00A20325" w:rsidRDefault="00497DCA" w:rsidP="00353A29">
      <w:pPr>
        <w:pStyle w:val="FootnoteText"/>
        <w:rPr>
          <w:rFonts w:ascii="Times New Roman" w:hAnsi="Times New Roman" w:cs="Times New Roman"/>
          <w:sz w:val="18"/>
          <w:szCs w:val="18"/>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lang w:val="sr-Cyrl-RS"/>
        </w:rPr>
        <w:t xml:space="preserve"> </w:t>
      </w:r>
      <w:hyperlink r:id="rId4" w:history="1">
        <w:r w:rsidRPr="00A20325">
          <w:rPr>
            <w:rStyle w:val="Hyperlink"/>
            <w:rFonts w:ascii="Times New Roman" w:hAnsi="Times New Roman" w:cs="Times New Roman"/>
            <w:sz w:val="18"/>
            <w:szCs w:val="18"/>
            <w:lang w:val="sr-Cyrl-RS"/>
          </w:rPr>
          <w:t>https://jnportal.ujn.gov.rs/konzola</w:t>
        </w:r>
      </w:hyperlink>
      <w:r w:rsidRPr="00A20325">
        <w:rPr>
          <w:rFonts w:ascii="Times New Roman" w:hAnsi="Times New Roman" w:cs="Times New Roman"/>
          <w:sz w:val="18"/>
          <w:szCs w:val="18"/>
          <w:lang w:val="sr-Cyrl-RS"/>
        </w:rPr>
        <w:t xml:space="preserve"> </w:t>
      </w:r>
    </w:p>
  </w:footnote>
  <w:footnote w:id="6">
    <w:p w14:paraId="686B6C19" w14:textId="63159068" w:rsidR="00497DCA" w:rsidRPr="007548CE" w:rsidRDefault="00497DCA">
      <w:pPr>
        <w:pStyle w:val="FootnoteText"/>
        <w:rPr>
          <w:lang w:val="sr-Cyrl-RS"/>
        </w:rPr>
      </w:pPr>
      <w:r>
        <w:rPr>
          <w:rStyle w:val="FootnoteReference"/>
        </w:rPr>
        <w:footnoteRef/>
      </w:r>
      <w:r>
        <w:t xml:space="preserve"> </w:t>
      </w:r>
      <w:hyperlink r:id="rId5" w:history="1">
        <w:r w:rsidRPr="00A20325">
          <w:rPr>
            <w:rStyle w:val="Hyperlink"/>
            <w:rFonts w:ascii="Times New Roman" w:hAnsi="Times New Roman" w:cs="Times New Roman"/>
            <w:sz w:val="18"/>
            <w:szCs w:val="18"/>
            <w:lang w:val="sr-Cyrl-RS"/>
          </w:rPr>
          <w:t>https://jnportal.ujn.gov.rs/konzola</w:t>
        </w:r>
      </w:hyperlink>
      <w:r>
        <w:rPr>
          <w:rStyle w:val="Hyperlink"/>
          <w:rFonts w:ascii="Times New Roman" w:hAnsi="Times New Roman" w:cs="Times New Roman"/>
          <w:sz w:val="18"/>
          <w:szCs w:val="18"/>
          <w:lang w:val="sr-Cyrl-RS"/>
        </w:rPr>
        <w:t xml:space="preserve"> </w:t>
      </w:r>
    </w:p>
  </w:footnote>
  <w:footnote w:id="7">
    <w:p w14:paraId="5A79F13C" w14:textId="77777777" w:rsidR="00497DCA" w:rsidRPr="00A20325" w:rsidRDefault="00497DCA"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6" w:history="1">
        <w:r w:rsidRPr="00A20325">
          <w:rPr>
            <w:rStyle w:val="Hyperlink"/>
            <w:rFonts w:ascii="Times New Roman" w:hAnsi="Times New Roman" w:cs="Times New Roman"/>
            <w:sz w:val="18"/>
            <w:szCs w:val="18"/>
          </w:rPr>
          <w:t>https://jnportal.ujn.gov.rs/konzola</w:t>
        </w:r>
      </w:hyperlink>
      <w:r w:rsidRPr="00A20325">
        <w:rPr>
          <w:rFonts w:ascii="Times New Roman" w:hAnsi="Times New Roman" w:cs="Times New Roman"/>
          <w:sz w:val="18"/>
          <w:szCs w:val="18"/>
          <w:lang w:val="sr-Cyrl-RS"/>
        </w:rPr>
        <w:t xml:space="preserve"> </w:t>
      </w:r>
    </w:p>
  </w:footnote>
  <w:footnote w:id="8">
    <w:p w14:paraId="13285EF2" w14:textId="77777777" w:rsidR="00497DCA" w:rsidRPr="00A20325" w:rsidRDefault="00497DCA" w:rsidP="00353A29">
      <w:pPr>
        <w:pStyle w:val="FootnoteText"/>
        <w:jc w:val="both"/>
        <w:rPr>
          <w:rFonts w:ascii="Times New Roman" w:hAnsi="Times New Roman" w:cs="Times New Roman"/>
          <w:sz w:val="18"/>
          <w:szCs w:val="18"/>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7" w:history="1">
        <w:r w:rsidRPr="00A20325">
          <w:rPr>
            <w:rStyle w:val="Hyperlink"/>
            <w:rFonts w:ascii="Times New Roman" w:hAnsi="Times New Roman" w:cs="Times New Roman"/>
            <w:sz w:val="18"/>
            <w:szCs w:val="18"/>
          </w:rPr>
          <w:t>https://jnportal.ujn.gov.rs/konzola</w:t>
        </w:r>
      </w:hyperlink>
      <w:r w:rsidRPr="00A20325">
        <w:rPr>
          <w:rFonts w:ascii="Times New Roman" w:hAnsi="Times New Roman" w:cs="Times New Roman"/>
          <w:sz w:val="18"/>
          <w:szCs w:val="18"/>
          <w:lang w:val="sr-Cyrl-RS"/>
        </w:rPr>
        <w:t xml:space="preserve"> </w:t>
      </w:r>
    </w:p>
  </w:footnote>
  <w:footnote w:id="9">
    <w:p w14:paraId="0ECF1CB8" w14:textId="77777777" w:rsidR="00497DCA" w:rsidRDefault="00497DCA"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8" w:history="1">
        <w:r w:rsidRPr="00A20325">
          <w:rPr>
            <w:rStyle w:val="Hyperlink"/>
            <w:rFonts w:ascii="Times New Roman" w:hAnsi="Times New Roman" w:cs="Times New Roman"/>
            <w:sz w:val="18"/>
            <w:szCs w:val="18"/>
          </w:rPr>
          <w:t>https://www.ujn.gov.rs/?page_id=1190</w:t>
        </w:r>
      </w:hyperlink>
      <w:r>
        <w:rPr>
          <w:rFonts w:ascii="Times New Roman" w:hAnsi="Times New Roman" w:cs="Times New Roman"/>
          <w:sz w:val="18"/>
          <w:szCs w:val="18"/>
          <w:lang w:val="sr-Cyrl-RS"/>
        </w:rPr>
        <w:t xml:space="preserve"> </w:t>
      </w:r>
    </w:p>
  </w:footnote>
  <w:footnote w:id="10">
    <w:p w14:paraId="3A8D782A" w14:textId="77777777" w:rsidR="00497DCA" w:rsidRPr="00A20325" w:rsidRDefault="00497DCA"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9" w:history="1">
        <w:r w:rsidRPr="00A20325">
          <w:rPr>
            <w:rStyle w:val="Hyperlink"/>
            <w:rFonts w:ascii="Times New Roman" w:hAnsi="Times New Roman" w:cs="Times New Roman"/>
            <w:sz w:val="18"/>
            <w:szCs w:val="18"/>
          </w:rPr>
          <w:t>https://www.ujn.gov.rs/?page_id=1195</w:t>
        </w:r>
      </w:hyperlink>
      <w:r w:rsidRPr="00A20325">
        <w:rPr>
          <w:rFonts w:ascii="Times New Roman" w:hAnsi="Times New Roman" w:cs="Times New Roman"/>
          <w:sz w:val="18"/>
          <w:szCs w:val="18"/>
          <w:lang w:val="sr-Cyrl-RS"/>
        </w:rPr>
        <w:t xml:space="preserve"> </w:t>
      </w:r>
    </w:p>
  </w:footnote>
  <w:footnote w:id="11">
    <w:p w14:paraId="6047BB5F" w14:textId="77777777" w:rsidR="00497DCA" w:rsidRPr="00A20325" w:rsidRDefault="00497DCA"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r w:rsidRPr="00A20325">
        <w:rPr>
          <w:rFonts w:ascii="Times New Roman" w:hAnsi="Times New Roman" w:cs="Times New Roman"/>
          <w:sz w:val="18"/>
          <w:szCs w:val="18"/>
          <w:lang w:val="sr-Cyrl-RS"/>
        </w:rPr>
        <w:t>Податак са интернет странице КЈН закључно са 31. децембром 2024. године.</w:t>
      </w:r>
    </w:p>
  </w:footnote>
  <w:footnote w:id="12">
    <w:p w14:paraId="3AEC1CBB" w14:textId="77777777" w:rsidR="00497DCA" w:rsidRDefault="00497DCA" w:rsidP="00353A29">
      <w:pPr>
        <w:pStyle w:val="FootnoteText"/>
        <w:rPr>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10" w:history="1">
        <w:r w:rsidRPr="00A20325">
          <w:rPr>
            <w:rStyle w:val="Hyperlink"/>
            <w:rFonts w:ascii="Times New Roman" w:hAnsi="Times New Roman" w:cs="Times New Roman"/>
            <w:sz w:val="18"/>
            <w:szCs w:val="18"/>
          </w:rPr>
          <w:t>https://www.ujn.gov.rs/?page_id=1195</w:t>
        </w:r>
      </w:hyperlink>
      <w:r>
        <w:rPr>
          <w:lang w:val="sr-Cyrl-RS"/>
        </w:rPr>
        <w:t xml:space="preserve"> </w:t>
      </w:r>
    </w:p>
  </w:footnote>
  <w:footnote w:id="13">
    <w:p w14:paraId="0F16F705" w14:textId="77777777" w:rsidR="00497DCA" w:rsidRPr="00A20325" w:rsidRDefault="00497DCA"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r w:rsidRPr="00A20325">
        <w:rPr>
          <w:rFonts w:ascii="Times New Roman" w:hAnsi="Times New Roman" w:cs="Times New Roman"/>
          <w:sz w:val="18"/>
          <w:szCs w:val="18"/>
          <w:lang w:val="sr-Cyrl-RS"/>
        </w:rPr>
        <w:t>Податак са интернет странице КЈН закључно са 31. децембром 2024. године.</w:t>
      </w:r>
    </w:p>
  </w:footnote>
  <w:footnote w:id="14">
    <w:p w14:paraId="4233963E" w14:textId="002164E2" w:rsidR="00497DCA" w:rsidRPr="00370A87" w:rsidRDefault="00497DCA">
      <w:pPr>
        <w:pStyle w:val="FootnoteText"/>
        <w:rPr>
          <w:rFonts w:ascii="Times New Roman" w:hAnsi="Times New Roman" w:cs="Times New Roman"/>
          <w:sz w:val="18"/>
          <w:szCs w:val="18"/>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hyperlink r:id="rId11" w:history="1">
        <w:r w:rsidRPr="00370A87">
          <w:rPr>
            <w:rStyle w:val="Hyperlink"/>
            <w:rFonts w:ascii="Times New Roman" w:hAnsi="Times New Roman" w:cs="Times New Roman"/>
            <w:sz w:val="18"/>
            <w:szCs w:val="18"/>
          </w:rPr>
          <w:t>https://www.ujn.gov.rs/?page_id=1195</w:t>
        </w:r>
      </w:hyperlink>
      <w:r w:rsidRPr="00370A87">
        <w:rPr>
          <w:rFonts w:ascii="Times New Roman" w:hAnsi="Times New Roman" w:cs="Times New Roman"/>
          <w:sz w:val="18"/>
          <w:szCs w:val="18"/>
          <w:lang w:val="sr-Cyrl-RS"/>
        </w:rPr>
        <w:t xml:space="preserve"> </w:t>
      </w:r>
    </w:p>
  </w:footnote>
  <w:footnote w:id="15">
    <w:p w14:paraId="7F0F406C" w14:textId="77777777" w:rsidR="00497DCA" w:rsidRPr="00370A87" w:rsidRDefault="00497DCA" w:rsidP="00353A29">
      <w:pPr>
        <w:pStyle w:val="FootnoteText"/>
        <w:rPr>
          <w:rFonts w:ascii="Times New Roman" w:hAnsi="Times New Roman" w:cs="Times New Roman"/>
          <w:sz w:val="18"/>
          <w:szCs w:val="18"/>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r w:rsidRPr="00370A87">
        <w:rPr>
          <w:rFonts w:ascii="Times New Roman" w:hAnsi="Times New Roman" w:cs="Times New Roman"/>
          <w:sz w:val="18"/>
          <w:szCs w:val="18"/>
          <w:lang w:val="sr-Cyrl-RS"/>
        </w:rPr>
        <w:t>Податак са интернет странице КЈН закључно са 31. децембром 2024. године.</w:t>
      </w:r>
    </w:p>
  </w:footnote>
  <w:footnote w:id="16">
    <w:p w14:paraId="072765A0" w14:textId="77777777" w:rsidR="00497DCA" w:rsidRPr="00370A87" w:rsidRDefault="00497DCA" w:rsidP="00353A29">
      <w:pPr>
        <w:pStyle w:val="FootnoteText"/>
        <w:rPr>
          <w:rFonts w:ascii="Times New Roman" w:hAnsi="Times New Roman" w:cs="Times New Roman"/>
          <w:sz w:val="18"/>
          <w:szCs w:val="18"/>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hyperlink r:id="rId12" w:history="1">
        <w:r w:rsidRPr="00370A87">
          <w:rPr>
            <w:rStyle w:val="Hyperlink"/>
            <w:rFonts w:ascii="Times New Roman" w:hAnsi="Times New Roman" w:cs="Times New Roman"/>
            <w:sz w:val="18"/>
            <w:szCs w:val="18"/>
          </w:rPr>
          <w:t>https://www.ujn.gov.rs/?page_id=1190</w:t>
        </w:r>
      </w:hyperlink>
      <w:r w:rsidRPr="00370A87">
        <w:rPr>
          <w:rFonts w:ascii="Times New Roman" w:hAnsi="Times New Roman" w:cs="Times New Roman"/>
          <w:sz w:val="18"/>
          <w:szCs w:val="18"/>
          <w:lang w:val="sr-Cyrl-RS"/>
        </w:rPr>
        <w:t xml:space="preserve"> </w:t>
      </w:r>
    </w:p>
  </w:footnote>
  <w:footnote w:id="17">
    <w:p w14:paraId="2343D35D" w14:textId="3F864683" w:rsidR="00497DCA" w:rsidRPr="00370A87" w:rsidRDefault="00497DCA">
      <w:pPr>
        <w:pStyle w:val="FootnoteText"/>
        <w:rPr>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hyperlink r:id="rId13" w:history="1">
        <w:r w:rsidRPr="00370A87">
          <w:rPr>
            <w:rStyle w:val="Hyperlink"/>
            <w:rFonts w:ascii="Times New Roman" w:hAnsi="Times New Roman" w:cs="Times New Roman"/>
            <w:sz w:val="18"/>
            <w:szCs w:val="18"/>
          </w:rPr>
          <w:t>https://www.ujn.gov.rs/?page_id=1190</w:t>
        </w:r>
      </w:hyperlink>
      <w:r>
        <w:rPr>
          <w:lang w:val="sr-Cyrl-RS"/>
        </w:rPr>
        <w:t xml:space="preserve"> </w:t>
      </w:r>
    </w:p>
  </w:footnote>
  <w:footnote w:id="18">
    <w:p w14:paraId="418FA336" w14:textId="21AED24E" w:rsidR="00497DCA" w:rsidRPr="00370A87" w:rsidRDefault="00497DCA">
      <w:pPr>
        <w:pStyle w:val="FootnoteText"/>
        <w:rPr>
          <w:rFonts w:ascii="Times New Roman" w:hAnsi="Times New Roman" w:cs="Times New Roman"/>
          <w:sz w:val="18"/>
          <w:szCs w:val="18"/>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hyperlink r:id="rId14" w:history="1">
        <w:r w:rsidRPr="00370A87">
          <w:rPr>
            <w:rStyle w:val="Hyperlink"/>
            <w:rFonts w:ascii="Times New Roman" w:hAnsi="Times New Roman" w:cs="Times New Roman"/>
            <w:sz w:val="18"/>
            <w:szCs w:val="18"/>
          </w:rPr>
          <w:t>https://www.ujn.gov.rs/?page_id=1190</w:t>
        </w:r>
      </w:hyperlink>
      <w:r w:rsidRPr="00370A87">
        <w:rPr>
          <w:rFonts w:ascii="Times New Roman" w:hAnsi="Times New Roman" w:cs="Times New Roman"/>
          <w:sz w:val="18"/>
          <w:szCs w:val="18"/>
          <w:lang w:val="sr-Cyrl-RS"/>
        </w:rPr>
        <w:t xml:space="preserve"> </w:t>
      </w:r>
    </w:p>
  </w:footnote>
  <w:footnote w:id="19">
    <w:p w14:paraId="77988C22" w14:textId="77777777" w:rsidR="00497DCA" w:rsidRPr="00A20325" w:rsidRDefault="00497DCA"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15" w:history="1">
        <w:r w:rsidRPr="00A20325">
          <w:rPr>
            <w:rStyle w:val="Hyperlink"/>
            <w:rFonts w:ascii="Times New Roman" w:hAnsi="Times New Roman" w:cs="Times New Roman"/>
            <w:sz w:val="18"/>
            <w:szCs w:val="18"/>
          </w:rPr>
          <w:t>https://www.ujn.gov.rs/?page_id=1190</w:t>
        </w:r>
      </w:hyperlink>
      <w:r w:rsidRPr="00A20325">
        <w:rPr>
          <w:rFonts w:ascii="Times New Roman" w:hAnsi="Times New Roman" w:cs="Times New Roman"/>
          <w:sz w:val="18"/>
          <w:szCs w:val="18"/>
          <w:lang w:val="sr-Cyrl-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4E5"/>
    <w:multiLevelType w:val="hybridMultilevel"/>
    <w:tmpl w:val="ABC0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636FA"/>
    <w:multiLevelType w:val="hybridMultilevel"/>
    <w:tmpl w:val="A1BA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A2CD0"/>
    <w:multiLevelType w:val="hybridMultilevel"/>
    <w:tmpl w:val="707A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04A7"/>
    <w:multiLevelType w:val="hybridMultilevel"/>
    <w:tmpl w:val="ED52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11F93"/>
    <w:multiLevelType w:val="hybridMultilevel"/>
    <w:tmpl w:val="10E4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E5F51"/>
    <w:multiLevelType w:val="hybridMultilevel"/>
    <w:tmpl w:val="16F6456E"/>
    <w:lvl w:ilvl="0" w:tplc="DE32D8A4">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07B14"/>
    <w:multiLevelType w:val="hybridMultilevel"/>
    <w:tmpl w:val="2468F8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76780"/>
    <w:multiLevelType w:val="hybridMultilevel"/>
    <w:tmpl w:val="1DC0C9E2"/>
    <w:lvl w:ilvl="0" w:tplc="BBAEA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F5154"/>
    <w:multiLevelType w:val="hybridMultilevel"/>
    <w:tmpl w:val="619AB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40E9A"/>
    <w:multiLevelType w:val="hybridMultilevel"/>
    <w:tmpl w:val="58681C48"/>
    <w:lvl w:ilvl="0" w:tplc="A39053BA">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6F718C"/>
    <w:multiLevelType w:val="hybridMultilevel"/>
    <w:tmpl w:val="B7B2DFF0"/>
    <w:lvl w:ilvl="0" w:tplc="A9464EB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B4DD0"/>
    <w:multiLevelType w:val="hybridMultilevel"/>
    <w:tmpl w:val="D316A5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9F1CE5"/>
    <w:multiLevelType w:val="hybridMultilevel"/>
    <w:tmpl w:val="7D74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02F1E"/>
    <w:multiLevelType w:val="hybridMultilevel"/>
    <w:tmpl w:val="250EEC42"/>
    <w:lvl w:ilvl="0" w:tplc="04090001">
      <w:start w:val="1"/>
      <w:numFmt w:val="bullet"/>
      <w:lvlText w:val=""/>
      <w:lvlJc w:val="left"/>
      <w:pPr>
        <w:ind w:left="1080" w:hanging="360"/>
      </w:pPr>
      <w:rPr>
        <w:rFonts w:ascii="Symbol" w:hAnsi="Symbol" w:hint="default"/>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275373"/>
    <w:multiLevelType w:val="multilevel"/>
    <w:tmpl w:val="60587586"/>
    <w:lvl w:ilvl="0">
      <w:start w:val="1"/>
      <w:numFmt w:val="decimal"/>
      <w:lvlText w:val="%1."/>
      <w:lvlJc w:val="left"/>
      <w:pPr>
        <w:ind w:left="720" w:hanging="360"/>
      </w:pPr>
      <w:rPr>
        <w:rFonts w:hint="default"/>
        <w:b/>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3416A9"/>
    <w:multiLevelType w:val="hybridMultilevel"/>
    <w:tmpl w:val="FBA201E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D1248"/>
    <w:multiLevelType w:val="hybridMultilevel"/>
    <w:tmpl w:val="1F8A5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234C6B"/>
    <w:multiLevelType w:val="hybridMultilevel"/>
    <w:tmpl w:val="DB04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903ED"/>
    <w:multiLevelType w:val="hybridMultilevel"/>
    <w:tmpl w:val="79460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BC2825"/>
    <w:multiLevelType w:val="hybridMultilevel"/>
    <w:tmpl w:val="2304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7503E"/>
    <w:multiLevelType w:val="hybridMultilevel"/>
    <w:tmpl w:val="C2F49CB0"/>
    <w:lvl w:ilvl="0" w:tplc="A9464EBA">
      <w:start w:val="1"/>
      <w:numFmt w:val="decimal"/>
      <w:lvlText w:val="%1."/>
      <w:lvlJc w:val="left"/>
      <w:pPr>
        <w:ind w:left="36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D7B6C"/>
    <w:multiLevelType w:val="hybridMultilevel"/>
    <w:tmpl w:val="42926080"/>
    <w:lvl w:ilvl="0" w:tplc="79F2A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AB3A95"/>
    <w:multiLevelType w:val="hybridMultilevel"/>
    <w:tmpl w:val="606EB0A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74B514FF"/>
    <w:multiLevelType w:val="hybridMultilevel"/>
    <w:tmpl w:val="77FEC6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823CCE"/>
    <w:multiLevelType w:val="hybridMultilevel"/>
    <w:tmpl w:val="D85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6"/>
  </w:num>
  <w:num w:numId="4">
    <w:abstractNumId w:val="7"/>
  </w:num>
  <w:num w:numId="5">
    <w:abstractNumId w:val="6"/>
  </w:num>
  <w:num w:numId="6">
    <w:abstractNumId w:val="5"/>
  </w:num>
  <w:num w:numId="7">
    <w:abstractNumId w:val="3"/>
  </w:num>
  <w:num w:numId="8">
    <w:abstractNumId w:val="2"/>
  </w:num>
  <w:num w:numId="9">
    <w:abstractNumId w:val="14"/>
  </w:num>
  <w:num w:numId="10">
    <w:abstractNumId w:val="17"/>
  </w:num>
  <w:num w:numId="11">
    <w:abstractNumId w:val="20"/>
  </w:num>
  <w:num w:numId="12">
    <w:abstractNumId w:val="0"/>
  </w:num>
  <w:num w:numId="13">
    <w:abstractNumId w:val="10"/>
  </w:num>
  <w:num w:numId="14">
    <w:abstractNumId w:val="13"/>
  </w:num>
  <w:num w:numId="15">
    <w:abstractNumId w:val="4"/>
  </w:num>
  <w:num w:numId="16">
    <w:abstractNumId w:val="1"/>
  </w:num>
  <w:num w:numId="17">
    <w:abstractNumId w:val="19"/>
  </w:num>
  <w:num w:numId="18">
    <w:abstractNumId w:val="9"/>
  </w:num>
  <w:num w:numId="19">
    <w:abstractNumId w:val="18"/>
  </w:num>
  <w:num w:numId="20">
    <w:abstractNumId w:val="24"/>
  </w:num>
  <w:num w:numId="21">
    <w:abstractNumId w:val="23"/>
  </w:num>
  <w:num w:numId="22">
    <w:abstractNumId w:val="15"/>
  </w:num>
  <w:num w:numId="23">
    <w:abstractNumId w:val="8"/>
  </w:num>
  <w:num w:numId="24">
    <w:abstractNumId w:val="21"/>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40"/>
    <w:rsid w:val="000104C6"/>
    <w:rsid w:val="00020657"/>
    <w:rsid w:val="00032529"/>
    <w:rsid w:val="00045FF6"/>
    <w:rsid w:val="000467A1"/>
    <w:rsid w:val="00050AB7"/>
    <w:rsid w:val="00051D92"/>
    <w:rsid w:val="00054BC8"/>
    <w:rsid w:val="00055FC5"/>
    <w:rsid w:val="00065D96"/>
    <w:rsid w:val="00070967"/>
    <w:rsid w:val="00075604"/>
    <w:rsid w:val="00082783"/>
    <w:rsid w:val="000840C9"/>
    <w:rsid w:val="00085CB3"/>
    <w:rsid w:val="00085EBF"/>
    <w:rsid w:val="00085F1F"/>
    <w:rsid w:val="00087DBC"/>
    <w:rsid w:val="0009292B"/>
    <w:rsid w:val="00097ACF"/>
    <w:rsid w:val="00097B9F"/>
    <w:rsid w:val="00097D02"/>
    <w:rsid w:val="000A12E9"/>
    <w:rsid w:val="000A5DD8"/>
    <w:rsid w:val="000B24EC"/>
    <w:rsid w:val="000B3929"/>
    <w:rsid w:val="000C2592"/>
    <w:rsid w:val="000C3CDC"/>
    <w:rsid w:val="000C5AD5"/>
    <w:rsid w:val="000D1674"/>
    <w:rsid w:val="000D3DE6"/>
    <w:rsid w:val="000D717F"/>
    <w:rsid w:val="000E6A35"/>
    <w:rsid w:val="000F6FAA"/>
    <w:rsid w:val="00101492"/>
    <w:rsid w:val="00111286"/>
    <w:rsid w:val="001205D1"/>
    <w:rsid w:val="00127758"/>
    <w:rsid w:val="00131B8C"/>
    <w:rsid w:val="001428C3"/>
    <w:rsid w:val="00146A36"/>
    <w:rsid w:val="00151BAA"/>
    <w:rsid w:val="001569B0"/>
    <w:rsid w:val="00165757"/>
    <w:rsid w:val="00166030"/>
    <w:rsid w:val="00173584"/>
    <w:rsid w:val="00175CBE"/>
    <w:rsid w:val="001827CC"/>
    <w:rsid w:val="001836B6"/>
    <w:rsid w:val="0018597A"/>
    <w:rsid w:val="00186838"/>
    <w:rsid w:val="0019792A"/>
    <w:rsid w:val="001A3767"/>
    <w:rsid w:val="001A638D"/>
    <w:rsid w:val="001B0910"/>
    <w:rsid w:val="001B3963"/>
    <w:rsid w:val="001C4430"/>
    <w:rsid w:val="001D202F"/>
    <w:rsid w:val="001D6340"/>
    <w:rsid w:val="001E3734"/>
    <w:rsid w:val="001E3970"/>
    <w:rsid w:val="001E502A"/>
    <w:rsid w:val="001E5308"/>
    <w:rsid w:val="001E6DBC"/>
    <w:rsid w:val="001F058B"/>
    <w:rsid w:val="001F18C9"/>
    <w:rsid w:val="002005C3"/>
    <w:rsid w:val="00210D18"/>
    <w:rsid w:val="00221F9B"/>
    <w:rsid w:val="00223591"/>
    <w:rsid w:val="00232248"/>
    <w:rsid w:val="002337C0"/>
    <w:rsid w:val="0023603B"/>
    <w:rsid w:val="00237A4D"/>
    <w:rsid w:val="00247A97"/>
    <w:rsid w:val="0027036E"/>
    <w:rsid w:val="0027779D"/>
    <w:rsid w:val="00281EDC"/>
    <w:rsid w:val="00286287"/>
    <w:rsid w:val="002A18EB"/>
    <w:rsid w:val="002A2207"/>
    <w:rsid w:val="002A3623"/>
    <w:rsid w:val="002A41D5"/>
    <w:rsid w:val="002A789D"/>
    <w:rsid w:val="002B2490"/>
    <w:rsid w:val="002B3FE0"/>
    <w:rsid w:val="002C207B"/>
    <w:rsid w:val="002C42E1"/>
    <w:rsid w:val="002C59CC"/>
    <w:rsid w:val="002C683D"/>
    <w:rsid w:val="002E0953"/>
    <w:rsid w:val="0030220E"/>
    <w:rsid w:val="0030399B"/>
    <w:rsid w:val="00305456"/>
    <w:rsid w:val="00312788"/>
    <w:rsid w:val="00312E52"/>
    <w:rsid w:val="0032065D"/>
    <w:rsid w:val="00320B45"/>
    <w:rsid w:val="00321BF7"/>
    <w:rsid w:val="0032213F"/>
    <w:rsid w:val="00323DA1"/>
    <w:rsid w:val="0033224D"/>
    <w:rsid w:val="00333A64"/>
    <w:rsid w:val="00336BEF"/>
    <w:rsid w:val="003475C0"/>
    <w:rsid w:val="0035009C"/>
    <w:rsid w:val="00353A29"/>
    <w:rsid w:val="00360C55"/>
    <w:rsid w:val="0036575C"/>
    <w:rsid w:val="00370443"/>
    <w:rsid w:val="00370A87"/>
    <w:rsid w:val="00371C07"/>
    <w:rsid w:val="00373112"/>
    <w:rsid w:val="00375EB7"/>
    <w:rsid w:val="0037740C"/>
    <w:rsid w:val="00386489"/>
    <w:rsid w:val="00392B18"/>
    <w:rsid w:val="00396773"/>
    <w:rsid w:val="003A102B"/>
    <w:rsid w:val="003A1E3E"/>
    <w:rsid w:val="003A3D08"/>
    <w:rsid w:val="003B1459"/>
    <w:rsid w:val="003B41EF"/>
    <w:rsid w:val="003B71D2"/>
    <w:rsid w:val="003C4887"/>
    <w:rsid w:val="003C6377"/>
    <w:rsid w:val="003C709D"/>
    <w:rsid w:val="003D0A4D"/>
    <w:rsid w:val="003E5E21"/>
    <w:rsid w:val="003F0528"/>
    <w:rsid w:val="003F393B"/>
    <w:rsid w:val="00410EE9"/>
    <w:rsid w:val="0041147D"/>
    <w:rsid w:val="00411AE2"/>
    <w:rsid w:val="0041471F"/>
    <w:rsid w:val="00415292"/>
    <w:rsid w:val="0042267C"/>
    <w:rsid w:val="00426D50"/>
    <w:rsid w:val="004302F7"/>
    <w:rsid w:val="00432546"/>
    <w:rsid w:val="00433A5D"/>
    <w:rsid w:val="004426D4"/>
    <w:rsid w:val="004452A0"/>
    <w:rsid w:val="00446E47"/>
    <w:rsid w:val="00450C07"/>
    <w:rsid w:val="00457831"/>
    <w:rsid w:val="004641C4"/>
    <w:rsid w:val="00464411"/>
    <w:rsid w:val="00474986"/>
    <w:rsid w:val="00474AD1"/>
    <w:rsid w:val="0047593B"/>
    <w:rsid w:val="00476535"/>
    <w:rsid w:val="0049301F"/>
    <w:rsid w:val="00497DCA"/>
    <w:rsid w:val="004B120C"/>
    <w:rsid w:val="004B2C3A"/>
    <w:rsid w:val="004B577B"/>
    <w:rsid w:val="004C4625"/>
    <w:rsid w:val="004C49BA"/>
    <w:rsid w:val="004C67F2"/>
    <w:rsid w:val="004C7FDC"/>
    <w:rsid w:val="004D2B61"/>
    <w:rsid w:val="004D2F24"/>
    <w:rsid w:val="004D5658"/>
    <w:rsid w:val="004D79EB"/>
    <w:rsid w:val="004E05B8"/>
    <w:rsid w:val="004E09D0"/>
    <w:rsid w:val="004E1FD6"/>
    <w:rsid w:val="004E7254"/>
    <w:rsid w:val="0050041D"/>
    <w:rsid w:val="00501139"/>
    <w:rsid w:val="0050778C"/>
    <w:rsid w:val="00511027"/>
    <w:rsid w:val="00511BE2"/>
    <w:rsid w:val="005210DA"/>
    <w:rsid w:val="00525FBE"/>
    <w:rsid w:val="00526E3B"/>
    <w:rsid w:val="00532EDD"/>
    <w:rsid w:val="00544FF4"/>
    <w:rsid w:val="005468A3"/>
    <w:rsid w:val="00553689"/>
    <w:rsid w:val="00555B8F"/>
    <w:rsid w:val="00564FB0"/>
    <w:rsid w:val="00565F98"/>
    <w:rsid w:val="00566CDB"/>
    <w:rsid w:val="00571572"/>
    <w:rsid w:val="00573E71"/>
    <w:rsid w:val="0057642E"/>
    <w:rsid w:val="00581D73"/>
    <w:rsid w:val="00585F12"/>
    <w:rsid w:val="0058768E"/>
    <w:rsid w:val="00597DC8"/>
    <w:rsid w:val="005A3C4A"/>
    <w:rsid w:val="005B10B0"/>
    <w:rsid w:val="005C7ED8"/>
    <w:rsid w:val="005D22E4"/>
    <w:rsid w:val="005E50F4"/>
    <w:rsid w:val="005F0BF0"/>
    <w:rsid w:val="005F1495"/>
    <w:rsid w:val="00601F5C"/>
    <w:rsid w:val="0061328F"/>
    <w:rsid w:val="00615835"/>
    <w:rsid w:val="00624DC6"/>
    <w:rsid w:val="00627B5F"/>
    <w:rsid w:val="006333A7"/>
    <w:rsid w:val="0063678E"/>
    <w:rsid w:val="00651A6F"/>
    <w:rsid w:val="00653B52"/>
    <w:rsid w:val="00655E2B"/>
    <w:rsid w:val="00657680"/>
    <w:rsid w:val="006639A9"/>
    <w:rsid w:val="00667F7A"/>
    <w:rsid w:val="0069217C"/>
    <w:rsid w:val="0069616A"/>
    <w:rsid w:val="00697843"/>
    <w:rsid w:val="006A3C49"/>
    <w:rsid w:val="006A7EC6"/>
    <w:rsid w:val="006A7F66"/>
    <w:rsid w:val="006B09E8"/>
    <w:rsid w:val="006B3DAA"/>
    <w:rsid w:val="006C139A"/>
    <w:rsid w:val="006C3183"/>
    <w:rsid w:val="006C5392"/>
    <w:rsid w:val="006C686E"/>
    <w:rsid w:val="006C7ACA"/>
    <w:rsid w:val="006D0195"/>
    <w:rsid w:val="006D1B51"/>
    <w:rsid w:val="006D1FAC"/>
    <w:rsid w:val="006D288B"/>
    <w:rsid w:val="006D5C1C"/>
    <w:rsid w:val="006D7029"/>
    <w:rsid w:val="006E0EC6"/>
    <w:rsid w:val="006E151A"/>
    <w:rsid w:val="006F23EF"/>
    <w:rsid w:val="00706F46"/>
    <w:rsid w:val="00707A24"/>
    <w:rsid w:val="00710016"/>
    <w:rsid w:val="007114AE"/>
    <w:rsid w:val="007122F2"/>
    <w:rsid w:val="00714958"/>
    <w:rsid w:val="0072562C"/>
    <w:rsid w:val="0073373F"/>
    <w:rsid w:val="00744BF4"/>
    <w:rsid w:val="007467D1"/>
    <w:rsid w:val="00747FDB"/>
    <w:rsid w:val="007548CE"/>
    <w:rsid w:val="007560B4"/>
    <w:rsid w:val="00762AEE"/>
    <w:rsid w:val="007636E0"/>
    <w:rsid w:val="007656F2"/>
    <w:rsid w:val="00766164"/>
    <w:rsid w:val="00781711"/>
    <w:rsid w:val="00787FBC"/>
    <w:rsid w:val="00797BFF"/>
    <w:rsid w:val="007A1097"/>
    <w:rsid w:val="007A5F4A"/>
    <w:rsid w:val="007B175C"/>
    <w:rsid w:val="007B729B"/>
    <w:rsid w:val="007C2D66"/>
    <w:rsid w:val="007D1E0D"/>
    <w:rsid w:val="007D4652"/>
    <w:rsid w:val="007D64C2"/>
    <w:rsid w:val="007E24CB"/>
    <w:rsid w:val="007E74F2"/>
    <w:rsid w:val="007E7A8B"/>
    <w:rsid w:val="007F6548"/>
    <w:rsid w:val="00805C57"/>
    <w:rsid w:val="008170CD"/>
    <w:rsid w:val="00820A9C"/>
    <w:rsid w:val="008222A1"/>
    <w:rsid w:val="00824CD9"/>
    <w:rsid w:val="008270A2"/>
    <w:rsid w:val="008316B9"/>
    <w:rsid w:val="008329FD"/>
    <w:rsid w:val="00832F61"/>
    <w:rsid w:val="0083375A"/>
    <w:rsid w:val="0083499D"/>
    <w:rsid w:val="00837711"/>
    <w:rsid w:val="00841334"/>
    <w:rsid w:val="008427C9"/>
    <w:rsid w:val="0084557E"/>
    <w:rsid w:val="00845982"/>
    <w:rsid w:val="008517AA"/>
    <w:rsid w:val="00855CFE"/>
    <w:rsid w:val="00857FF2"/>
    <w:rsid w:val="00862531"/>
    <w:rsid w:val="008631E0"/>
    <w:rsid w:val="008818E7"/>
    <w:rsid w:val="0089265A"/>
    <w:rsid w:val="008A05AB"/>
    <w:rsid w:val="008A36F1"/>
    <w:rsid w:val="008A4EAB"/>
    <w:rsid w:val="008C083C"/>
    <w:rsid w:val="008C1577"/>
    <w:rsid w:val="008C758C"/>
    <w:rsid w:val="008D5F68"/>
    <w:rsid w:val="008E1356"/>
    <w:rsid w:val="008E2BB2"/>
    <w:rsid w:val="00903ECE"/>
    <w:rsid w:val="00911072"/>
    <w:rsid w:val="009238E8"/>
    <w:rsid w:val="0093237E"/>
    <w:rsid w:val="00940F52"/>
    <w:rsid w:val="00942721"/>
    <w:rsid w:val="009501BD"/>
    <w:rsid w:val="00950DE7"/>
    <w:rsid w:val="00957715"/>
    <w:rsid w:val="00962878"/>
    <w:rsid w:val="00966516"/>
    <w:rsid w:val="00975799"/>
    <w:rsid w:val="00980169"/>
    <w:rsid w:val="00981108"/>
    <w:rsid w:val="00981629"/>
    <w:rsid w:val="00981FFB"/>
    <w:rsid w:val="00993D77"/>
    <w:rsid w:val="00994F24"/>
    <w:rsid w:val="009A0F8D"/>
    <w:rsid w:val="009A4CA0"/>
    <w:rsid w:val="009A60DE"/>
    <w:rsid w:val="009B2179"/>
    <w:rsid w:val="009C3BFC"/>
    <w:rsid w:val="009D0F10"/>
    <w:rsid w:val="009D35A2"/>
    <w:rsid w:val="009D5029"/>
    <w:rsid w:val="009E377B"/>
    <w:rsid w:val="009F1F28"/>
    <w:rsid w:val="009F2BA6"/>
    <w:rsid w:val="00A11279"/>
    <w:rsid w:val="00A11EB4"/>
    <w:rsid w:val="00A12987"/>
    <w:rsid w:val="00A1421E"/>
    <w:rsid w:val="00A17157"/>
    <w:rsid w:val="00A20325"/>
    <w:rsid w:val="00A2329A"/>
    <w:rsid w:val="00A25D9E"/>
    <w:rsid w:val="00A30A79"/>
    <w:rsid w:val="00A30F01"/>
    <w:rsid w:val="00A423EC"/>
    <w:rsid w:val="00A50F91"/>
    <w:rsid w:val="00A539E1"/>
    <w:rsid w:val="00A55367"/>
    <w:rsid w:val="00A711FB"/>
    <w:rsid w:val="00A750E5"/>
    <w:rsid w:val="00A800E7"/>
    <w:rsid w:val="00A80FB1"/>
    <w:rsid w:val="00A82E64"/>
    <w:rsid w:val="00A8440E"/>
    <w:rsid w:val="00A90896"/>
    <w:rsid w:val="00A94182"/>
    <w:rsid w:val="00AA02C3"/>
    <w:rsid w:val="00AA42F2"/>
    <w:rsid w:val="00AB673D"/>
    <w:rsid w:val="00AC7890"/>
    <w:rsid w:val="00AD59B4"/>
    <w:rsid w:val="00AD62E8"/>
    <w:rsid w:val="00AD708F"/>
    <w:rsid w:val="00AE46C1"/>
    <w:rsid w:val="00AF35C0"/>
    <w:rsid w:val="00AF7EBA"/>
    <w:rsid w:val="00B0119F"/>
    <w:rsid w:val="00B01384"/>
    <w:rsid w:val="00B01F2D"/>
    <w:rsid w:val="00B07F0C"/>
    <w:rsid w:val="00B11985"/>
    <w:rsid w:val="00B11FAB"/>
    <w:rsid w:val="00B17616"/>
    <w:rsid w:val="00B22866"/>
    <w:rsid w:val="00B30252"/>
    <w:rsid w:val="00B358B4"/>
    <w:rsid w:val="00B36A2A"/>
    <w:rsid w:val="00B57A5B"/>
    <w:rsid w:val="00B63026"/>
    <w:rsid w:val="00B65158"/>
    <w:rsid w:val="00B704D9"/>
    <w:rsid w:val="00B769C3"/>
    <w:rsid w:val="00B92792"/>
    <w:rsid w:val="00BA5B7B"/>
    <w:rsid w:val="00BA703E"/>
    <w:rsid w:val="00BA77CE"/>
    <w:rsid w:val="00BB314A"/>
    <w:rsid w:val="00BB3C8D"/>
    <w:rsid w:val="00BB78FA"/>
    <w:rsid w:val="00BC277D"/>
    <w:rsid w:val="00BC5C7E"/>
    <w:rsid w:val="00BD2C16"/>
    <w:rsid w:val="00BE6148"/>
    <w:rsid w:val="00BF0BB1"/>
    <w:rsid w:val="00BF37D4"/>
    <w:rsid w:val="00BF5140"/>
    <w:rsid w:val="00BF6C78"/>
    <w:rsid w:val="00BF6F55"/>
    <w:rsid w:val="00C1485B"/>
    <w:rsid w:val="00C162CE"/>
    <w:rsid w:val="00C16B2E"/>
    <w:rsid w:val="00C22148"/>
    <w:rsid w:val="00C23C50"/>
    <w:rsid w:val="00C2737B"/>
    <w:rsid w:val="00C30453"/>
    <w:rsid w:val="00C34DF1"/>
    <w:rsid w:val="00C43140"/>
    <w:rsid w:val="00C51D4B"/>
    <w:rsid w:val="00C554B9"/>
    <w:rsid w:val="00C625E3"/>
    <w:rsid w:val="00C677E5"/>
    <w:rsid w:val="00C7431D"/>
    <w:rsid w:val="00C81B7C"/>
    <w:rsid w:val="00C94E4E"/>
    <w:rsid w:val="00C97A8D"/>
    <w:rsid w:val="00C97B21"/>
    <w:rsid w:val="00CA0ED4"/>
    <w:rsid w:val="00CA4A07"/>
    <w:rsid w:val="00CA6F9F"/>
    <w:rsid w:val="00CB1C58"/>
    <w:rsid w:val="00CB5DB7"/>
    <w:rsid w:val="00CB655E"/>
    <w:rsid w:val="00CC0B6E"/>
    <w:rsid w:val="00CC2D2F"/>
    <w:rsid w:val="00CC70E4"/>
    <w:rsid w:val="00CC7D69"/>
    <w:rsid w:val="00CD5FBB"/>
    <w:rsid w:val="00CE2507"/>
    <w:rsid w:val="00CE59C1"/>
    <w:rsid w:val="00CE5AFD"/>
    <w:rsid w:val="00CE5B22"/>
    <w:rsid w:val="00CE6510"/>
    <w:rsid w:val="00CE7C16"/>
    <w:rsid w:val="00CF6DB2"/>
    <w:rsid w:val="00CF75D5"/>
    <w:rsid w:val="00D002E7"/>
    <w:rsid w:val="00D01745"/>
    <w:rsid w:val="00D01BCA"/>
    <w:rsid w:val="00D05C68"/>
    <w:rsid w:val="00D05C75"/>
    <w:rsid w:val="00D13F6D"/>
    <w:rsid w:val="00D143DF"/>
    <w:rsid w:val="00D17287"/>
    <w:rsid w:val="00D17408"/>
    <w:rsid w:val="00D2078F"/>
    <w:rsid w:val="00D243C9"/>
    <w:rsid w:val="00D279BD"/>
    <w:rsid w:val="00D328E0"/>
    <w:rsid w:val="00D330F8"/>
    <w:rsid w:val="00D41E33"/>
    <w:rsid w:val="00D56303"/>
    <w:rsid w:val="00D56A2B"/>
    <w:rsid w:val="00D60BF1"/>
    <w:rsid w:val="00D64574"/>
    <w:rsid w:val="00D65761"/>
    <w:rsid w:val="00D72E18"/>
    <w:rsid w:val="00D75AB8"/>
    <w:rsid w:val="00D82A76"/>
    <w:rsid w:val="00D82AC2"/>
    <w:rsid w:val="00D87EAB"/>
    <w:rsid w:val="00D900F9"/>
    <w:rsid w:val="00D94703"/>
    <w:rsid w:val="00D97278"/>
    <w:rsid w:val="00DA08ED"/>
    <w:rsid w:val="00DA43A1"/>
    <w:rsid w:val="00DB0F7F"/>
    <w:rsid w:val="00DB6AA9"/>
    <w:rsid w:val="00DB7A6F"/>
    <w:rsid w:val="00DB7C02"/>
    <w:rsid w:val="00DB7E65"/>
    <w:rsid w:val="00DC1EFD"/>
    <w:rsid w:val="00DC69D7"/>
    <w:rsid w:val="00DD0CA9"/>
    <w:rsid w:val="00DD4352"/>
    <w:rsid w:val="00DD541F"/>
    <w:rsid w:val="00DD722F"/>
    <w:rsid w:val="00DE4881"/>
    <w:rsid w:val="00DE7E82"/>
    <w:rsid w:val="00DF15B1"/>
    <w:rsid w:val="00DF3713"/>
    <w:rsid w:val="00DF70B5"/>
    <w:rsid w:val="00DF7571"/>
    <w:rsid w:val="00DF7D85"/>
    <w:rsid w:val="00E00747"/>
    <w:rsid w:val="00E01B23"/>
    <w:rsid w:val="00E01D32"/>
    <w:rsid w:val="00E05E4F"/>
    <w:rsid w:val="00E12E1F"/>
    <w:rsid w:val="00E1550A"/>
    <w:rsid w:val="00E17DDB"/>
    <w:rsid w:val="00E224B9"/>
    <w:rsid w:val="00E22FB7"/>
    <w:rsid w:val="00E2408A"/>
    <w:rsid w:val="00E30F2F"/>
    <w:rsid w:val="00E469B3"/>
    <w:rsid w:val="00E565B2"/>
    <w:rsid w:val="00E660D1"/>
    <w:rsid w:val="00E770CD"/>
    <w:rsid w:val="00E77EC7"/>
    <w:rsid w:val="00E85927"/>
    <w:rsid w:val="00E9242E"/>
    <w:rsid w:val="00E92669"/>
    <w:rsid w:val="00E9338D"/>
    <w:rsid w:val="00E953D5"/>
    <w:rsid w:val="00E96639"/>
    <w:rsid w:val="00E969C8"/>
    <w:rsid w:val="00E97AAD"/>
    <w:rsid w:val="00EB35E9"/>
    <w:rsid w:val="00EB40F7"/>
    <w:rsid w:val="00EB48F2"/>
    <w:rsid w:val="00EB6E02"/>
    <w:rsid w:val="00EC002D"/>
    <w:rsid w:val="00EC2138"/>
    <w:rsid w:val="00EC4CA9"/>
    <w:rsid w:val="00EC5CE9"/>
    <w:rsid w:val="00EC7FE9"/>
    <w:rsid w:val="00ED321E"/>
    <w:rsid w:val="00EE2FCC"/>
    <w:rsid w:val="00EE406D"/>
    <w:rsid w:val="00EE7B8E"/>
    <w:rsid w:val="00F03941"/>
    <w:rsid w:val="00F073C0"/>
    <w:rsid w:val="00F138FD"/>
    <w:rsid w:val="00F14AF1"/>
    <w:rsid w:val="00F15621"/>
    <w:rsid w:val="00F23D61"/>
    <w:rsid w:val="00F254D6"/>
    <w:rsid w:val="00F256C4"/>
    <w:rsid w:val="00F26B7D"/>
    <w:rsid w:val="00F3352D"/>
    <w:rsid w:val="00F33860"/>
    <w:rsid w:val="00F41EB9"/>
    <w:rsid w:val="00F42885"/>
    <w:rsid w:val="00F43955"/>
    <w:rsid w:val="00F45FEC"/>
    <w:rsid w:val="00F47699"/>
    <w:rsid w:val="00F52869"/>
    <w:rsid w:val="00F53353"/>
    <w:rsid w:val="00F576C1"/>
    <w:rsid w:val="00F82718"/>
    <w:rsid w:val="00F85044"/>
    <w:rsid w:val="00F90C5F"/>
    <w:rsid w:val="00F90CE4"/>
    <w:rsid w:val="00F9245D"/>
    <w:rsid w:val="00F93012"/>
    <w:rsid w:val="00F93BD7"/>
    <w:rsid w:val="00F95F60"/>
    <w:rsid w:val="00FA193A"/>
    <w:rsid w:val="00FA4C3D"/>
    <w:rsid w:val="00FA7E6E"/>
    <w:rsid w:val="00FB315B"/>
    <w:rsid w:val="00FB4512"/>
    <w:rsid w:val="00FC0BB8"/>
    <w:rsid w:val="00FC34BD"/>
    <w:rsid w:val="00FC4064"/>
    <w:rsid w:val="00FC6FD7"/>
    <w:rsid w:val="00FD3D9C"/>
    <w:rsid w:val="00FD624D"/>
    <w:rsid w:val="00FF4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39FA5"/>
  <w15:docId w15:val="{81ECC823-3E74-40E8-AE6F-81FFE016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F5140"/>
    <w:pPr>
      <w:spacing w:line="240" w:lineRule="auto"/>
    </w:pPr>
    <w:rPr>
      <w:sz w:val="20"/>
      <w:szCs w:val="20"/>
    </w:rPr>
  </w:style>
  <w:style w:type="character" w:customStyle="1" w:styleId="CommentTextChar">
    <w:name w:val="Comment Text Char"/>
    <w:basedOn w:val="DefaultParagraphFont"/>
    <w:link w:val="CommentText"/>
    <w:uiPriority w:val="99"/>
    <w:semiHidden/>
    <w:rsid w:val="00BF5140"/>
    <w:rPr>
      <w:sz w:val="20"/>
      <w:szCs w:val="20"/>
    </w:rPr>
  </w:style>
  <w:style w:type="character" w:styleId="CommentReference">
    <w:name w:val="annotation reference"/>
    <w:rsid w:val="00BF5140"/>
    <w:rPr>
      <w:sz w:val="16"/>
      <w:szCs w:val="16"/>
    </w:rPr>
  </w:style>
  <w:style w:type="paragraph" w:styleId="BalloonText">
    <w:name w:val="Balloon Text"/>
    <w:basedOn w:val="Normal"/>
    <w:link w:val="BalloonTextChar"/>
    <w:uiPriority w:val="99"/>
    <w:semiHidden/>
    <w:unhideWhenUsed/>
    <w:rsid w:val="00BF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40"/>
    <w:rPr>
      <w:rFonts w:ascii="Tahoma" w:hAnsi="Tahoma" w:cs="Tahoma"/>
      <w:sz w:val="16"/>
      <w:szCs w:val="16"/>
    </w:rPr>
  </w:style>
  <w:style w:type="paragraph" w:styleId="ListParagraph">
    <w:name w:val="List Paragraph"/>
    <w:basedOn w:val="Normal"/>
    <w:link w:val="ListParagraphChar"/>
    <w:uiPriority w:val="34"/>
    <w:qFormat/>
    <w:rsid w:val="00BF5140"/>
    <w:pPr>
      <w:ind w:left="720"/>
      <w:contextualSpacing/>
    </w:pPr>
  </w:style>
  <w:style w:type="character" w:customStyle="1" w:styleId="ListParagraphChar">
    <w:name w:val="List Paragraph Char"/>
    <w:link w:val="ListParagraph"/>
    <w:uiPriority w:val="34"/>
    <w:locked/>
    <w:rsid w:val="003F393B"/>
  </w:style>
  <w:style w:type="character" w:styleId="Hyperlink">
    <w:name w:val="Hyperlink"/>
    <w:basedOn w:val="DefaultParagraphFont"/>
    <w:uiPriority w:val="99"/>
    <w:unhideWhenUsed/>
    <w:rsid w:val="0061328F"/>
    <w:rPr>
      <w:color w:val="0000FF"/>
      <w:u w:val="single"/>
    </w:rPr>
  </w:style>
  <w:style w:type="paragraph" w:styleId="CommentSubject">
    <w:name w:val="annotation subject"/>
    <w:basedOn w:val="CommentText"/>
    <w:next w:val="CommentText"/>
    <w:link w:val="CommentSubjectChar"/>
    <w:uiPriority w:val="99"/>
    <w:semiHidden/>
    <w:unhideWhenUsed/>
    <w:rsid w:val="00CE7C16"/>
    <w:rPr>
      <w:b/>
      <w:bCs/>
    </w:rPr>
  </w:style>
  <w:style w:type="character" w:customStyle="1" w:styleId="CommentSubjectChar">
    <w:name w:val="Comment Subject Char"/>
    <w:basedOn w:val="CommentTextChar"/>
    <w:link w:val="CommentSubject"/>
    <w:uiPriority w:val="99"/>
    <w:semiHidden/>
    <w:rsid w:val="00CE7C16"/>
    <w:rPr>
      <w:b/>
      <w:bCs/>
      <w:sz w:val="20"/>
      <w:szCs w:val="20"/>
    </w:rPr>
  </w:style>
  <w:style w:type="paragraph" w:styleId="Header">
    <w:name w:val="header"/>
    <w:basedOn w:val="Normal"/>
    <w:link w:val="HeaderChar"/>
    <w:uiPriority w:val="99"/>
    <w:unhideWhenUsed/>
    <w:rsid w:val="00C34D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34DF1"/>
  </w:style>
  <w:style w:type="paragraph" w:styleId="Footer">
    <w:name w:val="footer"/>
    <w:basedOn w:val="Normal"/>
    <w:link w:val="FooterChar"/>
    <w:uiPriority w:val="99"/>
    <w:unhideWhenUsed/>
    <w:rsid w:val="00C34D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34DF1"/>
  </w:style>
  <w:style w:type="paragraph" w:customStyle="1" w:styleId="Cha1">
    <w:name w:val="Cha1"/>
    <w:basedOn w:val="Normal"/>
    <w:next w:val="FootnoteText"/>
    <w:uiPriority w:val="99"/>
    <w:unhideWhenUsed/>
    <w:qFormat/>
    <w:rsid w:val="00A8440E"/>
    <w:pPr>
      <w:spacing w:after="0" w:line="240" w:lineRule="auto"/>
      <w:jc w:val="both"/>
    </w:pPr>
    <w:rPr>
      <w:rFonts w:eastAsia="Calibri"/>
      <w:sz w:val="20"/>
      <w:szCs w:val="20"/>
      <w:lang w:val="en-GB"/>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A8440E"/>
    <w:pPr>
      <w:spacing w:after="0" w:line="240" w:lineRule="auto"/>
    </w:pPr>
    <w:rPr>
      <w:sz w:val="20"/>
      <w:szCs w:val="20"/>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A8440E"/>
    <w:rPr>
      <w:sz w:val="20"/>
      <w:szCs w:val="20"/>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A8440E"/>
    <w:rPr>
      <w:vertAlign w:val="superscript"/>
    </w:rPr>
  </w:style>
  <w:style w:type="paragraph" w:customStyle="1" w:styleId="Default">
    <w:name w:val="Default"/>
    <w:rsid w:val="00C97A8D"/>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NoSpacing">
    <w:name w:val="No Spacing"/>
    <w:uiPriority w:val="1"/>
    <w:qFormat/>
    <w:rsid w:val="005A3C4A"/>
    <w:pPr>
      <w:spacing w:after="0" w:line="240" w:lineRule="auto"/>
    </w:pPr>
  </w:style>
  <w:style w:type="character" w:customStyle="1" w:styleId="UnresolvedMention1">
    <w:name w:val="Unresolved Mention1"/>
    <w:basedOn w:val="DefaultParagraphFont"/>
    <w:uiPriority w:val="99"/>
    <w:semiHidden/>
    <w:unhideWhenUsed/>
    <w:rsid w:val="00457831"/>
    <w:rPr>
      <w:color w:val="605E5C"/>
      <w:shd w:val="clear" w:color="auto" w:fill="E1DFDD"/>
    </w:rPr>
  </w:style>
  <w:style w:type="character" w:styleId="UnresolvedMention">
    <w:name w:val="Unresolved Mention"/>
    <w:basedOn w:val="DefaultParagraphFont"/>
    <w:uiPriority w:val="99"/>
    <w:semiHidden/>
    <w:unhideWhenUsed/>
    <w:rsid w:val="00131B8C"/>
    <w:rPr>
      <w:color w:val="605E5C"/>
      <w:shd w:val="clear" w:color="auto" w:fill="E1DFDD"/>
    </w:rPr>
  </w:style>
  <w:style w:type="paragraph" w:customStyle="1" w:styleId="msonormal0">
    <w:name w:val="msonormal"/>
    <w:basedOn w:val="Normal"/>
    <w:rsid w:val="00353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00747"/>
    <w:pPr>
      <w:spacing w:before="100" w:beforeAutospacing="1" w:after="100" w:afterAutospacing="1" w:line="240" w:lineRule="auto"/>
      <w:ind w:firstLine="72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181">
      <w:bodyDiv w:val="1"/>
      <w:marLeft w:val="0"/>
      <w:marRight w:val="0"/>
      <w:marTop w:val="0"/>
      <w:marBottom w:val="0"/>
      <w:divBdr>
        <w:top w:val="none" w:sz="0" w:space="0" w:color="auto"/>
        <w:left w:val="none" w:sz="0" w:space="0" w:color="auto"/>
        <w:bottom w:val="none" w:sz="0" w:space="0" w:color="auto"/>
        <w:right w:val="none" w:sz="0" w:space="0" w:color="auto"/>
      </w:divBdr>
    </w:div>
    <w:div w:id="247161140">
      <w:bodyDiv w:val="1"/>
      <w:marLeft w:val="0"/>
      <w:marRight w:val="0"/>
      <w:marTop w:val="0"/>
      <w:marBottom w:val="0"/>
      <w:divBdr>
        <w:top w:val="none" w:sz="0" w:space="0" w:color="auto"/>
        <w:left w:val="none" w:sz="0" w:space="0" w:color="auto"/>
        <w:bottom w:val="none" w:sz="0" w:space="0" w:color="auto"/>
        <w:right w:val="none" w:sz="0" w:space="0" w:color="auto"/>
      </w:divBdr>
    </w:div>
    <w:div w:id="273025104">
      <w:bodyDiv w:val="1"/>
      <w:marLeft w:val="0"/>
      <w:marRight w:val="0"/>
      <w:marTop w:val="0"/>
      <w:marBottom w:val="0"/>
      <w:divBdr>
        <w:top w:val="none" w:sz="0" w:space="0" w:color="auto"/>
        <w:left w:val="none" w:sz="0" w:space="0" w:color="auto"/>
        <w:bottom w:val="none" w:sz="0" w:space="0" w:color="auto"/>
        <w:right w:val="none" w:sz="0" w:space="0" w:color="auto"/>
      </w:divBdr>
    </w:div>
    <w:div w:id="305816356">
      <w:bodyDiv w:val="1"/>
      <w:marLeft w:val="0"/>
      <w:marRight w:val="0"/>
      <w:marTop w:val="0"/>
      <w:marBottom w:val="0"/>
      <w:divBdr>
        <w:top w:val="none" w:sz="0" w:space="0" w:color="auto"/>
        <w:left w:val="none" w:sz="0" w:space="0" w:color="auto"/>
        <w:bottom w:val="none" w:sz="0" w:space="0" w:color="auto"/>
        <w:right w:val="none" w:sz="0" w:space="0" w:color="auto"/>
      </w:divBdr>
    </w:div>
    <w:div w:id="435633799">
      <w:bodyDiv w:val="1"/>
      <w:marLeft w:val="0"/>
      <w:marRight w:val="0"/>
      <w:marTop w:val="0"/>
      <w:marBottom w:val="0"/>
      <w:divBdr>
        <w:top w:val="none" w:sz="0" w:space="0" w:color="auto"/>
        <w:left w:val="none" w:sz="0" w:space="0" w:color="auto"/>
        <w:bottom w:val="none" w:sz="0" w:space="0" w:color="auto"/>
        <w:right w:val="none" w:sz="0" w:space="0" w:color="auto"/>
      </w:divBdr>
    </w:div>
    <w:div w:id="687292780">
      <w:bodyDiv w:val="1"/>
      <w:marLeft w:val="0"/>
      <w:marRight w:val="0"/>
      <w:marTop w:val="0"/>
      <w:marBottom w:val="0"/>
      <w:divBdr>
        <w:top w:val="none" w:sz="0" w:space="0" w:color="auto"/>
        <w:left w:val="none" w:sz="0" w:space="0" w:color="auto"/>
        <w:bottom w:val="none" w:sz="0" w:space="0" w:color="auto"/>
        <w:right w:val="none" w:sz="0" w:space="0" w:color="auto"/>
      </w:divBdr>
    </w:div>
    <w:div w:id="781725341">
      <w:bodyDiv w:val="1"/>
      <w:marLeft w:val="0"/>
      <w:marRight w:val="0"/>
      <w:marTop w:val="0"/>
      <w:marBottom w:val="0"/>
      <w:divBdr>
        <w:top w:val="none" w:sz="0" w:space="0" w:color="auto"/>
        <w:left w:val="none" w:sz="0" w:space="0" w:color="auto"/>
        <w:bottom w:val="none" w:sz="0" w:space="0" w:color="auto"/>
        <w:right w:val="none" w:sz="0" w:space="0" w:color="auto"/>
      </w:divBdr>
      <w:divsChild>
        <w:div w:id="78332023">
          <w:marLeft w:val="547"/>
          <w:marRight w:val="0"/>
          <w:marTop w:val="0"/>
          <w:marBottom w:val="0"/>
          <w:divBdr>
            <w:top w:val="none" w:sz="0" w:space="0" w:color="auto"/>
            <w:left w:val="none" w:sz="0" w:space="0" w:color="auto"/>
            <w:bottom w:val="none" w:sz="0" w:space="0" w:color="auto"/>
            <w:right w:val="none" w:sz="0" w:space="0" w:color="auto"/>
          </w:divBdr>
        </w:div>
      </w:divsChild>
    </w:div>
    <w:div w:id="1113282119">
      <w:bodyDiv w:val="1"/>
      <w:marLeft w:val="0"/>
      <w:marRight w:val="0"/>
      <w:marTop w:val="0"/>
      <w:marBottom w:val="0"/>
      <w:divBdr>
        <w:top w:val="none" w:sz="0" w:space="0" w:color="auto"/>
        <w:left w:val="none" w:sz="0" w:space="0" w:color="auto"/>
        <w:bottom w:val="none" w:sz="0" w:space="0" w:color="auto"/>
        <w:right w:val="none" w:sz="0" w:space="0" w:color="auto"/>
      </w:divBdr>
    </w:div>
    <w:div w:id="1377974266">
      <w:bodyDiv w:val="1"/>
      <w:marLeft w:val="0"/>
      <w:marRight w:val="0"/>
      <w:marTop w:val="0"/>
      <w:marBottom w:val="0"/>
      <w:divBdr>
        <w:top w:val="none" w:sz="0" w:space="0" w:color="auto"/>
        <w:left w:val="none" w:sz="0" w:space="0" w:color="auto"/>
        <w:bottom w:val="none" w:sz="0" w:space="0" w:color="auto"/>
        <w:right w:val="none" w:sz="0" w:space="0" w:color="auto"/>
      </w:divBdr>
    </w:div>
    <w:div w:id="1388600844">
      <w:bodyDiv w:val="1"/>
      <w:marLeft w:val="0"/>
      <w:marRight w:val="0"/>
      <w:marTop w:val="0"/>
      <w:marBottom w:val="0"/>
      <w:divBdr>
        <w:top w:val="none" w:sz="0" w:space="0" w:color="auto"/>
        <w:left w:val="none" w:sz="0" w:space="0" w:color="auto"/>
        <w:bottom w:val="none" w:sz="0" w:space="0" w:color="auto"/>
        <w:right w:val="none" w:sz="0" w:space="0" w:color="auto"/>
      </w:divBdr>
    </w:div>
    <w:div w:id="1616136507">
      <w:bodyDiv w:val="1"/>
      <w:marLeft w:val="0"/>
      <w:marRight w:val="0"/>
      <w:marTop w:val="0"/>
      <w:marBottom w:val="0"/>
      <w:divBdr>
        <w:top w:val="none" w:sz="0" w:space="0" w:color="auto"/>
        <w:left w:val="none" w:sz="0" w:space="0" w:color="auto"/>
        <w:bottom w:val="none" w:sz="0" w:space="0" w:color="auto"/>
        <w:right w:val="none" w:sz="0" w:space="0" w:color="auto"/>
      </w:divBdr>
    </w:div>
    <w:div w:id="1641181654">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 w:id="1791392970">
      <w:bodyDiv w:val="1"/>
      <w:marLeft w:val="0"/>
      <w:marRight w:val="0"/>
      <w:marTop w:val="0"/>
      <w:marBottom w:val="0"/>
      <w:divBdr>
        <w:top w:val="none" w:sz="0" w:space="0" w:color="auto"/>
        <w:left w:val="none" w:sz="0" w:space="0" w:color="auto"/>
        <w:bottom w:val="none" w:sz="0" w:space="0" w:color="auto"/>
        <w:right w:val="none" w:sz="0" w:space="0" w:color="auto"/>
      </w:divBdr>
    </w:div>
    <w:div w:id="1969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8" Type="http://schemas.openxmlformats.org/officeDocument/2006/relationships/hyperlink" Target="https://www.ujn.gov.rs/?page_id=1190" TargetMode="External"/><Relationship Id="rId13" Type="http://schemas.openxmlformats.org/officeDocument/2006/relationships/hyperlink" Target="https://www.ujn.gov.rs/?page_id=1190" TargetMode="External"/><Relationship Id="rId3" Type="http://schemas.openxmlformats.org/officeDocument/2006/relationships/hyperlink" Target="https://www.ujn.gov.rs/?page_id=1190" TargetMode="External"/><Relationship Id="rId7" Type="http://schemas.openxmlformats.org/officeDocument/2006/relationships/hyperlink" Target="https://jnportal.ujn.gov.rs/konzola" TargetMode="External"/><Relationship Id="rId12" Type="http://schemas.openxmlformats.org/officeDocument/2006/relationships/hyperlink" Target="https://www.ujn.gov.rs/?page_id=1190" TargetMode="External"/><Relationship Id="rId2" Type="http://schemas.openxmlformats.org/officeDocument/2006/relationships/hyperlink" Target="https://www.ujn.gov.rs/?page_id=1190" TargetMode="External"/><Relationship Id="rId1" Type="http://schemas.openxmlformats.org/officeDocument/2006/relationships/hyperlink" Target="https://www.mei.gov.rs/upload/documents/eu_dokumenta/2024/izvestaj_24.pdf" TargetMode="External"/><Relationship Id="rId6" Type="http://schemas.openxmlformats.org/officeDocument/2006/relationships/hyperlink" Target="https://jnportal.ujn.gov.rs/konzola" TargetMode="External"/><Relationship Id="rId11" Type="http://schemas.openxmlformats.org/officeDocument/2006/relationships/hyperlink" Target="https://www.ujn.gov.rs/?page_id=1195" TargetMode="External"/><Relationship Id="rId5" Type="http://schemas.openxmlformats.org/officeDocument/2006/relationships/hyperlink" Target="https://jnportal.ujn.gov.rs/konzola" TargetMode="External"/><Relationship Id="rId15" Type="http://schemas.openxmlformats.org/officeDocument/2006/relationships/hyperlink" Target="https://www.ujn.gov.rs/?page_id=1190" TargetMode="External"/><Relationship Id="rId10" Type="http://schemas.openxmlformats.org/officeDocument/2006/relationships/hyperlink" Target="https://www.ujn.gov.rs/?page_id=1195" TargetMode="External"/><Relationship Id="rId4" Type="http://schemas.openxmlformats.org/officeDocument/2006/relationships/hyperlink" Target="https://jnportal.ujn.gov.rs/konzola" TargetMode="External"/><Relationship Id="rId9" Type="http://schemas.openxmlformats.org/officeDocument/2006/relationships/hyperlink" Target="https://www.ujn.gov.rs/?page_id=1195" TargetMode="External"/><Relationship Id="rId14" Type="http://schemas.openxmlformats.org/officeDocument/2006/relationships/hyperlink" Target="https://www.ujn.gov.rs/?page_id=119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CS" sz="1200" b="1" i="0" u="none" strike="noStrike" baseline="0">
                <a:solidFill>
                  <a:sysClr val="windowText" lastClr="000000"/>
                </a:solidFill>
                <a:effectLst/>
              </a:rPr>
              <a:t>Учешће МСП у</a:t>
            </a:r>
            <a:r>
              <a:rPr lang="sr-Cyrl-RS" sz="1200" b="1" i="0" u="none" strike="noStrike" baseline="0">
                <a:solidFill>
                  <a:sysClr val="windowText" lastClr="000000"/>
                </a:solidFill>
                <a:effectLst/>
              </a:rPr>
              <a:t> броју закључених уговора </a:t>
            </a:r>
            <a:r>
              <a:rPr lang="sr-Cyrl-CS" sz="1200" b="1" i="0" u="none" strike="noStrike" baseline="0">
                <a:solidFill>
                  <a:sysClr val="windowText" lastClr="000000"/>
                </a:solidFill>
              </a:rPr>
              <a:t>(проценат)</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cked"/>
        <c:varyColors val="0"/>
        <c:ser>
          <c:idx val="0"/>
          <c:order val="0"/>
          <c:tx>
            <c:strRef>
              <c:f>Sheet1!$B$1</c:f>
              <c:strCache>
                <c:ptCount val="1"/>
                <c:pt idx="0">
                  <c:v>Вредности изражене у процентима</c:v>
                </c:pt>
              </c:strCache>
            </c:strRef>
          </c:tx>
          <c:spPr>
            <a:effectLst>
              <a:outerShdw blurRad="40000" dist="23000" dir="5400000" rotWithShape="0">
                <a:srgbClr val="000000">
                  <a:alpha val="35000"/>
                </a:srgbClr>
              </a:outerShdw>
            </a:effectLst>
          </c:spPr>
          <c:marker>
            <c:symbol val="none"/>
          </c:marker>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Почетна вредност (2023)</c:v>
                </c:pt>
                <c:pt idx="1">
                  <c:v>Циљана вредност (2024)</c:v>
                </c:pt>
                <c:pt idx="2">
                  <c:v>Остварена вредност (2024)</c:v>
                </c:pt>
              </c:strCache>
            </c:strRef>
          </c:cat>
          <c:val>
            <c:numRef>
              <c:f>Sheet1!$B$2:$B$4</c:f>
              <c:numCache>
                <c:formatCode>General</c:formatCode>
                <c:ptCount val="3"/>
                <c:pt idx="0">
                  <c:v>79</c:v>
                </c:pt>
                <c:pt idx="1">
                  <c:v>80</c:v>
                </c:pt>
                <c:pt idx="2">
                  <c:v>75.819999999999993</c:v>
                </c:pt>
              </c:numCache>
            </c:numRef>
          </c:val>
          <c:smooth val="0"/>
          <c:extLst>
            <c:ext xmlns:c16="http://schemas.microsoft.com/office/drawing/2014/chart" uri="{C3380CC4-5D6E-409C-BE32-E72D297353CC}">
              <c16:uniqueId val="{00000000-31F2-46C5-B169-23F23E18625A}"/>
            </c:ext>
          </c:extLst>
        </c:ser>
        <c:dLbls>
          <c:showLegendKey val="0"/>
          <c:showVal val="0"/>
          <c:showCatName val="0"/>
          <c:showSerName val="0"/>
          <c:showPercent val="0"/>
          <c:showBubbleSize val="0"/>
        </c:dLbls>
        <c:smooth val="0"/>
        <c:axId val="132539904"/>
        <c:axId val="112257280"/>
      </c:lineChart>
      <c:catAx>
        <c:axId val="132539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12257280"/>
        <c:crosses val="autoZero"/>
        <c:auto val="1"/>
        <c:lblAlgn val="ctr"/>
        <c:lblOffset val="100"/>
        <c:noMultiLvlLbl val="0"/>
      </c:catAx>
      <c:valAx>
        <c:axId val="11225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3253990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CS" sz="1200" b="1" i="0" u="none" strike="noStrike" baseline="0">
                <a:solidFill>
                  <a:sysClr val="windowText" lastClr="000000"/>
                </a:solidFill>
                <a:effectLst/>
              </a:rPr>
              <a:t>Учешће критеријума за доделу уговора који се не заснива само на цени (проценат)</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cked"/>
        <c:varyColors val="0"/>
        <c:ser>
          <c:idx val="0"/>
          <c:order val="0"/>
          <c:tx>
            <c:strRef>
              <c:f>Sheet1!$B$1</c:f>
              <c:strCache>
                <c:ptCount val="1"/>
                <c:pt idx="0">
                  <c:v>Вредности изражене у процентима</c:v>
                </c:pt>
              </c:strCache>
            </c:strRef>
          </c:tx>
          <c:spPr>
            <a:effectLst>
              <a:outerShdw blurRad="40000" dist="23000" dir="5400000" rotWithShape="0">
                <a:srgbClr val="000000">
                  <a:alpha val="35000"/>
                </a:srgbClr>
              </a:outerShdw>
            </a:effectLst>
          </c:spPr>
          <c:marker>
            <c:symbol val="none"/>
          </c:marker>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Почетна вредност (2023)</c:v>
                </c:pt>
                <c:pt idx="1">
                  <c:v>Циљана вредност (2024)</c:v>
                </c:pt>
                <c:pt idx="2">
                  <c:v>Остварена вредност (2024)</c:v>
                </c:pt>
              </c:strCache>
            </c:strRef>
          </c:cat>
          <c:val>
            <c:numRef>
              <c:f>Sheet1!$B$2:$B$4</c:f>
              <c:numCache>
                <c:formatCode>General</c:formatCode>
                <c:ptCount val="3"/>
                <c:pt idx="0">
                  <c:v>4.46</c:v>
                </c:pt>
                <c:pt idx="1">
                  <c:v>5</c:v>
                </c:pt>
                <c:pt idx="2">
                  <c:v>9.7799999999999994</c:v>
                </c:pt>
              </c:numCache>
            </c:numRef>
          </c:val>
          <c:smooth val="0"/>
          <c:extLst>
            <c:ext xmlns:c16="http://schemas.microsoft.com/office/drawing/2014/chart" uri="{C3380CC4-5D6E-409C-BE32-E72D297353CC}">
              <c16:uniqueId val="{00000000-1AE8-47FC-A700-009D102E8F93}"/>
            </c:ext>
          </c:extLst>
        </c:ser>
        <c:dLbls>
          <c:showLegendKey val="0"/>
          <c:showVal val="0"/>
          <c:showCatName val="0"/>
          <c:showSerName val="0"/>
          <c:showPercent val="0"/>
          <c:showBubbleSize val="0"/>
        </c:dLbls>
        <c:smooth val="0"/>
        <c:axId val="132539904"/>
        <c:axId val="112257280"/>
      </c:lineChart>
      <c:catAx>
        <c:axId val="132539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12257280"/>
        <c:crosses val="autoZero"/>
        <c:auto val="1"/>
        <c:lblAlgn val="ctr"/>
        <c:lblOffset val="100"/>
        <c:noMultiLvlLbl val="0"/>
      </c:catAx>
      <c:valAx>
        <c:axId val="11225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3253990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sr-Cyrl-CS" sz="1200">
                <a:solidFill>
                  <a:sysClr val="windowText" lastClr="000000"/>
                </a:solidFill>
                <a:effectLst/>
                <a:latin typeface="Times New Roman" panose="02020603050405020304" pitchFamily="18" charset="0"/>
                <a:cs typeface="Times New Roman" panose="02020603050405020304" pitchFamily="18" charset="0"/>
              </a:rPr>
              <a:t>Број поступака јавних набавки са еколошким критеријумима</a:t>
            </a:r>
            <a:endParaRPr lang="en-US" sz="1200">
              <a:solidFill>
                <a:sysClr val="windowText" lastClr="000000"/>
              </a:solidFill>
              <a:effectLst/>
              <a:latin typeface="Times New Roman" panose="02020603050405020304" pitchFamily="18" charset="0"/>
              <a:cs typeface="Times New Roman" panose="02020603050405020304" pitchFamily="18" charset="0"/>
            </a:endParaRPr>
          </a:p>
          <a:p>
            <a:pPr>
              <a:defRPr sz="1600"/>
            </a:pPr>
            <a:r>
              <a:rPr lang="sr-Cyrl-CS" sz="1200">
                <a:solidFill>
                  <a:sysClr val="windowText" lastClr="000000"/>
                </a:solidFill>
                <a:effectLst/>
                <a:latin typeface="Times New Roman" panose="02020603050405020304" pitchFamily="18" charset="0"/>
                <a:cs typeface="Times New Roman" panose="02020603050405020304" pitchFamily="18" charset="0"/>
              </a:rPr>
              <a:t>Број поступака јавних набавки са социјалним критеријумима</a:t>
            </a:r>
          </a:p>
          <a:p>
            <a:pPr>
              <a:defRPr sz="1600"/>
            </a:pPr>
            <a:r>
              <a:rPr lang="sr-Cyrl-CS" sz="1200">
                <a:solidFill>
                  <a:sysClr val="windowText" lastClr="000000"/>
                </a:solidFill>
                <a:effectLst/>
                <a:latin typeface="Times New Roman" panose="02020603050405020304" pitchFamily="18" charset="0"/>
                <a:cs typeface="Times New Roman" panose="02020603050405020304" pitchFamily="18" charset="0"/>
              </a:rPr>
              <a:t>Број техника и инструмената у поступцима јавних набавки</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4198490813648293"/>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2.5462962962962962E-2"/>
          <c:y val="0.371541057367829"/>
          <c:w val="0.94907407407407407"/>
          <c:h val="0.47778433945756782"/>
        </c:manualLayout>
      </c:layout>
      <c:bar3DChart>
        <c:barDir val="col"/>
        <c:grouping val="clustered"/>
        <c:varyColors val="0"/>
        <c:ser>
          <c:idx val="0"/>
          <c:order val="0"/>
          <c:tx>
            <c:strRef>
              <c:f>Sheet1!$B$1</c:f>
              <c:strCache>
                <c:ptCount val="1"/>
                <c:pt idx="0">
                  <c:v>Број поступака јавних набавки са еколошких критеријумима, укупно</c:v>
                </c:pt>
              </c:strCache>
            </c:strRef>
          </c:tx>
          <c:invertIfNegative val="0"/>
          <c:dLbls>
            <c:dLbl>
              <c:idx val="0"/>
              <c:layout>
                <c:manualLayout>
                  <c:x val="6.9444444444444441E-3"/>
                  <c:y val="-3.318951211417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E9-4532-87FB-2B606F113477}"/>
                </c:ext>
              </c:extLst>
            </c:dLbl>
            <c:dLbl>
              <c:idx val="1"/>
              <c:layout>
                <c:manualLayout>
                  <c:x val="6.9444444444444441E-3"/>
                  <c:y val="-3.318951211417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E9-4532-87FB-2B606F113477}"/>
                </c:ext>
              </c:extLst>
            </c:dLbl>
            <c:dLbl>
              <c:idx val="2"/>
              <c:layout>
                <c:manualLayout>
                  <c:x val="9.2592592592592587E-3"/>
                  <c:y val="-9.9568536342515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E9-4532-87FB-2B606F113477}"/>
                </c:ext>
              </c:extLst>
            </c:dLbl>
            <c:spPr>
              <a:noFill/>
              <a:ln>
                <a:noFill/>
              </a:ln>
              <a:effectLst/>
            </c:spPr>
            <c:txPr>
              <a:bodyPr/>
              <a:lstStyle/>
              <a:p>
                <a:pPr>
                  <a:defRPr>
                    <a:latin typeface="Times New Roman" pitchFamily="18" charset="0"/>
                    <a:cs typeface="Times New Roman"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Почетна вредност (2023)</c:v>
                </c:pt>
                <c:pt idx="1">
                  <c:v>Циљана вредност (2024)</c:v>
                </c:pt>
                <c:pt idx="2">
                  <c:v>Остварена вредност (2024)</c:v>
                </c:pt>
              </c:strCache>
            </c:strRef>
          </c:cat>
          <c:val>
            <c:numRef>
              <c:f>Sheet1!$B$2:$B$4</c:f>
              <c:numCache>
                <c:formatCode>General</c:formatCode>
                <c:ptCount val="3"/>
                <c:pt idx="0">
                  <c:v>1592</c:v>
                </c:pt>
                <c:pt idx="1">
                  <c:v>1700</c:v>
                </c:pt>
                <c:pt idx="2">
                  <c:v>3244</c:v>
                </c:pt>
              </c:numCache>
            </c:numRef>
          </c:val>
          <c:extLst>
            <c:ext xmlns:c16="http://schemas.microsoft.com/office/drawing/2014/chart" uri="{C3380CC4-5D6E-409C-BE32-E72D297353CC}">
              <c16:uniqueId val="{00000003-B0E9-4532-87FB-2B606F113477}"/>
            </c:ext>
          </c:extLst>
        </c:ser>
        <c:ser>
          <c:idx val="1"/>
          <c:order val="1"/>
          <c:tx>
            <c:strRef>
              <c:f>Sheet1!$C$1</c:f>
              <c:strCache>
                <c:ptCount val="1"/>
                <c:pt idx="0">
                  <c:v>Број поступака јавних набавки са социјалним критеријумима, укупно</c:v>
                </c:pt>
              </c:strCache>
            </c:strRef>
          </c:tx>
          <c:invertIfNegative val="0"/>
          <c:dLbls>
            <c:dLbl>
              <c:idx val="0"/>
              <c:layout>
                <c:manualLayout>
                  <c:x val="1.3888888888888888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E9-4532-87FB-2B606F113477}"/>
                </c:ext>
              </c:extLst>
            </c:dLbl>
            <c:dLbl>
              <c:idx val="1"/>
              <c:layout>
                <c:manualLayout>
                  <c:x val="1.1574074074074073E-2"/>
                  <c:y val="-1.3275804845668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E9-4532-87FB-2B606F113477}"/>
                </c:ext>
              </c:extLst>
            </c:dLbl>
            <c:dLbl>
              <c:idx val="2"/>
              <c:layout>
                <c:manualLayout>
                  <c:x val="6.9444444444444441E-3"/>
                  <c:y val="-9.9568536342515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E9-4532-87FB-2B606F113477}"/>
                </c:ext>
              </c:extLst>
            </c:dLbl>
            <c:spPr>
              <a:noFill/>
              <a:ln>
                <a:noFill/>
              </a:ln>
              <a:effectLst/>
            </c:spPr>
            <c:txPr>
              <a:bodyPr/>
              <a:lstStyle/>
              <a:p>
                <a:pPr>
                  <a:defRPr>
                    <a:latin typeface="Times New Roman" pitchFamily="18" charset="0"/>
                    <a:cs typeface="Times New Roman"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Почетна вредност (2023)</c:v>
                </c:pt>
                <c:pt idx="1">
                  <c:v>Циљана вредност (2024)</c:v>
                </c:pt>
                <c:pt idx="2">
                  <c:v>Остварена вредност (2024)</c:v>
                </c:pt>
              </c:strCache>
            </c:strRef>
          </c:cat>
          <c:val>
            <c:numRef>
              <c:f>Sheet1!$C$2:$C$4</c:f>
              <c:numCache>
                <c:formatCode>General</c:formatCode>
                <c:ptCount val="3"/>
                <c:pt idx="0">
                  <c:v>140</c:v>
                </c:pt>
                <c:pt idx="1">
                  <c:v>160</c:v>
                </c:pt>
                <c:pt idx="2">
                  <c:v>344</c:v>
                </c:pt>
              </c:numCache>
            </c:numRef>
          </c:val>
          <c:extLst>
            <c:ext xmlns:c16="http://schemas.microsoft.com/office/drawing/2014/chart" uri="{C3380CC4-5D6E-409C-BE32-E72D297353CC}">
              <c16:uniqueId val="{00000007-B0E9-4532-87FB-2B606F113477}"/>
            </c:ext>
          </c:extLst>
        </c:ser>
        <c:ser>
          <c:idx val="2"/>
          <c:order val="2"/>
          <c:tx>
            <c:strRef>
              <c:f>Sheet1!$D$1</c:f>
              <c:strCache>
                <c:ptCount val="1"/>
                <c:pt idx="0">
                  <c:v>Број техника и инструмената у поступцима јавних набавки, укупно</c:v>
                </c:pt>
              </c:strCache>
            </c:strRef>
          </c:tx>
          <c:invertIfNegative val="0"/>
          <c:dLbls>
            <c:dLbl>
              <c:idx val="0"/>
              <c:layout>
                <c:manualLayout>
                  <c:x val="1.38888888888888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E9-4532-87FB-2B606F113477}"/>
                </c:ext>
              </c:extLst>
            </c:dLbl>
            <c:dLbl>
              <c:idx val="1"/>
              <c:layout>
                <c:manualLayout>
                  <c:x val="1.1574074074073988E-2"/>
                  <c:y val="-3.318951211417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E9-4532-87FB-2B606F113477}"/>
                </c:ext>
              </c:extLst>
            </c:dLbl>
            <c:dLbl>
              <c:idx val="2"/>
              <c:layout>
                <c:manualLayout>
                  <c:x val="1.1574074074073905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0E9-4532-87FB-2B606F113477}"/>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Почетна вредност (2023)</c:v>
                </c:pt>
                <c:pt idx="1">
                  <c:v>Циљана вредност (2024)</c:v>
                </c:pt>
                <c:pt idx="2">
                  <c:v>Остварена вредност (2024)</c:v>
                </c:pt>
              </c:strCache>
            </c:strRef>
          </c:cat>
          <c:val>
            <c:numRef>
              <c:f>Sheet1!$D$2:$D$4</c:f>
              <c:numCache>
                <c:formatCode>General</c:formatCode>
                <c:ptCount val="3"/>
                <c:pt idx="0">
                  <c:v>250</c:v>
                </c:pt>
                <c:pt idx="1">
                  <c:v>260</c:v>
                </c:pt>
                <c:pt idx="2">
                  <c:v>442</c:v>
                </c:pt>
              </c:numCache>
            </c:numRef>
          </c:val>
          <c:extLst>
            <c:ext xmlns:c16="http://schemas.microsoft.com/office/drawing/2014/chart" uri="{C3380CC4-5D6E-409C-BE32-E72D297353CC}">
              <c16:uniqueId val="{00000008-B0E9-4532-87FB-2B606F113477}"/>
            </c:ext>
          </c:extLst>
        </c:ser>
        <c:dLbls>
          <c:showLegendKey val="0"/>
          <c:showVal val="1"/>
          <c:showCatName val="0"/>
          <c:showSerName val="0"/>
          <c:showPercent val="0"/>
          <c:showBubbleSize val="0"/>
        </c:dLbls>
        <c:gapWidth val="150"/>
        <c:shape val="cylinder"/>
        <c:axId val="169496960"/>
        <c:axId val="170054400"/>
        <c:axId val="0"/>
      </c:bar3DChart>
      <c:catAx>
        <c:axId val="16949696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sr-Latn-RS"/>
          </a:p>
        </c:txPr>
        <c:crossAx val="170054400"/>
        <c:crosses val="autoZero"/>
        <c:auto val="1"/>
        <c:lblAlgn val="ctr"/>
        <c:lblOffset val="100"/>
        <c:noMultiLvlLbl val="0"/>
      </c:catAx>
      <c:valAx>
        <c:axId val="170054400"/>
        <c:scaling>
          <c:orientation val="minMax"/>
        </c:scaling>
        <c:delete val="1"/>
        <c:axPos val="l"/>
        <c:numFmt formatCode="General" sourceLinked="1"/>
        <c:majorTickMark val="none"/>
        <c:minorTickMark val="none"/>
        <c:tickLblPos val="nextTo"/>
        <c:crossAx val="169496960"/>
        <c:crosses val="autoZero"/>
        <c:crossBetween val="between"/>
      </c:valAx>
    </c:plotArea>
    <c:legend>
      <c:legendPos val="t"/>
      <c:layout>
        <c:manualLayout>
          <c:xMode val="edge"/>
          <c:yMode val="edge"/>
          <c:x val="0.14141495333916593"/>
          <c:y val="0.15461660886813311"/>
          <c:w val="0.78714694517352002"/>
          <c:h val="0.22699143606053562"/>
        </c:manualLayout>
      </c:layout>
      <c:overlay val="0"/>
      <c:txPr>
        <a:bodyPr/>
        <a:lstStyle/>
        <a:p>
          <a:pPr>
            <a:defRPr>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200" b="1">
                <a:solidFill>
                  <a:sysClr val="windowText" lastClr="000000"/>
                </a:solidFill>
                <a:effectLst/>
                <a:latin typeface="Times New Roman" panose="02020603050405020304" pitchFamily="18" charset="0"/>
                <a:cs typeface="Times New Roman" panose="02020603050405020304" pitchFamily="18" charset="0"/>
              </a:rPr>
              <a:t>Број поступака над којима је спроведен мониторинг</a:t>
            </a:r>
            <a:endParaRPr lang="en-US" sz="1200" b="1">
              <a:solidFill>
                <a:sysClr val="windowText" lastClr="000000"/>
              </a:solidFill>
              <a:effectLst/>
              <a:latin typeface="Times New Roman" panose="02020603050405020304" pitchFamily="18" charset="0"/>
              <a:cs typeface="Times New Roman" panose="02020603050405020304" pitchFamily="18" charset="0"/>
            </a:endParaRPr>
          </a:p>
          <a:p>
            <a:pPr>
              <a:defRPr/>
            </a:pPr>
            <a:r>
              <a:rPr lang="sr-Cyrl-CS" sz="1200" b="1">
                <a:solidFill>
                  <a:sysClr val="windowText" lastClr="000000"/>
                </a:solidFill>
                <a:effectLst/>
                <a:latin typeface="Times New Roman" panose="02020603050405020304" pitchFamily="18" charset="0"/>
                <a:cs typeface="Times New Roman" panose="02020603050405020304" pitchFamily="18" charset="0"/>
              </a:rPr>
              <a:t>Број субјеката редовног надзора над извршењем уговора</a:t>
            </a:r>
            <a:endParaRPr lang="en-US" sz="12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Број поступака над којима је спроведен мониторинг, укупно</c:v>
                </c:pt>
              </c:strCache>
            </c:strRef>
          </c:tx>
          <c:spPr>
            <a:solidFill>
              <a:schemeClr val="accent1"/>
            </a:solidFill>
            <a:ln>
              <a:noFill/>
            </a:ln>
            <a:effectLst/>
            <a:sp3d/>
          </c:spPr>
          <c:invertIfNegative val="0"/>
          <c:dLbls>
            <c:dLbl>
              <c:idx val="0"/>
              <c:layout>
                <c:manualLayout>
                  <c:x val="6.9444444444444441E-3"/>
                  <c:y val="-1.984126984126987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73-4A0E-8618-E9B4796EA0A7}"/>
                </c:ext>
              </c:extLst>
            </c:dLbl>
            <c:dLbl>
              <c:idx val="1"/>
              <c:layout>
                <c:manualLayout>
                  <c:x val="1.3888888888888888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73-4A0E-8618-E9B4796EA0A7}"/>
                </c:ext>
              </c:extLst>
            </c:dLbl>
            <c:dLbl>
              <c:idx val="2"/>
              <c:layout>
                <c:manualLayout>
                  <c:x val="1.8518518518518434E-2"/>
                  <c:y val="-1.587301587301587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73-4A0E-8618-E9B4796EA0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(2023)</c:v>
                </c:pt>
                <c:pt idx="1">
                  <c:v>Циљана вредност (2024)</c:v>
                </c:pt>
                <c:pt idx="2">
                  <c:v>Остварена вредност (2024)</c:v>
                </c:pt>
              </c:strCache>
            </c:strRef>
          </c:cat>
          <c:val>
            <c:numRef>
              <c:f>Sheet1!$B$2:$B$4</c:f>
              <c:numCache>
                <c:formatCode>General</c:formatCode>
                <c:ptCount val="3"/>
                <c:pt idx="0">
                  <c:v>782</c:v>
                </c:pt>
                <c:pt idx="1">
                  <c:v>800</c:v>
                </c:pt>
                <c:pt idx="2">
                  <c:v>810</c:v>
                </c:pt>
              </c:numCache>
            </c:numRef>
          </c:val>
          <c:extLst>
            <c:ext xmlns:c16="http://schemas.microsoft.com/office/drawing/2014/chart" uri="{C3380CC4-5D6E-409C-BE32-E72D297353CC}">
              <c16:uniqueId val="{00000000-0873-4A0E-8618-E9B4796EA0A7}"/>
            </c:ext>
          </c:extLst>
        </c:ser>
        <c:ser>
          <c:idx val="1"/>
          <c:order val="1"/>
          <c:tx>
            <c:strRef>
              <c:f>Sheet1!$C$1</c:f>
              <c:strCache>
                <c:ptCount val="1"/>
                <c:pt idx="0">
                  <c:v>Број субјеката редовног надзора над извршењем уговора, укупно</c:v>
                </c:pt>
              </c:strCache>
            </c:strRef>
          </c:tx>
          <c:spPr>
            <a:solidFill>
              <a:schemeClr val="accent2"/>
            </a:solidFill>
            <a:ln>
              <a:noFill/>
            </a:ln>
            <a:effectLst/>
            <a:sp3d/>
          </c:spPr>
          <c:invertIfNegative val="0"/>
          <c:dLbls>
            <c:dLbl>
              <c:idx val="0"/>
              <c:layout>
                <c:manualLayout>
                  <c:x val="1.6203703703703661E-2"/>
                  <c:y val="-2.380952380952388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73-4A0E-8618-E9B4796EA0A7}"/>
                </c:ext>
              </c:extLst>
            </c:dLbl>
            <c:dLbl>
              <c:idx val="1"/>
              <c:layout>
                <c:manualLayout>
                  <c:x val="1.8518518518518517E-2"/>
                  <c:y val="-1.58730158730159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73-4A0E-8618-E9B4796EA0A7}"/>
                </c:ext>
              </c:extLst>
            </c:dLbl>
            <c:dLbl>
              <c:idx val="2"/>
              <c:layout>
                <c:manualLayout>
                  <c:x val="2.3148148148148147E-2"/>
                  <c:y val="-1.984126984126991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73-4A0E-8618-E9B4796EA0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(2023)</c:v>
                </c:pt>
                <c:pt idx="1">
                  <c:v>Циљана вредност (2024)</c:v>
                </c:pt>
                <c:pt idx="2">
                  <c:v>Остварена вредност (2024)</c:v>
                </c:pt>
              </c:strCache>
            </c:strRef>
          </c:cat>
          <c:val>
            <c:numRef>
              <c:f>Sheet1!$C$2:$C$4</c:f>
              <c:numCache>
                <c:formatCode>General</c:formatCode>
                <c:ptCount val="3"/>
                <c:pt idx="0">
                  <c:v>43</c:v>
                </c:pt>
                <c:pt idx="1">
                  <c:v>80</c:v>
                </c:pt>
                <c:pt idx="2">
                  <c:v>80</c:v>
                </c:pt>
              </c:numCache>
            </c:numRef>
          </c:val>
          <c:extLst>
            <c:ext xmlns:c16="http://schemas.microsoft.com/office/drawing/2014/chart" uri="{C3380CC4-5D6E-409C-BE32-E72D297353CC}">
              <c16:uniqueId val="{00000001-0873-4A0E-8618-E9B4796EA0A7}"/>
            </c:ext>
          </c:extLst>
        </c:ser>
        <c:dLbls>
          <c:showLegendKey val="0"/>
          <c:showVal val="0"/>
          <c:showCatName val="0"/>
          <c:showSerName val="0"/>
          <c:showPercent val="0"/>
          <c:showBubbleSize val="0"/>
        </c:dLbls>
        <c:gapWidth val="150"/>
        <c:shape val="box"/>
        <c:axId val="1309782927"/>
        <c:axId val="405949199"/>
        <c:axId val="0"/>
      </c:bar3DChart>
      <c:catAx>
        <c:axId val="13097829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405949199"/>
        <c:crosses val="autoZero"/>
        <c:auto val="1"/>
        <c:lblAlgn val="ctr"/>
        <c:lblOffset val="100"/>
        <c:noMultiLvlLbl val="0"/>
      </c:catAx>
      <c:valAx>
        <c:axId val="405949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130978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Остварена вредност (2024)
Остварен  напредак</cx:pt>
          <cx:pt idx="1">Циљана вредност (2024)
Известан напредак</cx:pt>
          <cx:pt idx="2">Почетна вредност (2023)
Умерено припремљена</cx:pt>
        </cx:lvl>
      </cx:strDim>
      <cx:numDim type="val">
        <cx:f>Sheet1!$B$2:$B$4</cx:f>
        <cx:lvl ptCount="3" formatCode="General">
          <cx:pt idx="0">4000</cx:pt>
          <cx:pt idx="1">4000</cx:pt>
          <cx:pt idx="2">3000</cx:pt>
        </cx:lvl>
      </cx:numDim>
    </cx:data>
  </cx:chartData>
  <cx:chart>
    <cx:title pos="t" align="ctr" overlay="0">
      <cx:tx>
        <cx:rich>
          <a:bodyPr spcFirstLastPara="1" vertOverflow="ellipsis" horzOverflow="overflow" wrap="square" lIns="0" tIns="0" rIns="0" bIns="0" anchor="ctr" anchorCtr="1"/>
          <a:lstStyle/>
          <a:p>
            <a:pPr algn="ctr" rtl="0">
              <a:defRPr/>
            </a:pPr>
            <a:r>
              <a:rPr lang="sr-Cyrl-RS" sz="1200" b="1" i="0" u="none" strike="noStrike" baseline="0">
                <a:solidFill>
                  <a:sysClr val="windowText" lastClr="000000"/>
                </a:solidFill>
                <a:latin typeface="Times New Roman" panose="02020603050405020304" pitchFamily="18" charset="0"/>
                <a:cs typeface="Times New Roman" panose="02020603050405020304" pitchFamily="18" charset="0"/>
              </a:rPr>
              <a:t>Извештај о напретку Републике Србије у оквиру Поглавља 5 - јавне набавке</a:t>
            </a:r>
            <a:endParaRPr lang="en-US" sz="1200" b="1" i="0" u="none" strike="noStrike" baseline="0">
              <a:solidFill>
                <a:sysClr val="windowText" lastClr="000000"/>
              </a:solidFill>
              <a:latin typeface="Times New Roman" panose="02020603050405020304" pitchFamily="18" charset="0"/>
              <a:cs typeface="Times New Roman" panose="02020603050405020304" pitchFamily="18" charset="0"/>
            </a:endParaRPr>
          </a:p>
        </cx:rich>
      </cx:tx>
    </cx:title>
    <cx:plotArea>
      <cx:plotAreaRegion>
        <cx:series layoutId="funnel" uniqueId="{2C409388-9449-44BF-8A13-2135B5BF6D53}">
          <cx:tx>
            <cx:txData>
              <cx:f>Sheet1!$B$1</cx:f>
              <cx:v>Series1</cx:v>
            </cx:txData>
          </cx:tx>
          <cx:spPr>
            <a:solidFill>
              <a:schemeClr val="accent2">
                <a:lumMod val="40000"/>
                <a:lumOff val="60000"/>
              </a:schemeClr>
            </a:solidFill>
          </cx:spPr>
          <cx:dataPt idx="0">
            <cx:spPr>
              <a:solidFill>
                <a:srgbClr val="4F81BD"/>
              </a:solidFill>
            </cx:spPr>
          </cx:dataPt>
          <cx:dataPt idx="1">
            <cx:spPr>
              <a:solidFill>
                <a:srgbClr val="C0504D"/>
              </a:solidFill>
            </cx:spPr>
          </cx:dataPt>
          <cx:dataPt idx="2">
            <cx:spPr>
              <a:solidFill>
                <a:srgbClr val="9BBB59"/>
              </a:solidFill>
            </cx:spPr>
          </cx:dataPt>
          <cx:dataId val="0"/>
        </cx:series>
      </cx:plotAreaRegion>
      <cx:axis id="0">
        <cx:catScaling gapWidth="0.0599999987"/>
        <cx:tickLabels/>
        <cx:txPr>
          <a:bodyPr spcFirstLastPara="1" vertOverflow="ellipsis" horzOverflow="overflow" wrap="square" lIns="0" tIns="0" rIns="0" bIns="0" anchor="ctr" anchorCtr="1"/>
          <a:lstStyle/>
          <a:p>
            <a:pPr algn="ctr" rtl="0">
              <a:defRPr>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ysClr val="windowText" lastClr="000000"/>
              </a:solidFill>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3079-397A-465A-A152-C26C2B62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7593</Words>
  <Characters>43285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Otasevic</dc:creator>
  <cp:lastModifiedBy>Aleksandra Krivokapic</cp:lastModifiedBy>
  <cp:revision>4</cp:revision>
  <cp:lastPrinted>2025-04-30T11:59:00Z</cp:lastPrinted>
  <dcterms:created xsi:type="dcterms:W3CDTF">2025-04-30T10:15:00Z</dcterms:created>
  <dcterms:modified xsi:type="dcterms:W3CDTF">2025-04-30T12:04:00Z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6e803f63205fbe7ed2798dc9d39f8bd50271e4bf2d1fc544e58c6093889a8340</vt:lpwstr>
  </property>
</Properties>
</file>