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FDB" w14:textId="65B45058" w:rsidR="00DB7F8C" w:rsidRPr="003F7379" w:rsidRDefault="00425DD3" w:rsidP="00FA745C">
      <w:pPr>
        <w:jc w:val="center"/>
        <w:rPr>
          <w:rFonts w:cstheme="minorHAnsi"/>
          <w:b/>
          <w:bCs/>
        </w:rPr>
      </w:pPr>
      <w:r w:rsidRPr="003F7379">
        <w:rPr>
          <w:rFonts w:cstheme="minorHAnsi"/>
          <w:b/>
          <w:bCs/>
        </w:rPr>
        <w:t xml:space="preserve">INFORMATION ABOUT </w:t>
      </w:r>
      <w:r w:rsidR="0045775E" w:rsidRPr="003F7379">
        <w:rPr>
          <w:rFonts w:cstheme="minorHAnsi"/>
          <w:b/>
          <w:bCs/>
        </w:rPr>
        <w:t xml:space="preserve">THE LEVEL OF </w:t>
      </w:r>
      <w:r w:rsidR="00A501F3" w:rsidRPr="003F7379">
        <w:rPr>
          <w:rFonts w:cstheme="minorHAnsi"/>
          <w:b/>
          <w:bCs/>
        </w:rPr>
        <w:t xml:space="preserve">COMPETITION </w:t>
      </w:r>
      <w:r w:rsidR="00744085" w:rsidRPr="003F7379">
        <w:rPr>
          <w:rFonts w:cstheme="minorHAnsi"/>
          <w:b/>
          <w:bCs/>
        </w:rPr>
        <w:t xml:space="preserve">IN </w:t>
      </w:r>
      <w:r w:rsidR="00A501F3" w:rsidRPr="003F7379">
        <w:rPr>
          <w:rFonts w:cstheme="minorHAnsi"/>
          <w:b/>
          <w:bCs/>
        </w:rPr>
        <w:t xml:space="preserve">PUBLIC PROCUREMENT </w:t>
      </w:r>
      <w:r w:rsidR="00744085" w:rsidRPr="003F7379">
        <w:rPr>
          <w:rFonts w:cstheme="minorHAnsi"/>
          <w:b/>
          <w:bCs/>
        </w:rPr>
        <w:t>PROCEDURES</w:t>
      </w:r>
      <w:r w:rsidR="00A501F3" w:rsidRPr="003F7379">
        <w:rPr>
          <w:rFonts w:cstheme="minorHAnsi"/>
          <w:b/>
          <w:bCs/>
        </w:rPr>
        <w:t xml:space="preserve"> IN </w:t>
      </w:r>
      <w:r w:rsidR="00F16409">
        <w:rPr>
          <w:rFonts w:cstheme="minorHAnsi"/>
          <w:b/>
          <w:bCs/>
        </w:rPr>
        <w:t xml:space="preserve">SOME </w:t>
      </w:r>
      <w:r w:rsidR="00A501F3" w:rsidRPr="003F7379">
        <w:rPr>
          <w:rFonts w:cstheme="minorHAnsi"/>
          <w:b/>
          <w:bCs/>
        </w:rPr>
        <w:t>EU COUNTRIES</w:t>
      </w:r>
      <w:r w:rsidR="00CF1C3D" w:rsidRPr="003F7379">
        <w:rPr>
          <w:rFonts w:cstheme="minorHAnsi"/>
          <w:b/>
          <w:bCs/>
        </w:rPr>
        <w:t xml:space="preserve"> -</w:t>
      </w:r>
    </w:p>
    <w:p w14:paraId="2C397DAB" w14:textId="77777777" w:rsidR="00A501F3" w:rsidRPr="003F7379" w:rsidRDefault="00A501F3" w:rsidP="00FA745C">
      <w:pPr>
        <w:jc w:val="center"/>
        <w:rPr>
          <w:rFonts w:cstheme="minorHAnsi"/>
          <w:b/>
          <w:bCs/>
        </w:rPr>
      </w:pPr>
    </w:p>
    <w:p w14:paraId="1826D03A" w14:textId="5DB8DF74" w:rsidR="00A501F3" w:rsidRPr="003F7379" w:rsidRDefault="00A501F3" w:rsidP="00FA745C">
      <w:pPr>
        <w:jc w:val="center"/>
        <w:rPr>
          <w:rFonts w:cstheme="minorHAnsi"/>
          <w:b/>
          <w:bCs/>
        </w:rPr>
      </w:pPr>
      <w:r w:rsidRPr="003F7379">
        <w:rPr>
          <w:rFonts w:cstheme="minorHAnsi"/>
          <w:b/>
          <w:bCs/>
        </w:rPr>
        <w:t xml:space="preserve">STATISTICAL DATA </w:t>
      </w:r>
      <w:r w:rsidR="00744085" w:rsidRPr="003F7379">
        <w:rPr>
          <w:rFonts w:cstheme="minorHAnsi"/>
          <w:b/>
          <w:bCs/>
        </w:rPr>
        <w:t>ON AVERAGE NUMBER</w:t>
      </w:r>
      <w:r w:rsidR="00475C09">
        <w:rPr>
          <w:rFonts w:cstheme="minorHAnsi"/>
          <w:b/>
          <w:bCs/>
        </w:rPr>
        <w:t>S</w:t>
      </w:r>
      <w:r w:rsidR="00744085" w:rsidRPr="003F7379">
        <w:rPr>
          <w:rFonts w:cstheme="minorHAnsi"/>
          <w:b/>
          <w:bCs/>
        </w:rPr>
        <w:t xml:space="preserve"> OF </w:t>
      </w:r>
      <w:r w:rsidR="00452332" w:rsidRPr="003F7379">
        <w:rPr>
          <w:rFonts w:cstheme="minorHAnsi"/>
          <w:b/>
          <w:bCs/>
        </w:rPr>
        <w:t xml:space="preserve">SUBMITTED TENDERS </w:t>
      </w:r>
      <w:r w:rsidRPr="003F7379">
        <w:rPr>
          <w:rFonts w:cstheme="minorHAnsi"/>
          <w:b/>
          <w:bCs/>
        </w:rPr>
        <w:t xml:space="preserve">AND MEASURES ADOPTED </w:t>
      </w:r>
      <w:r w:rsidR="00452332" w:rsidRPr="003F7379">
        <w:rPr>
          <w:rFonts w:cstheme="minorHAnsi"/>
          <w:b/>
          <w:bCs/>
        </w:rPr>
        <w:t xml:space="preserve">BY </w:t>
      </w:r>
      <w:r w:rsidR="0045775E" w:rsidRPr="003F7379">
        <w:rPr>
          <w:rFonts w:cstheme="minorHAnsi"/>
          <w:b/>
          <w:bCs/>
        </w:rPr>
        <w:t xml:space="preserve">SELECTED </w:t>
      </w:r>
      <w:r w:rsidR="00452332" w:rsidRPr="003F7379">
        <w:rPr>
          <w:rFonts w:cstheme="minorHAnsi"/>
          <w:b/>
          <w:bCs/>
        </w:rPr>
        <w:t xml:space="preserve">EU MEMBER STATES </w:t>
      </w:r>
      <w:r w:rsidRPr="003F7379">
        <w:rPr>
          <w:rFonts w:cstheme="minorHAnsi"/>
          <w:b/>
          <w:bCs/>
        </w:rPr>
        <w:t>IN ORDER TO INCREASE IT</w:t>
      </w:r>
    </w:p>
    <w:p w14:paraId="010064CB" w14:textId="77777777" w:rsidR="00C2526B" w:rsidRPr="003F7379" w:rsidRDefault="00C2526B" w:rsidP="00D557C6">
      <w:pPr>
        <w:jc w:val="both"/>
        <w:rPr>
          <w:rFonts w:cstheme="minorHAnsi"/>
          <w:b/>
          <w:bCs/>
        </w:rPr>
      </w:pPr>
    </w:p>
    <w:p w14:paraId="0F794383" w14:textId="77777777" w:rsidR="00C2526B" w:rsidRPr="003F7379" w:rsidRDefault="00C2526B" w:rsidP="00D557C6">
      <w:pPr>
        <w:jc w:val="both"/>
        <w:rPr>
          <w:rFonts w:cstheme="minorHAnsi"/>
          <w:b/>
          <w:bCs/>
        </w:rPr>
      </w:pPr>
    </w:p>
    <w:p w14:paraId="6E5EEFA8" w14:textId="77777777" w:rsidR="00C2526B" w:rsidRPr="003F7379" w:rsidRDefault="00C2526B" w:rsidP="00D557C6">
      <w:pPr>
        <w:jc w:val="both"/>
        <w:rPr>
          <w:rFonts w:cstheme="minorHAnsi"/>
          <w:b/>
          <w:bCs/>
        </w:rPr>
      </w:pPr>
    </w:p>
    <w:p w14:paraId="0BC7F2AC" w14:textId="77777777" w:rsidR="00452332" w:rsidRPr="003F7379" w:rsidRDefault="00452332" w:rsidP="00D557C6">
      <w:pPr>
        <w:jc w:val="both"/>
        <w:rPr>
          <w:rFonts w:cstheme="minorHAnsi"/>
          <w:b/>
          <w:bCs/>
        </w:rPr>
      </w:pPr>
    </w:p>
    <w:p w14:paraId="18A932F9" w14:textId="7C69C90F" w:rsidR="00452332" w:rsidRPr="003F7379" w:rsidRDefault="00452332" w:rsidP="00D557C6">
      <w:pPr>
        <w:jc w:val="both"/>
        <w:rPr>
          <w:rFonts w:cstheme="minorHAnsi"/>
          <w:b/>
          <w:bCs/>
        </w:rPr>
      </w:pPr>
      <w:r w:rsidRPr="003F7379">
        <w:rPr>
          <w:rFonts w:cstheme="minorHAnsi"/>
          <w:b/>
          <w:bCs/>
        </w:rPr>
        <w:t xml:space="preserve">INTRODUCTION </w:t>
      </w:r>
    </w:p>
    <w:p w14:paraId="3D70E0EB" w14:textId="77777777" w:rsidR="001B7814" w:rsidRPr="003F7379" w:rsidRDefault="001B7814" w:rsidP="00D557C6">
      <w:pPr>
        <w:jc w:val="both"/>
        <w:rPr>
          <w:rFonts w:cstheme="minorHAnsi"/>
          <w:b/>
          <w:bCs/>
        </w:rPr>
      </w:pPr>
    </w:p>
    <w:p w14:paraId="656BE614" w14:textId="42CD3CF0" w:rsidR="00452332" w:rsidRPr="003F7379" w:rsidRDefault="00452332" w:rsidP="00D557C6">
      <w:pPr>
        <w:jc w:val="both"/>
        <w:rPr>
          <w:rFonts w:cstheme="minorHAnsi"/>
          <w:i/>
          <w:iCs/>
        </w:rPr>
      </w:pPr>
      <w:r w:rsidRPr="003F7379">
        <w:rPr>
          <w:rFonts w:cstheme="minorHAnsi"/>
        </w:rPr>
        <w:t xml:space="preserve">This document is a </w:t>
      </w:r>
      <w:r w:rsidR="00595C33" w:rsidRPr="003F7379">
        <w:rPr>
          <w:rFonts w:cstheme="minorHAnsi"/>
        </w:rPr>
        <w:t xml:space="preserve">one of deliverables </w:t>
      </w:r>
      <w:r w:rsidR="00CF1C3D" w:rsidRPr="003F7379">
        <w:rPr>
          <w:rFonts w:cstheme="minorHAnsi"/>
        </w:rPr>
        <w:t xml:space="preserve">prepared by the Project </w:t>
      </w:r>
      <w:r w:rsidR="00595C33" w:rsidRPr="003F7379">
        <w:rPr>
          <w:rFonts w:cstheme="minorHAnsi"/>
        </w:rPr>
        <w:t xml:space="preserve">under </w:t>
      </w:r>
      <w:r w:rsidRPr="003F7379">
        <w:rPr>
          <w:rFonts w:cstheme="minorHAnsi"/>
        </w:rPr>
        <w:t>Activity</w:t>
      </w:r>
      <w:r w:rsidR="00595C33" w:rsidRPr="003F7379">
        <w:rPr>
          <w:rFonts w:cstheme="minorHAnsi"/>
        </w:rPr>
        <w:t xml:space="preserve"> </w:t>
      </w:r>
      <w:r w:rsidR="006C540B" w:rsidRPr="003F7379">
        <w:rPr>
          <w:rFonts w:cstheme="minorHAnsi"/>
        </w:rPr>
        <w:t xml:space="preserve">4.1.3 </w:t>
      </w:r>
      <w:r w:rsidR="00475D21" w:rsidRPr="003F7379">
        <w:rPr>
          <w:rFonts w:cstheme="minorHAnsi"/>
          <w:i/>
          <w:iCs/>
        </w:rPr>
        <w:t xml:space="preserve">“Conducting an assessment and providing recommendations for strengthening competition in </w:t>
      </w:r>
      <w:r w:rsidR="00293E77" w:rsidRPr="003F7379">
        <w:rPr>
          <w:rFonts w:cstheme="minorHAnsi"/>
          <w:i/>
          <w:iCs/>
        </w:rPr>
        <w:t>public procurement procedures.</w:t>
      </w:r>
      <w:r w:rsidR="001B7814" w:rsidRPr="003F7379">
        <w:rPr>
          <w:rFonts w:cstheme="minorHAnsi"/>
          <w:i/>
          <w:iCs/>
        </w:rPr>
        <w:t>”</w:t>
      </w:r>
    </w:p>
    <w:p w14:paraId="3CF28729" w14:textId="77777777" w:rsidR="00293E77" w:rsidRPr="003F7379" w:rsidRDefault="00293E77" w:rsidP="00D557C6">
      <w:pPr>
        <w:jc w:val="both"/>
        <w:rPr>
          <w:rFonts w:cstheme="minorHAnsi"/>
        </w:rPr>
      </w:pPr>
    </w:p>
    <w:p w14:paraId="311E7D47" w14:textId="3EAA7AF5" w:rsidR="003C5919" w:rsidRPr="003F7379" w:rsidRDefault="001B7814" w:rsidP="00D557C6">
      <w:pPr>
        <w:suppressAutoHyphens/>
        <w:autoSpaceDE w:val="0"/>
        <w:autoSpaceDN w:val="0"/>
        <w:jc w:val="both"/>
        <w:textAlignment w:val="baseline"/>
        <w:rPr>
          <w:rFonts w:eastAsia="Calibri" w:cstheme="minorHAnsi"/>
        </w:rPr>
      </w:pPr>
      <w:r w:rsidRPr="003F7379">
        <w:rPr>
          <w:rFonts w:eastAsia="Calibri" w:cstheme="minorHAnsi"/>
        </w:rPr>
        <w:t>One of the characteristics of the public procurement in Serbia</w:t>
      </w:r>
      <w:r w:rsidR="0045775E" w:rsidRPr="003F7379">
        <w:rPr>
          <w:rFonts w:eastAsia="Calibri" w:cstheme="minorHAnsi"/>
        </w:rPr>
        <w:t xml:space="preserve">, </w:t>
      </w:r>
      <w:r w:rsidRPr="003F7379">
        <w:rPr>
          <w:rFonts w:eastAsia="Calibri" w:cstheme="minorHAnsi"/>
        </w:rPr>
        <w:t>which is constantly measured by the PPO and reflected in its annual reports</w:t>
      </w:r>
      <w:r w:rsidR="0045775E" w:rsidRPr="003F7379">
        <w:rPr>
          <w:rFonts w:eastAsia="Calibri" w:cstheme="minorHAnsi"/>
        </w:rPr>
        <w:t>,</w:t>
      </w:r>
      <w:r w:rsidRPr="003F7379">
        <w:rPr>
          <w:rFonts w:eastAsia="Calibri" w:cstheme="minorHAnsi"/>
        </w:rPr>
        <w:t xml:space="preserve"> </w:t>
      </w:r>
      <w:r w:rsidRPr="003F7379">
        <w:rPr>
          <w:rFonts w:eastAsia="Calibri" w:cstheme="minorHAnsi"/>
          <w:b/>
          <w:bCs/>
        </w:rPr>
        <w:t>is the competitiveness of the public procurement procedures, expressed in terms of an average number of tenders submitted in procurement procedures.</w:t>
      </w:r>
      <w:r w:rsidRPr="003F7379">
        <w:rPr>
          <w:rFonts w:eastAsia="Calibri" w:cstheme="minorHAnsi"/>
        </w:rPr>
        <w:t xml:space="preserve"> In the light of information </w:t>
      </w:r>
      <w:r w:rsidR="00A66539" w:rsidRPr="003F7379">
        <w:rPr>
          <w:rFonts w:eastAsia="Calibri" w:cstheme="minorHAnsi"/>
        </w:rPr>
        <w:t xml:space="preserve">regularly </w:t>
      </w:r>
      <w:r w:rsidRPr="003F7379">
        <w:rPr>
          <w:rFonts w:eastAsia="Calibri" w:cstheme="minorHAnsi"/>
        </w:rPr>
        <w:t xml:space="preserve">published by the PPO the average number of tenders looks stable. Most recently it amounted to, both in 2022 and 2021, to 2.5 tenders per procedure. In 2023 that number fell slightly to 2.4 </w:t>
      </w:r>
      <w:r w:rsidR="003C5919" w:rsidRPr="003F7379">
        <w:rPr>
          <w:rFonts w:eastAsia="Calibri" w:cstheme="minorHAnsi"/>
        </w:rPr>
        <w:t xml:space="preserve">bids. </w:t>
      </w:r>
    </w:p>
    <w:p w14:paraId="36E42129" w14:textId="77777777" w:rsidR="00B523C7" w:rsidRPr="003F7379" w:rsidRDefault="00B523C7" w:rsidP="00D557C6">
      <w:pPr>
        <w:suppressAutoHyphens/>
        <w:autoSpaceDE w:val="0"/>
        <w:autoSpaceDN w:val="0"/>
        <w:jc w:val="both"/>
        <w:textAlignment w:val="baseline"/>
        <w:rPr>
          <w:rFonts w:eastAsia="Calibri" w:cstheme="minorHAnsi"/>
        </w:rPr>
      </w:pPr>
    </w:p>
    <w:p w14:paraId="637074CB" w14:textId="6801C507" w:rsidR="001B7814" w:rsidRPr="003F7379" w:rsidRDefault="001B7814" w:rsidP="00D557C6">
      <w:pPr>
        <w:suppressAutoHyphens/>
        <w:autoSpaceDE w:val="0"/>
        <w:autoSpaceDN w:val="0"/>
        <w:jc w:val="both"/>
        <w:textAlignment w:val="baseline"/>
        <w:rPr>
          <w:rFonts w:eastAsia="Calibri" w:cstheme="minorHAnsi"/>
          <w:lang w:val="en"/>
        </w:rPr>
      </w:pPr>
      <w:r w:rsidRPr="003F7379">
        <w:rPr>
          <w:rFonts w:eastAsia="Calibri" w:cstheme="minorHAnsi"/>
        </w:rPr>
        <w:t>The P</w:t>
      </w:r>
      <w:r w:rsidR="00B523C7" w:rsidRPr="003F7379">
        <w:rPr>
          <w:rFonts w:eastAsia="Calibri" w:cstheme="minorHAnsi"/>
        </w:rPr>
        <w:t xml:space="preserve">ublic Procurement Law </w:t>
      </w:r>
      <w:r w:rsidRPr="003F7379">
        <w:rPr>
          <w:rFonts w:eastAsia="Calibri" w:cstheme="minorHAnsi"/>
        </w:rPr>
        <w:t xml:space="preserve">adopted in 2020 contains a number of provisions and solutions, based on EU public procurement directives, purpose of which is to increase the competition on the public procurement market, </w:t>
      </w:r>
      <w:r w:rsidRPr="003F7379">
        <w:rPr>
          <w:rFonts w:eastAsia="Calibri" w:cstheme="minorHAnsi"/>
          <w:u w:val="single"/>
        </w:rPr>
        <w:t>such as market research or encouragement of division of procurement contracts into lots.</w:t>
      </w:r>
      <w:r w:rsidRPr="003F7379">
        <w:rPr>
          <w:rFonts w:eastAsia="Calibri" w:cstheme="minorHAnsi"/>
        </w:rPr>
        <w:t xml:space="preserve"> Apparently, those solutions have not yet resulted in any significant change of situation </w:t>
      </w:r>
      <w:r w:rsidR="00496BC9" w:rsidRPr="003F7379">
        <w:rPr>
          <w:rFonts w:eastAsia="Calibri" w:cstheme="minorHAnsi"/>
        </w:rPr>
        <w:t>with regard to intensity of competition for public contracts</w:t>
      </w:r>
      <w:r w:rsidRPr="003F7379">
        <w:rPr>
          <w:rFonts w:eastAsia="Calibri" w:cstheme="minorHAnsi"/>
        </w:rPr>
        <w:t xml:space="preserve">. That problem was duly noted by the PPO and analysed in </w:t>
      </w:r>
      <w:r w:rsidR="00DC00B4" w:rsidRPr="003F7379">
        <w:rPr>
          <w:rFonts w:eastAsia="Calibri" w:cstheme="minorHAnsi"/>
        </w:rPr>
        <w:t xml:space="preserve">the </w:t>
      </w:r>
      <w:r w:rsidRPr="003F7379">
        <w:rPr>
          <w:rFonts w:eastAsia="Calibri" w:cstheme="minorHAnsi"/>
        </w:rPr>
        <w:t xml:space="preserve">annual report for 2022. According to the information provided in the report an </w:t>
      </w:r>
      <w:r w:rsidRPr="003F7379">
        <w:rPr>
          <w:rFonts w:eastAsia="Calibri" w:cstheme="minorHAnsi"/>
          <w:lang w:val="en"/>
        </w:rPr>
        <w:t>additional analysis of the average number was also performed of submitted bids by type of public procurement subject and by public procurement subject, according to C</w:t>
      </w:r>
      <w:r w:rsidR="00254C01">
        <w:rPr>
          <w:rFonts w:eastAsia="Calibri" w:cstheme="minorHAnsi"/>
          <w:lang w:val="en"/>
        </w:rPr>
        <w:t xml:space="preserve">ommon </w:t>
      </w:r>
      <w:r w:rsidRPr="003F7379">
        <w:rPr>
          <w:rFonts w:eastAsia="Calibri" w:cstheme="minorHAnsi"/>
          <w:lang w:val="en"/>
        </w:rPr>
        <w:t>P</w:t>
      </w:r>
      <w:r w:rsidR="00254C01">
        <w:rPr>
          <w:rFonts w:eastAsia="Calibri" w:cstheme="minorHAnsi"/>
          <w:lang w:val="en"/>
        </w:rPr>
        <w:t xml:space="preserve">rocurement </w:t>
      </w:r>
      <w:r w:rsidRPr="003F7379">
        <w:rPr>
          <w:rFonts w:eastAsia="Calibri" w:cstheme="minorHAnsi"/>
          <w:lang w:val="en"/>
        </w:rPr>
        <w:t>V</w:t>
      </w:r>
      <w:r w:rsidR="00254C01">
        <w:rPr>
          <w:rFonts w:eastAsia="Calibri" w:cstheme="minorHAnsi"/>
          <w:lang w:val="en"/>
        </w:rPr>
        <w:t xml:space="preserve">ocabulary </w:t>
      </w:r>
      <w:r w:rsidR="005816EA">
        <w:rPr>
          <w:rFonts w:eastAsia="Calibri" w:cstheme="minorHAnsi"/>
          <w:lang w:val="en"/>
        </w:rPr>
        <w:t xml:space="preserve">(CPV) </w:t>
      </w:r>
      <w:r w:rsidRPr="003F7379">
        <w:rPr>
          <w:rFonts w:eastAsia="Calibri" w:cstheme="minorHAnsi"/>
          <w:lang w:val="en"/>
        </w:rPr>
        <w:t xml:space="preserve">codes. According to the PPO one of the factors that works limiting competition is insufficient market research conducted by contracting authorities. In some cases, a contracting authority, due to insufficient knowledge of the situation on the relevant market, as well as inadequate determination criteria for the qualitative selection of economic operators, narrows the circle of potential bidders. </w:t>
      </w:r>
    </w:p>
    <w:p w14:paraId="0AD358BE" w14:textId="77777777" w:rsidR="00452332" w:rsidRPr="003F7379" w:rsidRDefault="00452332" w:rsidP="00D557C6">
      <w:pPr>
        <w:jc w:val="both"/>
        <w:rPr>
          <w:rFonts w:cstheme="minorHAnsi"/>
        </w:rPr>
      </w:pPr>
    </w:p>
    <w:p w14:paraId="463D0BE5" w14:textId="428F3EA0" w:rsidR="00452332" w:rsidRPr="003F7379" w:rsidRDefault="00452332" w:rsidP="00D557C6">
      <w:pPr>
        <w:jc w:val="both"/>
        <w:rPr>
          <w:rFonts w:cstheme="minorHAnsi"/>
          <w:b/>
          <w:bCs/>
        </w:rPr>
      </w:pPr>
      <w:r w:rsidRPr="003F7379">
        <w:rPr>
          <w:rFonts w:cstheme="minorHAnsi"/>
          <w:b/>
          <w:bCs/>
        </w:rPr>
        <w:t xml:space="preserve">The PPO has requested from the Project information about average number of tenders </w:t>
      </w:r>
      <w:r w:rsidR="007D2A06" w:rsidRPr="003F7379">
        <w:rPr>
          <w:rFonts w:cstheme="minorHAnsi"/>
          <w:b/>
          <w:bCs/>
        </w:rPr>
        <w:t xml:space="preserve">submitted in EU countries as well as information about legislative and practical measures adopted in order to increase </w:t>
      </w:r>
      <w:r w:rsidR="00B76C29" w:rsidRPr="003F7379">
        <w:rPr>
          <w:rFonts w:cstheme="minorHAnsi"/>
          <w:b/>
          <w:bCs/>
        </w:rPr>
        <w:t>competition on the public procurement market</w:t>
      </w:r>
      <w:r w:rsidR="007D2A06" w:rsidRPr="003F7379">
        <w:rPr>
          <w:rFonts w:cstheme="minorHAnsi"/>
          <w:b/>
          <w:bCs/>
        </w:rPr>
        <w:t xml:space="preserve">. In response to this </w:t>
      </w:r>
      <w:r w:rsidR="00B76C29" w:rsidRPr="003F7379">
        <w:rPr>
          <w:rFonts w:cstheme="minorHAnsi"/>
          <w:b/>
          <w:bCs/>
        </w:rPr>
        <w:t>request the Project has conducted research in selected EU coun</w:t>
      </w:r>
      <w:r w:rsidR="006D6165" w:rsidRPr="003F7379">
        <w:rPr>
          <w:rFonts w:cstheme="minorHAnsi"/>
          <w:b/>
          <w:bCs/>
        </w:rPr>
        <w:t>tries</w:t>
      </w:r>
      <w:r w:rsidR="008704A5" w:rsidRPr="003F7379">
        <w:rPr>
          <w:rFonts w:cstheme="minorHAnsi"/>
          <w:b/>
          <w:bCs/>
        </w:rPr>
        <w:t xml:space="preserve">, the </w:t>
      </w:r>
      <w:r w:rsidR="006D6165" w:rsidRPr="003F7379">
        <w:rPr>
          <w:rFonts w:cstheme="minorHAnsi"/>
          <w:b/>
          <w:bCs/>
        </w:rPr>
        <w:t xml:space="preserve">effect of which is </w:t>
      </w:r>
      <w:r w:rsidR="001A177E">
        <w:rPr>
          <w:rFonts w:cstheme="minorHAnsi"/>
          <w:b/>
          <w:bCs/>
        </w:rPr>
        <w:t xml:space="preserve">information provided below. </w:t>
      </w:r>
      <w:r w:rsidR="00AE7760" w:rsidRPr="003F7379">
        <w:rPr>
          <w:rFonts w:cstheme="minorHAnsi"/>
          <w:b/>
          <w:bCs/>
        </w:rPr>
        <w:t xml:space="preserve"> </w:t>
      </w:r>
    </w:p>
    <w:p w14:paraId="4A098473" w14:textId="77777777" w:rsidR="00452332" w:rsidRPr="003F7379" w:rsidRDefault="00452332" w:rsidP="00D557C6">
      <w:pPr>
        <w:jc w:val="both"/>
        <w:rPr>
          <w:rFonts w:cstheme="minorHAnsi"/>
          <w:b/>
          <w:bCs/>
        </w:rPr>
      </w:pPr>
    </w:p>
    <w:p w14:paraId="4A6CF9B7" w14:textId="77777777" w:rsidR="00452332" w:rsidRPr="003F7379" w:rsidRDefault="00452332" w:rsidP="00D557C6">
      <w:pPr>
        <w:jc w:val="both"/>
        <w:rPr>
          <w:rFonts w:cstheme="minorHAnsi"/>
        </w:rPr>
      </w:pPr>
    </w:p>
    <w:p w14:paraId="64D1EF69" w14:textId="77777777" w:rsidR="006171CC" w:rsidRPr="003F7379" w:rsidRDefault="006171CC" w:rsidP="00D557C6">
      <w:pPr>
        <w:jc w:val="both"/>
        <w:rPr>
          <w:rFonts w:cstheme="minorHAnsi"/>
        </w:rPr>
      </w:pPr>
    </w:p>
    <w:p w14:paraId="56E28CFE" w14:textId="77777777" w:rsidR="00A56FDD" w:rsidRPr="003F7379" w:rsidRDefault="00A56FDD" w:rsidP="00D557C6">
      <w:pPr>
        <w:jc w:val="both"/>
        <w:rPr>
          <w:rFonts w:cstheme="minorHAnsi"/>
          <w:b/>
          <w:bCs/>
        </w:rPr>
      </w:pPr>
      <w:r w:rsidRPr="003F7379">
        <w:rPr>
          <w:rFonts w:cstheme="minorHAnsi"/>
          <w:b/>
          <w:bCs/>
        </w:rPr>
        <w:t xml:space="preserve">POLAND </w:t>
      </w:r>
    </w:p>
    <w:p w14:paraId="79936C2D" w14:textId="77777777" w:rsidR="00A56FDD" w:rsidRPr="003F7379" w:rsidRDefault="00A56FDD" w:rsidP="00D557C6">
      <w:pPr>
        <w:jc w:val="both"/>
        <w:rPr>
          <w:rFonts w:cstheme="minorHAnsi"/>
          <w:b/>
          <w:bCs/>
        </w:rPr>
      </w:pPr>
    </w:p>
    <w:p w14:paraId="5A05E182" w14:textId="66355F8C" w:rsidR="001A177E" w:rsidRDefault="00FE5765" w:rsidP="00D557C6">
      <w:pPr>
        <w:jc w:val="both"/>
        <w:rPr>
          <w:rFonts w:cstheme="minorHAnsi"/>
        </w:rPr>
      </w:pPr>
      <w:r w:rsidRPr="003F7379">
        <w:rPr>
          <w:rFonts w:cstheme="minorHAnsi"/>
        </w:rPr>
        <w:t>The annual report</w:t>
      </w:r>
      <w:r w:rsidR="000135CF">
        <w:rPr>
          <w:rFonts w:cstheme="minorHAnsi"/>
        </w:rPr>
        <w:t>s</w:t>
      </w:r>
      <w:r w:rsidRPr="003F7379">
        <w:rPr>
          <w:rFonts w:cstheme="minorHAnsi"/>
        </w:rPr>
        <w:t xml:space="preserve"> produced by the Public Procurement Office </w:t>
      </w:r>
      <w:r w:rsidR="00395881">
        <w:rPr>
          <w:rFonts w:cstheme="minorHAnsi"/>
        </w:rPr>
        <w:t>(</w:t>
      </w:r>
      <w:hyperlink r:id="rId11" w:history="1">
        <w:r w:rsidR="000C786E" w:rsidRPr="00FB2803">
          <w:rPr>
            <w:rStyle w:val="Hyperlink"/>
            <w:rFonts w:cstheme="minorHAnsi"/>
          </w:rPr>
          <w:t>https://www.gov.pl/web/uzp/sprawozdania-o-funkcjonowaniu-systemu-zamowien-publicznych</w:t>
        </w:r>
      </w:hyperlink>
      <w:r w:rsidR="00353BBD">
        <w:rPr>
          <w:rFonts w:cstheme="minorHAnsi"/>
        </w:rPr>
        <w:t xml:space="preserve">) </w:t>
      </w:r>
      <w:r w:rsidRPr="003F7379">
        <w:rPr>
          <w:rFonts w:cstheme="minorHAnsi"/>
        </w:rPr>
        <w:t xml:space="preserve">on the functioning </w:t>
      </w:r>
      <w:r w:rsidR="00163EED" w:rsidRPr="003F7379">
        <w:rPr>
          <w:rFonts w:cstheme="minorHAnsi"/>
        </w:rPr>
        <w:t xml:space="preserve">of the public procurement in Poland contain separate information about the level of competition </w:t>
      </w:r>
      <w:r w:rsidR="00F10521" w:rsidRPr="003F7379">
        <w:rPr>
          <w:rFonts w:cstheme="minorHAnsi"/>
          <w:u w:val="single"/>
        </w:rPr>
        <w:t>below</w:t>
      </w:r>
      <w:r w:rsidR="00F10521" w:rsidRPr="003F7379">
        <w:rPr>
          <w:rFonts w:cstheme="minorHAnsi"/>
        </w:rPr>
        <w:t xml:space="preserve"> and </w:t>
      </w:r>
      <w:r w:rsidR="00F10521" w:rsidRPr="003F7379">
        <w:rPr>
          <w:rFonts w:cstheme="minorHAnsi"/>
          <w:u w:val="single"/>
        </w:rPr>
        <w:t>above</w:t>
      </w:r>
      <w:r w:rsidR="00F10521" w:rsidRPr="003F7379">
        <w:rPr>
          <w:rFonts w:cstheme="minorHAnsi"/>
        </w:rPr>
        <w:t xml:space="preserve"> the EU threshold. </w:t>
      </w:r>
    </w:p>
    <w:p w14:paraId="2BD871CA" w14:textId="77777777" w:rsidR="001A177E" w:rsidRDefault="001A177E" w:rsidP="00D557C6">
      <w:pPr>
        <w:jc w:val="both"/>
        <w:rPr>
          <w:rFonts w:cstheme="minorHAnsi"/>
        </w:rPr>
      </w:pPr>
    </w:p>
    <w:p w14:paraId="0B8E24D2" w14:textId="2FBEE256" w:rsidR="000E0E6E" w:rsidRDefault="00F10521" w:rsidP="00D557C6">
      <w:pPr>
        <w:jc w:val="both"/>
        <w:rPr>
          <w:rFonts w:cstheme="minorHAnsi"/>
        </w:rPr>
      </w:pPr>
      <w:r w:rsidRPr="003F7379">
        <w:rPr>
          <w:rFonts w:cstheme="minorHAnsi"/>
        </w:rPr>
        <w:t xml:space="preserve">In the first case information is gathered </w:t>
      </w:r>
      <w:r w:rsidR="00353BBD">
        <w:rPr>
          <w:rFonts w:cstheme="minorHAnsi"/>
        </w:rPr>
        <w:t xml:space="preserve">by the PPO </w:t>
      </w:r>
      <w:r w:rsidR="00522A85" w:rsidRPr="003F7379">
        <w:rPr>
          <w:rFonts w:cstheme="minorHAnsi"/>
        </w:rPr>
        <w:t>from the Pol</w:t>
      </w:r>
      <w:r w:rsidR="002A55C8" w:rsidRPr="003F7379">
        <w:rPr>
          <w:rFonts w:cstheme="minorHAnsi"/>
        </w:rPr>
        <w:t>ish Procurement Bulletin, in the second – T</w:t>
      </w:r>
      <w:r w:rsidR="00353BBD">
        <w:rPr>
          <w:rFonts w:cstheme="minorHAnsi"/>
        </w:rPr>
        <w:t>enders Electronic Daily (</w:t>
      </w:r>
      <w:r w:rsidR="0022111B">
        <w:rPr>
          <w:rFonts w:cstheme="minorHAnsi"/>
        </w:rPr>
        <w:t>T</w:t>
      </w:r>
      <w:r w:rsidR="002A55C8" w:rsidRPr="003F7379">
        <w:rPr>
          <w:rFonts w:cstheme="minorHAnsi"/>
        </w:rPr>
        <w:t>ED</w:t>
      </w:r>
      <w:r w:rsidR="0022111B">
        <w:rPr>
          <w:rFonts w:cstheme="minorHAnsi"/>
        </w:rPr>
        <w:t>)</w:t>
      </w:r>
      <w:r w:rsidR="002A55C8" w:rsidRPr="003F7379">
        <w:rPr>
          <w:rFonts w:cstheme="minorHAnsi"/>
        </w:rPr>
        <w:t xml:space="preserve">. </w:t>
      </w:r>
      <w:r w:rsidR="0022111B">
        <w:rPr>
          <w:rFonts w:cstheme="minorHAnsi"/>
        </w:rPr>
        <w:t xml:space="preserve">Thus, in the most recent report published by the PPO, for 2023, </w:t>
      </w:r>
      <w:r w:rsidR="002A55C8" w:rsidRPr="003F7379">
        <w:rPr>
          <w:rFonts w:cstheme="minorHAnsi"/>
        </w:rPr>
        <w:t>the PPO estimates that in 202</w:t>
      </w:r>
      <w:r w:rsidR="00281109">
        <w:rPr>
          <w:rFonts w:cstheme="minorHAnsi"/>
        </w:rPr>
        <w:t xml:space="preserve">3 </w:t>
      </w:r>
      <w:r w:rsidR="004071E1" w:rsidRPr="003F7379">
        <w:rPr>
          <w:rFonts w:cstheme="minorHAnsi"/>
        </w:rPr>
        <w:t xml:space="preserve">there were on average </w:t>
      </w:r>
      <w:r w:rsidR="004071E1" w:rsidRPr="003F7379">
        <w:rPr>
          <w:rFonts w:cstheme="minorHAnsi"/>
          <w:u w:val="single"/>
        </w:rPr>
        <w:t>2.</w:t>
      </w:r>
      <w:r w:rsidR="00281109">
        <w:rPr>
          <w:rFonts w:cstheme="minorHAnsi"/>
          <w:u w:val="single"/>
        </w:rPr>
        <w:t xml:space="preserve">64 </w:t>
      </w:r>
      <w:r w:rsidR="004071E1" w:rsidRPr="003F7379">
        <w:rPr>
          <w:rFonts w:cstheme="minorHAnsi"/>
          <w:u w:val="single"/>
        </w:rPr>
        <w:t>bids per procedure below EU thresholds</w:t>
      </w:r>
      <w:r w:rsidR="004071E1" w:rsidRPr="003F7379">
        <w:rPr>
          <w:rFonts w:cstheme="minorHAnsi"/>
        </w:rPr>
        <w:t xml:space="preserve"> (2.</w:t>
      </w:r>
      <w:r w:rsidR="00281109">
        <w:rPr>
          <w:rFonts w:cstheme="minorHAnsi"/>
        </w:rPr>
        <w:t>43 in 2022, and 2.</w:t>
      </w:r>
      <w:r w:rsidR="004071E1" w:rsidRPr="003F7379">
        <w:rPr>
          <w:rFonts w:cstheme="minorHAnsi"/>
        </w:rPr>
        <w:t>59 in 2021)</w:t>
      </w:r>
      <w:r w:rsidR="00575048" w:rsidRPr="003F7379">
        <w:rPr>
          <w:rFonts w:cstheme="minorHAnsi"/>
        </w:rPr>
        <w:t>. The biggest competition took place in so called “</w:t>
      </w:r>
      <w:r w:rsidR="009B6573" w:rsidRPr="003F7379">
        <w:rPr>
          <w:rFonts w:cstheme="minorHAnsi"/>
        </w:rPr>
        <w:t xml:space="preserve">the </w:t>
      </w:r>
      <w:r w:rsidR="00575048" w:rsidRPr="003F7379">
        <w:rPr>
          <w:rFonts w:cstheme="minorHAnsi"/>
        </w:rPr>
        <w:t xml:space="preserve">basic procedure with possibility of negotiations” (it is in Poland the standard procurement procedure </w:t>
      </w:r>
      <w:r w:rsidR="009B6573" w:rsidRPr="003F7379">
        <w:rPr>
          <w:rFonts w:cstheme="minorHAnsi"/>
        </w:rPr>
        <w:t xml:space="preserve">applied </w:t>
      </w:r>
      <w:r w:rsidR="00575048" w:rsidRPr="003F7379">
        <w:rPr>
          <w:rFonts w:cstheme="minorHAnsi"/>
        </w:rPr>
        <w:t xml:space="preserve">for contracts valued less than EU thresholds). </w:t>
      </w:r>
      <w:r w:rsidR="00356F38" w:rsidRPr="003F7379">
        <w:rPr>
          <w:rFonts w:cstheme="minorHAnsi"/>
        </w:rPr>
        <w:t>As regards the object of procurement: there were on average 3</w:t>
      </w:r>
      <w:r w:rsidR="000623DA">
        <w:rPr>
          <w:rFonts w:cstheme="minorHAnsi"/>
        </w:rPr>
        <w:t xml:space="preserve">.51 </w:t>
      </w:r>
      <w:r w:rsidR="00356F38" w:rsidRPr="003F7379">
        <w:rPr>
          <w:rFonts w:cstheme="minorHAnsi"/>
        </w:rPr>
        <w:t>bids in procurement for public works</w:t>
      </w:r>
      <w:r w:rsidR="001B687A" w:rsidRPr="003F7379">
        <w:rPr>
          <w:rFonts w:cstheme="minorHAnsi"/>
        </w:rPr>
        <w:t xml:space="preserve"> </w:t>
      </w:r>
      <w:r w:rsidR="000623DA">
        <w:rPr>
          <w:rFonts w:cstheme="minorHAnsi"/>
        </w:rPr>
        <w:t>(3.00 in 2022)</w:t>
      </w:r>
      <w:r w:rsidR="009B556B">
        <w:rPr>
          <w:rFonts w:cstheme="minorHAnsi"/>
        </w:rPr>
        <w:t xml:space="preserve">, </w:t>
      </w:r>
      <w:r w:rsidR="000623DA">
        <w:t>2</w:t>
      </w:r>
      <w:r w:rsidR="001102F1">
        <w:t>.</w:t>
      </w:r>
      <w:r w:rsidR="000623DA">
        <w:t>22</w:t>
      </w:r>
      <w:r w:rsidR="001102F1">
        <w:t xml:space="preserve"> for supplies (</w:t>
      </w:r>
      <w:r w:rsidR="000623DA">
        <w:t>2</w:t>
      </w:r>
      <w:r w:rsidR="001102F1">
        <w:t>.10 in 2022</w:t>
      </w:r>
      <w:r w:rsidR="009B556B">
        <w:t xml:space="preserve">) and </w:t>
      </w:r>
      <w:r w:rsidR="006C6CCE">
        <w:t xml:space="preserve">2.72 for services (2.59 in 2022). </w:t>
      </w:r>
      <w:r w:rsidR="00D2261A" w:rsidRPr="003F7379">
        <w:rPr>
          <w:rFonts w:cstheme="minorHAnsi"/>
        </w:rPr>
        <w:t xml:space="preserve">In </w:t>
      </w:r>
      <w:r w:rsidR="00B3047B">
        <w:rPr>
          <w:rFonts w:cstheme="minorHAnsi"/>
        </w:rPr>
        <w:t xml:space="preserve">61 % </w:t>
      </w:r>
      <w:r w:rsidR="003D2C17" w:rsidRPr="003F7379">
        <w:rPr>
          <w:rFonts w:cstheme="minorHAnsi"/>
        </w:rPr>
        <w:t xml:space="preserve">of procurement procedures </w:t>
      </w:r>
      <w:r w:rsidR="00E7661B" w:rsidRPr="003F7379">
        <w:rPr>
          <w:rFonts w:cstheme="minorHAnsi"/>
        </w:rPr>
        <w:t>there was at least one tender submitted</w:t>
      </w:r>
      <w:r w:rsidR="00B3047B">
        <w:rPr>
          <w:rFonts w:cstheme="minorHAnsi"/>
        </w:rPr>
        <w:t xml:space="preserve"> (58 % in 2022)</w:t>
      </w:r>
      <w:r w:rsidR="003D5F7F" w:rsidRPr="003F7379">
        <w:rPr>
          <w:rFonts w:cstheme="minorHAnsi"/>
        </w:rPr>
        <w:t xml:space="preserve">. On the other hand, only one tender was received </w:t>
      </w:r>
      <w:r w:rsidR="0046083A" w:rsidRPr="003F7379">
        <w:rPr>
          <w:rFonts w:cstheme="minorHAnsi"/>
        </w:rPr>
        <w:t xml:space="preserve">in </w:t>
      </w:r>
      <w:r w:rsidR="009D0215">
        <w:rPr>
          <w:rFonts w:cstheme="minorHAnsi"/>
        </w:rPr>
        <w:t xml:space="preserve">18 </w:t>
      </w:r>
      <w:r w:rsidR="0046083A" w:rsidRPr="003F7379">
        <w:rPr>
          <w:rFonts w:cstheme="minorHAnsi"/>
        </w:rPr>
        <w:t>% of procedures for works, 4</w:t>
      </w:r>
      <w:r w:rsidR="009D0215">
        <w:rPr>
          <w:rFonts w:cstheme="minorHAnsi"/>
        </w:rPr>
        <w:t xml:space="preserve">7 </w:t>
      </w:r>
      <w:r w:rsidR="0046083A" w:rsidRPr="003F7379">
        <w:rPr>
          <w:rFonts w:cstheme="minorHAnsi"/>
        </w:rPr>
        <w:t xml:space="preserve">% for supplies and </w:t>
      </w:r>
      <w:r w:rsidR="009D0215">
        <w:rPr>
          <w:rFonts w:cstheme="minorHAnsi"/>
        </w:rPr>
        <w:t>39</w:t>
      </w:r>
      <w:r w:rsidR="0046083A" w:rsidRPr="003F7379">
        <w:rPr>
          <w:rFonts w:cstheme="minorHAnsi"/>
        </w:rPr>
        <w:t xml:space="preserve"> % for services. </w:t>
      </w:r>
    </w:p>
    <w:p w14:paraId="3EA9047B" w14:textId="77777777" w:rsidR="007E12FB" w:rsidRDefault="007E12FB" w:rsidP="00D557C6">
      <w:pPr>
        <w:jc w:val="both"/>
        <w:rPr>
          <w:rFonts w:cstheme="minorHAnsi"/>
          <w:b/>
          <w:bCs/>
        </w:rPr>
      </w:pPr>
    </w:p>
    <w:p w14:paraId="48D2E49C" w14:textId="62BB1888" w:rsidR="009D0215" w:rsidRPr="009D0215" w:rsidRDefault="009D0215" w:rsidP="00D557C6">
      <w:pPr>
        <w:jc w:val="both"/>
        <w:rPr>
          <w:rFonts w:cstheme="minorHAnsi"/>
          <w:b/>
          <w:bCs/>
        </w:rPr>
      </w:pPr>
      <w:r w:rsidRPr="009D0215">
        <w:rPr>
          <w:rFonts w:cstheme="minorHAnsi"/>
          <w:b/>
          <w:bCs/>
        </w:rPr>
        <w:t xml:space="preserve">Compared with 2022, in 2023 the competition </w:t>
      </w:r>
      <w:r w:rsidR="001E2528">
        <w:rPr>
          <w:rFonts w:cstheme="minorHAnsi"/>
          <w:b/>
          <w:bCs/>
        </w:rPr>
        <w:t xml:space="preserve">below EU thresholds </w:t>
      </w:r>
      <w:r w:rsidRPr="009D0215">
        <w:rPr>
          <w:rFonts w:cstheme="minorHAnsi"/>
          <w:b/>
          <w:bCs/>
        </w:rPr>
        <w:t>increased in all aspects</w:t>
      </w:r>
      <w:r w:rsidR="001E2528">
        <w:rPr>
          <w:rFonts w:cstheme="minorHAnsi"/>
          <w:b/>
          <w:bCs/>
        </w:rPr>
        <w:t xml:space="preserve">. </w:t>
      </w:r>
    </w:p>
    <w:p w14:paraId="1C2CF360" w14:textId="77777777" w:rsidR="0046083A" w:rsidRPr="003F7379" w:rsidRDefault="0046083A" w:rsidP="00D557C6">
      <w:pPr>
        <w:jc w:val="both"/>
        <w:rPr>
          <w:rFonts w:cstheme="minorHAnsi"/>
        </w:rPr>
      </w:pPr>
    </w:p>
    <w:p w14:paraId="420068CF" w14:textId="12FB3229" w:rsidR="00BA10F9" w:rsidRPr="003F7379" w:rsidRDefault="0062640A" w:rsidP="00D557C6">
      <w:pPr>
        <w:jc w:val="both"/>
        <w:rPr>
          <w:rFonts w:cstheme="minorHAnsi"/>
        </w:rPr>
      </w:pPr>
      <w:r w:rsidRPr="003F7379">
        <w:rPr>
          <w:rFonts w:cstheme="minorHAnsi"/>
        </w:rPr>
        <w:t xml:space="preserve">In case of </w:t>
      </w:r>
      <w:r w:rsidR="0046083A" w:rsidRPr="003F7379">
        <w:rPr>
          <w:rFonts w:cstheme="minorHAnsi"/>
        </w:rPr>
        <w:t xml:space="preserve">procurement </w:t>
      </w:r>
      <w:r w:rsidR="0046083A" w:rsidRPr="003F7379">
        <w:rPr>
          <w:rFonts w:cstheme="minorHAnsi"/>
          <w:u w:val="single"/>
        </w:rPr>
        <w:t>above the EU thresholds</w:t>
      </w:r>
      <w:r w:rsidR="0096663E" w:rsidRPr="003F7379">
        <w:rPr>
          <w:rFonts w:cstheme="minorHAnsi"/>
        </w:rPr>
        <w:t>, in 202</w:t>
      </w:r>
      <w:r w:rsidR="001E2528">
        <w:rPr>
          <w:rFonts w:cstheme="minorHAnsi"/>
        </w:rPr>
        <w:t>3</w:t>
      </w:r>
      <w:r w:rsidR="0096663E" w:rsidRPr="003F7379">
        <w:rPr>
          <w:rFonts w:cstheme="minorHAnsi"/>
        </w:rPr>
        <w:t>, according to the PPO</w:t>
      </w:r>
      <w:r w:rsidR="00046C74" w:rsidRPr="003F7379">
        <w:rPr>
          <w:rFonts w:cstheme="minorHAnsi"/>
        </w:rPr>
        <w:t xml:space="preserve">, </w:t>
      </w:r>
      <w:r w:rsidR="0096663E" w:rsidRPr="003F7379">
        <w:rPr>
          <w:rFonts w:cstheme="minorHAnsi"/>
          <w:u w:val="single"/>
        </w:rPr>
        <w:t xml:space="preserve">the average number of bids per procedure was </w:t>
      </w:r>
      <w:r w:rsidR="000C02FF" w:rsidRPr="003F7379">
        <w:rPr>
          <w:rFonts w:cstheme="minorHAnsi"/>
          <w:u w:val="single"/>
        </w:rPr>
        <w:t>2.1</w:t>
      </w:r>
      <w:r w:rsidR="00D75772">
        <w:rPr>
          <w:rFonts w:cstheme="minorHAnsi"/>
          <w:u w:val="single"/>
        </w:rPr>
        <w:t>2</w:t>
      </w:r>
      <w:r w:rsidR="000C02FF" w:rsidRPr="003F7379">
        <w:rPr>
          <w:rFonts w:cstheme="minorHAnsi"/>
        </w:rPr>
        <w:t xml:space="preserve"> (in </w:t>
      </w:r>
      <w:r w:rsidR="000E0E6E" w:rsidRPr="003F7379">
        <w:rPr>
          <w:rFonts w:cstheme="minorHAnsi"/>
        </w:rPr>
        <w:t>202</w:t>
      </w:r>
      <w:r w:rsidR="00D75772">
        <w:rPr>
          <w:rFonts w:cstheme="minorHAnsi"/>
        </w:rPr>
        <w:t>2</w:t>
      </w:r>
      <w:r w:rsidR="000C02FF" w:rsidRPr="003F7379">
        <w:rPr>
          <w:rFonts w:cstheme="minorHAnsi"/>
        </w:rPr>
        <w:t xml:space="preserve">– </w:t>
      </w:r>
      <w:r w:rsidR="000E0E6E" w:rsidRPr="003F7379">
        <w:rPr>
          <w:rFonts w:cstheme="minorHAnsi"/>
        </w:rPr>
        <w:t>2</w:t>
      </w:r>
      <w:r w:rsidR="000C02FF" w:rsidRPr="003F7379">
        <w:rPr>
          <w:rFonts w:cstheme="minorHAnsi"/>
        </w:rPr>
        <w:t>.</w:t>
      </w:r>
      <w:r w:rsidR="00D75772">
        <w:rPr>
          <w:rFonts w:cstheme="minorHAnsi"/>
        </w:rPr>
        <w:t>18</w:t>
      </w:r>
      <w:r w:rsidR="000E0E6E" w:rsidRPr="003F7379">
        <w:rPr>
          <w:rFonts w:cstheme="minorHAnsi"/>
        </w:rPr>
        <w:t xml:space="preserve">). </w:t>
      </w:r>
    </w:p>
    <w:p w14:paraId="572B5B7F" w14:textId="218D3F75" w:rsidR="008E0DE0" w:rsidRPr="003F7379" w:rsidRDefault="00BA10F9" w:rsidP="00D557C6">
      <w:pPr>
        <w:jc w:val="both"/>
        <w:rPr>
          <w:rFonts w:cstheme="minorHAnsi"/>
        </w:rPr>
      </w:pPr>
      <w:r w:rsidRPr="003F7379">
        <w:rPr>
          <w:rFonts w:cstheme="minorHAnsi"/>
        </w:rPr>
        <w:t xml:space="preserve">As regards type of procedures, there were on average: </w:t>
      </w:r>
    </w:p>
    <w:p w14:paraId="5BECC276" w14:textId="722482F8" w:rsidR="008E0DE0" w:rsidRPr="003F7379" w:rsidRDefault="008E0DE0" w:rsidP="00D557C6">
      <w:pPr>
        <w:pStyle w:val="ListParagraph"/>
        <w:numPr>
          <w:ilvl w:val="0"/>
          <w:numId w:val="19"/>
        </w:numPr>
        <w:jc w:val="both"/>
        <w:rPr>
          <w:rFonts w:cstheme="minorHAnsi"/>
        </w:rPr>
      </w:pPr>
      <w:r w:rsidRPr="003F7379">
        <w:rPr>
          <w:rFonts w:cstheme="minorHAnsi"/>
        </w:rPr>
        <w:t>2.</w:t>
      </w:r>
      <w:r w:rsidR="00E0723E">
        <w:rPr>
          <w:rFonts w:cstheme="minorHAnsi"/>
        </w:rPr>
        <w:t xml:space="preserve">72 </w:t>
      </w:r>
      <w:r w:rsidRPr="003F7379">
        <w:rPr>
          <w:rFonts w:cstheme="minorHAnsi"/>
        </w:rPr>
        <w:t xml:space="preserve">in </w:t>
      </w:r>
      <w:r w:rsidR="002F3FEB" w:rsidRPr="003F7379">
        <w:rPr>
          <w:rFonts w:cstheme="minorHAnsi"/>
        </w:rPr>
        <w:t xml:space="preserve">the </w:t>
      </w:r>
      <w:r w:rsidRPr="003F7379">
        <w:rPr>
          <w:rFonts w:cstheme="minorHAnsi"/>
        </w:rPr>
        <w:t xml:space="preserve">restricted procedure </w:t>
      </w:r>
    </w:p>
    <w:p w14:paraId="25173578" w14:textId="7AF01A4B" w:rsidR="002754DD" w:rsidRPr="003F7379" w:rsidRDefault="008E0DE0" w:rsidP="00D557C6">
      <w:pPr>
        <w:pStyle w:val="ListParagraph"/>
        <w:numPr>
          <w:ilvl w:val="0"/>
          <w:numId w:val="19"/>
        </w:numPr>
        <w:jc w:val="both"/>
        <w:rPr>
          <w:rFonts w:cstheme="minorHAnsi"/>
        </w:rPr>
      </w:pPr>
      <w:r w:rsidRPr="003F7379">
        <w:rPr>
          <w:rFonts w:cstheme="minorHAnsi"/>
        </w:rPr>
        <w:t>2.1</w:t>
      </w:r>
      <w:r w:rsidR="00E0723E">
        <w:rPr>
          <w:rFonts w:cstheme="minorHAnsi"/>
        </w:rPr>
        <w:t>1</w:t>
      </w:r>
      <w:r w:rsidRPr="003F7379">
        <w:rPr>
          <w:rFonts w:cstheme="minorHAnsi"/>
        </w:rPr>
        <w:t xml:space="preserve"> in </w:t>
      </w:r>
      <w:r w:rsidR="002F3FEB" w:rsidRPr="003F7379">
        <w:rPr>
          <w:rFonts w:cstheme="minorHAnsi"/>
        </w:rPr>
        <w:t xml:space="preserve">the </w:t>
      </w:r>
      <w:r w:rsidRPr="003F7379">
        <w:rPr>
          <w:rFonts w:cstheme="minorHAnsi"/>
        </w:rPr>
        <w:t xml:space="preserve">open </w:t>
      </w:r>
      <w:r w:rsidR="002F3FEB" w:rsidRPr="003F7379">
        <w:rPr>
          <w:rFonts w:cstheme="minorHAnsi"/>
        </w:rPr>
        <w:t>procedure</w:t>
      </w:r>
      <w:r w:rsidRPr="003F7379">
        <w:rPr>
          <w:rFonts w:cstheme="minorHAnsi"/>
        </w:rPr>
        <w:t xml:space="preserve"> </w:t>
      </w:r>
    </w:p>
    <w:p w14:paraId="15384E00" w14:textId="2C4CD630" w:rsidR="002754DD" w:rsidRPr="003F7379" w:rsidRDefault="00FA767A" w:rsidP="00D557C6">
      <w:pPr>
        <w:pStyle w:val="ListParagraph"/>
        <w:numPr>
          <w:ilvl w:val="0"/>
          <w:numId w:val="19"/>
        </w:numPr>
        <w:jc w:val="both"/>
        <w:rPr>
          <w:rFonts w:cstheme="minorHAnsi"/>
        </w:rPr>
      </w:pPr>
      <w:r>
        <w:rPr>
          <w:rFonts w:cstheme="minorHAnsi"/>
        </w:rPr>
        <w:t>1.71</w:t>
      </w:r>
      <w:r w:rsidR="002754DD" w:rsidRPr="003F7379">
        <w:rPr>
          <w:rFonts w:cstheme="minorHAnsi"/>
        </w:rPr>
        <w:t xml:space="preserve"> in the negotiated procedure with publication</w:t>
      </w:r>
    </w:p>
    <w:p w14:paraId="17856CB0" w14:textId="38654AB6" w:rsidR="002754DD" w:rsidRPr="003F7379" w:rsidRDefault="002754DD" w:rsidP="00D557C6">
      <w:pPr>
        <w:pStyle w:val="ListParagraph"/>
        <w:numPr>
          <w:ilvl w:val="0"/>
          <w:numId w:val="19"/>
        </w:numPr>
        <w:jc w:val="both"/>
        <w:rPr>
          <w:rFonts w:cstheme="minorHAnsi"/>
        </w:rPr>
      </w:pPr>
      <w:r w:rsidRPr="003F7379">
        <w:rPr>
          <w:rFonts w:cstheme="minorHAnsi"/>
        </w:rPr>
        <w:t>2.</w:t>
      </w:r>
      <w:r w:rsidR="00FA767A">
        <w:rPr>
          <w:rFonts w:cstheme="minorHAnsi"/>
        </w:rPr>
        <w:t xml:space="preserve">62 </w:t>
      </w:r>
      <w:r w:rsidRPr="003F7379">
        <w:rPr>
          <w:rFonts w:cstheme="minorHAnsi"/>
        </w:rPr>
        <w:t>in the competitive dialogue</w:t>
      </w:r>
    </w:p>
    <w:p w14:paraId="55F9B500" w14:textId="77777777" w:rsidR="002754DD" w:rsidRPr="003F7379" w:rsidRDefault="002754DD" w:rsidP="00D557C6">
      <w:pPr>
        <w:jc w:val="both"/>
        <w:rPr>
          <w:rFonts w:cstheme="minorHAnsi"/>
        </w:rPr>
      </w:pPr>
    </w:p>
    <w:p w14:paraId="094895D1" w14:textId="6584B582" w:rsidR="00591E75" w:rsidRDefault="0062640A" w:rsidP="00D557C6">
      <w:pPr>
        <w:jc w:val="both"/>
        <w:rPr>
          <w:rFonts w:cstheme="minorHAnsi"/>
        </w:rPr>
      </w:pPr>
      <w:r w:rsidRPr="003F7379">
        <w:rPr>
          <w:rFonts w:cstheme="minorHAnsi"/>
        </w:rPr>
        <w:t xml:space="preserve">Per </w:t>
      </w:r>
      <w:r w:rsidR="002F3FEB" w:rsidRPr="003F7379">
        <w:rPr>
          <w:rFonts w:cstheme="minorHAnsi"/>
        </w:rPr>
        <w:t xml:space="preserve">the object of procurement the biggest number of tenders were submitted in procedures </w:t>
      </w:r>
      <w:r w:rsidR="002F3FEB" w:rsidRPr="003F7379">
        <w:rPr>
          <w:rFonts w:cstheme="minorHAnsi"/>
          <w:b/>
          <w:bCs/>
        </w:rPr>
        <w:t xml:space="preserve">for award of public works contracts </w:t>
      </w:r>
      <w:r w:rsidR="00747B75" w:rsidRPr="003F7379">
        <w:rPr>
          <w:rFonts w:cstheme="minorHAnsi"/>
          <w:b/>
          <w:bCs/>
        </w:rPr>
        <w:t>– 3.</w:t>
      </w:r>
      <w:r w:rsidR="004E704E">
        <w:rPr>
          <w:rFonts w:cstheme="minorHAnsi"/>
          <w:b/>
          <w:bCs/>
        </w:rPr>
        <w:t>89</w:t>
      </w:r>
      <w:r w:rsidR="00747B75" w:rsidRPr="003F7379">
        <w:rPr>
          <w:rFonts w:cstheme="minorHAnsi"/>
        </w:rPr>
        <w:t xml:space="preserve"> </w:t>
      </w:r>
      <w:r w:rsidR="00591E75" w:rsidRPr="003F7379">
        <w:rPr>
          <w:rFonts w:cstheme="minorHAnsi"/>
        </w:rPr>
        <w:t>(w 202</w:t>
      </w:r>
      <w:r w:rsidR="00F15F06">
        <w:rPr>
          <w:rFonts w:cstheme="minorHAnsi"/>
        </w:rPr>
        <w:t>2</w:t>
      </w:r>
      <w:r w:rsidR="00591E75" w:rsidRPr="003F7379">
        <w:rPr>
          <w:rFonts w:cstheme="minorHAnsi"/>
        </w:rPr>
        <w:t xml:space="preserve"> r. – </w:t>
      </w:r>
      <w:r w:rsidR="00F15F06">
        <w:rPr>
          <w:rFonts w:cstheme="minorHAnsi"/>
        </w:rPr>
        <w:t>3.45</w:t>
      </w:r>
      <w:r w:rsidR="00591E75" w:rsidRPr="003F7379">
        <w:rPr>
          <w:rFonts w:cstheme="minorHAnsi"/>
        </w:rPr>
        <w:t xml:space="preserve">), </w:t>
      </w:r>
      <w:r w:rsidR="00747B75" w:rsidRPr="003F7379">
        <w:rPr>
          <w:rFonts w:cstheme="minorHAnsi"/>
        </w:rPr>
        <w:t>followed by services – 2.</w:t>
      </w:r>
      <w:r w:rsidR="004E704E">
        <w:rPr>
          <w:rFonts w:cstheme="minorHAnsi"/>
        </w:rPr>
        <w:t>51</w:t>
      </w:r>
      <w:r w:rsidR="00747B75" w:rsidRPr="003F7379">
        <w:rPr>
          <w:rFonts w:cstheme="minorHAnsi"/>
        </w:rPr>
        <w:t xml:space="preserve"> (2.</w:t>
      </w:r>
      <w:r w:rsidR="004E704E">
        <w:rPr>
          <w:rFonts w:cstheme="minorHAnsi"/>
        </w:rPr>
        <w:t xml:space="preserve">37 </w:t>
      </w:r>
      <w:r w:rsidR="00747B75" w:rsidRPr="003F7379">
        <w:rPr>
          <w:rFonts w:cstheme="minorHAnsi"/>
        </w:rPr>
        <w:t>in 202</w:t>
      </w:r>
      <w:r w:rsidR="004E704E">
        <w:rPr>
          <w:rFonts w:cstheme="minorHAnsi"/>
        </w:rPr>
        <w:t>2</w:t>
      </w:r>
      <w:r w:rsidR="00747B75" w:rsidRPr="003F7379">
        <w:rPr>
          <w:rFonts w:cstheme="minorHAnsi"/>
        </w:rPr>
        <w:t xml:space="preserve">) and the least for supplies </w:t>
      </w:r>
      <w:r w:rsidR="00AF4350" w:rsidRPr="003F7379">
        <w:rPr>
          <w:rFonts w:cstheme="minorHAnsi"/>
        </w:rPr>
        <w:t>– only 2.</w:t>
      </w:r>
      <w:r w:rsidR="000E0CE7">
        <w:rPr>
          <w:rFonts w:cstheme="minorHAnsi"/>
        </w:rPr>
        <w:t>0</w:t>
      </w:r>
      <w:r w:rsidR="00AF4350" w:rsidRPr="003F7379">
        <w:rPr>
          <w:rFonts w:cstheme="minorHAnsi"/>
        </w:rPr>
        <w:t xml:space="preserve">1 (in </w:t>
      </w:r>
      <w:r w:rsidR="00591E75" w:rsidRPr="003F7379">
        <w:rPr>
          <w:rFonts w:cstheme="minorHAnsi"/>
        </w:rPr>
        <w:t>202</w:t>
      </w:r>
      <w:r w:rsidR="000E0CE7">
        <w:rPr>
          <w:rFonts w:cstheme="minorHAnsi"/>
        </w:rPr>
        <w:t>2</w:t>
      </w:r>
      <w:r w:rsidR="00591E75" w:rsidRPr="003F7379">
        <w:rPr>
          <w:rFonts w:cstheme="minorHAnsi"/>
        </w:rPr>
        <w:t xml:space="preserve"> r. – 2</w:t>
      </w:r>
      <w:r w:rsidR="00AF4350" w:rsidRPr="003F7379">
        <w:rPr>
          <w:rFonts w:cstheme="minorHAnsi"/>
        </w:rPr>
        <w:t>.</w:t>
      </w:r>
      <w:r w:rsidR="000E0CE7">
        <w:rPr>
          <w:rFonts w:cstheme="minorHAnsi"/>
        </w:rPr>
        <w:t>11</w:t>
      </w:r>
      <w:r w:rsidR="00591E75" w:rsidRPr="003F7379">
        <w:rPr>
          <w:rFonts w:cstheme="minorHAnsi"/>
        </w:rPr>
        <w:t xml:space="preserve">). </w:t>
      </w:r>
    </w:p>
    <w:p w14:paraId="18EDFA95" w14:textId="77777777" w:rsidR="009C5CCE" w:rsidRPr="003F7379" w:rsidRDefault="009C5CCE" w:rsidP="009C5CCE">
      <w:pPr>
        <w:jc w:val="both"/>
        <w:rPr>
          <w:rFonts w:cstheme="minorHAnsi"/>
        </w:rPr>
      </w:pPr>
      <w:r w:rsidRPr="003F7379">
        <w:rPr>
          <w:rFonts w:cstheme="minorHAnsi"/>
        </w:rPr>
        <w:t xml:space="preserve">Relatively low competition in public procurement is, indeed, one of shortcomings of the public procurement system in Poland. In order to get information about reasons for which economic operators are reluctant to participate in public procurement procedures the Public Procurement Office conducted in 2019 a survey on the low competitiveness in public procurement in Poland. Answers were provided by in total by 965 companies, of various sizes and representing different business activities. Having analysed opinions provided in answers to questions asked in the survey the PPO prepared a report summarising results of the survey. </w:t>
      </w:r>
    </w:p>
    <w:p w14:paraId="7CB2E7FD" w14:textId="77777777" w:rsidR="009C5CCE" w:rsidRPr="003F7379" w:rsidRDefault="009C5CCE" w:rsidP="009C5CCE">
      <w:pPr>
        <w:jc w:val="both"/>
        <w:rPr>
          <w:rFonts w:cstheme="minorHAnsi"/>
        </w:rPr>
      </w:pPr>
    </w:p>
    <w:p w14:paraId="767AC826" w14:textId="77777777" w:rsidR="009C5CCE" w:rsidRPr="003F7379" w:rsidRDefault="009C5CCE" w:rsidP="009C5CCE">
      <w:pPr>
        <w:jc w:val="both"/>
        <w:rPr>
          <w:rFonts w:cstheme="minorHAnsi"/>
        </w:rPr>
      </w:pPr>
      <w:r w:rsidRPr="003F7379">
        <w:rPr>
          <w:rFonts w:cstheme="minorHAnsi"/>
        </w:rPr>
        <w:lastRenderedPageBreak/>
        <w:t xml:space="preserve">Economic operators indicated </w:t>
      </w:r>
      <w:r w:rsidRPr="003F7379">
        <w:rPr>
          <w:rFonts w:cstheme="minorHAnsi"/>
          <w:u w:val="single"/>
        </w:rPr>
        <w:t>as the main reasons</w:t>
      </w:r>
      <w:r w:rsidRPr="003F7379">
        <w:rPr>
          <w:rFonts w:cstheme="minorHAnsi"/>
        </w:rPr>
        <w:t xml:space="preserve"> for which they do not participate in procurement procedures: </w:t>
      </w:r>
    </w:p>
    <w:p w14:paraId="5F5D41BB"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the price applied as the only criterion for selection of the best tender and award of contracts, </w:t>
      </w:r>
    </w:p>
    <w:p w14:paraId="17AF7A61"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description of the subject matter of the procurement which favours specific products or companies, </w:t>
      </w:r>
    </w:p>
    <w:p w14:paraId="41F68DBD"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realization by the economic operator a significant part of services outside of the public procurement market (thus public contracts are of no relevance or interest), </w:t>
      </w:r>
    </w:p>
    <w:p w14:paraId="2AA875D6"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too short time period for preparation and submission of bids, </w:t>
      </w:r>
    </w:p>
    <w:p w14:paraId="1BBD54FB"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disadvantage clauses included in the draft public procurement contracts, </w:t>
      </w:r>
    </w:p>
    <w:p w14:paraId="4971EA8A"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too high contractual penalties applied by contracting authorities; </w:t>
      </w:r>
    </w:p>
    <w:p w14:paraId="323F834E"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too high requirements concerning economic operators; </w:t>
      </w:r>
    </w:p>
    <w:p w14:paraId="499D12A3"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too complex and long procurement documentation, varying from one contracting authority to another, </w:t>
      </w:r>
    </w:p>
    <w:p w14:paraId="29E0E61C"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unclear description of the object of public procurement, </w:t>
      </w:r>
    </w:p>
    <w:p w14:paraId="33E8936B" w14:textId="77777777" w:rsidR="009C5CCE" w:rsidRPr="003F7379" w:rsidRDefault="009C5CCE" w:rsidP="009C5CCE">
      <w:pPr>
        <w:pStyle w:val="ListParagraph"/>
        <w:numPr>
          <w:ilvl w:val="0"/>
          <w:numId w:val="21"/>
        </w:numPr>
        <w:jc w:val="both"/>
        <w:rPr>
          <w:rFonts w:cstheme="minorHAnsi"/>
          <w:b/>
          <w:bCs/>
        </w:rPr>
      </w:pPr>
      <w:r w:rsidRPr="003F7379">
        <w:rPr>
          <w:rFonts w:cstheme="minorHAnsi"/>
        </w:rPr>
        <w:t xml:space="preserve">too lengthy procurement process etc. </w:t>
      </w:r>
    </w:p>
    <w:p w14:paraId="7C6C4224" w14:textId="77777777" w:rsidR="009C5CCE" w:rsidRPr="003F7379" w:rsidRDefault="009C5CCE" w:rsidP="009C5CCE">
      <w:pPr>
        <w:jc w:val="both"/>
        <w:rPr>
          <w:rFonts w:cstheme="minorHAnsi"/>
          <w:b/>
          <w:bCs/>
        </w:rPr>
      </w:pPr>
    </w:p>
    <w:p w14:paraId="603249D9" w14:textId="77777777" w:rsidR="009C5CCE" w:rsidRPr="003F7379" w:rsidRDefault="009C5CCE" w:rsidP="009C5CCE">
      <w:pPr>
        <w:jc w:val="both"/>
        <w:rPr>
          <w:rFonts w:cstheme="minorHAnsi"/>
        </w:rPr>
      </w:pPr>
      <w:r w:rsidRPr="003F7379">
        <w:rPr>
          <w:rFonts w:cstheme="minorHAnsi"/>
        </w:rPr>
        <w:t xml:space="preserve">Companies participating in the survey also proposed some solutions which, once applied, would encourage them to participate more often in public procurement procedures: </w:t>
      </w:r>
    </w:p>
    <w:p w14:paraId="044803E5"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simplification and “de- bureaucratization” of the procurement process, </w:t>
      </w:r>
    </w:p>
    <w:p w14:paraId="59CA178B"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providing more freedom to procuring entities as regards negotiating terms of the contract, </w:t>
      </w:r>
    </w:p>
    <w:p w14:paraId="38F627E8"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simple, and clear provisions of the PPL, </w:t>
      </w:r>
    </w:p>
    <w:p w14:paraId="5665C526"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guarantee of prize indexation,  </w:t>
      </w:r>
    </w:p>
    <w:p w14:paraId="194922CA"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more flexibility regarding modification of contracts, </w:t>
      </w:r>
    </w:p>
    <w:p w14:paraId="25C86D03"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better descriptions of objects of public procurement, </w:t>
      </w:r>
    </w:p>
    <w:p w14:paraId="150AC676"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application of advance and partial payments, </w:t>
      </w:r>
    </w:p>
    <w:p w14:paraId="596C6373"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limiting a number of requested documents, </w:t>
      </w:r>
    </w:p>
    <w:p w14:paraId="2E3010AA" w14:textId="77777777" w:rsidR="009C5CCE" w:rsidRPr="003F7379" w:rsidRDefault="009C5CCE" w:rsidP="009C5CCE">
      <w:pPr>
        <w:pStyle w:val="ListParagraph"/>
        <w:numPr>
          <w:ilvl w:val="0"/>
          <w:numId w:val="32"/>
        </w:numPr>
        <w:jc w:val="both"/>
        <w:rPr>
          <w:rFonts w:cstheme="minorHAnsi"/>
        </w:rPr>
      </w:pPr>
      <w:r w:rsidRPr="003F7379">
        <w:rPr>
          <w:rFonts w:cstheme="minorHAnsi"/>
        </w:rPr>
        <w:t xml:space="preserve">possibility of negotiating, including negotiating the contract price. </w:t>
      </w:r>
    </w:p>
    <w:p w14:paraId="04FC1417" w14:textId="77777777" w:rsidR="009C5CCE" w:rsidRPr="003F7379" w:rsidRDefault="009C5CCE" w:rsidP="009C5CCE">
      <w:pPr>
        <w:jc w:val="both"/>
        <w:rPr>
          <w:rFonts w:cstheme="minorHAnsi"/>
        </w:rPr>
      </w:pPr>
    </w:p>
    <w:p w14:paraId="559B7106" w14:textId="77777777" w:rsidR="009C5CCE" w:rsidRPr="003F7379" w:rsidRDefault="009C5CCE" w:rsidP="009C5CCE">
      <w:pPr>
        <w:jc w:val="both"/>
        <w:rPr>
          <w:rFonts w:cstheme="minorHAnsi"/>
        </w:rPr>
      </w:pPr>
      <w:r w:rsidRPr="003F7379">
        <w:rPr>
          <w:rFonts w:cstheme="minorHAnsi"/>
        </w:rPr>
        <w:t xml:space="preserve">Most of the solutions suggested by economic operators above were implemented in the form of legal provisions - the new PPL adopted in 2019 and applicable since 1.1.2021 contains the following: </w:t>
      </w:r>
    </w:p>
    <w:p w14:paraId="474BD5A3" w14:textId="77777777" w:rsidR="009C5CCE" w:rsidRPr="003F7379" w:rsidRDefault="009C5CCE" w:rsidP="009C5CCE">
      <w:pPr>
        <w:jc w:val="both"/>
        <w:rPr>
          <w:rFonts w:cstheme="minorHAnsi"/>
        </w:rPr>
      </w:pPr>
    </w:p>
    <w:p w14:paraId="434F9B9E" w14:textId="77777777" w:rsidR="009C5CCE" w:rsidRPr="003F7379" w:rsidRDefault="009C5CCE" w:rsidP="009C5CCE">
      <w:pPr>
        <w:pStyle w:val="ListParagraph"/>
        <w:numPr>
          <w:ilvl w:val="0"/>
          <w:numId w:val="23"/>
        </w:numPr>
        <w:jc w:val="both"/>
        <w:rPr>
          <w:rFonts w:cstheme="minorHAnsi"/>
        </w:rPr>
      </w:pPr>
      <w:r w:rsidRPr="003F7379">
        <w:rPr>
          <w:rFonts w:cstheme="minorHAnsi"/>
          <w:b/>
          <w:bCs/>
        </w:rPr>
        <w:t>Simplification and “de- bureaucratization” of the procurement process</w:t>
      </w:r>
      <w:r w:rsidRPr="003F7379">
        <w:rPr>
          <w:rFonts w:cstheme="minorHAnsi"/>
        </w:rPr>
        <w:t xml:space="preserve">: </w:t>
      </w:r>
    </w:p>
    <w:p w14:paraId="6011C839" w14:textId="77777777" w:rsidR="009C5CCE" w:rsidRPr="003F7379" w:rsidRDefault="009C5CCE" w:rsidP="009C5CCE">
      <w:pPr>
        <w:pStyle w:val="ListParagraph"/>
        <w:numPr>
          <w:ilvl w:val="0"/>
          <w:numId w:val="33"/>
        </w:numPr>
        <w:jc w:val="both"/>
        <w:rPr>
          <w:rFonts w:cstheme="minorHAnsi"/>
        </w:rPr>
      </w:pPr>
      <w:r w:rsidRPr="003F7379">
        <w:rPr>
          <w:rFonts w:cstheme="minorHAnsi"/>
        </w:rPr>
        <w:t xml:space="preserve">introduction of a separate procedure for public procurement specifically for below – the EU thresholds – contract: a “basic procedure” where the PPL defines only certain minimum standards and requirements, and the rest is left to procuring entities to define, </w:t>
      </w:r>
    </w:p>
    <w:p w14:paraId="253B2C05" w14:textId="77777777" w:rsidR="009C5CCE" w:rsidRPr="003F7379" w:rsidRDefault="009C5CCE" w:rsidP="009C5CCE">
      <w:pPr>
        <w:pStyle w:val="ListParagraph"/>
        <w:numPr>
          <w:ilvl w:val="0"/>
          <w:numId w:val="33"/>
        </w:numPr>
        <w:jc w:val="both"/>
        <w:rPr>
          <w:rFonts w:cstheme="minorHAnsi"/>
        </w:rPr>
      </w:pPr>
      <w:r w:rsidRPr="003F7379">
        <w:rPr>
          <w:rFonts w:cstheme="minorHAnsi"/>
        </w:rPr>
        <w:t xml:space="preserve">a new competitive procedure specific for creative works. </w:t>
      </w:r>
    </w:p>
    <w:p w14:paraId="6A147236" w14:textId="77777777" w:rsidR="009C5CCE" w:rsidRPr="003F7379" w:rsidRDefault="009C5CCE" w:rsidP="009C5CCE">
      <w:pPr>
        <w:ind w:left="360"/>
        <w:jc w:val="both"/>
        <w:rPr>
          <w:rFonts w:cstheme="minorHAnsi"/>
        </w:rPr>
      </w:pPr>
    </w:p>
    <w:p w14:paraId="2D6E7CE0"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Simple, and clear provisions: </w:t>
      </w:r>
    </w:p>
    <w:p w14:paraId="02B96F80" w14:textId="77777777" w:rsidR="009C5CCE" w:rsidRPr="003F7379" w:rsidRDefault="009C5CCE" w:rsidP="009C5CCE">
      <w:pPr>
        <w:pStyle w:val="ListParagraph"/>
        <w:numPr>
          <w:ilvl w:val="0"/>
          <w:numId w:val="34"/>
        </w:numPr>
        <w:jc w:val="both"/>
        <w:rPr>
          <w:rFonts w:cstheme="minorHAnsi"/>
        </w:rPr>
      </w:pPr>
      <w:r w:rsidRPr="003F7379">
        <w:rPr>
          <w:rFonts w:cstheme="minorHAnsi"/>
        </w:rPr>
        <w:lastRenderedPageBreak/>
        <w:t>completely new PPL instead of umpteenth amendment</w:t>
      </w:r>
    </w:p>
    <w:p w14:paraId="1EF737FA" w14:textId="77777777" w:rsidR="009C5CCE" w:rsidRPr="003F7379" w:rsidRDefault="009C5CCE" w:rsidP="009C5CCE">
      <w:pPr>
        <w:pStyle w:val="ListParagraph"/>
        <w:numPr>
          <w:ilvl w:val="0"/>
          <w:numId w:val="34"/>
        </w:numPr>
        <w:jc w:val="both"/>
        <w:rPr>
          <w:rFonts w:cstheme="minorHAnsi"/>
        </w:rPr>
      </w:pPr>
      <w:r w:rsidRPr="003F7379">
        <w:rPr>
          <w:rFonts w:cstheme="minorHAnsi"/>
        </w:rPr>
        <w:t>a clear structure of the PPL</w:t>
      </w:r>
    </w:p>
    <w:p w14:paraId="0D2B2753" w14:textId="77777777" w:rsidR="009C5CCE" w:rsidRPr="003F7379" w:rsidRDefault="009C5CCE" w:rsidP="009C5CCE">
      <w:pPr>
        <w:jc w:val="both"/>
        <w:rPr>
          <w:rFonts w:cstheme="minorHAnsi"/>
        </w:rPr>
      </w:pPr>
    </w:p>
    <w:p w14:paraId="4B9059CB"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More emphasis on negotiations: </w:t>
      </w:r>
    </w:p>
    <w:p w14:paraId="7BD194E3" w14:textId="77777777" w:rsidR="009C5CCE" w:rsidRPr="003F7379" w:rsidRDefault="009C5CCE" w:rsidP="009C5CCE">
      <w:pPr>
        <w:pStyle w:val="ListParagraph"/>
        <w:numPr>
          <w:ilvl w:val="0"/>
          <w:numId w:val="35"/>
        </w:numPr>
        <w:jc w:val="both"/>
        <w:rPr>
          <w:rFonts w:cstheme="minorHAnsi"/>
        </w:rPr>
      </w:pPr>
      <w:r w:rsidRPr="003F7379">
        <w:rPr>
          <w:rFonts w:cstheme="minorHAnsi"/>
        </w:rPr>
        <w:t xml:space="preserve">more flexibility in negotiated procedures, </w:t>
      </w:r>
    </w:p>
    <w:p w14:paraId="3249C7FE" w14:textId="77777777" w:rsidR="009C5CCE" w:rsidRPr="003F7379" w:rsidRDefault="009C5CCE" w:rsidP="009C5CCE">
      <w:pPr>
        <w:pStyle w:val="ListParagraph"/>
        <w:numPr>
          <w:ilvl w:val="0"/>
          <w:numId w:val="35"/>
        </w:numPr>
        <w:jc w:val="both"/>
        <w:rPr>
          <w:rFonts w:cstheme="minorHAnsi"/>
        </w:rPr>
      </w:pPr>
      <w:r w:rsidRPr="003F7379">
        <w:rPr>
          <w:rFonts w:cstheme="minorHAnsi"/>
        </w:rPr>
        <w:t>introduction of the basic, standard procedure below the EU thresholds</w:t>
      </w:r>
    </w:p>
    <w:p w14:paraId="538A3B1B" w14:textId="77777777" w:rsidR="009C5CCE" w:rsidRPr="003F7379" w:rsidRDefault="009C5CCE" w:rsidP="009C5CCE">
      <w:pPr>
        <w:pStyle w:val="ListParagraph"/>
        <w:numPr>
          <w:ilvl w:val="0"/>
          <w:numId w:val="35"/>
        </w:numPr>
        <w:jc w:val="both"/>
        <w:rPr>
          <w:rFonts w:cstheme="minorHAnsi"/>
        </w:rPr>
      </w:pPr>
      <w:r w:rsidRPr="003F7379">
        <w:rPr>
          <w:rFonts w:cstheme="minorHAnsi"/>
        </w:rPr>
        <w:t xml:space="preserve">initial market consultations, </w:t>
      </w:r>
    </w:p>
    <w:p w14:paraId="790A60DC" w14:textId="77777777" w:rsidR="009C5CCE" w:rsidRPr="003F7379" w:rsidRDefault="009C5CCE" w:rsidP="009C5CCE">
      <w:pPr>
        <w:pStyle w:val="ListParagraph"/>
        <w:numPr>
          <w:ilvl w:val="0"/>
          <w:numId w:val="35"/>
        </w:numPr>
        <w:jc w:val="both"/>
        <w:rPr>
          <w:rFonts w:cstheme="minorHAnsi"/>
        </w:rPr>
      </w:pPr>
      <w:r w:rsidRPr="003F7379">
        <w:rPr>
          <w:rFonts w:cstheme="minorHAnsi"/>
        </w:rPr>
        <w:t xml:space="preserve">analysis of the needs of the procuring entity,  </w:t>
      </w:r>
    </w:p>
    <w:p w14:paraId="1E32C0E6" w14:textId="77777777" w:rsidR="009C5CCE" w:rsidRPr="003F7379" w:rsidRDefault="009C5CCE" w:rsidP="009C5CCE">
      <w:pPr>
        <w:pStyle w:val="ListParagraph"/>
        <w:numPr>
          <w:ilvl w:val="0"/>
          <w:numId w:val="35"/>
        </w:numPr>
        <w:jc w:val="both"/>
        <w:rPr>
          <w:rFonts w:cstheme="minorHAnsi"/>
        </w:rPr>
      </w:pPr>
      <w:r w:rsidRPr="003F7379">
        <w:rPr>
          <w:rFonts w:cstheme="minorHAnsi"/>
        </w:rPr>
        <w:t xml:space="preserve">mediation procedure, </w:t>
      </w:r>
    </w:p>
    <w:p w14:paraId="1C1EFD77" w14:textId="77777777" w:rsidR="009C5CCE" w:rsidRPr="003F7379" w:rsidRDefault="009C5CCE" w:rsidP="009C5CCE">
      <w:pPr>
        <w:pStyle w:val="ListParagraph"/>
        <w:numPr>
          <w:ilvl w:val="0"/>
          <w:numId w:val="35"/>
        </w:numPr>
        <w:jc w:val="both"/>
        <w:rPr>
          <w:rFonts w:cstheme="minorHAnsi"/>
        </w:rPr>
      </w:pPr>
      <w:r w:rsidRPr="003F7379">
        <w:rPr>
          <w:rFonts w:cstheme="minorHAnsi"/>
        </w:rPr>
        <w:t xml:space="preserve">obligation of parties of the contract to cooperate in order to resolve problems they encounter during implementation. </w:t>
      </w:r>
    </w:p>
    <w:p w14:paraId="6BEE83C3" w14:textId="77777777" w:rsidR="009C5CCE" w:rsidRPr="003F7379" w:rsidRDefault="009C5CCE" w:rsidP="009C5CCE">
      <w:pPr>
        <w:jc w:val="both"/>
        <w:rPr>
          <w:rFonts w:cstheme="minorHAnsi"/>
        </w:rPr>
      </w:pPr>
    </w:p>
    <w:p w14:paraId="4D5324B6"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Limiting a number of requested documents: </w:t>
      </w:r>
    </w:p>
    <w:p w14:paraId="09B43CE0" w14:textId="77777777" w:rsidR="009C5CCE" w:rsidRPr="003F7379" w:rsidRDefault="009C5CCE" w:rsidP="009C5CCE">
      <w:pPr>
        <w:pStyle w:val="ListParagraph"/>
        <w:numPr>
          <w:ilvl w:val="0"/>
          <w:numId w:val="36"/>
        </w:numPr>
        <w:jc w:val="both"/>
        <w:rPr>
          <w:rFonts w:cstheme="minorHAnsi"/>
        </w:rPr>
      </w:pPr>
      <w:r w:rsidRPr="003F7379">
        <w:rPr>
          <w:rFonts w:cstheme="minorHAnsi"/>
        </w:rPr>
        <w:t xml:space="preserve">Optional tender guarantee instead of obligatory one, </w:t>
      </w:r>
    </w:p>
    <w:p w14:paraId="62902049" w14:textId="77777777" w:rsidR="009C5CCE" w:rsidRPr="003F7379" w:rsidRDefault="009C5CCE" w:rsidP="009C5CCE">
      <w:pPr>
        <w:pStyle w:val="ListParagraph"/>
        <w:numPr>
          <w:ilvl w:val="0"/>
          <w:numId w:val="36"/>
        </w:numPr>
        <w:jc w:val="both"/>
        <w:rPr>
          <w:rFonts w:cstheme="minorHAnsi"/>
        </w:rPr>
      </w:pPr>
      <w:r w:rsidRPr="003F7379">
        <w:rPr>
          <w:rFonts w:cstheme="minorHAnsi"/>
        </w:rPr>
        <w:t xml:space="preserve">Simplification of the procedure below EU thresholds (see above). </w:t>
      </w:r>
    </w:p>
    <w:p w14:paraId="4E33723A" w14:textId="77777777" w:rsidR="009C5CCE" w:rsidRPr="003F7379" w:rsidRDefault="009C5CCE" w:rsidP="009C5CCE">
      <w:pPr>
        <w:pStyle w:val="ListParagraph"/>
        <w:jc w:val="both"/>
        <w:rPr>
          <w:rFonts w:cstheme="minorHAnsi"/>
        </w:rPr>
      </w:pPr>
    </w:p>
    <w:p w14:paraId="26B1EF84"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Guaranteed price indexation: </w:t>
      </w:r>
    </w:p>
    <w:p w14:paraId="133E69A2" w14:textId="77777777" w:rsidR="009C5CCE" w:rsidRPr="003F7379" w:rsidRDefault="009C5CCE" w:rsidP="009C5CCE">
      <w:pPr>
        <w:pStyle w:val="ListParagraph"/>
        <w:numPr>
          <w:ilvl w:val="0"/>
          <w:numId w:val="37"/>
        </w:numPr>
        <w:jc w:val="both"/>
        <w:rPr>
          <w:rFonts w:cstheme="minorHAnsi"/>
          <w:b/>
          <w:bCs/>
        </w:rPr>
      </w:pPr>
      <w:r w:rsidRPr="003F7379">
        <w:rPr>
          <w:rFonts w:cstheme="minorHAnsi"/>
        </w:rPr>
        <w:t xml:space="preserve">obligation to apply price indexation </w:t>
      </w:r>
      <w:r w:rsidRPr="003F7379">
        <w:rPr>
          <w:rFonts w:cstheme="minorHAnsi"/>
          <w:b/>
          <w:bCs/>
        </w:rPr>
        <w:t xml:space="preserve">in the case of contracts longer than 12 months for services and works, </w:t>
      </w:r>
    </w:p>
    <w:p w14:paraId="5C6714B0" w14:textId="77777777" w:rsidR="009C5CCE" w:rsidRPr="003F7379" w:rsidRDefault="009C5CCE" w:rsidP="009C5CCE">
      <w:pPr>
        <w:pStyle w:val="ListParagraph"/>
        <w:numPr>
          <w:ilvl w:val="0"/>
          <w:numId w:val="37"/>
        </w:numPr>
        <w:jc w:val="both"/>
        <w:rPr>
          <w:rFonts w:cstheme="minorHAnsi"/>
          <w:b/>
          <w:bCs/>
        </w:rPr>
      </w:pPr>
      <w:r w:rsidRPr="003F7379">
        <w:rPr>
          <w:rFonts w:cstheme="minorHAnsi"/>
        </w:rPr>
        <w:t xml:space="preserve">obligation to apply price indexation in case </w:t>
      </w:r>
      <w:r w:rsidRPr="003F7379">
        <w:rPr>
          <w:rFonts w:cstheme="minorHAnsi"/>
          <w:b/>
          <w:bCs/>
        </w:rPr>
        <w:t xml:space="preserve">when the contract is signed after 180 days since the expiry of the time period for submission of tenders. </w:t>
      </w:r>
    </w:p>
    <w:p w14:paraId="79917D8C" w14:textId="77777777" w:rsidR="009C5CCE" w:rsidRPr="003F7379" w:rsidRDefault="009C5CCE" w:rsidP="009C5CCE">
      <w:pPr>
        <w:jc w:val="both"/>
        <w:rPr>
          <w:rFonts w:cstheme="minorHAnsi"/>
        </w:rPr>
      </w:pPr>
    </w:p>
    <w:p w14:paraId="5D8A6D5A"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Better description of the object of procurement: </w:t>
      </w:r>
    </w:p>
    <w:p w14:paraId="2291FB86" w14:textId="77777777" w:rsidR="009C5CCE" w:rsidRPr="003F7379" w:rsidRDefault="009C5CCE" w:rsidP="009C5CCE">
      <w:pPr>
        <w:pStyle w:val="ListParagraph"/>
        <w:numPr>
          <w:ilvl w:val="0"/>
          <w:numId w:val="38"/>
        </w:numPr>
        <w:jc w:val="both"/>
        <w:rPr>
          <w:rFonts w:cstheme="minorHAnsi"/>
        </w:rPr>
      </w:pPr>
      <w:r w:rsidRPr="003F7379">
        <w:rPr>
          <w:rFonts w:cstheme="minorHAnsi"/>
        </w:rPr>
        <w:t xml:space="preserve">Obligatory functional analysis to better define needs of the procuring entity, </w:t>
      </w:r>
    </w:p>
    <w:p w14:paraId="556B17C0" w14:textId="77777777" w:rsidR="009C5CCE" w:rsidRPr="003F7379" w:rsidRDefault="009C5CCE" w:rsidP="009C5CCE">
      <w:pPr>
        <w:pStyle w:val="ListParagraph"/>
        <w:numPr>
          <w:ilvl w:val="0"/>
          <w:numId w:val="38"/>
        </w:numPr>
        <w:jc w:val="both"/>
        <w:rPr>
          <w:rFonts w:cstheme="minorHAnsi"/>
        </w:rPr>
      </w:pPr>
      <w:r w:rsidRPr="003F7379">
        <w:rPr>
          <w:rFonts w:cstheme="minorHAnsi"/>
        </w:rPr>
        <w:t xml:space="preserve">Analysis of needs of the procuring entity, </w:t>
      </w:r>
    </w:p>
    <w:p w14:paraId="087AF2F3" w14:textId="77777777" w:rsidR="009C5CCE" w:rsidRPr="003F7379" w:rsidRDefault="009C5CCE" w:rsidP="009C5CCE">
      <w:pPr>
        <w:pStyle w:val="ListParagraph"/>
        <w:numPr>
          <w:ilvl w:val="0"/>
          <w:numId w:val="38"/>
        </w:numPr>
        <w:jc w:val="both"/>
        <w:rPr>
          <w:rFonts w:cstheme="minorHAnsi"/>
        </w:rPr>
      </w:pPr>
      <w:r w:rsidRPr="003F7379">
        <w:rPr>
          <w:rFonts w:cstheme="minorHAnsi"/>
        </w:rPr>
        <w:t xml:space="preserve">Preliminary market consultations, </w:t>
      </w:r>
    </w:p>
    <w:p w14:paraId="6FC711B7" w14:textId="77777777" w:rsidR="009C5CCE" w:rsidRPr="003F7379" w:rsidRDefault="009C5CCE" w:rsidP="009C5CCE">
      <w:pPr>
        <w:pStyle w:val="ListParagraph"/>
        <w:numPr>
          <w:ilvl w:val="0"/>
          <w:numId w:val="38"/>
        </w:numPr>
        <w:jc w:val="both"/>
        <w:rPr>
          <w:rFonts w:cstheme="minorHAnsi"/>
        </w:rPr>
      </w:pPr>
      <w:r w:rsidRPr="003F7379">
        <w:rPr>
          <w:rFonts w:cstheme="minorHAnsi"/>
        </w:rPr>
        <w:t xml:space="preserve">Reports from realization of the contract. </w:t>
      </w:r>
    </w:p>
    <w:p w14:paraId="42FF9796" w14:textId="77777777" w:rsidR="009C5CCE" w:rsidRPr="003F7379" w:rsidRDefault="009C5CCE" w:rsidP="009C5CCE">
      <w:pPr>
        <w:pStyle w:val="ListParagraph"/>
        <w:jc w:val="both"/>
        <w:rPr>
          <w:rFonts w:cstheme="minorHAnsi"/>
        </w:rPr>
      </w:pPr>
    </w:p>
    <w:p w14:paraId="626723F1"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Application of advance and partial payments: </w:t>
      </w:r>
    </w:p>
    <w:p w14:paraId="29DAB536" w14:textId="77777777" w:rsidR="009C5CCE" w:rsidRPr="003F7379" w:rsidRDefault="009C5CCE" w:rsidP="009C5CCE">
      <w:pPr>
        <w:pStyle w:val="ListParagraph"/>
        <w:numPr>
          <w:ilvl w:val="0"/>
          <w:numId w:val="39"/>
        </w:numPr>
        <w:jc w:val="both"/>
        <w:rPr>
          <w:rFonts w:cstheme="minorHAnsi"/>
        </w:rPr>
      </w:pPr>
      <w:r w:rsidRPr="003F7379">
        <w:rPr>
          <w:rFonts w:cstheme="minorHAnsi"/>
        </w:rPr>
        <w:t xml:space="preserve">obligation to provide advance and partial payments, </w:t>
      </w:r>
    </w:p>
    <w:p w14:paraId="4666983B" w14:textId="77777777" w:rsidR="009C5CCE" w:rsidRPr="003F7379" w:rsidRDefault="009C5CCE" w:rsidP="009C5CCE">
      <w:pPr>
        <w:pStyle w:val="ListParagraph"/>
        <w:jc w:val="both"/>
        <w:rPr>
          <w:rFonts w:cstheme="minorHAnsi"/>
        </w:rPr>
      </w:pPr>
    </w:p>
    <w:p w14:paraId="68EAF170" w14:textId="77777777" w:rsidR="009C5CCE" w:rsidRPr="003F7379" w:rsidRDefault="009C5CCE" w:rsidP="009C5CCE">
      <w:pPr>
        <w:pStyle w:val="ListParagraph"/>
        <w:numPr>
          <w:ilvl w:val="0"/>
          <w:numId w:val="23"/>
        </w:numPr>
        <w:jc w:val="both"/>
        <w:rPr>
          <w:rFonts w:cstheme="minorHAnsi"/>
          <w:b/>
          <w:bCs/>
        </w:rPr>
      </w:pPr>
      <w:r w:rsidRPr="003F7379">
        <w:rPr>
          <w:rFonts w:cstheme="minorHAnsi"/>
          <w:b/>
          <w:bCs/>
        </w:rPr>
        <w:t xml:space="preserve">Restrictions concerning amount of damages (applied in case of non – performance) envisaged in the contract: </w:t>
      </w:r>
    </w:p>
    <w:p w14:paraId="183D4602" w14:textId="77777777" w:rsidR="009C5CCE" w:rsidRPr="003F7379" w:rsidRDefault="009C5CCE" w:rsidP="009C5CCE">
      <w:pPr>
        <w:pStyle w:val="ListParagraph"/>
        <w:numPr>
          <w:ilvl w:val="0"/>
          <w:numId w:val="40"/>
        </w:numPr>
        <w:jc w:val="both"/>
        <w:rPr>
          <w:rFonts w:cstheme="minorHAnsi"/>
        </w:rPr>
      </w:pPr>
      <w:r w:rsidRPr="003F7379">
        <w:rPr>
          <w:rFonts w:cstheme="minorHAnsi"/>
        </w:rPr>
        <w:t xml:space="preserve">obligatory clauses in contracts limiting maximum amounts of contractual penalties. </w:t>
      </w:r>
    </w:p>
    <w:p w14:paraId="01B378EC" w14:textId="77777777" w:rsidR="009C5CCE" w:rsidRPr="003F7379" w:rsidRDefault="009C5CCE" w:rsidP="009C5CCE">
      <w:pPr>
        <w:jc w:val="both"/>
        <w:rPr>
          <w:rFonts w:cstheme="minorHAnsi"/>
          <w:b/>
          <w:bCs/>
        </w:rPr>
      </w:pPr>
    </w:p>
    <w:p w14:paraId="5D32A011" w14:textId="77777777" w:rsidR="009C5CCE" w:rsidRPr="003F7379" w:rsidRDefault="009C5CCE" w:rsidP="009C5CCE">
      <w:pPr>
        <w:jc w:val="both"/>
        <w:rPr>
          <w:rFonts w:cstheme="minorHAnsi"/>
          <w:b/>
          <w:bCs/>
        </w:rPr>
      </w:pPr>
    </w:p>
    <w:p w14:paraId="7A339E11" w14:textId="77777777" w:rsidR="009C5CCE" w:rsidRPr="003F7379" w:rsidRDefault="009C5CCE" w:rsidP="009C5CCE">
      <w:pPr>
        <w:jc w:val="both"/>
        <w:rPr>
          <w:rFonts w:cstheme="minorHAnsi"/>
          <w:b/>
          <w:bCs/>
        </w:rPr>
      </w:pPr>
    </w:p>
    <w:p w14:paraId="2943E69E" w14:textId="77777777" w:rsidR="009C5CCE" w:rsidRPr="003F7379" w:rsidRDefault="009C5CCE" w:rsidP="009C5CCE">
      <w:pPr>
        <w:jc w:val="center"/>
        <w:rPr>
          <w:rFonts w:cstheme="minorHAnsi"/>
          <w:b/>
          <w:bCs/>
        </w:rPr>
      </w:pPr>
      <w:r w:rsidRPr="003F7379">
        <w:rPr>
          <w:rFonts w:cstheme="minorHAnsi"/>
          <w:b/>
          <w:bCs/>
        </w:rPr>
        <w:t xml:space="preserve">Examples of </w:t>
      </w:r>
      <w:r>
        <w:rPr>
          <w:rFonts w:cstheme="minorHAnsi"/>
          <w:b/>
          <w:bCs/>
        </w:rPr>
        <w:t xml:space="preserve">legal </w:t>
      </w:r>
      <w:r w:rsidRPr="003F7379">
        <w:rPr>
          <w:rFonts w:cstheme="minorHAnsi"/>
          <w:b/>
          <w:bCs/>
        </w:rPr>
        <w:t>provisions related to above mentioned solutions</w:t>
      </w:r>
    </w:p>
    <w:p w14:paraId="2CF2F95E" w14:textId="77777777" w:rsidR="009C5CCE" w:rsidRPr="003F7379" w:rsidRDefault="009C5CCE" w:rsidP="009C5CCE">
      <w:pPr>
        <w:jc w:val="both"/>
        <w:rPr>
          <w:rFonts w:cstheme="minorHAnsi"/>
          <w:b/>
          <w:bCs/>
        </w:rPr>
      </w:pPr>
    </w:p>
    <w:p w14:paraId="005546F2" w14:textId="77777777" w:rsidR="009C5CCE" w:rsidRPr="003F7379" w:rsidRDefault="009C5CCE" w:rsidP="009C5CCE">
      <w:pPr>
        <w:jc w:val="both"/>
        <w:rPr>
          <w:rFonts w:cstheme="minorHAnsi"/>
          <w:b/>
          <w:bCs/>
        </w:rPr>
      </w:pPr>
      <w:r w:rsidRPr="003F7379">
        <w:rPr>
          <w:rFonts w:cstheme="minorHAnsi"/>
          <w:b/>
          <w:bCs/>
        </w:rPr>
        <w:t xml:space="preserve">Ad 5 </w:t>
      </w:r>
    </w:p>
    <w:p w14:paraId="628F6371" w14:textId="77777777" w:rsidR="009C5CCE" w:rsidRPr="003F7379" w:rsidRDefault="009C5CCE" w:rsidP="009C5CCE">
      <w:pPr>
        <w:jc w:val="both"/>
        <w:rPr>
          <w:rFonts w:cstheme="minorHAnsi"/>
          <w:b/>
          <w:bCs/>
        </w:rPr>
      </w:pPr>
    </w:p>
    <w:p w14:paraId="31E6C25D" w14:textId="77777777" w:rsidR="009C5CCE" w:rsidRPr="003F7379" w:rsidRDefault="009C5CCE" w:rsidP="009C5CCE">
      <w:pPr>
        <w:jc w:val="both"/>
        <w:rPr>
          <w:rFonts w:cstheme="minorHAnsi"/>
          <w:b/>
          <w:bCs/>
        </w:rPr>
      </w:pPr>
      <w:r w:rsidRPr="003F7379">
        <w:rPr>
          <w:rFonts w:cstheme="minorHAnsi"/>
          <w:b/>
          <w:bCs/>
        </w:rPr>
        <w:t xml:space="preserve">Price indexation </w:t>
      </w:r>
    </w:p>
    <w:p w14:paraId="7CBB499D" w14:textId="77777777" w:rsidR="009C5CCE" w:rsidRPr="003F7379" w:rsidRDefault="009C5CCE" w:rsidP="009C5CCE">
      <w:pPr>
        <w:jc w:val="both"/>
        <w:rPr>
          <w:rFonts w:cstheme="minorHAnsi"/>
          <w:b/>
          <w:bCs/>
        </w:rPr>
      </w:pPr>
    </w:p>
    <w:p w14:paraId="38041874" w14:textId="77777777" w:rsidR="009C5CCE" w:rsidRPr="003F7379" w:rsidRDefault="009C5CCE" w:rsidP="009C5CCE">
      <w:pPr>
        <w:jc w:val="both"/>
        <w:rPr>
          <w:rFonts w:cstheme="minorHAnsi"/>
          <w:b/>
          <w:bCs/>
        </w:rPr>
      </w:pPr>
      <w:r w:rsidRPr="003F7379">
        <w:rPr>
          <w:rFonts w:cstheme="minorHAnsi"/>
          <w:b/>
          <w:bCs/>
        </w:rPr>
        <w:lastRenderedPageBreak/>
        <w:t xml:space="preserve"> </w:t>
      </w:r>
    </w:p>
    <w:p w14:paraId="102ADCE8" w14:textId="77777777" w:rsidR="009C5CCE" w:rsidRPr="003F7379" w:rsidRDefault="009C5CCE" w:rsidP="009C5CCE">
      <w:p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1. A contract for works or services, concluded for a period of more than 12 months, shall contain provisions concerning the rules for introducing changes in the amount of remuneration due to the economic operator in the case of a change in the price of materials or costs associated with the performance of the contract. </w:t>
      </w:r>
    </w:p>
    <w:p w14:paraId="57695DB0" w14:textId="77777777" w:rsidR="009C5CCE" w:rsidRPr="003F7379" w:rsidRDefault="009C5CCE" w:rsidP="009C5CCE">
      <w:pPr>
        <w:autoSpaceDE w:val="0"/>
        <w:autoSpaceDN w:val="0"/>
        <w:adjustRightInd w:val="0"/>
        <w:jc w:val="both"/>
        <w:rPr>
          <w:rFonts w:cstheme="minorHAnsi"/>
          <w:i/>
          <w:iCs/>
          <w:color w:val="000000"/>
          <w:sz w:val="22"/>
          <w:szCs w:val="22"/>
        </w:rPr>
      </w:pPr>
    </w:p>
    <w:p w14:paraId="003C05A1" w14:textId="77777777" w:rsidR="009C5CCE" w:rsidRPr="003F7379" w:rsidRDefault="009C5CCE" w:rsidP="009C5CCE">
      <w:p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2. The contract shall specify: </w:t>
      </w:r>
    </w:p>
    <w:p w14:paraId="19B0990E" w14:textId="77777777" w:rsidR="009C5CCE" w:rsidRPr="003F7379" w:rsidRDefault="009C5CCE" w:rsidP="009C5CCE">
      <w:pPr>
        <w:autoSpaceDE w:val="0"/>
        <w:autoSpaceDN w:val="0"/>
        <w:adjustRightInd w:val="0"/>
        <w:spacing w:after="173"/>
        <w:jc w:val="both"/>
        <w:rPr>
          <w:rFonts w:cstheme="minorHAnsi"/>
          <w:i/>
          <w:iCs/>
          <w:color w:val="000000"/>
          <w:sz w:val="22"/>
          <w:szCs w:val="22"/>
        </w:rPr>
      </w:pPr>
      <w:r w:rsidRPr="003F7379">
        <w:rPr>
          <w:rFonts w:cstheme="minorHAnsi"/>
          <w:i/>
          <w:iCs/>
          <w:color w:val="000000"/>
          <w:sz w:val="22"/>
          <w:szCs w:val="22"/>
        </w:rPr>
        <w:t xml:space="preserve">1) the level of change in the price of the materials or costs referred to in para. 1, entitling the parties to the contract to demand a change of remuneration and the initial date of determining the change of remuneration; </w:t>
      </w:r>
    </w:p>
    <w:p w14:paraId="26EC5DF8" w14:textId="77777777" w:rsidR="009C5CCE" w:rsidRPr="003F7379" w:rsidRDefault="009C5CCE" w:rsidP="009C5CCE">
      <w:pPr>
        <w:numPr>
          <w:ilvl w:val="1"/>
          <w:numId w:val="30"/>
        </w:numPr>
        <w:autoSpaceDE w:val="0"/>
        <w:autoSpaceDN w:val="0"/>
        <w:adjustRightInd w:val="0"/>
        <w:spacing w:after="173"/>
        <w:jc w:val="both"/>
        <w:rPr>
          <w:rFonts w:cstheme="minorHAnsi"/>
          <w:i/>
          <w:iCs/>
          <w:color w:val="000000"/>
          <w:sz w:val="22"/>
          <w:szCs w:val="22"/>
        </w:rPr>
      </w:pPr>
      <w:r w:rsidRPr="003F7379">
        <w:rPr>
          <w:rFonts w:cstheme="minorHAnsi"/>
          <w:i/>
          <w:iCs/>
          <w:color w:val="000000"/>
          <w:sz w:val="22"/>
          <w:szCs w:val="22"/>
        </w:rPr>
        <w:t xml:space="preserve">2) the method of determining the change of remuneration: a) by reference to the index of changes in the price of materials or costs, in particular the index published in the statement of the President of the Statistics Poland, or b) by indicating another basis, in particular a list of types of materials or costs for which a change in price entitles the parties to the contract to demand a change in remuneration; </w:t>
      </w:r>
    </w:p>
    <w:p w14:paraId="54DDB78F" w14:textId="77777777" w:rsidR="009C5CCE" w:rsidRPr="003F7379" w:rsidRDefault="009C5CCE" w:rsidP="009C5CCE">
      <w:pPr>
        <w:numPr>
          <w:ilvl w:val="1"/>
          <w:numId w:val="30"/>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3) the method of determining the impact of the change in the price of materials or costs on the cost of performance of the contract and determining the periods during which a change in the remuneration of the economic operator may occur; </w:t>
      </w:r>
    </w:p>
    <w:p w14:paraId="58D7CB67" w14:textId="77777777" w:rsidR="009C5CCE" w:rsidRPr="003F7379" w:rsidRDefault="009C5CCE" w:rsidP="009C5CCE">
      <w:pPr>
        <w:numPr>
          <w:ilvl w:val="1"/>
          <w:numId w:val="30"/>
        </w:numPr>
        <w:autoSpaceDE w:val="0"/>
        <w:autoSpaceDN w:val="0"/>
        <w:adjustRightInd w:val="0"/>
        <w:jc w:val="both"/>
        <w:rPr>
          <w:rFonts w:cstheme="minorHAnsi"/>
          <w:i/>
          <w:iCs/>
          <w:color w:val="000000"/>
          <w:sz w:val="22"/>
          <w:szCs w:val="22"/>
        </w:rPr>
      </w:pPr>
    </w:p>
    <w:p w14:paraId="69A3222E" w14:textId="77777777" w:rsidR="009C5CCE" w:rsidRPr="00D557C6" w:rsidRDefault="009C5CCE" w:rsidP="009C5CCE">
      <w:pPr>
        <w:pStyle w:val="Default"/>
        <w:jc w:val="both"/>
        <w:rPr>
          <w:rFonts w:asciiTheme="minorHAnsi" w:hAnsiTheme="minorHAnsi" w:cstheme="minorHAnsi"/>
          <w:i/>
          <w:iCs/>
        </w:rPr>
      </w:pPr>
      <w:r w:rsidRPr="003F7379">
        <w:rPr>
          <w:rFonts w:asciiTheme="minorHAnsi" w:hAnsiTheme="minorHAnsi" w:cstheme="minorHAnsi"/>
          <w:i/>
          <w:iCs/>
          <w:sz w:val="22"/>
          <w:szCs w:val="22"/>
        </w:rPr>
        <w:t xml:space="preserve">4) the maximum value of a change in remuneration permitted by the contracting body as a result </w:t>
      </w:r>
    </w:p>
    <w:p w14:paraId="326330E7" w14:textId="77777777" w:rsidR="009C5CCE" w:rsidRPr="00D557C6" w:rsidRDefault="009C5CCE" w:rsidP="009C5CCE">
      <w:pPr>
        <w:autoSpaceDE w:val="0"/>
        <w:autoSpaceDN w:val="0"/>
        <w:adjustRightInd w:val="0"/>
        <w:jc w:val="both"/>
        <w:rPr>
          <w:rFonts w:cstheme="minorHAnsi"/>
          <w:i/>
          <w:iCs/>
          <w:color w:val="000000"/>
          <w:sz w:val="22"/>
          <w:szCs w:val="22"/>
        </w:rPr>
      </w:pPr>
      <w:r w:rsidRPr="00D557C6">
        <w:rPr>
          <w:rFonts w:cstheme="minorHAnsi"/>
          <w:i/>
          <w:iCs/>
          <w:color w:val="000000"/>
          <w:sz w:val="22"/>
          <w:szCs w:val="22"/>
        </w:rPr>
        <w:t xml:space="preserve">of the application of the provisions on the rules for changing the amount of remuneration. </w:t>
      </w:r>
    </w:p>
    <w:p w14:paraId="2257E0DE" w14:textId="77777777" w:rsidR="009C5CCE" w:rsidRPr="003F7379" w:rsidRDefault="009C5CCE" w:rsidP="009C5CCE">
      <w:pPr>
        <w:autoSpaceDE w:val="0"/>
        <w:autoSpaceDN w:val="0"/>
        <w:adjustRightInd w:val="0"/>
        <w:jc w:val="both"/>
        <w:rPr>
          <w:rFonts w:cstheme="minorHAnsi"/>
          <w:i/>
          <w:iCs/>
          <w:color w:val="000000"/>
          <w:sz w:val="22"/>
          <w:szCs w:val="22"/>
        </w:rPr>
      </w:pPr>
    </w:p>
    <w:p w14:paraId="205A5B0C" w14:textId="77777777" w:rsidR="009C5CCE" w:rsidRPr="003F7379" w:rsidRDefault="009C5CCE" w:rsidP="009C5CCE">
      <w:pPr>
        <w:autoSpaceDE w:val="0"/>
        <w:autoSpaceDN w:val="0"/>
        <w:adjustRightInd w:val="0"/>
        <w:jc w:val="both"/>
        <w:rPr>
          <w:rFonts w:cstheme="minorHAnsi"/>
          <w:i/>
          <w:iCs/>
          <w:color w:val="000000"/>
          <w:sz w:val="22"/>
          <w:szCs w:val="22"/>
        </w:rPr>
      </w:pPr>
      <w:r w:rsidRPr="00D557C6">
        <w:rPr>
          <w:rFonts w:cstheme="minorHAnsi"/>
          <w:i/>
          <w:iCs/>
          <w:color w:val="000000"/>
          <w:sz w:val="22"/>
          <w:szCs w:val="22"/>
        </w:rPr>
        <w:t xml:space="preserve">3. If the contract has been concluded after 180 days from the expiry of the time limit for the submission of tenders, the initial date for determining the change in remuneration shall be the day of the opening of tenders, unless the contracting body sets an earlier date. </w:t>
      </w:r>
    </w:p>
    <w:p w14:paraId="4563B041" w14:textId="77777777" w:rsidR="009C5CCE" w:rsidRPr="00D557C6" w:rsidRDefault="009C5CCE" w:rsidP="009C5CCE">
      <w:pPr>
        <w:autoSpaceDE w:val="0"/>
        <w:autoSpaceDN w:val="0"/>
        <w:adjustRightInd w:val="0"/>
        <w:jc w:val="both"/>
        <w:rPr>
          <w:rFonts w:cstheme="minorHAnsi"/>
          <w:i/>
          <w:iCs/>
          <w:color w:val="000000"/>
          <w:sz w:val="22"/>
          <w:szCs w:val="22"/>
        </w:rPr>
      </w:pPr>
    </w:p>
    <w:p w14:paraId="1C6D7FBD" w14:textId="77777777" w:rsidR="009C5CCE" w:rsidRPr="00D557C6" w:rsidRDefault="009C5CCE" w:rsidP="009C5CCE">
      <w:pPr>
        <w:autoSpaceDE w:val="0"/>
        <w:autoSpaceDN w:val="0"/>
        <w:adjustRightInd w:val="0"/>
        <w:jc w:val="both"/>
        <w:rPr>
          <w:rFonts w:cstheme="minorHAnsi"/>
          <w:i/>
          <w:iCs/>
          <w:color w:val="000000"/>
          <w:sz w:val="22"/>
          <w:szCs w:val="22"/>
        </w:rPr>
      </w:pPr>
      <w:r w:rsidRPr="00D557C6">
        <w:rPr>
          <w:rFonts w:cstheme="minorHAnsi"/>
          <w:i/>
          <w:iCs/>
          <w:color w:val="000000"/>
          <w:sz w:val="22"/>
          <w:szCs w:val="22"/>
        </w:rPr>
        <w:t xml:space="preserve">4. A change in the price of materials or costs shall be understood as an increase in prices or costs respectively as well as a reduction thereof in relation to the price or cost adopted to determine the remuneration of the economic operator included in the tender. </w:t>
      </w:r>
    </w:p>
    <w:p w14:paraId="2FCA2C22" w14:textId="77777777" w:rsidR="009C5CCE" w:rsidRPr="003F7379" w:rsidRDefault="009C5CCE" w:rsidP="009C5CCE">
      <w:pPr>
        <w:autoSpaceDE w:val="0"/>
        <w:autoSpaceDN w:val="0"/>
        <w:adjustRightInd w:val="0"/>
        <w:jc w:val="both"/>
        <w:rPr>
          <w:rFonts w:cstheme="minorHAnsi"/>
          <w:i/>
          <w:iCs/>
          <w:color w:val="000000"/>
          <w:sz w:val="22"/>
          <w:szCs w:val="22"/>
        </w:rPr>
      </w:pPr>
    </w:p>
    <w:p w14:paraId="7A0BF036" w14:textId="77777777" w:rsidR="009C5CCE" w:rsidRPr="00D557C6" w:rsidRDefault="009C5CCE" w:rsidP="009C5CCE">
      <w:pPr>
        <w:autoSpaceDE w:val="0"/>
        <w:autoSpaceDN w:val="0"/>
        <w:adjustRightInd w:val="0"/>
        <w:jc w:val="both"/>
        <w:rPr>
          <w:rFonts w:cstheme="minorHAnsi"/>
          <w:i/>
          <w:iCs/>
          <w:color w:val="000000"/>
          <w:sz w:val="22"/>
          <w:szCs w:val="22"/>
        </w:rPr>
      </w:pPr>
      <w:r w:rsidRPr="00D557C6">
        <w:rPr>
          <w:rFonts w:cstheme="minorHAnsi"/>
          <w:i/>
          <w:iCs/>
          <w:color w:val="000000"/>
          <w:sz w:val="22"/>
          <w:szCs w:val="22"/>
        </w:rPr>
        <w:t xml:space="preserve">5. The economic operator whose remuneration has been changed in accordance with para. 1 to 3 shall be obliged to change the remuneration of the subcontractor with whom he has concluded the contract, to the extent corresponding to changes in the prices of materials or costs related to the subcontractor’s commitment, if all of the following conditions are met: </w:t>
      </w:r>
    </w:p>
    <w:p w14:paraId="370B3BFB" w14:textId="77777777" w:rsidR="009C5CCE" w:rsidRPr="00D557C6" w:rsidRDefault="009C5CCE" w:rsidP="009C5CCE">
      <w:pPr>
        <w:autoSpaceDE w:val="0"/>
        <w:autoSpaceDN w:val="0"/>
        <w:adjustRightInd w:val="0"/>
        <w:spacing w:after="173"/>
        <w:jc w:val="both"/>
        <w:rPr>
          <w:rFonts w:cstheme="minorHAnsi"/>
          <w:i/>
          <w:iCs/>
          <w:color w:val="000000"/>
          <w:sz w:val="22"/>
          <w:szCs w:val="22"/>
        </w:rPr>
      </w:pPr>
      <w:r w:rsidRPr="00D557C6">
        <w:rPr>
          <w:rFonts w:cstheme="minorHAnsi"/>
          <w:i/>
          <w:iCs/>
          <w:color w:val="000000"/>
          <w:sz w:val="22"/>
          <w:szCs w:val="22"/>
        </w:rPr>
        <w:t xml:space="preserve">1) the subject of the contract is works or services; </w:t>
      </w:r>
    </w:p>
    <w:p w14:paraId="4508E978" w14:textId="77777777" w:rsidR="009C5CCE" w:rsidRPr="00D557C6" w:rsidRDefault="009C5CCE" w:rsidP="009C5CCE">
      <w:pPr>
        <w:autoSpaceDE w:val="0"/>
        <w:autoSpaceDN w:val="0"/>
        <w:adjustRightInd w:val="0"/>
        <w:jc w:val="both"/>
        <w:rPr>
          <w:rFonts w:cstheme="minorHAnsi"/>
          <w:i/>
          <w:iCs/>
          <w:color w:val="000000"/>
          <w:sz w:val="22"/>
          <w:szCs w:val="22"/>
        </w:rPr>
      </w:pPr>
      <w:r w:rsidRPr="00D557C6">
        <w:rPr>
          <w:rFonts w:cstheme="minorHAnsi"/>
          <w:i/>
          <w:iCs/>
          <w:color w:val="000000"/>
          <w:sz w:val="22"/>
          <w:szCs w:val="22"/>
        </w:rPr>
        <w:t xml:space="preserve">2) the duration of the contract exceeds 12 months. </w:t>
      </w:r>
    </w:p>
    <w:p w14:paraId="01F17FE8" w14:textId="77777777" w:rsidR="009C5CCE" w:rsidRPr="003F7379" w:rsidRDefault="009C5CCE" w:rsidP="009C5CCE">
      <w:pPr>
        <w:jc w:val="both"/>
        <w:rPr>
          <w:rFonts w:cstheme="minorHAnsi"/>
          <w:b/>
          <w:bCs/>
        </w:rPr>
      </w:pPr>
    </w:p>
    <w:p w14:paraId="28C49C8F" w14:textId="77777777" w:rsidR="009C5CCE" w:rsidRPr="003F7379" w:rsidRDefault="009C5CCE" w:rsidP="009C5CCE">
      <w:pPr>
        <w:jc w:val="both"/>
        <w:rPr>
          <w:rFonts w:cstheme="minorHAnsi"/>
          <w:b/>
          <w:bCs/>
        </w:rPr>
      </w:pPr>
    </w:p>
    <w:p w14:paraId="19B6D30D" w14:textId="77777777" w:rsidR="009C5CCE" w:rsidRDefault="009C5CCE" w:rsidP="009C5CCE">
      <w:pPr>
        <w:jc w:val="both"/>
        <w:rPr>
          <w:rFonts w:cstheme="minorHAnsi"/>
          <w:b/>
          <w:bCs/>
        </w:rPr>
      </w:pPr>
      <w:r w:rsidRPr="003F7379">
        <w:rPr>
          <w:rFonts w:cstheme="minorHAnsi"/>
          <w:b/>
          <w:bCs/>
        </w:rPr>
        <w:t xml:space="preserve">Ad 7 </w:t>
      </w:r>
    </w:p>
    <w:p w14:paraId="15CB4D93" w14:textId="77777777" w:rsidR="009C5CCE" w:rsidRPr="003F7379" w:rsidRDefault="009C5CCE" w:rsidP="009C5CCE">
      <w:pPr>
        <w:jc w:val="both"/>
        <w:rPr>
          <w:rFonts w:cstheme="minorHAnsi"/>
          <w:b/>
          <w:bCs/>
        </w:rPr>
      </w:pPr>
      <w:r w:rsidRPr="003F7379">
        <w:rPr>
          <w:rFonts w:cstheme="minorHAnsi"/>
          <w:b/>
          <w:bCs/>
        </w:rPr>
        <w:t>Advance payments and partial payments</w:t>
      </w:r>
    </w:p>
    <w:p w14:paraId="336BCE8E" w14:textId="77777777" w:rsidR="009C5CCE" w:rsidRPr="003F7379" w:rsidRDefault="009C5CCE" w:rsidP="009C5CCE">
      <w:pPr>
        <w:jc w:val="both"/>
        <w:rPr>
          <w:rFonts w:cstheme="minorHAnsi"/>
          <w:b/>
          <w:bCs/>
        </w:rPr>
      </w:pPr>
    </w:p>
    <w:p w14:paraId="49DFE25F" w14:textId="77777777" w:rsidR="009C5CCE" w:rsidRPr="003F7379" w:rsidRDefault="009C5CCE" w:rsidP="009C5CCE">
      <w:pPr>
        <w:jc w:val="both"/>
        <w:rPr>
          <w:rFonts w:cstheme="minorHAnsi"/>
          <w:color w:val="000000"/>
          <w:sz w:val="22"/>
          <w:szCs w:val="22"/>
        </w:rPr>
      </w:pPr>
      <w:r w:rsidRPr="003F7379">
        <w:rPr>
          <w:rFonts w:cstheme="minorHAnsi"/>
          <w:color w:val="000000"/>
          <w:sz w:val="22"/>
          <w:szCs w:val="22"/>
        </w:rPr>
        <w:t xml:space="preserve">1. The contracting body may grant advance payments for the performance of the contract if this possibility has been provided for in the contract notice or in the procurement documents. </w:t>
      </w:r>
    </w:p>
    <w:p w14:paraId="2CFC269D" w14:textId="77777777" w:rsidR="009C5CCE" w:rsidRPr="003F7379" w:rsidRDefault="009C5CCE" w:rsidP="009C5CCE">
      <w:pPr>
        <w:autoSpaceDE w:val="0"/>
        <w:autoSpaceDN w:val="0"/>
        <w:adjustRightInd w:val="0"/>
        <w:jc w:val="both"/>
        <w:rPr>
          <w:rFonts w:cstheme="minorHAnsi"/>
          <w:color w:val="000000"/>
          <w:sz w:val="22"/>
          <w:szCs w:val="22"/>
        </w:rPr>
      </w:pPr>
    </w:p>
    <w:p w14:paraId="60620F2E" w14:textId="77777777" w:rsidR="009C5CCE" w:rsidRPr="003F7379"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lastRenderedPageBreak/>
        <w:t xml:space="preserve">2. The contracting body may grant further advance payments provided that the economic operator proves that he has performed the contract in terms of the value of advance payments previously granted. </w:t>
      </w:r>
    </w:p>
    <w:p w14:paraId="2CED2FC1" w14:textId="77777777" w:rsidR="009C5CCE" w:rsidRPr="00E33B51" w:rsidRDefault="009C5CCE" w:rsidP="009C5CCE">
      <w:pPr>
        <w:autoSpaceDE w:val="0"/>
        <w:autoSpaceDN w:val="0"/>
        <w:adjustRightInd w:val="0"/>
        <w:jc w:val="both"/>
        <w:rPr>
          <w:rFonts w:cstheme="minorHAnsi"/>
          <w:color w:val="000000"/>
          <w:sz w:val="22"/>
          <w:szCs w:val="22"/>
        </w:rPr>
      </w:pPr>
    </w:p>
    <w:p w14:paraId="224DC300" w14:textId="77777777" w:rsidR="009C5CCE" w:rsidRPr="00E33B51"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t xml:space="preserve">3. The contracting body may require the economic operator to lodge a security on the advance payment in one or more of the following forms: </w:t>
      </w:r>
    </w:p>
    <w:p w14:paraId="1C3EA035" w14:textId="77777777" w:rsidR="009C5CCE" w:rsidRPr="00E33B51" w:rsidRDefault="009C5CCE" w:rsidP="009C5CCE">
      <w:pPr>
        <w:autoSpaceDE w:val="0"/>
        <w:autoSpaceDN w:val="0"/>
        <w:adjustRightInd w:val="0"/>
        <w:spacing w:after="173"/>
        <w:jc w:val="both"/>
        <w:rPr>
          <w:rFonts w:cstheme="minorHAnsi"/>
          <w:color w:val="000000"/>
          <w:sz w:val="22"/>
          <w:szCs w:val="22"/>
        </w:rPr>
      </w:pPr>
      <w:r w:rsidRPr="00E33B51">
        <w:rPr>
          <w:rFonts w:cstheme="minorHAnsi"/>
          <w:color w:val="000000"/>
          <w:sz w:val="22"/>
          <w:szCs w:val="22"/>
        </w:rPr>
        <w:t xml:space="preserve">1) the bank sureties or sureties of a cooperative savings-loan fund, however the surety of the fund is always a financial surety; </w:t>
      </w:r>
    </w:p>
    <w:p w14:paraId="2994D67D" w14:textId="77777777" w:rsidR="009C5CCE" w:rsidRPr="00E33B51" w:rsidRDefault="009C5CCE" w:rsidP="009C5CCE">
      <w:pPr>
        <w:autoSpaceDE w:val="0"/>
        <w:autoSpaceDN w:val="0"/>
        <w:adjustRightInd w:val="0"/>
        <w:spacing w:after="173"/>
        <w:jc w:val="both"/>
        <w:rPr>
          <w:rFonts w:cstheme="minorHAnsi"/>
          <w:color w:val="000000"/>
          <w:sz w:val="22"/>
          <w:szCs w:val="22"/>
        </w:rPr>
      </w:pPr>
      <w:r w:rsidRPr="00E33B51">
        <w:rPr>
          <w:rFonts w:cstheme="minorHAnsi"/>
          <w:color w:val="000000"/>
          <w:sz w:val="22"/>
          <w:szCs w:val="22"/>
        </w:rPr>
        <w:t xml:space="preserve">2) bank guarantees; </w:t>
      </w:r>
    </w:p>
    <w:p w14:paraId="4DF54CF4" w14:textId="77777777" w:rsidR="009C5CCE" w:rsidRPr="00E33B51" w:rsidRDefault="009C5CCE" w:rsidP="009C5CCE">
      <w:pPr>
        <w:autoSpaceDE w:val="0"/>
        <w:autoSpaceDN w:val="0"/>
        <w:adjustRightInd w:val="0"/>
        <w:spacing w:after="173"/>
        <w:jc w:val="both"/>
        <w:rPr>
          <w:rFonts w:cstheme="minorHAnsi"/>
          <w:color w:val="000000"/>
          <w:sz w:val="22"/>
          <w:szCs w:val="22"/>
        </w:rPr>
      </w:pPr>
      <w:r w:rsidRPr="00E33B51">
        <w:rPr>
          <w:rFonts w:cstheme="minorHAnsi"/>
          <w:color w:val="000000"/>
          <w:sz w:val="22"/>
          <w:szCs w:val="22"/>
        </w:rPr>
        <w:t xml:space="preserve">3) insurance guarantees; </w:t>
      </w:r>
    </w:p>
    <w:p w14:paraId="56961AC9" w14:textId="77777777" w:rsidR="009C5CCE" w:rsidRPr="00E33B51" w:rsidRDefault="009C5CCE" w:rsidP="009C5CCE">
      <w:pPr>
        <w:autoSpaceDE w:val="0"/>
        <w:autoSpaceDN w:val="0"/>
        <w:adjustRightInd w:val="0"/>
        <w:spacing w:after="173"/>
        <w:jc w:val="both"/>
        <w:rPr>
          <w:rFonts w:cstheme="minorHAnsi"/>
          <w:color w:val="000000"/>
          <w:sz w:val="22"/>
          <w:szCs w:val="22"/>
        </w:rPr>
      </w:pPr>
      <w:r w:rsidRPr="00E33B51">
        <w:rPr>
          <w:rFonts w:cstheme="minorHAnsi"/>
          <w:color w:val="000000"/>
          <w:sz w:val="22"/>
          <w:szCs w:val="22"/>
        </w:rPr>
        <w:t xml:space="preserve">4) sureties granted by entities referred to in Article 6b para. 5 point 2 of the Act of 9 November 2000 on the establishment of the Polish Agency for Enterprise Development; </w:t>
      </w:r>
    </w:p>
    <w:p w14:paraId="578E6B4F" w14:textId="77777777" w:rsidR="009C5CCE" w:rsidRPr="003F7379"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t xml:space="preserve">5) bills of exchange with the surety of bank or cooperative savings-loan fund; </w:t>
      </w:r>
    </w:p>
    <w:p w14:paraId="0DB78AD2" w14:textId="77777777" w:rsidR="009C5CCE" w:rsidRPr="00E33B51" w:rsidRDefault="009C5CCE" w:rsidP="009C5CCE">
      <w:pPr>
        <w:autoSpaceDE w:val="0"/>
        <w:autoSpaceDN w:val="0"/>
        <w:adjustRightInd w:val="0"/>
        <w:jc w:val="both"/>
        <w:rPr>
          <w:rFonts w:cstheme="minorHAnsi"/>
          <w:color w:val="000000"/>
          <w:sz w:val="22"/>
          <w:szCs w:val="22"/>
        </w:rPr>
      </w:pPr>
    </w:p>
    <w:p w14:paraId="55555AF4" w14:textId="77777777" w:rsidR="009C5CCE" w:rsidRPr="00E33B51" w:rsidRDefault="009C5CCE" w:rsidP="009C5CCE">
      <w:pPr>
        <w:autoSpaceDE w:val="0"/>
        <w:autoSpaceDN w:val="0"/>
        <w:adjustRightInd w:val="0"/>
        <w:spacing w:after="173"/>
        <w:jc w:val="both"/>
        <w:rPr>
          <w:rFonts w:cstheme="minorHAnsi"/>
          <w:color w:val="000000"/>
          <w:sz w:val="22"/>
          <w:szCs w:val="22"/>
        </w:rPr>
      </w:pPr>
      <w:r w:rsidRPr="00E33B51">
        <w:rPr>
          <w:rFonts w:cstheme="minorHAnsi"/>
          <w:color w:val="000000"/>
          <w:sz w:val="22"/>
          <w:szCs w:val="22"/>
        </w:rPr>
        <w:t xml:space="preserve">6) by establishing a pledge on securities issued by the State Treasury or by a local government unit; </w:t>
      </w:r>
    </w:p>
    <w:p w14:paraId="468F131D" w14:textId="77777777" w:rsidR="009C5CCE" w:rsidRPr="00E33B51"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t xml:space="preserve">7) by establishing a registered pledge on the terms specified in the Act of 6 December 1996 on the Registered Pledge and the Pledge Register (Journal of Laws of 2018, item 2017). </w:t>
      </w:r>
    </w:p>
    <w:p w14:paraId="79DD1C85" w14:textId="77777777" w:rsidR="009C5CCE" w:rsidRPr="00E33B51" w:rsidRDefault="009C5CCE" w:rsidP="009C5CCE">
      <w:pPr>
        <w:autoSpaceDE w:val="0"/>
        <w:autoSpaceDN w:val="0"/>
        <w:adjustRightInd w:val="0"/>
        <w:jc w:val="both"/>
        <w:rPr>
          <w:rFonts w:cstheme="minorHAnsi"/>
          <w:color w:val="000000"/>
          <w:sz w:val="22"/>
          <w:szCs w:val="22"/>
        </w:rPr>
      </w:pPr>
    </w:p>
    <w:p w14:paraId="329C041E" w14:textId="77777777" w:rsidR="009C5CCE" w:rsidRPr="003F7379"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t xml:space="preserve">4. The contracting body shall require the lodging of a security on the advance payment if the expected value of advance payments exceeds 20% of the economic operator’s remuneration. </w:t>
      </w:r>
    </w:p>
    <w:p w14:paraId="2656B8A9" w14:textId="77777777" w:rsidR="009C5CCE" w:rsidRPr="00E33B51" w:rsidRDefault="009C5CCE" w:rsidP="009C5CCE">
      <w:pPr>
        <w:autoSpaceDE w:val="0"/>
        <w:autoSpaceDN w:val="0"/>
        <w:adjustRightInd w:val="0"/>
        <w:jc w:val="both"/>
        <w:rPr>
          <w:rFonts w:cstheme="minorHAnsi"/>
          <w:color w:val="000000"/>
          <w:sz w:val="22"/>
          <w:szCs w:val="22"/>
        </w:rPr>
      </w:pPr>
    </w:p>
    <w:p w14:paraId="67F6E2FD" w14:textId="77777777" w:rsidR="009C5CCE" w:rsidRPr="00E33B51" w:rsidRDefault="009C5CCE" w:rsidP="009C5CCE">
      <w:pPr>
        <w:autoSpaceDE w:val="0"/>
        <w:autoSpaceDN w:val="0"/>
        <w:adjustRightInd w:val="0"/>
        <w:jc w:val="both"/>
        <w:rPr>
          <w:rFonts w:cstheme="minorHAnsi"/>
          <w:color w:val="000000"/>
          <w:sz w:val="22"/>
          <w:szCs w:val="22"/>
        </w:rPr>
      </w:pPr>
      <w:r w:rsidRPr="00E33B51">
        <w:rPr>
          <w:rFonts w:cstheme="minorHAnsi"/>
          <w:color w:val="000000"/>
          <w:sz w:val="22"/>
          <w:szCs w:val="22"/>
        </w:rPr>
        <w:t xml:space="preserve">5. Where a security on the advance payment is required, the contract shall specify the form or forms of the security, the amount of the security and the manner in which it is lodged and returned. The contract may provide for the possibility of changing the form of security during the performance of the contract. </w:t>
      </w:r>
    </w:p>
    <w:p w14:paraId="056EFB93" w14:textId="77777777" w:rsidR="009C5CCE" w:rsidRDefault="009C5CCE" w:rsidP="009C5CCE">
      <w:pPr>
        <w:jc w:val="both"/>
        <w:rPr>
          <w:rFonts w:cstheme="minorHAnsi"/>
          <w:b/>
          <w:bCs/>
        </w:rPr>
      </w:pPr>
    </w:p>
    <w:p w14:paraId="0DB5ECF4" w14:textId="77777777" w:rsidR="009C5CCE" w:rsidRDefault="009C5CCE" w:rsidP="009C5CCE">
      <w:pPr>
        <w:jc w:val="both"/>
        <w:rPr>
          <w:rFonts w:cstheme="minorHAnsi"/>
          <w:b/>
          <w:bCs/>
        </w:rPr>
      </w:pPr>
      <w:r w:rsidRPr="003F7379">
        <w:rPr>
          <w:rFonts w:cstheme="minorHAnsi"/>
          <w:b/>
          <w:bCs/>
        </w:rPr>
        <w:t xml:space="preserve">Ad 8 </w:t>
      </w:r>
    </w:p>
    <w:p w14:paraId="1750091C" w14:textId="77777777" w:rsidR="009C5CCE" w:rsidRPr="003F7379" w:rsidRDefault="009C5CCE" w:rsidP="009C5CCE">
      <w:pPr>
        <w:jc w:val="both"/>
        <w:rPr>
          <w:rFonts w:cstheme="minorHAnsi"/>
          <w:b/>
          <w:bCs/>
        </w:rPr>
      </w:pPr>
      <w:r w:rsidRPr="003F7379">
        <w:rPr>
          <w:rFonts w:cstheme="minorHAnsi"/>
          <w:b/>
          <w:bCs/>
        </w:rPr>
        <w:t xml:space="preserve">Solutions concerning contractual penalties in the contract as well as protecting economic operators: </w:t>
      </w:r>
    </w:p>
    <w:p w14:paraId="747A410C" w14:textId="77777777" w:rsidR="009C5CCE" w:rsidRPr="003F7379" w:rsidRDefault="009C5CCE" w:rsidP="009C5CCE">
      <w:pPr>
        <w:jc w:val="both"/>
        <w:rPr>
          <w:rFonts w:cstheme="minorHAnsi"/>
          <w:b/>
          <w:bCs/>
        </w:rPr>
      </w:pPr>
    </w:p>
    <w:p w14:paraId="111E6D50" w14:textId="77777777" w:rsidR="009C5CCE" w:rsidRPr="003F7379" w:rsidRDefault="009C5CCE" w:rsidP="009C5CCE">
      <w:pPr>
        <w:jc w:val="both"/>
        <w:rPr>
          <w:rFonts w:cstheme="minorHAnsi"/>
          <w:b/>
          <w:bCs/>
        </w:rPr>
      </w:pPr>
    </w:p>
    <w:p w14:paraId="57544498" w14:textId="77777777" w:rsidR="009C5CCE" w:rsidRPr="009E5C3F" w:rsidRDefault="009C5CCE" w:rsidP="009C5CCE">
      <w:pPr>
        <w:autoSpaceDE w:val="0"/>
        <w:autoSpaceDN w:val="0"/>
        <w:adjustRightInd w:val="0"/>
        <w:jc w:val="both"/>
        <w:rPr>
          <w:rFonts w:cstheme="minorHAnsi"/>
          <w:b/>
          <w:bCs/>
          <w:i/>
          <w:iCs/>
          <w:color w:val="000000"/>
          <w:sz w:val="22"/>
          <w:szCs w:val="22"/>
        </w:rPr>
      </w:pPr>
      <w:r w:rsidRPr="00B21BF1">
        <w:rPr>
          <w:rFonts w:cstheme="minorHAnsi"/>
          <w:b/>
          <w:bCs/>
          <w:i/>
          <w:iCs/>
          <w:color w:val="000000"/>
          <w:sz w:val="22"/>
          <w:szCs w:val="22"/>
        </w:rPr>
        <w:t xml:space="preserve">The contracting body and the economic operator selected in the procurement procedure shall be obliged to cooperate in the performance of a public contract, hereinafter referred to as ‘the contract’, in order to properly perform the contract. </w:t>
      </w:r>
    </w:p>
    <w:p w14:paraId="56D84D57" w14:textId="77777777" w:rsidR="009C5CCE" w:rsidRPr="00B21BF1" w:rsidRDefault="009C5CCE" w:rsidP="009C5CCE">
      <w:pPr>
        <w:autoSpaceDE w:val="0"/>
        <w:autoSpaceDN w:val="0"/>
        <w:adjustRightInd w:val="0"/>
        <w:jc w:val="both"/>
        <w:rPr>
          <w:rFonts w:cstheme="minorHAnsi"/>
          <w:color w:val="000000"/>
          <w:sz w:val="22"/>
          <w:szCs w:val="22"/>
        </w:rPr>
      </w:pPr>
    </w:p>
    <w:p w14:paraId="431BDF71" w14:textId="77777777" w:rsidR="009C5CCE" w:rsidRPr="00B21BF1" w:rsidRDefault="009C5CCE" w:rsidP="009C5CCE">
      <w:pPr>
        <w:autoSpaceDE w:val="0"/>
        <w:autoSpaceDN w:val="0"/>
        <w:adjustRightInd w:val="0"/>
        <w:jc w:val="both"/>
        <w:rPr>
          <w:rFonts w:cstheme="minorHAnsi"/>
          <w:b/>
          <w:bCs/>
          <w:i/>
          <w:iCs/>
          <w:color w:val="000000"/>
          <w:sz w:val="22"/>
          <w:szCs w:val="22"/>
        </w:rPr>
      </w:pPr>
      <w:r w:rsidRPr="00B21BF1">
        <w:rPr>
          <w:rFonts w:cstheme="minorHAnsi"/>
          <w:b/>
          <w:bCs/>
          <w:i/>
          <w:iCs/>
          <w:color w:val="000000"/>
          <w:sz w:val="22"/>
          <w:szCs w:val="22"/>
        </w:rPr>
        <w:t xml:space="preserve">The proposed provisions of the contract shall not provide for: </w:t>
      </w:r>
    </w:p>
    <w:p w14:paraId="1F57CDEA" w14:textId="77777777" w:rsidR="009C5CCE" w:rsidRPr="00B21BF1" w:rsidRDefault="009C5CCE" w:rsidP="009C5CCE">
      <w:pPr>
        <w:autoSpaceDE w:val="0"/>
        <w:autoSpaceDN w:val="0"/>
        <w:adjustRightInd w:val="0"/>
        <w:spacing w:after="173"/>
        <w:jc w:val="both"/>
        <w:rPr>
          <w:rFonts w:cstheme="minorHAnsi"/>
          <w:i/>
          <w:iCs/>
          <w:color w:val="000000"/>
          <w:sz w:val="22"/>
          <w:szCs w:val="22"/>
        </w:rPr>
      </w:pPr>
      <w:r w:rsidRPr="00B21BF1">
        <w:rPr>
          <w:rFonts w:cstheme="minorHAnsi"/>
          <w:i/>
          <w:iCs/>
          <w:color w:val="000000"/>
          <w:sz w:val="22"/>
          <w:szCs w:val="22"/>
        </w:rPr>
        <w:t xml:space="preserve">1) the liability of the economic operator for delay, unless it is justified by the circumstances or scope of the contract; </w:t>
      </w:r>
    </w:p>
    <w:p w14:paraId="06835803" w14:textId="77777777" w:rsidR="009C5CCE" w:rsidRPr="00B21BF1" w:rsidRDefault="009C5CCE" w:rsidP="009C5CCE">
      <w:pPr>
        <w:autoSpaceDE w:val="0"/>
        <w:autoSpaceDN w:val="0"/>
        <w:adjustRightInd w:val="0"/>
        <w:spacing w:after="173"/>
        <w:jc w:val="both"/>
        <w:rPr>
          <w:rFonts w:cstheme="minorHAnsi"/>
          <w:i/>
          <w:iCs/>
          <w:color w:val="000000"/>
          <w:sz w:val="22"/>
          <w:szCs w:val="22"/>
        </w:rPr>
      </w:pPr>
      <w:r w:rsidRPr="00B21BF1">
        <w:rPr>
          <w:rFonts w:cstheme="minorHAnsi"/>
          <w:i/>
          <w:iCs/>
          <w:color w:val="000000"/>
          <w:sz w:val="22"/>
          <w:szCs w:val="22"/>
        </w:rPr>
        <w:t xml:space="preserve">2) charging contractual penalties for the behavior of the economic operator not related, directly or indirectly, to the subject-matter of the contract or its proper performance; </w:t>
      </w:r>
    </w:p>
    <w:p w14:paraId="77D421EF" w14:textId="77777777" w:rsidR="009C5CCE" w:rsidRPr="00B21BF1" w:rsidRDefault="009C5CCE" w:rsidP="009C5CCE">
      <w:pPr>
        <w:autoSpaceDE w:val="0"/>
        <w:autoSpaceDN w:val="0"/>
        <w:adjustRightInd w:val="0"/>
        <w:spacing w:after="173"/>
        <w:jc w:val="both"/>
        <w:rPr>
          <w:rFonts w:cstheme="minorHAnsi"/>
          <w:i/>
          <w:iCs/>
          <w:color w:val="000000"/>
          <w:sz w:val="22"/>
          <w:szCs w:val="22"/>
        </w:rPr>
      </w:pPr>
      <w:r w:rsidRPr="00B21BF1">
        <w:rPr>
          <w:rFonts w:cstheme="minorHAnsi"/>
          <w:i/>
          <w:iCs/>
          <w:color w:val="000000"/>
          <w:sz w:val="22"/>
          <w:szCs w:val="22"/>
        </w:rPr>
        <w:t xml:space="preserve">3) the liability of the economic operator for circumstances for which the contracting body is solely responsible; </w:t>
      </w:r>
    </w:p>
    <w:p w14:paraId="2026CC88" w14:textId="77777777" w:rsidR="009C5CCE" w:rsidRPr="00B21BF1" w:rsidRDefault="009C5CCE" w:rsidP="009C5CCE">
      <w:pPr>
        <w:autoSpaceDE w:val="0"/>
        <w:autoSpaceDN w:val="0"/>
        <w:adjustRightInd w:val="0"/>
        <w:jc w:val="both"/>
        <w:rPr>
          <w:rFonts w:cstheme="minorHAnsi"/>
          <w:i/>
          <w:iCs/>
          <w:color w:val="000000"/>
          <w:sz w:val="22"/>
          <w:szCs w:val="22"/>
        </w:rPr>
      </w:pPr>
      <w:r w:rsidRPr="00B21BF1">
        <w:rPr>
          <w:rFonts w:cstheme="minorHAnsi"/>
          <w:i/>
          <w:iCs/>
          <w:color w:val="000000"/>
          <w:sz w:val="22"/>
          <w:szCs w:val="22"/>
        </w:rPr>
        <w:lastRenderedPageBreak/>
        <w:t>4) the possibility of limiting the scope of the contract by the contracting body without indicating the minimum value or amount of the performance of the parties</w:t>
      </w:r>
      <w:r w:rsidRPr="009E5C3F">
        <w:rPr>
          <w:rFonts w:cstheme="minorHAnsi"/>
          <w:i/>
          <w:iCs/>
          <w:color w:val="000000"/>
          <w:sz w:val="22"/>
          <w:szCs w:val="22"/>
        </w:rPr>
        <w:t xml:space="preserve">. </w:t>
      </w:r>
    </w:p>
    <w:p w14:paraId="0B8136E1" w14:textId="77777777" w:rsidR="009C5CCE" w:rsidRPr="003F7379" w:rsidRDefault="009C5CCE" w:rsidP="009C5CCE">
      <w:pPr>
        <w:jc w:val="both"/>
        <w:rPr>
          <w:rFonts w:cstheme="minorHAnsi"/>
          <w:b/>
          <w:bCs/>
        </w:rPr>
      </w:pPr>
    </w:p>
    <w:p w14:paraId="7723156D" w14:textId="77777777" w:rsidR="009C5CCE" w:rsidRPr="009E5C3F" w:rsidRDefault="009C5CCE" w:rsidP="009C5CCE">
      <w:pPr>
        <w:autoSpaceDE w:val="0"/>
        <w:autoSpaceDN w:val="0"/>
        <w:adjustRightInd w:val="0"/>
        <w:jc w:val="both"/>
        <w:rPr>
          <w:rFonts w:cstheme="minorHAnsi"/>
          <w:i/>
          <w:iCs/>
          <w:color w:val="000000"/>
          <w:sz w:val="22"/>
          <w:szCs w:val="22"/>
        </w:rPr>
      </w:pPr>
      <w:r w:rsidRPr="003F7379">
        <w:rPr>
          <w:rFonts w:cstheme="minorHAnsi"/>
          <w:b/>
          <w:bCs/>
          <w:i/>
          <w:iCs/>
          <w:color w:val="000000"/>
          <w:sz w:val="22"/>
          <w:szCs w:val="22"/>
        </w:rPr>
        <w:t>The contract shall contain</w:t>
      </w:r>
      <w:r w:rsidRPr="003F7379">
        <w:rPr>
          <w:rFonts w:cstheme="minorHAnsi"/>
          <w:i/>
          <w:iCs/>
          <w:color w:val="000000"/>
          <w:sz w:val="22"/>
          <w:szCs w:val="22"/>
        </w:rPr>
        <w:t xml:space="preserve"> provisions specifying in particular: </w:t>
      </w:r>
    </w:p>
    <w:p w14:paraId="17F9DF93" w14:textId="77777777" w:rsidR="009C5CCE" w:rsidRPr="003F7379" w:rsidRDefault="009C5CCE" w:rsidP="009C5CCE">
      <w:pPr>
        <w:autoSpaceDE w:val="0"/>
        <w:autoSpaceDN w:val="0"/>
        <w:adjustRightInd w:val="0"/>
        <w:jc w:val="both"/>
        <w:rPr>
          <w:rFonts w:cstheme="minorHAnsi"/>
          <w:i/>
          <w:iCs/>
          <w:color w:val="000000"/>
          <w:sz w:val="22"/>
          <w:szCs w:val="22"/>
        </w:rPr>
      </w:pPr>
    </w:p>
    <w:p w14:paraId="6802D04F" w14:textId="77777777" w:rsidR="009C5CCE" w:rsidRPr="003F7379" w:rsidRDefault="009C5CCE" w:rsidP="009C5CCE">
      <w:pPr>
        <w:autoSpaceDE w:val="0"/>
        <w:autoSpaceDN w:val="0"/>
        <w:adjustRightInd w:val="0"/>
        <w:spacing w:after="175"/>
        <w:jc w:val="both"/>
        <w:rPr>
          <w:rFonts w:cstheme="minorHAnsi"/>
          <w:i/>
          <w:iCs/>
          <w:color w:val="000000"/>
          <w:sz w:val="22"/>
          <w:szCs w:val="22"/>
        </w:rPr>
      </w:pPr>
      <w:r w:rsidRPr="003F7379">
        <w:rPr>
          <w:rFonts w:cstheme="minorHAnsi"/>
          <w:i/>
          <w:iCs/>
          <w:color w:val="000000"/>
          <w:sz w:val="22"/>
          <w:szCs w:val="22"/>
        </w:rPr>
        <w:t xml:space="preserve">1) the planned termination date of the service, supply or works and, if necessary, the planned time limits for the performance of individual parts of the service, supply or work, specified in days, weeks, months or years, unless an indication of the date of performance of the contract is justified by an objective reason; </w:t>
      </w:r>
    </w:p>
    <w:p w14:paraId="4EFE5298" w14:textId="77777777" w:rsidR="009C5CCE" w:rsidRPr="003F7379" w:rsidRDefault="009C5CCE" w:rsidP="009C5CCE">
      <w:pPr>
        <w:autoSpaceDE w:val="0"/>
        <w:autoSpaceDN w:val="0"/>
        <w:adjustRightInd w:val="0"/>
        <w:spacing w:after="175"/>
        <w:jc w:val="both"/>
        <w:rPr>
          <w:rFonts w:cstheme="minorHAnsi"/>
          <w:i/>
          <w:iCs/>
          <w:color w:val="000000"/>
          <w:sz w:val="22"/>
          <w:szCs w:val="22"/>
        </w:rPr>
      </w:pPr>
      <w:r w:rsidRPr="003F7379">
        <w:rPr>
          <w:rFonts w:cstheme="minorHAnsi"/>
          <w:i/>
          <w:iCs/>
          <w:color w:val="000000"/>
          <w:sz w:val="22"/>
          <w:szCs w:val="22"/>
        </w:rPr>
        <w:t xml:space="preserve">2) the conditions for payment of remuneration; </w:t>
      </w:r>
    </w:p>
    <w:p w14:paraId="0DB380A4" w14:textId="77777777" w:rsidR="009C5CCE" w:rsidRPr="003F7379" w:rsidRDefault="009C5CCE" w:rsidP="009C5CCE">
      <w:pPr>
        <w:autoSpaceDE w:val="0"/>
        <w:autoSpaceDN w:val="0"/>
        <w:adjustRightInd w:val="0"/>
        <w:spacing w:after="175"/>
        <w:jc w:val="both"/>
        <w:rPr>
          <w:rFonts w:cstheme="minorHAnsi"/>
          <w:b/>
          <w:bCs/>
          <w:i/>
          <w:iCs/>
          <w:color w:val="000000"/>
          <w:sz w:val="22"/>
          <w:szCs w:val="22"/>
        </w:rPr>
      </w:pPr>
      <w:r w:rsidRPr="003F7379">
        <w:rPr>
          <w:rFonts w:cstheme="minorHAnsi"/>
          <w:b/>
          <w:bCs/>
          <w:i/>
          <w:iCs/>
          <w:color w:val="000000"/>
          <w:sz w:val="22"/>
          <w:szCs w:val="22"/>
        </w:rPr>
        <w:t xml:space="preserve">3) the total maximum amount of contractual penalties which may be claimed by the parties; </w:t>
      </w:r>
    </w:p>
    <w:p w14:paraId="3A5ACAE0" w14:textId="77777777" w:rsidR="009C5CCE" w:rsidRPr="003F7379" w:rsidRDefault="009C5CCE" w:rsidP="009C5CCE">
      <w:pPr>
        <w:numPr>
          <w:ilvl w:val="1"/>
          <w:numId w:val="41"/>
        </w:numPr>
        <w:autoSpaceDE w:val="0"/>
        <w:autoSpaceDN w:val="0"/>
        <w:adjustRightInd w:val="0"/>
        <w:spacing w:after="173"/>
        <w:jc w:val="both"/>
        <w:rPr>
          <w:rFonts w:cstheme="minorHAnsi"/>
          <w:i/>
          <w:iCs/>
          <w:color w:val="000000"/>
          <w:sz w:val="22"/>
          <w:szCs w:val="22"/>
        </w:rPr>
      </w:pPr>
      <w:r w:rsidRPr="003F7379">
        <w:rPr>
          <w:rFonts w:cstheme="minorHAnsi"/>
          <w:i/>
          <w:iCs/>
          <w:color w:val="000000"/>
          <w:sz w:val="22"/>
          <w:szCs w:val="22"/>
        </w:rPr>
        <w:t xml:space="preserve">4) in the case of contracts concluded for a period longer than 12 months: a) the amount of contractual penalties charged to the economic operator for non-payment or untimely payment of the remuneration due to subcontractors for the change in the amount of remuneration, </w:t>
      </w:r>
    </w:p>
    <w:p w14:paraId="4825CF29"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b) rules for introducing changes in the amount of remuneration in the case of a change of: </w:t>
      </w:r>
    </w:p>
    <w:p w14:paraId="6D89454A"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p>
    <w:p w14:paraId="46340937"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 rates of tax on goods and services and excise duty, </w:t>
      </w:r>
    </w:p>
    <w:p w14:paraId="55525B05"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 the amount of the minimum wage or minimum hourly rate determined pursuant to the Act of 10 October 2002 on the minimum wage for work, </w:t>
      </w:r>
    </w:p>
    <w:p w14:paraId="537AB910"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 the rules of being subject to social or health insurance or the amount of social or health insurance contribution rate, </w:t>
      </w:r>
    </w:p>
    <w:p w14:paraId="261A8A62"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 the rules for the collecting and amount of contributions to employee capital plans </w:t>
      </w:r>
      <w:r>
        <w:rPr>
          <w:rFonts w:cstheme="minorHAnsi"/>
          <w:i/>
          <w:iCs/>
          <w:color w:val="000000"/>
          <w:sz w:val="22"/>
          <w:szCs w:val="22"/>
        </w:rPr>
        <w:t>(…)</w:t>
      </w:r>
      <w:r w:rsidRPr="003F7379">
        <w:rPr>
          <w:rFonts w:cstheme="minorHAnsi"/>
          <w:i/>
          <w:iCs/>
          <w:color w:val="000000"/>
          <w:sz w:val="22"/>
          <w:szCs w:val="22"/>
        </w:rPr>
        <w:t xml:space="preserve">, </w:t>
      </w:r>
    </w:p>
    <w:p w14:paraId="633B96D5" w14:textId="77777777" w:rsidR="009C5CCE" w:rsidRPr="003F7379" w:rsidRDefault="009C5CCE" w:rsidP="009C5CCE">
      <w:pPr>
        <w:numPr>
          <w:ilvl w:val="1"/>
          <w:numId w:val="41"/>
        </w:numPr>
        <w:autoSpaceDE w:val="0"/>
        <w:autoSpaceDN w:val="0"/>
        <w:adjustRightInd w:val="0"/>
        <w:jc w:val="both"/>
        <w:rPr>
          <w:rFonts w:cstheme="minorHAnsi"/>
          <w:i/>
          <w:iCs/>
          <w:color w:val="000000"/>
          <w:sz w:val="22"/>
          <w:szCs w:val="22"/>
        </w:rPr>
      </w:pPr>
      <w:r w:rsidRPr="003F7379">
        <w:rPr>
          <w:rFonts w:cstheme="minorHAnsi"/>
          <w:i/>
          <w:iCs/>
          <w:color w:val="000000"/>
          <w:sz w:val="22"/>
          <w:szCs w:val="22"/>
        </w:rPr>
        <w:t xml:space="preserve">- if these changes affect the costs of performance of the contract by the economic operator. </w:t>
      </w:r>
    </w:p>
    <w:p w14:paraId="70D0E4FF" w14:textId="77777777" w:rsidR="009C5CCE" w:rsidRPr="003F7379" w:rsidRDefault="009C5CCE" w:rsidP="00D557C6">
      <w:pPr>
        <w:jc w:val="both"/>
        <w:rPr>
          <w:rFonts w:cstheme="minorHAnsi"/>
        </w:rPr>
      </w:pPr>
    </w:p>
    <w:p w14:paraId="7B8C7245" w14:textId="77777777" w:rsidR="00E32276" w:rsidRPr="003F7379" w:rsidRDefault="00E32276" w:rsidP="00D557C6">
      <w:pPr>
        <w:jc w:val="both"/>
        <w:rPr>
          <w:rFonts w:cstheme="minorHAnsi"/>
        </w:rPr>
      </w:pPr>
    </w:p>
    <w:p w14:paraId="15AEA397" w14:textId="77777777" w:rsidR="00B0115C" w:rsidRPr="003F7379" w:rsidRDefault="00B0115C" w:rsidP="00D557C6">
      <w:pPr>
        <w:jc w:val="both"/>
        <w:rPr>
          <w:rFonts w:cstheme="minorHAnsi"/>
          <w:b/>
          <w:bCs/>
        </w:rPr>
      </w:pPr>
    </w:p>
    <w:p w14:paraId="3F6302CD" w14:textId="61E47D7A" w:rsidR="00F4684D" w:rsidRPr="003F7379" w:rsidRDefault="0001255F" w:rsidP="00D557C6">
      <w:pPr>
        <w:jc w:val="both"/>
        <w:rPr>
          <w:rFonts w:cstheme="minorHAnsi"/>
          <w:b/>
          <w:bCs/>
        </w:rPr>
      </w:pPr>
      <w:r w:rsidRPr="003F7379">
        <w:rPr>
          <w:rFonts w:cstheme="minorHAnsi"/>
          <w:b/>
          <w:bCs/>
        </w:rPr>
        <w:t>PORTUGAL</w:t>
      </w:r>
    </w:p>
    <w:p w14:paraId="546F44D1" w14:textId="77777777" w:rsidR="00F4684D" w:rsidRPr="003F7379" w:rsidRDefault="00F4684D" w:rsidP="00D557C6">
      <w:pPr>
        <w:jc w:val="both"/>
        <w:rPr>
          <w:rFonts w:cstheme="minorHAnsi"/>
        </w:rPr>
      </w:pPr>
    </w:p>
    <w:p w14:paraId="699FD091" w14:textId="1B9286AA" w:rsidR="002F761F" w:rsidRPr="003F7379" w:rsidRDefault="002F761F" w:rsidP="00D557C6">
      <w:pPr>
        <w:jc w:val="both"/>
        <w:rPr>
          <w:rFonts w:cstheme="minorHAnsi"/>
        </w:rPr>
      </w:pPr>
      <w:r w:rsidRPr="003F7379">
        <w:rPr>
          <w:rFonts w:cstheme="minorHAnsi"/>
        </w:rPr>
        <w:t xml:space="preserve">In order to analyze the level of competition existing in public markets, </w:t>
      </w:r>
      <w:r w:rsidR="001B4508" w:rsidRPr="003F7379">
        <w:rPr>
          <w:rFonts w:cstheme="minorHAnsi"/>
        </w:rPr>
        <w:t xml:space="preserve">Portuguese authorities analised </w:t>
      </w:r>
      <w:r w:rsidRPr="003F7379">
        <w:rPr>
          <w:rFonts w:cstheme="minorHAnsi"/>
        </w:rPr>
        <w:t xml:space="preserve">a sample of procedures carried out by electronic platforms </w:t>
      </w:r>
      <w:r w:rsidR="001B4508" w:rsidRPr="003F7379">
        <w:rPr>
          <w:rFonts w:cstheme="minorHAnsi"/>
        </w:rPr>
        <w:t xml:space="preserve">reporting to </w:t>
      </w:r>
      <w:r w:rsidRPr="003F7379">
        <w:rPr>
          <w:rFonts w:cstheme="minorHAnsi"/>
        </w:rPr>
        <w:t>BASE portal</w:t>
      </w:r>
      <w:r w:rsidR="00B444F9" w:rsidRPr="003F7379">
        <w:rPr>
          <w:rFonts w:cstheme="minorHAnsi"/>
        </w:rPr>
        <w:t xml:space="preserve"> (www.base.gov.pt)</w:t>
      </w:r>
      <w:r w:rsidRPr="003F7379">
        <w:rPr>
          <w:rFonts w:cstheme="minorHAnsi"/>
        </w:rPr>
        <w:t xml:space="preserve">. </w:t>
      </w:r>
    </w:p>
    <w:p w14:paraId="38C5F32C" w14:textId="77777777" w:rsidR="002F761F" w:rsidRPr="003F7379" w:rsidRDefault="002F761F" w:rsidP="00D557C6">
      <w:pPr>
        <w:jc w:val="both"/>
        <w:rPr>
          <w:rFonts w:cstheme="minorHAnsi"/>
        </w:rPr>
      </w:pPr>
    </w:p>
    <w:p w14:paraId="7CB76240" w14:textId="011098F9" w:rsidR="0004425F" w:rsidRDefault="003555DF" w:rsidP="00D557C6">
      <w:pPr>
        <w:jc w:val="both"/>
        <w:rPr>
          <w:rFonts w:cstheme="minorHAnsi"/>
        </w:rPr>
      </w:pPr>
      <w:r w:rsidRPr="003F7379">
        <w:rPr>
          <w:rFonts w:cstheme="minorHAnsi"/>
        </w:rPr>
        <w:t xml:space="preserve">According to the </w:t>
      </w:r>
      <w:r w:rsidR="00B31FE8" w:rsidRPr="003F7379">
        <w:rPr>
          <w:rFonts w:cstheme="minorHAnsi"/>
        </w:rPr>
        <w:t>recent report</w:t>
      </w:r>
      <w:r w:rsidR="0004425F">
        <w:rPr>
          <w:rFonts w:cstheme="minorHAnsi"/>
        </w:rPr>
        <w:t xml:space="preserve"> published at:  </w:t>
      </w:r>
      <w:hyperlink r:id="rId12" w:history="1">
        <w:r w:rsidR="0004425F" w:rsidRPr="009B74C8">
          <w:rPr>
            <w:rStyle w:val="Hyperlink"/>
            <w:rFonts w:cstheme="minorHAnsi"/>
          </w:rPr>
          <w:t>https://www.base.gov.pt/Base4/media/jv0fv3zp/relat%C3%B3rio-anual-da-contrata%C3%A7%C3%A3o-p%C3%BAblica_2022.pdf</w:t>
        </w:r>
      </w:hyperlink>
      <w:r w:rsidR="00B31FE8" w:rsidRPr="003F7379">
        <w:rPr>
          <w:rFonts w:cstheme="minorHAnsi"/>
        </w:rPr>
        <w:t xml:space="preserve">, </w:t>
      </w:r>
    </w:p>
    <w:p w14:paraId="397A1FE4" w14:textId="77777777" w:rsidR="0004425F" w:rsidRDefault="0004425F" w:rsidP="00D557C6">
      <w:pPr>
        <w:jc w:val="both"/>
        <w:rPr>
          <w:rFonts w:cstheme="minorHAnsi"/>
        </w:rPr>
      </w:pPr>
    </w:p>
    <w:p w14:paraId="4EFB7C7C" w14:textId="2A4F2639" w:rsidR="009209ED" w:rsidRPr="003F7379" w:rsidRDefault="002F761F" w:rsidP="00D557C6">
      <w:pPr>
        <w:jc w:val="both"/>
        <w:rPr>
          <w:rFonts w:cstheme="minorHAnsi"/>
        </w:rPr>
      </w:pPr>
      <w:r w:rsidRPr="003F7379">
        <w:rPr>
          <w:rFonts w:cstheme="minorHAnsi"/>
        </w:rPr>
        <w:t xml:space="preserve">on </w:t>
      </w:r>
      <w:r w:rsidR="00B31FE8" w:rsidRPr="003F7379">
        <w:rPr>
          <w:rFonts w:cstheme="minorHAnsi"/>
        </w:rPr>
        <w:t xml:space="preserve">average </w:t>
      </w:r>
      <w:r w:rsidRPr="003F7379">
        <w:rPr>
          <w:rFonts w:cstheme="minorHAnsi"/>
          <w:b/>
          <w:bCs/>
        </w:rPr>
        <w:t>2.4</w:t>
      </w:r>
      <w:r w:rsidRPr="003F7379">
        <w:rPr>
          <w:rFonts w:cstheme="minorHAnsi"/>
        </w:rPr>
        <w:t xml:space="preserve"> tenders were submitted per each contracting procedure. As regards types of contract</w:t>
      </w:r>
      <w:r w:rsidR="006D715B" w:rsidRPr="003F7379">
        <w:rPr>
          <w:rFonts w:cstheme="minorHAnsi"/>
        </w:rPr>
        <w:t>s</w:t>
      </w:r>
      <w:r w:rsidRPr="003F7379">
        <w:rPr>
          <w:rFonts w:cstheme="minorHAnsi"/>
        </w:rPr>
        <w:t xml:space="preserve">, it is worth highlighting the case of competitive procedures </w:t>
      </w:r>
      <w:r w:rsidR="006D715B" w:rsidRPr="003F7379">
        <w:rPr>
          <w:rFonts w:cstheme="minorHAnsi"/>
        </w:rPr>
        <w:t xml:space="preserve">for </w:t>
      </w:r>
      <w:r w:rsidRPr="003F7379">
        <w:rPr>
          <w:rFonts w:cstheme="minorHAnsi"/>
        </w:rPr>
        <w:t xml:space="preserve">public works, with </w:t>
      </w:r>
      <w:r w:rsidRPr="003F7379">
        <w:rPr>
          <w:rFonts w:cstheme="minorHAnsi"/>
          <w:b/>
          <w:bCs/>
        </w:rPr>
        <w:t>2.7 tenders per procedure</w:t>
      </w:r>
      <w:r w:rsidRPr="003F7379">
        <w:rPr>
          <w:rFonts w:cstheme="minorHAnsi"/>
        </w:rPr>
        <w:t>, compared to goods and services (</w:t>
      </w:r>
      <w:r w:rsidRPr="003F7379">
        <w:rPr>
          <w:rFonts w:cstheme="minorHAnsi"/>
          <w:b/>
          <w:bCs/>
        </w:rPr>
        <w:t>2.3 tenders per procedure</w:t>
      </w:r>
      <w:r w:rsidRPr="003F7379">
        <w:rPr>
          <w:rFonts w:cstheme="minorHAnsi"/>
        </w:rPr>
        <w:t>). In ca. 38% of procedures for supplies and services and in around 43% of procedures relating to public works there were at least two tenders submitted. More than 5 proposals were presented</w:t>
      </w:r>
      <w:r w:rsidR="006D715B" w:rsidRPr="003F7379">
        <w:rPr>
          <w:rFonts w:cstheme="minorHAnsi"/>
        </w:rPr>
        <w:t xml:space="preserve"> </w:t>
      </w:r>
      <w:r w:rsidRPr="003F7379">
        <w:rPr>
          <w:rFonts w:cstheme="minorHAnsi"/>
        </w:rPr>
        <w:t xml:space="preserve">in </w:t>
      </w:r>
      <w:r w:rsidR="006D715B" w:rsidRPr="003F7379">
        <w:rPr>
          <w:rFonts w:cstheme="minorHAnsi"/>
        </w:rPr>
        <w:t xml:space="preserve">ca. </w:t>
      </w:r>
      <w:r w:rsidRPr="003F7379">
        <w:rPr>
          <w:rFonts w:cstheme="minorHAnsi"/>
        </w:rPr>
        <w:t xml:space="preserve">13% of competitive procedures for public works and around 8% in the case of </w:t>
      </w:r>
      <w:r w:rsidR="006D715B" w:rsidRPr="003F7379">
        <w:rPr>
          <w:rFonts w:cstheme="minorHAnsi"/>
        </w:rPr>
        <w:t xml:space="preserve">contracts </w:t>
      </w:r>
      <w:r w:rsidR="004C75C0" w:rsidRPr="003F7379">
        <w:rPr>
          <w:rFonts w:cstheme="minorHAnsi"/>
        </w:rPr>
        <w:t xml:space="preserve">for </w:t>
      </w:r>
      <w:r w:rsidRPr="003F7379">
        <w:rPr>
          <w:rFonts w:cstheme="minorHAnsi"/>
        </w:rPr>
        <w:t>goods and services.</w:t>
      </w:r>
    </w:p>
    <w:p w14:paraId="55803F03" w14:textId="77777777" w:rsidR="009209ED" w:rsidRPr="003F7379" w:rsidRDefault="009209ED" w:rsidP="00D557C6">
      <w:pPr>
        <w:jc w:val="both"/>
        <w:rPr>
          <w:rFonts w:cstheme="minorHAnsi"/>
        </w:rPr>
      </w:pPr>
    </w:p>
    <w:p w14:paraId="5331FE47" w14:textId="77777777" w:rsidR="00BA3300" w:rsidRPr="003F7379" w:rsidRDefault="00BA3300" w:rsidP="00D557C6">
      <w:pPr>
        <w:jc w:val="both"/>
        <w:rPr>
          <w:rFonts w:cstheme="minorHAnsi"/>
        </w:rPr>
      </w:pPr>
    </w:p>
    <w:p w14:paraId="4C18E4E3" w14:textId="380D0487" w:rsidR="00F4684D" w:rsidRDefault="009209ED" w:rsidP="00D557C6">
      <w:pPr>
        <w:jc w:val="both"/>
        <w:rPr>
          <w:rFonts w:cstheme="minorHAnsi"/>
          <w:b/>
          <w:bCs/>
        </w:rPr>
      </w:pPr>
      <w:r w:rsidRPr="003F7379">
        <w:rPr>
          <w:rFonts w:cstheme="minorHAnsi"/>
          <w:b/>
          <w:bCs/>
        </w:rPr>
        <w:t>SLOVENIA</w:t>
      </w:r>
    </w:p>
    <w:p w14:paraId="2BEF3845" w14:textId="77777777" w:rsidR="00163B00" w:rsidRPr="003F7379" w:rsidRDefault="00163B00" w:rsidP="00D557C6">
      <w:pPr>
        <w:jc w:val="both"/>
        <w:rPr>
          <w:rFonts w:cstheme="minorHAnsi"/>
          <w:b/>
          <w:bCs/>
        </w:rPr>
      </w:pPr>
    </w:p>
    <w:p w14:paraId="7211AB1C" w14:textId="77777777" w:rsidR="00F4684D" w:rsidRPr="003F7379" w:rsidRDefault="00F4684D" w:rsidP="00D557C6">
      <w:pPr>
        <w:jc w:val="both"/>
        <w:rPr>
          <w:rFonts w:cstheme="minorHAnsi"/>
        </w:rPr>
      </w:pPr>
    </w:p>
    <w:p w14:paraId="6E0E2FF3" w14:textId="2C01C83B" w:rsidR="00A3252A" w:rsidRPr="003F7379" w:rsidRDefault="009577F6" w:rsidP="00D557C6">
      <w:pPr>
        <w:jc w:val="both"/>
        <w:rPr>
          <w:rFonts w:cstheme="minorHAnsi"/>
        </w:rPr>
      </w:pPr>
      <w:r>
        <w:rPr>
          <w:rFonts w:cstheme="minorHAnsi"/>
        </w:rPr>
        <w:t xml:space="preserve">According to the report published by the Slovenian Public Procurement Directorate </w:t>
      </w:r>
      <w:r w:rsidR="009B1B99">
        <w:rPr>
          <w:rFonts w:cstheme="minorHAnsi"/>
        </w:rPr>
        <w:t>(</w:t>
      </w:r>
      <w:hyperlink r:id="rId13" w:history="1">
        <w:r w:rsidR="009B1B99" w:rsidRPr="009B74C8">
          <w:rPr>
            <w:rStyle w:val="Hyperlink"/>
            <w:rFonts w:cstheme="minorHAnsi"/>
          </w:rPr>
          <w:t>https://ejn.gov.si/direktorat/porocila-in-analize.html</w:t>
        </w:r>
      </w:hyperlink>
      <w:r w:rsidR="009B1B99">
        <w:rPr>
          <w:rFonts w:cstheme="minorHAnsi"/>
        </w:rPr>
        <w:t xml:space="preserve">) in </w:t>
      </w:r>
      <w:r w:rsidR="0037343D" w:rsidRPr="003F7379">
        <w:rPr>
          <w:rFonts w:cstheme="minorHAnsi"/>
        </w:rPr>
        <w:t xml:space="preserve">2022 the average number of submitted tenders was </w:t>
      </w:r>
      <w:r w:rsidR="0037343D" w:rsidRPr="003F7379">
        <w:rPr>
          <w:rFonts w:cstheme="minorHAnsi"/>
          <w:b/>
          <w:bCs/>
        </w:rPr>
        <w:t>2.85 tenders per procedure</w:t>
      </w:r>
      <w:r w:rsidR="00526A7C">
        <w:rPr>
          <w:rFonts w:cstheme="minorHAnsi"/>
          <w:b/>
          <w:bCs/>
        </w:rPr>
        <w:t xml:space="preserve"> </w:t>
      </w:r>
      <w:r w:rsidR="00526A7C">
        <w:rPr>
          <w:rFonts w:cstheme="minorHAnsi"/>
        </w:rPr>
        <w:t>(the report for 2022, p. 25)</w:t>
      </w:r>
      <w:r w:rsidR="0037343D" w:rsidRPr="003F7379">
        <w:rPr>
          <w:rFonts w:cstheme="minorHAnsi"/>
        </w:rPr>
        <w:t>. I</w:t>
      </w:r>
      <w:r w:rsidR="009209ED" w:rsidRPr="003F7379">
        <w:rPr>
          <w:rFonts w:cstheme="minorHAnsi"/>
        </w:rPr>
        <w:t xml:space="preserve">n case of </w:t>
      </w:r>
      <w:r w:rsidR="0062518B" w:rsidRPr="003F7379">
        <w:rPr>
          <w:rFonts w:cstheme="minorHAnsi"/>
        </w:rPr>
        <w:t xml:space="preserve">2,118 (27.7%) </w:t>
      </w:r>
      <w:r w:rsidR="009209ED" w:rsidRPr="003F7379">
        <w:rPr>
          <w:rFonts w:cstheme="minorHAnsi"/>
        </w:rPr>
        <w:t>procedures contracts were conclude</w:t>
      </w:r>
      <w:r w:rsidR="00E422D0" w:rsidRPr="003F7379">
        <w:rPr>
          <w:rFonts w:cstheme="minorHAnsi"/>
        </w:rPr>
        <w:t>d</w:t>
      </w:r>
      <w:r w:rsidR="009209ED" w:rsidRPr="003F7379">
        <w:rPr>
          <w:rFonts w:cstheme="minorHAnsi"/>
        </w:rPr>
        <w:t xml:space="preserve"> on the basis of only one submitted tender</w:t>
      </w:r>
      <w:r w:rsidR="0062518B" w:rsidRPr="003F7379">
        <w:rPr>
          <w:rFonts w:cstheme="minorHAnsi"/>
        </w:rPr>
        <w:t xml:space="preserve">. </w:t>
      </w:r>
    </w:p>
    <w:p w14:paraId="2A276CC4" w14:textId="77777777" w:rsidR="00F4684D" w:rsidRPr="003F7379" w:rsidRDefault="00F4684D" w:rsidP="00D557C6">
      <w:pPr>
        <w:jc w:val="both"/>
        <w:rPr>
          <w:rFonts w:cstheme="minorHAnsi"/>
        </w:rPr>
      </w:pPr>
    </w:p>
    <w:p w14:paraId="45845366" w14:textId="56AE7EA6" w:rsidR="00F4684D" w:rsidRPr="003F7379" w:rsidRDefault="00813A0B" w:rsidP="00D557C6">
      <w:pPr>
        <w:jc w:val="both"/>
        <w:rPr>
          <w:rFonts w:cstheme="minorHAnsi"/>
          <w:b/>
          <w:bCs/>
        </w:rPr>
      </w:pPr>
      <w:r w:rsidRPr="003F7379">
        <w:rPr>
          <w:rFonts w:cstheme="minorHAnsi"/>
          <w:b/>
          <w:bCs/>
        </w:rPr>
        <w:t>SLOVAKIA</w:t>
      </w:r>
    </w:p>
    <w:p w14:paraId="008052BD" w14:textId="77777777" w:rsidR="00F4684D" w:rsidRPr="003F7379" w:rsidRDefault="00F4684D" w:rsidP="00D557C6">
      <w:pPr>
        <w:jc w:val="both"/>
        <w:rPr>
          <w:rFonts w:cstheme="minorHAnsi"/>
        </w:rPr>
      </w:pPr>
    </w:p>
    <w:p w14:paraId="11C83CC7" w14:textId="2F12B890" w:rsidR="00452347" w:rsidRDefault="008A3A0C" w:rsidP="000C176F">
      <w:pPr>
        <w:jc w:val="both"/>
        <w:rPr>
          <w:rFonts w:cstheme="minorHAnsi"/>
        </w:rPr>
      </w:pPr>
      <w:r>
        <w:rPr>
          <w:rFonts w:cstheme="minorHAnsi"/>
        </w:rPr>
        <w:t xml:space="preserve">Public Procurement Office in Slovakia published a statistical report </w:t>
      </w:r>
      <w:r w:rsidR="00452347">
        <w:rPr>
          <w:rFonts w:cstheme="minorHAnsi"/>
        </w:rPr>
        <w:t xml:space="preserve">on public procurement for 2023 </w:t>
      </w:r>
      <w:r w:rsidR="00EC07DE">
        <w:rPr>
          <w:rFonts w:cstheme="minorHAnsi"/>
        </w:rPr>
        <w:t>(</w:t>
      </w:r>
      <w:hyperlink r:id="rId14" w:history="1">
        <w:r w:rsidR="00FB3262" w:rsidRPr="009B74C8">
          <w:rPr>
            <w:rStyle w:val="Hyperlink"/>
            <w:rFonts w:cstheme="minorHAnsi"/>
          </w:rPr>
          <w:t>https://www.uvo.gov.sk/index.php?eID=dumpFile&amp;t=f&amp;f=33812&amp;token=2ed80f1d2ac7414db54fc8547e00a3a6d762938e</w:t>
        </w:r>
      </w:hyperlink>
      <w:r w:rsidR="00FB3262">
        <w:rPr>
          <w:rFonts w:cstheme="minorHAnsi"/>
        </w:rPr>
        <w:t>)</w:t>
      </w:r>
      <w:r w:rsidR="00452347">
        <w:rPr>
          <w:rFonts w:cstheme="minorHAnsi"/>
        </w:rPr>
        <w:t xml:space="preserve">. </w:t>
      </w:r>
    </w:p>
    <w:p w14:paraId="5A72E67E" w14:textId="77777777" w:rsidR="00452347" w:rsidRDefault="00452347" w:rsidP="000C176F">
      <w:pPr>
        <w:jc w:val="both"/>
        <w:rPr>
          <w:rFonts w:cstheme="minorHAnsi"/>
        </w:rPr>
      </w:pPr>
    </w:p>
    <w:p w14:paraId="7EF51ACC" w14:textId="552F6CEE" w:rsidR="00F4684D" w:rsidRPr="003F7379" w:rsidRDefault="00452347" w:rsidP="000C176F">
      <w:pPr>
        <w:jc w:val="both"/>
        <w:rPr>
          <w:rFonts w:cstheme="minorHAnsi"/>
          <w:sz w:val="18"/>
        </w:rPr>
      </w:pPr>
      <w:r>
        <w:rPr>
          <w:rFonts w:cstheme="minorHAnsi"/>
        </w:rPr>
        <w:t>According to the report</w:t>
      </w:r>
      <w:r w:rsidR="00416A89">
        <w:rPr>
          <w:rFonts w:cstheme="minorHAnsi"/>
        </w:rPr>
        <w:t>,</w:t>
      </w:r>
      <w:r>
        <w:rPr>
          <w:rFonts w:cstheme="minorHAnsi"/>
        </w:rPr>
        <w:t xml:space="preserve"> </w:t>
      </w:r>
      <w:r w:rsidR="00FB3262">
        <w:rPr>
          <w:rFonts w:cstheme="minorHAnsi"/>
        </w:rPr>
        <w:t xml:space="preserve">in </w:t>
      </w:r>
      <w:r w:rsidR="00C11037" w:rsidRPr="00EC07DE">
        <w:rPr>
          <w:rFonts w:cstheme="minorHAnsi"/>
          <w:b/>
          <w:bCs/>
        </w:rPr>
        <w:t>2023</w:t>
      </w:r>
      <w:r w:rsidR="00C11037">
        <w:rPr>
          <w:rFonts w:cstheme="minorHAnsi"/>
        </w:rPr>
        <w:t xml:space="preserve"> the average number of tenders per p</w:t>
      </w:r>
      <w:r w:rsidR="000C176F">
        <w:rPr>
          <w:rFonts w:cstheme="minorHAnsi"/>
        </w:rPr>
        <w:t xml:space="preserve">rocedure was </w:t>
      </w:r>
      <w:r w:rsidR="007239D7" w:rsidRPr="00163B00">
        <w:rPr>
          <w:rFonts w:cstheme="minorHAnsi"/>
          <w:b/>
          <w:bCs/>
        </w:rPr>
        <w:t>2.88</w:t>
      </w:r>
      <w:r w:rsidR="007239D7">
        <w:rPr>
          <w:rFonts w:cstheme="minorHAnsi"/>
        </w:rPr>
        <w:t xml:space="preserve"> (the report, p. 20). In </w:t>
      </w:r>
      <w:r w:rsidR="00163B00">
        <w:rPr>
          <w:rFonts w:cstheme="minorHAnsi"/>
        </w:rPr>
        <w:t xml:space="preserve">32.9 % procedures only one tender was submitted. </w:t>
      </w:r>
    </w:p>
    <w:p w14:paraId="3D8872BE" w14:textId="77777777" w:rsidR="00CE1901" w:rsidRPr="003F7379" w:rsidRDefault="00CE1901" w:rsidP="00D557C6">
      <w:pPr>
        <w:jc w:val="both"/>
        <w:rPr>
          <w:rFonts w:cstheme="minorHAnsi"/>
        </w:rPr>
      </w:pPr>
    </w:p>
    <w:p w14:paraId="0C17323A" w14:textId="77777777" w:rsidR="00CE1901" w:rsidRDefault="00CE1901" w:rsidP="00D557C6">
      <w:pPr>
        <w:jc w:val="both"/>
        <w:rPr>
          <w:rFonts w:cstheme="minorHAnsi"/>
        </w:rPr>
      </w:pPr>
    </w:p>
    <w:p w14:paraId="15E066DD" w14:textId="77777777" w:rsidR="0020640E" w:rsidRDefault="0020640E" w:rsidP="00D557C6">
      <w:pPr>
        <w:jc w:val="both"/>
        <w:rPr>
          <w:rFonts w:cstheme="minorHAnsi"/>
          <w:b/>
          <w:bCs/>
        </w:rPr>
      </w:pPr>
    </w:p>
    <w:p w14:paraId="3D248D0D" w14:textId="74904640" w:rsidR="0020640E" w:rsidRDefault="0020640E" w:rsidP="00D557C6">
      <w:pPr>
        <w:jc w:val="both"/>
        <w:rPr>
          <w:rFonts w:cstheme="minorHAnsi"/>
          <w:b/>
          <w:bCs/>
        </w:rPr>
      </w:pPr>
      <w:r>
        <w:rPr>
          <w:rFonts w:cstheme="minorHAnsi"/>
          <w:b/>
          <w:bCs/>
        </w:rPr>
        <w:t>BULGARIA</w:t>
      </w:r>
    </w:p>
    <w:p w14:paraId="110255AF" w14:textId="77777777" w:rsidR="0020640E" w:rsidRDefault="0020640E" w:rsidP="00D557C6">
      <w:pPr>
        <w:jc w:val="both"/>
        <w:rPr>
          <w:rFonts w:cstheme="minorHAnsi"/>
          <w:b/>
          <w:bCs/>
        </w:rPr>
      </w:pPr>
    </w:p>
    <w:p w14:paraId="40609E97" w14:textId="538BABB6" w:rsidR="0020640E" w:rsidRDefault="0020640E" w:rsidP="00D557C6">
      <w:pPr>
        <w:jc w:val="both"/>
        <w:rPr>
          <w:rFonts w:cstheme="minorHAnsi"/>
          <w:b/>
          <w:bCs/>
        </w:rPr>
      </w:pPr>
    </w:p>
    <w:p w14:paraId="3A4C82DD" w14:textId="6EAB40B7" w:rsidR="0020640E" w:rsidRPr="0020640E" w:rsidRDefault="0020640E" w:rsidP="0020640E">
      <w:pPr>
        <w:jc w:val="both"/>
        <w:rPr>
          <w:rFonts w:cstheme="minorHAnsi"/>
        </w:rPr>
      </w:pPr>
      <w:r>
        <w:rPr>
          <w:rFonts w:cstheme="minorHAnsi"/>
        </w:rPr>
        <w:t xml:space="preserve">According to the annual report published by the Public Procurement Agency </w:t>
      </w:r>
      <w:r w:rsidR="00336A53">
        <w:rPr>
          <w:rFonts w:cstheme="minorHAnsi"/>
        </w:rPr>
        <w:t>(</w:t>
      </w:r>
      <w:hyperlink r:id="rId15" w:history="1">
        <w:r w:rsidR="00336A53" w:rsidRPr="00FB2803">
          <w:rPr>
            <w:rStyle w:val="Hyperlink"/>
            <w:rFonts w:cstheme="minorHAnsi"/>
          </w:rPr>
          <w:t>https://www2.aop.bg/wp-content/uploads/2024/05/stat-report_MF_for-2023_20240509.pdf</w:t>
        </w:r>
      </w:hyperlink>
      <w:r w:rsidR="00336A53">
        <w:rPr>
          <w:rFonts w:cstheme="minorHAnsi"/>
        </w:rPr>
        <w:t xml:space="preserve">) </w:t>
      </w:r>
      <w:r>
        <w:rPr>
          <w:rFonts w:cstheme="minorHAnsi"/>
        </w:rPr>
        <w:t xml:space="preserve">in </w:t>
      </w:r>
      <w:r w:rsidRPr="00EC07DE">
        <w:rPr>
          <w:rFonts w:cstheme="minorHAnsi"/>
          <w:b/>
          <w:bCs/>
        </w:rPr>
        <w:t>202</w:t>
      </w:r>
      <w:r>
        <w:rPr>
          <w:rFonts w:cstheme="minorHAnsi"/>
        </w:rPr>
        <w:t>3 t</w:t>
      </w:r>
      <w:r w:rsidRPr="0020640E">
        <w:rPr>
          <w:rFonts w:cstheme="minorHAnsi"/>
        </w:rPr>
        <w:t>he average number of bids resulting in the conclusion of a public contract</w:t>
      </w:r>
      <w:r>
        <w:rPr>
          <w:rFonts w:cstheme="minorHAnsi"/>
        </w:rPr>
        <w:t xml:space="preserve"> was </w:t>
      </w:r>
      <w:r w:rsidRPr="0020640E">
        <w:rPr>
          <w:rFonts w:cstheme="minorHAnsi"/>
        </w:rPr>
        <w:t>2.82.</w:t>
      </w:r>
      <w:r w:rsidR="00336A53">
        <w:rPr>
          <w:rFonts w:cstheme="minorHAnsi"/>
        </w:rPr>
        <w:t xml:space="preserve"> As regards types of procurement procedures the average number of bids varie</w:t>
      </w:r>
      <w:r w:rsidR="00EC07DE">
        <w:rPr>
          <w:rFonts w:cstheme="minorHAnsi"/>
        </w:rPr>
        <w:t>d</w:t>
      </w:r>
      <w:r w:rsidR="00336A53">
        <w:rPr>
          <w:rFonts w:cstheme="minorHAnsi"/>
        </w:rPr>
        <w:t xml:space="preserve"> from </w:t>
      </w:r>
      <w:r w:rsidR="00DC2EBF">
        <w:rPr>
          <w:rFonts w:cstheme="minorHAnsi"/>
        </w:rPr>
        <w:t>1.2 in the competitive procedure with negotiations, through 1.</w:t>
      </w:r>
      <w:r w:rsidR="00C307C6">
        <w:rPr>
          <w:rFonts w:cstheme="minorHAnsi"/>
        </w:rPr>
        <w:t xml:space="preserve">69 in the restricted procedure and increased to 3.77 in the case of the open procedure. </w:t>
      </w:r>
    </w:p>
    <w:p w14:paraId="52BB954D" w14:textId="77777777" w:rsidR="0020640E" w:rsidRDefault="0020640E" w:rsidP="00D557C6">
      <w:pPr>
        <w:jc w:val="both"/>
        <w:rPr>
          <w:rFonts w:cstheme="minorHAnsi"/>
          <w:b/>
          <w:bCs/>
        </w:rPr>
      </w:pPr>
    </w:p>
    <w:p w14:paraId="1B2205DD" w14:textId="3E440689" w:rsidR="000C786E" w:rsidRDefault="000C786E" w:rsidP="00D557C6">
      <w:pPr>
        <w:jc w:val="both"/>
        <w:rPr>
          <w:rFonts w:cstheme="minorHAnsi"/>
          <w:b/>
          <w:bCs/>
        </w:rPr>
      </w:pPr>
      <w:r w:rsidRPr="000C786E">
        <w:rPr>
          <w:rFonts w:cstheme="minorHAnsi"/>
          <w:b/>
          <w:bCs/>
        </w:rPr>
        <w:t>CZECHIA</w:t>
      </w:r>
    </w:p>
    <w:p w14:paraId="095D8F9E" w14:textId="77777777" w:rsidR="000C786E" w:rsidRDefault="000C786E" w:rsidP="000C786E"/>
    <w:p w14:paraId="0CC5DCFD" w14:textId="0187B7F5" w:rsidR="000C786E" w:rsidRDefault="000C786E" w:rsidP="000C786E">
      <w:pPr>
        <w:jc w:val="both"/>
      </w:pPr>
      <w:r>
        <w:t>T</w:t>
      </w:r>
      <w:r>
        <w:t xml:space="preserve">he average number of bids in </w:t>
      </w:r>
      <w:r>
        <w:t xml:space="preserve">Czechia </w:t>
      </w:r>
      <w:r>
        <w:t xml:space="preserve">for both public and sectoral contracting authorities in 2022 was about 3 bids per procedure. </w:t>
      </w:r>
      <w:r>
        <w:t xml:space="preserve">It was </w:t>
      </w:r>
      <w:r>
        <w:t>a year-on-year decrease (3.4 in 2021). According to the subject matter of public contracts, the highest average number of bids was in public works tenders – about 4.3 bids per tender, followed by services - 3 bids and supplies, where the 21 average is 2 bids</w:t>
      </w:r>
      <w:r w:rsidR="006C735D">
        <w:rPr>
          <w:rStyle w:val="FootnoteReference"/>
        </w:rPr>
        <w:footnoteReference w:id="1"/>
      </w:r>
      <w:r>
        <w:t>.</w:t>
      </w:r>
    </w:p>
    <w:p w14:paraId="27413CCA" w14:textId="77777777" w:rsidR="000C786E" w:rsidRPr="000C786E" w:rsidRDefault="000C786E" w:rsidP="000C786E">
      <w:pPr>
        <w:jc w:val="both"/>
        <w:rPr>
          <w:rFonts w:cstheme="minorHAnsi"/>
          <w:b/>
          <w:bCs/>
        </w:rPr>
      </w:pPr>
    </w:p>
    <w:p w14:paraId="55B650B2" w14:textId="77777777" w:rsidR="000C786E" w:rsidRPr="003F7379" w:rsidRDefault="000C786E" w:rsidP="00D557C6">
      <w:pPr>
        <w:jc w:val="both"/>
        <w:rPr>
          <w:rFonts w:cstheme="minorHAnsi"/>
        </w:rPr>
      </w:pPr>
    </w:p>
    <w:p w14:paraId="0B695C54" w14:textId="46992113" w:rsidR="00CE1901" w:rsidRPr="003F7379" w:rsidRDefault="00CE1901" w:rsidP="00D557C6">
      <w:pPr>
        <w:jc w:val="both"/>
        <w:rPr>
          <w:rFonts w:cstheme="minorHAnsi"/>
          <w:b/>
          <w:bCs/>
        </w:rPr>
      </w:pPr>
      <w:r w:rsidRPr="003F7379">
        <w:rPr>
          <w:rFonts w:cstheme="minorHAnsi"/>
          <w:b/>
          <w:bCs/>
        </w:rPr>
        <w:t>CROATIA</w:t>
      </w:r>
    </w:p>
    <w:p w14:paraId="61452226" w14:textId="77777777" w:rsidR="00CE1901" w:rsidRPr="003F7379" w:rsidRDefault="00CE1901" w:rsidP="00D557C6">
      <w:pPr>
        <w:jc w:val="both"/>
        <w:rPr>
          <w:rFonts w:cstheme="minorHAnsi"/>
        </w:rPr>
      </w:pPr>
    </w:p>
    <w:p w14:paraId="4934823F" w14:textId="68BA5BC4" w:rsidR="00F251E6" w:rsidRDefault="008A3A0C" w:rsidP="00D557C6">
      <w:pPr>
        <w:jc w:val="both"/>
        <w:rPr>
          <w:rFonts w:cstheme="minorHAnsi"/>
        </w:rPr>
      </w:pPr>
      <w:r>
        <w:rPr>
          <w:rFonts w:cstheme="minorHAnsi"/>
        </w:rPr>
        <w:t>T</w:t>
      </w:r>
      <w:r w:rsidR="00F251E6">
        <w:rPr>
          <w:rFonts w:cstheme="minorHAnsi"/>
        </w:rPr>
        <w:t xml:space="preserve">he </w:t>
      </w:r>
      <w:r>
        <w:rPr>
          <w:rFonts w:cstheme="minorHAnsi"/>
        </w:rPr>
        <w:t>Public Procurement Directorate in the Ministry of Economy, published statistical report on public procurement in Croatia in 2023 (</w:t>
      </w:r>
      <w:hyperlink r:id="rId16" w:history="1">
        <w:r w:rsidRPr="009B74C8">
          <w:rPr>
            <w:rStyle w:val="Hyperlink"/>
            <w:rFonts w:cstheme="minorHAnsi"/>
          </w:rPr>
          <w:t>http://www.javnanabava.hr/userdocsimages/userfiles/file/Statisti%C4%8Dka%20izvje%C5%A1%C4%87a/Godi%C5%A1nja/Statisticko_izvjesce_JN_2023.pdf</w:t>
        </w:r>
      </w:hyperlink>
      <w:r>
        <w:rPr>
          <w:rFonts w:cstheme="minorHAnsi"/>
        </w:rPr>
        <w:t>)</w:t>
      </w:r>
    </w:p>
    <w:p w14:paraId="49D76848" w14:textId="77777777" w:rsidR="00F251E6" w:rsidRDefault="00F251E6" w:rsidP="00D557C6">
      <w:pPr>
        <w:jc w:val="both"/>
        <w:rPr>
          <w:rFonts w:cstheme="minorHAnsi"/>
        </w:rPr>
      </w:pPr>
    </w:p>
    <w:p w14:paraId="1D53620F" w14:textId="1772D49C" w:rsidR="00CB0D49" w:rsidRPr="003F7379" w:rsidRDefault="008A3A0C" w:rsidP="00D557C6">
      <w:pPr>
        <w:jc w:val="both"/>
        <w:rPr>
          <w:rFonts w:cstheme="minorHAnsi"/>
        </w:rPr>
      </w:pPr>
      <w:r>
        <w:rPr>
          <w:rFonts w:cstheme="minorHAnsi"/>
        </w:rPr>
        <w:t xml:space="preserve">According to the report in </w:t>
      </w:r>
      <w:r w:rsidR="00F251E6">
        <w:rPr>
          <w:rFonts w:cstheme="minorHAnsi"/>
        </w:rPr>
        <w:t xml:space="preserve">2023 </w:t>
      </w:r>
      <w:r w:rsidR="00D65D1D" w:rsidRPr="003F7379">
        <w:rPr>
          <w:rFonts w:cstheme="minorHAnsi"/>
        </w:rPr>
        <w:t xml:space="preserve">the average number of tenders submitted in public procurement procedures was </w:t>
      </w:r>
      <w:r w:rsidR="00A94322" w:rsidRPr="003F7379">
        <w:rPr>
          <w:rFonts w:cstheme="minorHAnsi"/>
          <w:b/>
          <w:bCs/>
        </w:rPr>
        <w:t>3.</w:t>
      </w:r>
      <w:r w:rsidR="00293A0C">
        <w:rPr>
          <w:rFonts w:cstheme="minorHAnsi"/>
          <w:b/>
          <w:bCs/>
        </w:rPr>
        <w:t xml:space="preserve">26 </w:t>
      </w:r>
      <w:r w:rsidR="00A94322" w:rsidRPr="003F7379">
        <w:rPr>
          <w:rFonts w:cstheme="minorHAnsi"/>
        </w:rPr>
        <w:t>(</w:t>
      </w:r>
      <w:r w:rsidR="00293A0C">
        <w:rPr>
          <w:rFonts w:cstheme="minorHAnsi"/>
        </w:rPr>
        <w:t xml:space="preserve">fewer </w:t>
      </w:r>
      <w:r w:rsidR="00A94322" w:rsidRPr="003F7379">
        <w:rPr>
          <w:rFonts w:cstheme="minorHAnsi"/>
        </w:rPr>
        <w:t>than in 202</w:t>
      </w:r>
      <w:r w:rsidR="00F251E6">
        <w:rPr>
          <w:rFonts w:cstheme="minorHAnsi"/>
        </w:rPr>
        <w:t>2</w:t>
      </w:r>
      <w:r w:rsidR="00A94322" w:rsidRPr="003F7379">
        <w:rPr>
          <w:rFonts w:cstheme="minorHAnsi"/>
        </w:rPr>
        <w:t xml:space="preserve"> – </w:t>
      </w:r>
      <w:r w:rsidR="00F251E6">
        <w:rPr>
          <w:rFonts w:cstheme="minorHAnsi"/>
        </w:rPr>
        <w:t>3.69</w:t>
      </w:r>
      <w:r w:rsidR="00A94322" w:rsidRPr="003F7379">
        <w:rPr>
          <w:rFonts w:cstheme="minorHAnsi"/>
        </w:rPr>
        <w:t xml:space="preserve">). It is noted that bigger competition was in case of procedures organized by public sector authorities than utilities contracting entities (respectively </w:t>
      </w:r>
      <w:r w:rsidR="0052573E" w:rsidRPr="003F7379">
        <w:rPr>
          <w:rFonts w:cstheme="minorHAnsi"/>
        </w:rPr>
        <w:t>3.</w:t>
      </w:r>
      <w:r w:rsidR="001D271E">
        <w:rPr>
          <w:rFonts w:cstheme="minorHAnsi"/>
        </w:rPr>
        <w:t xml:space="preserve">39 and </w:t>
      </w:r>
      <w:r w:rsidR="00F01E87" w:rsidRPr="003F7379">
        <w:rPr>
          <w:rFonts w:cstheme="minorHAnsi"/>
        </w:rPr>
        <w:t>2.12)</w:t>
      </w:r>
      <w:r w:rsidR="00620F0A">
        <w:rPr>
          <w:rFonts w:cstheme="minorHAnsi"/>
        </w:rPr>
        <w:t xml:space="preserve"> (report p. 57)</w:t>
      </w:r>
      <w:r w:rsidR="00F01E87" w:rsidRPr="003F7379">
        <w:rPr>
          <w:rFonts w:cstheme="minorHAnsi"/>
        </w:rPr>
        <w:t xml:space="preserve">. </w:t>
      </w:r>
    </w:p>
    <w:p w14:paraId="72CF7DDA" w14:textId="77777777" w:rsidR="00D36347" w:rsidRPr="003F7379" w:rsidRDefault="00D36347" w:rsidP="00D557C6">
      <w:pPr>
        <w:jc w:val="both"/>
        <w:rPr>
          <w:rFonts w:cstheme="minorHAnsi"/>
        </w:rPr>
      </w:pPr>
    </w:p>
    <w:p w14:paraId="228B5B55" w14:textId="77777777" w:rsidR="00573641" w:rsidRPr="003F7379" w:rsidRDefault="00573641" w:rsidP="00D557C6">
      <w:pPr>
        <w:jc w:val="both"/>
        <w:rPr>
          <w:rFonts w:cstheme="minorHAnsi"/>
          <w:b/>
          <w:bCs/>
        </w:rPr>
      </w:pPr>
    </w:p>
    <w:p w14:paraId="22F5DC30" w14:textId="14D45C89" w:rsidR="00573641" w:rsidRPr="003F7379" w:rsidRDefault="00573641" w:rsidP="00D557C6">
      <w:pPr>
        <w:jc w:val="both"/>
        <w:rPr>
          <w:rFonts w:cstheme="minorHAnsi"/>
          <w:b/>
          <w:bCs/>
        </w:rPr>
      </w:pPr>
      <w:r w:rsidRPr="003F7379">
        <w:rPr>
          <w:rFonts w:cstheme="minorHAnsi"/>
          <w:b/>
          <w:bCs/>
        </w:rPr>
        <w:t>SWEDEN</w:t>
      </w:r>
    </w:p>
    <w:p w14:paraId="2C5C2482" w14:textId="77777777" w:rsidR="00573641" w:rsidRPr="003F7379" w:rsidRDefault="00573641" w:rsidP="00D557C6">
      <w:pPr>
        <w:jc w:val="both"/>
        <w:rPr>
          <w:rFonts w:cstheme="minorHAnsi"/>
          <w:b/>
          <w:bCs/>
        </w:rPr>
      </w:pPr>
    </w:p>
    <w:p w14:paraId="30FDDFD8" w14:textId="1C452626" w:rsidR="00E5569B" w:rsidRPr="003F7379" w:rsidRDefault="00B444F9" w:rsidP="00D557C6">
      <w:pPr>
        <w:jc w:val="both"/>
        <w:rPr>
          <w:rFonts w:cstheme="minorHAnsi"/>
        </w:rPr>
      </w:pPr>
      <w:r w:rsidRPr="003F7379">
        <w:rPr>
          <w:rFonts w:cstheme="minorHAnsi"/>
        </w:rPr>
        <w:t>According to the annual report prepared by the Swedish P</w:t>
      </w:r>
      <w:r w:rsidR="005248C5">
        <w:rPr>
          <w:rFonts w:cstheme="minorHAnsi"/>
        </w:rPr>
        <w:t>ublic Procurement Office (</w:t>
      </w:r>
      <w:hyperlink r:id="rId17" w:history="1">
        <w:r w:rsidR="00C43EC7" w:rsidRPr="009B74C8">
          <w:rPr>
            <w:rStyle w:val="Hyperlink"/>
            <w:rFonts w:cstheme="minorHAnsi"/>
          </w:rPr>
          <w:t>https://www.upphandlingsmyndigheten.se/statistik/upphandlingsstatistik/statistik-om-annonserade-upphandlingar-i-sverige-2022/48-anbud-per-upphandling-2022/</w:t>
        </w:r>
      </w:hyperlink>
      <w:r w:rsidR="00C43EC7">
        <w:rPr>
          <w:rFonts w:cstheme="minorHAnsi"/>
        </w:rPr>
        <w:t xml:space="preserve">), </w:t>
      </w:r>
      <w:r w:rsidRPr="003F7379">
        <w:rPr>
          <w:rFonts w:cstheme="minorHAnsi"/>
        </w:rPr>
        <w:t>in 2022 a</w:t>
      </w:r>
      <w:r w:rsidR="00882704" w:rsidRPr="003F7379">
        <w:rPr>
          <w:rFonts w:cstheme="minorHAnsi"/>
        </w:rPr>
        <w:t xml:space="preserve"> total of 53,683 tenders were </w:t>
      </w:r>
      <w:r w:rsidRPr="003F7379">
        <w:rPr>
          <w:rFonts w:cstheme="minorHAnsi"/>
        </w:rPr>
        <w:t xml:space="preserve">submitted </w:t>
      </w:r>
      <w:r w:rsidR="00882704" w:rsidRPr="003F7379">
        <w:rPr>
          <w:rFonts w:cstheme="minorHAnsi"/>
        </w:rPr>
        <w:t xml:space="preserve">in the procurements. On average, </w:t>
      </w:r>
      <w:r w:rsidR="00882704" w:rsidRPr="003F7379">
        <w:rPr>
          <w:rFonts w:cstheme="minorHAnsi"/>
          <w:b/>
          <w:bCs/>
        </w:rPr>
        <w:t>4.8 tenders</w:t>
      </w:r>
      <w:r w:rsidR="00882704" w:rsidRPr="003F7379">
        <w:rPr>
          <w:rFonts w:cstheme="minorHAnsi"/>
        </w:rPr>
        <w:t xml:space="preserve"> were received per procurement</w:t>
      </w:r>
      <w:r w:rsidR="003B3180" w:rsidRPr="003F7379">
        <w:rPr>
          <w:rFonts w:cstheme="minorHAnsi"/>
        </w:rPr>
        <w:t xml:space="preserve"> procedure</w:t>
      </w:r>
      <w:r w:rsidR="00882704" w:rsidRPr="003F7379">
        <w:rPr>
          <w:rFonts w:cstheme="minorHAnsi"/>
        </w:rPr>
        <w:t>. The most common number of tenders (typical value) was 2 and the median value was 3. The average number of tenders decreased compared to the previous year when the average was 5.5.</w:t>
      </w:r>
      <w:r w:rsidR="00C43EC7">
        <w:rPr>
          <w:rFonts w:cstheme="minorHAnsi"/>
        </w:rPr>
        <w:t xml:space="preserve"> </w:t>
      </w:r>
      <w:r w:rsidR="00E5569B" w:rsidRPr="003F7379">
        <w:rPr>
          <w:rFonts w:cstheme="minorHAnsi"/>
        </w:rPr>
        <w:t xml:space="preserve">In 60 </w:t>
      </w:r>
      <w:r w:rsidR="00C94BCE" w:rsidRPr="003F7379">
        <w:rPr>
          <w:rFonts w:cstheme="minorHAnsi"/>
        </w:rPr>
        <w:t>%</w:t>
      </w:r>
      <w:r w:rsidR="00E5569B" w:rsidRPr="003F7379">
        <w:rPr>
          <w:rFonts w:cstheme="minorHAnsi"/>
        </w:rPr>
        <w:t xml:space="preserve"> of the procurements in 2022, 1–3 tenders were received. In 21 </w:t>
      </w:r>
      <w:r w:rsidR="00C94BCE" w:rsidRPr="003F7379">
        <w:rPr>
          <w:rFonts w:cstheme="minorHAnsi"/>
        </w:rPr>
        <w:t>%</w:t>
      </w:r>
      <w:r w:rsidR="00E5569B" w:rsidRPr="003F7379">
        <w:rPr>
          <w:rFonts w:cstheme="minorHAnsi"/>
        </w:rPr>
        <w:t xml:space="preserve"> of procurements, only 1 tender was received. It was on par with the previous year. In 8 </w:t>
      </w:r>
      <w:r w:rsidR="00C94BCE" w:rsidRPr="003F7379">
        <w:rPr>
          <w:rFonts w:cstheme="minorHAnsi"/>
        </w:rPr>
        <w:t>%</w:t>
      </w:r>
      <w:r w:rsidR="00E5569B" w:rsidRPr="003F7379">
        <w:rPr>
          <w:rFonts w:cstheme="minorHAnsi"/>
        </w:rPr>
        <w:t xml:space="preserve"> of the procurements, more than 10 tenders were received.</w:t>
      </w:r>
    </w:p>
    <w:p w14:paraId="469B548B" w14:textId="77777777" w:rsidR="004F4E55" w:rsidRPr="003F7379" w:rsidRDefault="004F4E55" w:rsidP="00D557C6">
      <w:pPr>
        <w:jc w:val="both"/>
        <w:rPr>
          <w:rFonts w:cstheme="minorHAnsi"/>
        </w:rPr>
      </w:pPr>
    </w:p>
    <w:p w14:paraId="7C516FB9" w14:textId="77777777" w:rsidR="002F6AD9" w:rsidRDefault="002F6AD9" w:rsidP="00D557C6">
      <w:pPr>
        <w:jc w:val="both"/>
        <w:rPr>
          <w:rFonts w:cstheme="minorHAnsi"/>
          <w:b/>
          <w:bCs/>
        </w:rPr>
      </w:pPr>
    </w:p>
    <w:p w14:paraId="0EC29B2B" w14:textId="5BF33FC5" w:rsidR="002F6AD9" w:rsidRDefault="002F6AD9" w:rsidP="00D557C6">
      <w:pPr>
        <w:jc w:val="both"/>
        <w:rPr>
          <w:rFonts w:cstheme="minorHAnsi"/>
          <w:b/>
          <w:bCs/>
        </w:rPr>
      </w:pPr>
      <w:r>
        <w:rPr>
          <w:rFonts w:cstheme="minorHAnsi"/>
          <w:b/>
          <w:bCs/>
        </w:rPr>
        <w:t>SPAIN</w:t>
      </w:r>
    </w:p>
    <w:p w14:paraId="0C203833" w14:textId="77777777" w:rsidR="002F6AD9" w:rsidRDefault="002F6AD9" w:rsidP="00D557C6">
      <w:pPr>
        <w:jc w:val="both"/>
        <w:rPr>
          <w:rFonts w:cstheme="minorHAnsi"/>
          <w:b/>
          <w:bCs/>
        </w:rPr>
      </w:pPr>
    </w:p>
    <w:p w14:paraId="103B6479" w14:textId="77777777" w:rsidR="002F6AD9" w:rsidRDefault="002F6AD9" w:rsidP="00D557C6">
      <w:pPr>
        <w:jc w:val="both"/>
        <w:rPr>
          <w:rFonts w:cstheme="minorHAnsi"/>
          <w:b/>
          <w:bCs/>
        </w:rPr>
      </w:pPr>
    </w:p>
    <w:p w14:paraId="0C4AEC65" w14:textId="065452E9" w:rsidR="00863AA8" w:rsidRPr="00863AA8" w:rsidRDefault="00CF60D3" w:rsidP="00D557C6">
      <w:pPr>
        <w:jc w:val="both"/>
        <w:rPr>
          <w:rFonts w:cstheme="minorHAnsi"/>
        </w:rPr>
      </w:pPr>
      <w:r w:rsidRPr="00863AA8">
        <w:rPr>
          <w:rFonts w:cstheme="minorHAnsi"/>
        </w:rPr>
        <w:t xml:space="preserve">The independent authority for </w:t>
      </w:r>
      <w:r w:rsidR="000E1292" w:rsidRPr="00863AA8">
        <w:rPr>
          <w:rFonts w:cstheme="minorHAnsi"/>
        </w:rPr>
        <w:t xml:space="preserve">regulation and </w:t>
      </w:r>
      <w:r w:rsidRPr="00863AA8">
        <w:rPr>
          <w:rFonts w:cstheme="minorHAnsi"/>
        </w:rPr>
        <w:t xml:space="preserve">supervision of public contracts </w:t>
      </w:r>
      <w:r w:rsidR="009173E8" w:rsidRPr="00863AA8">
        <w:rPr>
          <w:rFonts w:cstheme="minorHAnsi"/>
        </w:rPr>
        <w:t xml:space="preserve">(OIRESCON </w:t>
      </w:r>
      <w:hyperlink r:id="rId18" w:history="1">
        <w:r w:rsidR="009173E8" w:rsidRPr="00863AA8">
          <w:rPr>
            <w:rStyle w:val="Hyperlink"/>
            <w:rFonts w:cstheme="minorHAnsi"/>
          </w:rPr>
          <w:t>https://www.hacienda.gob.es/es-ES/Oirescon/Paginas/HomeOirescon.aspx</w:t>
        </w:r>
      </w:hyperlink>
      <w:r w:rsidR="009173E8" w:rsidRPr="00863AA8">
        <w:rPr>
          <w:rFonts w:cstheme="minorHAnsi"/>
        </w:rPr>
        <w:t>) pu</w:t>
      </w:r>
      <w:r w:rsidR="00D54E0B" w:rsidRPr="00863AA8">
        <w:rPr>
          <w:rFonts w:cstheme="minorHAnsi"/>
        </w:rPr>
        <w:t xml:space="preserve">blished its annual report on public procurement in Spain in 2023 </w:t>
      </w:r>
      <w:hyperlink r:id="rId19" w:history="1">
        <w:r w:rsidR="00D54E0B" w:rsidRPr="00863AA8">
          <w:rPr>
            <w:rStyle w:val="Hyperlink"/>
            <w:rFonts w:cstheme="minorHAnsi"/>
          </w:rPr>
          <w:t>https://www.hacienda.gob.es/RSC/OIReScon/informe-anual-supervision-2024/ias2024-modulo1.pdf</w:t>
        </w:r>
      </w:hyperlink>
      <w:r w:rsidR="00D54E0B" w:rsidRPr="00863AA8">
        <w:rPr>
          <w:rFonts w:cstheme="minorHAnsi"/>
        </w:rPr>
        <w:t>). Accordingly, the average</w:t>
      </w:r>
      <w:r w:rsidR="00897492">
        <w:rPr>
          <w:rFonts w:cstheme="minorHAnsi"/>
        </w:rPr>
        <w:t xml:space="preserve"> </w:t>
      </w:r>
      <w:r w:rsidR="00D54E0B" w:rsidRPr="00863AA8">
        <w:rPr>
          <w:rFonts w:cstheme="minorHAnsi"/>
        </w:rPr>
        <w:t>number of tenders per procedure was estimated to amount to 2.99</w:t>
      </w:r>
      <w:r w:rsidR="00863AA8" w:rsidRPr="00863AA8">
        <w:rPr>
          <w:rFonts w:cstheme="minorHAnsi"/>
        </w:rPr>
        <w:t xml:space="preserve"> (p. 120). </w:t>
      </w:r>
    </w:p>
    <w:p w14:paraId="2461A67F" w14:textId="77777777" w:rsidR="00863AA8" w:rsidRDefault="00863AA8" w:rsidP="00D557C6">
      <w:pPr>
        <w:jc w:val="both"/>
        <w:rPr>
          <w:rFonts w:cstheme="minorHAnsi"/>
          <w:b/>
          <w:bCs/>
        </w:rPr>
      </w:pPr>
    </w:p>
    <w:p w14:paraId="3EF69B61" w14:textId="315BA8A6" w:rsidR="002F6AD9" w:rsidRDefault="00D54E0B" w:rsidP="00D557C6">
      <w:pPr>
        <w:jc w:val="both"/>
        <w:rPr>
          <w:rFonts w:cstheme="minorHAnsi"/>
          <w:b/>
          <w:bCs/>
        </w:rPr>
      </w:pPr>
      <w:r>
        <w:rPr>
          <w:rFonts w:cstheme="minorHAnsi"/>
          <w:b/>
          <w:bCs/>
        </w:rPr>
        <w:t xml:space="preserve"> </w:t>
      </w:r>
    </w:p>
    <w:p w14:paraId="3D0C36F8" w14:textId="5B380271" w:rsidR="004F4E55" w:rsidRDefault="004D6D67" w:rsidP="00D557C6">
      <w:pPr>
        <w:jc w:val="both"/>
        <w:rPr>
          <w:rFonts w:cstheme="minorHAnsi"/>
          <w:b/>
          <w:bCs/>
        </w:rPr>
      </w:pPr>
      <w:r>
        <w:rPr>
          <w:rFonts w:cstheme="minorHAnsi"/>
          <w:b/>
          <w:bCs/>
        </w:rPr>
        <w:t>HUNGARY</w:t>
      </w:r>
    </w:p>
    <w:p w14:paraId="0B695110" w14:textId="77777777" w:rsidR="004D6D67" w:rsidRDefault="004D6D67" w:rsidP="00D557C6">
      <w:pPr>
        <w:jc w:val="both"/>
        <w:rPr>
          <w:rFonts w:cstheme="minorHAnsi"/>
          <w:b/>
          <w:bCs/>
        </w:rPr>
      </w:pPr>
    </w:p>
    <w:p w14:paraId="7C3B6389" w14:textId="77777777" w:rsidR="00A05505" w:rsidRDefault="00A05505" w:rsidP="00D557C6">
      <w:pPr>
        <w:jc w:val="both"/>
        <w:rPr>
          <w:rFonts w:cstheme="minorHAnsi"/>
          <w:b/>
          <w:bCs/>
        </w:rPr>
      </w:pPr>
    </w:p>
    <w:p w14:paraId="2EA67947" w14:textId="1DF5827A" w:rsidR="00A05505" w:rsidRDefault="00DE7E03" w:rsidP="00EE3132">
      <w:pPr>
        <w:jc w:val="both"/>
        <w:rPr>
          <w:rFonts w:cstheme="minorHAnsi"/>
        </w:rPr>
      </w:pPr>
      <w:r w:rsidRPr="00487C54">
        <w:rPr>
          <w:rFonts w:cstheme="minorHAnsi"/>
        </w:rPr>
        <w:t xml:space="preserve">According to the report published </w:t>
      </w:r>
      <w:r w:rsidR="00EE3132" w:rsidRPr="00487C54">
        <w:rPr>
          <w:rFonts w:cstheme="minorHAnsi"/>
        </w:rPr>
        <w:t xml:space="preserve">by the </w:t>
      </w:r>
      <w:r w:rsidR="00EE3132" w:rsidRPr="00487C54">
        <w:rPr>
          <w:rFonts w:cstheme="minorHAnsi"/>
          <w:b/>
          <w:bCs/>
        </w:rPr>
        <w:t>Hungarian Public Procurement Authority</w:t>
      </w:r>
      <w:r w:rsidR="00EE3132" w:rsidRPr="00487C54">
        <w:rPr>
          <w:rFonts w:cstheme="minorHAnsi"/>
        </w:rPr>
        <w:t xml:space="preserve"> </w:t>
      </w:r>
      <w:r w:rsidR="00FA1E50" w:rsidRPr="00487C54">
        <w:rPr>
          <w:rFonts w:cstheme="minorHAnsi"/>
        </w:rPr>
        <w:t>(</w:t>
      </w:r>
      <w:hyperlink r:id="rId20" w:history="1">
        <w:r w:rsidR="00FA1E50" w:rsidRPr="00487C54">
          <w:rPr>
            <w:rStyle w:val="Hyperlink"/>
            <w:rFonts w:cstheme="minorHAnsi"/>
          </w:rPr>
          <w:t>https://kozbeszerzes.hu/media/documents/flash-report-h1-en-final_2iBHrg0.pdf</w:t>
        </w:r>
      </w:hyperlink>
      <w:r w:rsidR="00FA1E50" w:rsidRPr="00487C54">
        <w:rPr>
          <w:rFonts w:cstheme="minorHAnsi"/>
        </w:rPr>
        <w:t xml:space="preserve">) the </w:t>
      </w:r>
      <w:r w:rsidR="00FA1E50" w:rsidRPr="00487C54">
        <w:rPr>
          <w:rFonts w:cstheme="minorHAnsi"/>
        </w:rPr>
        <w:lastRenderedPageBreak/>
        <w:t>average number of bids in the first trimester of 2024</w:t>
      </w:r>
      <w:r w:rsidR="00F473FF" w:rsidRPr="00487C54">
        <w:rPr>
          <w:rFonts w:cstheme="minorHAnsi"/>
        </w:rPr>
        <w:t xml:space="preserve"> was 2.2</w:t>
      </w:r>
      <w:r w:rsidR="0023490D" w:rsidRPr="00487C54">
        <w:rPr>
          <w:rFonts w:cstheme="minorHAnsi"/>
        </w:rPr>
        <w:t xml:space="preserve"> (3.1 bids above EU thresholds and 1.5 below the thresholds). It is similar to data for previous periods </w:t>
      </w:r>
      <w:r w:rsidR="00BE7517" w:rsidRPr="00487C54">
        <w:rPr>
          <w:rFonts w:cstheme="minorHAnsi"/>
        </w:rPr>
        <w:t>(2.3 and 2.01 in 2023 and 2022 respectively)</w:t>
      </w:r>
      <w:r w:rsidR="004F4FF4" w:rsidRPr="00487C54">
        <w:rPr>
          <w:rFonts w:cstheme="minorHAnsi"/>
        </w:rPr>
        <w:t xml:space="preserve">. As compared with previous </w:t>
      </w:r>
      <w:r w:rsidR="00487C54" w:rsidRPr="00487C54">
        <w:rPr>
          <w:rFonts w:cstheme="minorHAnsi"/>
        </w:rPr>
        <w:t>reporting</w:t>
      </w:r>
      <w:r w:rsidR="004F4FF4" w:rsidRPr="00487C54">
        <w:rPr>
          <w:rFonts w:cstheme="minorHAnsi"/>
        </w:rPr>
        <w:t xml:space="preserve"> period the share </w:t>
      </w:r>
      <w:r w:rsidR="00487C54">
        <w:rPr>
          <w:rFonts w:cstheme="minorHAnsi"/>
        </w:rPr>
        <w:t>o</w:t>
      </w:r>
      <w:r w:rsidR="004F4FF4" w:rsidRPr="00487C54">
        <w:rPr>
          <w:rFonts w:cstheme="minorHAnsi"/>
        </w:rPr>
        <w:t xml:space="preserve">f procedures in which </w:t>
      </w:r>
      <w:r w:rsidR="00487C54" w:rsidRPr="00487C54">
        <w:rPr>
          <w:rFonts w:cstheme="minorHAnsi"/>
        </w:rPr>
        <w:t>only</w:t>
      </w:r>
      <w:r w:rsidR="004F4FF4" w:rsidRPr="00487C54">
        <w:rPr>
          <w:rFonts w:cstheme="minorHAnsi"/>
        </w:rPr>
        <w:t xml:space="preserve"> one bid was submitted fell </w:t>
      </w:r>
      <w:r w:rsidR="00487C54" w:rsidRPr="00487C54">
        <w:rPr>
          <w:rFonts w:cstheme="minorHAnsi"/>
        </w:rPr>
        <w:t xml:space="preserve">significantly (to 27.9 % from 38 in 2022). </w:t>
      </w:r>
    </w:p>
    <w:p w14:paraId="430BEAB0" w14:textId="77777777" w:rsidR="00475C09" w:rsidRDefault="00475C09" w:rsidP="00EE3132">
      <w:pPr>
        <w:jc w:val="both"/>
        <w:rPr>
          <w:rFonts w:cstheme="minorHAnsi"/>
        </w:rPr>
      </w:pPr>
    </w:p>
    <w:p w14:paraId="74F5FAC7" w14:textId="77777777" w:rsidR="00475C09" w:rsidRPr="003F7379" w:rsidRDefault="00475C09" w:rsidP="00475C09">
      <w:pPr>
        <w:jc w:val="both"/>
        <w:rPr>
          <w:rFonts w:cstheme="minorHAnsi"/>
        </w:rPr>
      </w:pPr>
      <w:r w:rsidRPr="003F7379">
        <w:rPr>
          <w:rFonts w:cstheme="minorHAnsi"/>
        </w:rPr>
        <w:t>Hungary is one the worst performers among EU Member States in terms of the single bid issue (number of procedures with only one tender submitted). In 40 % of procurement procedures conducted in 2021 there was only one tender submitted (it is an identical score as in the Czech Republic). In the EU worse performers were only Slovenia and Poland (respectively, 44 and 50 %)</w:t>
      </w:r>
      <w:r w:rsidRPr="003F7379">
        <w:rPr>
          <w:rStyle w:val="FootnoteReference"/>
          <w:rFonts w:cstheme="minorHAnsi"/>
        </w:rPr>
        <w:footnoteReference w:id="2"/>
      </w:r>
      <w:r w:rsidRPr="003F7379">
        <w:rPr>
          <w:rFonts w:cstheme="minorHAnsi"/>
        </w:rPr>
        <w:t xml:space="preserve">. </w:t>
      </w:r>
    </w:p>
    <w:p w14:paraId="1BA2A612" w14:textId="77777777" w:rsidR="00475C09" w:rsidRPr="003F7379" w:rsidRDefault="00475C09" w:rsidP="00475C09">
      <w:pPr>
        <w:jc w:val="both"/>
        <w:rPr>
          <w:rFonts w:cstheme="minorHAnsi"/>
        </w:rPr>
      </w:pPr>
    </w:p>
    <w:p w14:paraId="49C9CB18" w14:textId="77777777" w:rsidR="00475C09" w:rsidRPr="003F7379" w:rsidRDefault="00475C09" w:rsidP="00475C09">
      <w:pPr>
        <w:jc w:val="both"/>
        <w:rPr>
          <w:rFonts w:cstheme="minorHAnsi"/>
        </w:rPr>
      </w:pPr>
      <w:r w:rsidRPr="003F7379">
        <w:rPr>
          <w:rFonts w:cstheme="minorHAnsi"/>
        </w:rPr>
        <w:t xml:space="preserve">Recovery and Resilience Plan (RRP) of Hungary contains commitments to tackle low level of competition by adopting Action Plan by March 2023 and then updating yearly. </w:t>
      </w:r>
    </w:p>
    <w:p w14:paraId="5D81274B" w14:textId="77777777" w:rsidR="00475C09" w:rsidRPr="003F7379" w:rsidRDefault="00475C09" w:rsidP="00475C09">
      <w:pPr>
        <w:jc w:val="both"/>
        <w:rPr>
          <w:rFonts w:cstheme="minorHAnsi"/>
        </w:rPr>
      </w:pPr>
    </w:p>
    <w:p w14:paraId="3ECD3E57" w14:textId="77777777" w:rsidR="00475C09" w:rsidRPr="003F7379" w:rsidRDefault="00475C09" w:rsidP="00475C09">
      <w:pPr>
        <w:jc w:val="both"/>
        <w:rPr>
          <w:rFonts w:cstheme="minorHAnsi"/>
          <w:b/>
          <w:bCs/>
        </w:rPr>
      </w:pPr>
      <w:r w:rsidRPr="003F7379">
        <w:rPr>
          <w:rFonts w:cstheme="minorHAnsi"/>
          <w:b/>
          <w:bCs/>
        </w:rPr>
        <w:t xml:space="preserve">Target of single bid rate specified in the Action Plan is “Below 15% by the end of 2024” </w:t>
      </w:r>
    </w:p>
    <w:p w14:paraId="62DD5E21" w14:textId="77777777" w:rsidR="00475C09" w:rsidRPr="003F7379" w:rsidRDefault="00475C09" w:rsidP="00475C09">
      <w:pPr>
        <w:jc w:val="both"/>
        <w:rPr>
          <w:rFonts w:cstheme="minorHAnsi"/>
        </w:rPr>
      </w:pPr>
    </w:p>
    <w:p w14:paraId="6170FF9D" w14:textId="77777777" w:rsidR="00475C09" w:rsidRPr="003F7379" w:rsidRDefault="00475C09" w:rsidP="00475C09">
      <w:pPr>
        <w:jc w:val="both"/>
        <w:rPr>
          <w:rFonts w:cstheme="minorHAnsi"/>
        </w:rPr>
      </w:pPr>
      <w:r w:rsidRPr="003F7379">
        <w:rPr>
          <w:rFonts w:cstheme="minorHAnsi"/>
        </w:rPr>
        <w:t xml:space="preserve">Hungary put in place several measures to tackle single bidding and increase competition in public procurement. </w:t>
      </w:r>
    </w:p>
    <w:p w14:paraId="470B0BE4" w14:textId="77777777" w:rsidR="00475C09" w:rsidRPr="003F7379" w:rsidRDefault="00475C09" w:rsidP="00475C09">
      <w:pPr>
        <w:jc w:val="both"/>
        <w:rPr>
          <w:rFonts w:cstheme="minorHAnsi"/>
        </w:rPr>
      </w:pPr>
    </w:p>
    <w:p w14:paraId="0DD40C36" w14:textId="77777777" w:rsidR="00475C09" w:rsidRPr="003F7379" w:rsidRDefault="00475C09" w:rsidP="00475C09">
      <w:pPr>
        <w:jc w:val="both"/>
        <w:rPr>
          <w:rFonts w:cstheme="minorHAnsi"/>
        </w:rPr>
      </w:pPr>
      <w:r w:rsidRPr="003F7379">
        <w:rPr>
          <w:rFonts w:cstheme="minorHAnsi"/>
        </w:rPr>
        <w:t xml:space="preserve">First, the Government adopted a decision regarding competition in procurement, containing the following elements:  </w:t>
      </w:r>
    </w:p>
    <w:p w14:paraId="1AE53A0D" w14:textId="77777777" w:rsidR="00475C09" w:rsidRPr="003F7379" w:rsidRDefault="00475C09" w:rsidP="00475C09">
      <w:pPr>
        <w:pStyle w:val="ListParagraph"/>
        <w:numPr>
          <w:ilvl w:val="0"/>
          <w:numId w:val="17"/>
        </w:numPr>
        <w:jc w:val="both"/>
        <w:rPr>
          <w:rFonts w:cstheme="minorHAnsi"/>
        </w:rPr>
      </w:pPr>
      <w:r w:rsidRPr="003F7379">
        <w:rPr>
          <w:rFonts w:cstheme="minorHAnsi"/>
        </w:rPr>
        <w:t xml:space="preserve">Mandatory market consultations for certain procurement processes </w:t>
      </w:r>
    </w:p>
    <w:p w14:paraId="66F0D4AB" w14:textId="77777777" w:rsidR="00475C09" w:rsidRPr="003F7379" w:rsidRDefault="00475C09" w:rsidP="00475C09">
      <w:pPr>
        <w:pStyle w:val="ListParagraph"/>
        <w:numPr>
          <w:ilvl w:val="0"/>
          <w:numId w:val="17"/>
        </w:numPr>
        <w:jc w:val="both"/>
        <w:rPr>
          <w:rFonts w:cstheme="minorHAnsi"/>
        </w:rPr>
      </w:pPr>
      <w:r w:rsidRPr="003F7379">
        <w:rPr>
          <w:rFonts w:cstheme="minorHAnsi"/>
        </w:rPr>
        <w:t>Obligation for selected CAs to prepare action plans to curb single bidding</w:t>
      </w:r>
    </w:p>
    <w:p w14:paraId="401B9D0E" w14:textId="77777777" w:rsidR="00475C09" w:rsidRPr="003F7379" w:rsidRDefault="00475C09" w:rsidP="00475C09">
      <w:pPr>
        <w:pStyle w:val="ListParagraph"/>
        <w:numPr>
          <w:ilvl w:val="0"/>
          <w:numId w:val="17"/>
        </w:numPr>
        <w:jc w:val="both"/>
        <w:rPr>
          <w:rFonts w:cstheme="minorHAnsi"/>
        </w:rPr>
      </w:pPr>
      <w:r w:rsidRPr="003F7379">
        <w:rPr>
          <w:rFonts w:cstheme="minorHAnsi"/>
        </w:rPr>
        <w:t>Annual monitoring of competition</w:t>
      </w:r>
    </w:p>
    <w:p w14:paraId="7E65025E" w14:textId="77777777" w:rsidR="00475C09" w:rsidRPr="003F7379" w:rsidRDefault="00475C09" w:rsidP="00475C09">
      <w:pPr>
        <w:jc w:val="both"/>
        <w:rPr>
          <w:rFonts w:cstheme="minorHAnsi"/>
        </w:rPr>
      </w:pPr>
    </w:p>
    <w:p w14:paraId="0418B9A7" w14:textId="77777777" w:rsidR="00475C09" w:rsidRPr="003F7379" w:rsidRDefault="00475C09" w:rsidP="00475C09">
      <w:pPr>
        <w:jc w:val="both"/>
        <w:rPr>
          <w:rFonts w:cstheme="minorHAnsi"/>
        </w:rPr>
      </w:pPr>
      <w:r w:rsidRPr="003F7379">
        <w:rPr>
          <w:rFonts w:cstheme="minorHAnsi"/>
        </w:rPr>
        <w:t xml:space="preserve">Second, the Public Procurement Performance Measurement Framework contains several indicators measure the occurrence of single-bidding (by CPV, subject-matter, geographical area etc.). </w:t>
      </w:r>
    </w:p>
    <w:p w14:paraId="4396E58E" w14:textId="77777777" w:rsidR="00475C09" w:rsidRPr="003F7379" w:rsidRDefault="00475C09" w:rsidP="00475C09">
      <w:pPr>
        <w:jc w:val="both"/>
        <w:rPr>
          <w:rFonts w:cstheme="minorHAnsi"/>
        </w:rPr>
      </w:pPr>
    </w:p>
    <w:p w14:paraId="0EF140AC" w14:textId="77777777" w:rsidR="00475C09" w:rsidRPr="003F7379" w:rsidRDefault="00475C09" w:rsidP="00475C09">
      <w:pPr>
        <w:jc w:val="both"/>
        <w:rPr>
          <w:rFonts w:cstheme="minorHAnsi"/>
        </w:rPr>
      </w:pPr>
      <w:r w:rsidRPr="003F7379">
        <w:rPr>
          <w:rFonts w:cstheme="minorHAnsi"/>
        </w:rPr>
        <w:t>Third, the Action plan to reduce single bidding 2023- 2026, adopted in March 2023, contains 14 measures to increase competition such as revising the remedy fees, providing grants to SMEs, issuing guides on corruption and conflict of interest etc.</w:t>
      </w:r>
    </w:p>
    <w:p w14:paraId="584AAFEB" w14:textId="77777777" w:rsidR="00475C09" w:rsidRPr="003F7379" w:rsidRDefault="00475C09" w:rsidP="00475C09">
      <w:pPr>
        <w:jc w:val="both"/>
        <w:rPr>
          <w:rFonts w:cstheme="minorHAnsi"/>
        </w:rPr>
      </w:pPr>
    </w:p>
    <w:p w14:paraId="444BB55E" w14:textId="77777777" w:rsidR="00475C09" w:rsidRPr="003F7379" w:rsidRDefault="00475C09" w:rsidP="00475C09">
      <w:pPr>
        <w:jc w:val="both"/>
        <w:rPr>
          <w:rFonts w:cstheme="minorHAnsi"/>
        </w:rPr>
      </w:pPr>
    </w:p>
    <w:p w14:paraId="2779BFAD" w14:textId="77777777" w:rsidR="00475C09" w:rsidRPr="003F7379" w:rsidRDefault="00475C09" w:rsidP="00475C09">
      <w:pPr>
        <w:jc w:val="both"/>
        <w:rPr>
          <w:rFonts w:cstheme="minorHAnsi"/>
        </w:rPr>
      </w:pPr>
      <w:r w:rsidRPr="003F7379">
        <w:rPr>
          <w:rFonts w:cstheme="minorHAnsi"/>
        </w:rPr>
        <w:t xml:space="preserve">Action plan to </w:t>
      </w:r>
      <w:r w:rsidRPr="003F7379">
        <w:rPr>
          <w:rFonts w:cstheme="minorHAnsi"/>
          <w:u w:val="single"/>
        </w:rPr>
        <w:t>reduce single bidding</w:t>
      </w:r>
      <w:r w:rsidRPr="003F7379">
        <w:rPr>
          <w:rFonts w:cstheme="minorHAnsi"/>
        </w:rPr>
        <w:t xml:space="preserve"> in Hungary envisages the following initiatives:</w:t>
      </w:r>
    </w:p>
    <w:p w14:paraId="04BB123D" w14:textId="77777777" w:rsidR="00475C09" w:rsidRPr="003F7379" w:rsidRDefault="00475C09" w:rsidP="00475C09">
      <w:pPr>
        <w:jc w:val="both"/>
        <w:rPr>
          <w:rFonts w:cstheme="minorHAnsi"/>
        </w:rPr>
      </w:pPr>
    </w:p>
    <w:p w14:paraId="17B75F17" w14:textId="77777777" w:rsidR="00475C09" w:rsidRPr="003F7379" w:rsidRDefault="00475C09" w:rsidP="00475C09">
      <w:pPr>
        <w:jc w:val="both"/>
        <w:rPr>
          <w:rFonts w:cstheme="minorHAnsi"/>
        </w:rPr>
      </w:pPr>
      <w:r w:rsidRPr="003F7379">
        <w:rPr>
          <w:rFonts w:cstheme="minorHAnsi"/>
        </w:rPr>
        <w:t xml:space="preserve">1. Analyses and research supporting the evaluation and the increase of the level and intensity of competition in public procurement (development of the performance measurement framework) with the involvement of the OECD </w:t>
      </w:r>
    </w:p>
    <w:p w14:paraId="70C7C048" w14:textId="77777777" w:rsidR="00475C09" w:rsidRPr="003F7379" w:rsidRDefault="00475C09" w:rsidP="00475C09">
      <w:pPr>
        <w:jc w:val="both"/>
        <w:rPr>
          <w:rFonts w:cstheme="minorHAnsi"/>
        </w:rPr>
      </w:pPr>
      <w:r w:rsidRPr="003F7379">
        <w:rPr>
          <w:rFonts w:cstheme="minorHAnsi"/>
        </w:rPr>
        <w:t xml:space="preserve">2. Automatic access to databases used to determine the existence of exclusion grounds </w:t>
      </w:r>
    </w:p>
    <w:p w14:paraId="3A287C93" w14:textId="77777777" w:rsidR="00475C09" w:rsidRPr="003F7379" w:rsidRDefault="00475C09" w:rsidP="00475C09">
      <w:pPr>
        <w:jc w:val="both"/>
        <w:rPr>
          <w:rFonts w:cstheme="minorHAnsi"/>
          <w:b/>
          <w:bCs/>
        </w:rPr>
      </w:pPr>
      <w:r w:rsidRPr="003F7379">
        <w:rPr>
          <w:rFonts w:cstheme="minorHAnsi"/>
        </w:rPr>
        <w:t xml:space="preserve">3. Possibility to set up automatic notifications in the </w:t>
      </w:r>
      <w:r w:rsidRPr="003F7379">
        <w:rPr>
          <w:rFonts w:cstheme="minorHAnsi"/>
          <w:b/>
          <w:bCs/>
        </w:rPr>
        <w:t>Electronic Procurement System (EKR)</w:t>
      </w:r>
    </w:p>
    <w:p w14:paraId="3E3FD4F7" w14:textId="77777777" w:rsidR="00475C09" w:rsidRPr="003F7379" w:rsidRDefault="00475C09" w:rsidP="00475C09">
      <w:pPr>
        <w:jc w:val="both"/>
        <w:rPr>
          <w:rFonts w:cstheme="minorHAnsi"/>
        </w:rPr>
      </w:pPr>
      <w:r w:rsidRPr="003F7379">
        <w:rPr>
          <w:rFonts w:cstheme="minorHAnsi"/>
        </w:rPr>
        <w:lastRenderedPageBreak/>
        <w:t>4. Development and extension of search function based on CPV codes in the EKR</w:t>
      </w:r>
    </w:p>
    <w:p w14:paraId="31D9DF19" w14:textId="77777777" w:rsidR="00475C09" w:rsidRPr="003F7379" w:rsidRDefault="00475C09" w:rsidP="00475C09">
      <w:pPr>
        <w:jc w:val="both"/>
        <w:rPr>
          <w:rFonts w:cstheme="minorHAnsi"/>
        </w:rPr>
      </w:pPr>
      <w:r w:rsidRPr="003F7379">
        <w:rPr>
          <w:rFonts w:cstheme="minorHAnsi"/>
        </w:rPr>
        <w:t xml:space="preserve">5. Providing anonymous access to procurement documents in the EKR </w:t>
      </w:r>
    </w:p>
    <w:p w14:paraId="0E5093FB" w14:textId="77777777" w:rsidR="00475C09" w:rsidRPr="003F7379" w:rsidRDefault="00475C09" w:rsidP="00475C09">
      <w:pPr>
        <w:jc w:val="both"/>
        <w:rPr>
          <w:rFonts w:cstheme="minorHAnsi"/>
        </w:rPr>
      </w:pPr>
      <w:r w:rsidRPr="003F7379">
        <w:rPr>
          <w:rFonts w:cstheme="minorHAnsi"/>
        </w:rPr>
        <w:t xml:space="preserve">6. Review of the rules on fees paid by economic operators when they submit appeals </w:t>
      </w:r>
    </w:p>
    <w:p w14:paraId="4449CC1D" w14:textId="77777777" w:rsidR="00475C09" w:rsidRPr="003F7379" w:rsidRDefault="00475C09" w:rsidP="00475C09">
      <w:pPr>
        <w:jc w:val="both"/>
        <w:rPr>
          <w:rFonts w:cstheme="minorHAnsi"/>
        </w:rPr>
      </w:pPr>
      <w:r w:rsidRPr="003F7379">
        <w:rPr>
          <w:rFonts w:cstheme="minorHAnsi"/>
        </w:rPr>
        <w:t xml:space="preserve">7. Supplementing mandatory information to be published as part of preliminary market consultations with draft selection criteria and award criteria </w:t>
      </w:r>
    </w:p>
    <w:p w14:paraId="5E285CC2" w14:textId="77777777" w:rsidR="00475C09" w:rsidRPr="003F7379" w:rsidRDefault="00475C09" w:rsidP="00475C09">
      <w:pPr>
        <w:jc w:val="both"/>
        <w:rPr>
          <w:rFonts w:cstheme="minorHAnsi"/>
        </w:rPr>
      </w:pPr>
      <w:r w:rsidRPr="003F7379">
        <w:rPr>
          <w:rFonts w:cstheme="minorHAnsi"/>
        </w:rPr>
        <w:t xml:space="preserve">8. Update of the guidance on methods and practices to avoid single bid procurements with new best practice examples </w:t>
      </w:r>
    </w:p>
    <w:p w14:paraId="4D7B71B7" w14:textId="77777777" w:rsidR="00475C09" w:rsidRPr="003F7379" w:rsidRDefault="00475C09" w:rsidP="00475C09">
      <w:pPr>
        <w:jc w:val="both"/>
        <w:rPr>
          <w:rFonts w:cstheme="minorHAnsi"/>
        </w:rPr>
      </w:pPr>
      <w:r w:rsidRPr="003F7379">
        <w:rPr>
          <w:rFonts w:cstheme="minorHAnsi"/>
        </w:rPr>
        <w:t xml:space="preserve">9. Public procurement training for SMEs </w:t>
      </w:r>
    </w:p>
    <w:p w14:paraId="13C66142" w14:textId="77777777" w:rsidR="00475C09" w:rsidRPr="003F7379" w:rsidRDefault="00475C09" w:rsidP="00475C09">
      <w:pPr>
        <w:jc w:val="both"/>
        <w:rPr>
          <w:rFonts w:cstheme="minorHAnsi"/>
        </w:rPr>
      </w:pPr>
      <w:r w:rsidRPr="003F7379">
        <w:rPr>
          <w:rFonts w:cstheme="minorHAnsi"/>
        </w:rPr>
        <w:t xml:space="preserve">10. Grant programme for SMEs </w:t>
      </w:r>
    </w:p>
    <w:p w14:paraId="3C8DEA68" w14:textId="77777777" w:rsidR="00475C09" w:rsidRPr="003F7379" w:rsidRDefault="00475C09" w:rsidP="00475C09">
      <w:pPr>
        <w:jc w:val="both"/>
        <w:rPr>
          <w:rFonts w:cstheme="minorHAnsi"/>
        </w:rPr>
      </w:pPr>
      <w:r w:rsidRPr="003F7379">
        <w:rPr>
          <w:rFonts w:cstheme="minorHAnsi"/>
        </w:rPr>
        <w:t xml:space="preserve">11. Publication of new guidance on conflict of interest </w:t>
      </w:r>
    </w:p>
    <w:p w14:paraId="2B6671EC" w14:textId="77777777" w:rsidR="00475C09" w:rsidRPr="003F7379" w:rsidRDefault="00475C09" w:rsidP="00475C09">
      <w:pPr>
        <w:jc w:val="both"/>
        <w:rPr>
          <w:rFonts w:cstheme="minorHAnsi"/>
        </w:rPr>
      </w:pPr>
      <w:r w:rsidRPr="003F7379">
        <w:rPr>
          <w:rFonts w:cstheme="minorHAnsi"/>
        </w:rPr>
        <w:t xml:space="preserve">12. Publication of guidelines on corruption risks affecting the fairness of competition in public procurement </w:t>
      </w:r>
    </w:p>
    <w:p w14:paraId="142D31EB" w14:textId="77777777" w:rsidR="00475C09" w:rsidRPr="003F7379" w:rsidRDefault="00475C09" w:rsidP="00475C09">
      <w:pPr>
        <w:jc w:val="both"/>
        <w:rPr>
          <w:rFonts w:cstheme="minorHAnsi"/>
        </w:rPr>
      </w:pPr>
      <w:r w:rsidRPr="003F7379">
        <w:rPr>
          <w:rFonts w:cstheme="minorHAnsi"/>
        </w:rPr>
        <w:t xml:space="preserve">13. Organising conferences and information events on organisational integrity for civil servants and other participants in public procurement </w:t>
      </w:r>
    </w:p>
    <w:p w14:paraId="24E0CD47" w14:textId="77777777" w:rsidR="00475C09" w:rsidRPr="003F7379" w:rsidRDefault="00475C09" w:rsidP="00475C09">
      <w:pPr>
        <w:jc w:val="both"/>
        <w:rPr>
          <w:rFonts w:cstheme="minorHAnsi"/>
        </w:rPr>
      </w:pPr>
      <w:r w:rsidRPr="003F7379">
        <w:rPr>
          <w:rFonts w:cstheme="minorHAnsi"/>
        </w:rPr>
        <w:t>14. Development of guidelines for the preparation of procurement contracts on effective handling of uncertain market conditions and making business risks for winning tenderers more proportionate</w:t>
      </w:r>
    </w:p>
    <w:p w14:paraId="5F2FEC84" w14:textId="77777777" w:rsidR="00475C09" w:rsidRPr="003F7379" w:rsidRDefault="00475C09" w:rsidP="00475C09">
      <w:pPr>
        <w:jc w:val="both"/>
        <w:rPr>
          <w:rFonts w:cstheme="minorHAnsi"/>
        </w:rPr>
      </w:pPr>
    </w:p>
    <w:p w14:paraId="4C9167FB" w14:textId="77777777" w:rsidR="00475C09" w:rsidRPr="003F7379" w:rsidRDefault="00475C09" w:rsidP="00475C09">
      <w:pPr>
        <w:jc w:val="both"/>
        <w:rPr>
          <w:rFonts w:cstheme="minorHAnsi"/>
        </w:rPr>
      </w:pPr>
      <w:r w:rsidRPr="003F7379">
        <w:rPr>
          <w:rFonts w:cstheme="minorHAnsi"/>
        </w:rPr>
        <w:t xml:space="preserve">OECD, which cooperates with Hungary on the issue of increasing the level of competition, after revising the Action Plan, submitted the following recommendations: </w:t>
      </w:r>
    </w:p>
    <w:p w14:paraId="014EF4D5" w14:textId="77777777" w:rsidR="00475C09" w:rsidRPr="003F7379" w:rsidRDefault="00475C09" w:rsidP="00475C09">
      <w:pPr>
        <w:pStyle w:val="ListParagraph"/>
        <w:numPr>
          <w:ilvl w:val="0"/>
          <w:numId w:val="18"/>
        </w:numPr>
        <w:jc w:val="both"/>
        <w:rPr>
          <w:rFonts w:cstheme="minorHAnsi"/>
        </w:rPr>
      </w:pPr>
      <w:r w:rsidRPr="003F7379">
        <w:rPr>
          <w:rFonts w:cstheme="minorHAnsi"/>
        </w:rPr>
        <w:t xml:space="preserve">Analysis and research on the low level of competition in the Hungarian public procurement system, </w:t>
      </w:r>
    </w:p>
    <w:p w14:paraId="4D135164" w14:textId="77777777" w:rsidR="00475C09" w:rsidRPr="003F7379" w:rsidRDefault="00475C09" w:rsidP="00475C09">
      <w:pPr>
        <w:pStyle w:val="ListParagraph"/>
        <w:numPr>
          <w:ilvl w:val="0"/>
          <w:numId w:val="18"/>
        </w:numPr>
        <w:jc w:val="both"/>
        <w:rPr>
          <w:rFonts w:cstheme="minorHAnsi"/>
        </w:rPr>
      </w:pPr>
      <w:r w:rsidRPr="003F7379">
        <w:rPr>
          <w:rFonts w:cstheme="minorHAnsi"/>
        </w:rPr>
        <w:t xml:space="preserve">Reducing administrative burden related to public procurement procedures, </w:t>
      </w:r>
    </w:p>
    <w:p w14:paraId="79264424" w14:textId="77777777" w:rsidR="00475C09" w:rsidRPr="003F7379" w:rsidRDefault="00475C09" w:rsidP="00475C09">
      <w:pPr>
        <w:pStyle w:val="ListParagraph"/>
        <w:numPr>
          <w:ilvl w:val="0"/>
          <w:numId w:val="18"/>
        </w:numPr>
        <w:jc w:val="both"/>
        <w:rPr>
          <w:rFonts w:cstheme="minorHAnsi"/>
        </w:rPr>
      </w:pPr>
      <w:r w:rsidRPr="003F7379">
        <w:rPr>
          <w:rFonts w:cstheme="minorHAnsi"/>
        </w:rPr>
        <w:t xml:space="preserve">Promoting better access to business opportunities for business sector, </w:t>
      </w:r>
    </w:p>
    <w:p w14:paraId="254EF504" w14:textId="562ED547" w:rsidR="0000252A" w:rsidRPr="00475C09" w:rsidRDefault="00475C09" w:rsidP="00D721B1">
      <w:pPr>
        <w:pStyle w:val="ListParagraph"/>
        <w:numPr>
          <w:ilvl w:val="0"/>
          <w:numId w:val="18"/>
        </w:numPr>
        <w:jc w:val="both"/>
        <w:rPr>
          <w:rFonts w:cstheme="minorHAnsi"/>
        </w:rPr>
      </w:pPr>
      <w:r w:rsidRPr="00475C09">
        <w:rPr>
          <w:rFonts w:cstheme="minorHAnsi"/>
        </w:rPr>
        <w:t xml:space="preserve">Improving procurement capabilities of the different stakeholders. </w:t>
      </w:r>
    </w:p>
    <w:sectPr w:rsidR="0000252A" w:rsidRPr="00475C09" w:rsidSect="00FD161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6C2E" w14:textId="77777777" w:rsidR="00922BFD" w:rsidRDefault="00922BFD" w:rsidP="00FD1619">
      <w:r>
        <w:separator/>
      </w:r>
    </w:p>
  </w:endnote>
  <w:endnote w:type="continuationSeparator" w:id="0">
    <w:p w14:paraId="0BBDB86D" w14:textId="77777777" w:rsidR="00922BFD" w:rsidRDefault="00922BFD"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04F2" w14:textId="77777777" w:rsidR="00F04791" w:rsidRDefault="00F0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62074"/>
      <w:docPartObj>
        <w:docPartGallery w:val="Page Numbers (Bottom of Page)"/>
        <w:docPartUnique/>
      </w:docPartObj>
    </w:sdtPr>
    <w:sdtEndPr>
      <w:rPr>
        <w:noProof/>
      </w:rPr>
    </w:sdtEndPr>
    <w:sdtContent>
      <w:p w14:paraId="302F4297" w14:textId="404A3C9C" w:rsidR="009A0684" w:rsidRDefault="009A06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186423" w14:textId="56F92C8F" w:rsidR="003D200F" w:rsidRDefault="003D2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638" w14:textId="77777777" w:rsidR="00F04791" w:rsidRDefault="00F0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A70D" w14:textId="77777777" w:rsidR="00922BFD" w:rsidRDefault="00922BFD" w:rsidP="00FD1619">
      <w:r>
        <w:separator/>
      </w:r>
    </w:p>
  </w:footnote>
  <w:footnote w:type="continuationSeparator" w:id="0">
    <w:p w14:paraId="7F35B8C7" w14:textId="77777777" w:rsidR="00922BFD" w:rsidRDefault="00922BFD" w:rsidP="00FD1619">
      <w:r>
        <w:continuationSeparator/>
      </w:r>
    </w:p>
  </w:footnote>
  <w:footnote w:id="1">
    <w:p w14:paraId="4EA8F238" w14:textId="7C7B680F" w:rsidR="006C735D" w:rsidRDefault="006C735D">
      <w:pPr>
        <w:pStyle w:val="FootnoteText"/>
      </w:pPr>
      <w:r>
        <w:rPr>
          <w:rStyle w:val="FootnoteReference"/>
        </w:rPr>
        <w:footnoteRef/>
      </w:r>
      <w:r>
        <w:t xml:space="preserve"> </w:t>
      </w:r>
      <w:r w:rsidR="008C0F75">
        <w:t xml:space="preserve">National </w:t>
      </w:r>
      <w:r>
        <w:t xml:space="preserve">Public Procurement Strategy 2024 – 2028, </w:t>
      </w:r>
      <w:hyperlink r:id="rId1" w:history="1">
        <w:r w:rsidRPr="00FB2803">
          <w:rPr>
            <w:rStyle w:val="Hyperlink"/>
          </w:rPr>
          <w:t>https://portal-vz.cz/wp-content/uploads/2024/08/NSVZ_STRATEGIE_EN_online-verze.pdf</w:t>
        </w:r>
      </w:hyperlink>
      <w:r w:rsidR="002E3E82">
        <w:t>, p. 24</w:t>
      </w:r>
      <w:r>
        <w:t xml:space="preserve">. </w:t>
      </w:r>
    </w:p>
  </w:footnote>
  <w:footnote w:id="2">
    <w:p w14:paraId="0BCC7F5A" w14:textId="77777777" w:rsidR="00475C09" w:rsidRDefault="00475C09" w:rsidP="00475C09">
      <w:pPr>
        <w:pStyle w:val="FootnoteText"/>
      </w:pPr>
      <w:r>
        <w:rPr>
          <w:rStyle w:val="FootnoteReference"/>
        </w:rPr>
        <w:footnoteRef/>
      </w:r>
      <w:r>
        <w:t xml:space="preserve"> Source: OECD, February 2024, OECD WORK ON INCREASING COMPETITION IN PUBLIC PROCUREMENT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D96" w14:textId="2CA2B454" w:rsidR="00A41B30" w:rsidRDefault="00000000">
    <w:pPr>
      <w:pStyle w:val="Header"/>
    </w:pPr>
    <w:r>
      <w:rPr>
        <w:noProof/>
      </w:rPr>
      <w:pict w14:anchorId="78EC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7"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0108" w14:textId="790D20B6" w:rsidR="00FD1619" w:rsidRDefault="00F04791">
    <w:pPr>
      <w:pStyle w:val="Header"/>
    </w:pPr>
    <w:r>
      <w:rPr>
        <w:noProof/>
      </w:rPr>
      <w:drawing>
        <wp:anchor distT="0" distB="0" distL="114300" distR="114300" simplePos="0" relativeHeight="251682816" behindDoc="1" locked="0" layoutInCell="1" allowOverlap="1" wp14:anchorId="07ACD551" wp14:editId="26212322">
          <wp:simplePos x="0" y="0"/>
          <wp:positionH relativeFrom="column">
            <wp:posOffset>-368300</wp:posOffset>
          </wp:positionH>
          <wp:positionV relativeFrom="paragraph">
            <wp:posOffset>-906780</wp:posOffset>
          </wp:positionV>
          <wp:extent cx="2274570" cy="48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77008" cy="483117"/>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AB5E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80" o:spid="_x0000_s1026" type="#_x0000_t75" alt="" style="position:absolute;margin-left:0;margin-top:0;width:620pt;height:877pt;z-index:-251635712;mso-wrap-edited:f;mso-width-percent:0;mso-height-percent:0;mso-position-horizontal:center;mso-position-horizontal-relative:margin;mso-position-vertical:center;mso-position-vertical-relative:margin;mso-width-percent:0;mso-height-percent:0" o:allowincell="f">
          <v:imagedata r:id="rId2" o:title="2"/>
          <w10:wrap anchorx="margin" anchory="margin"/>
        </v:shape>
      </w:pict>
    </w:r>
    <w:r w:rsidR="00A41B30">
      <w:rPr>
        <w:noProof/>
      </w:rPr>
      <w:drawing>
        <wp:anchor distT="0" distB="0" distL="114300" distR="114300" simplePos="0" relativeHeight="251671552" behindDoc="1" locked="0" layoutInCell="1" allowOverlap="1" wp14:anchorId="018A70AD" wp14:editId="0439674E">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r w:rsidR="00FD1619">
      <w:rPr>
        <w:noProof/>
      </w:rPr>
      <w:drawing>
        <wp:anchor distT="0" distB="0" distL="114300" distR="114300" simplePos="0" relativeHeight="251658240" behindDoc="0" locked="0" layoutInCell="1" allowOverlap="1" wp14:anchorId="3625C8D1" wp14:editId="2C633316">
          <wp:simplePos x="0" y="0"/>
          <wp:positionH relativeFrom="column">
            <wp:posOffset>2785750</wp:posOffset>
          </wp:positionH>
          <wp:positionV relativeFrom="paragraph">
            <wp:posOffset>-931025</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08049" cy="5348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3E8" w14:textId="1E2A3F2A" w:rsidR="00A41B30" w:rsidRDefault="00000000">
    <w:pPr>
      <w:pStyle w:val="Header"/>
    </w:pPr>
    <w:r>
      <w:rPr>
        <w:noProof/>
      </w:rPr>
      <w:pict w14:anchorId="55C5E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0A1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21D3B"/>
    <w:multiLevelType w:val="hybridMultilevel"/>
    <w:tmpl w:val="857EAD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A111E7"/>
    <w:multiLevelType w:val="hybridMultilevel"/>
    <w:tmpl w:val="B5E2241E"/>
    <w:lvl w:ilvl="0" w:tplc="51C0C98C">
      <w:numFmt w:val="bullet"/>
      <w:lvlText w:val="-"/>
      <w:lvlJc w:val="left"/>
      <w:pPr>
        <w:ind w:left="720" w:hanging="360"/>
      </w:pPr>
      <w:rPr>
        <w:rFonts w:ascii="Arial Unicode MS" w:eastAsia="Times New Roman" w:hAnsi="Arial Unicode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68A0"/>
    <w:multiLevelType w:val="hybridMultilevel"/>
    <w:tmpl w:val="393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1C7A"/>
    <w:multiLevelType w:val="hybridMultilevel"/>
    <w:tmpl w:val="9BAE0BB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7444726"/>
    <w:multiLevelType w:val="hybridMultilevel"/>
    <w:tmpl w:val="7F7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6668"/>
    <w:multiLevelType w:val="hybridMultilevel"/>
    <w:tmpl w:val="00F4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B291C"/>
    <w:multiLevelType w:val="hybridMultilevel"/>
    <w:tmpl w:val="A1F00CA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2A3F66"/>
    <w:multiLevelType w:val="hybridMultilevel"/>
    <w:tmpl w:val="ED86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34620"/>
    <w:multiLevelType w:val="hybridMultilevel"/>
    <w:tmpl w:val="695EC3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FC0CEB"/>
    <w:multiLevelType w:val="hybridMultilevel"/>
    <w:tmpl w:val="14C67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37FD3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316AC0"/>
    <w:multiLevelType w:val="hybridMultilevel"/>
    <w:tmpl w:val="7A9069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A62A24"/>
    <w:multiLevelType w:val="hybridMultilevel"/>
    <w:tmpl w:val="499C3E6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AB62E7"/>
    <w:multiLevelType w:val="hybridMultilevel"/>
    <w:tmpl w:val="A8CC38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B77C11"/>
    <w:multiLevelType w:val="hybridMultilevel"/>
    <w:tmpl w:val="30B86FE2"/>
    <w:lvl w:ilvl="0" w:tplc="E4D8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85F18"/>
    <w:multiLevelType w:val="hybridMultilevel"/>
    <w:tmpl w:val="AC14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721A6"/>
    <w:multiLevelType w:val="hybridMultilevel"/>
    <w:tmpl w:val="3CE0D398"/>
    <w:lvl w:ilvl="0" w:tplc="04090001">
      <w:start w:val="1"/>
      <w:numFmt w:val="bullet"/>
      <w:lvlText w:val=""/>
      <w:lvlJc w:val="left"/>
      <w:pPr>
        <w:ind w:left="720" w:hanging="360"/>
      </w:pPr>
      <w:rPr>
        <w:rFonts w:ascii="Symbol" w:hAnsi="Symbol" w:hint="default"/>
      </w:rPr>
    </w:lvl>
    <w:lvl w:ilvl="1" w:tplc="EBFCB916">
      <w:numFmt w:val="bullet"/>
      <w:lvlText w:val="-"/>
      <w:lvlJc w:val="left"/>
      <w:pPr>
        <w:ind w:left="1440" w:hanging="360"/>
      </w:pPr>
      <w:rPr>
        <w:rFonts w:ascii="Arial Unicode MS" w:eastAsia="Times New Roman" w:hAnsi="Arial Unicode MS"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71D53"/>
    <w:multiLevelType w:val="hybridMultilevel"/>
    <w:tmpl w:val="7730E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F426F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346DE6"/>
    <w:multiLevelType w:val="hybridMultilevel"/>
    <w:tmpl w:val="DB2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A6D3D"/>
    <w:multiLevelType w:val="hybridMultilevel"/>
    <w:tmpl w:val="6AC4823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30491D"/>
    <w:multiLevelType w:val="hybridMultilevel"/>
    <w:tmpl w:val="AD2611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5964A9"/>
    <w:multiLevelType w:val="hybridMultilevel"/>
    <w:tmpl w:val="D40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141A8"/>
    <w:multiLevelType w:val="hybridMultilevel"/>
    <w:tmpl w:val="168690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4E1737"/>
    <w:multiLevelType w:val="hybridMultilevel"/>
    <w:tmpl w:val="5DC4B0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170549"/>
    <w:multiLevelType w:val="hybridMultilevel"/>
    <w:tmpl w:val="CC92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A559C"/>
    <w:multiLevelType w:val="hybridMultilevel"/>
    <w:tmpl w:val="BD9463E2"/>
    <w:lvl w:ilvl="0" w:tplc="FA6E08D8">
      <w:start w:val="1"/>
      <w:numFmt w:val="bullet"/>
      <w:lvlText w:val="-"/>
      <w:lvlJc w:val="left"/>
      <w:pPr>
        <w:ind w:left="720" w:hanging="360"/>
      </w:pPr>
      <w:rPr>
        <w:rFonts w:ascii="Arial Unicode MS" w:eastAsia="Times New Roman" w:hAnsi="Arial Unicode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750C1"/>
    <w:multiLevelType w:val="hybridMultilevel"/>
    <w:tmpl w:val="0AA81F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2B4544"/>
    <w:multiLevelType w:val="hybridMultilevel"/>
    <w:tmpl w:val="264A2E4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AC773E"/>
    <w:multiLevelType w:val="hybridMultilevel"/>
    <w:tmpl w:val="10E6A78A"/>
    <w:lvl w:ilvl="0" w:tplc="A9C45D7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36830"/>
    <w:multiLevelType w:val="hybridMultilevel"/>
    <w:tmpl w:val="763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4114F"/>
    <w:multiLevelType w:val="hybridMultilevel"/>
    <w:tmpl w:val="B54CBD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BF035F"/>
    <w:multiLevelType w:val="multilevel"/>
    <w:tmpl w:val="2BD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BE3968"/>
    <w:multiLevelType w:val="hybridMultilevel"/>
    <w:tmpl w:val="AB68521A"/>
    <w:lvl w:ilvl="0" w:tplc="DF74F1E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D3BEE"/>
    <w:multiLevelType w:val="hybridMultilevel"/>
    <w:tmpl w:val="8230EC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84837"/>
    <w:multiLevelType w:val="hybridMultilevel"/>
    <w:tmpl w:val="A6D24F1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EB56A6"/>
    <w:multiLevelType w:val="hybridMultilevel"/>
    <w:tmpl w:val="01B4A7D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4F2700"/>
    <w:multiLevelType w:val="hybridMultilevel"/>
    <w:tmpl w:val="48183642"/>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737335"/>
    <w:multiLevelType w:val="hybridMultilevel"/>
    <w:tmpl w:val="F13C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3534B"/>
    <w:multiLevelType w:val="hybridMultilevel"/>
    <w:tmpl w:val="92D8EDA8"/>
    <w:lvl w:ilvl="0" w:tplc="71AAE5E8">
      <w:start w:val="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25908">
    <w:abstractNumId w:val="33"/>
  </w:num>
  <w:num w:numId="2" w16cid:durableId="1731883191">
    <w:abstractNumId w:val="15"/>
  </w:num>
  <w:num w:numId="3" w16cid:durableId="30502311">
    <w:abstractNumId w:val="27"/>
  </w:num>
  <w:num w:numId="4" w16cid:durableId="1782721713">
    <w:abstractNumId w:val="17"/>
  </w:num>
  <w:num w:numId="5" w16cid:durableId="619843448">
    <w:abstractNumId w:val="2"/>
  </w:num>
  <w:num w:numId="6" w16cid:durableId="1518347429">
    <w:abstractNumId w:val="39"/>
  </w:num>
  <w:num w:numId="7" w16cid:durableId="210925457">
    <w:abstractNumId w:val="21"/>
  </w:num>
  <w:num w:numId="8" w16cid:durableId="2081101528">
    <w:abstractNumId w:val="8"/>
  </w:num>
  <w:num w:numId="9" w16cid:durableId="341473713">
    <w:abstractNumId w:val="12"/>
  </w:num>
  <w:num w:numId="10" w16cid:durableId="810948371">
    <w:abstractNumId w:val="23"/>
  </w:num>
  <w:num w:numId="11" w16cid:durableId="69276207">
    <w:abstractNumId w:val="16"/>
  </w:num>
  <w:num w:numId="12" w16cid:durableId="1032849220">
    <w:abstractNumId w:val="32"/>
  </w:num>
  <w:num w:numId="13" w16cid:durableId="1771268695">
    <w:abstractNumId w:val="31"/>
  </w:num>
  <w:num w:numId="14" w16cid:durableId="973944842">
    <w:abstractNumId w:val="6"/>
  </w:num>
  <w:num w:numId="15" w16cid:durableId="652297720">
    <w:abstractNumId w:val="3"/>
  </w:num>
  <w:num w:numId="16" w16cid:durableId="1178883426">
    <w:abstractNumId w:val="30"/>
  </w:num>
  <w:num w:numId="17" w16cid:durableId="673461086">
    <w:abstractNumId w:val="20"/>
  </w:num>
  <w:num w:numId="18" w16cid:durableId="836114114">
    <w:abstractNumId w:val="22"/>
  </w:num>
  <w:num w:numId="19" w16cid:durableId="1904096249">
    <w:abstractNumId w:val="5"/>
  </w:num>
  <w:num w:numId="20" w16cid:durableId="1915116534">
    <w:abstractNumId w:val="40"/>
  </w:num>
  <w:num w:numId="21" w16cid:durableId="1642419933">
    <w:abstractNumId w:val="38"/>
  </w:num>
  <w:num w:numId="22" w16cid:durableId="645669602">
    <w:abstractNumId w:val="34"/>
  </w:num>
  <w:num w:numId="23" w16cid:durableId="540363256">
    <w:abstractNumId w:val="26"/>
  </w:num>
  <w:num w:numId="24" w16cid:durableId="1909684590">
    <w:abstractNumId w:val="18"/>
  </w:num>
  <w:num w:numId="25" w16cid:durableId="46994142">
    <w:abstractNumId w:val="24"/>
  </w:num>
  <w:num w:numId="26" w16cid:durableId="1116096883">
    <w:abstractNumId w:val="10"/>
  </w:num>
  <w:num w:numId="27" w16cid:durableId="1726445450">
    <w:abstractNumId w:val="35"/>
  </w:num>
  <w:num w:numId="28" w16cid:durableId="373123494">
    <w:abstractNumId w:val="1"/>
  </w:num>
  <w:num w:numId="29" w16cid:durableId="1741752558">
    <w:abstractNumId w:val="11"/>
  </w:num>
  <w:num w:numId="30" w16cid:durableId="1431925536">
    <w:abstractNumId w:val="0"/>
  </w:num>
  <w:num w:numId="31" w16cid:durableId="2090271891">
    <w:abstractNumId w:val="9"/>
  </w:num>
  <w:num w:numId="32" w16cid:durableId="1603801970">
    <w:abstractNumId w:val="25"/>
  </w:num>
  <w:num w:numId="33" w16cid:durableId="593780754">
    <w:abstractNumId w:val="4"/>
  </w:num>
  <w:num w:numId="34" w16cid:durableId="1016158222">
    <w:abstractNumId w:val="36"/>
  </w:num>
  <w:num w:numId="35" w16cid:durableId="1355500042">
    <w:abstractNumId w:val="13"/>
  </w:num>
  <w:num w:numId="36" w16cid:durableId="1719430174">
    <w:abstractNumId w:val="37"/>
  </w:num>
  <w:num w:numId="37" w16cid:durableId="1531183545">
    <w:abstractNumId w:val="7"/>
  </w:num>
  <w:num w:numId="38" w16cid:durableId="1976254641">
    <w:abstractNumId w:val="29"/>
  </w:num>
  <w:num w:numId="39" w16cid:durableId="1159417924">
    <w:abstractNumId w:val="28"/>
  </w:num>
  <w:num w:numId="40" w16cid:durableId="117796002">
    <w:abstractNumId w:val="14"/>
  </w:num>
  <w:num w:numId="41" w16cid:durableId="648479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99"/>
    <w:rsid w:val="0000159C"/>
    <w:rsid w:val="0000252A"/>
    <w:rsid w:val="0000405D"/>
    <w:rsid w:val="0000735D"/>
    <w:rsid w:val="0001255F"/>
    <w:rsid w:val="000135CF"/>
    <w:rsid w:val="000213C9"/>
    <w:rsid w:val="0002797E"/>
    <w:rsid w:val="0004425F"/>
    <w:rsid w:val="00046C74"/>
    <w:rsid w:val="00061AB4"/>
    <w:rsid w:val="000623DA"/>
    <w:rsid w:val="000A4C69"/>
    <w:rsid w:val="000C02FF"/>
    <w:rsid w:val="000C03DD"/>
    <w:rsid w:val="000C176F"/>
    <w:rsid w:val="000C1777"/>
    <w:rsid w:val="000C30DF"/>
    <w:rsid w:val="000C569D"/>
    <w:rsid w:val="000C786E"/>
    <w:rsid w:val="000D22DD"/>
    <w:rsid w:val="000D261E"/>
    <w:rsid w:val="000E0CE7"/>
    <w:rsid w:val="000E0E6E"/>
    <w:rsid w:val="000E1292"/>
    <w:rsid w:val="000E2DB0"/>
    <w:rsid w:val="000E6FE0"/>
    <w:rsid w:val="00104A0A"/>
    <w:rsid w:val="00104AD9"/>
    <w:rsid w:val="0010535F"/>
    <w:rsid w:val="001102F1"/>
    <w:rsid w:val="00126C57"/>
    <w:rsid w:val="00136013"/>
    <w:rsid w:val="00143158"/>
    <w:rsid w:val="0014360F"/>
    <w:rsid w:val="00143A3B"/>
    <w:rsid w:val="00143C6E"/>
    <w:rsid w:val="00146EEF"/>
    <w:rsid w:val="00155172"/>
    <w:rsid w:val="00155CEB"/>
    <w:rsid w:val="0016355A"/>
    <w:rsid w:val="0016392E"/>
    <w:rsid w:val="00163B00"/>
    <w:rsid w:val="00163EED"/>
    <w:rsid w:val="00171CF2"/>
    <w:rsid w:val="001729F9"/>
    <w:rsid w:val="00180B42"/>
    <w:rsid w:val="00196A9C"/>
    <w:rsid w:val="001A177E"/>
    <w:rsid w:val="001B4508"/>
    <w:rsid w:val="001B687A"/>
    <w:rsid w:val="001B7814"/>
    <w:rsid w:val="001C62F9"/>
    <w:rsid w:val="001D271E"/>
    <w:rsid w:val="001D4C60"/>
    <w:rsid w:val="001D6E49"/>
    <w:rsid w:val="001D7D5C"/>
    <w:rsid w:val="001E2528"/>
    <w:rsid w:val="001E5251"/>
    <w:rsid w:val="001E5DA8"/>
    <w:rsid w:val="001E6C92"/>
    <w:rsid w:val="001E78E5"/>
    <w:rsid w:val="001F0C1C"/>
    <w:rsid w:val="001F11A3"/>
    <w:rsid w:val="001F1DB8"/>
    <w:rsid w:val="001F325D"/>
    <w:rsid w:val="001F534A"/>
    <w:rsid w:val="001F564B"/>
    <w:rsid w:val="00203D9A"/>
    <w:rsid w:val="0020640E"/>
    <w:rsid w:val="00207432"/>
    <w:rsid w:val="00207ED1"/>
    <w:rsid w:val="002202FC"/>
    <w:rsid w:val="0022111B"/>
    <w:rsid w:val="002263B4"/>
    <w:rsid w:val="002344BC"/>
    <w:rsid w:val="0023490D"/>
    <w:rsid w:val="00235D6A"/>
    <w:rsid w:val="002373DE"/>
    <w:rsid w:val="00254C01"/>
    <w:rsid w:val="00271DF5"/>
    <w:rsid w:val="002728A1"/>
    <w:rsid w:val="002754DD"/>
    <w:rsid w:val="00281109"/>
    <w:rsid w:val="00282095"/>
    <w:rsid w:val="00284990"/>
    <w:rsid w:val="00293A0C"/>
    <w:rsid w:val="00293E77"/>
    <w:rsid w:val="00296A4F"/>
    <w:rsid w:val="002A55C8"/>
    <w:rsid w:val="002A7943"/>
    <w:rsid w:val="002C5079"/>
    <w:rsid w:val="002D3ED1"/>
    <w:rsid w:val="002E3492"/>
    <w:rsid w:val="002E3E82"/>
    <w:rsid w:val="002F3FEB"/>
    <w:rsid w:val="002F6AD9"/>
    <w:rsid w:val="002F761F"/>
    <w:rsid w:val="00336A53"/>
    <w:rsid w:val="003372F6"/>
    <w:rsid w:val="00353BBD"/>
    <w:rsid w:val="003555DF"/>
    <w:rsid w:val="003562A4"/>
    <w:rsid w:val="00356F38"/>
    <w:rsid w:val="00371EF8"/>
    <w:rsid w:val="0037343D"/>
    <w:rsid w:val="00373E7F"/>
    <w:rsid w:val="00385A5B"/>
    <w:rsid w:val="00391BA1"/>
    <w:rsid w:val="00395881"/>
    <w:rsid w:val="003A2BAD"/>
    <w:rsid w:val="003B3180"/>
    <w:rsid w:val="003C0154"/>
    <w:rsid w:val="003C5919"/>
    <w:rsid w:val="003C6B45"/>
    <w:rsid w:val="003D200F"/>
    <w:rsid w:val="003D2C17"/>
    <w:rsid w:val="003D48D7"/>
    <w:rsid w:val="003D5F7F"/>
    <w:rsid w:val="003F0B9B"/>
    <w:rsid w:val="003F7379"/>
    <w:rsid w:val="0040328C"/>
    <w:rsid w:val="0040677F"/>
    <w:rsid w:val="004071E1"/>
    <w:rsid w:val="004141B6"/>
    <w:rsid w:val="00416A89"/>
    <w:rsid w:val="00416D1D"/>
    <w:rsid w:val="004249E5"/>
    <w:rsid w:val="00425DD3"/>
    <w:rsid w:val="00432B18"/>
    <w:rsid w:val="0043308A"/>
    <w:rsid w:val="00435D73"/>
    <w:rsid w:val="00446DDF"/>
    <w:rsid w:val="00452332"/>
    <w:rsid w:val="00452347"/>
    <w:rsid w:val="00457116"/>
    <w:rsid w:val="0045775E"/>
    <w:rsid w:val="0046083A"/>
    <w:rsid w:val="00460BD5"/>
    <w:rsid w:val="0047440D"/>
    <w:rsid w:val="00475C09"/>
    <w:rsid w:val="00475D21"/>
    <w:rsid w:val="004814A8"/>
    <w:rsid w:val="00487C54"/>
    <w:rsid w:val="00496BC9"/>
    <w:rsid w:val="004A32CB"/>
    <w:rsid w:val="004B1EEA"/>
    <w:rsid w:val="004C4328"/>
    <w:rsid w:val="004C75C0"/>
    <w:rsid w:val="004D6D67"/>
    <w:rsid w:val="004E704E"/>
    <w:rsid w:val="004F01DD"/>
    <w:rsid w:val="004F4E55"/>
    <w:rsid w:val="004F4FF4"/>
    <w:rsid w:val="00500238"/>
    <w:rsid w:val="00504921"/>
    <w:rsid w:val="00510C2C"/>
    <w:rsid w:val="00512D12"/>
    <w:rsid w:val="00513F7D"/>
    <w:rsid w:val="005178BA"/>
    <w:rsid w:val="00522A85"/>
    <w:rsid w:val="00524750"/>
    <w:rsid w:val="005248C5"/>
    <w:rsid w:val="0052573E"/>
    <w:rsid w:val="00526A7C"/>
    <w:rsid w:val="00554A36"/>
    <w:rsid w:val="00557E6F"/>
    <w:rsid w:val="00560622"/>
    <w:rsid w:val="00562E98"/>
    <w:rsid w:val="005731D9"/>
    <w:rsid w:val="00573641"/>
    <w:rsid w:val="00575048"/>
    <w:rsid w:val="00576916"/>
    <w:rsid w:val="00576C6F"/>
    <w:rsid w:val="00577A91"/>
    <w:rsid w:val="005816EA"/>
    <w:rsid w:val="0058199F"/>
    <w:rsid w:val="00581D21"/>
    <w:rsid w:val="00591E75"/>
    <w:rsid w:val="00595C33"/>
    <w:rsid w:val="0059699A"/>
    <w:rsid w:val="005C3993"/>
    <w:rsid w:val="005C549E"/>
    <w:rsid w:val="005C5958"/>
    <w:rsid w:val="005C63C2"/>
    <w:rsid w:val="005D3750"/>
    <w:rsid w:val="005D50D9"/>
    <w:rsid w:val="005D55AE"/>
    <w:rsid w:val="005E125F"/>
    <w:rsid w:val="00613A48"/>
    <w:rsid w:val="006171CC"/>
    <w:rsid w:val="00620F0A"/>
    <w:rsid w:val="0062518B"/>
    <w:rsid w:val="00625E17"/>
    <w:rsid w:val="0062640A"/>
    <w:rsid w:val="00627F4A"/>
    <w:rsid w:val="00634D7E"/>
    <w:rsid w:val="00670F8E"/>
    <w:rsid w:val="006772AD"/>
    <w:rsid w:val="00680907"/>
    <w:rsid w:val="00692B39"/>
    <w:rsid w:val="006947EF"/>
    <w:rsid w:val="006B7B28"/>
    <w:rsid w:val="006C540B"/>
    <w:rsid w:val="006C6CCE"/>
    <w:rsid w:val="006C735D"/>
    <w:rsid w:val="006D6165"/>
    <w:rsid w:val="006D715B"/>
    <w:rsid w:val="006D73D5"/>
    <w:rsid w:val="006F4F6D"/>
    <w:rsid w:val="0070076C"/>
    <w:rsid w:val="00702488"/>
    <w:rsid w:val="00706F02"/>
    <w:rsid w:val="007239D7"/>
    <w:rsid w:val="00725FA0"/>
    <w:rsid w:val="00744085"/>
    <w:rsid w:val="00747B75"/>
    <w:rsid w:val="0075160C"/>
    <w:rsid w:val="0075283D"/>
    <w:rsid w:val="00760FB6"/>
    <w:rsid w:val="0076103F"/>
    <w:rsid w:val="00770323"/>
    <w:rsid w:val="0077506A"/>
    <w:rsid w:val="00775E0E"/>
    <w:rsid w:val="007843F7"/>
    <w:rsid w:val="00784AE7"/>
    <w:rsid w:val="00793FE2"/>
    <w:rsid w:val="00794EB7"/>
    <w:rsid w:val="00797B27"/>
    <w:rsid w:val="007A2EB5"/>
    <w:rsid w:val="007C1736"/>
    <w:rsid w:val="007C295C"/>
    <w:rsid w:val="007C5647"/>
    <w:rsid w:val="007D235F"/>
    <w:rsid w:val="007D2A06"/>
    <w:rsid w:val="007D5267"/>
    <w:rsid w:val="007E12FB"/>
    <w:rsid w:val="007E4F57"/>
    <w:rsid w:val="007F1144"/>
    <w:rsid w:val="00807E90"/>
    <w:rsid w:val="00813A0B"/>
    <w:rsid w:val="00815E41"/>
    <w:rsid w:val="00816FC1"/>
    <w:rsid w:val="0082663A"/>
    <w:rsid w:val="00832942"/>
    <w:rsid w:val="00835E10"/>
    <w:rsid w:val="008555A4"/>
    <w:rsid w:val="00860404"/>
    <w:rsid w:val="00863AA8"/>
    <w:rsid w:val="008644FD"/>
    <w:rsid w:val="00867710"/>
    <w:rsid w:val="008704A5"/>
    <w:rsid w:val="00870A49"/>
    <w:rsid w:val="00876B8D"/>
    <w:rsid w:val="00881A49"/>
    <w:rsid w:val="00882704"/>
    <w:rsid w:val="00884E91"/>
    <w:rsid w:val="00896254"/>
    <w:rsid w:val="00897492"/>
    <w:rsid w:val="008A0250"/>
    <w:rsid w:val="008A365A"/>
    <w:rsid w:val="008A3A0C"/>
    <w:rsid w:val="008A4564"/>
    <w:rsid w:val="008A6CF9"/>
    <w:rsid w:val="008B186F"/>
    <w:rsid w:val="008B289D"/>
    <w:rsid w:val="008C0F75"/>
    <w:rsid w:val="008D2C19"/>
    <w:rsid w:val="008E0700"/>
    <w:rsid w:val="008E0DE0"/>
    <w:rsid w:val="008E57C3"/>
    <w:rsid w:val="008F2561"/>
    <w:rsid w:val="008F2B5B"/>
    <w:rsid w:val="00900A2E"/>
    <w:rsid w:val="0091156C"/>
    <w:rsid w:val="009173E8"/>
    <w:rsid w:val="009209ED"/>
    <w:rsid w:val="00922BFD"/>
    <w:rsid w:val="00923131"/>
    <w:rsid w:val="00923681"/>
    <w:rsid w:val="00934B1F"/>
    <w:rsid w:val="0093545B"/>
    <w:rsid w:val="009505A1"/>
    <w:rsid w:val="00956B6C"/>
    <w:rsid w:val="009577F6"/>
    <w:rsid w:val="0096663E"/>
    <w:rsid w:val="00974AD7"/>
    <w:rsid w:val="0098015E"/>
    <w:rsid w:val="009A0684"/>
    <w:rsid w:val="009B0EDC"/>
    <w:rsid w:val="009B1B99"/>
    <w:rsid w:val="009B2680"/>
    <w:rsid w:val="009B2953"/>
    <w:rsid w:val="009B46CA"/>
    <w:rsid w:val="009B556B"/>
    <w:rsid w:val="009B6573"/>
    <w:rsid w:val="009B7430"/>
    <w:rsid w:val="009B7F96"/>
    <w:rsid w:val="009C5796"/>
    <w:rsid w:val="009C5CCE"/>
    <w:rsid w:val="009D0215"/>
    <w:rsid w:val="009D1300"/>
    <w:rsid w:val="009D1848"/>
    <w:rsid w:val="009D210F"/>
    <w:rsid w:val="009D4A41"/>
    <w:rsid w:val="009E5C3F"/>
    <w:rsid w:val="009F0B3B"/>
    <w:rsid w:val="009F1DB7"/>
    <w:rsid w:val="00A05505"/>
    <w:rsid w:val="00A13A78"/>
    <w:rsid w:val="00A22495"/>
    <w:rsid w:val="00A24891"/>
    <w:rsid w:val="00A25728"/>
    <w:rsid w:val="00A27BBE"/>
    <w:rsid w:val="00A3252A"/>
    <w:rsid w:val="00A329E7"/>
    <w:rsid w:val="00A335E6"/>
    <w:rsid w:val="00A41B30"/>
    <w:rsid w:val="00A501F3"/>
    <w:rsid w:val="00A56FDD"/>
    <w:rsid w:val="00A574C1"/>
    <w:rsid w:val="00A62662"/>
    <w:rsid w:val="00A66539"/>
    <w:rsid w:val="00A73C3F"/>
    <w:rsid w:val="00A94322"/>
    <w:rsid w:val="00A95351"/>
    <w:rsid w:val="00A96E5B"/>
    <w:rsid w:val="00AB2D29"/>
    <w:rsid w:val="00AC0166"/>
    <w:rsid w:val="00AC4F3F"/>
    <w:rsid w:val="00AD36C6"/>
    <w:rsid w:val="00AD75C8"/>
    <w:rsid w:val="00AE230C"/>
    <w:rsid w:val="00AE272B"/>
    <w:rsid w:val="00AE7760"/>
    <w:rsid w:val="00AF1C80"/>
    <w:rsid w:val="00AF4350"/>
    <w:rsid w:val="00B0115C"/>
    <w:rsid w:val="00B15A77"/>
    <w:rsid w:val="00B16F0A"/>
    <w:rsid w:val="00B21BF1"/>
    <w:rsid w:val="00B22DC9"/>
    <w:rsid w:val="00B27083"/>
    <w:rsid w:val="00B3047B"/>
    <w:rsid w:val="00B31FE8"/>
    <w:rsid w:val="00B336C2"/>
    <w:rsid w:val="00B430A1"/>
    <w:rsid w:val="00B43CF2"/>
    <w:rsid w:val="00B444F9"/>
    <w:rsid w:val="00B5150C"/>
    <w:rsid w:val="00B523C7"/>
    <w:rsid w:val="00B52973"/>
    <w:rsid w:val="00B54DCF"/>
    <w:rsid w:val="00B65CCA"/>
    <w:rsid w:val="00B712D7"/>
    <w:rsid w:val="00B7673B"/>
    <w:rsid w:val="00B76C29"/>
    <w:rsid w:val="00B84B81"/>
    <w:rsid w:val="00B97849"/>
    <w:rsid w:val="00BA10F9"/>
    <w:rsid w:val="00BA3300"/>
    <w:rsid w:val="00BB40AE"/>
    <w:rsid w:val="00BC0B00"/>
    <w:rsid w:val="00BC2A30"/>
    <w:rsid w:val="00BC39C1"/>
    <w:rsid w:val="00BC3B3B"/>
    <w:rsid w:val="00BD5676"/>
    <w:rsid w:val="00BE0678"/>
    <w:rsid w:val="00BE3FDD"/>
    <w:rsid w:val="00BE7517"/>
    <w:rsid w:val="00BF321F"/>
    <w:rsid w:val="00BF49DC"/>
    <w:rsid w:val="00BF4E70"/>
    <w:rsid w:val="00C01025"/>
    <w:rsid w:val="00C11037"/>
    <w:rsid w:val="00C2526B"/>
    <w:rsid w:val="00C26822"/>
    <w:rsid w:val="00C27352"/>
    <w:rsid w:val="00C307C6"/>
    <w:rsid w:val="00C43EC7"/>
    <w:rsid w:val="00C44421"/>
    <w:rsid w:val="00C52C2D"/>
    <w:rsid w:val="00C540F3"/>
    <w:rsid w:val="00C7403A"/>
    <w:rsid w:val="00C81076"/>
    <w:rsid w:val="00C86FE2"/>
    <w:rsid w:val="00C94BCE"/>
    <w:rsid w:val="00C97CD0"/>
    <w:rsid w:val="00CA06C3"/>
    <w:rsid w:val="00CA0988"/>
    <w:rsid w:val="00CA7576"/>
    <w:rsid w:val="00CA7F98"/>
    <w:rsid w:val="00CB0A1A"/>
    <w:rsid w:val="00CB0D49"/>
    <w:rsid w:val="00CB5310"/>
    <w:rsid w:val="00CB6861"/>
    <w:rsid w:val="00CD474B"/>
    <w:rsid w:val="00CD78A7"/>
    <w:rsid w:val="00CE15E7"/>
    <w:rsid w:val="00CE1901"/>
    <w:rsid w:val="00CE678B"/>
    <w:rsid w:val="00CF1C3D"/>
    <w:rsid w:val="00CF60D3"/>
    <w:rsid w:val="00D00E18"/>
    <w:rsid w:val="00D03861"/>
    <w:rsid w:val="00D10032"/>
    <w:rsid w:val="00D2261A"/>
    <w:rsid w:val="00D3399C"/>
    <w:rsid w:val="00D33FD3"/>
    <w:rsid w:val="00D36347"/>
    <w:rsid w:val="00D426CA"/>
    <w:rsid w:val="00D54E0B"/>
    <w:rsid w:val="00D557C6"/>
    <w:rsid w:val="00D563AD"/>
    <w:rsid w:val="00D648F3"/>
    <w:rsid w:val="00D65D1D"/>
    <w:rsid w:val="00D726C2"/>
    <w:rsid w:val="00D75772"/>
    <w:rsid w:val="00D763FF"/>
    <w:rsid w:val="00D8299E"/>
    <w:rsid w:val="00D84553"/>
    <w:rsid w:val="00D869E7"/>
    <w:rsid w:val="00D94F92"/>
    <w:rsid w:val="00D95170"/>
    <w:rsid w:val="00D953C5"/>
    <w:rsid w:val="00D96F11"/>
    <w:rsid w:val="00DB036F"/>
    <w:rsid w:val="00DB1C6E"/>
    <w:rsid w:val="00DB1ED5"/>
    <w:rsid w:val="00DB339D"/>
    <w:rsid w:val="00DB7F8C"/>
    <w:rsid w:val="00DC00B4"/>
    <w:rsid w:val="00DC2EBF"/>
    <w:rsid w:val="00DD5A3C"/>
    <w:rsid w:val="00DD60E1"/>
    <w:rsid w:val="00DE555F"/>
    <w:rsid w:val="00DE7E03"/>
    <w:rsid w:val="00DF03A8"/>
    <w:rsid w:val="00DF11A3"/>
    <w:rsid w:val="00DF71F4"/>
    <w:rsid w:val="00E0170A"/>
    <w:rsid w:val="00E0723E"/>
    <w:rsid w:val="00E15C0D"/>
    <w:rsid w:val="00E32276"/>
    <w:rsid w:val="00E33B51"/>
    <w:rsid w:val="00E41411"/>
    <w:rsid w:val="00E422D0"/>
    <w:rsid w:val="00E5569B"/>
    <w:rsid w:val="00E65B44"/>
    <w:rsid w:val="00E7155E"/>
    <w:rsid w:val="00E7480A"/>
    <w:rsid w:val="00E7661B"/>
    <w:rsid w:val="00E836E5"/>
    <w:rsid w:val="00E91A55"/>
    <w:rsid w:val="00EA4D22"/>
    <w:rsid w:val="00EB3F49"/>
    <w:rsid w:val="00EB4C0D"/>
    <w:rsid w:val="00EC07DE"/>
    <w:rsid w:val="00EC266B"/>
    <w:rsid w:val="00EC3E5A"/>
    <w:rsid w:val="00EC3FA0"/>
    <w:rsid w:val="00ED1504"/>
    <w:rsid w:val="00ED3B2E"/>
    <w:rsid w:val="00EE3132"/>
    <w:rsid w:val="00EF14AC"/>
    <w:rsid w:val="00EF41F8"/>
    <w:rsid w:val="00F01E87"/>
    <w:rsid w:val="00F02D89"/>
    <w:rsid w:val="00F04791"/>
    <w:rsid w:val="00F10521"/>
    <w:rsid w:val="00F15C99"/>
    <w:rsid w:val="00F15F06"/>
    <w:rsid w:val="00F16409"/>
    <w:rsid w:val="00F1780E"/>
    <w:rsid w:val="00F222C5"/>
    <w:rsid w:val="00F25174"/>
    <w:rsid w:val="00F251E6"/>
    <w:rsid w:val="00F35641"/>
    <w:rsid w:val="00F405B0"/>
    <w:rsid w:val="00F4133A"/>
    <w:rsid w:val="00F4565A"/>
    <w:rsid w:val="00F4684D"/>
    <w:rsid w:val="00F473FF"/>
    <w:rsid w:val="00F557AF"/>
    <w:rsid w:val="00F624A1"/>
    <w:rsid w:val="00F64A61"/>
    <w:rsid w:val="00F75F9D"/>
    <w:rsid w:val="00F82883"/>
    <w:rsid w:val="00F82E12"/>
    <w:rsid w:val="00FA1E50"/>
    <w:rsid w:val="00FA745C"/>
    <w:rsid w:val="00FA767A"/>
    <w:rsid w:val="00FB3262"/>
    <w:rsid w:val="00FC65E1"/>
    <w:rsid w:val="00FD1619"/>
    <w:rsid w:val="00FE1DB2"/>
    <w:rsid w:val="00FE5765"/>
    <w:rsid w:val="00FF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4684D"/>
    <w:pPr>
      <w:keepNext/>
      <w:keepLines/>
      <w:spacing w:before="40" w:line="256" w:lineRule="auto"/>
      <w:outlineLvl w:val="2"/>
    </w:pPr>
    <w:rPr>
      <w:rFonts w:asciiTheme="majorHAnsi" w:eastAsiaTheme="majorEastAsia" w:hAnsiTheme="majorHAnsi" w:cstheme="majorBidi"/>
      <w:color w:val="1F3763" w:themeColor="accent1" w:themeShade="7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860404"/>
    <w:pPr>
      <w:autoSpaceDE w:val="0"/>
      <w:autoSpaceDN w:val="0"/>
      <w:adjustRightInd w:val="0"/>
    </w:pPr>
    <w:rPr>
      <w:rFonts w:ascii="Verdana" w:hAnsi="Verdana" w:cs="Verdana"/>
      <w:color w:val="000000"/>
      <w14:ligatures w14:val="standardContextual"/>
    </w:rPr>
  </w:style>
  <w:style w:type="paragraph" w:styleId="FootnoteText">
    <w:name w:val="footnote text"/>
    <w:basedOn w:val="Normal"/>
    <w:link w:val="FootnoteTextChar"/>
    <w:uiPriority w:val="99"/>
    <w:semiHidden/>
    <w:unhideWhenUsed/>
    <w:rsid w:val="00815E41"/>
    <w:rPr>
      <w:sz w:val="20"/>
      <w:szCs w:val="20"/>
    </w:rPr>
  </w:style>
  <w:style w:type="character" w:customStyle="1" w:styleId="FootnoteTextChar">
    <w:name w:val="Footnote Text Char"/>
    <w:basedOn w:val="DefaultParagraphFont"/>
    <w:link w:val="FootnoteText"/>
    <w:uiPriority w:val="99"/>
    <w:semiHidden/>
    <w:rsid w:val="00815E41"/>
    <w:rPr>
      <w:sz w:val="20"/>
      <w:szCs w:val="20"/>
    </w:rPr>
  </w:style>
  <w:style w:type="character" w:styleId="FootnoteReference">
    <w:name w:val="footnote reference"/>
    <w:basedOn w:val="DefaultParagraphFont"/>
    <w:uiPriority w:val="99"/>
    <w:semiHidden/>
    <w:unhideWhenUsed/>
    <w:rsid w:val="00815E41"/>
    <w:rPr>
      <w:vertAlign w:val="superscript"/>
    </w:rPr>
  </w:style>
  <w:style w:type="paragraph" w:customStyle="1" w:styleId="title-doc-first">
    <w:name w:val="title-doc-first"/>
    <w:basedOn w:val="Normal"/>
    <w:rsid w:val="00B52973"/>
    <w:pPr>
      <w:spacing w:before="100" w:beforeAutospacing="1" w:after="100" w:afterAutospacing="1"/>
    </w:pPr>
    <w:rPr>
      <w:rFonts w:ascii="Times New Roman" w:eastAsia="Times New Roman" w:hAnsi="Times New Roman" w:cs="Times New Roman"/>
    </w:rPr>
  </w:style>
  <w:style w:type="paragraph" w:customStyle="1" w:styleId="norm">
    <w:name w:val="norm"/>
    <w:basedOn w:val="Normal"/>
    <w:rsid w:val="0010535F"/>
    <w:pPr>
      <w:spacing w:before="100" w:beforeAutospacing="1" w:after="100" w:afterAutospacing="1"/>
    </w:pPr>
    <w:rPr>
      <w:rFonts w:ascii="Times New Roman" w:eastAsia="Times New Roman" w:hAnsi="Times New Roman" w:cs="Times New Roman"/>
    </w:rPr>
  </w:style>
  <w:style w:type="character" w:customStyle="1" w:styleId="no-parag">
    <w:name w:val="no-parag"/>
    <w:basedOn w:val="DefaultParagraphFont"/>
    <w:rsid w:val="0010535F"/>
  </w:style>
  <w:style w:type="character" w:customStyle="1" w:styleId="italics">
    <w:name w:val="italics"/>
    <w:basedOn w:val="DefaultParagraphFont"/>
    <w:rsid w:val="001F1DB8"/>
  </w:style>
  <w:style w:type="paragraph" w:styleId="ListParagraph">
    <w:name w:val="List Paragraph"/>
    <w:basedOn w:val="Normal"/>
    <w:uiPriority w:val="34"/>
    <w:qFormat/>
    <w:rsid w:val="00770323"/>
    <w:pPr>
      <w:ind w:left="720"/>
      <w:contextualSpacing/>
    </w:pPr>
  </w:style>
  <w:style w:type="paragraph" w:styleId="EndnoteText">
    <w:name w:val="endnote text"/>
    <w:basedOn w:val="Normal"/>
    <w:link w:val="EndnoteTextChar"/>
    <w:uiPriority w:val="99"/>
    <w:semiHidden/>
    <w:unhideWhenUsed/>
    <w:rsid w:val="00670F8E"/>
    <w:rPr>
      <w:sz w:val="20"/>
      <w:szCs w:val="20"/>
    </w:rPr>
  </w:style>
  <w:style w:type="character" w:customStyle="1" w:styleId="EndnoteTextChar">
    <w:name w:val="Endnote Text Char"/>
    <w:basedOn w:val="DefaultParagraphFont"/>
    <w:link w:val="EndnoteText"/>
    <w:uiPriority w:val="99"/>
    <w:semiHidden/>
    <w:rsid w:val="00670F8E"/>
    <w:rPr>
      <w:sz w:val="20"/>
      <w:szCs w:val="20"/>
    </w:rPr>
  </w:style>
  <w:style w:type="character" w:styleId="EndnoteReference">
    <w:name w:val="endnote reference"/>
    <w:basedOn w:val="DefaultParagraphFont"/>
    <w:uiPriority w:val="99"/>
    <w:semiHidden/>
    <w:unhideWhenUsed/>
    <w:rsid w:val="00670F8E"/>
    <w:rPr>
      <w:vertAlign w:val="superscript"/>
    </w:rPr>
  </w:style>
  <w:style w:type="paragraph" w:customStyle="1" w:styleId="oj-tbl-txt">
    <w:name w:val="oj-tbl-txt"/>
    <w:basedOn w:val="Normal"/>
    <w:rsid w:val="001D6E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E125F"/>
    <w:rPr>
      <w:color w:val="0563C1" w:themeColor="hyperlink"/>
      <w:u w:val="single"/>
    </w:rPr>
  </w:style>
  <w:style w:type="character" w:styleId="UnresolvedMention">
    <w:name w:val="Unresolved Mention"/>
    <w:basedOn w:val="DefaultParagraphFont"/>
    <w:uiPriority w:val="99"/>
    <w:semiHidden/>
    <w:unhideWhenUsed/>
    <w:rsid w:val="005E125F"/>
    <w:rPr>
      <w:color w:val="605E5C"/>
      <w:shd w:val="clear" w:color="auto" w:fill="E1DFDD"/>
    </w:rPr>
  </w:style>
  <w:style w:type="character" w:styleId="FollowedHyperlink">
    <w:name w:val="FollowedHyperlink"/>
    <w:basedOn w:val="DefaultParagraphFont"/>
    <w:uiPriority w:val="99"/>
    <w:semiHidden/>
    <w:unhideWhenUsed/>
    <w:rsid w:val="0047440D"/>
    <w:rPr>
      <w:color w:val="954F72" w:themeColor="followedHyperlink"/>
      <w:u w:val="single"/>
    </w:rPr>
  </w:style>
  <w:style w:type="character" w:customStyle="1" w:styleId="Heading3Char">
    <w:name w:val="Heading 3 Char"/>
    <w:basedOn w:val="DefaultParagraphFont"/>
    <w:link w:val="Heading3"/>
    <w:uiPriority w:val="9"/>
    <w:semiHidden/>
    <w:rsid w:val="00F4684D"/>
    <w:rPr>
      <w:rFonts w:asciiTheme="majorHAnsi" w:eastAsiaTheme="majorEastAsia" w:hAnsiTheme="majorHAnsi" w:cstheme="majorBidi"/>
      <w:color w:val="1F3763" w:themeColor="accent1" w:themeShade="7F"/>
      <w:lang w:val="sl-SI"/>
    </w:rPr>
  </w:style>
  <w:style w:type="table" w:styleId="TableGrid">
    <w:name w:val="Table Grid"/>
    <w:basedOn w:val="TableNormal"/>
    <w:uiPriority w:val="39"/>
    <w:rsid w:val="00DE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327">
      <w:bodyDiv w:val="1"/>
      <w:marLeft w:val="0"/>
      <w:marRight w:val="0"/>
      <w:marTop w:val="0"/>
      <w:marBottom w:val="0"/>
      <w:divBdr>
        <w:top w:val="none" w:sz="0" w:space="0" w:color="auto"/>
        <w:left w:val="none" w:sz="0" w:space="0" w:color="auto"/>
        <w:bottom w:val="none" w:sz="0" w:space="0" w:color="auto"/>
        <w:right w:val="none" w:sz="0" w:space="0" w:color="auto"/>
      </w:divBdr>
    </w:div>
    <w:div w:id="318391186">
      <w:bodyDiv w:val="1"/>
      <w:marLeft w:val="0"/>
      <w:marRight w:val="0"/>
      <w:marTop w:val="0"/>
      <w:marBottom w:val="0"/>
      <w:divBdr>
        <w:top w:val="none" w:sz="0" w:space="0" w:color="auto"/>
        <w:left w:val="none" w:sz="0" w:space="0" w:color="auto"/>
        <w:bottom w:val="none" w:sz="0" w:space="0" w:color="auto"/>
        <w:right w:val="none" w:sz="0" w:space="0" w:color="auto"/>
      </w:divBdr>
    </w:div>
    <w:div w:id="626667454">
      <w:bodyDiv w:val="1"/>
      <w:marLeft w:val="0"/>
      <w:marRight w:val="0"/>
      <w:marTop w:val="0"/>
      <w:marBottom w:val="0"/>
      <w:divBdr>
        <w:top w:val="none" w:sz="0" w:space="0" w:color="auto"/>
        <w:left w:val="none" w:sz="0" w:space="0" w:color="auto"/>
        <w:bottom w:val="none" w:sz="0" w:space="0" w:color="auto"/>
        <w:right w:val="none" w:sz="0" w:space="0" w:color="auto"/>
      </w:divBdr>
      <w:divsChild>
        <w:div w:id="1226600607">
          <w:marLeft w:val="0"/>
          <w:marRight w:val="0"/>
          <w:marTop w:val="0"/>
          <w:marBottom w:val="0"/>
          <w:divBdr>
            <w:top w:val="none" w:sz="0" w:space="0" w:color="auto"/>
            <w:left w:val="none" w:sz="0" w:space="0" w:color="auto"/>
            <w:bottom w:val="none" w:sz="0" w:space="0" w:color="auto"/>
            <w:right w:val="none" w:sz="0" w:space="0" w:color="auto"/>
          </w:divBdr>
          <w:divsChild>
            <w:div w:id="2071267301">
              <w:marLeft w:val="0"/>
              <w:marRight w:val="0"/>
              <w:marTop w:val="120"/>
              <w:marBottom w:val="0"/>
              <w:divBdr>
                <w:top w:val="none" w:sz="0" w:space="0" w:color="auto"/>
                <w:left w:val="none" w:sz="0" w:space="0" w:color="auto"/>
                <w:bottom w:val="none" w:sz="0" w:space="0" w:color="auto"/>
                <w:right w:val="none" w:sz="0" w:space="0" w:color="auto"/>
              </w:divBdr>
            </w:div>
            <w:div w:id="1507862162">
              <w:marLeft w:val="0"/>
              <w:marRight w:val="0"/>
              <w:marTop w:val="0"/>
              <w:marBottom w:val="0"/>
              <w:divBdr>
                <w:top w:val="none" w:sz="0" w:space="0" w:color="auto"/>
                <w:left w:val="none" w:sz="0" w:space="0" w:color="auto"/>
                <w:bottom w:val="none" w:sz="0" w:space="0" w:color="auto"/>
                <w:right w:val="none" w:sz="0" w:space="0" w:color="auto"/>
              </w:divBdr>
            </w:div>
          </w:divsChild>
        </w:div>
        <w:div w:id="2146773623">
          <w:marLeft w:val="0"/>
          <w:marRight w:val="0"/>
          <w:marTop w:val="0"/>
          <w:marBottom w:val="0"/>
          <w:divBdr>
            <w:top w:val="none" w:sz="0" w:space="0" w:color="auto"/>
            <w:left w:val="none" w:sz="0" w:space="0" w:color="auto"/>
            <w:bottom w:val="none" w:sz="0" w:space="0" w:color="auto"/>
            <w:right w:val="none" w:sz="0" w:space="0" w:color="auto"/>
          </w:divBdr>
          <w:divsChild>
            <w:div w:id="658505808">
              <w:marLeft w:val="0"/>
              <w:marRight w:val="0"/>
              <w:marTop w:val="120"/>
              <w:marBottom w:val="0"/>
              <w:divBdr>
                <w:top w:val="none" w:sz="0" w:space="0" w:color="auto"/>
                <w:left w:val="none" w:sz="0" w:space="0" w:color="auto"/>
                <w:bottom w:val="none" w:sz="0" w:space="0" w:color="auto"/>
                <w:right w:val="none" w:sz="0" w:space="0" w:color="auto"/>
              </w:divBdr>
            </w:div>
            <w:div w:id="10765467">
              <w:marLeft w:val="0"/>
              <w:marRight w:val="0"/>
              <w:marTop w:val="0"/>
              <w:marBottom w:val="0"/>
              <w:divBdr>
                <w:top w:val="none" w:sz="0" w:space="0" w:color="auto"/>
                <w:left w:val="none" w:sz="0" w:space="0" w:color="auto"/>
                <w:bottom w:val="none" w:sz="0" w:space="0" w:color="auto"/>
                <w:right w:val="none" w:sz="0" w:space="0" w:color="auto"/>
              </w:divBdr>
            </w:div>
          </w:divsChild>
        </w:div>
        <w:div w:id="205339207">
          <w:marLeft w:val="0"/>
          <w:marRight w:val="0"/>
          <w:marTop w:val="0"/>
          <w:marBottom w:val="0"/>
          <w:divBdr>
            <w:top w:val="none" w:sz="0" w:space="0" w:color="auto"/>
            <w:left w:val="none" w:sz="0" w:space="0" w:color="auto"/>
            <w:bottom w:val="none" w:sz="0" w:space="0" w:color="auto"/>
            <w:right w:val="none" w:sz="0" w:space="0" w:color="auto"/>
          </w:divBdr>
          <w:divsChild>
            <w:div w:id="561402830">
              <w:marLeft w:val="0"/>
              <w:marRight w:val="0"/>
              <w:marTop w:val="120"/>
              <w:marBottom w:val="0"/>
              <w:divBdr>
                <w:top w:val="none" w:sz="0" w:space="0" w:color="auto"/>
                <w:left w:val="none" w:sz="0" w:space="0" w:color="auto"/>
                <w:bottom w:val="none" w:sz="0" w:space="0" w:color="auto"/>
                <w:right w:val="none" w:sz="0" w:space="0" w:color="auto"/>
              </w:divBdr>
            </w:div>
            <w:div w:id="660428773">
              <w:marLeft w:val="0"/>
              <w:marRight w:val="0"/>
              <w:marTop w:val="0"/>
              <w:marBottom w:val="0"/>
              <w:divBdr>
                <w:top w:val="none" w:sz="0" w:space="0" w:color="auto"/>
                <w:left w:val="none" w:sz="0" w:space="0" w:color="auto"/>
                <w:bottom w:val="none" w:sz="0" w:space="0" w:color="auto"/>
                <w:right w:val="none" w:sz="0" w:space="0" w:color="auto"/>
              </w:divBdr>
            </w:div>
          </w:divsChild>
        </w:div>
        <w:div w:id="96755303">
          <w:marLeft w:val="0"/>
          <w:marRight w:val="0"/>
          <w:marTop w:val="0"/>
          <w:marBottom w:val="0"/>
          <w:divBdr>
            <w:top w:val="none" w:sz="0" w:space="0" w:color="auto"/>
            <w:left w:val="none" w:sz="0" w:space="0" w:color="auto"/>
            <w:bottom w:val="none" w:sz="0" w:space="0" w:color="auto"/>
            <w:right w:val="none" w:sz="0" w:space="0" w:color="auto"/>
          </w:divBdr>
          <w:divsChild>
            <w:div w:id="1463814916">
              <w:marLeft w:val="0"/>
              <w:marRight w:val="0"/>
              <w:marTop w:val="120"/>
              <w:marBottom w:val="0"/>
              <w:divBdr>
                <w:top w:val="none" w:sz="0" w:space="0" w:color="auto"/>
                <w:left w:val="none" w:sz="0" w:space="0" w:color="auto"/>
                <w:bottom w:val="none" w:sz="0" w:space="0" w:color="auto"/>
                <w:right w:val="none" w:sz="0" w:space="0" w:color="auto"/>
              </w:divBdr>
            </w:div>
            <w:div w:id="512720768">
              <w:marLeft w:val="0"/>
              <w:marRight w:val="0"/>
              <w:marTop w:val="0"/>
              <w:marBottom w:val="0"/>
              <w:divBdr>
                <w:top w:val="none" w:sz="0" w:space="0" w:color="auto"/>
                <w:left w:val="none" w:sz="0" w:space="0" w:color="auto"/>
                <w:bottom w:val="none" w:sz="0" w:space="0" w:color="auto"/>
                <w:right w:val="none" w:sz="0" w:space="0" w:color="auto"/>
              </w:divBdr>
            </w:div>
          </w:divsChild>
        </w:div>
        <w:div w:id="903174042">
          <w:marLeft w:val="0"/>
          <w:marRight w:val="0"/>
          <w:marTop w:val="0"/>
          <w:marBottom w:val="0"/>
          <w:divBdr>
            <w:top w:val="none" w:sz="0" w:space="0" w:color="auto"/>
            <w:left w:val="none" w:sz="0" w:space="0" w:color="auto"/>
            <w:bottom w:val="none" w:sz="0" w:space="0" w:color="auto"/>
            <w:right w:val="none" w:sz="0" w:space="0" w:color="auto"/>
          </w:divBdr>
          <w:divsChild>
            <w:div w:id="943072503">
              <w:marLeft w:val="0"/>
              <w:marRight w:val="0"/>
              <w:marTop w:val="120"/>
              <w:marBottom w:val="0"/>
              <w:divBdr>
                <w:top w:val="none" w:sz="0" w:space="0" w:color="auto"/>
                <w:left w:val="none" w:sz="0" w:space="0" w:color="auto"/>
                <w:bottom w:val="none" w:sz="0" w:space="0" w:color="auto"/>
                <w:right w:val="none" w:sz="0" w:space="0" w:color="auto"/>
              </w:divBdr>
            </w:div>
            <w:div w:id="454325251">
              <w:marLeft w:val="0"/>
              <w:marRight w:val="0"/>
              <w:marTop w:val="0"/>
              <w:marBottom w:val="0"/>
              <w:divBdr>
                <w:top w:val="none" w:sz="0" w:space="0" w:color="auto"/>
                <w:left w:val="none" w:sz="0" w:space="0" w:color="auto"/>
                <w:bottom w:val="none" w:sz="0" w:space="0" w:color="auto"/>
                <w:right w:val="none" w:sz="0" w:space="0" w:color="auto"/>
              </w:divBdr>
            </w:div>
          </w:divsChild>
        </w:div>
        <w:div w:id="1005014039">
          <w:marLeft w:val="0"/>
          <w:marRight w:val="0"/>
          <w:marTop w:val="0"/>
          <w:marBottom w:val="0"/>
          <w:divBdr>
            <w:top w:val="none" w:sz="0" w:space="0" w:color="auto"/>
            <w:left w:val="none" w:sz="0" w:space="0" w:color="auto"/>
            <w:bottom w:val="none" w:sz="0" w:space="0" w:color="auto"/>
            <w:right w:val="none" w:sz="0" w:space="0" w:color="auto"/>
          </w:divBdr>
          <w:divsChild>
            <w:div w:id="1366713158">
              <w:marLeft w:val="0"/>
              <w:marRight w:val="0"/>
              <w:marTop w:val="120"/>
              <w:marBottom w:val="0"/>
              <w:divBdr>
                <w:top w:val="none" w:sz="0" w:space="0" w:color="auto"/>
                <w:left w:val="none" w:sz="0" w:space="0" w:color="auto"/>
                <w:bottom w:val="none" w:sz="0" w:space="0" w:color="auto"/>
                <w:right w:val="none" w:sz="0" w:space="0" w:color="auto"/>
              </w:divBdr>
            </w:div>
            <w:div w:id="4947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845">
      <w:bodyDiv w:val="1"/>
      <w:marLeft w:val="0"/>
      <w:marRight w:val="0"/>
      <w:marTop w:val="0"/>
      <w:marBottom w:val="0"/>
      <w:divBdr>
        <w:top w:val="none" w:sz="0" w:space="0" w:color="auto"/>
        <w:left w:val="none" w:sz="0" w:space="0" w:color="auto"/>
        <w:bottom w:val="none" w:sz="0" w:space="0" w:color="auto"/>
        <w:right w:val="none" w:sz="0" w:space="0" w:color="auto"/>
      </w:divBdr>
      <w:divsChild>
        <w:div w:id="1814368727">
          <w:marLeft w:val="0"/>
          <w:marRight w:val="0"/>
          <w:marTop w:val="0"/>
          <w:marBottom w:val="0"/>
          <w:divBdr>
            <w:top w:val="none" w:sz="0" w:space="0" w:color="auto"/>
            <w:left w:val="none" w:sz="0" w:space="0" w:color="auto"/>
            <w:bottom w:val="none" w:sz="0" w:space="0" w:color="auto"/>
            <w:right w:val="none" w:sz="0" w:space="0" w:color="auto"/>
          </w:divBdr>
          <w:divsChild>
            <w:div w:id="1549613026">
              <w:marLeft w:val="0"/>
              <w:marRight w:val="0"/>
              <w:marTop w:val="120"/>
              <w:marBottom w:val="0"/>
              <w:divBdr>
                <w:top w:val="none" w:sz="0" w:space="0" w:color="auto"/>
                <w:left w:val="none" w:sz="0" w:space="0" w:color="auto"/>
                <w:bottom w:val="none" w:sz="0" w:space="0" w:color="auto"/>
                <w:right w:val="none" w:sz="0" w:space="0" w:color="auto"/>
              </w:divBdr>
            </w:div>
            <w:div w:id="1974208942">
              <w:marLeft w:val="0"/>
              <w:marRight w:val="0"/>
              <w:marTop w:val="0"/>
              <w:marBottom w:val="0"/>
              <w:divBdr>
                <w:top w:val="none" w:sz="0" w:space="0" w:color="auto"/>
                <w:left w:val="none" w:sz="0" w:space="0" w:color="auto"/>
                <w:bottom w:val="none" w:sz="0" w:space="0" w:color="auto"/>
                <w:right w:val="none" w:sz="0" w:space="0" w:color="auto"/>
              </w:divBdr>
            </w:div>
          </w:divsChild>
        </w:div>
        <w:div w:id="1670063655">
          <w:marLeft w:val="0"/>
          <w:marRight w:val="0"/>
          <w:marTop w:val="0"/>
          <w:marBottom w:val="0"/>
          <w:divBdr>
            <w:top w:val="none" w:sz="0" w:space="0" w:color="auto"/>
            <w:left w:val="none" w:sz="0" w:space="0" w:color="auto"/>
            <w:bottom w:val="none" w:sz="0" w:space="0" w:color="auto"/>
            <w:right w:val="none" w:sz="0" w:space="0" w:color="auto"/>
          </w:divBdr>
          <w:divsChild>
            <w:div w:id="1664897789">
              <w:marLeft w:val="0"/>
              <w:marRight w:val="0"/>
              <w:marTop w:val="120"/>
              <w:marBottom w:val="0"/>
              <w:divBdr>
                <w:top w:val="none" w:sz="0" w:space="0" w:color="auto"/>
                <w:left w:val="none" w:sz="0" w:space="0" w:color="auto"/>
                <w:bottom w:val="none" w:sz="0" w:space="0" w:color="auto"/>
                <w:right w:val="none" w:sz="0" w:space="0" w:color="auto"/>
              </w:divBdr>
            </w:div>
            <w:div w:id="1557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 w:id="1757436958">
      <w:bodyDiv w:val="1"/>
      <w:marLeft w:val="0"/>
      <w:marRight w:val="0"/>
      <w:marTop w:val="0"/>
      <w:marBottom w:val="0"/>
      <w:divBdr>
        <w:top w:val="none" w:sz="0" w:space="0" w:color="auto"/>
        <w:left w:val="none" w:sz="0" w:space="0" w:color="auto"/>
        <w:bottom w:val="none" w:sz="0" w:space="0" w:color="auto"/>
        <w:right w:val="none" w:sz="0" w:space="0" w:color="auto"/>
      </w:divBdr>
      <w:divsChild>
        <w:div w:id="1537540879">
          <w:marLeft w:val="0"/>
          <w:marRight w:val="0"/>
          <w:marTop w:val="0"/>
          <w:marBottom w:val="0"/>
          <w:divBdr>
            <w:top w:val="none" w:sz="0" w:space="0" w:color="auto"/>
            <w:left w:val="none" w:sz="0" w:space="0" w:color="auto"/>
            <w:bottom w:val="none" w:sz="0" w:space="0" w:color="auto"/>
            <w:right w:val="none" w:sz="0" w:space="0" w:color="auto"/>
          </w:divBdr>
          <w:divsChild>
            <w:div w:id="1628702083">
              <w:marLeft w:val="0"/>
              <w:marRight w:val="0"/>
              <w:marTop w:val="0"/>
              <w:marBottom w:val="0"/>
              <w:divBdr>
                <w:top w:val="none" w:sz="0" w:space="0" w:color="auto"/>
                <w:left w:val="none" w:sz="0" w:space="0" w:color="auto"/>
                <w:bottom w:val="none" w:sz="0" w:space="0" w:color="auto"/>
                <w:right w:val="none" w:sz="0" w:space="0" w:color="auto"/>
              </w:divBdr>
              <w:divsChild>
                <w:div w:id="536432091">
                  <w:marLeft w:val="0"/>
                  <w:marRight w:val="0"/>
                  <w:marTop w:val="0"/>
                  <w:marBottom w:val="0"/>
                  <w:divBdr>
                    <w:top w:val="none" w:sz="0" w:space="0" w:color="auto"/>
                    <w:left w:val="none" w:sz="0" w:space="0" w:color="auto"/>
                    <w:bottom w:val="none" w:sz="0" w:space="0" w:color="auto"/>
                    <w:right w:val="none" w:sz="0" w:space="0" w:color="auto"/>
                  </w:divBdr>
                  <w:divsChild>
                    <w:div w:id="1986619065">
                      <w:marLeft w:val="0"/>
                      <w:marRight w:val="0"/>
                      <w:marTop w:val="0"/>
                      <w:marBottom w:val="0"/>
                      <w:divBdr>
                        <w:top w:val="none" w:sz="0" w:space="0" w:color="auto"/>
                        <w:left w:val="none" w:sz="0" w:space="0" w:color="auto"/>
                        <w:bottom w:val="none" w:sz="0" w:space="0" w:color="auto"/>
                        <w:right w:val="none" w:sz="0" w:space="0" w:color="auto"/>
                      </w:divBdr>
                      <w:divsChild>
                        <w:div w:id="1788306935">
                          <w:marLeft w:val="0"/>
                          <w:marRight w:val="0"/>
                          <w:marTop w:val="120"/>
                          <w:marBottom w:val="0"/>
                          <w:divBdr>
                            <w:top w:val="none" w:sz="0" w:space="0" w:color="auto"/>
                            <w:left w:val="none" w:sz="0" w:space="0" w:color="auto"/>
                            <w:bottom w:val="none" w:sz="0" w:space="0" w:color="auto"/>
                            <w:right w:val="none" w:sz="0" w:space="0" w:color="auto"/>
                          </w:divBdr>
                        </w:div>
                        <w:div w:id="1300769401">
                          <w:marLeft w:val="0"/>
                          <w:marRight w:val="0"/>
                          <w:marTop w:val="0"/>
                          <w:marBottom w:val="0"/>
                          <w:divBdr>
                            <w:top w:val="none" w:sz="0" w:space="0" w:color="auto"/>
                            <w:left w:val="none" w:sz="0" w:space="0" w:color="auto"/>
                            <w:bottom w:val="none" w:sz="0" w:space="0" w:color="auto"/>
                            <w:right w:val="none" w:sz="0" w:space="0" w:color="auto"/>
                          </w:divBdr>
                        </w:div>
                      </w:divsChild>
                    </w:div>
                    <w:div w:id="1329939292">
                      <w:marLeft w:val="0"/>
                      <w:marRight w:val="0"/>
                      <w:marTop w:val="0"/>
                      <w:marBottom w:val="0"/>
                      <w:divBdr>
                        <w:top w:val="none" w:sz="0" w:space="0" w:color="auto"/>
                        <w:left w:val="none" w:sz="0" w:space="0" w:color="auto"/>
                        <w:bottom w:val="none" w:sz="0" w:space="0" w:color="auto"/>
                        <w:right w:val="none" w:sz="0" w:space="0" w:color="auto"/>
                      </w:divBdr>
                      <w:divsChild>
                        <w:div w:id="1922133783">
                          <w:marLeft w:val="0"/>
                          <w:marRight w:val="0"/>
                          <w:marTop w:val="120"/>
                          <w:marBottom w:val="0"/>
                          <w:divBdr>
                            <w:top w:val="none" w:sz="0" w:space="0" w:color="auto"/>
                            <w:left w:val="none" w:sz="0" w:space="0" w:color="auto"/>
                            <w:bottom w:val="none" w:sz="0" w:space="0" w:color="auto"/>
                            <w:right w:val="none" w:sz="0" w:space="0" w:color="auto"/>
                          </w:divBdr>
                        </w:div>
                        <w:div w:id="1747066811">
                          <w:marLeft w:val="0"/>
                          <w:marRight w:val="0"/>
                          <w:marTop w:val="0"/>
                          <w:marBottom w:val="0"/>
                          <w:divBdr>
                            <w:top w:val="none" w:sz="0" w:space="0" w:color="auto"/>
                            <w:left w:val="none" w:sz="0" w:space="0" w:color="auto"/>
                            <w:bottom w:val="none" w:sz="0" w:space="0" w:color="auto"/>
                            <w:right w:val="none" w:sz="0" w:space="0" w:color="auto"/>
                          </w:divBdr>
                        </w:div>
                      </w:divsChild>
                    </w:div>
                    <w:div w:id="2070302612">
                      <w:marLeft w:val="0"/>
                      <w:marRight w:val="0"/>
                      <w:marTop w:val="0"/>
                      <w:marBottom w:val="0"/>
                      <w:divBdr>
                        <w:top w:val="none" w:sz="0" w:space="0" w:color="auto"/>
                        <w:left w:val="none" w:sz="0" w:space="0" w:color="auto"/>
                        <w:bottom w:val="none" w:sz="0" w:space="0" w:color="auto"/>
                        <w:right w:val="none" w:sz="0" w:space="0" w:color="auto"/>
                      </w:divBdr>
                      <w:divsChild>
                        <w:div w:id="888613155">
                          <w:marLeft w:val="0"/>
                          <w:marRight w:val="0"/>
                          <w:marTop w:val="120"/>
                          <w:marBottom w:val="0"/>
                          <w:divBdr>
                            <w:top w:val="none" w:sz="0" w:space="0" w:color="auto"/>
                            <w:left w:val="none" w:sz="0" w:space="0" w:color="auto"/>
                            <w:bottom w:val="none" w:sz="0" w:space="0" w:color="auto"/>
                            <w:right w:val="none" w:sz="0" w:space="0" w:color="auto"/>
                          </w:divBdr>
                        </w:div>
                        <w:div w:id="905263084">
                          <w:marLeft w:val="0"/>
                          <w:marRight w:val="0"/>
                          <w:marTop w:val="0"/>
                          <w:marBottom w:val="0"/>
                          <w:divBdr>
                            <w:top w:val="none" w:sz="0" w:space="0" w:color="auto"/>
                            <w:left w:val="none" w:sz="0" w:space="0" w:color="auto"/>
                            <w:bottom w:val="none" w:sz="0" w:space="0" w:color="auto"/>
                            <w:right w:val="none" w:sz="0" w:space="0" w:color="auto"/>
                          </w:divBdr>
                        </w:div>
                      </w:divsChild>
                    </w:div>
                    <w:div w:id="54862204">
                      <w:marLeft w:val="0"/>
                      <w:marRight w:val="0"/>
                      <w:marTop w:val="0"/>
                      <w:marBottom w:val="0"/>
                      <w:divBdr>
                        <w:top w:val="none" w:sz="0" w:space="0" w:color="auto"/>
                        <w:left w:val="none" w:sz="0" w:space="0" w:color="auto"/>
                        <w:bottom w:val="none" w:sz="0" w:space="0" w:color="auto"/>
                        <w:right w:val="none" w:sz="0" w:space="0" w:color="auto"/>
                      </w:divBdr>
                      <w:divsChild>
                        <w:div w:id="1949971962">
                          <w:marLeft w:val="0"/>
                          <w:marRight w:val="0"/>
                          <w:marTop w:val="120"/>
                          <w:marBottom w:val="0"/>
                          <w:divBdr>
                            <w:top w:val="none" w:sz="0" w:space="0" w:color="auto"/>
                            <w:left w:val="none" w:sz="0" w:space="0" w:color="auto"/>
                            <w:bottom w:val="none" w:sz="0" w:space="0" w:color="auto"/>
                            <w:right w:val="none" w:sz="0" w:space="0" w:color="auto"/>
                          </w:divBdr>
                        </w:div>
                        <w:div w:id="1119304378">
                          <w:marLeft w:val="0"/>
                          <w:marRight w:val="0"/>
                          <w:marTop w:val="0"/>
                          <w:marBottom w:val="0"/>
                          <w:divBdr>
                            <w:top w:val="none" w:sz="0" w:space="0" w:color="auto"/>
                            <w:left w:val="none" w:sz="0" w:space="0" w:color="auto"/>
                            <w:bottom w:val="none" w:sz="0" w:space="0" w:color="auto"/>
                            <w:right w:val="none" w:sz="0" w:space="0" w:color="auto"/>
                          </w:divBdr>
                        </w:div>
                      </w:divsChild>
                    </w:div>
                    <w:div w:id="1669168990">
                      <w:marLeft w:val="0"/>
                      <w:marRight w:val="0"/>
                      <w:marTop w:val="0"/>
                      <w:marBottom w:val="0"/>
                      <w:divBdr>
                        <w:top w:val="none" w:sz="0" w:space="0" w:color="auto"/>
                        <w:left w:val="none" w:sz="0" w:space="0" w:color="auto"/>
                        <w:bottom w:val="none" w:sz="0" w:space="0" w:color="auto"/>
                        <w:right w:val="none" w:sz="0" w:space="0" w:color="auto"/>
                      </w:divBdr>
                      <w:divsChild>
                        <w:div w:id="305741969">
                          <w:marLeft w:val="0"/>
                          <w:marRight w:val="0"/>
                          <w:marTop w:val="120"/>
                          <w:marBottom w:val="0"/>
                          <w:divBdr>
                            <w:top w:val="none" w:sz="0" w:space="0" w:color="auto"/>
                            <w:left w:val="none" w:sz="0" w:space="0" w:color="auto"/>
                            <w:bottom w:val="none" w:sz="0" w:space="0" w:color="auto"/>
                            <w:right w:val="none" w:sz="0" w:space="0" w:color="auto"/>
                          </w:divBdr>
                        </w:div>
                        <w:div w:id="553856399">
                          <w:marLeft w:val="0"/>
                          <w:marRight w:val="0"/>
                          <w:marTop w:val="0"/>
                          <w:marBottom w:val="0"/>
                          <w:divBdr>
                            <w:top w:val="none" w:sz="0" w:space="0" w:color="auto"/>
                            <w:left w:val="none" w:sz="0" w:space="0" w:color="auto"/>
                            <w:bottom w:val="none" w:sz="0" w:space="0" w:color="auto"/>
                            <w:right w:val="none" w:sz="0" w:space="0" w:color="auto"/>
                          </w:divBdr>
                        </w:div>
                      </w:divsChild>
                    </w:div>
                    <w:div w:id="911428671">
                      <w:marLeft w:val="0"/>
                      <w:marRight w:val="0"/>
                      <w:marTop w:val="0"/>
                      <w:marBottom w:val="0"/>
                      <w:divBdr>
                        <w:top w:val="none" w:sz="0" w:space="0" w:color="auto"/>
                        <w:left w:val="none" w:sz="0" w:space="0" w:color="auto"/>
                        <w:bottom w:val="none" w:sz="0" w:space="0" w:color="auto"/>
                        <w:right w:val="none" w:sz="0" w:space="0" w:color="auto"/>
                      </w:divBdr>
                      <w:divsChild>
                        <w:div w:id="1984263937">
                          <w:marLeft w:val="0"/>
                          <w:marRight w:val="0"/>
                          <w:marTop w:val="120"/>
                          <w:marBottom w:val="0"/>
                          <w:divBdr>
                            <w:top w:val="none" w:sz="0" w:space="0" w:color="auto"/>
                            <w:left w:val="none" w:sz="0" w:space="0" w:color="auto"/>
                            <w:bottom w:val="none" w:sz="0" w:space="0" w:color="auto"/>
                            <w:right w:val="none" w:sz="0" w:space="0" w:color="auto"/>
                          </w:divBdr>
                        </w:div>
                        <w:div w:id="3305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185">
              <w:marLeft w:val="0"/>
              <w:marRight w:val="0"/>
              <w:marTop w:val="0"/>
              <w:marBottom w:val="0"/>
              <w:divBdr>
                <w:top w:val="none" w:sz="0" w:space="0" w:color="auto"/>
                <w:left w:val="none" w:sz="0" w:space="0" w:color="auto"/>
                <w:bottom w:val="none" w:sz="0" w:space="0" w:color="auto"/>
                <w:right w:val="none" w:sz="0" w:space="0" w:color="auto"/>
              </w:divBdr>
              <w:divsChild>
                <w:div w:id="1092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direktorat/porocila-in-analize.html" TargetMode="External"/><Relationship Id="rId18" Type="http://schemas.openxmlformats.org/officeDocument/2006/relationships/hyperlink" Target="https://www.hacienda.gob.es/es-ES/Oirescon/Paginas/HomeOirescon.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ase.gov.pt/Base4/media/jv0fv3zp/relat%C3%B3rio-anual-da-contrata%C3%A7%C3%A3o-p%C3%BAblica_2022.pdf" TargetMode="External"/><Relationship Id="rId17" Type="http://schemas.openxmlformats.org/officeDocument/2006/relationships/hyperlink" Target="https://www.upphandlingsmyndigheten.se/statistik/upphandlingsstatistik/statistik-om-annonserade-upphandlingar-i-sverige-2022/48-anbud-per-upphandling-202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javnanabava.hr/userdocsimages/userfiles/file/Statisti%C4%8Dka%20izvje%C5%A1%C4%87a/Godi%C5%A1nja/Statisticko_izvjesce_JN_2023.pdf" TargetMode="External"/><Relationship Id="rId20" Type="http://schemas.openxmlformats.org/officeDocument/2006/relationships/hyperlink" Target="https://kozbeszerzes.hu/media/documents/flash-report-h1-en-final_2iBHrg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uzp/sprawozdania-o-funkcjonowaniu-systemu-zamowien-publiczny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2.aop.bg/wp-content/uploads/2024/05/stat-report_MF_for-2023_20240509.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cienda.gob.es/RSC/OIReScon/informe-anual-supervision-2024/ias2024-modulo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index.php?eID=dumpFile&amp;t=f&amp;f=33812&amp;token=2ed80f1d2ac7414db54fc8547e00a3a6d762938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wp-content/uploads/2024/08/NSVZ_STRATEGIE_EN_online-verz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2" ma:contentTypeDescription="Create a new document." ma:contentTypeScope="" ma:versionID="e23198551eced5ed0c6f902ba99d3dd2">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1ea7da24e33a3af7612511ac46b6c923"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Props1.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2.xml><?xml version="1.0" encoding="utf-8"?>
<ds:datastoreItem xmlns:ds="http://schemas.openxmlformats.org/officeDocument/2006/customXml" ds:itemID="{CDF3E0F1-4ABF-4A27-86DE-6D8DDC12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C774C-71F1-ED41-B7DD-81271AA061FC}">
  <ds:schemaRefs>
    <ds:schemaRef ds:uri="http://schemas.openxmlformats.org/officeDocument/2006/bibliography"/>
  </ds:schemaRefs>
</ds:datastoreItem>
</file>

<file path=customXml/itemProps4.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11</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Dariusz Piasta</cp:lastModifiedBy>
  <cp:revision>480</cp:revision>
  <dcterms:created xsi:type="dcterms:W3CDTF">2024-01-26T12:52:00Z</dcterms:created>
  <dcterms:modified xsi:type="dcterms:W3CDTF">2024-11-12T12:59:00Z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