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F4E7C" w14:textId="77777777" w:rsidR="00496FE9" w:rsidRPr="0062267B" w:rsidRDefault="00496FE9" w:rsidP="00496FE9">
      <w:pPr>
        <w:pStyle w:val="Bodytext30"/>
        <w:shd w:val="clear" w:color="auto" w:fill="auto"/>
        <w:spacing w:after="123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5616</w:t>
      </w:r>
    </w:p>
    <w:p w14:paraId="016031A0" w14:textId="42A67B32" w:rsidR="00496FE9" w:rsidRPr="0062267B" w:rsidRDefault="00496FE9" w:rsidP="00670023">
      <w:pPr>
        <w:pStyle w:val="Bodytext20"/>
        <w:shd w:val="clear" w:color="auto" w:fill="auto"/>
        <w:spacing w:before="0" w:after="19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Based on Article 134a of the Law on Public Procurement (“Official Gazette of the Republic of Serbia”, Nos. 91/19 and 92/23),</w:t>
      </w:r>
      <w:r w:rsidR="0067002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th</w:t>
      </w: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e Public Procurement Office enacts the following</w:t>
      </w:r>
    </w:p>
    <w:p w14:paraId="625C7C53" w14:textId="77777777" w:rsidR="00496FE9" w:rsidRPr="0062267B" w:rsidRDefault="00496FE9" w:rsidP="00496FE9">
      <w:pPr>
        <w:pStyle w:val="Heading10"/>
        <w:keepNext/>
        <w:keepLines/>
        <w:shd w:val="clear" w:color="auto" w:fill="auto"/>
        <w:spacing w:before="0" w:after="223"/>
        <w:ind w:left="20"/>
        <w:rPr>
          <w:rFonts w:ascii="Times New Roman" w:hAnsi="Times New Roman" w:cs="Times New Roman"/>
          <w:sz w:val="22"/>
          <w:szCs w:val="22"/>
        </w:rPr>
      </w:pPr>
      <w:bookmarkStart w:id="0" w:name="bookmark0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RULEBOOK</w:t>
      </w:r>
      <w:bookmarkEnd w:id="0"/>
    </w:p>
    <w:p w14:paraId="111A6025" w14:textId="77777777" w:rsidR="00496FE9" w:rsidRPr="0062267B" w:rsidRDefault="00496FE9" w:rsidP="00496FE9">
      <w:pPr>
        <w:pStyle w:val="Heading10"/>
        <w:keepNext/>
        <w:keepLines/>
        <w:shd w:val="clear" w:color="auto" w:fill="auto"/>
        <w:spacing w:before="0" w:after="197" w:line="288" w:lineRule="exact"/>
        <w:ind w:left="20"/>
        <w:rPr>
          <w:rFonts w:ascii="Times New Roman" w:hAnsi="Times New Roman" w:cs="Times New Roman"/>
          <w:sz w:val="22"/>
          <w:szCs w:val="22"/>
        </w:rPr>
      </w:pPr>
      <w:bookmarkStart w:id="1" w:name="bookmark1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on the types of goods for which the contracting authorities are obliged to apply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en-GB"/>
        </w:rPr>
        <w:br/>
      </w: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environmental aspects in public procurement procedures</w:t>
      </w:r>
      <w:bookmarkEnd w:id="1"/>
    </w:p>
    <w:p w14:paraId="3BE72A75" w14:textId="77777777" w:rsidR="00496FE9" w:rsidRPr="0062267B" w:rsidRDefault="00496FE9" w:rsidP="00496FE9">
      <w:pPr>
        <w:pStyle w:val="Bodytext20"/>
        <w:shd w:val="clear" w:color="auto" w:fill="auto"/>
        <w:spacing w:before="0" w:after="123" w:line="242" w:lineRule="exact"/>
        <w:ind w:left="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Article 1</w:t>
      </w:r>
    </w:p>
    <w:p w14:paraId="2E549B21" w14:textId="06999E8D" w:rsidR="00496FE9" w:rsidRPr="0062267B" w:rsidRDefault="00496FE9" w:rsidP="00496FE9">
      <w:pPr>
        <w:pStyle w:val="Bodytext20"/>
        <w:shd w:val="clear" w:color="auto" w:fill="auto"/>
        <w:spacing w:before="0" w:after="19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This rulebook prescribes the types of goods for which contracting authorities are obliged to apply ecological aspects when determining technical specifications, criteria for the selection of </w:t>
      </w:r>
      <w:r w:rsidR="00187994" w:rsidRPr="00187994">
        <w:rPr>
          <w:rFonts w:ascii="Times New Roman" w:hAnsi="Times New Roman" w:cs="Times New Roman"/>
          <w:color w:val="000000"/>
          <w:sz w:val="22"/>
          <w:szCs w:val="22"/>
          <w:lang w:val="en-GB"/>
        </w:rPr>
        <w:t>an economic operator,</w:t>
      </w:r>
      <w:r w:rsidR="0018799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criteria for awarding contracts or conditions for the execution of public procurement contracts, within one or more parts of the procurement documentation.</w:t>
      </w:r>
    </w:p>
    <w:p w14:paraId="7ED0058B" w14:textId="77777777" w:rsidR="00496FE9" w:rsidRPr="0062267B" w:rsidRDefault="00496FE9" w:rsidP="00496FE9">
      <w:pPr>
        <w:pStyle w:val="Bodytext20"/>
        <w:shd w:val="clear" w:color="auto" w:fill="auto"/>
        <w:spacing w:before="0" w:after="123" w:line="242" w:lineRule="exact"/>
        <w:ind w:left="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Article 2</w:t>
      </w:r>
    </w:p>
    <w:p w14:paraId="0D71AD6B" w14:textId="2775000C" w:rsidR="00496FE9" w:rsidRPr="0062267B" w:rsidRDefault="00496FE9" w:rsidP="00496FE9">
      <w:pPr>
        <w:pStyle w:val="Bodytext20"/>
        <w:shd w:val="clear" w:color="auto" w:fill="auto"/>
        <w:spacing w:before="0" w:after="19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Contracting authorities must apply environmental aspects in public procurement procedures when determining technical specifications, criteria for the selection of a</w:t>
      </w:r>
      <w:r w:rsidR="00187994">
        <w:rPr>
          <w:rFonts w:ascii="Times New Roman" w:hAnsi="Times New Roman" w:cs="Times New Roman"/>
          <w:color w:val="000000"/>
          <w:sz w:val="22"/>
          <w:szCs w:val="22"/>
          <w:lang w:val="en-GB"/>
        </w:rPr>
        <w:t>n</w:t>
      </w: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r w:rsidR="00187994" w:rsidRPr="00187994">
        <w:rPr>
          <w:rFonts w:ascii="Times New Roman" w:hAnsi="Times New Roman" w:cs="Times New Roman"/>
          <w:color w:val="000000"/>
          <w:sz w:val="22"/>
          <w:szCs w:val="22"/>
          <w:lang w:val="en-GB"/>
        </w:rPr>
        <w:t>economic operator</w:t>
      </w: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, criteria for awarding contracts or conditions for the execution of public procurement contracts for the following goods:</w:t>
      </w:r>
    </w:p>
    <w:p w14:paraId="5D16A887" w14:textId="77777777" w:rsidR="00496FE9" w:rsidRPr="0062267B" w:rsidRDefault="00496FE9" w:rsidP="00496FE9">
      <w:pPr>
        <w:pStyle w:val="Bodytext20"/>
        <w:numPr>
          <w:ilvl w:val="0"/>
          <w:numId w:val="1"/>
        </w:numPr>
        <w:shd w:val="clear" w:color="auto" w:fill="auto"/>
        <w:tabs>
          <w:tab w:val="left" w:pos="359"/>
        </w:tabs>
        <w:spacing w:before="0" w:line="242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photocopier paper;</w:t>
      </w:r>
    </w:p>
    <w:p w14:paraId="494C27E5" w14:textId="77777777" w:rsidR="00496FE9" w:rsidRPr="0062267B" w:rsidRDefault="00496FE9" w:rsidP="00496FE9">
      <w:pPr>
        <w:pStyle w:val="Bodytext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119" w:line="242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computer equipment (desktop computers, laptop computers and monitors);</w:t>
      </w:r>
    </w:p>
    <w:p w14:paraId="09A368C4" w14:textId="77777777" w:rsidR="00496FE9" w:rsidRPr="0062267B" w:rsidRDefault="00496FE9" w:rsidP="00496FE9">
      <w:pPr>
        <w:pStyle w:val="Bodytext20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293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office electronic equipment (printers, scanners, multifunctional devices, etc.);</w:t>
      </w:r>
    </w:p>
    <w:p w14:paraId="5CF6E23F" w14:textId="77777777" w:rsidR="00496FE9" w:rsidRPr="0062267B" w:rsidRDefault="00496FE9" w:rsidP="00496FE9">
      <w:pPr>
        <w:pStyle w:val="Bodytext20"/>
        <w:numPr>
          <w:ilvl w:val="0"/>
          <w:numId w:val="1"/>
        </w:numPr>
        <w:shd w:val="clear" w:color="auto" w:fill="auto"/>
        <w:tabs>
          <w:tab w:val="left" w:pos="383"/>
        </w:tabs>
        <w:spacing w:before="0" w:line="293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air conditioners (standard air conditioners, inverter air conditioners for heating and cooling, etc.);</w:t>
      </w:r>
    </w:p>
    <w:p w14:paraId="065269D3" w14:textId="77777777" w:rsidR="00496FE9" w:rsidRPr="0062267B" w:rsidRDefault="00496FE9" w:rsidP="00496FE9">
      <w:pPr>
        <w:pStyle w:val="Bodytext20"/>
        <w:numPr>
          <w:ilvl w:val="0"/>
          <w:numId w:val="1"/>
        </w:numPr>
        <w:shd w:val="clear" w:color="auto" w:fill="auto"/>
        <w:tabs>
          <w:tab w:val="left" w:pos="393"/>
        </w:tabs>
        <w:spacing w:before="0" w:after="164" w:line="293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cleaning products (hard surface cleaning products, textile cleaning products, etc.).</w:t>
      </w:r>
    </w:p>
    <w:p w14:paraId="22B27C73" w14:textId="77777777" w:rsidR="00496FE9" w:rsidRPr="0062267B" w:rsidRDefault="00496FE9" w:rsidP="00496FE9">
      <w:pPr>
        <w:pStyle w:val="Bodytext20"/>
        <w:shd w:val="clear" w:color="auto" w:fill="auto"/>
        <w:spacing w:before="0" w:after="19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The share of procurement items with ecological aspects in the procedures for public procurement of goods referred to in paragraph 1 of this article amounts to at least 10% in relation to the total volume of public procurement items.</w:t>
      </w:r>
    </w:p>
    <w:p w14:paraId="345D157B" w14:textId="77777777" w:rsidR="00496FE9" w:rsidRPr="0062267B" w:rsidRDefault="00496FE9" w:rsidP="00496FE9">
      <w:pPr>
        <w:pStyle w:val="Bodytext20"/>
        <w:shd w:val="clear" w:color="auto" w:fill="auto"/>
        <w:spacing w:before="0" w:line="242" w:lineRule="exact"/>
        <w:ind w:left="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Article 3</w:t>
      </w:r>
    </w:p>
    <w:p w14:paraId="720DD105" w14:textId="77777777" w:rsidR="00496FE9" w:rsidRPr="0062267B" w:rsidRDefault="00496FE9" w:rsidP="00496FE9">
      <w:pPr>
        <w:pStyle w:val="Bodytext20"/>
        <w:shd w:val="clear" w:color="auto" w:fill="auto"/>
        <w:spacing w:before="0" w:after="12" w:line="242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This rulebook shall enter into force on 1 January 2024.</w:t>
      </w:r>
    </w:p>
    <w:p w14:paraId="171895A5" w14:textId="77777777" w:rsidR="00220A57" w:rsidRDefault="00496FE9" w:rsidP="00220A57">
      <w:pPr>
        <w:pStyle w:val="Bodytext20"/>
        <w:shd w:val="clear" w:color="auto" w:fill="auto"/>
        <w:spacing w:before="0" w:after="0" w:line="360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Number 110-00-19/2023 </w:t>
      </w:r>
    </w:p>
    <w:p w14:paraId="253192EA" w14:textId="77777777" w:rsidR="00496FE9" w:rsidRPr="0062267B" w:rsidRDefault="00496FE9" w:rsidP="00220A57">
      <w:pPr>
        <w:pStyle w:val="Bodytext20"/>
        <w:shd w:val="clear" w:color="auto" w:fill="auto"/>
        <w:spacing w:before="0" w:after="0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In Belgrade, dated 21 December 2023</w:t>
      </w:r>
    </w:p>
    <w:p w14:paraId="79DDE8C8" w14:textId="77777777" w:rsidR="00496FE9" w:rsidRPr="0062267B" w:rsidRDefault="00496FE9" w:rsidP="00220A57">
      <w:pPr>
        <w:pStyle w:val="Bodytext20"/>
        <w:shd w:val="clear" w:color="auto" w:fill="auto"/>
        <w:spacing w:before="0" w:after="0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Director,</w:t>
      </w:r>
    </w:p>
    <w:p w14:paraId="51382F53" w14:textId="77777777" w:rsidR="00F03499" w:rsidRPr="0062267B" w:rsidRDefault="00496FE9" w:rsidP="00220A57">
      <w:pPr>
        <w:spacing w:line="360" w:lineRule="auto"/>
        <w:jc w:val="right"/>
        <w:rPr>
          <w:rStyle w:val="Heading1NotBold"/>
          <w:rFonts w:ascii="Times New Roman" w:hAnsi="Times New Roman" w:cs="Times New Roman"/>
          <w:b w:val="0"/>
          <w:bCs w:val="0"/>
          <w:sz w:val="22"/>
          <w:szCs w:val="22"/>
        </w:rPr>
      </w:pPr>
      <w:bookmarkStart w:id="3" w:name="bookmark2"/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Sandra Damčević</w:t>
      </w:r>
      <w:r>
        <w:rPr>
          <w:rFonts w:ascii="Times New Roman" w:hAnsi="Times New Roman" w:cs="Times New Roman"/>
          <w:sz w:val="22"/>
          <w:szCs w:val="22"/>
          <w:lang w:val="en-GB"/>
        </w:rPr>
        <w:t>,</w:t>
      </w:r>
      <w:r>
        <w:rPr>
          <w:rStyle w:val="Heading1NotBold"/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personally signed</w:t>
      </w:r>
      <w:bookmarkEnd w:id="3"/>
    </w:p>
    <w:p w14:paraId="737C67EE" w14:textId="77777777" w:rsidR="0062267B" w:rsidRPr="0062267B" w:rsidRDefault="0062267B" w:rsidP="0062267B">
      <w:pPr>
        <w:rPr>
          <w:rFonts w:ascii="Times New Roman" w:hAnsi="Times New Roman" w:cs="Times New Roman"/>
          <w:sz w:val="22"/>
          <w:szCs w:val="22"/>
        </w:rPr>
      </w:pPr>
    </w:p>
    <w:sectPr w:rsidR="0062267B" w:rsidRPr="00622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A6DF3"/>
    <w:multiLevelType w:val="multilevel"/>
    <w:tmpl w:val="50F8CCD2"/>
    <w:lvl w:ilvl="0">
      <w:start w:val="1"/>
      <w:numFmt w:val="decimal"/>
      <w:lvlText w:val="%1)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AC"/>
    <w:rsid w:val="00187994"/>
    <w:rsid w:val="00220A57"/>
    <w:rsid w:val="00496FE9"/>
    <w:rsid w:val="0062267B"/>
    <w:rsid w:val="00670023"/>
    <w:rsid w:val="006967AC"/>
    <w:rsid w:val="009F5748"/>
    <w:rsid w:val="00F03499"/>
    <w:rsid w:val="00F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13A2B"/>
  <w15:docId w15:val="{CD68C0E5-AFAE-4B7D-82A0-16F1B66E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96F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96FE9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96FE9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496FE9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Heading1NotBold">
    <w:name w:val="Heading #1 + Not Bold"/>
    <w:basedOn w:val="Heading1"/>
    <w:rsid w:val="00496FE9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96FE9"/>
    <w:pPr>
      <w:shd w:val="clear" w:color="auto" w:fill="FFFFFF"/>
      <w:spacing w:after="160" w:line="242" w:lineRule="exact"/>
      <w:jc w:val="center"/>
    </w:pPr>
    <w:rPr>
      <w:rFonts w:ascii="Verdana" w:eastAsia="Verdana" w:hAnsi="Verdana" w:cs="Verdana"/>
      <w:b/>
      <w:bCs/>
      <w:color w:val="auto"/>
      <w:sz w:val="20"/>
      <w:szCs w:val="20"/>
    </w:rPr>
  </w:style>
  <w:style w:type="paragraph" w:customStyle="1" w:styleId="Bodytext20">
    <w:name w:val="Body text (2)"/>
    <w:basedOn w:val="Normal"/>
    <w:link w:val="Bodytext2"/>
    <w:rsid w:val="00496FE9"/>
    <w:pPr>
      <w:shd w:val="clear" w:color="auto" w:fill="FFFFFF"/>
      <w:spacing w:before="160" w:after="160" w:line="288" w:lineRule="exact"/>
    </w:pPr>
    <w:rPr>
      <w:rFonts w:ascii="Verdana" w:eastAsia="Verdana" w:hAnsi="Verdana" w:cs="Verdana"/>
      <w:color w:val="auto"/>
      <w:sz w:val="20"/>
      <w:szCs w:val="20"/>
    </w:rPr>
  </w:style>
  <w:style w:type="paragraph" w:customStyle="1" w:styleId="Heading10">
    <w:name w:val="Heading #1"/>
    <w:basedOn w:val="Normal"/>
    <w:link w:val="Heading1"/>
    <w:rsid w:val="00496FE9"/>
    <w:pPr>
      <w:shd w:val="clear" w:color="auto" w:fill="FFFFFF"/>
      <w:spacing w:before="160" w:after="260" w:line="242" w:lineRule="exact"/>
      <w:jc w:val="center"/>
      <w:outlineLvl w:val="0"/>
    </w:pPr>
    <w:rPr>
      <w:rFonts w:ascii="Verdana" w:eastAsia="Verdana" w:hAnsi="Verdana" w:cs="Verdana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djordje.jankovic01@hotmail.com</dc:creator>
  <cp:keywords/>
  <dc:description/>
  <cp:lastModifiedBy>PC</cp:lastModifiedBy>
  <cp:revision>6</cp:revision>
  <dcterms:created xsi:type="dcterms:W3CDTF">2024-05-16T13:06:00Z</dcterms:created>
  <dcterms:modified xsi:type="dcterms:W3CDTF">2024-05-20T07:58:00Z</dcterms:modified>
</cp:coreProperties>
</file>