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25D" w:rsidRPr="00AA4603" w:rsidRDefault="0080425D" w:rsidP="00023943">
      <w:pPr>
        <w:ind w:firstLine="602"/>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Pursuant to Article 181, paragraph 4 of the Law on Public Procurement (“Official Gazette of the Republic of Serbia”, No. 91/19, hereinafter referred to as the Law), </w:t>
      </w:r>
    </w:p>
    <w:p w:rsidR="00AE51D6" w:rsidRPr="00AA4603" w:rsidRDefault="00195575" w:rsidP="008C17AB">
      <w:pPr>
        <w:ind w:firstLine="602"/>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The Public Procurement Office enacts the following</w:t>
      </w:r>
    </w:p>
    <w:p w:rsidR="00AE51D6" w:rsidRPr="00AA4603" w:rsidRDefault="00AE51D6" w:rsidP="0080425D">
      <w:pPr>
        <w:rPr>
          <w:rStyle w:val="Strong"/>
          <w:rFonts w:cs="Times New Roman"/>
          <w:szCs w:val="24"/>
        </w:rPr>
      </w:pPr>
    </w:p>
    <w:p w:rsidR="00C37DC0" w:rsidRPr="00AA4603" w:rsidRDefault="00AA4603" w:rsidP="00C37DC0">
      <w:pPr>
        <w:jc w:val="center"/>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INSTRUCTION</w:t>
      </w:r>
    </w:p>
    <w:p w:rsidR="00D64196" w:rsidRPr="00AA4603" w:rsidRDefault="003B108C" w:rsidP="00C37DC0">
      <w:pPr>
        <w:jc w:val="center"/>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 FOR PUBLICATION OF PUBLIC PROCUREMENT DATA</w:t>
      </w:r>
      <w:r>
        <w:rPr>
          <w:rStyle w:val="Strong"/>
          <w:rFonts w:cs="Times New Roman"/>
          <w:szCs w:val="24"/>
          <w:lang w:val="en-gb"/>
          <w:b w:val="0"/>
          <w:bCs w:val="0"/>
          <w:i w:val="0"/>
          <w:iCs w:val="0"/>
          <w:u w:val="none"/>
          <w:vertAlign w:val="baseline"/>
          <w:rtl w:val="0"/>
        </w:rPr>
        <w:br w:type="textWrapping"/>
      </w:r>
      <w:r>
        <w:rPr>
          <w:rStyle w:val="Strong"/>
          <w:rFonts w:cs="Times New Roman"/>
          <w:szCs w:val="24"/>
          <w:lang w:val="en-gb"/>
          <w:b w:val="0"/>
          <w:bCs w:val="0"/>
          <w:i w:val="0"/>
          <w:iCs w:val="0"/>
          <w:u w:val="none"/>
          <w:vertAlign w:val="baseline"/>
          <w:rtl w:val="0"/>
        </w:rPr>
        <w:t xml:space="preserve">EXEMPTED FROM THE APPLICATION OF THE LAW </w:t>
      </w:r>
    </w:p>
    <w:p w:rsidR="00D64196" w:rsidRDefault="00D64196" w:rsidP="00944276">
      <w:pPr>
        <w:rPr>
          <w:rStyle w:val="Strong"/>
          <w:rFonts w:cs="Times New Roman"/>
          <w:b w:val="0"/>
          <w:szCs w:val="24"/>
        </w:rPr>
      </w:pPr>
    </w:p>
    <w:p w:rsidR="003B108C" w:rsidRPr="00C11F01" w:rsidRDefault="003B108C" w:rsidP="00B27D92">
      <w:pPr>
        <w:pStyle w:val="ListParagraph"/>
        <w:ind w:left="0" w:firstLine="708"/>
        <w:jc w:val="both"/>
        <w:rPr>
          <w:rStyle w:val="Strong"/>
          <w:rFonts w:cs="Times New Roman"/>
          <w:b w:val="0"/>
          <w:color w:val="000000" w:themeColor="text1"/>
          <w:szCs w:val="24"/>
        </w:rPr>
        <w:bidi w:val="0"/>
      </w:pPr>
      <w:r>
        <w:rPr>
          <w:rStyle w:val="Strong"/>
          <w:rFonts w:cs="Times New Roman"/>
          <w:color w:val="000000" w:themeColor="text1"/>
          <w:szCs w:val="24"/>
          <w:lang w:val="en-gb"/>
          <w:b w:val="0"/>
          <w:bCs w:val="0"/>
          <w:i w:val="0"/>
          <w:iCs w:val="0"/>
          <w:u w:val="none"/>
          <w:vertAlign w:val="baseline"/>
          <w:rtl w:val="0"/>
        </w:rPr>
        <w:t xml:space="preserve">This Instruction regulates the manner of collective publication of data on the value and type of public procurement referred to in Articles 11-21 of the Law excempted from the application of the Law as well as public procurements referred to in Article 27 of the Law, which the contracting authorities are obliged to record and publish in accordance with Article 181 para. 3 and 4 of the  Law.</w:t>
      </w:r>
    </w:p>
    <w:p w:rsidR="00944276" w:rsidRDefault="00944276" w:rsidP="00944276">
      <w:pPr>
        <w:pStyle w:val="ListParagraph"/>
        <w:ind w:left="0"/>
        <w:jc w:val="center"/>
        <w:rPr>
          <w:rStyle w:val="Strong"/>
          <w:rFonts w:cs="Times New Roman"/>
          <w:b w:val="0"/>
          <w:szCs w:val="24"/>
        </w:rPr>
      </w:pPr>
    </w:p>
    <w:p w:rsidR="00E4621C" w:rsidRPr="006F657C" w:rsidRDefault="00944276" w:rsidP="00B27D92">
      <w:pPr>
        <w:ind w:firstLine="708"/>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For each basis for exemption, the following information is published collectively:</w:t>
      </w:r>
    </w:p>
    <w:p w:rsidR="00E4621C" w:rsidRPr="006F657C" w:rsidRDefault="00E4621C" w:rsidP="006F657C">
      <w:pPr>
        <w:pStyle w:val="ListParagraph"/>
        <w:numPr>
          <w:ilvl w:val="0"/>
          <w:numId w:val="6"/>
        </w:numPr>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basis for exemption from the application of the Law;</w:t>
      </w:r>
    </w:p>
    <w:p w:rsidR="00AE51D6" w:rsidRPr="00234039" w:rsidRDefault="00195575" w:rsidP="00234039">
      <w:pPr>
        <w:pStyle w:val="ListParagraph"/>
        <w:numPr>
          <w:ilvl w:val="0"/>
          <w:numId w:val="6"/>
        </w:numPr>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type of subject matter of public procurement (goods, services, works);</w:t>
      </w:r>
    </w:p>
    <w:p w:rsidR="00E4621C" w:rsidRPr="006F657C" w:rsidRDefault="00195575" w:rsidP="006F657C">
      <w:pPr>
        <w:pStyle w:val="ListParagraph"/>
        <w:numPr>
          <w:ilvl w:val="0"/>
          <w:numId w:val="6"/>
        </w:numPr>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total contracted value excluding value added tax;</w:t>
      </w:r>
    </w:p>
    <w:p w:rsidR="00E4621C" w:rsidRDefault="008C17AB" w:rsidP="006F657C">
      <w:pPr>
        <w:pStyle w:val="ListParagraph"/>
        <w:numPr>
          <w:ilvl w:val="0"/>
          <w:numId w:val="6"/>
        </w:numPr>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total contracted value with value added tax.</w:t>
      </w:r>
    </w:p>
    <w:p w:rsidR="00944276" w:rsidRPr="006F657C" w:rsidRDefault="00944276" w:rsidP="00944276">
      <w:pPr>
        <w:pStyle w:val="ListParagraph"/>
        <w:ind w:left="1440"/>
        <w:jc w:val="both"/>
        <w:rPr>
          <w:rStyle w:val="Strong"/>
          <w:rFonts w:cs="Times New Roman"/>
          <w:b w:val="0"/>
          <w:szCs w:val="24"/>
        </w:rPr>
      </w:pPr>
    </w:p>
    <w:p w:rsidR="008C17AB" w:rsidRPr="006F657C" w:rsidRDefault="001D2DC8" w:rsidP="00B27D92">
      <w:pPr>
        <w:ind w:firstLine="708"/>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The form for collective publication of data referred to in paragraph 2) of this Instruction is an integral part of the Public Procurement Portal. </w:t>
      </w:r>
    </w:p>
    <w:p w:rsidR="00E40CC6" w:rsidRPr="006F657C" w:rsidRDefault="00AE51D6" w:rsidP="00B27D92">
      <w:pPr>
        <w:ind w:firstLine="708"/>
        <w:jc w:val="both"/>
        <w:rPr>
          <w:rStyle w:val="Strong"/>
          <w:rFonts w:cs="Times New Roman"/>
          <w:b w:val="0"/>
          <w:szCs w:val="24"/>
        </w:rPr>
        <w:bidi w:val="0"/>
      </w:pPr>
      <w:r>
        <w:rPr>
          <w:rStyle w:val="Strong"/>
          <w:rFonts w:cs="Times New Roman"/>
          <w:szCs w:val="24"/>
          <w:lang w:val="en-gb"/>
          <w:b w:val="0"/>
          <w:bCs w:val="0"/>
          <w:i w:val="0"/>
          <w:iCs w:val="0"/>
          <w:u w:val="none"/>
          <w:vertAlign w:val="baseline"/>
          <w:rtl w:val="0"/>
        </w:rPr>
        <w:t xml:space="preserve">The data referred to in paragraph 2) of this Instruction shall be published in accordance with the instructions available on the Public Procurement Portal.</w:t>
      </w:r>
    </w:p>
    <w:p w:rsidR="00AA4603" w:rsidRDefault="00AA4603" w:rsidP="00AA4603">
      <w:pPr>
        <w:pStyle w:val="ListParagraph"/>
        <w:spacing w:after="0" w:line="240" w:lineRule="auto"/>
        <w:ind w:left="0"/>
        <w:jc w:val="both"/>
        <w:rPr>
          <w:rFonts w:eastAsia="Times New Roman" w:cs="Times New Roman"/>
        </w:rPr>
      </w:pPr>
    </w:p>
    <w:sectPr w:rsidR="00AA4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nsid w:val="234969EF"/>
    <w:multiLevelType w:val="hybridMultilevel"/>
    <w:tmpl w:val="C664857A"/>
    <w:lvl w:ilvl="0" w:tplc="04090001">
      <w:start w:val="1"/>
      <w:numFmt w:val="bullet"/>
      <w:lvlText w:val=""/>
      <w:lvlJc w:val="left"/>
      <w:pPr>
        <w:ind w:left="360" w:hanging="360"/>
      </w:pPr>
      <w:rPr>
        <w:rFonts w:ascii="Symbol" w:hAnsi="Symbol" w:hint="default"/>
      </w:rPr>
    </w:lvl>
    <w:lvl w:ilvl="1" w:tplc="281A0019">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1">
    <w:nsid w:val="27384EBA"/>
    <w:multiLevelType w:val="hybridMultilevel"/>
    <w:tmpl w:val="AC78EF20"/>
    <w:lvl w:ilvl="0" w:tplc="F33AB7D2">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
    <w:nsid w:val="402754BA"/>
    <w:multiLevelType w:val="hybridMultilevel"/>
    <w:tmpl w:val="35FC60E4"/>
    <w:lvl w:ilvl="0" w:tplc="0409000F">
      <w:start w:val="1"/>
      <w:numFmt w:val="decimal"/>
      <w:lvlText w:val="%1."/>
      <w:lvlJc w:val="left"/>
      <w:pPr>
        <w:ind w:left="1440" w:hanging="360"/>
      </w:p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3">
    <w:nsid w:val="54D118AA"/>
    <w:multiLevelType w:val="hybridMultilevel"/>
    <w:tmpl w:val="C21AE922"/>
    <w:lvl w:ilvl="0" w:tplc="281A000F">
      <w:start w:val="1"/>
      <w:numFmt w:val="decimal"/>
      <w:lvlText w:val="%1."/>
      <w:lvlJc w:val="left"/>
      <w:pPr>
        <w:ind w:left="360" w:hanging="360"/>
      </w:pPr>
    </w:lvl>
    <w:lvl w:ilvl="1" w:tplc="281A000F">
      <w:start w:val="1"/>
      <w:numFmt w:val="decimal"/>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4">
    <w:nsid w:val="5A147119"/>
    <w:multiLevelType w:val="hybridMultilevel"/>
    <w:tmpl w:val="125E0E8E"/>
    <w:lvl w:ilvl="0" w:tplc="281A000F">
      <w:start w:val="1"/>
      <w:numFmt w:val="decimal"/>
      <w:lvlText w:val="%1."/>
      <w:lvlJc w:val="left"/>
      <w:pPr>
        <w:ind w:left="360" w:hanging="360"/>
      </w:pPr>
    </w:lvl>
    <w:lvl w:ilvl="1" w:tplc="04090011">
      <w:start w:val="1"/>
      <w:numFmt w:val="decimal"/>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5">
    <w:nsid w:val="6B684690"/>
    <w:multiLevelType w:val="hybridMultilevel"/>
    <w:tmpl w:val="6958D938"/>
    <w:lvl w:ilvl="0" w:tplc="04090011">
      <w:start w:val="1"/>
      <w:numFmt w:val="decimal"/>
      <w:lvlText w:val="%1)"/>
      <w:lvlJc w:val="left"/>
      <w:pPr>
        <w:ind w:left="1068" w:hanging="360"/>
      </w:p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01"/>
    <w:rsid w:val="00023943"/>
    <w:rsid w:val="00073A37"/>
    <w:rsid w:val="000F2504"/>
    <w:rsid w:val="001263A3"/>
    <w:rsid w:val="00195575"/>
    <w:rsid w:val="001D2DC8"/>
    <w:rsid w:val="00234039"/>
    <w:rsid w:val="00285B1D"/>
    <w:rsid w:val="0037332F"/>
    <w:rsid w:val="003B108C"/>
    <w:rsid w:val="00436E4F"/>
    <w:rsid w:val="00474DA2"/>
    <w:rsid w:val="004D0D83"/>
    <w:rsid w:val="006F657C"/>
    <w:rsid w:val="00717AE9"/>
    <w:rsid w:val="0080425D"/>
    <w:rsid w:val="008C17AB"/>
    <w:rsid w:val="00944276"/>
    <w:rsid w:val="009515D4"/>
    <w:rsid w:val="00A20111"/>
    <w:rsid w:val="00AA4603"/>
    <w:rsid w:val="00AC648C"/>
    <w:rsid w:val="00AE51D6"/>
    <w:rsid w:val="00AF568A"/>
    <w:rsid w:val="00B25FE1"/>
    <w:rsid w:val="00B27D92"/>
    <w:rsid w:val="00BC2AFB"/>
    <w:rsid w:val="00C26220"/>
    <w:rsid w:val="00C37DC0"/>
    <w:rsid w:val="00D64196"/>
    <w:rsid w:val="00E40CC6"/>
    <w:rsid w:val="00E4621C"/>
    <w:rsid w:val="00EC1801"/>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425D"/>
    <w:rPr>
      <w:b/>
      <w:bCs/>
    </w:rPr>
  </w:style>
  <w:style w:type="paragraph" w:styleId="ListParagraph">
    <w:name w:val="List Paragraph"/>
    <w:basedOn w:val="Normal"/>
    <w:uiPriority w:val="34"/>
    <w:qFormat/>
    <w:rsid w:val="00E4621C"/>
    <w:pPr>
      <w:ind w:left="720"/>
      <w:contextualSpacing/>
    </w:pPr>
  </w:style>
  <w:style w:type="paragraph" w:styleId="BalloonText">
    <w:name w:val="Balloon Text"/>
    <w:basedOn w:val="Normal"/>
    <w:link w:val="BalloonTextChar"/>
    <w:uiPriority w:val="99"/>
    <w:semiHidden/>
    <w:unhideWhenUsed/>
    <w:rsid w:val="00D64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196"/>
    <w:rPr>
      <w:rFonts w:ascii="Segoe UI" w:hAnsi="Segoe UI" w:cs="Segoe UI"/>
      <w:sz w:val="18"/>
      <w:szCs w:val="18"/>
    </w:rPr>
  </w:style>
  <w:style w:type="paragraph" w:customStyle="1" w:styleId="potpis">
    <w:name w:val="potpis"/>
    <w:basedOn w:val="Normal"/>
    <w:rsid w:val="008C17AB"/>
    <w:pPr>
      <w:spacing w:before="100" w:beforeAutospacing="1" w:after="100" w:afterAutospacing="1" w:line="240" w:lineRule="auto"/>
    </w:pPr>
    <w:rPr>
      <w:rFonts w:eastAsia="Times New Roman" w:cs="Times New Roman"/>
      <w:szCs w:val="24"/>
      <w:lang w:val="sr-Cyrl-ME" w:eastAsia="sr-Cyrl-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Mladen Alempijevic</dc:creator>
  <cp:keywords/>
  <dc:description/>
  <cp:lastModifiedBy>Stefan Otašević</cp:lastModifiedBy>
  <cp:revision>2</cp:revision>
  <cp:lastPrinted>2021-10-19T07:00:00Z</cp:lastPrinted>
  <dcterms:created xsi:type="dcterms:W3CDTF">2021-12-03T08:43:00Z</dcterms:created>
  <dcterms:modified xsi:type="dcterms:W3CDTF">2021-12-03T08:43:00Z</dcterms:modified>
</cp:coreProperties>
</file>