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A637" w14:textId="77777777" w:rsidR="000B374D" w:rsidRDefault="00145CD4">
      <w:pPr>
        <w:pStyle w:val="1tekst"/>
      </w:pPr>
      <w:r>
        <w:rPr>
          <w:lang w:val="en-GB"/>
        </w:rPr>
        <w:t>Pursuant to Article 3, paragraph 3 of the Law on Public Procurement (“Official Gazette of the Republic of Serbia”, No. 91/19), and Article 43, paragraph 1 of the Law on Government (“Official Gazette of the Republic of Serbia”, Nos. 55/05, 71/05 - correction, 101/07, 65/08, 16/11, 68/12 - Constitutional Court, 72/12, 7/14 - Constitutional Court, 44/14 and 30/18 - other law),</w:t>
      </w:r>
    </w:p>
    <w:p w14:paraId="77F93B55" w14:textId="77777777" w:rsidR="000B374D" w:rsidRDefault="00145CD4">
      <w:pPr>
        <w:pStyle w:val="1tekst"/>
      </w:pPr>
      <w:r>
        <w:rPr>
          <w:lang w:val="en-GB"/>
        </w:rPr>
        <w:t>The Government adopts the following</w:t>
      </w:r>
    </w:p>
    <w:p w14:paraId="2F66244A" w14:textId="77777777" w:rsidR="000B374D" w:rsidRDefault="00145CD4">
      <w:pPr>
        <w:pStyle w:val="2zakon"/>
      </w:pPr>
      <w:r>
        <w:rPr>
          <w:lang w:val="en-GB"/>
        </w:rPr>
        <w:t>Decision on determining the List of contracting authorities referred to in Article 3, paragraph 1, item 1) of the Law on Public Procurement</w:t>
      </w:r>
    </w:p>
    <w:p w14:paraId="7C8B00D2" w14:textId="77777777" w:rsidR="000B374D" w:rsidRDefault="00145CD4">
      <w:pPr>
        <w:pStyle w:val="3mesto"/>
      </w:pPr>
      <w:r>
        <w:rPr>
          <w:lang w:val="en-GB"/>
        </w:rPr>
        <w:t xml:space="preserve">The decision was published in the “Official Gazette of the Republic of Serbia”, no. 85/2020 of 16 June 2020. </w:t>
      </w:r>
    </w:p>
    <w:p w14:paraId="7BAB859A" w14:textId="77777777" w:rsidR="000B374D" w:rsidRDefault="00145CD4">
      <w:pPr>
        <w:pStyle w:val="1tekst"/>
      </w:pPr>
      <w:r>
        <w:rPr>
          <w:lang w:val="en-GB"/>
        </w:rPr>
        <w:t>1. The List of contracting authorities referred to in Article 3, paragraph 1, item 1) of the Law on Public Procurement is determined, which is printed together with this decision and forms an integral part thereof.</w:t>
      </w:r>
    </w:p>
    <w:p w14:paraId="7E3154F6" w14:textId="77777777" w:rsidR="000B374D" w:rsidRDefault="00145CD4">
      <w:pPr>
        <w:pStyle w:val="1tekst"/>
      </w:pPr>
      <w:r>
        <w:rPr>
          <w:lang w:val="en-GB"/>
        </w:rPr>
        <w:t>2. This decision shall be published in the “Official Gazette of the Republic of Serbia”.</w:t>
      </w:r>
    </w:p>
    <w:p w14:paraId="4595507C" w14:textId="77777777" w:rsidR="000B374D" w:rsidRDefault="00145CD4">
      <w:pPr>
        <w:pStyle w:val="1tekst"/>
      </w:pPr>
      <w:r>
        <w:rPr>
          <w:lang w:val="en-GB"/>
        </w:rPr>
        <w:t>05 No. 404-4744/2020</w:t>
      </w:r>
    </w:p>
    <w:p w14:paraId="0C3D8D47" w14:textId="77777777" w:rsidR="000B374D" w:rsidRDefault="00145CD4">
      <w:pPr>
        <w:pStyle w:val="1tekst"/>
      </w:pPr>
      <w:r>
        <w:rPr>
          <w:lang w:val="en-GB"/>
        </w:rPr>
        <w:t>In Belgrade, 12 June 2020</w:t>
      </w:r>
    </w:p>
    <w:p w14:paraId="3061834F" w14:textId="77777777" w:rsidR="000B374D" w:rsidRDefault="00145CD4">
      <w:pPr>
        <w:pStyle w:val="1tekst"/>
        <w:jc w:val="center"/>
      </w:pPr>
      <w:r>
        <w:rPr>
          <w:b/>
          <w:bCs/>
          <w:lang w:val="en-GB"/>
        </w:rPr>
        <w:t>Government</w:t>
      </w:r>
    </w:p>
    <w:p w14:paraId="27F72F1D" w14:textId="77777777" w:rsidR="000B374D" w:rsidRDefault="00145CD4">
      <w:pPr>
        <w:pStyle w:val="1tekst"/>
        <w:jc w:val="right"/>
      </w:pPr>
      <w:r>
        <w:rPr>
          <w:lang w:val="en-GB"/>
        </w:rPr>
        <w:t>Prime Minister,</w:t>
      </w:r>
    </w:p>
    <w:p w14:paraId="50D734F7" w14:textId="77777777" w:rsidR="000B374D" w:rsidRDefault="00145CD4">
      <w:pPr>
        <w:pStyle w:val="1tekst"/>
        <w:jc w:val="right"/>
      </w:pPr>
      <w:r>
        <w:rPr>
          <w:b/>
          <w:bCs/>
          <w:lang w:val="en-GB"/>
        </w:rPr>
        <w:t>Ana Brnabić</w:t>
      </w:r>
      <w:r>
        <w:rPr>
          <w:lang w:val="en-GB"/>
        </w:rPr>
        <w:t>, signed personally</w:t>
      </w:r>
    </w:p>
    <w:p w14:paraId="6B17C1DE" w14:textId="77777777" w:rsidR="000B374D" w:rsidRDefault="00145CD4">
      <w:pPr>
        <w:pStyle w:val="6naslov"/>
      </w:pPr>
      <w:r>
        <w:rPr>
          <w:lang w:val="en-GB"/>
        </w:rPr>
        <w:t>LIST OF NATIONAL AUTHORITIES</w:t>
      </w:r>
    </w:p>
    <w:p w14:paraId="09754F33" w14:textId="77777777" w:rsidR="000B374D" w:rsidRDefault="00145CD4">
      <w:pPr>
        <w:pStyle w:val="1tekst"/>
      </w:pPr>
      <w:r>
        <w:rPr>
          <w:lang w:val="en-GB"/>
        </w:rPr>
        <w:t>I. National Assembly.</w:t>
      </w:r>
    </w:p>
    <w:p w14:paraId="746BFA37" w14:textId="77777777" w:rsidR="000B374D" w:rsidRDefault="00145CD4">
      <w:pPr>
        <w:pStyle w:val="1tekst"/>
      </w:pPr>
      <w:r>
        <w:rPr>
          <w:lang w:val="en-GB"/>
        </w:rPr>
        <w:t>II. President of the Republic.</w:t>
      </w:r>
    </w:p>
    <w:p w14:paraId="6D6B1400" w14:textId="77777777" w:rsidR="000B374D" w:rsidRDefault="00145CD4">
      <w:pPr>
        <w:pStyle w:val="1tekst"/>
      </w:pPr>
      <w:r>
        <w:rPr>
          <w:lang w:val="en-GB"/>
        </w:rPr>
        <w:t xml:space="preserve">III. Government, </w:t>
      </w:r>
      <w:proofErr w:type="gramStart"/>
      <w:r>
        <w:rPr>
          <w:lang w:val="en-GB"/>
        </w:rPr>
        <w:t>cabinets</w:t>
      </w:r>
      <w:proofErr w:type="gramEnd"/>
      <w:r>
        <w:rPr>
          <w:lang w:val="en-GB"/>
        </w:rPr>
        <w:t xml:space="preserve"> and government services;</w:t>
      </w:r>
    </w:p>
    <w:p w14:paraId="3FEB464D" w14:textId="77777777" w:rsidR="000B374D" w:rsidRDefault="00145CD4">
      <w:pPr>
        <w:pStyle w:val="1tekst"/>
      </w:pPr>
      <w:r>
        <w:rPr>
          <w:lang w:val="en-GB"/>
        </w:rPr>
        <w:t>IV. Ministries, administrative bodies within the ministry and special organisations, formed in accordance with the law governing ministries.</w:t>
      </w:r>
    </w:p>
    <w:p w14:paraId="3FF4CD04" w14:textId="77777777" w:rsidR="000B374D" w:rsidRDefault="00145CD4">
      <w:pPr>
        <w:pStyle w:val="1tekst"/>
      </w:pPr>
      <w:r>
        <w:rPr>
          <w:lang w:val="en-GB"/>
        </w:rPr>
        <w:t xml:space="preserve">Special organisations formed in accordance with a special law (public agencies, institutes, directorates, </w:t>
      </w:r>
      <w:proofErr w:type="gramStart"/>
      <w:r>
        <w:rPr>
          <w:lang w:val="en-GB"/>
        </w:rPr>
        <w:t>funds</w:t>
      </w:r>
      <w:proofErr w:type="gramEnd"/>
      <w:r>
        <w:rPr>
          <w:lang w:val="en-GB"/>
        </w:rPr>
        <w:t xml:space="preserve"> and other organisations).</w:t>
      </w:r>
    </w:p>
    <w:p w14:paraId="2D69F283" w14:textId="77777777" w:rsidR="000B374D" w:rsidRDefault="00145CD4">
      <w:pPr>
        <w:pStyle w:val="1tekst"/>
      </w:pPr>
      <w:r>
        <w:rPr>
          <w:lang w:val="en-GB"/>
        </w:rPr>
        <w:t>VI. Judicial state bodies, as follows:</w:t>
      </w:r>
    </w:p>
    <w:p w14:paraId="5489602F" w14:textId="77777777" w:rsidR="000B374D" w:rsidRDefault="00145CD4">
      <w:pPr>
        <w:pStyle w:val="1tekst"/>
      </w:pPr>
      <w:r>
        <w:rPr>
          <w:lang w:val="en-GB"/>
        </w:rPr>
        <w:t>1. Judiciary:</w:t>
      </w:r>
    </w:p>
    <w:p w14:paraId="353BC7B0" w14:textId="77777777" w:rsidR="000B374D" w:rsidRDefault="00145CD4">
      <w:pPr>
        <w:pStyle w:val="1tekst"/>
      </w:pPr>
      <w:r>
        <w:rPr>
          <w:lang w:val="en-GB"/>
        </w:rPr>
        <w:t>1) courts of general jurisdiction;</w:t>
      </w:r>
    </w:p>
    <w:p w14:paraId="516871E5" w14:textId="77777777" w:rsidR="000B374D" w:rsidRDefault="00145CD4">
      <w:pPr>
        <w:pStyle w:val="1tekst"/>
      </w:pPr>
      <w:r>
        <w:rPr>
          <w:lang w:val="en-GB"/>
        </w:rPr>
        <w:t>2) courts of special jurisdiction;</w:t>
      </w:r>
    </w:p>
    <w:p w14:paraId="2EE6388E" w14:textId="77777777" w:rsidR="000B374D" w:rsidRDefault="00145CD4">
      <w:pPr>
        <w:pStyle w:val="1tekst"/>
      </w:pPr>
      <w:r>
        <w:rPr>
          <w:lang w:val="en-GB"/>
        </w:rPr>
        <w:t>(3) High Judicial Council;</w:t>
      </w:r>
    </w:p>
    <w:p w14:paraId="51147BAC" w14:textId="77777777" w:rsidR="000B374D" w:rsidRDefault="00145CD4">
      <w:pPr>
        <w:pStyle w:val="1tekst"/>
      </w:pPr>
      <w:r>
        <w:rPr>
          <w:lang w:val="en-GB"/>
        </w:rPr>
        <w:t>(4) Constitutional Court;</w:t>
      </w:r>
    </w:p>
    <w:p w14:paraId="19D95864" w14:textId="77777777" w:rsidR="000B374D" w:rsidRDefault="00145CD4">
      <w:pPr>
        <w:pStyle w:val="1tekst"/>
      </w:pPr>
      <w:r>
        <w:rPr>
          <w:lang w:val="en-GB"/>
        </w:rPr>
        <w:t>2. Prosecutor’s offices:</w:t>
      </w:r>
    </w:p>
    <w:p w14:paraId="4220C52D" w14:textId="77777777" w:rsidR="000B374D" w:rsidRDefault="00145CD4">
      <w:pPr>
        <w:pStyle w:val="1tekst"/>
      </w:pPr>
      <w:r>
        <w:rPr>
          <w:lang w:val="en-GB"/>
        </w:rPr>
        <w:t>(1) National Public Prosecutor’s Office;</w:t>
      </w:r>
    </w:p>
    <w:p w14:paraId="7E3928CF" w14:textId="77777777" w:rsidR="000B374D" w:rsidRDefault="00145CD4">
      <w:pPr>
        <w:pStyle w:val="1tekst"/>
      </w:pPr>
      <w:r>
        <w:rPr>
          <w:lang w:val="en-GB"/>
        </w:rPr>
        <w:t>2) appellate public prosecutor’s offices;</w:t>
      </w:r>
    </w:p>
    <w:p w14:paraId="71DF88C1" w14:textId="77777777" w:rsidR="000B374D" w:rsidRDefault="00145CD4">
      <w:pPr>
        <w:pStyle w:val="1tekst"/>
      </w:pPr>
      <w:r>
        <w:rPr>
          <w:lang w:val="en-GB"/>
        </w:rPr>
        <w:t>3) higher public prosecutor’s offices;</w:t>
      </w:r>
    </w:p>
    <w:p w14:paraId="278E422F" w14:textId="77777777" w:rsidR="000B374D" w:rsidRDefault="00145CD4">
      <w:pPr>
        <w:pStyle w:val="1tekst"/>
      </w:pPr>
      <w:r>
        <w:rPr>
          <w:lang w:val="en-GB"/>
        </w:rPr>
        <w:t>4) basic public prosecutor’s offices;</w:t>
      </w:r>
    </w:p>
    <w:p w14:paraId="178DD879" w14:textId="77777777" w:rsidR="000B374D" w:rsidRDefault="00145CD4">
      <w:pPr>
        <w:pStyle w:val="1tekst"/>
      </w:pPr>
      <w:r>
        <w:rPr>
          <w:lang w:val="en-GB"/>
        </w:rPr>
        <w:t>5) War Crimes Prosecutor’s Office;</w:t>
      </w:r>
    </w:p>
    <w:p w14:paraId="37B653CD" w14:textId="77777777" w:rsidR="000B374D" w:rsidRDefault="00145CD4">
      <w:pPr>
        <w:pStyle w:val="1tekst"/>
      </w:pPr>
      <w:r>
        <w:rPr>
          <w:lang w:val="en-GB"/>
        </w:rPr>
        <w:lastRenderedPageBreak/>
        <w:t>(6) Prosecutor’s Office for Organised Crime;</w:t>
      </w:r>
    </w:p>
    <w:p w14:paraId="68B9C200" w14:textId="77777777" w:rsidR="000B374D" w:rsidRDefault="00145CD4">
      <w:pPr>
        <w:pStyle w:val="1tekst"/>
      </w:pPr>
      <w:r>
        <w:rPr>
          <w:lang w:val="en-GB"/>
        </w:rPr>
        <w:t>(7) State Council of Prosecutors.</w:t>
      </w:r>
    </w:p>
    <w:p w14:paraId="395474BC" w14:textId="77777777" w:rsidR="000B374D" w:rsidRDefault="00145CD4">
      <w:pPr>
        <w:pStyle w:val="1tekst"/>
      </w:pPr>
      <w:r>
        <w:rPr>
          <w:lang w:val="en-GB"/>
        </w:rPr>
        <w:t>3. State Attorney’s Office.</w:t>
      </w:r>
    </w:p>
    <w:p w14:paraId="780F1800" w14:textId="77777777" w:rsidR="000B374D" w:rsidRDefault="00145CD4">
      <w:pPr>
        <w:pStyle w:val="1tekst"/>
      </w:pPr>
      <w:r>
        <w:rPr>
          <w:lang w:val="en-GB"/>
        </w:rPr>
        <w:t>VII.  Independent state bodies, i.e., organisations:</w:t>
      </w:r>
    </w:p>
    <w:p w14:paraId="7618B1AE" w14:textId="77777777" w:rsidR="000B374D" w:rsidRDefault="00145CD4">
      <w:pPr>
        <w:pStyle w:val="1tekst"/>
      </w:pPr>
      <w:r>
        <w:rPr>
          <w:lang w:val="en-GB"/>
        </w:rPr>
        <w:t>1) Protector of Citizens (Ombudsman);</w:t>
      </w:r>
    </w:p>
    <w:p w14:paraId="2C655FD1" w14:textId="77777777" w:rsidR="000B374D" w:rsidRDefault="00145CD4">
      <w:pPr>
        <w:pStyle w:val="1tekst"/>
      </w:pPr>
      <w:r>
        <w:rPr>
          <w:lang w:val="en-GB"/>
        </w:rPr>
        <w:t>2) State Audit Institution;</w:t>
      </w:r>
    </w:p>
    <w:p w14:paraId="4819954A" w14:textId="77777777" w:rsidR="000B374D" w:rsidRDefault="00145CD4">
      <w:pPr>
        <w:pStyle w:val="1tekst"/>
      </w:pPr>
      <w:r>
        <w:rPr>
          <w:lang w:val="en-GB"/>
        </w:rPr>
        <w:t>4) Anti-Corruption Agency;</w:t>
      </w:r>
    </w:p>
    <w:p w14:paraId="188112D9" w14:textId="77777777" w:rsidR="000B374D" w:rsidRDefault="00145CD4">
      <w:pPr>
        <w:pStyle w:val="1tekst"/>
      </w:pPr>
      <w:r>
        <w:rPr>
          <w:lang w:val="en-GB"/>
        </w:rPr>
        <w:t>4) Anti-Corruption Agency;</w:t>
      </w:r>
    </w:p>
    <w:p w14:paraId="2ABCD5F1" w14:textId="77777777" w:rsidR="000B374D" w:rsidRDefault="00145CD4">
      <w:pPr>
        <w:pStyle w:val="1tekst"/>
      </w:pPr>
      <w:r>
        <w:rPr>
          <w:lang w:val="en-GB"/>
        </w:rPr>
        <w:t>5) Commissioner for Information of Public Importance and Personal Data Protection;</w:t>
      </w:r>
    </w:p>
    <w:p w14:paraId="2968407D" w14:textId="77777777" w:rsidR="000B374D" w:rsidRDefault="00145CD4">
      <w:pPr>
        <w:pStyle w:val="1tekst"/>
      </w:pPr>
      <w:r>
        <w:rPr>
          <w:lang w:val="en-GB"/>
        </w:rPr>
        <w:t>6) Commissioner for the Protection of Equality;</w:t>
      </w:r>
    </w:p>
    <w:p w14:paraId="1F7ECF42" w14:textId="77777777" w:rsidR="000B374D" w:rsidRDefault="00145CD4">
      <w:pPr>
        <w:pStyle w:val="1tekst"/>
      </w:pPr>
      <w:r>
        <w:rPr>
          <w:lang w:val="en-GB"/>
        </w:rPr>
        <w:t>7) Commission for Protection of Competition;</w:t>
      </w:r>
    </w:p>
    <w:p w14:paraId="5EE1D444" w14:textId="77777777" w:rsidR="000B374D" w:rsidRDefault="00145CD4">
      <w:pPr>
        <w:pStyle w:val="1tekst"/>
      </w:pPr>
      <w:r>
        <w:rPr>
          <w:lang w:val="en-GB"/>
        </w:rPr>
        <w:t>8) Commission for Investigation of Liability for Human Rights Violations;</w:t>
      </w:r>
    </w:p>
    <w:p w14:paraId="189924E0" w14:textId="77777777" w:rsidR="000B374D" w:rsidRDefault="00145CD4">
      <w:pPr>
        <w:pStyle w:val="1tekst"/>
      </w:pPr>
      <w:r>
        <w:rPr>
          <w:lang w:val="en-GB"/>
        </w:rPr>
        <w:t>9) Commission for the implementation of the Protection Program;</w:t>
      </w:r>
    </w:p>
    <w:p w14:paraId="462855A1" w14:textId="77777777" w:rsidR="000B374D" w:rsidRDefault="00145CD4">
      <w:pPr>
        <w:pStyle w:val="1tekst"/>
      </w:pPr>
      <w:r>
        <w:rPr>
          <w:lang w:val="en-GB"/>
        </w:rPr>
        <w:t>10) National Commission for Protection of Rights in Public Procurement Procedures;</w:t>
      </w:r>
    </w:p>
    <w:p w14:paraId="1469DA6E" w14:textId="77777777" w:rsidR="000B374D" w:rsidRDefault="00145CD4">
      <w:pPr>
        <w:pStyle w:val="1tekst"/>
      </w:pPr>
      <w:r>
        <w:rPr>
          <w:lang w:val="en-GB"/>
        </w:rPr>
        <w:t>11) Securities Commission.</w:t>
      </w:r>
    </w:p>
    <w:p w14:paraId="3BED78BD" w14:textId="77777777" w:rsidR="000B374D" w:rsidRDefault="00145CD4">
      <w:pPr>
        <w:pStyle w:val="1tekst"/>
      </w:pPr>
      <w:r>
        <w:rPr>
          <w:lang w:val="en-GB"/>
        </w:rPr>
        <w:t>12) Social and Economic Council of the Republic of Serbia;</w:t>
      </w:r>
    </w:p>
    <w:p w14:paraId="203DCF24" w14:textId="77777777" w:rsidR="000B374D" w:rsidRDefault="00145CD4">
      <w:pPr>
        <w:pStyle w:val="1tekst"/>
      </w:pPr>
      <w:r>
        <w:rPr>
          <w:lang w:val="en-GB"/>
        </w:rPr>
        <w:t>13) National Council for Higher Education;</w:t>
      </w:r>
    </w:p>
    <w:p w14:paraId="7E4061CE" w14:textId="77777777" w:rsidR="000B374D" w:rsidRDefault="00145CD4">
      <w:pPr>
        <w:pStyle w:val="1tekst"/>
      </w:pPr>
      <w:r>
        <w:rPr>
          <w:lang w:val="en-GB"/>
        </w:rPr>
        <w:t>14) Regulatory Agency for Electronic Communications and Postal Services;</w:t>
      </w:r>
    </w:p>
    <w:p w14:paraId="06F511DA" w14:textId="77777777" w:rsidR="000B374D" w:rsidRDefault="00145CD4">
      <w:pPr>
        <w:pStyle w:val="1tekst"/>
      </w:pPr>
      <w:r>
        <w:rPr>
          <w:lang w:val="en-GB"/>
        </w:rPr>
        <w:t>15) Regulatory body for electronic media;</w:t>
      </w:r>
    </w:p>
    <w:p w14:paraId="02BA8EF9" w14:textId="77777777" w:rsidR="000B374D" w:rsidRDefault="00145CD4">
      <w:pPr>
        <w:pStyle w:val="1tekst"/>
      </w:pPr>
      <w:r>
        <w:rPr>
          <w:lang w:val="en-GB"/>
        </w:rPr>
        <w:t>16) National Bank of Serbia;</w:t>
      </w:r>
    </w:p>
    <w:p w14:paraId="4A0B9177" w14:textId="77777777" w:rsidR="00145CD4" w:rsidRDefault="00145CD4">
      <w:pPr>
        <w:pStyle w:val="1tekst"/>
      </w:pPr>
      <w:r>
        <w:rPr>
          <w:lang w:val="en-GB"/>
        </w:rPr>
        <w:t>17) Fiscal Council.</w:t>
      </w:r>
    </w:p>
    <w:sectPr w:rsidR="00145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A0"/>
    <w:rsid w:val="000B374D"/>
    <w:rsid w:val="00145CD4"/>
    <w:rsid w:val="00427B88"/>
    <w:rsid w:val="009E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235E2"/>
  <w15:docId w15:val="{A0139A25-1E7B-46C7-A483-E54C24B3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2438</Characters>
  <Application>Microsoft Office Word</Application>
  <DocSecurity>0</DocSecurity>
  <Lines>90</Lines>
  <Paragraphs>52</Paragraphs>
  <ScaleCrop>false</ScaleCrop>
  <HeadingPairs>
    <vt:vector size="2" baseType="variant">
      <vt:variant>
        <vt:lpstr>Title</vt:lpstr>
      </vt:variant>
      <vt:variant>
        <vt:i4>1</vt:i4>
      </vt:variant>
    </vt:vector>
  </HeadingPairs>
  <TitlesOfParts>
    <vt:vector size="1" baseType="lpstr">
      <vt:lpstr>Одлука о утврђивању Списка наручилаца из члана 3. став 1. тачка 1) Закона о јавним набавкама</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Одлука о утврђивању Списка наручилаца из члана 3. став 1. тачка 1) Закона о јавним набавкама</dc:title>
  <dc:subject/>
  <dc:creator>Stefan Otašević</dc:creator>
  <cp:keywords/>
  <dc:description/>
  <cp:lastModifiedBy>Đorđe Janković</cp:lastModifiedBy>
  <cp:revision>3</cp:revision>
  <dcterms:created xsi:type="dcterms:W3CDTF">2021-12-03T10:02:00Z</dcterms:created>
  <dcterms:modified xsi:type="dcterms:W3CDTF">2021-12-28T14:52:00Z</dcterms:modified>
</cp:coreProperties>
</file>