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2898" w14:textId="0EFF19B4" w:rsidR="001C62AD" w:rsidRPr="005B0D1D" w:rsidRDefault="00E45645" w:rsidP="005E5329">
      <w:pPr>
        <w:jc w:val="both"/>
        <w:rPr>
          <w:rFonts w:ascii="Times New Roman" w:hAnsi="Times New Roman" w:cs="Times New Roman"/>
          <w:sz w:val="24"/>
          <w:szCs w:val="24"/>
          <w:lang w:val="sr-Cyrl-CS"/>
        </w:rPr>
      </w:pPr>
      <w:bookmarkStart w:id="0" w:name="_GoBack"/>
      <w:bookmarkEnd w:id="0"/>
      <w:r>
        <w:rPr>
          <w:rFonts w:ascii="Times New Roman" w:hAnsi="Times New Roman" w:cs="Times New Roman"/>
          <w:sz w:val="24"/>
          <w:szCs w:val="24"/>
          <w:lang w:val="sr-Cyrl-CS"/>
        </w:rPr>
        <w:t xml:space="preserve"> </w:t>
      </w:r>
    </w:p>
    <w:p w14:paraId="19F83174" w14:textId="77777777" w:rsidR="00697E66" w:rsidRPr="005E5329" w:rsidRDefault="00697E66" w:rsidP="005E5329">
      <w:pPr>
        <w:jc w:val="both"/>
        <w:rPr>
          <w:rFonts w:ascii="Times New Roman" w:hAnsi="Times New Roman" w:cs="Times New Roman"/>
          <w:sz w:val="24"/>
          <w:szCs w:val="24"/>
        </w:rPr>
      </w:pPr>
    </w:p>
    <w:p w14:paraId="618DE7A3" w14:textId="77777777" w:rsidR="000C129C" w:rsidRPr="005E5329" w:rsidRDefault="000C129C" w:rsidP="005E5329">
      <w:pPr>
        <w:spacing w:after="0" w:line="240" w:lineRule="auto"/>
        <w:jc w:val="both"/>
        <w:rPr>
          <w:rFonts w:ascii="Times New Roman" w:eastAsia="Times New Roman" w:hAnsi="Times New Roman" w:cs="Times New Roman"/>
          <w:b/>
          <w:sz w:val="24"/>
          <w:szCs w:val="24"/>
          <w:lang w:val="ru-RU"/>
        </w:rPr>
      </w:pPr>
    </w:p>
    <w:p w14:paraId="1BFC3068" w14:textId="77777777" w:rsidR="000C129C" w:rsidRPr="005E5329" w:rsidRDefault="000C129C" w:rsidP="005E5329">
      <w:pPr>
        <w:spacing w:after="0" w:line="240" w:lineRule="auto"/>
        <w:jc w:val="both"/>
        <w:rPr>
          <w:rFonts w:ascii="Times New Roman" w:eastAsia="Times New Roman" w:hAnsi="Times New Roman" w:cs="Times New Roman"/>
          <w:b/>
          <w:sz w:val="24"/>
          <w:szCs w:val="24"/>
          <w:lang w:val="ru-RU"/>
        </w:rPr>
      </w:pPr>
    </w:p>
    <w:p w14:paraId="48D2DFF7"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r w:rsidRPr="005E5329">
        <w:rPr>
          <w:rFonts w:ascii="Times New Roman" w:eastAsia="Times New Roman" w:hAnsi="Times New Roman" w:cs="Times New Roman"/>
          <w:b/>
          <w:noProof/>
          <w:sz w:val="24"/>
          <w:szCs w:val="24"/>
          <w:lang w:val="sr-Cyrl-RS" w:eastAsia="sr-Cyrl-RS"/>
        </w:rPr>
        <w:drawing>
          <wp:inline distT="0" distB="0" distL="0" distR="0" wp14:anchorId="0FB5EEE4" wp14:editId="519A4E89">
            <wp:extent cx="127635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pic:spPr>
                </pic:pic>
              </a:graphicData>
            </a:graphic>
          </wp:inline>
        </w:drawing>
      </w:r>
      <w:r w:rsidRPr="005E5329">
        <w:rPr>
          <w:rFonts w:ascii="Times New Roman" w:eastAsia="Times New Roman" w:hAnsi="Times New Roman" w:cs="Times New Roman"/>
          <w:b/>
          <w:sz w:val="24"/>
          <w:szCs w:val="24"/>
          <w:lang w:val="ru-RU"/>
        </w:rPr>
        <w:br/>
      </w:r>
    </w:p>
    <w:p w14:paraId="5CE6D4E1"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r w:rsidRPr="005E5329">
        <w:rPr>
          <w:rFonts w:ascii="Times New Roman" w:eastAsia="Times New Roman" w:hAnsi="Times New Roman" w:cs="Times New Roman"/>
          <w:b/>
          <w:sz w:val="24"/>
          <w:szCs w:val="24"/>
          <w:lang w:val="ru-RU"/>
        </w:rPr>
        <w:t>РЕПУБЛИКА СРБИЈА</w:t>
      </w:r>
    </w:p>
    <w:p w14:paraId="1E81A6E3"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r w:rsidRPr="005E5329">
        <w:rPr>
          <w:rFonts w:ascii="Times New Roman" w:eastAsia="Times New Roman" w:hAnsi="Times New Roman" w:cs="Times New Roman"/>
          <w:b/>
          <w:sz w:val="24"/>
          <w:szCs w:val="24"/>
          <w:lang w:val="ru-RU"/>
        </w:rPr>
        <w:t>УПРАВА ЗА ЈАВНЕ НАБАВКЕ</w:t>
      </w:r>
    </w:p>
    <w:p w14:paraId="6EEC2290"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73F6CED1"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5E692654"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02F04ED8"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580D5E47"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13E6B146"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142B8EFE"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66196177"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sr-Latn-CS"/>
        </w:rPr>
      </w:pPr>
    </w:p>
    <w:p w14:paraId="76BCFF19"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sr-Latn-CS"/>
        </w:rPr>
      </w:pPr>
    </w:p>
    <w:p w14:paraId="4B935F5D"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sr-Latn-CS"/>
        </w:rPr>
      </w:pPr>
    </w:p>
    <w:p w14:paraId="6FBE413C"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sr-Latn-CS"/>
        </w:rPr>
      </w:pPr>
    </w:p>
    <w:p w14:paraId="70D97B74" w14:textId="77777777" w:rsidR="005E5329" w:rsidRDefault="005E5329" w:rsidP="00A447B5">
      <w:pPr>
        <w:spacing w:after="0" w:line="240" w:lineRule="auto"/>
        <w:jc w:val="center"/>
        <w:rPr>
          <w:rFonts w:ascii="Times New Roman" w:eastAsia="Times New Roman" w:hAnsi="Times New Roman" w:cs="Times New Roman"/>
          <w:b/>
          <w:sz w:val="24"/>
          <w:szCs w:val="24"/>
        </w:rPr>
      </w:pPr>
    </w:p>
    <w:p w14:paraId="1C97068F" w14:textId="77777777" w:rsidR="00501E1D" w:rsidRPr="00501E1D" w:rsidRDefault="00501E1D" w:rsidP="00A447B5">
      <w:pPr>
        <w:spacing w:after="0" w:line="240" w:lineRule="auto"/>
        <w:jc w:val="center"/>
        <w:rPr>
          <w:rFonts w:ascii="Times New Roman" w:eastAsia="Times New Roman" w:hAnsi="Times New Roman" w:cs="Times New Roman"/>
          <w:b/>
          <w:sz w:val="24"/>
          <w:szCs w:val="24"/>
        </w:rPr>
      </w:pPr>
    </w:p>
    <w:p w14:paraId="6261F71E"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63521BFA" w14:textId="77777777" w:rsidR="005E5329" w:rsidRPr="005E5329" w:rsidRDefault="005E5329" w:rsidP="00A447B5">
      <w:pPr>
        <w:spacing w:after="0" w:line="240" w:lineRule="auto"/>
        <w:jc w:val="center"/>
        <w:rPr>
          <w:rFonts w:ascii="Times New Roman" w:eastAsia="Times New Roman" w:hAnsi="Times New Roman" w:cs="Times New Roman"/>
          <w:b/>
          <w:color w:val="000000" w:themeColor="text1"/>
          <w:sz w:val="24"/>
          <w:szCs w:val="24"/>
          <w:lang w:val="ru-RU"/>
        </w:rPr>
      </w:pPr>
      <w:r w:rsidRPr="005E5329">
        <w:rPr>
          <w:rFonts w:ascii="Times New Roman" w:eastAsia="Times New Roman" w:hAnsi="Times New Roman" w:cs="Times New Roman"/>
          <w:b/>
          <w:color w:val="000000" w:themeColor="text1"/>
          <w:sz w:val="24"/>
          <w:szCs w:val="24"/>
          <w:lang w:val="ru-RU"/>
        </w:rPr>
        <w:t>ИЗВЕШТАЈ О ЈАВНИМ НАБАВКАМА У РЕПУБЛИЦИ СРБИЈИ</w:t>
      </w:r>
    </w:p>
    <w:p w14:paraId="60083D1B" w14:textId="038BCE63" w:rsidR="005E5329" w:rsidRPr="005E5329" w:rsidRDefault="005E5329" w:rsidP="00A447B5">
      <w:pPr>
        <w:spacing w:after="0" w:line="240" w:lineRule="auto"/>
        <w:jc w:val="center"/>
        <w:rPr>
          <w:rFonts w:ascii="Times New Roman" w:eastAsia="Times New Roman" w:hAnsi="Times New Roman" w:cs="Times New Roman"/>
          <w:b/>
          <w:color w:val="000000" w:themeColor="text1"/>
          <w:sz w:val="24"/>
          <w:szCs w:val="24"/>
        </w:rPr>
      </w:pPr>
      <w:r w:rsidRPr="005E5329">
        <w:rPr>
          <w:rFonts w:ascii="Times New Roman" w:eastAsia="Times New Roman" w:hAnsi="Times New Roman" w:cs="Times New Roman"/>
          <w:b/>
          <w:color w:val="000000" w:themeColor="text1"/>
          <w:sz w:val="24"/>
          <w:szCs w:val="24"/>
          <w:lang w:val="ru-RU"/>
        </w:rPr>
        <w:t xml:space="preserve">ЗА </w:t>
      </w:r>
      <w:r w:rsidR="001E0ABE">
        <w:rPr>
          <w:rFonts w:ascii="Times New Roman" w:eastAsia="Times New Roman" w:hAnsi="Times New Roman" w:cs="Times New Roman"/>
          <w:b/>
          <w:color w:val="000000" w:themeColor="text1"/>
          <w:sz w:val="24"/>
          <w:szCs w:val="24"/>
        </w:rPr>
        <w:t>ПЕРИОД 1.1.201</w:t>
      </w:r>
      <w:r w:rsidR="00440CC3">
        <w:rPr>
          <w:rFonts w:ascii="Times New Roman" w:eastAsia="Times New Roman" w:hAnsi="Times New Roman" w:cs="Times New Roman"/>
          <w:b/>
          <w:color w:val="000000" w:themeColor="text1"/>
          <w:sz w:val="24"/>
          <w:szCs w:val="24"/>
          <w:lang w:val="en-GB"/>
        </w:rPr>
        <w:t>9</w:t>
      </w:r>
      <w:r w:rsidRPr="005E5329">
        <w:rPr>
          <w:rFonts w:ascii="Times New Roman" w:eastAsia="Times New Roman" w:hAnsi="Times New Roman" w:cs="Times New Roman"/>
          <w:b/>
          <w:color w:val="000000" w:themeColor="text1"/>
          <w:sz w:val="24"/>
          <w:szCs w:val="24"/>
        </w:rPr>
        <w:t xml:space="preserve"> – 31.12.</w:t>
      </w:r>
      <w:r w:rsidR="00440CC3">
        <w:rPr>
          <w:rFonts w:ascii="Times New Roman" w:eastAsia="Times New Roman" w:hAnsi="Times New Roman" w:cs="Times New Roman"/>
          <w:b/>
          <w:color w:val="000000" w:themeColor="text1"/>
          <w:sz w:val="24"/>
          <w:szCs w:val="24"/>
          <w:lang w:val="ru-RU"/>
        </w:rPr>
        <w:t>2019</w:t>
      </w:r>
      <w:r w:rsidRPr="005E5329">
        <w:rPr>
          <w:rFonts w:ascii="Times New Roman" w:eastAsia="Times New Roman" w:hAnsi="Times New Roman" w:cs="Times New Roman"/>
          <w:b/>
          <w:color w:val="000000" w:themeColor="text1"/>
          <w:sz w:val="24"/>
          <w:szCs w:val="24"/>
          <w:lang w:val="ru-RU"/>
        </w:rPr>
        <w:t>. ГОДИНЕ</w:t>
      </w:r>
    </w:p>
    <w:p w14:paraId="371D153E"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71C4BC98"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23840197"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1A3DC6C3"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4EFEF690"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2645D658"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603CB440"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13DBE3A1"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75B84BEF"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sr-Latn-CS"/>
        </w:rPr>
      </w:pPr>
    </w:p>
    <w:p w14:paraId="3A4615B9"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sr-Latn-CS"/>
        </w:rPr>
      </w:pPr>
    </w:p>
    <w:p w14:paraId="2DBC2476" w14:textId="77777777" w:rsidR="005E5329" w:rsidRPr="005E5329" w:rsidRDefault="005E5329" w:rsidP="00A447B5">
      <w:pPr>
        <w:spacing w:after="0" w:line="240" w:lineRule="auto"/>
        <w:jc w:val="center"/>
        <w:rPr>
          <w:rFonts w:ascii="Times New Roman" w:eastAsia="Times New Roman" w:hAnsi="Times New Roman" w:cs="Times New Roman"/>
          <w:b/>
          <w:sz w:val="24"/>
          <w:szCs w:val="24"/>
        </w:rPr>
      </w:pPr>
    </w:p>
    <w:p w14:paraId="25CF9CEF" w14:textId="77777777" w:rsidR="005E5329" w:rsidRDefault="005E5329" w:rsidP="00A447B5">
      <w:pPr>
        <w:spacing w:after="0" w:line="240" w:lineRule="auto"/>
        <w:jc w:val="center"/>
        <w:rPr>
          <w:rFonts w:ascii="Times New Roman" w:eastAsia="Times New Roman" w:hAnsi="Times New Roman" w:cs="Times New Roman"/>
          <w:b/>
          <w:sz w:val="24"/>
          <w:szCs w:val="24"/>
          <w:lang w:val="ru-RU"/>
        </w:rPr>
      </w:pPr>
    </w:p>
    <w:p w14:paraId="18124C16" w14:textId="77777777" w:rsidR="00501E1D" w:rsidRDefault="00501E1D" w:rsidP="00A447B5">
      <w:pPr>
        <w:spacing w:after="0" w:line="240" w:lineRule="auto"/>
        <w:jc w:val="center"/>
        <w:rPr>
          <w:rFonts w:ascii="Times New Roman" w:eastAsia="Times New Roman" w:hAnsi="Times New Roman" w:cs="Times New Roman"/>
          <w:b/>
          <w:sz w:val="24"/>
          <w:szCs w:val="24"/>
          <w:lang w:val="ru-RU"/>
        </w:rPr>
      </w:pPr>
    </w:p>
    <w:p w14:paraId="10FDA49D" w14:textId="77777777" w:rsidR="00501E1D" w:rsidRDefault="00501E1D" w:rsidP="00A447B5">
      <w:pPr>
        <w:spacing w:after="0" w:line="240" w:lineRule="auto"/>
        <w:jc w:val="center"/>
        <w:rPr>
          <w:rFonts w:ascii="Times New Roman" w:eastAsia="Times New Roman" w:hAnsi="Times New Roman" w:cs="Times New Roman"/>
          <w:b/>
          <w:sz w:val="24"/>
          <w:szCs w:val="24"/>
          <w:lang w:val="ru-RU"/>
        </w:rPr>
      </w:pPr>
    </w:p>
    <w:p w14:paraId="6DA0CC7C" w14:textId="77777777" w:rsidR="00501E1D" w:rsidRDefault="00501E1D" w:rsidP="00A447B5">
      <w:pPr>
        <w:spacing w:after="0" w:line="240" w:lineRule="auto"/>
        <w:jc w:val="center"/>
        <w:rPr>
          <w:rFonts w:ascii="Times New Roman" w:eastAsia="Times New Roman" w:hAnsi="Times New Roman" w:cs="Times New Roman"/>
          <w:b/>
          <w:sz w:val="24"/>
          <w:szCs w:val="24"/>
          <w:lang w:val="ru-RU"/>
        </w:rPr>
      </w:pPr>
    </w:p>
    <w:p w14:paraId="4CD1ACC1" w14:textId="77777777" w:rsidR="00501E1D" w:rsidRDefault="00501E1D" w:rsidP="00A447B5">
      <w:pPr>
        <w:spacing w:after="0" w:line="240" w:lineRule="auto"/>
        <w:jc w:val="center"/>
        <w:rPr>
          <w:rFonts w:ascii="Times New Roman" w:eastAsia="Times New Roman" w:hAnsi="Times New Roman" w:cs="Times New Roman"/>
          <w:b/>
          <w:sz w:val="24"/>
          <w:szCs w:val="24"/>
          <w:lang w:val="ru-RU"/>
        </w:rPr>
      </w:pPr>
    </w:p>
    <w:p w14:paraId="22DD3DC2" w14:textId="77777777" w:rsidR="00501E1D" w:rsidRPr="005E5329" w:rsidRDefault="00501E1D" w:rsidP="00A447B5">
      <w:pPr>
        <w:spacing w:after="0" w:line="240" w:lineRule="auto"/>
        <w:jc w:val="center"/>
        <w:rPr>
          <w:rFonts w:ascii="Times New Roman" w:eastAsia="Times New Roman" w:hAnsi="Times New Roman" w:cs="Times New Roman"/>
          <w:b/>
          <w:sz w:val="24"/>
          <w:szCs w:val="24"/>
          <w:lang w:val="ru-RU"/>
        </w:rPr>
      </w:pPr>
    </w:p>
    <w:p w14:paraId="28C43D0A"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p>
    <w:p w14:paraId="0B6675AA"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sr-Latn-CS"/>
        </w:rPr>
      </w:pPr>
    </w:p>
    <w:p w14:paraId="74BCA3BE" w14:textId="77777777" w:rsidR="005E5329" w:rsidRPr="005E5329" w:rsidRDefault="005E5329" w:rsidP="00A447B5">
      <w:pPr>
        <w:spacing w:after="0" w:line="240" w:lineRule="auto"/>
        <w:jc w:val="center"/>
        <w:rPr>
          <w:rFonts w:ascii="Times New Roman" w:eastAsia="Times New Roman" w:hAnsi="Times New Roman" w:cs="Times New Roman"/>
          <w:b/>
          <w:sz w:val="24"/>
          <w:szCs w:val="24"/>
          <w:lang w:val="ru-RU"/>
        </w:rPr>
      </w:pPr>
      <w:r w:rsidRPr="005E5329">
        <w:rPr>
          <w:rFonts w:ascii="Times New Roman" w:eastAsia="Times New Roman" w:hAnsi="Times New Roman" w:cs="Times New Roman"/>
          <w:b/>
          <w:sz w:val="24"/>
          <w:szCs w:val="24"/>
          <w:lang w:val="sr-Cyrl-CS"/>
        </w:rPr>
        <w:t>Београд</w:t>
      </w:r>
    </w:p>
    <w:p w14:paraId="03E29794" w14:textId="4F69F64F" w:rsidR="005E5329" w:rsidRPr="005E5329" w:rsidRDefault="00C421EE" w:rsidP="00A447B5">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rPr>
        <w:t>10</w:t>
      </w:r>
      <w:r w:rsidR="005E5329" w:rsidRPr="005E5329">
        <w:rPr>
          <w:rFonts w:ascii="Times New Roman" w:eastAsia="Times New Roman" w:hAnsi="Times New Roman" w:cs="Times New Roman"/>
          <w:b/>
          <w:sz w:val="24"/>
          <w:szCs w:val="24"/>
          <w:lang w:val="ru-RU"/>
        </w:rPr>
        <w:t xml:space="preserve">. </w:t>
      </w:r>
      <w:r w:rsidR="00603466">
        <w:rPr>
          <w:rFonts w:ascii="Times New Roman" w:eastAsia="Times New Roman" w:hAnsi="Times New Roman" w:cs="Times New Roman"/>
          <w:b/>
          <w:sz w:val="24"/>
          <w:szCs w:val="24"/>
          <w:lang w:val="sr-Cyrl-RS"/>
        </w:rPr>
        <w:t>април</w:t>
      </w:r>
      <w:r w:rsidR="005E5329" w:rsidRPr="005E5329">
        <w:rPr>
          <w:rFonts w:ascii="Times New Roman" w:eastAsia="Times New Roman" w:hAnsi="Times New Roman" w:cs="Times New Roman"/>
          <w:b/>
          <w:sz w:val="24"/>
          <w:szCs w:val="24"/>
        </w:rPr>
        <w:t xml:space="preserve"> </w:t>
      </w:r>
      <w:r w:rsidR="00A306B0">
        <w:rPr>
          <w:rFonts w:ascii="Times New Roman" w:eastAsia="Times New Roman" w:hAnsi="Times New Roman" w:cs="Times New Roman"/>
          <w:b/>
          <w:sz w:val="24"/>
          <w:szCs w:val="24"/>
          <w:lang w:val="ru-RU"/>
        </w:rPr>
        <w:t>2020</w:t>
      </w:r>
      <w:r w:rsidR="005E5329" w:rsidRPr="005E5329">
        <w:rPr>
          <w:rFonts w:ascii="Times New Roman" w:eastAsia="Times New Roman" w:hAnsi="Times New Roman" w:cs="Times New Roman"/>
          <w:b/>
          <w:sz w:val="24"/>
          <w:szCs w:val="24"/>
          <w:lang w:val="ru-RU"/>
        </w:rPr>
        <w:t>. године</w:t>
      </w:r>
    </w:p>
    <w:p w14:paraId="26DDBD4B" w14:textId="77777777" w:rsidR="005E5329" w:rsidRPr="005E5329" w:rsidRDefault="005E5329" w:rsidP="005E5329">
      <w:pPr>
        <w:jc w:val="both"/>
        <w:rPr>
          <w:rFonts w:ascii="Times New Roman" w:hAnsi="Times New Roman" w:cs="Times New Roman"/>
          <w:sz w:val="24"/>
          <w:szCs w:val="24"/>
        </w:rPr>
      </w:pPr>
    </w:p>
    <w:p w14:paraId="23B3A663" w14:textId="77777777" w:rsidR="005E5329" w:rsidRPr="005E5329" w:rsidRDefault="005E5329" w:rsidP="005E5329">
      <w:pPr>
        <w:jc w:val="both"/>
        <w:rPr>
          <w:rFonts w:ascii="Times New Roman" w:hAnsi="Times New Roman" w:cs="Times New Roman"/>
          <w:sz w:val="24"/>
          <w:szCs w:val="24"/>
        </w:rPr>
      </w:pPr>
    </w:p>
    <w:p w14:paraId="3E02EA06" w14:textId="77777777" w:rsidR="005E5329" w:rsidRPr="005E5329" w:rsidRDefault="005E5329" w:rsidP="005E5329">
      <w:pPr>
        <w:jc w:val="both"/>
        <w:rPr>
          <w:rFonts w:ascii="Times New Roman" w:hAnsi="Times New Roman" w:cs="Times New Roman"/>
          <w:sz w:val="24"/>
          <w:szCs w:val="24"/>
        </w:rPr>
      </w:pPr>
    </w:p>
    <w:p w14:paraId="46EE33DB" w14:textId="77777777" w:rsidR="00C45C1B" w:rsidRDefault="00C45C1B" w:rsidP="005E5329">
      <w:pPr>
        <w:contextualSpacing/>
        <w:jc w:val="both"/>
        <w:rPr>
          <w:rFonts w:ascii="Times New Roman" w:eastAsia="Calibri" w:hAnsi="Times New Roman" w:cs="Times New Roman"/>
          <w:b/>
          <w:sz w:val="24"/>
          <w:szCs w:val="24"/>
          <w:lang w:val="en-US"/>
        </w:rPr>
      </w:pPr>
    </w:p>
    <w:p w14:paraId="3B483EE9" w14:textId="77777777" w:rsidR="00C45C1B" w:rsidRDefault="00C45C1B" w:rsidP="005E5329">
      <w:pPr>
        <w:contextualSpacing/>
        <w:jc w:val="both"/>
        <w:rPr>
          <w:rFonts w:ascii="Times New Roman" w:eastAsia="Calibri" w:hAnsi="Times New Roman" w:cs="Times New Roman"/>
          <w:b/>
          <w:sz w:val="24"/>
          <w:szCs w:val="24"/>
          <w:lang w:val="en-US"/>
        </w:rPr>
      </w:pPr>
    </w:p>
    <w:p w14:paraId="5DA24F21" w14:textId="77777777" w:rsidR="00C45C1B" w:rsidRDefault="00C45C1B" w:rsidP="005E5329">
      <w:pPr>
        <w:contextualSpacing/>
        <w:jc w:val="both"/>
        <w:rPr>
          <w:rFonts w:ascii="Times New Roman" w:eastAsia="Calibri" w:hAnsi="Times New Roman" w:cs="Times New Roman"/>
          <w:b/>
          <w:sz w:val="24"/>
          <w:szCs w:val="24"/>
          <w:lang w:val="en-US"/>
        </w:rPr>
      </w:pPr>
    </w:p>
    <w:p w14:paraId="10D8BBA7" w14:textId="77777777" w:rsidR="005E5329" w:rsidRPr="005E5329" w:rsidRDefault="005E5329" w:rsidP="005E5329">
      <w:pPr>
        <w:contextualSpacing/>
        <w:jc w:val="both"/>
        <w:rPr>
          <w:rFonts w:ascii="Times New Roman" w:eastAsia="Calibri" w:hAnsi="Times New Roman" w:cs="Times New Roman"/>
          <w:b/>
          <w:sz w:val="24"/>
          <w:szCs w:val="24"/>
        </w:rPr>
      </w:pPr>
      <w:r w:rsidRPr="005E5329">
        <w:rPr>
          <w:rFonts w:ascii="Times New Roman" w:eastAsia="Calibri" w:hAnsi="Times New Roman" w:cs="Times New Roman"/>
          <w:b/>
          <w:sz w:val="24"/>
          <w:szCs w:val="24"/>
        </w:rPr>
        <w:t>УВОД</w:t>
      </w:r>
    </w:p>
    <w:p w14:paraId="65A3B67B" w14:textId="77777777" w:rsidR="005E5329" w:rsidRPr="005E5329" w:rsidRDefault="005E5329" w:rsidP="005E5329">
      <w:pPr>
        <w:ind w:left="720"/>
        <w:contextualSpacing/>
        <w:jc w:val="both"/>
        <w:rPr>
          <w:rFonts w:ascii="Times New Roman" w:eastAsia="Calibri" w:hAnsi="Times New Roman" w:cs="Times New Roman"/>
          <w:b/>
          <w:sz w:val="24"/>
          <w:szCs w:val="24"/>
        </w:rPr>
      </w:pPr>
    </w:p>
    <w:p w14:paraId="549C6B18" w14:textId="510DEA95" w:rsidR="005E5329" w:rsidRPr="005E5329" w:rsidRDefault="005E5329" w:rsidP="005E5329">
      <w:pPr>
        <w:jc w:val="both"/>
        <w:rPr>
          <w:rFonts w:ascii="Times New Roman" w:eastAsia="Calibri" w:hAnsi="Times New Roman" w:cs="Times New Roman"/>
          <w:sz w:val="24"/>
          <w:szCs w:val="24"/>
        </w:rPr>
      </w:pPr>
      <w:r w:rsidRPr="005E5329">
        <w:rPr>
          <w:rFonts w:ascii="Times New Roman" w:eastAsia="Calibri" w:hAnsi="Times New Roman" w:cs="Times New Roman"/>
          <w:sz w:val="24"/>
          <w:szCs w:val="24"/>
        </w:rPr>
        <w:t>Законом о јавним набавкама („Службени гласник РС“, бр. 124/12,</w:t>
      </w:r>
      <w:r w:rsidR="00C86D90">
        <w:rPr>
          <w:rFonts w:ascii="Times New Roman" w:eastAsia="Calibri" w:hAnsi="Times New Roman" w:cs="Times New Roman"/>
          <w:sz w:val="24"/>
          <w:szCs w:val="24"/>
        </w:rPr>
        <w:t xml:space="preserve"> </w:t>
      </w:r>
      <w:r w:rsidRPr="005E5329">
        <w:rPr>
          <w:rFonts w:ascii="Times New Roman" w:eastAsia="Calibri" w:hAnsi="Times New Roman" w:cs="Times New Roman"/>
          <w:sz w:val="24"/>
          <w:szCs w:val="24"/>
        </w:rPr>
        <w:t>14/15 и 68/15</w:t>
      </w:r>
      <w:r w:rsidRPr="005E5329">
        <w:rPr>
          <w:rFonts w:ascii="Times New Roman" w:eastAsia="Calibri" w:hAnsi="Times New Roman" w:cs="Times New Roman"/>
          <w:sz w:val="24"/>
          <w:szCs w:val="24"/>
          <w:lang w:val="en-US"/>
        </w:rPr>
        <w:t>;</w:t>
      </w:r>
      <w:r w:rsidRPr="005E5329">
        <w:rPr>
          <w:rFonts w:ascii="Times New Roman" w:eastAsia="Calibri" w:hAnsi="Times New Roman" w:cs="Times New Roman"/>
          <w:sz w:val="24"/>
          <w:szCs w:val="24"/>
        </w:rPr>
        <w:t xml:space="preserve"> у даљем тексту: Закон), прописано је да су наручиоци дужни да прикупљају и евидентирају податке о јавним набавкама и да своје кварталне извештаје достављају Управи за јавне набавке (у даљем тексту: Управа) најкасније до 10. у месецу који следи по истеку тромесечја.</w:t>
      </w:r>
    </w:p>
    <w:p w14:paraId="0FC54C77" w14:textId="77777777" w:rsidR="005E5329" w:rsidRPr="005E5329" w:rsidRDefault="005E5329" w:rsidP="005E5329">
      <w:pPr>
        <w:jc w:val="both"/>
        <w:rPr>
          <w:rFonts w:ascii="Times New Roman" w:eastAsia="Calibri" w:hAnsi="Times New Roman" w:cs="Times New Roman"/>
          <w:sz w:val="24"/>
          <w:szCs w:val="24"/>
        </w:rPr>
      </w:pPr>
      <w:r w:rsidRPr="005E5329">
        <w:rPr>
          <w:rFonts w:ascii="Times New Roman" w:eastAsia="Calibri" w:hAnsi="Times New Roman" w:cs="Times New Roman"/>
          <w:sz w:val="24"/>
          <w:szCs w:val="24"/>
        </w:rPr>
        <w:t xml:space="preserve">Кључни елементи тромесечних извештаја о јавним набавкама предвиђени су самим Законом, док су садржина извештаја и начин вођења евиденције детаљније уређени Правилником о садржини извештаја о јавним набавкама и начину вођења евиденције о јавним набавкама („Службени гласник РС“, бр. 29/13). </w:t>
      </w:r>
    </w:p>
    <w:p w14:paraId="1F13356B" w14:textId="6F58C348" w:rsidR="005E5329" w:rsidRPr="005E5329" w:rsidRDefault="005E5329" w:rsidP="005E5329">
      <w:pPr>
        <w:jc w:val="both"/>
        <w:rPr>
          <w:rFonts w:ascii="Times New Roman" w:eastAsia="Calibri" w:hAnsi="Times New Roman" w:cs="Times New Roman"/>
          <w:sz w:val="24"/>
          <w:szCs w:val="24"/>
        </w:rPr>
      </w:pPr>
      <w:r w:rsidRPr="005E5329">
        <w:rPr>
          <w:rFonts w:ascii="Times New Roman" w:eastAsia="Calibri" w:hAnsi="Times New Roman" w:cs="Times New Roman"/>
          <w:sz w:val="24"/>
          <w:szCs w:val="24"/>
        </w:rPr>
        <w:t>Конкретно, прописано је да наручиоци достављају Управи тромесечни извештај о спроведеним поступцима и закљученим уговорима о јавним набавкама, о спроведеним поступцима набавки на које се не примењују о</w:t>
      </w:r>
      <w:r w:rsidR="000765C8">
        <w:rPr>
          <w:rFonts w:ascii="Times New Roman" w:eastAsia="Calibri" w:hAnsi="Times New Roman" w:cs="Times New Roman"/>
          <w:sz w:val="24"/>
          <w:szCs w:val="24"/>
        </w:rPr>
        <w:t xml:space="preserve">дредбе Закона, о обустављеним, </w:t>
      </w:r>
      <w:r w:rsidRPr="005E5329">
        <w:rPr>
          <w:rFonts w:ascii="Times New Roman" w:eastAsia="Calibri" w:hAnsi="Times New Roman" w:cs="Times New Roman"/>
          <w:sz w:val="24"/>
          <w:szCs w:val="24"/>
        </w:rPr>
        <w:t>поништеним поступцима јавне набавке, к</w:t>
      </w:r>
      <w:r w:rsidR="000765C8">
        <w:rPr>
          <w:rFonts w:ascii="Times New Roman" w:eastAsia="Calibri" w:hAnsi="Times New Roman" w:cs="Times New Roman"/>
          <w:sz w:val="24"/>
          <w:szCs w:val="24"/>
        </w:rPr>
        <w:t xml:space="preserve">ао и </w:t>
      </w:r>
      <w:r w:rsidRPr="005E5329">
        <w:rPr>
          <w:rFonts w:ascii="Times New Roman" w:eastAsia="Calibri" w:hAnsi="Times New Roman" w:cs="Times New Roman"/>
          <w:sz w:val="24"/>
          <w:szCs w:val="24"/>
        </w:rPr>
        <w:t>извршењу уговора.</w:t>
      </w:r>
    </w:p>
    <w:p w14:paraId="3EF50896" w14:textId="13B71A8D" w:rsidR="005E5329" w:rsidRPr="005E5329" w:rsidRDefault="005E5329" w:rsidP="005E5329">
      <w:pPr>
        <w:jc w:val="both"/>
        <w:rPr>
          <w:rFonts w:ascii="Times New Roman" w:eastAsia="Calibri" w:hAnsi="Times New Roman" w:cs="Times New Roman"/>
          <w:sz w:val="24"/>
          <w:szCs w:val="24"/>
        </w:rPr>
      </w:pPr>
      <w:r w:rsidRPr="005E5329">
        <w:rPr>
          <w:rFonts w:ascii="Times New Roman" w:eastAsia="Calibri" w:hAnsi="Times New Roman" w:cs="Times New Roman"/>
          <w:sz w:val="24"/>
          <w:szCs w:val="24"/>
        </w:rPr>
        <w:t>Тромесечни извештај о јавним набавкама припрема се и доставља у електронској форми, путем апликативног софтвера Управе. Поред прописаних образаца за вођење евиденције, софтвер садржи и пратеће корисничко упутство, и доступан је на интернет страници Управе (</w:t>
      </w:r>
      <w:hyperlink r:id="rId9" w:history="1">
        <w:r w:rsidRPr="005E5329">
          <w:rPr>
            <w:rFonts w:ascii="Times New Roman" w:eastAsia="Calibri" w:hAnsi="Times New Roman" w:cs="Times New Roman"/>
            <w:color w:val="0000FF"/>
            <w:sz w:val="24"/>
            <w:szCs w:val="24"/>
            <w:u w:val="single"/>
          </w:rPr>
          <w:t>www.ujn.gov.rs</w:t>
        </w:r>
      </w:hyperlink>
      <w:r w:rsidRPr="005E5329">
        <w:rPr>
          <w:rFonts w:ascii="Times New Roman" w:eastAsia="Calibri" w:hAnsi="Times New Roman" w:cs="Times New Roman"/>
          <w:sz w:val="24"/>
          <w:szCs w:val="24"/>
        </w:rPr>
        <w:t xml:space="preserve">). </w:t>
      </w:r>
    </w:p>
    <w:p w14:paraId="59573D9B" w14:textId="789E7924" w:rsidR="005E5329" w:rsidRPr="000C69A8" w:rsidRDefault="005E5329" w:rsidP="005E5329">
      <w:pPr>
        <w:jc w:val="both"/>
        <w:rPr>
          <w:rFonts w:ascii="Times New Roman" w:eastAsia="Calibri" w:hAnsi="Times New Roman" w:cs="Times New Roman"/>
          <w:sz w:val="24"/>
          <w:szCs w:val="24"/>
        </w:rPr>
      </w:pPr>
      <w:r w:rsidRPr="005E5329">
        <w:rPr>
          <w:rFonts w:ascii="Times New Roman" w:eastAsia="Calibri" w:hAnsi="Times New Roman" w:cs="Times New Roman"/>
          <w:sz w:val="24"/>
          <w:szCs w:val="24"/>
        </w:rPr>
        <w:t xml:space="preserve">Подаци о уговорима закљученим у поступку јавне набавке мале вредности, као и подаци о набавкама на које се Закон не примењује у извештајима се наводе збирно, за разлику од осталих </w:t>
      </w:r>
      <w:r w:rsidR="00C67A5A">
        <w:rPr>
          <w:rFonts w:ascii="Times New Roman" w:eastAsia="Calibri" w:hAnsi="Times New Roman" w:cs="Times New Roman"/>
          <w:sz w:val="24"/>
          <w:szCs w:val="24"/>
        </w:rPr>
        <w:t xml:space="preserve">врста </w:t>
      </w:r>
      <w:r w:rsidRPr="005E5329">
        <w:rPr>
          <w:rFonts w:ascii="Times New Roman" w:eastAsia="Calibri" w:hAnsi="Times New Roman" w:cs="Times New Roman"/>
          <w:sz w:val="24"/>
          <w:szCs w:val="24"/>
        </w:rPr>
        <w:t>поступака где су наручиоци дужни да евидентирају сваки закључени уговор појединачно.</w:t>
      </w:r>
      <w:r w:rsidR="0024268A">
        <w:rPr>
          <w:rFonts w:ascii="Times New Roman" w:eastAsia="Calibri" w:hAnsi="Times New Roman" w:cs="Times New Roman"/>
          <w:sz w:val="24"/>
          <w:szCs w:val="24"/>
          <w:lang w:val="en-US"/>
        </w:rPr>
        <w:t xml:space="preserve"> </w:t>
      </w:r>
      <w:r w:rsidR="0024268A" w:rsidRPr="000C69A8">
        <w:rPr>
          <w:rFonts w:ascii="Times New Roman" w:eastAsia="Calibri" w:hAnsi="Times New Roman" w:cs="Times New Roman"/>
          <w:sz w:val="24"/>
          <w:szCs w:val="24"/>
        </w:rPr>
        <w:t>У складу са наведеном методологијом прикупљања података, генеришу се збирни статистички показетељи.</w:t>
      </w:r>
    </w:p>
    <w:p w14:paraId="02E3385B" w14:textId="54FA6970" w:rsidR="005E5329" w:rsidRPr="005E5329" w:rsidRDefault="005E5329" w:rsidP="005E5329">
      <w:pPr>
        <w:jc w:val="both"/>
        <w:rPr>
          <w:rFonts w:ascii="Times New Roman" w:eastAsia="Calibri" w:hAnsi="Times New Roman" w:cs="Times New Roman"/>
          <w:sz w:val="24"/>
          <w:szCs w:val="24"/>
        </w:rPr>
      </w:pPr>
      <w:r w:rsidRPr="005E5329">
        <w:rPr>
          <w:rFonts w:ascii="Times New Roman" w:eastAsia="Calibri" w:hAnsi="Times New Roman" w:cs="Times New Roman"/>
          <w:sz w:val="24"/>
          <w:szCs w:val="24"/>
        </w:rPr>
        <w:t xml:space="preserve">За исправност и тачност података приказаних у својим </w:t>
      </w:r>
      <w:r w:rsidR="00C67A5A">
        <w:rPr>
          <w:rFonts w:ascii="Times New Roman" w:eastAsia="Calibri" w:hAnsi="Times New Roman" w:cs="Times New Roman"/>
          <w:sz w:val="24"/>
          <w:szCs w:val="24"/>
        </w:rPr>
        <w:t xml:space="preserve">тромесечним </w:t>
      </w:r>
      <w:r w:rsidRPr="005E5329">
        <w:rPr>
          <w:rFonts w:ascii="Times New Roman" w:eastAsia="Calibri" w:hAnsi="Times New Roman" w:cs="Times New Roman"/>
          <w:sz w:val="24"/>
          <w:szCs w:val="24"/>
        </w:rPr>
        <w:t>извештајима, одговорност сносе наручиоци.</w:t>
      </w:r>
    </w:p>
    <w:p w14:paraId="61F5B4C0" w14:textId="729A52EF" w:rsidR="005E5329" w:rsidRPr="005E5329" w:rsidRDefault="005E5329" w:rsidP="005E5329">
      <w:pPr>
        <w:jc w:val="both"/>
        <w:rPr>
          <w:rFonts w:ascii="Times New Roman" w:eastAsia="Calibri" w:hAnsi="Times New Roman" w:cs="Times New Roman"/>
          <w:sz w:val="24"/>
          <w:szCs w:val="24"/>
        </w:rPr>
      </w:pPr>
      <w:r w:rsidRPr="005E5329">
        <w:rPr>
          <w:rFonts w:ascii="Times New Roman" w:eastAsia="Calibri" w:hAnsi="Times New Roman" w:cs="Times New Roman"/>
          <w:sz w:val="24"/>
          <w:szCs w:val="24"/>
        </w:rPr>
        <w:t xml:space="preserve">Управа је дужна да на основу појединачних извештаја наручилаца припреми збирни, полугодишњи и годишњи извештај о јавним набавкама са предлогом </w:t>
      </w:r>
      <w:r w:rsidR="0024268A">
        <w:rPr>
          <w:rFonts w:ascii="Times New Roman" w:eastAsia="Calibri" w:hAnsi="Times New Roman" w:cs="Times New Roman"/>
          <w:sz w:val="24"/>
          <w:szCs w:val="24"/>
        </w:rPr>
        <w:t xml:space="preserve">општих и појединачних </w:t>
      </w:r>
      <w:r w:rsidRPr="005E5329">
        <w:rPr>
          <w:rFonts w:ascii="Times New Roman" w:eastAsia="Calibri" w:hAnsi="Times New Roman" w:cs="Times New Roman"/>
          <w:sz w:val="24"/>
          <w:szCs w:val="24"/>
        </w:rPr>
        <w:t>мера за унапређење система јавних набавки и да их, након достављања Влади Рeпублике Србије, објави на својој интернет страници.</w:t>
      </w:r>
    </w:p>
    <w:p w14:paraId="0C702568" w14:textId="3815BE58" w:rsidR="005E5329" w:rsidRPr="00163E0C" w:rsidRDefault="005E5329" w:rsidP="0024268A">
      <w:pPr>
        <w:jc w:val="both"/>
        <w:rPr>
          <w:rFonts w:ascii="Times New Roman" w:eastAsia="Calibri" w:hAnsi="Times New Roman" w:cs="Times New Roman"/>
          <w:sz w:val="24"/>
          <w:szCs w:val="24"/>
        </w:rPr>
        <w:sectPr w:rsidR="005E5329" w:rsidRPr="00163E0C" w:rsidSect="00016502">
          <w:footerReference w:type="default" r:id="rId10"/>
          <w:pgSz w:w="11907" w:h="16839" w:code="9"/>
          <w:pgMar w:top="720" w:right="720" w:bottom="720" w:left="720" w:header="708" w:footer="708" w:gutter="0"/>
          <w:pgNumType w:start="0"/>
          <w:cols w:space="708"/>
          <w:titlePg/>
          <w:docGrid w:linePitch="360"/>
        </w:sectPr>
      </w:pPr>
      <w:r w:rsidRPr="005E5329">
        <w:rPr>
          <w:rFonts w:ascii="Times New Roman" w:eastAsia="Calibri" w:hAnsi="Times New Roman" w:cs="Times New Roman"/>
          <w:sz w:val="24"/>
          <w:szCs w:val="24"/>
        </w:rPr>
        <w:t>Такође, на основу достављених тромесечних извештаја наручилаца, Управа припрема преглед спроведених поступака и закључених уговорa који објављује на Порталу јавних набавки (</w:t>
      </w:r>
      <w:hyperlink r:id="rId11" w:history="1">
        <w:r w:rsidRPr="005E5329">
          <w:rPr>
            <w:rStyle w:val="Hyperlink"/>
            <w:rFonts w:ascii="Times New Roman" w:eastAsia="Calibri" w:hAnsi="Times New Roman" w:cs="Times New Roman"/>
            <w:sz w:val="24"/>
            <w:szCs w:val="24"/>
          </w:rPr>
          <w:t>http://portal.ujn.gov.rs</w:t>
        </w:r>
      </w:hyperlink>
      <w:r w:rsidRPr="005E5329">
        <w:rPr>
          <w:rStyle w:val="Hyperlink"/>
          <w:rFonts w:ascii="Times New Roman" w:eastAsia="Calibri" w:hAnsi="Times New Roman" w:cs="Times New Roman"/>
          <w:sz w:val="24"/>
          <w:szCs w:val="24"/>
        </w:rPr>
        <w:t>;</w:t>
      </w:r>
      <w:r w:rsidR="0024268A">
        <w:rPr>
          <w:rStyle w:val="Hyperlink"/>
          <w:rFonts w:ascii="Times New Roman" w:eastAsia="Calibri" w:hAnsi="Times New Roman" w:cs="Times New Roman"/>
          <w:sz w:val="24"/>
          <w:szCs w:val="24"/>
          <w:u w:val="none"/>
        </w:rPr>
        <w:t xml:space="preserve"> </w:t>
      </w:r>
      <w:r w:rsidR="0024268A">
        <w:rPr>
          <w:rFonts w:ascii="Times New Roman" w:eastAsia="Calibri" w:hAnsi="Times New Roman" w:cs="Times New Roman"/>
          <w:sz w:val="24"/>
          <w:szCs w:val="24"/>
        </w:rPr>
        <w:t>у</w:t>
      </w:r>
      <w:r w:rsidR="0024268A">
        <w:rPr>
          <w:rFonts w:ascii="Times New Roman" w:eastAsia="Calibri" w:hAnsi="Times New Roman" w:cs="Times New Roman"/>
          <w:sz w:val="24"/>
          <w:szCs w:val="24"/>
          <w:lang w:val="en-US"/>
        </w:rPr>
        <w:t xml:space="preserve"> </w:t>
      </w:r>
      <w:r w:rsidRPr="005E5329">
        <w:rPr>
          <w:rFonts w:ascii="Times New Roman" w:eastAsia="Calibri" w:hAnsi="Times New Roman" w:cs="Times New Roman"/>
          <w:sz w:val="24"/>
          <w:szCs w:val="24"/>
        </w:rPr>
        <w:t>даљем тексту: Порт</w:t>
      </w:r>
      <w:r w:rsidR="009C0C7B">
        <w:rPr>
          <w:rFonts w:ascii="Times New Roman" w:eastAsia="Calibri" w:hAnsi="Times New Roman" w:cs="Times New Roman"/>
          <w:sz w:val="24"/>
          <w:szCs w:val="24"/>
        </w:rPr>
        <w:t>ал), ради информисања јавности</w:t>
      </w:r>
      <w:r w:rsidR="00163E0C">
        <w:rPr>
          <w:rFonts w:ascii="Times New Roman" w:eastAsia="Calibri" w:hAnsi="Times New Roman" w:cs="Times New Roman"/>
          <w:sz w:val="24"/>
          <w:szCs w:val="24"/>
        </w:rPr>
        <w:t xml:space="preserve">. </w:t>
      </w:r>
    </w:p>
    <w:p w14:paraId="328B50CA" w14:textId="77777777" w:rsidR="009D4AE2" w:rsidRDefault="009D4AE2" w:rsidP="005E5329">
      <w:pPr>
        <w:jc w:val="both"/>
        <w:rPr>
          <w:rFonts w:ascii="Times New Roman" w:hAnsi="Times New Roman" w:cs="Times New Roman"/>
          <w:b/>
          <w:sz w:val="24"/>
          <w:szCs w:val="24"/>
        </w:rPr>
      </w:pPr>
    </w:p>
    <w:p w14:paraId="122B128B" w14:textId="77777777" w:rsidR="005E5329" w:rsidRPr="0006225C" w:rsidRDefault="005E5329" w:rsidP="00960A8C">
      <w:pPr>
        <w:pStyle w:val="ListParagraph"/>
        <w:numPr>
          <w:ilvl w:val="0"/>
          <w:numId w:val="2"/>
        </w:numPr>
        <w:jc w:val="both"/>
        <w:rPr>
          <w:rFonts w:ascii="Times New Roman" w:hAnsi="Times New Roman" w:cs="Times New Roman"/>
          <w:b/>
          <w:sz w:val="24"/>
          <w:szCs w:val="24"/>
        </w:rPr>
      </w:pPr>
      <w:r w:rsidRPr="0006225C">
        <w:rPr>
          <w:rFonts w:ascii="Times New Roman" w:hAnsi="Times New Roman" w:cs="Times New Roman"/>
          <w:b/>
          <w:sz w:val="24"/>
          <w:szCs w:val="24"/>
        </w:rPr>
        <w:t>ОПШТИ ПОКАЗАТЕЉИ</w:t>
      </w:r>
    </w:p>
    <w:p w14:paraId="6E68906B" w14:textId="21FF8758" w:rsidR="005E5329" w:rsidRPr="001D03C0" w:rsidRDefault="00EF522E" w:rsidP="004337BF">
      <w:pPr>
        <w:jc w:val="both"/>
        <w:rPr>
          <w:rFonts w:ascii="Times New Roman" w:hAnsi="Times New Roman" w:cs="Times New Roman"/>
          <w:sz w:val="24"/>
          <w:szCs w:val="24"/>
        </w:rPr>
      </w:pPr>
      <w:r w:rsidRPr="001D03C0">
        <w:rPr>
          <w:rFonts w:ascii="Times New Roman" w:hAnsi="Times New Roman" w:cs="Times New Roman"/>
          <w:sz w:val="24"/>
          <w:szCs w:val="24"/>
        </w:rPr>
        <w:t>У 201</w:t>
      </w:r>
      <w:r w:rsidR="000D076B">
        <w:rPr>
          <w:rFonts w:ascii="Times New Roman" w:hAnsi="Times New Roman" w:cs="Times New Roman"/>
          <w:sz w:val="24"/>
          <w:szCs w:val="24"/>
          <w:lang w:val="sr-Cyrl-CS"/>
        </w:rPr>
        <w:t>9</w:t>
      </w:r>
      <w:r w:rsidR="005E5329" w:rsidRPr="001D03C0">
        <w:rPr>
          <w:rFonts w:ascii="Times New Roman" w:hAnsi="Times New Roman" w:cs="Times New Roman"/>
          <w:sz w:val="24"/>
          <w:szCs w:val="24"/>
        </w:rPr>
        <w:t xml:space="preserve">. години извештај о јавним набавкама доставило је </w:t>
      </w:r>
      <w:r w:rsidR="000D076B">
        <w:rPr>
          <w:rFonts w:ascii="Times New Roman" w:hAnsi="Times New Roman" w:cs="Times New Roman"/>
          <w:sz w:val="24"/>
          <w:szCs w:val="24"/>
          <w:lang w:val="en-US"/>
        </w:rPr>
        <w:t xml:space="preserve">4.002 </w:t>
      </w:r>
      <w:r w:rsidR="005E5329" w:rsidRPr="001D03C0">
        <w:rPr>
          <w:rFonts w:ascii="Times New Roman" w:hAnsi="Times New Roman" w:cs="Times New Roman"/>
          <w:sz w:val="24"/>
          <w:szCs w:val="24"/>
        </w:rPr>
        <w:t xml:space="preserve"> наручилаца, </w:t>
      </w:r>
      <w:r w:rsidR="004337BF" w:rsidRPr="001D03C0">
        <w:rPr>
          <w:rFonts w:ascii="Times New Roman" w:hAnsi="Times New Roman" w:cs="Times New Roman"/>
          <w:sz w:val="24"/>
          <w:szCs w:val="24"/>
        </w:rPr>
        <w:t>док је р</w:t>
      </w:r>
      <w:r w:rsidR="005E5329" w:rsidRPr="001D03C0">
        <w:rPr>
          <w:rFonts w:ascii="Times New Roman" w:hAnsi="Times New Roman" w:cs="Times New Roman"/>
          <w:sz w:val="24"/>
          <w:szCs w:val="24"/>
        </w:rPr>
        <w:t>егистрован</w:t>
      </w:r>
      <w:r w:rsidR="004337BF" w:rsidRPr="001D03C0">
        <w:rPr>
          <w:rFonts w:ascii="Times New Roman" w:hAnsi="Times New Roman" w:cs="Times New Roman"/>
          <w:sz w:val="24"/>
          <w:szCs w:val="24"/>
        </w:rPr>
        <w:t xml:space="preserve">а вредност јавних набавки </w:t>
      </w:r>
      <w:r w:rsidR="000D076B">
        <w:rPr>
          <w:rFonts w:ascii="Times New Roman" w:hAnsi="Times New Roman" w:cs="Times New Roman"/>
          <w:sz w:val="24"/>
          <w:szCs w:val="24"/>
        </w:rPr>
        <w:t>износила 440</w:t>
      </w:r>
      <w:r w:rsidR="00D24571" w:rsidRPr="001D03C0">
        <w:rPr>
          <w:rFonts w:ascii="Times New Roman" w:hAnsi="Times New Roman" w:cs="Times New Roman"/>
          <w:sz w:val="24"/>
          <w:szCs w:val="24"/>
        </w:rPr>
        <w:t>,</w:t>
      </w:r>
      <w:r w:rsidR="000D076B">
        <w:rPr>
          <w:rFonts w:ascii="Times New Roman" w:hAnsi="Times New Roman" w:cs="Times New Roman"/>
          <w:sz w:val="24"/>
          <w:szCs w:val="24"/>
          <w:lang w:val="sr-Cyrl-CS"/>
        </w:rPr>
        <w:t>5</w:t>
      </w:r>
      <w:r w:rsidR="002B21E1" w:rsidRPr="001D03C0">
        <w:rPr>
          <w:rFonts w:ascii="Times New Roman" w:hAnsi="Times New Roman" w:cs="Times New Roman"/>
          <w:sz w:val="24"/>
          <w:szCs w:val="24"/>
        </w:rPr>
        <w:t xml:space="preserve"> милијарди</w:t>
      </w:r>
      <w:r w:rsidR="005E5329" w:rsidRPr="001D03C0">
        <w:rPr>
          <w:rFonts w:ascii="Times New Roman" w:hAnsi="Times New Roman" w:cs="Times New Roman"/>
          <w:sz w:val="24"/>
          <w:szCs w:val="24"/>
        </w:rPr>
        <w:t xml:space="preserve"> динара</w:t>
      </w:r>
      <w:r w:rsidR="002A7537" w:rsidRPr="001D03C0">
        <w:rPr>
          <w:rFonts w:ascii="Times New Roman" w:hAnsi="Times New Roman" w:cs="Times New Roman"/>
          <w:sz w:val="24"/>
          <w:szCs w:val="24"/>
          <w:lang w:val="sr-Cyrl-CS"/>
        </w:rPr>
        <w:t>, што је знатно већа вредност у односу на претходне године</w:t>
      </w:r>
      <w:r w:rsidR="005E5329" w:rsidRPr="001D03C0">
        <w:rPr>
          <w:rFonts w:ascii="Times New Roman" w:hAnsi="Times New Roman" w:cs="Times New Roman"/>
          <w:sz w:val="24"/>
          <w:szCs w:val="24"/>
        </w:rPr>
        <w:t>. Кретање вредности регистрованих јавних набавки, као и просечне вредности уговора о јавној набавци по годинама, п</w:t>
      </w:r>
      <w:r w:rsidR="00E51A67" w:rsidRPr="001D03C0">
        <w:rPr>
          <w:rFonts w:ascii="Times New Roman" w:hAnsi="Times New Roman" w:cs="Times New Roman"/>
          <w:sz w:val="24"/>
          <w:szCs w:val="24"/>
        </w:rPr>
        <w:t>риказане</w:t>
      </w:r>
      <w:r w:rsidR="005E5329" w:rsidRPr="001D03C0">
        <w:rPr>
          <w:rFonts w:ascii="Times New Roman" w:hAnsi="Times New Roman" w:cs="Times New Roman"/>
          <w:sz w:val="24"/>
          <w:szCs w:val="24"/>
        </w:rPr>
        <w:t xml:space="preserve"> </w:t>
      </w:r>
      <w:r w:rsidR="00E51A67" w:rsidRPr="001D03C0">
        <w:rPr>
          <w:rFonts w:ascii="Times New Roman" w:hAnsi="Times New Roman" w:cs="Times New Roman"/>
          <w:sz w:val="24"/>
          <w:szCs w:val="24"/>
        </w:rPr>
        <w:t>су</w:t>
      </w:r>
      <w:r w:rsidR="005E5329" w:rsidRPr="001D03C0">
        <w:rPr>
          <w:rFonts w:ascii="Times New Roman" w:hAnsi="Times New Roman" w:cs="Times New Roman"/>
          <w:sz w:val="24"/>
          <w:szCs w:val="24"/>
        </w:rPr>
        <w:t xml:space="preserve"> у Табели 1.</w:t>
      </w:r>
    </w:p>
    <w:p w14:paraId="70D919B6" w14:textId="5149B998" w:rsidR="0030552D" w:rsidRPr="00BE7D6A" w:rsidRDefault="000D076B" w:rsidP="0030552D">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30552D" w:rsidRPr="00BE7D6A">
        <w:rPr>
          <w:rFonts w:ascii="Times New Roman" w:hAnsi="Times New Roman" w:cs="Times New Roman"/>
          <w:b/>
          <w:color w:val="000000" w:themeColor="text1"/>
          <w:sz w:val="24"/>
          <w:szCs w:val="24"/>
        </w:rPr>
        <w:t>Табела 1</w:t>
      </w:r>
    </w:p>
    <w:tbl>
      <w:tblPr>
        <w:tblW w:w="10525" w:type="dxa"/>
        <w:tblInd w:w="250" w:type="dxa"/>
        <w:tblLook w:val="04A0" w:firstRow="1" w:lastRow="0" w:firstColumn="1" w:lastColumn="0" w:noHBand="0" w:noVBand="1"/>
      </w:tblPr>
      <w:tblGrid>
        <w:gridCol w:w="1083"/>
        <w:gridCol w:w="2638"/>
        <w:gridCol w:w="3934"/>
        <w:gridCol w:w="2870"/>
      </w:tblGrid>
      <w:tr w:rsidR="000D076B" w:rsidRPr="00F502D4" w14:paraId="1659728B" w14:textId="77777777" w:rsidTr="003124ED">
        <w:trPr>
          <w:trHeight w:val="300"/>
        </w:trPr>
        <w:tc>
          <w:tcPr>
            <w:tcW w:w="105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93BF61"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p>
          <w:p w14:paraId="7E21BB22" w14:textId="77777777" w:rsidR="000D076B" w:rsidRPr="00D96A95" w:rsidRDefault="000D076B" w:rsidP="003124ED">
            <w:pPr>
              <w:spacing w:after="0" w:line="240" w:lineRule="auto"/>
              <w:jc w:val="center"/>
              <w:rPr>
                <w:rFonts w:ascii="Times New Roman" w:eastAsia="Times New Roman" w:hAnsi="Times New Roman" w:cs="Times New Roman"/>
                <w:b/>
                <w:color w:val="000000" w:themeColor="text1"/>
                <w:sz w:val="24"/>
                <w:szCs w:val="24"/>
              </w:rPr>
            </w:pPr>
            <w:r w:rsidRPr="00D96A95">
              <w:rPr>
                <w:rFonts w:ascii="Times New Roman" w:eastAsia="Times New Roman" w:hAnsi="Times New Roman" w:cs="Times New Roman"/>
                <w:b/>
                <w:color w:val="000000" w:themeColor="text1"/>
                <w:sz w:val="24"/>
                <w:szCs w:val="24"/>
              </w:rPr>
              <w:t>Упоредни преглед закључених уговора о јавним набавкама</w:t>
            </w:r>
          </w:p>
          <w:p w14:paraId="6F1511D1"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p>
        </w:tc>
      </w:tr>
      <w:tr w:rsidR="000D076B" w:rsidRPr="00F502D4" w14:paraId="0BFF79B6" w14:textId="77777777" w:rsidTr="003124ED">
        <w:trPr>
          <w:trHeight w:val="97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08BFC77" w14:textId="77777777" w:rsidR="000D076B" w:rsidRPr="00F502D4" w:rsidRDefault="000D076B" w:rsidP="003124ED">
            <w:pPr>
              <w:spacing w:after="0" w:line="240" w:lineRule="auto"/>
              <w:jc w:val="center"/>
              <w:rPr>
                <w:rFonts w:ascii="Times New Roman" w:eastAsia="Times New Roman" w:hAnsi="Times New Roman" w:cs="Times New Roman"/>
                <w:b/>
                <w:color w:val="000000"/>
              </w:rPr>
            </w:pPr>
            <w:r w:rsidRPr="00F502D4">
              <w:rPr>
                <w:rFonts w:ascii="Times New Roman" w:eastAsia="Times New Roman" w:hAnsi="Times New Roman" w:cs="Times New Roman"/>
                <w:b/>
                <w:color w:val="000000"/>
              </w:rPr>
              <w:t>Година</w:t>
            </w:r>
          </w:p>
        </w:tc>
        <w:tc>
          <w:tcPr>
            <w:tcW w:w="2638" w:type="dxa"/>
            <w:tcBorders>
              <w:top w:val="nil"/>
              <w:left w:val="nil"/>
              <w:bottom w:val="single" w:sz="4" w:space="0" w:color="auto"/>
              <w:right w:val="single" w:sz="4" w:space="0" w:color="auto"/>
            </w:tcBorders>
            <w:shd w:val="clear" w:color="auto" w:fill="auto"/>
            <w:vAlign w:val="center"/>
            <w:hideMark/>
          </w:tcPr>
          <w:p w14:paraId="15611D07"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Укупан број уговора</w:t>
            </w:r>
          </w:p>
        </w:tc>
        <w:tc>
          <w:tcPr>
            <w:tcW w:w="3934" w:type="dxa"/>
            <w:tcBorders>
              <w:top w:val="nil"/>
              <w:left w:val="nil"/>
              <w:bottom w:val="single" w:sz="4" w:space="0" w:color="auto"/>
              <w:right w:val="single" w:sz="4" w:space="0" w:color="auto"/>
            </w:tcBorders>
            <w:shd w:val="clear" w:color="auto" w:fill="auto"/>
            <w:vAlign w:val="center"/>
            <w:hideMark/>
          </w:tcPr>
          <w:p w14:paraId="49A34712"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 xml:space="preserve">Укупна вредност </w:t>
            </w:r>
          </w:p>
          <w:p w14:paraId="17EA655B"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(у хиљадама динара)</w:t>
            </w:r>
          </w:p>
        </w:tc>
        <w:tc>
          <w:tcPr>
            <w:tcW w:w="2870" w:type="dxa"/>
            <w:tcBorders>
              <w:top w:val="nil"/>
              <w:left w:val="nil"/>
              <w:bottom w:val="single" w:sz="4" w:space="0" w:color="auto"/>
              <w:right w:val="single" w:sz="4" w:space="0" w:color="auto"/>
            </w:tcBorders>
            <w:shd w:val="clear" w:color="auto" w:fill="auto"/>
            <w:vAlign w:val="center"/>
            <w:hideMark/>
          </w:tcPr>
          <w:p w14:paraId="163F0DC2"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Просечна вредност           (у хиљадама динара)</w:t>
            </w:r>
          </w:p>
        </w:tc>
      </w:tr>
      <w:tr w:rsidR="000D076B" w:rsidRPr="00F502D4" w14:paraId="0C016173"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2ECF15D"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2003</w:t>
            </w:r>
          </w:p>
        </w:tc>
        <w:tc>
          <w:tcPr>
            <w:tcW w:w="2638" w:type="dxa"/>
            <w:tcBorders>
              <w:top w:val="nil"/>
              <w:left w:val="nil"/>
              <w:bottom w:val="single" w:sz="4" w:space="0" w:color="auto"/>
              <w:right w:val="single" w:sz="4" w:space="0" w:color="auto"/>
            </w:tcBorders>
            <w:shd w:val="clear" w:color="auto" w:fill="auto"/>
            <w:noWrap/>
            <w:vAlign w:val="center"/>
            <w:hideMark/>
          </w:tcPr>
          <w:p w14:paraId="36F46A1B"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231.661</w:t>
            </w:r>
          </w:p>
        </w:tc>
        <w:tc>
          <w:tcPr>
            <w:tcW w:w="3934" w:type="dxa"/>
            <w:tcBorders>
              <w:top w:val="nil"/>
              <w:left w:val="nil"/>
              <w:bottom w:val="single" w:sz="4" w:space="0" w:color="auto"/>
              <w:right w:val="single" w:sz="4" w:space="0" w:color="auto"/>
            </w:tcBorders>
            <w:shd w:val="clear" w:color="auto" w:fill="auto"/>
            <w:noWrap/>
            <w:vAlign w:val="center"/>
            <w:hideMark/>
          </w:tcPr>
          <w:p w14:paraId="5997682C"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98.777.652</w:t>
            </w:r>
          </w:p>
        </w:tc>
        <w:tc>
          <w:tcPr>
            <w:tcW w:w="2870" w:type="dxa"/>
            <w:tcBorders>
              <w:top w:val="nil"/>
              <w:left w:val="nil"/>
              <w:bottom w:val="single" w:sz="4" w:space="0" w:color="auto"/>
              <w:right w:val="single" w:sz="4" w:space="0" w:color="auto"/>
            </w:tcBorders>
            <w:shd w:val="clear" w:color="auto" w:fill="auto"/>
            <w:noWrap/>
            <w:vAlign w:val="center"/>
            <w:hideMark/>
          </w:tcPr>
          <w:p w14:paraId="20843C13"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426</w:t>
            </w:r>
          </w:p>
        </w:tc>
      </w:tr>
      <w:tr w:rsidR="000D076B" w:rsidRPr="00F502D4" w14:paraId="62C5A27C"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C042343"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2004</w:t>
            </w:r>
          </w:p>
        </w:tc>
        <w:tc>
          <w:tcPr>
            <w:tcW w:w="2638" w:type="dxa"/>
            <w:tcBorders>
              <w:top w:val="nil"/>
              <w:left w:val="nil"/>
              <w:bottom w:val="single" w:sz="4" w:space="0" w:color="auto"/>
              <w:right w:val="single" w:sz="4" w:space="0" w:color="auto"/>
            </w:tcBorders>
            <w:shd w:val="clear" w:color="auto" w:fill="auto"/>
            <w:noWrap/>
            <w:vAlign w:val="center"/>
            <w:hideMark/>
          </w:tcPr>
          <w:p w14:paraId="35C99ACE"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215.815</w:t>
            </w:r>
          </w:p>
        </w:tc>
        <w:tc>
          <w:tcPr>
            <w:tcW w:w="3934" w:type="dxa"/>
            <w:tcBorders>
              <w:top w:val="nil"/>
              <w:left w:val="nil"/>
              <w:bottom w:val="single" w:sz="4" w:space="0" w:color="auto"/>
              <w:right w:val="single" w:sz="4" w:space="0" w:color="auto"/>
            </w:tcBorders>
            <w:shd w:val="clear" w:color="auto" w:fill="auto"/>
            <w:noWrap/>
            <w:vAlign w:val="center"/>
            <w:hideMark/>
          </w:tcPr>
          <w:p w14:paraId="1244A608"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109.282.212</w:t>
            </w:r>
          </w:p>
        </w:tc>
        <w:tc>
          <w:tcPr>
            <w:tcW w:w="2870" w:type="dxa"/>
            <w:tcBorders>
              <w:top w:val="nil"/>
              <w:left w:val="nil"/>
              <w:bottom w:val="single" w:sz="4" w:space="0" w:color="auto"/>
              <w:right w:val="single" w:sz="4" w:space="0" w:color="auto"/>
            </w:tcBorders>
            <w:shd w:val="clear" w:color="auto" w:fill="auto"/>
            <w:noWrap/>
            <w:vAlign w:val="center"/>
            <w:hideMark/>
          </w:tcPr>
          <w:p w14:paraId="6EA24889"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506</w:t>
            </w:r>
          </w:p>
        </w:tc>
      </w:tr>
      <w:tr w:rsidR="000D076B" w:rsidRPr="00F502D4" w14:paraId="6E95669A"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2F74C7B"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2005</w:t>
            </w:r>
          </w:p>
        </w:tc>
        <w:tc>
          <w:tcPr>
            <w:tcW w:w="2638" w:type="dxa"/>
            <w:tcBorders>
              <w:top w:val="nil"/>
              <w:left w:val="nil"/>
              <w:bottom w:val="single" w:sz="4" w:space="0" w:color="auto"/>
              <w:right w:val="single" w:sz="4" w:space="0" w:color="auto"/>
            </w:tcBorders>
            <w:shd w:val="clear" w:color="auto" w:fill="auto"/>
            <w:noWrap/>
            <w:vAlign w:val="center"/>
            <w:hideMark/>
          </w:tcPr>
          <w:p w14:paraId="743DF7ED"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148.758</w:t>
            </w:r>
          </w:p>
        </w:tc>
        <w:tc>
          <w:tcPr>
            <w:tcW w:w="3934" w:type="dxa"/>
            <w:tcBorders>
              <w:top w:val="nil"/>
              <w:left w:val="nil"/>
              <w:bottom w:val="single" w:sz="4" w:space="0" w:color="auto"/>
              <w:right w:val="single" w:sz="4" w:space="0" w:color="auto"/>
            </w:tcBorders>
            <w:shd w:val="clear" w:color="auto" w:fill="auto"/>
            <w:noWrap/>
            <w:vAlign w:val="center"/>
            <w:hideMark/>
          </w:tcPr>
          <w:p w14:paraId="085D38DC"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124.753.207</w:t>
            </w:r>
          </w:p>
        </w:tc>
        <w:tc>
          <w:tcPr>
            <w:tcW w:w="2870" w:type="dxa"/>
            <w:tcBorders>
              <w:top w:val="nil"/>
              <w:left w:val="nil"/>
              <w:bottom w:val="single" w:sz="4" w:space="0" w:color="auto"/>
              <w:right w:val="single" w:sz="4" w:space="0" w:color="auto"/>
            </w:tcBorders>
            <w:shd w:val="clear" w:color="auto" w:fill="auto"/>
            <w:noWrap/>
            <w:vAlign w:val="center"/>
            <w:hideMark/>
          </w:tcPr>
          <w:p w14:paraId="7B5B09D7"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838</w:t>
            </w:r>
          </w:p>
        </w:tc>
      </w:tr>
      <w:tr w:rsidR="000D076B" w:rsidRPr="00F502D4" w14:paraId="01028496"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48E188E"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2006</w:t>
            </w:r>
          </w:p>
        </w:tc>
        <w:tc>
          <w:tcPr>
            <w:tcW w:w="2638" w:type="dxa"/>
            <w:tcBorders>
              <w:top w:val="nil"/>
              <w:left w:val="nil"/>
              <w:bottom w:val="single" w:sz="4" w:space="0" w:color="auto"/>
              <w:right w:val="single" w:sz="4" w:space="0" w:color="auto"/>
            </w:tcBorders>
            <w:shd w:val="clear" w:color="auto" w:fill="auto"/>
            <w:noWrap/>
            <w:vAlign w:val="center"/>
            <w:hideMark/>
          </w:tcPr>
          <w:p w14:paraId="0A50EE1C"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152.485</w:t>
            </w:r>
          </w:p>
        </w:tc>
        <w:tc>
          <w:tcPr>
            <w:tcW w:w="3934" w:type="dxa"/>
            <w:tcBorders>
              <w:top w:val="nil"/>
              <w:left w:val="nil"/>
              <w:bottom w:val="single" w:sz="4" w:space="0" w:color="auto"/>
              <w:right w:val="single" w:sz="4" w:space="0" w:color="auto"/>
            </w:tcBorders>
            <w:shd w:val="clear" w:color="auto" w:fill="auto"/>
            <w:noWrap/>
            <w:vAlign w:val="center"/>
            <w:hideMark/>
          </w:tcPr>
          <w:p w14:paraId="5DCB58A6"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168.914.947</w:t>
            </w:r>
          </w:p>
        </w:tc>
        <w:tc>
          <w:tcPr>
            <w:tcW w:w="2870" w:type="dxa"/>
            <w:tcBorders>
              <w:top w:val="nil"/>
              <w:left w:val="nil"/>
              <w:bottom w:val="single" w:sz="4" w:space="0" w:color="auto"/>
              <w:right w:val="single" w:sz="4" w:space="0" w:color="auto"/>
            </w:tcBorders>
            <w:shd w:val="clear" w:color="auto" w:fill="auto"/>
            <w:noWrap/>
            <w:vAlign w:val="center"/>
            <w:hideMark/>
          </w:tcPr>
          <w:p w14:paraId="5D14C626"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1.108</w:t>
            </w:r>
          </w:p>
        </w:tc>
      </w:tr>
      <w:tr w:rsidR="000D076B" w:rsidRPr="00F502D4" w14:paraId="6389305E"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8A52DBB"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2007</w:t>
            </w:r>
          </w:p>
        </w:tc>
        <w:tc>
          <w:tcPr>
            <w:tcW w:w="2638" w:type="dxa"/>
            <w:tcBorders>
              <w:top w:val="nil"/>
              <w:left w:val="nil"/>
              <w:bottom w:val="single" w:sz="4" w:space="0" w:color="auto"/>
              <w:right w:val="single" w:sz="4" w:space="0" w:color="auto"/>
            </w:tcBorders>
            <w:shd w:val="clear" w:color="auto" w:fill="auto"/>
            <w:noWrap/>
            <w:vAlign w:val="center"/>
            <w:hideMark/>
          </w:tcPr>
          <w:p w14:paraId="53D84476"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122.587</w:t>
            </w:r>
          </w:p>
        </w:tc>
        <w:tc>
          <w:tcPr>
            <w:tcW w:w="3934" w:type="dxa"/>
            <w:tcBorders>
              <w:top w:val="nil"/>
              <w:left w:val="nil"/>
              <w:bottom w:val="single" w:sz="4" w:space="0" w:color="auto"/>
              <w:right w:val="single" w:sz="4" w:space="0" w:color="auto"/>
            </w:tcBorders>
            <w:shd w:val="clear" w:color="auto" w:fill="auto"/>
            <w:noWrap/>
            <w:vAlign w:val="center"/>
            <w:hideMark/>
          </w:tcPr>
          <w:p w14:paraId="2AC74CE4"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187.559.752</w:t>
            </w:r>
          </w:p>
        </w:tc>
        <w:tc>
          <w:tcPr>
            <w:tcW w:w="2870" w:type="dxa"/>
            <w:tcBorders>
              <w:top w:val="nil"/>
              <w:left w:val="nil"/>
              <w:bottom w:val="single" w:sz="4" w:space="0" w:color="auto"/>
              <w:right w:val="single" w:sz="4" w:space="0" w:color="auto"/>
            </w:tcBorders>
            <w:shd w:val="clear" w:color="auto" w:fill="auto"/>
            <w:noWrap/>
            <w:vAlign w:val="center"/>
            <w:hideMark/>
          </w:tcPr>
          <w:p w14:paraId="3ADDA17E"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1.530</w:t>
            </w:r>
          </w:p>
        </w:tc>
      </w:tr>
      <w:tr w:rsidR="000D076B" w:rsidRPr="00F502D4" w14:paraId="04BDEAA6"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1117EEF"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2008</w:t>
            </w:r>
          </w:p>
        </w:tc>
        <w:tc>
          <w:tcPr>
            <w:tcW w:w="2638" w:type="dxa"/>
            <w:tcBorders>
              <w:top w:val="nil"/>
              <w:left w:val="nil"/>
              <w:bottom w:val="single" w:sz="4" w:space="0" w:color="auto"/>
              <w:right w:val="single" w:sz="4" w:space="0" w:color="auto"/>
            </w:tcBorders>
            <w:shd w:val="clear" w:color="auto" w:fill="auto"/>
            <w:noWrap/>
            <w:vAlign w:val="center"/>
            <w:hideMark/>
          </w:tcPr>
          <w:p w14:paraId="373F692C"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109.910</w:t>
            </w:r>
          </w:p>
        </w:tc>
        <w:tc>
          <w:tcPr>
            <w:tcW w:w="3934" w:type="dxa"/>
            <w:tcBorders>
              <w:top w:val="nil"/>
              <w:left w:val="nil"/>
              <w:bottom w:val="single" w:sz="4" w:space="0" w:color="auto"/>
              <w:right w:val="single" w:sz="4" w:space="0" w:color="auto"/>
            </w:tcBorders>
            <w:shd w:val="clear" w:color="auto" w:fill="auto"/>
            <w:noWrap/>
            <w:vAlign w:val="center"/>
            <w:hideMark/>
          </w:tcPr>
          <w:p w14:paraId="16B2885D"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234.028.744</w:t>
            </w:r>
          </w:p>
        </w:tc>
        <w:tc>
          <w:tcPr>
            <w:tcW w:w="2870" w:type="dxa"/>
            <w:tcBorders>
              <w:top w:val="nil"/>
              <w:left w:val="nil"/>
              <w:bottom w:val="single" w:sz="4" w:space="0" w:color="auto"/>
              <w:right w:val="single" w:sz="4" w:space="0" w:color="auto"/>
            </w:tcBorders>
            <w:shd w:val="clear" w:color="auto" w:fill="auto"/>
            <w:noWrap/>
            <w:vAlign w:val="center"/>
            <w:hideMark/>
          </w:tcPr>
          <w:p w14:paraId="5A262748"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2.129</w:t>
            </w:r>
          </w:p>
        </w:tc>
      </w:tr>
      <w:tr w:rsidR="000D076B" w:rsidRPr="00F502D4" w14:paraId="70D04B8E"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4DF8E97"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2009</w:t>
            </w:r>
          </w:p>
        </w:tc>
        <w:tc>
          <w:tcPr>
            <w:tcW w:w="2638" w:type="dxa"/>
            <w:tcBorders>
              <w:top w:val="nil"/>
              <w:left w:val="nil"/>
              <w:bottom w:val="single" w:sz="4" w:space="0" w:color="auto"/>
              <w:right w:val="single" w:sz="4" w:space="0" w:color="auto"/>
            </w:tcBorders>
            <w:shd w:val="clear" w:color="auto" w:fill="auto"/>
            <w:noWrap/>
            <w:vAlign w:val="center"/>
            <w:hideMark/>
          </w:tcPr>
          <w:p w14:paraId="0F6DF7BF"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91.992</w:t>
            </w:r>
          </w:p>
        </w:tc>
        <w:tc>
          <w:tcPr>
            <w:tcW w:w="3934" w:type="dxa"/>
            <w:tcBorders>
              <w:top w:val="nil"/>
              <w:left w:val="nil"/>
              <w:bottom w:val="single" w:sz="4" w:space="0" w:color="auto"/>
              <w:right w:val="single" w:sz="4" w:space="0" w:color="auto"/>
            </w:tcBorders>
            <w:shd w:val="clear" w:color="auto" w:fill="auto"/>
            <w:noWrap/>
            <w:vAlign w:val="center"/>
            <w:hideMark/>
          </w:tcPr>
          <w:p w14:paraId="08C61968"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190.655.028</w:t>
            </w:r>
          </w:p>
        </w:tc>
        <w:tc>
          <w:tcPr>
            <w:tcW w:w="2870" w:type="dxa"/>
            <w:tcBorders>
              <w:top w:val="nil"/>
              <w:left w:val="nil"/>
              <w:bottom w:val="single" w:sz="4" w:space="0" w:color="auto"/>
              <w:right w:val="single" w:sz="4" w:space="0" w:color="auto"/>
            </w:tcBorders>
            <w:shd w:val="clear" w:color="auto" w:fill="auto"/>
            <w:noWrap/>
            <w:vAlign w:val="center"/>
            <w:hideMark/>
          </w:tcPr>
          <w:p w14:paraId="32C9550B"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2.073</w:t>
            </w:r>
          </w:p>
        </w:tc>
      </w:tr>
      <w:tr w:rsidR="000D076B" w:rsidRPr="00F502D4" w14:paraId="356FA265"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1EF6826"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2010</w:t>
            </w:r>
          </w:p>
        </w:tc>
        <w:tc>
          <w:tcPr>
            <w:tcW w:w="2638" w:type="dxa"/>
            <w:tcBorders>
              <w:top w:val="nil"/>
              <w:left w:val="nil"/>
              <w:bottom w:val="single" w:sz="4" w:space="0" w:color="auto"/>
              <w:right w:val="single" w:sz="4" w:space="0" w:color="auto"/>
            </w:tcBorders>
            <w:shd w:val="clear" w:color="auto" w:fill="auto"/>
            <w:noWrap/>
            <w:vAlign w:val="center"/>
            <w:hideMark/>
          </w:tcPr>
          <w:p w14:paraId="587B1A19"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83.693</w:t>
            </w:r>
          </w:p>
        </w:tc>
        <w:tc>
          <w:tcPr>
            <w:tcW w:w="3934" w:type="dxa"/>
            <w:tcBorders>
              <w:top w:val="nil"/>
              <w:left w:val="nil"/>
              <w:bottom w:val="single" w:sz="4" w:space="0" w:color="auto"/>
              <w:right w:val="single" w:sz="4" w:space="0" w:color="auto"/>
            </w:tcBorders>
            <w:shd w:val="clear" w:color="auto" w:fill="auto"/>
            <w:noWrap/>
            <w:vAlign w:val="center"/>
            <w:hideMark/>
          </w:tcPr>
          <w:p w14:paraId="05A515F1"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273.055.306</w:t>
            </w:r>
          </w:p>
        </w:tc>
        <w:tc>
          <w:tcPr>
            <w:tcW w:w="2870" w:type="dxa"/>
            <w:tcBorders>
              <w:top w:val="nil"/>
              <w:left w:val="nil"/>
              <w:bottom w:val="single" w:sz="4" w:space="0" w:color="auto"/>
              <w:right w:val="single" w:sz="4" w:space="0" w:color="auto"/>
            </w:tcBorders>
            <w:shd w:val="clear" w:color="auto" w:fill="auto"/>
            <w:noWrap/>
            <w:vAlign w:val="center"/>
            <w:hideMark/>
          </w:tcPr>
          <w:p w14:paraId="29477566"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3.263</w:t>
            </w:r>
          </w:p>
        </w:tc>
      </w:tr>
      <w:tr w:rsidR="000D076B" w:rsidRPr="00F502D4" w14:paraId="34BBA1E1"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6B5DC74"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2011</w:t>
            </w:r>
          </w:p>
        </w:tc>
        <w:tc>
          <w:tcPr>
            <w:tcW w:w="2638" w:type="dxa"/>
            <w:tcBorders>
              <w:top w:val="nil"/>
              <w:left w:val="nil"/>
              <w:bottom w:val="single" w:sz="4" w:space="0" w:color="auto"/>
              <w:right w:val="single" w:sz="4" w:space="0" w:color="auto"/>
            </w:tcBorders>
            <w:shd w:val="clear" w:color="auto" w:fill="auto"/>
            <w:noWrap/>
            <w:vAlign w:val="center"/>
            <w:hideMark/>
          </w:tcPr>
          <w:p w14:paraId="59D706DC"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111.249</w:t>
            </w:r>
          </w:p>
        </w:tc>
        <w:tc>
          <w:tcPr>
            <w:tcW w:w="3934" w:type="dxa"/>
            <w:tcBorders>
              <w:top w:val="nil"/>
              <w:left w:val="nil"/>
              <w:bottom w:val="single" w:sz="4" w:space="0" w:color="auto"/>
              <w:right w:val="single" w:sz="4" w:space="0" w:color="auto"/>
            </w:tcBorders>
            <w:shd w:val="clear" w:color="auto" w:fill="auto"/>
            <w:noWrap/>
            <w:vAlign w:val="center"/>
            <w:hideMark/>
          </w:tcPr>
          <w:p w14:paraId="292F1305"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293.324.810</w:t>
            </w:r>
          </w:p>
        </w:tc>
        <w:tc>
          <w:tcPr>
            <w:tcW w:w="2870" w:type="dxa"/>
            <w:tcBorders>
              <w:top w:val="nil"/>
              <w:left w:val="nil"/>
              <w:bottom w:val="single" w:sz="4" w:space="0" w:color="auto"/>
              <w:right w:val="single" w:sz="4" w:space="0" w:color="auto"/>
            </w:tcBorders>
            <w:shd w:val="clear" w:color="auto" w:fill="auto"/>
            <w:noWrap/>
            <w:vAlign w:val="center"/>
            <w:hideMark/>
          </w:tcPr>
          <w:p w14:paraId="0DF96C47"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2.637</w:t>
            </w:r>
          </w:p>
        </w:tc>
      </w:tr>
      <w:tr w:rsidR="000D076B" w:rsidRPr="00F502D4" w14:paraId="32F7CE83"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D3E1686"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2012</w:t>
            </w:r>
          </w:p>
        </w:tc>
        <w:tc>
          <w:tcPr>
            <w:tcW w:w="2638" w:type="dxa"/>
            <w:tcBorders>
              <w:top w:val="nil"/>
              <w:left w:val="nil"/>
              <w:bottom w:val="single" w:sz="4" w:space="0" w:color="auto"/>
              <w:right w:val="single" w:sz="4" w:space="0" w:color="auto"/>
            </w:tcBorders>
            <w:shd w:val="clear" w:color="auto" w:fill="auto"/>
            <w:noWrap/>
            <w:vAlign w:val="center"/>
            <w:hideMark/>
          </w:tcPr>
          <w:p w14:paraId="71F2C7BA"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92.710</w:t>
            </w:r>
          </w:p>
        </w:tc>
        <w:tc>
          <w:tcPr>
            <w:tcW w:w="3934" w:type="dxa"/>
            <w:tcBorders>
              <w:top w:val="nil"/>
              <w:left w:val="nil"/>
              <w:bottom w:val="single" w:sz="4" w:space="0" w:color="auto"/>
              <w:right w:val="single" w:sz="4" w:space="0" w:color="auto"/>
            </w:tcBorders>
            <w:shd w:val="clear" w:color="auto" w:fill="auto"/>
            <w:noWrap/>
            <w:vAlign w:val="center"/>
            <w:hideMark/>
          </w:tcPr>
          <w:p w14:paraId="09E51B7E"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303.694.136</w:t>
            </w:r>
          </w:p>
        </w:tc>
        <w:tc>
          <w:tcPr>
            <w:tcW w:w="2870" w:type="dxa"/>
            <w:tcBorders>
              <w:top w:val="nil"/>
              <w:left w:val="nil"/>
              <w:bottom w:val="single" w:sz="4" w:space="0" w:color="auto"/>
              <w:right w:val="single" w:sz="4" w:space="0" w:color="auto"/>
            </w:tcBorders>
            <w:shd w:val="clear" w:color="auto" w:fill="auto"/>
            <w:noWrap/>
            <w:vAlign w:val="center"/>
            <w:hideMark/>
          </w:tcPr>
          <w:p w14:paraId="355C5A0F"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3.276</w:t>
            </w:r>
          </w:p>
        </w:tc>
      </w:tr>
      <w:tr w:rsidR="000D076B" w:rsidRPr="00F502D4" w14:paraId="25899D70"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7BA41FE"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2013</w:t>
            </w:r>
          </w:p>
        </w:tc>
        <w:tc>
          <w:tcPr>
            <w:tcW w:w="2638" w:type="dxa"/>
            <w:tcBorders>
              <w:top w:val="nil"/>
              <w:left w:val="nil"/>
              <w:bottom w:val="single" w:sz="4" w:space="0" w:color="auto"/>
              <w:right w:val="single" w:sz="4" w:space="0" w:color="auto"/>
            </w:tcBorders>
            <w:shd w:val="clear" w:color="auto" w:fill="auto"/>
            <w:noWrap/>
            <w:vAlign w:val="center"/>
            <w:hideMark/>
          </w:tcPr>
          <w:p w14:paraId="6F829545"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83.121</w:t>
            </w:r>
          </w:p>
        </w:tc>
        <w:tc>
          <w:tcPr>
            <w:tcW w:w="3934" w:type="dxa"/>
            <w:tcBorders>
              <w:top w:val="nil"/>
              <w:left w:val="nil"/>
              <w:bottom w:val="single" w:sz="4" w:space="0" w:color="auto"/>
              <w:right w:val="single" w:sz="4" w:space="0" w:color="auto"/>
            </w:tcBorders>
            <w:shd w:val="clear" w:color="auto" w:fill="auto"/>
            <w:noWrap/>
            <w:vAlign w:val="center"/>
            <w:hideMark/>
          </w:tcPr>
          <w:p w14:paraId="7FA57CC3"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262.938.735</w:t>
            </w:r>
          </w:p>
        </w:tc>
        <w:tc>
          <w:tcPr>
            <w:tcW w:w="2870" w:type="dxa"/>
            <w:tcBorders>
              <w:top w:val="nil"/>
              <w:left w:val="nil"/>
              <w:bottom w:val="single" w:sz="4" w:space="0" w:color="auto"/>
              <w:right w:val="single" w:sz="4" w:space="0" w:color="auto"/>
            </w:tcBorders>
            <w:shd w:val="clear" w:color="auto" w:fill="auto"/>
            <w:noWrap/>
            <w:vAlign w:val="center"/>
            <w:hideMark/>
          </w:tcPr>
          <w:p w14:paraId="0AB0390F"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3.163</w:t>
            </w:r>
          </w:p>
        </w:tc>
      </w:tr>
      <w:tr w:rsidR="000D076B" w:rsidRPr="00F502D4" w14:paraId="6D47E083"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B6992E0"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2014</w:t>
            </w:r>
          </w:p>
        </w:tc>
        <w:tc>
          <w:tcPr>
            <w:tcW w:w="2638" w:type="dxa"/>
            <w:tcBorders>
              <w:top w:val="nil"/>
              <w:left w:val="nil"/>
              <w:bottom w:val="single" w:sz="4" w:space="0" w:color="auto"/>
              <w:right w:val="single" w:sz="4" w:space="0" w:color="auto"/>
            </w:tcBorders>
            <w:shd w:val="clear" w:color="auto" w:fill="auto"/>
            <w:noWrap/>
            <w:vAlign w:val="center"/>
            <w:hideMark/>
          </w:tcPr>
          <w:p w14:paraId="0C347644"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87.712</w:t>
            </w:r>
          </w:p>
        </w:tc>
        <w:tc>
          <w:tcPr>
            <w:tcW w:w="3934" w:type="dxa"/>
            <w:tcBorders>
              <w:top w:val="nil"/>
              <w:left w:val="nil"/>
              <w:bottom w:val="single" w:sz="4" w:space="0" w:color="auto"/>
              <w:right w:val="single" w:sz="4" w:space="0" w:color="auto"/>
            </w:tcBorders>
            <w:shd w:val="clear" w:color="auto" w:fill="auto"/>
            <w:noWrap/>
            <w:vAlign w:val="center"/>
            <w:hideMark/>
          </w:tcPr>
          <w:p w14:paraId="53A9CED7"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298.374.363</w:t>
            </w:r>
          </w:p>
        </w:tc>
        <w:tc>
          <w:tcPr>
            <w:tcW w:w="2870" w:type="dxa"/>
            <w:tcBorders>
              <w:top w:val="nil"/>
              <w:left w:val="nil"/>
              <w:bottom w:val="single" w:sz="4" w:space="0" w:color="auto"/>
              <w:right w:val="single" w:sz="4" w:space="0" w:color="auto"/>
            </w:tcBorders>
            <w:shd w:val="clear" w:color="auto" w:fill="auto"/>
            <w:noWrap/>
            <w:vAlign w:val="center"/>
            <w:hideMark/>
          </w:tcPr>
          <w:p w14:paraId="3470FA87"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3.401</w:t>
            </w:r>
          </w:p>
        </w:tc>
      </w:tr>
      <w:tr w:rsidR="000D076B" w:rsidRPr="00F502D4" w14:paraId="0DB52F48"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797CE8C3"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2015</w:t>
            </w:r>
          </w:p>
        </w:tc>
        <w:tc>
          <w:tcPr>
            <w:tcW w:w="2638" w:type="dxa"/>
            <w:tcBorders>
              <w:top w:val="nil"/>
              <w:left w:val="nil"/>
              <w:bottom w:val="single" w:sz="4" w:space="0" w:color="auto"/>
              <w:right w:val="single" w:sz="4" w:space="0" w:color="auto"/>
            </w:tcBorders>
            <w:shd w:val="clear" w:color="auto" w:fill="auto"/>
            <w:noWrap/>
            <w:vAlign w:val="center"/>
          </w:tcPr>
          <w:p w14:paraId="47FA85B0"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104.527</w:t>
            </w:r>
          </w:p>
        </w:tc>
        <w:tc>
          <w:tcPr>
            <w:tcW w:w="3934" w:type="dxa"/>
            <w:tcBorders>
              <w:top w:val="nil"/>
              <w:left w:val="nil"/>
              <w:bottom w:val="single" w:sz="4" w:space="0" w:color="auto"/>
              <w:right w:val="single" w:sz="4" w:space="0" w:color="auto"/>
            </w:tcBorders>
            <w:shd w:val="clear" w:color="auto" w:fill="auto"/>
            <w:noWrap/>
            <w:vAlign w:val="center"/>
          </w:tcPr>
          <w:p w14:paraId="70E78CB9"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354.982.753</w:t>
            </w:r>
          </w:p>
        </w:tc>
        <w:tc>
          <w:tcPr>
            <w:tcW w:w="2870" w:type="dxa"/>
            <w:tcBorders>
              <w:top w:val="nil"/>
              <w:left w:val="nil"/>
              <w:bottom w:val="single" w:sz="4" w:space="0" w:color="auto"/>
              <w:right w:val="single" w:sz="4" w:space="0" w:color="auto"/>
            </w:tcBorders>
            <w:shd w:val="clear" w:color="auto" w:fill="auto"/>
            <w:noWrap/>
            <w:vAlign w:val="center"/>
          </w:tcPr>
          <w:p w14:paraId="7E0E8299"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3.396</w:t>
            </w:r>
          </w:p>
        </w:tc>
      </w:tr>
      <w:tr w:rsidR="000D076B" w:rsidRPr="00F502D4" w14:paraId="560733E1"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7AE38ED5"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F502D4">
              <w:rPr>
                <w:rFonts w:ascii="Times New Roman" w:eastAsia="Times New Roman" w:hAnsi="Times New Roman" w:cs="Times New Roman"/>
                <w:b/>
                <w:color w:val="000000"/>
                <w:sz w:val="24"/>
                <w:szCs w:val="24"/>
              </w:rPr>
              <w:t>2016</w:t>
            </w:r>
          </w:p>
        </w:tc>
        <w:tc>
          <w:tcPr>
            <w:tcW w:w="2638" w:type="dxa"/>
            <w:tcBorders>
              <w:top w:val="nil"/>
              <w:left w:val="nil"/>
              <w:bottom w:val="single" w:sz="4" w:space="0" w:color="auto"/>
              <w:right w:val="single" w:sz="4" w:space="0" w:color="auto"/>
            </w:tcBorders>
            <w:shd w:val="clear" w:color="auto" w:fill="auto"/>
            <w:noWrap/>
            <w:vAlign w:val="center"/>
          </w:tcPr>
          <w:p w14:paraId="06EB6BA2"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104.370</w:t>
            </w:r>
          </w:p>
        </w:tc>
        <w:tc>
          <w:tcPr>
            <w:tcW w:w="3934" w:type="dxa"/>
            <w:tcBorders>
              <w:top w:val="nil"/>
              <w:left w:val="nil"/>
              <w:bottom w:val="single" w:sz="4" w:space="0" w:color="auto"/>
              <w:right w:val="single" w:sz="4" w:space="0" w:color="auto"/>
            </w:tcBorders>
            <w:shd w:val="clear" w:color="auto" w:fill="auto"/>
            <w:noWrap/>
            <w:vAlign w:val="center"/>
          </w:tcPr>
          <w:p w14:paraId="108CC8D9"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lang w:val="en-US"/>
              </w:rPr>
            </w:pPr>
            <w:r w:rsidRPr="00F502D4">
              <w:rPr>
                <w:rFonts w:ascii="Times New Roman" w:eastAsia="Times New Roman" w:hAnsi="Times New Roman" w:cs="Times New Roman"/>
                <w:color w:val="000000"/>
                <w:sz w:val="24"/>
                <w:szCs w:val="24"/>
                <w:lang w:val="en-US"/>
              </w:rPr>
              <w:t>335.268.082</w:t>
            </w:r>
          </w:p>
        </w:tc>
        <w:tc>
          <w:tcPr>
            <w:tcW w:w="2870" w:type="dxa"/>
            <w:tcBorders>
              <w:top w:val="nil"/>
              <w:left w:val="nil"/>
              <w:bottom w:val="single" w:sz="4" w:space="0" w:color="auto"/>
              <w:right w:val="single" w:sz="4" w:space="0" w:color="auto"/>
            </w:tcBorders>
            <w:shd w:val="clear" w:color="auto" w:fill="auto"/>
            <w:noWrap/>
            <w:vAlign w:val="center"/>
          </w:tcPr>
          <w:p w14:paraId="0401D9A5"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F502D4">
              <w:rPr>
                <w:rFonts w:ascii="Times New Roman" w:eastAsia="Times New Roman" w:hAnsi="Times New Roman" w:cs="Times New Roman"/>
                <w:color w:val="000000"/>
                <w:sz w:val="24"/>
                <w:szCs w:val="24"/>
              </w:rPr>
              <w:t>3.212</w:t>
            </w:r>
          </w:p>
        </w:tc>
      </w:tr>
      <w:tr w:rsidR="000D076B" w:rsidRPr="00F502D4" w14:paraId="375CBC41"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6D5E2DA1" w14:textId="77777777" w:rsidR="000D076B" w:rsidRPr="00F502D4" w:rsidRDefault="000D076B" w:rsidP="003124ED">
            <w:pPr>
              <w:spacing w:after="0" w:line="240" w:lineRule="auto"/>
              <w:jc w:val="center"/>
              <w:rPr>
                <w:rFonts w:ascii="Times New Roman" w:eastAsia="Times New Roman" w:hAnsi="Times New Roman" w:cs="Times New Roman"/>
                <w:b/>
                <w:color w:val="000000"/>
                <w:sz w:val="24"/>
                <w:szCs w:val="24"/>
              </w:rPr>
            </w:pPr>
            <w:r w:rsidRPr="00ED7784">
              <w:rPr>
                <w:rFonts w:ascii="Times New Roman" w:eastAsia="Times New Roman" w:hAnsi="Times New Roman" w:cs="Times New Roman"/>
                <w:b/>
                <w:color w:val="000000" w:themeColor="text1"/>
                <w:sz w:val="24"/>
                <w:szCs w:val="24"/>
                <w:lang w:val="sr-Cyrl-CS"/>
              </w:rPr>
              <w:t>2017</w:t>
            </w:r>
          </w:p>
        </w:tc>
        <w:tc>
          <w:tcPr>
            <w:tcW w:w="2638" w:type="dxa"/>
            <w:tcBorders>
              <w:top w:val="nil"/>
              <w:left w:val="nil"/>
              <w:bottom w:val="single" w:sz="4" w:space="0" w:color="auto"/>
              <w:right w:val="single" w:sz="4" w:space="0" w:color="auto"/>
            </w:tcBorders>
            <w:shd w:val="clear" w:color="auto" w:fill="auto"/>
            <w:noWrap/>
            <w:vAlign w:val="center"/>
          </w:tcPr>
          <w:p w14:paraId="51097319"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ED7784">
              <w:rPr>
                <w:rFonts w:ascii="Times New Roman" w:eastAsia="Times New Roman" w:hAnsi="Times New Roman" w:cs="Times New Roman"/>
                <w:color w:val="000000" w:themeColor="text1"/>
                <w:sz w:val="24"/>
                <w:szCs w:val="24"/>
                <w:lang w:val="sr-Cyrl-CS"/>
              </w:rPr>
              <w:t>107.248</w:t>
            </w:r>
          </w:p>
        </w:tc>
        <w:tc>
          <w:tcPr>
            <w:tcW w:w="3934" w:type="dxa"/>
            <w:tcBorders>
              <w:top w:val="nil"/>
              <w:left w:val="nil"/>
              <w:bottom w:val="single" w:sz="4" w:space="0" w:color="auto"/>
              <w:right w:val="single" w:sz="4" w:space="0" w:color="auto"/>
            </w:tcBorders>
            <w:shd w:val="clear" w:color="auto" w:fill="auto"/>
            <w:noWrap/>
            <w:vAlign w:val="center"/>
          </w:tcPr>
          <w:p w14:paraId="7291586D"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lang w:val="en-US"/>
              </w:rPr>
            </w:pPr>
            <w:r w:rsidRPr="00ED7784">
              <w:rPr>
                <w:rFonts w:ascii="Times New Roman" w:eastAsia="Times New Roman" w:hAnsi="Times New Roman" w:cs="Times New Roman"/>
                <w:color w:val="000000" w:themeColor="text1"/>
                <w:sz w:val="24"/>
                <w:szCs w:val="24"/>
                <w:lang w:val="sr-Cyrl-CS"/>
              </w:rPr>
              <w:t>342.911.451</w:t>
            </w:r>
          </w:p>
        </w:tc>
        <w:tc>
          <w:tcPr>
            <w:tcW w:w="2870" w:type="dxa"/>
            <w:tcBorders>
              <w:top w:val="nil"/>
              <w:left w:val="nil"/>
              <w:bottom w:val="single" w:sz="4" w:space="0" w:color="auto"/>
              <w:right w:val="single" w:sz="4" w:space="0" w:color="auto"/>
            </w:tcBorders>
            <w:shd w:val="clear" w:color="auto" w:fill="auto"/>
            <w:noWrap/>
            <w:vAlign w:val="center"/>
          </w:tcPr>
          <w:p w14:paraId="4CFA3F57" w14:textId="77777777" w:rsidR="000D076B" w:rsidRPr="00F502D4" w:rsidRDefault="000D076B" w:rsidP="003124ED">
            <w:pPr>
              <w:spacing w:after="0" w:line="240" w:lineRule="auto"/>
              <w:jc w:val="center"/>
              <w:rPr>
                <w:rFonts w:ascii="Times New Roman" w:eastAsia="Times New Roman" w:hAnsi="Times New Roman" w:cs="Times New Roman"/>
                <w:color w:val="000000"/>
                <w:sz w:val="24"/>
                <w:szCs w:val="24"/>
              </w:rPr>
            </w:pPr>
            <w:r w:rsidRPr="00ED7784">
              <w:rPr>
                <w:rFonts w:ascii="Times New Roman" w:eastAsia="Times New Roman" w:hAnsi="Times New Roman" w:cs="Times New Roman"/>
                <w:color w:val="000000" w:themeColor="text1"/>
                <w:sz w:val="24"/>
                <w:szCs w:val="24"/>
                <w:lang w:val="sr-Cyrl-CS"/>
              </w:rPr>
              <w:t>3.197</w:t>
            </w:r>
          </w:p>
        </w:tc>
      </w:tr>
      <w:tr w:rsidR="000D076B" w:rsidRPr="00F502D4" w14:paraId="0B6D2308"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7BAEE6AC" w14:textId="77777777" w:rsidR="000D076B" w:rsidRPr="001D03C0" w:rsidRDefault="000D076B" w:rsidP="003124ED">
            <w:pPr>
              <w:spacing w:after="0" w:line="240" w:lineRule="auto"/>
              <w:jc w:val="center"/>
              <w:rPr>
                <w:rFonts w:ascii="Times New Roman" w:eastAsia="Times New Roman" w:hAnsi="Times New Roman" w:cs="Times New Roman"/>
                <w:b/>
                <w:sz w:val="24"/>
                <w:szCs w:val="24"/>
                <w:lang w:val="sr-Cyrl-CS"/>
              </w:rPr>
            </w:pPr>
            <w:r w:rsidRPr="001D03C0">
              <w:rPr>
                <w:rFonts w:ascii="Times New Roman" w:eastAsia="Times New Roman" w:hAnsi="Times New Roman" w:cs="Times New Roman"/>
                <w:b/>
                <w:sz w:val="24"/>
                <w:szCs w:val="24"/>
                <w:lang w:val="sr-Cyrl-CS"/>
              </w:rPr>
              <w:t>2018</w:t>
            </w:r>
          </w:p>
        </w:tc>
        <w:tc>
          <w:tcPr>
            <w:tcW w:w="2638" w:type="dxa"/>
            <w:tcBorders>
              <w:top w:val="nil"/>
              <w:left w:val="nil"/>
              <w:bottom w:val="single" w:sz="4" w:space="0" w:color="auto"/>
              <w:right w:val="single" w:sz="4" w:space="0" w:color="auto"/>
            </w:tcBorders>
            <w:shd w:val="clear" w:color="auto" w:fill="auto"/>
            <w:noWrap/>
            <w:vAlign w:val="center"/>
          </w:tcPr>
          <w:p w14:paraId="7FD4453F"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sidRPr="001D03C0">
              <w:rPr>
                <w:rFonts w:ascii="Times New Roman" w:eastAsia="Times New Roman" w:hAnsi="Times New Roman" w:cs="Times New Roman"/>
                <w:sz w:val="24"/>
                <w:szCs w:val="24"/>
                <w:lang w:val="sr-Cyrl-CS"/>
              </w:rPr>
              <w:t>125.619</w:t>
            </w:r>
          </w:p>
        </w:tc>
        <w:tc>
          <w:tcPr>
            <w:tcW w:w="3934" w:type="dxa"/>
            <w:tcBorders>
              <w:top w:val="nil"/>
              <w:left w:val="nil"/>
              <w:bottom w:val="single" w:sz="4" w:space="0" w:color="auto"/>
              <w:right w:val="single" w:sz="4" w:space="0" w:color="auto"/>
            </w:tcBorders>
            <w:shd w:val="clear" w:color="auto" w:fill="auto"/>
            <w:noWrap/>
            <w:vAlign w:val="center"/>
          </w:tcPr>
          <w:p w14:paraId="0D719054"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sidRPr="001D03C0">
              <w:rPr>
                <w:rFonts w:ascii="Times New Roman" w:eastAsia="Times New Roman" w:hAnsi="Times New Roman" w:cs="Times New Roman"/>
                <w:sz w:val="24"/>
                <w:szCs w:val="24"/>
                <w:lang w:val="sr-Cyrl-CS"/>
              </w:rPr>
              <w:t>403.963.400</w:t>
            </w:r>
          </w:p>
        </w:tc>
        <w:tc>
          <w:tcPr>
            <w:tcW w:w="2870" w:type="dxa"/>
            <w:tcBorders>
              <w:top w:val="nil"/>
              <w:left w:val="nil"/>
              <w:bottom w:val="single" w:sz="4" w:space="0" w:color="auto"/>
              <w:right w:val="single" w:sz="4" w:space="0" w:color="auto"/>
            </w:tcBorders>
            <w:shd w:val="clear" w:color="auto" w:fill="auto"/>
            <w:noWrap/>
            <w:vAlign w:val="center"/>
          </w:tcPr>
          <w:p w14:paraId="58BAA587"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sidRPr="001D03C0">
              <w:rPr>
                <w:rFonts w:ascii="Times New Roman" w:eastAsia="Times New Roman" w:hAnsi="Times New Roman" w:cs="Times New Roman"/>
                <w:sz w:val="24"/>
                <w:szCs w:val="24"/>
                <w:lang w:val="sr-Cyrl-CS"/>
              </w:rPr>
              <w:t>3.216</w:t>
            </w:r>
          </w:p>
        </w:tc>
      </w:tr>
      <w:tr w:rsidR="000D076B" w:rsidRPr="00F502D4" w14:paraId="4328DD9E" w14:textId="77777777" w:rsidTr="003124ED">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74E5AE76" w14:textId="77777777" w:rsidR="000D076B" w:rsidRPr="00CF643D" w:rsidRDefault="000D076B" w:rsidP="003124ED">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2019</w:t>
            </w:r>
          </w:p>
        </w:tc>
        <w:tc>
          <w:tcPr>
            <w:tcW w:w="2638" w:type="dxa"/>
            <w:tcBorders>
              <w:top w:val="nil"/>
              <w:left w:val="nil"/>
              <w:bottom w:val="single" w:sz="4" w:space="0" w:color="auto"/>
              <w:right w:val="single" w:sz="4" w:space="0" w:color="auto"/>
            </w:tcBorders>
            <w:shd w:val="clear" w:color="auto" w:fill="auto"/>
            <w:noWrap/>
            <w:vAlign w:val="center"/>
          </w:tcPr>
          <w:p w14:paraId="2A62ECCA" w14:textId="77777777" w:rsidR="000D076B" w:rsidRPr="00CF643D" w:rsidRDefault="000D076B" w:rsidP="003124E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122.066</w:t>
            </w:r>
          </w:p>
        </w:tc>
        <w:tc>
          <w:tcPr>
            <w:tcW w:w="3934" w:type="dxa"/>
            <w:tcBorders>
              <w:top w:val="nil"/>
              <w:left w:val="nil"/>
              <w:bottom w:val="single" w:sz="4" w:space="0" w:color="auto"/>
              <w:right w:val="single" w:sz="4" w:space="0" w:color="auto"/>
            </w:tcBorders>
            <w:shd w:val="clear" w:color="auto" w:fill="auto"/>
            <w:noWrap/>
            <w:vAlign w:val="center"/>
          </w:tcPr>
          <w:p w14:paraId="3022C80B" w14:textId="77777777" w:rsidR="000D076B" w:rsidRPr="00D241E6" w:rsidRDefault="000D076B" w:rsidP="003124E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440.522.211</w:t>
            </w:r>
          </w:p>
        </w:tc>
        <w:tc>
          <w:tcPr>
            <w:tcW w:w="2870" w:type="dxa"/>
            <w:tcBorders>
              <w:top w:val="nil"/>
              <w:left w:val="nil"/>
              <w:bottom w:val="single" w:sz="4" w:space="0" w:color="auto"/>
              <w:right w:val="single" w:sz="4" w:space="0" w:color="auto"/>
            </w:tcBorders>
            <w:shd w:val="clear" w:color="auto" w:fill="auto"/>
            <w:noWrap/>
            <w:vAlign w:val="center"/>
          </w:tcPr>
          <w:p w14:paraId="41610C7D" w14:textId="77777777" w:rsidR="000D076B" w:rsidRPr="00D241E6" w:rsidRDefault="000D076B" w:rsidP="003124E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3.609</w:t>
            </w:r>
          </w:p>
        </w:tc>
      </w:tr>
    </w:tbl>
    <w:p w14:paraId="4D7D0C6A" w14:textId="77777777" w:rsidR="000D076B" w:rsidRPr="00F502D4" w:rsidRDefault="000D076B" w:rsidP="005D7B21">
      <w:pPr>
        <w:pStyle w:val="Default"/>
        <w:spacing w:line="276" w:lineRule="auto"/>
        <w:jc w:val="both"/>
        <w:rPr>
          <w:rFonts w:ascii="Times New Roman" w:hAnsi="Times New Roman" w:cs="Times New Roman"/>
        </w:rPr>
        <w:sectPr w:rsidR="000D076B" w:rsidRPr="00F502D4" w:rsidSect="00F972A0">
          <w:pgSz w:w="12240" w:h="15840"/>
          <w:pgMar w:top="720" w:right="720" w:bottom="720" w:left="720" w:header="708" w:footer="708" w:gutter="0"/>
          <w:cols w:space="708"/>
          <w:docGrid w:linePitch="360"/>
        </w:sectPr>
      </w:pPr>
    </w:p>
    <w:p w14:paraId="51335641" w14:textId="5CCE14F9" w:rsidR="00BD1D79" w:rsidRPr="00ED7784" w:rsidRDefault="005E5329" w:rsidP="005E5329">
      <w:pPr>
        <w:jc w:val="both"/>
        <w:rPr>
          <w:rFonts w:ascii="Times New Roman" w:hAnsi="Times New Roman" w:cs="Times New Roman"/>
          <w:color w:val="000000" w:themeColor="text1"/>
          <w:sz w:val="24"/>
          <w:szCs w:val="24"/>
        </w:rPr>
      </w:pPr>
      <w:r w:rsidRPr="005E5329">
        <w:rPr>
          <w:rFonts w:ascii="Times New Roman" w:hAnsi="Times New Roman" w:cs="Times New Roman"/>
          <w:sz w:val="24"/>
          <w:szCs w:val="24"/>
        </w:rPr>
        <w:lastRenderedPageBreak/>
        <w:t xml:space="preserve">Учешће јавних набавки у бруто домаћем производу </w:t>
      </w:r>
      <w:r w:rsidR="00370E91">
        <w:rPr>
          <w:rFonts w:ascii="Times New Roman" w:hAnsi="Times New Roman" w:cs="Times New Roman"/>
          <w:sz w:val="24"/>
          <w:szCs w:val="24"/>
        </w:rPr>
        <w:t xml:space="preserve">износило је </w:t>
      </w:r>
      <w:r w:rsidR="000D076B">
        <w:rPr>
          <w:rFonts w:ascii="Times New Roman" w:hAnsi="Times New Roman" w:cs="Times New Roman"/>
          <w:sz w:val="24"/>
          <w:szCs w:val="24"/>
        </w:rPr>
        <w:t>8,14</w:t>
      </w:r>
      <w:r w:rsidR="00ED2AF1" w:rsidRPr="001D03C0">
        <w:rPr>
          <w:rFonts w:ascii="Times New Roman" w:hAnsi="Times New Roman" w:cs="Times New Roman"/>
          <w:sz w:val="24"/>
          <w:szCs w:val="24"/>
        </w:rPr>
        <w:t xml:space="preserve">% </w:t>
      </w:r>
      <w:r w:rsidR="00ED2AF1" w:rsidRPr="00ED7784">
        <w:rPr>
          <w:rFonts w:ascii="Times New Roman" w:hAnsi="Times New Roman" w:cs="Times New Roman"/>
          <w:color w:val="000000" w:themeColor="text1"/>
          <w:sz w:val="24"/>
          <w:szCs w:val="24"/>
        </w:rPr>
        <w:t>што је на ниво</w:t>
      </w:r>
      <w:r w:rsidR="005A5570" w:rsidRPr="00ED7784">
        <w:rPr>
          <w:rFonts w:ascii="Times New Roman" w:hAnsi="Times New Roman" w:cs="Times New Roman"/>
          <w:color w:val="000000" w:themeColor="text1"/>
          <w:sz w:val="24"/>
          <w:szCs w:val="24"/>
        </w:rPr>
        <w:t>у просека за последњих пет</w:t>
      </w:r>
      <w:r w:rsidR="00ED2AF1" w:rsidRPr="00ED7784">
        <w:rPr>
          <w:rFonts w:ascii="Times New Roman" w:hAnsi="Times New Roman" w:cs="Times New Roman"/>
          <w:color w:val="000000" w:themeColor="text1"/>
          <w:sz w:val="24"/>
          <w:szCs w:val="24"/>
        </w:rPr>
        <w:t xml:space="preserve"> година </w:t>
      </w:r>
      <w:r w:rsidRPr="00ED7784">
        <w:rPr>
          <w:rFonts w:ascii="Times New Roman" w:hAnsi="Times New Roman" w:cs="Times New Roman"/>
          <w:color w:val="000000" w:themeColor="text1"/>
          <w:sz w:val="24"/>
          <w:szCs w:val="24"/>
        </w:rPr>
        <w:t>(Табела 2)</w:t>
      </w:r>
      <w:r w:rsidR="00ED2AF1" w:rsidRPr="00ED7784">
        <w:rPr>
          <w:rFonts w:ascii="Times New Roman" w:hAnsi="Times New Roman" w:cs="Times New Roman"/>
          <w:color w:val="000000" w:themeColor="text1"/>
          <w:sz w:val="24"/>
          <w:szCs w:val="24"/>
        </w:rPr>
        <w:t xml:space="preserve">. </w:t>
      </w:r>
    </w:p>
    <w:p w14:paraId="2C17ED5E" w14:textId="0AD3C6B2" w:rsidR="00370E91" w:rsidRPr="00BE7D6A" w:rsidRDefault="00D66E6D" w:rsidP="00370E9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370E91" w:rsidRPr="00BE7D6A">
        <w:rPr>
          <w:rFonts w:ascii="Times New Roman" w:hAnsi="Times New Roman" w:cs="Times New Roman"/>
          <w:b/>
          <w:color w:val="000000" w:themeColor="text1"/>
          <w:sz w:val="24"/>
          <w:szCs w:val="24"/>
        </w:rPr>
        <w:t>Табела 2</w:t>
      </w:r>
    </w:p>
    <w:tbl>
      <w:tblPr>
        <w:tblW w:w="10206" w:type="dxa"/>
        <w:jc w:val="center"/>
        <w:tblLook w:val="04A0" w:firstRow="1" w:lastRow="0" w:firstColumn="1" w:lastColumn="0" w:noHBand="0" w:noVBand="1"/>
      </w:tblPr>
      <w:tblGrid>
        <w:gridCol w:w="1007"/>
        <w:gridCol w:w="3325"/>
        <w:gridCol w:w="4252"/>
        <w:gridCol w:w="1622"/>
      </w:tblGrid>
      <w:tr w:rsidR="000D076B" w:rsidRPr="00806778" w14:paraId="1B5D6061" w14:textId="77777777" w:rsidTr="003124ED">
        <w:trPr>
          <w:trHeight w:val="300"/>
          <w:jc w:val="center"/>
        </w:trPr>
        <w:tc>
          <w:tcPr>
            <w:tcW w:w="102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7B0DE0" w14:textId="77777777" w:rsidR="000D076B" w:rsidRDefault="000D076B" w:rsidP="003124ED">
            <w:pPr>
              <w:spacing w:after="0" w:line="240" w:lineRule="auto"/>
              <w:jc w:val="center"/>
              <w:rPr>
                <w:rFonts w:ascii="Times New Roman" w:eastAsia="Times New Roman" w:hAnsi="Times New Roman" w:cs="Times New Roman"/>
                <w:b/>
                <w:color w:val="000000"/>
                <w:sz w:val="24"/>
                <w:szCs w:val="24"/>
              </w:rPr>
            </w:pPr>
          </w:p>
          <w:p w14:paraId="6DD037EB" w14:textId="77777777" w:rsidR="000D076B" w:rsidRDefault="000D076B" w:rsidP="003124E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w:t>
            </w:r>
            <w:r w:rsidRPr="00806778">
              <w:rPr>
                <w:rFonts w:ascii="Times New Roman" w:eastAsia="Times New Roman" w:hAnsi="Times New Roman" w:cs="Times New Roman"/>
                <w:b/>
                <w:color w:val="000000"/>
                <w:sz w:val="24"/>
                <w:szCs w:val="24"/>
              </w:rPr>
              <w:t>чешће јавних набавки у бруто дома</w:t>
            </w:r>
            <w:r w:rsidRPr="005D7B21">
              <w:rPr>
                <w:rFonts w:ascii="Times New Roman" w:eastAsia="Times New Roman" w:hAnsi="Times New Roman" w:cs="Times New Roman"/>
                <w:b/>
                <w:color w:val="000000"/>
                <w:sz w:val="24"/>
                <w:szCs w:val="24"/>
              </w:rPr>
              <w:t>ћ</w:t>
            </w:r>
            <w:r w:rsidRPr="00806778">
              <w:rPr>
                <w:rFonts w:ascii="Times New Roman" w:eastAsia="Times New Roman" w:hAnsi="Times New Roman" w:cs="Times New Roman"/>
                <w:b/>
                <w:color w:val="000000"/>
                <w:sz w:val="24"/>
                <w:szCs w:val="24"/>
              </w:rPr>
              <w:t>ем производу</w:t>
            </w:r>
          </w:p>
          <w:p w14:paraId="67FE21A3" w14:textId="77777777" w:rsidR="000D076B" w:rsidRPr="006C5272" w:rsidRDefault="000D076B" w:rsidP="003124ED">
            <w:pPr>
              <w:spacing w:after="0" w:line="240" w:lineRule="auto"/>
              <w:jc w:val="center"/>
              <w:rPr>
                <w:rFonts w:ascii="Times New Roman" w:eastAsia="Times New Roman" w:hAnsi="Times New Roman" w:cs="Times New Roman"/>
                <w:b/>
                <w:color w:val="000000"/>
                <w:sz w:val="24"/>
                <w:szCs w:val="24"/>
              </w:rPr>
            </w:pPr>
          </w:p>
        </w:tc>
      </w:tr>
      <w:tr w:rsidR="000D076B" w:rsidRPr="00806778" w14:paraId="7ABC697C" w14:textId="77777777" w:rsidTr="003124ED">
        <w:trPr>
          <w:trHeight w:val="1140"/>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8472DDF"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w:t>
            </w:r>
            <w:r w:rsidRPr="00806778">
              <w:rPr>
                <w:rFonts w:ascii="Times New Roman" w:eastAsia="Times New Roman" w:hAnsi="Times New Roman" w:cs="Times New Roman"/>
                <w:b/>
                <w:color w:val="000000"/>
                <w:sz w:val="24"/>
                <w:szCs w:val="24"/>
              </w:rPr>
              <w:t>одина</w:t>
            </w:r>
          </w:p>
        </w:tc>
        <w:tc>
          <w:tcPr>
            <w:tcW w:w="3325" w:type="dxa"/>
            <w:tcBorders>
              <w:top w:val="nil"/>
              <w:left w:val="nil"/>
              <w:bottom w:val="single" w:sz="4" w:space="0" w:color="auto"/>
              <w:right w:val="single" w:sz="4" w:space="0" w:color="auto"/>
            </w:tcBorders>
            <w:shd w:val="clear" w:color="auto" w:fill="auto"/>
            <w:vAlign w:val="center"/>
            <w:hideMark/>
          </w:tcPr>
          <w:p w14:paraId="0DB7AC8A" w14:textId="77777777" w:rsidR="000D076B" w:rsidRDefault="000D076B" w:rsidP="003124E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w:t>
            </w:r>
            <w:r w:rsidRPr="00806778">
              <w:rPr>
                <w:rFonts w:ascii="Times New Roman" w:eastAsia="Times New Roman" w:hAnsi="Times New Roman" w:cs="Times New Roman"/>
                <w:b/>
                <w:color w:val="000000"/>
                <w:sz w:val="24"/>
                <w:szCs w:val="24"/>
              </w:rPr>
              <w:t>говорена вредност без ПДВ-а</w:t>
            </w:r>
          </w:p>
          <w:p w14:paraId="5A62EC85" w14:textId="77777777" w:rsidR="000D076B" w:rsidRPr="007F01A2" w:rsidRDefault="000D076B" w:rsidP="003124ED">
            <w:pPr>
              <w:spacing w:after="0" w:line="240" w:lineRule="auto"/>
              <w:jc w:val="center"/>
              <w:rPr>
                <w:rFonts w:ascii="Times New Roman" w:eastAsia="Times New Roman" w:hAnsi="Times New Roman" w:cs="Times New Roman"/>
                <w:b/>
                <w:color w:val="000000"/>
                <w:sz w:val="24"/>
                <w:szCs w:val="24"/>
                <w:lang w:val="sr-Cyrl-CS"/>
              </w:rPr>
            </w:pPr>
            <w:r>
              <w:rPr>
                <w:rFonts w:ascii="Times New Roman" w:eastAsia="Times New Roman" w:hAnsi="Times New Roman" w:cs="Times New Roman"/>
                <w:b/>
                <w:color w:val="000000"/>
                <w:sz w:val="24"/>
                <w:szCs w:val="24"/>
                <w:lang w:val="sr-Cyrl-CS"/>
              </w:rPr>
              <w:t>(у милионима динара)</w:t>
            </w:r>
          </w:p>
        </w:tc>
        <w:tc>
          <w:tcPr>
            <w:tcW w:w="4252" w:type="dxa"/>
            <w:tcBorders>
              <w:top w:val="nil"/>
              <w:left w:val="nil"/>
              <w:bottom w:val="single" w:sz="4" w:space="0" w:color="auto"/>
              <w:right w:val="single" w:sz="4" w:space="0" w:color="auto"/>
            </w:tcBorders>
            <w:shd w:val="clear" w:color="auto" w:fill="auto"/>
            <w:vAlign w:val="center"/>
            <w:hideMark/>
          </w:tcPr>
          <w:p w14:paraId="2018819C" w14:textId="77777777" w:rsidR="000D076B"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Вредност БДП-а</w:t>
            </w:r>
          </w:p>
          <w:p w14:paraId="67310899" w14:textId="77777777" w:rsidR="000D076B" w:rsidRPr="007F01A2" w:rsidRDefault="000D076B" w:rsidP="003124ED">
            <w:pPr>
              <w:spacing w:after="0" w:line="240" w:lineRule="auto"/>
              <w:jc w:val="center"/>
              <w:rPr>
                <w:rFonts w:ascii="Times New Roman" w:eastAsia="Times New Roman" w:hAnsi="Times New Roman" w:cs="Times New Roman"/>
                <w:b/>
                <w:color w:val="000000"/>
                <w:sz w:val="24"/>
                <w:szCs w:val="24"/>
                <w:lang w:val="sr-Cyrl-CS"/>
              </w:rPr>
            </w:pPr>
            <w:r>
              <w:rPr>
                <w:rFonts w:ascii="Times New Roman" w:eastAsia="Times New Roman" w:hAnsi="Times New Roman" w:cs="Times New Roman"/>
                <w:b/>
                <w:color w:val="000000"/>
                <w:sz w:val="24"/>
                <w:szCs w:val="24"/>
                <w:lang w:val="sr-Cyrl-CS"/>
              </w:rPr>
              <w:t>(у милионима динара)</w:t>
            </w:r>
          </w:p>
        </w:tc>
        <w:tc>
          <w:tcPr>
            <w:tcW w:w="1622" w:type="dxa"/>
            <w:tcBorders>
              <w:top w:val="nil"/>
              <w:left w:val="nil"/>
              <w:bottom w:val="single" w:sz="4" w:space="0" w:color="auto"/>
              <w:right w:val="single" w:sz="4" w:space="0" w:color="auto"/>
            </w:tcBorders>
            <w:shd w:val="clear" w:color="auto" w:fill="auto"/>
            <w:vAlign w:val="center"/>
            <w:hideMark/>
          </w:tcPr>
          <w:p w14:paraId="5F23C7FF"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w:t>
            </w:r>
          </w:p>
        </w:tc>
      </w:tr>
      <w:tr w:rsidR="000D076B" w:rsidRPr="00806778" w14:paraId="5DD56CA8"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2927B0CF"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2003</w:t>
            </w:r>
          </w:p>
        </w:tc>
        <w:tc>
          <w:tcPr>
            <w:tcW w:w="3325" w:type="dxa"/>
            <w:tcBorders>
              <w:top w:val="nil"/>
              <w:left w:val="nil"/>
              <w:bottom w:val="single" w:sz="4" w:space="0" w:color="auto"/>
              <w:right w:val="single" w:sz="4" w:space="0" w:color="auto"/>
            </w:tcBorders>
            <w:shd w:val="clear" w:color="auto" w:fill="auto"/>
            <w:noWrap/>
            <w:vAlign w:val="bottom"/>
            <w:hideMark/>
          </w:tcPr>
          <w:p w14:paraId="72B6CB4A"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98.778</w:t>
            </w:r>
          </w:p>
        </w:tc>
        <w:tc>
          <w:tcPr>
            <w:tcW w:w="4252" w:type="dxa"/>
            <w:tcBorders>
              <w:top w:val="nil"/>
              <w:left w:val="nil"/>
              <w:bottom w:val="single" w:sz="4" w:space="0" w:color="auto"/>
              <w:right w:val="single" w:sz="4" w:space="0" w:color="auto"/>
            </w:tcBorders>
            <w:shd w:val="clear" w:color="auto" w:fill="auto"/>
            <w:noWrap/>
            <w:vAlign w:val="center"/>
            <w:hideMark/>
          </w:tcPr>
          <w:p w14:paraId="69A1CAC5"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1.220.160,0</w:t>
            </w:r>
          </w:p>
        </w:tc>
        <w:tc>
          <w:tcPr>
            <w:tcW w:w="1622" w:type="dxa"/>
            <w:tcBorders>
              <w:top w:val="nil"/>
              <w:left w:val="nil"/>
              <w:bottom w:val="single" w:sz="4" w:space="0" w:color="auto"/>
              <w:right w:val="single" w:sz="4" w:space="0" w:color="auto"/>
            </w:tcBorders>
            <w:shd w:val="clear" w:color="auto" w:fill="auto"/>
            <w:noWrap/>
            <w:vAlign w:val="bottom"/>
            <w:hideMark/>
          </w:tcPr>
          <w:p w14:paraId="7EECCF30"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8,10</w:t>
            </w:r>
          </w:p>
        </w:tc>
      </w:tr>
      <w:tr w:rsidR="000D076B" w:rsidRPr="00806778" w14:paraId="4D4D166E"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FB64B8F"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2004</w:t>
            </w:r>
          </w:p>
        </w:tc>
        <w:tc>
          <w:tcPr>
            <w:tcW w:w="3325" w:type="dxa"/>
            <w:tcBorders>
              <w:top w:val="nil"/>
              <w:left w:val="nil"/>
              <w:bottom w:val="single" w:sz="4" w:space="0" w:color="auto"/>
              <w:right w:val="single" w:sz="4" w:space="0" w:color="auto"/>
            </w:tcBorders>
            <w:shd w:val="clear" w:color="auto" w:fill="auto"/>
            <w:noWrap/>
            <w:vAlign w:val="bottom"/>
            <w:hideMark/>
          </w:tcPr>
          <w:p w14:paraId="6F7DA7AE"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109.282</w:t>
            </w:r>
          </w:p>
        </w:tc>
        <w:tc>
          <w:tcPr>
            <w:tcW w:w="4252" w:type="dxa"/>
            <w:tcBorders>
              <w:top w:val="nil"/>
              <w:left w:val="nil"/>
              <w:bottom w:val="single" w:sz="4" w:space="0" w:color="auto"/>
              <w:right w:val="single" w:sz="4" w:space="0" w:color="auto"/>
            </w:tcBorders>
            <w:shd w:val="clear" w:color="auto" w:fill="auto"/>
            <w:noWrap/>
            <w:vAlign w:val="center"/>
            <w:hideMark/>
          </w:tcPr>
          <w:p w14:paraId="4296AC48"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1.451.448,2</w:t>
            </w:r>
          </w:p>
        </w:tc>
        <w:tc>
          <w:tcPr>
            <w:tcW w:w="1622" w:type="dxa"/>
            <w:tcBorders>
              <w:top w:val="nil"/>
              <w:left w:val="nil"/>
              <w:bottom w:val="single" w:sz="4" w:space="0" w:color="auto"/>
              <w:right w:val="single" w:sz="4" w:space="0" w:color="auto"/>
            </w:tcBorders>
            <w:shd w:val="clear" w:color="auto" w:fill="auto"/>
            <w:noWrap/>
            <w:vAlign w:val="bottom"/>
            <w:hideMark/>
          </w:tcPr>
          <w:p w14:paraId="295C198E"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7,53</w:t>
            </w:r>
          </w:p>
        </w:tc>
      </w:tr>
      <w:tr w:rsidR="000D076B" w:rsidRPr="00806778" w14:paraId="0A53CADE"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21625C7E"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2005</w:t>
            </w:r>
          </w:p>
        </w:tc>
        <w:tc>
          <w:tcPr>
            <w:tcW w:w="3325" w:type="dxa"/>
            <w:tcBorders>
              <w:top w:val="nil"/>
              <w:left w:val="nil"/>
              <w:bottom w:val="single" w:sz="4" w:space="0" w:color="auto"/>
              <w:right w:val="single" w:sz="4" w:space="0" w:color="auto"/>
            </w:tcBorders>
            <w:shd w:val="clear" w:color="auto" w:fill="auto"/>
            <w:noWrap/>
            <w:vAlign w:val="bottom"/>
            <w:hideMark/>
          </w:tcPr>
          <w:p w14:paraId="55832224"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124.753</w:t>
            </w:r>
          </w:p>
        </w:tc>
        <w:tc>
          <w:tcPr>
            <w:tcW w:w="4252" w:type="dxa"/>
            <w:tcBorders>
              <w:top w:val="nil"/>
              <w:left w:val="nil"/>
              <w:bottom w:val="single" w:sz="4" w:space="0" w:color="auto"/>
              <w:right w:val="single" w:sz="4" w:space="0" w:color="auto"/>
            </w:tcBorders>
            <w:shd w:val="clear" w:color="auto" w:fill="auto"/>
            <w:noWrap/>
            <w:vAlign w:val="center"/>
            <w:hideMark/>
          </w:tcPr>
          <w:p w14:paraId="22C1AD26"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1.751.371,</w:t>
            </w:r>
            <w:r>
              <w:rPr>
                <w:rFonts w:ascii="Times New Roman" w:eastAsia="Times New Roman" w:hAnsi="Times New Roman" w:cs="Times New Roman"/>
                <w:color w:val="000000"/>
                <w:sz w:val="24"/>
                <w:szCs w:val="24"/>
              </w:rPr>
              <w:t>2</w:t>
            </w:r>
          </w:p>
        </w:tc>
        <w:tc>
          <w:tcPr>
            <w:tcW w:w="1622" w:type="dxa"/>
            <w:tcBorders>
              <w:top w:val="nil"/>
              <w:left w:val="nil"/>
              <w:bottom w:val="single" w:sz="4" w:space="0" w:color="auto"/>
              <w:right w:val="single" w:sz="4" w:space="0" w:color="auto"/>
            </w:tcBorders>
            <w:shd w:val="clear" w:color="auto" w:fill="auto"/>
            <w:noWrap/>
            <w:vAlign w:val="bottom"/>
            <w:hideMark/>
          </w:tcPr>
          <w:p w14:paraId="7B1C5E1F"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7,12</w:t>
            </w:r>
          </w:p>
        </w:tc>
      </w:tr>
      <w:tr w:rsidR="000D076B" w:rsidRPr="00806778" w14:paraId="3BAE5629"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4B9A6703"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2006</w:t>
            </w:r>
          </w:p>
        </w:tc>
        <w:tc>
          <w:tcPr>
            <w:tcW w:w="3325" w:type="dxa"/>
            <w:tcBorders>
              <w:top w:val="nil"/>
              <w:left w:val="nil"/>
              <w:bottom w:val="single" w:sz="4" w:space="0" w:color="auto"/>
              <w:right w:val="single" w:sz="4" w:space="0" w:color="auto"/>
            </w:tcBorders>
            <w:shd w:val="clear" w:color="auto" w:fill="auto"/>
            <w:noWrap/>
            <w:vAlign w:val="bottom"/>
            <w:hideMark/>
          </w:tcPr>
          <w:p w14:paraId="7D6EB90D"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168.915</w:t>
            </w:r>
          </w:p>
        </w:tc>
        <w:tc>
          <w:tcPr>
            <w:tcW w:w="4252" w:type="dxa"/>
            <w:tcBorders>
              <w:top w:val="nil"/>
              <w:left w:val="nil"/>
              <w:bottom w:val="single" w:sz="4" w:space="0" w:color="auto"/>
              <w:right w:val="single" w:sz="4" w:space="0" w:color="auto"/>
            </w:tcBorders>
            <w:shd w:val="clear" w:color="auto" w:fill="auto"/>
            <w:noWrap/>
            <w:vAlign w:val="center"/>
            <w:hideMark/>
          </w:tcPr>
          <w:p w14:paraId="1BBE1532"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2.055.198,1</w:t>
            </w:r>
          </w:p>
        </w:tc>
        <w:tc>
          <w:tcPr>
            <w:tcW w:w="1622" w:type="dxa"/>
            <w:tcBorders>
              <w:top w:val="nil"/>
              <w:left w:val="nil"/>
              <w:bottom w:val="single" w:sz="4" w:space="0" w:color="auto"/>
              <w:right w:val="single" w:sz="4" w:space="0" w:color="auto"/>
            </w:tcBorders>
            <w:shd w:val="clear" w:color="auto" w:fill="auto"/>
            <w:noWrap/>
            <w:vAlign w:val="bottom"/>
            <w:hideMark/>
          </w:tcPr>
          <w:p w14:paraId="663FE12D"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8,22</w:t>
            </w:r>
          </w:p>
        </w:tc>
      </w:tr>
      <w:tr w:rsidR="000D076B" w:rsidRPr="00806778" w14:paraId="68245818"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2A2C426E"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2007</w:t>
            </w:r>
          </w:p>
        </w:tc>
        <w:tc>
          <w:tcPr>
            <w:tcW w:w="3325" w:type="dxa"/>
            <w:tcBorders>
              <w:top w:val="nil"/>
              <w:left w:val="nil"/>
              <w:bottom w:val="single" w:sz="4" w:space="0" w:color="auto"/>
              <w:right w:val="single" w:sz="4" w:space="0" w:color="auto"/>
            </w:tcBorders>
            <w:shd w:val="clear" w:color="auto" w:fill="auto"/>
            <w:noWrap/>
            <w:vAlign w:val="bottom"/>
            <w:hideMark/>
          </w:tcPr>
          <w:p w14:paraId="7EFD4023"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187.560</w:t>
            </w:r>
          </w:p>
        </w:tc>
        <w:tc>
          <w:tcPr>
            <w:tcW w:w="4252" w:type="dxa"/>
            <w:tcBorders>
              <w:top w:val="nil"/>
              <w:left w:val="nil"/>
              <w:bottom w:val="single" w:sz="4" w:space="0" w:color="auto"/>
              <w:right w:val="single" w:sz="4" w:space="0" w:color="auto"/>
            </w:tcBorders>
            <w:shd w:val="clear" w:color="auto" w:fill="auto"/>
            <w:noWrap/>
            <w:vAlign w:val="center"/>
            <w:hideMark/>
          </w:tcPr>
          <w:p w14:paraId="5492782C"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2.355.065,6</w:t>
            </w:r>
          </w:p>
        </w:tc>
        <w:tc>
          <w:tcPr>
            <w:tcW w:w="1622" w:type="dxa"/>
            <w:tcBorders>
              <w:top w:val="nil"/>
              <w:left w:val="nil"/>
              <w:bottom w:val="single" w:sz="4" w:space="0" w:color="auto"/>
              <w:right w:val="single" w:sz="4" w:space="0" w:color="auto"/>
            </w:tcBorders>
            <w:shd w:val="clear" w:color="auto" w:fill="auto"/>
            <w:noWrap/>
            <w:vAlign w:val="bottom"/>
            <w:hideMark/>
          </w:tcPr>
          <w:p w14:paraId="12191AC3"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7,96</w:t>
            </w:r>
          </w:p>
        </w:tc>
      </w:tr>
      <w:tr w:rsidR="000D076B" w:rsidRPr="00806778" w14:paraId="2F3110C2"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55485D5"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2008</w:t>
            </w:r>
          </w:p>
        </w:tc>
        <w:tc>
          <w:tcPr>
            <w:tcW w:w="3325" w:type="dxa"/>
            <w:tcBorders>
              <w:top w:val="nil"/>
              <w:left w:val="nil"/>
              <w:bottom w:val="single" w:sz="4" w:space="0" w:color="auto"/>
              <w:right w:val="single" w:sz="4" w:space="0" w:color="auto"/>
            </w:tcBorders>
            <w:shd w:val="clear" w:color="auto" w:fill="auto"/>
            <w:noWrap/>
            <w:vAlign w:val="bottom"/>
            <w:hideMark/>
          </w:tcPr>
          <w:p w14:paraId="269F128C"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234.029</w:t>
            </w:r>
          </w:p>
        </w:tc>
        <w:tc>
          <w:tcPr>
            <w:tcW w:w="4252" w:type="dxa"/>
            <w:tcBorders>
              <w:top w:val="nil"/>
              <w:left w:val="nil"/>
              <w:bottom w:val="single" w:sz="4" w:space="0" w:color="auto"/>
              <w:right w:val="single" w:sz="4" w:space="0" w:color="auto"/>
            </w:tcBorders>
            <w:shd w:val="clear" w:color="auto" w:fill="auto"/>
            <w:noWrap/>
            <w:vAlign w:val="center"/>
            <w:hideMark/>
          </w:tcPr>
          <w:p w14:paraId="3F975A5A"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2.744.913,2</w:t>
            </w:r>
          </w:p>
        </w:tc>
        <w:tc>
          <w:tcPr>
            <w:tcW w:w="1622" w:type="dxa"/>
            <w:tcBorders>
              <w:top w:val="nil"/>
              <w:left w:val="nil"/>
              <w:bottom w:val="single" w:sz="4" w:space="0" w:color="auto"/>
              <w:right w:val="single" w:sz="4" w:space="0" w:color="auto"/>
            </w:tcBorders>
            <w:shd w:val="clear" w:color="auto" w:fill="auto"/>
            <w:noWrap/>
            <w:vAlign w:val="bottom"/>
            <w:hideMark/>
          </w:tcPr>
          <w:p w14:paraId="2C721234"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8,53</w:t>
            </w:r>
          </w:p>
        </w:tc>
      </w:tr>
      <w:tr w:rsidR="000D076B" w:rsidRPr="00806778" w14:paraId="4A87018D"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85CC157"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2009</w:t>
            </w:r>
          </w:p>
        </w:tc>
        <w:tc>
          <w:tcPr>
            <w:tcW w:w="3325" w:type="dxa"/>
            <w:tcBorders>
              <w:top w:val="nil"/>
              <w:left w:val="nil"/>
              <w:bottom w:val="single" w:sz="4" w:space="0" w:color="auto"/>
              <w:right w:val="single" w:sz="4" w:space="0" w:color="auto"/>
            </w:tcBorders>
            <w:shd w:val="clear" w:color="auto" w:fill="auto"/>
            <w:noWrap/>
            <w:vAlign w:val="bottom"/>
            <w:hideMark/>
          </w:tcPr>
          <w:p w14:paraId="6971D86E"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190.655</w:t>
            </w:r>
          </w:p>
        </w:tc>
        <w:tc>
          <w:tcPr>
            <w:tcW w:w="4252" w:type="dxa"/>
            <w:tcBorders>
              <w:top w:val="nil"/>
              <w:left w:val="nil"/>
              <w:bottom w:val="single" w:sz="4" w:space="0" w:color="auto"/>
              <w:right w:val="single" w:sz="4" w:space="0" w:color="auto"/>
            </w:tcBorders>
            <w:shd w:val="clear" w:color="auto" w:fill="auto"/>
            <w:noWrap/>
            <w:vAlign w:val="center"/>
            <w:hideMark/>
          </w:tcPr>
          <w:p w14:paraId="4F88EC25"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2.880.059,0</w:t>
            </w:r>
          </w:p>
        </w:tc>
        <w:tc>
          <w:tcPr>
            <w:tcW w:w="1622" w:type="dxa"/>
            <w:tcBorders>
              <w:top w:val="nil"/>
              <w:left w:val="nil"/>
              <w:bottom w:val="single" w:sz="4" w:space="0" w:color="auto"/>
              <w:right w:val="single" w:sz="4" w:space="0" w:color="auto"/>
            </w:tcBorders>
            <w:shd w:val="clear" w:color="auto" w:fill="auto"/>
            <w:noWrap/>
            <w:vAlign w:val="bottom"/>
            <w:hideMark/>
          </w:tcPr>
          <w:p w14:paraId="52D82EC4"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6,62</w:t>
            </w:r>
          </w:p>
        </w:tc>
      </w:tr>
      <w:tr w:rsidR="000D076B" w:rsidRPr="00806778" w14:paraId="12FAC407"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8534ABA"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2010</w:t>
            </w:r>
          </w:p>
        </w:tc>
        <w:tc>
          <w:tcPr>
            <w:tcW w:w="3325" w:type="dxa"/>
            <w:tcBorders>
              <w:top w:val="nil"/>
              <w:left w:val="nil"/>
              <w:bottom w:val="single" w:sz="4" w:space="0" w:color="auto"/>
              <w:right w:val="single" w:sz="4" w:space="0" w:color="auto"/>
            </w:tcBorders>
            <w:shd w:val="clear" w:color="auto" w:fill="auto"/>
            <w:noWrap/>
            <w:vAlign w:val="bottom"/>
            <w:hideMark/>
          </w:tcPr>
          <w:p w14:paraId="6E668680"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273.055</w:t>
            </w:r>
          </w:p>
        </w:tc>
        <w:tc>
          <w:tcPr>
            <w:tcW w:w="4252" w:type="dxa"/>
            <w:tcBorders>
              <w:top w:val="nil"/>
              <w:left w:val="nil"/>
              <w:bottom w:val="single" w:sz="4" w:space="0" w:color="auto"/>
              <w:right w:val="single" w:sz="4" w:space="0" w:color="auto"/>
            </w:tcBorders>
            <w:shd w:val="clear" w:color="auto" w:fill="auto"/>
            <w:noWrap/>
            <w:vAlign w:val="center"/>
            <w:hideMark/>
          </w:tcPr>
          <w:p w14:paraId="6E42E0E5"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3.067.210,2</w:t>
            </w:r>
          </w:p>
        </w:tc>
        <w:tc>
          <w:tcPr>
            <w:tcW w:w="1622" w:type="dxa"/>
            <w:tcBorders>
              <w:top w:val="nil"/>
              <w:left w:val="nil"/>
              <w:bottom w:val="single" w:sz="4" w:space="0" w:color="auto"/>
              <w:right w:val="single" w:sz="4" w:space="0" w:color="auto"/>
            </w:tcBorders>
            <w:shd w:val="clear" w:color="auto" w:fill="auto"/>
            <w:noWrap/>
            <w:vAlign w:val="bottom"/>
            <w:hideMark/>
          </w:tcPr>
          <w:p w14:paraId="16BAAFE6"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8,90</w:t>
            </w:r>
          </w:p>
        </w:tc>
      </w:tr>
      <w:tr w:rsidR="000D076B" w:rsidRPr="00806778" w14:paraId="6470AAED"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93F003C"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2011</w:t>
            </w:r>
          </w:p>
        </w:tc>
        <w:tc>
          <w:tcPr>
            <w:tcW w:w="3325" w:type="dxa"/>
            <w:tcBorders>
              <w:top w:val="nil"/>
              <w:left w:val="nil"/>
              <w:bottom w:val="single" w:sz="4" w:space="0" w:color="auto"/>
              <w:right w:val="single" w:sz="4" w:space="0" w:color="auto"/>
            </w:tcBorders>
            <w:shd w:val="clear" w:color="auto" w:fill="auto"/>
            <w:noWrap/>
            <w:vAlign w:val="bottom"/>
            <w:hideMark/>
          </w:tcPr>
          <w:p w14:paraId="40F8C069"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293.325</w:t>
            </w:r>
          </w:p>
        </w:tc>
        <w:tc>
          <w:tcPr>
            <w:tcW w:w="4252" w:type="dxa"/>
            <w:tcBorders>
              <w:top w:val="nil"/>
              <w:left w:val="nil"/>
              <w:bottom w:val="single" w:sz="4" w:space="0" w:color="auto"/>
              <w:right w:val="single" w:sz="4" w:space="0" w:color="auto"/>
            </w:tcBorders>
            <w:shd w:val="clear" w:color="auto" w:fill="auto"/>
            <w:noWrap/>
            <w:vAlign w:val="center"/>
            <w:hideMark/>
          </w:tcPr>
          <w:p w14:paraId="21FA41FB"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3.407.536,2</w:t>
            </w:r>
          </w:p>
        </w:tc>
        <w:tc>
          <w:tcPr>
            <w:tcW w:w="1622" w:type="dxa"/>
            <w:tcBorders>
              <w:top w:val="nil"/>
              <w:left w:val="nil"/>
              <w:bottom w:val="single" w:sz="4" w:space="0" w:color="auto"/>
              <w:right w:val="single" w:sz="4" w:space="0" w:color="auto"/>
            </w:tcBorders>
            <w:shd w:val="clear" w:color="auto" w:fill="auto"/>
            <w:noWrap/>
            <w:vAlign w:val="bottom"/>
            <w:hideMark/>
          </w:tcPr>
          <w:p w14:paraId="18C1F8C0"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8,61</w:t>
            </w:r>
          </w:p>
        </w:tc>
      </w:tr>
      <w:tr w:rsidR="000D076B" w:rsidRPr="00806778" w14:paraId="74A8A49B"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15A2362"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2012</w:t>
            </w:r>
          </w:p>
        </w:tc>
        <w:tc>
          <w:tcPr>
            <w:tcW w:w="3325" w:type="dxa"/>
            <w:tcBorders>
              <w:top w:val="nil"/>
              <w:left w:val="nil"/>
              <w:bottom w:val="single" w:sz="4" w:space="0" w:color="auto"/>
              <w:right w:val="single" w:sz="4" w:space="0" w:color="auto"/>
            </w:tcBorders>
            <w:shd w:val="clear" w:color="auto" w:fill="auto"/>
            <w:noWrap/>
            <w:vAlign w:val="bottom"/>
            <w:hideMark/>
          </w:tcPr>
          <w:p w14:paraId="0A0C45EA"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303.694</w:t>
            </w:r>
          </w:p>
        </w:tc>
        <w:tc>
          <w:tcPr>
            <w:tcW w:w="4252" w:type="dxa"/>
            <w:tcBorders>
              <w:top w:val="nil"/>
              <w:left w:val="nil"/>
              <w:bottom w:val="single" w:sz="4" w:space="0" w:color="auto"/>
              <w:right w:val="single" w:sz="4" w:space="0" w:color="auto"/>
            </w:tcBorders>
            <w:shd w:val="clear" w:color="auto" w:fill="auto"/>
            <w:noWrap/>
            <w:vAlign w:val="center"/>
            <w:hideMark/>
          </w:tcPr>
          <w:p w14:paraId="13E2D749"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3.584.235,8</w:t>
            </w:r>
          </w:p>
        </w:tc>
        <w:tc>
          <w:tcPr>
            <w:tcW w:w="1622" w:type="dxa"/>
            <w:tcBorders>
              <w:top w:val="nil"/>
              <w:left w:val="nil"/>
              <w:bottom w:val="single" w:sz="4" w:space="0" w:color="auto"/>
              <w:right w:val="single" w:sz="4" w:space="0" w:color="auto"/>
            </w:tcBorders>
            <w:shd w:val="clear" w:color="auto" w:fill="auto"/>
            <w:noWrap/>
            <w:vAlign w:val="bottom"/>
            <w:hideMark/>
          </w:tcPr>
          <w:p w14:paraId="0069C49E"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8,47</w:t>
            </w:r>
          </w:p>
        </w:tc>
      </w:tr>
      <w:tr w:rsidR="000D076B" w:rsidRPr="00806778" w14:paraId="182151AB"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4BFCBE5"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2013</w:t>
            </w:r>
          </w:p>
        </w:tc>
        <w:tc>
          <w:tcPr>
            <w:tcW w:w="3325" w:type="dxa"/>
            <w:tcBorders>
              <w:top w:val="nil"/>
              <w:left w:val="nil"/>
              <w:bottom w:val="single" w:sz="4" w:space="0" w:color="auto"/>
              <w:right w:val="single" w:sz="4" w:space="0" w:color="auto"/>
            </w:tcBorders>
            <w:shd w:val="clear" w:color="auto" w:fill="auto"/>
            <w:noWrap/>
            <w:vAlign w:val="bottom"/>
            <w:hideMark/>
          </w:tcPr>
          <w:p w14:paraId="4CFDBC2D"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262.939</w:t>
            </w:r>
          </w:p>
        </w:tc>
        <w:tc>
          <w:tcPr>
            <w:tcW w:w="4252" w:type="dxa"/>
            <w:tcBorders>
              <w:top w:val="nil"/>
              <w:left w:val="nil"/>
              <w:bottom w:val="single" w:sz="4" w:space="0" w:color="auto"/>
              <w:right w:val="single" w:sz="4" w:space="0" w:color="auto"/>
            </w:tcBorders>
            <w:shd w:val="clear" w:color="auto" w:fill="auto"/>
            <w:noWrap/>
            <w:vAlign w:val="center"/>
            <w:hideMark/>
          </w:tcPr>
          <w:p w14:paraId="3D28D5BA"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3.876.403,</w:t>
            </w:r>
            <w:r>
              <w:rPr>
                <w:rFonts w:ascii="Times New Roman" w:eastAsia="Times New Roman" w:hAnsi="Times New Roman" w:cs="Times New Roman"/>
                <w:color w:val="000000"/>
                <w:sz w:val="24"/>
                <w:szCs w:val="24"/>
              </w:rPr>
              <w:t>4</w:t>
            </w:r>
          </w:p>
        </w:tc>
        <w:tc>
          <w:tcPr>
            <w:tcW w:w="1622" w:type="dxa"/>
            <w:tcBorders>
              <w:top w:val="nil"/>
              <w:left w:val="nil"/>
              <w:bottom w:val="single" w:sz="4" w:space="0" w:color="auto"/>
              <w:right w:val="single" w:sz="4" w:space="0" w:color="auto"/>
            </w:tcBorders>
            <w:shd w:val="clear" w:color="auto" w:fill="auto"/>
            <w:noWrap/>
            <w:vAlign w:val="bottom"/>
            <w:hideMark/>
          </w:tcPr>
          <w:p w14:paraId="629C1011"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6,78</w:t>
            </w:r>
          </w:p>
        </w:tc>
      </w:tr>
      <w:tr w:rsidR="000D076B" w:rsidRPr="00806778" w14:paraId="2DE45730"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146B967"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2014</w:t>
            </w:r>
          </w:p>
        </w:tc>
        <w:tc>
          <w:tcPr>
            <w:tcW w:w="3325" w:type="dxa"/>
            <w:tcBorders>
              <w:top w:val="nil"/>
              <w:left w:val="nil"/>
              <w:bottom w:val="single" w:sz="4" w:space="0" w:color="auto"/>
              <w:right w:val="single" w:sz="4" w:space="0" w:color="auto"/>
            </w:tcBorders>
            <w:shd w:val="clear" w:color="auto" w:fill="auto"/>
            <w:noWrap/>
            <w:vAlign w:val="bottom"/>
            <w:hideMark/>
          </w:tcPr>
          <w:p w14:paraId="21438BAC"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298.374</w:t>
            </w:r>
          </w:p>
        </w:tc>
        <w:tc>
          <w:tcPr>
            <w:tcW w:w="4252" w:type="dxa"/>
            <w:tcBorders>
              <w:top w:val="nil"/>
              <w:left w:val="nil"/>
              <w:bottom w:val="single" w:sz="4" w:space="0" w:color="auto"/>
              <w:right w:val="single" w:sz="4" w:space="0" w:color="auto"/>
            </w:tcBorders>
            <w:shd w:val="clear" w:color="auto" w:fill="auto"/>
            <w:noWrap/>
            <w:vAlign w:val="center"/>
            <w:hideMark/>
          </w:tcPr>
          <w:p w14:paraId="37520480" w14:textId="77777777" w:rsidR="000D076B" w:rsidRPr="00241453"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3.908.469,6</w:t>
            </w:r>
          </w:p>
        </w:tc>
        <w:tc>
          <w:tcPr>
            <w:tcW w:w="1622" w:type="dxa"/>
            <w:tcBorders>
              <w:top w:val="nil"/>
              <w:left w:val="nil"/>
              <w:bottom w:val="single" w:sz="4" w:space="0" w:color="auto"/>
              <w:right w:val="single" w:sz="4" w:space="0" w:color="auto"/>
            </w:tcBorders>
            <w:shd w:val="clear" w:color="auto" w:fill="auto"/>
            <w:noWrap/>
            <w:vAlign w:val="bottom"/>
            <w:hideMark/>
          </w:tcPr>
          <w:p w14:paraId="6083731F"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7,63</w:t>
            </w:r>
          </w:p>
        </w:tc>
      </w:tr>
      <w:tr w:rsidR="000D076B" w:rsidRPr="00806778" w14:paraId="37EB89BF"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tcPr>
          <w:p w14:paraId="2BF187A2" w14:textId="77777777" w:rsidR="000D076B" w:rsidRPr="00806778" w:rsidRDefault="000D076B" w:rsidP="003124ED">
            <w:pPr>
              <w:spacing w:after="0" w:line="240" w:lineRule="auto"/>
              <w:jc w:val="center"/>
              <w:rPr>
                <w:rFonts w:ascii="Times New Roman" w:eastAsia="Times New Roman" w:hAnsi="Times New Roman" w:cs="Times New Roman"/>
                <w:b/>
                <w:color w:val="000000"/>
                <w:sz w:val="24"/>
                <w:szCs w:val="24"/>
              </w:rPr>
            </w:pPr>
            <w:r w:rsidRPr="00806778">
              <w:rPr>
                <w:rFonts w:ascii="Times New Roman" w:eastAsia="Times New Roman" w:hAnsi="Times New Roman" w:cs="Times New Roman"/>
                <w:b/>
                <w:color w:val="000000"/>
                <w:sz w:val="24"/>
                <w:szCs w:val="24"/>
              </w:rPr>
              <w:t>2015</w:t>
            </w:r>
          </w:p>
        </w:tc>
        <w:tc>
          <w:tcPr>
            <w:tcW w:w="3325" w:type="dxa"/>
            <w:tcBorders>
              <w:top w:val="nil"/>
              <w:left w:val="nil"/>
              <w:bottom w:val="single" w:sz="4" w:space="0" w:color="auto"/>
              <w:right w:val="single" w:sz="4" w:space="0" w:color="auto"/>
            </w:tcBorders>
            <w:shd w:val="clear" w:color="auto" w:fill="auto"/>
            <w:noWrap/>
            <w:vAlign w:val="bottom"/>
          </w:tcPr>
          <w:p w14:paraId="6BED185B"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806778">
              <w:rPr>
                <w:rFonts w:ascii="Times New Roman" w:eastAsia="Times New Roman" w:hAnsi="Times New Roman" w:cs="Times New Roman"/>
                <w:color w:val="000000"/>
                <w:sz w:val="24"/>
                <w:szCs w:val="24"/>
              </w:rPr>
              <w:t>354.983</w:t>
            </w:r>
          </w:p>
        </w:tc>
        <w:tc>
          <w:tcPr>
            <w:tcW w:w="4252" w:type="dxa"/>
            <w:tcBorders>
              <w:top w:val="nil"/>
              <w:left w:val="nil"/>
              <w:bottom w:val="single" w:sz="4" w:space="0" w:color="auto"/>
              <w:right w:val="single" w:sz="4" w:space="0" w:color="auto"/>
            </w:tcBorders>
            <w:shd w:val="clear" w:color="auto" w:fill="auto"/>
            <w:noWrap/>
            <w:vAlign w:val="center"/>
          </w:tcPr>
          <w:p w14:paraId="01CC5858" w14:textId="77777777" w:rsidR="000D076B" w:rsidRPr="00806778" w:rsidRDefault="000D076B" w:rsidP="003124ED">
            <w:pPr>
              <w:spacing w:after="0" w:line="240" w:lineRule="auto"/>
              <w:jc w:val="center"/>
              <w:rPr>
                <w:rFonts w:ascii="Times New Roman" w:eastAsia="Times New Roman" w:hAnsi="Times New Roman" w:cs="Times New Roman"/>
                <w:color w:val="000000"/>
                <w:sz w:val="24"/>
                <w:szCs w:val="24"/>
              </w:rPr>
            </w:pPr>
            <w:r w:rsidRPr="006C74F1">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w:t>
            </w:r>
            <w:r w:rsidRPr="006C74F1">
              <w:rPr>
                <w:rFonts w:ascii="Times New Roman" w:eastAsia="Times New Roman" w:hAnsi="Times New Roman" w:cs="Times New Roman"/>
                <w:color w:val="000000"/>
                <w:sz w:val="24"/>
                <w:szCs w:val="24"/>
                <w:lang w:val="en-US"/>
              </w:rPr>
              <w:t>043</w:t>
            </w:r>
            <w:r>
              <w:rPr>
                <w:rFonts w:ascii="Times New Roman" w:eastAsia="Times New Roman" w:hAnsi="Times New Roman" w:cs="Times New Roman"/>
                <w:color w:val="000000"/>
                <w:sz w:val="24"/>
                <w:szCs w:val="24"/>
                <w:lang w:val="en-US"/>
              </w:rPr>
              <w:t>.467,</w:t>
            </w:r>
            <w:r w:rsidRPr="006C74F1">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lang w:val="en-US"/>
              </w:rPr>
              <w:t xml:space="preserve"> </w:t>
            </w:r>
          </w:p>
        </w:tc>
        <w:tc>
          <w:tcPr>
            <w:tcW w:w="1622" w:type="dxa"/>
            <w:tcBorders>
              <w:top w:val="nil"/>
              <w:left w:val="nil"/>
              <w:bottom w:val="single" w:sz="4" w:space="0" w:color="auto"/>
              <w:right w:val="single" w:sz="4" w:space="0" w:color="auto"/>
            </w:tcBorders>
            <w:shd w:val="clear" w:color="auto" w:fill="auto"/>
            <w:noWrap/>
            <w:vAlign w:val="bottom"/>
          </w:tcPr>
          <w:p w14:paraId="1765D00F" w14:textId="77777777" w:rsidR="000D076B" w:rsidRPr="000C69A8"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8,77</w:t>
            </w:r>
          </w:p>
        </w:tc>
      </w:tr>
      <w:tr w:rsidR="000D076B" w:rsidRPr="00806778" w14:paraId="6FDC452E"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tcPr>
          <w:p w14:paraId="62103B01" w14:textId="77777777" w:rsidR="000D076B" w:rsidRDefault="000D076B" w:rsidP="003124E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2016</w:t>
            </w:r>
          </w:p>
        </w:tc>
        <w:tc>
          <w:tcPr>
            <w:tcW w:w="3325" w:type="dxa"/>
            <w:tcBorders>
              <w:top w:val="nil"/>
              <w:left w:val="nil"/>
              <w:bottom w:val="single" w:sz="4" w:space="0" w:color="auto"/>
              <w:right w:val="single" w:sz="4" w:space="0" w:color="auto"/>
            </w:tcBorders>
            <w:shd w:val="clear" w:color="auto" w:fill="auto"/>
            <w:noWrap/>
            <w:vAlign w:val="bottom"/>
          </w:tcPr>
          <w:p w14:paraId="23B46E4E" w14:textId="77777777" w:rsidR="000D076B"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335.268</w:t>
            </w:r>
          </w:p>
        </w:tc>
        <w:tc>
          <w:tcPr>
            <w:tcW w:w="4252" w:type="dxa"/>
            <w:tcBorders>
              <w:top w:val="nil"/>
              <w:left w:val="nil"/>
              <w:bottom w:val="single" w:sz="4" w:space="0" w:color="auto"/>
              <w:right w:val="single" w:sz="4" w:space="0" w:color="auto"/>
            </w:tcBorders>
            <w:shd w:val="clear" w:color="auto" w:fill="auto"/>
            <w:noWrap/>
            <w:vAlign w:val="center"/>
          </w:tcPr>
          <w:p w14:paraId="5BF8711D" w14:textId="77777777" w:rsidR="000D076B"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4.261.927,4</w:t>
            </w:r>
          </w:p>
        </w:tc>
        <w:tc>
          <w:tcPr>
            <w:tcW w:w="1622" w:type="dxa"/>
            <w:tcBorders>
              <w:top w:val="nil"/>
              <w:left w:val="nil"/>
              <w:bottom w:val="single" w:sz="4" w:space="0" w:color="auto"/>
              <w:right w:val="single" w:sz="4" w:space="0" w:color="auto"/>
            </w:tcBorders>
            <w:shd w:val="clear" w:color="auto" w:fill="auto"/>
            <w:noWrap/>
            <w:vAlign w:val="bottom"/>
          </w:tcPr>
          <w:p w14:paraId="65184A03" w14:textId="77777777" w:rsidR="000D076B" w:rsidRDefault="000D076B" w:rsidP="003124ED">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7,86</w:t>
            </w:r>
          </w:p>
        </w:tc>
      </w:tr>
      <w:tr w:rsidR="000D076B" w:rsidRPr="00806778" w14:paraId="62A488A5"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tcPr>
          <w:p w14:paraId="7056EBB8" w14:textId="77777777" w:rsidR="000D076B" w:rsidRDefault="000D076B" w:rsidP="003124ED">
            <w:pPr>
              <w:spacing w:after="0" w:line="240" w:lineRule="auto"/>
              <w:jc w:val="center"/>
              <w:rPr>
                <w:rFonts w:ascii="Times New Roman" w:eastAsia="Times New Roman" w:hAnsi="Times New Roman" w:cs="Times New Roman"/>
                <w:b/>
                <w:color w:val="000000"/>
                <w:sz w:val="24"/>
                <w:szCs w:val="24"/>
              </w:rPr>
            </w:pPr>
            <w:r w:rsidRPr="00ED7784">
              <w:rPr>
                <w:rFonts w:ascii="Times New Roman" w:eastAsia="Times New Roman" w:hAnsi="Times New Roman" w:cs="Times New Roman"/>
                <w:b/>
                <w:color w:val="000000" w:themeColor="text1"/>
                <w:sz w:val="24"/>
                <w:szCs w:val="24"/>
                <w:lang w:val="en-GB"/>
              </w:rPr>
              <w:t>2017</w:t>
            </w:r>
          </w:p>
        </w:tc>
        <w:tc>
          <w:tcPr>
            <w:tcW w:w="3325" w:type="dxa"/>
            <w:tcBorders>
              <w:top w:val="nil"/>
              <w:left w:val="nil"/>
              <w:bottom w:val="single" w:sz="4" w:space="0" w:color="auto"/>
              <w:right w:val="single" w:sz="4" w:space="0" w:color="auto"/>
            </w:tcBorders>
            <w:shd w:val="clear" w:color="auto" w:fill="auto"/>
            <w:noWrap/>
            <w:vAlign w:val="bottom"/>
          </w:tcPr>
          <w:p w14:paraId="519DF558" w14:textId="77777777" w:rsidR="000D076B" w:rsidRDefault="000D076B" w:rsidP="003124ED">
            <w:pPr>
              <w:spacing w:after="0" w:line="240" w:lineRule="auto"/>
              <w:jc w:val="center"/>
              <w:rPr>
                <w:rFonts w:ascii="Times New Roman" w:eastAsia="Times New Roman" w:hAnsi="Times New Roman" w:cs="Times New Roman"/>
                <w:color w:val="000000"/>
                <w:sz w:val="24"/>
                <w:szCs w:val="24"/>
              </w:rPr>
            </w:pPr>
            <w:r w:rsidRPr="00ED7784">
              <w:rPr>
                <w:rFonts w:ascii="Times New Roman" w:eastAsia="Times New Roman" w:hAnsi="Times New Roman" w:cs="Times New Roman"/>
                <w:color w:val="000000" w:themeColor="text1"/>
                <w:sz w:val="24"/>
                <w:szCs w:val="24"/>
              </w:rPr>
              <w:t>342.911</w:t>
            </w:r>
          </w:p>
        </w:tc>
        <w:tc>
          <w:tcPr>
            <w:tcW w:w="4252" w:type="dxa"/>
            <w:tcBorders>
              <w:top w:val="nil"/>
              <w:left w:val="nil"/>
              <w:bottom w:val="single" w:sz="4" w:space="0" w:color="auto"/>
              <w:right w:val="single" w:sz="4" w:space="0" w:color="auto"/>
            </w:tcBorders>
            <w:shd w:val="clear" w:color="auto" w:fill="auto"/>
            <w:noWrap/>
            <w:vAlign w:val="center"/>
          </w:tcPr>
          <w:p w14:paraId="33DA026B" w14:textId="77777777" w:rsidR="000D076B" w:rsidRDefault="000D076B" w:rsidP="00312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lang w:val="sr-Cyrl-CS"/>
              </w:rPr>
              <w:t xml:space="preserve"> </w:t>
            </w:r>
            <w:r w:rsidRPr="00ED7784">
              <w:rPr>
                <w:rFonts w:ascii="Times New Roman" w:eastAsia="Times New Roman" w:hAnsi="Times New Roman" w:cs="Times New Roman"/>
                <w:color w:val="000000" w:themeColor="text1"/>
                <w:sz w:val="24"/>
                <w:szCs w:val="24"/>
              </w:rPr>
              <w:t>4</w:t>
            </w:r>
            <w:r w:rsidRPr="00ED7784">
              <w:rPr>
                <w:rFonts w:ascii="Times New Roman" w:eastAsia="Times New Roman" w:hAnsi="Times New Roman" w:cs="Times New Roman"/>
                <w:color w:val="000000" w:themeColor="text1"/>
                <w:sz w:val="24"/>
                <w:szCs w:val="24"/>
                <w:lang w:val="en-GB"/>
              </w:rPr>
              <w:t>.</w:t>
            </w:r>
            <w:r w:rsidRPr="00ED7784">
              <w:rPr>
                <w:rFonts w:ascii="Times New Roman" w:eastAsia="Times New Roman" w:hAnsi="Times New Roman" w:cs="Times New Roman"/>
                <w:color w:val="000000" w:themeColor="text1"/>
                <w:sz w:val="24"/>
                <w:szCs w:val="24"/>
              </w:rPr>
              <w:t>464</w:t>
            </w:r>
            <w:r w:rsidRPr="00ED7784">
              <w:rPr>
                <w:rFonts w:ascii="Times New Roman" w:eastAsia="Times New Roman" w:hAnsi="Times New Roman" w:cs="Times New Roman"/>
                <w:color w:val="000000" w:themeColor="text1"/>
                <w:sz w:val="24"/>
                <w:szCs w:val="24"/>
                <w:lang w:val="en-GB"/>
              </w:rPr>
              <w:t>.</w:t>
            </w:r>
            <w:r w:rsidRPr="00ED7784">
              <w:rPr>
                <w:rFonts w:ascii="Times New Roman" w:eastAsia="Times New Roman" w:hAnsi="Times New Roman" w:cs="Times New Roman"/>
                <w:color w:val="000000" w:themeColor="text1"/>
                <w:sz w:val="24"/>
                <w:szCs w:val="24"/>
              </w:rPr>
              <w:t>629</w:t>
            </w:r>
            <w:r w:rsidRPr="00ED7784">
              <w:rPr>
                <w:rFonts w:ascii="Times New Roman" w:eastAsia="Times New Roman" w:hAnsi="Times New Roman" w:cs="Times New Roman"/>
                <w:color w:val="000000" w:themeColor="text1"/>
                <w:sz w:val="24"/>
                <w:szCs w:val="24"/>
                <w:lang w:val="en-GB"/>
              </w:rPr>
              <w:t>,0</w:t>
            </w:r>
          </w:p>
        </w:tc>
        <w:tc>
          <w:tcPr>
            <w:tcW w:w="1622" w:type="dxa"/>
            <w:tcBorders>
              <w:top w:val="nil"/>
              <w:left w:val="nil"/>
              <w:bottom w:val="single" w:sz="4" w:space="0" w:color="auto"/>
              <w:right w:val="single" w:sz="4" w:space="0" w:color="auto"/>
            </w:tcBorders>
            <w:shd w:val="clear" w:color="auto" w:fill="auto"/>
            <w:noWrap/>
            <w:vAlign w:val="bottom"/>
          </w:tcPr>
          <w:p w14:paraId="4D9B875B" w14:textId="77777777" w:rsidR="000D076B" w:rsidRDefault="000D076B" w:rsidP="003124ED">
            <w:pPr>
              <w:spacing w:after="0" w:line="240" w:lineRule="auto"/>
              <w:jc w:val="center"/>
              <w:rPr>
                <w:rFonts w:ascii="Times New Roman" w:eastAsia="Times New Roman" w:hAnsi="Times New Roman" w:cs="Times New Roman"/>
                <w:color w:val="000000"/>
                <w:sz w:val="24"/>
                <w:szCs w:val="24"/>
                <w:lang w:val="en-US"/>
              </w:rPr>
            </w:pPr>
            <w:r w:rsidRPr="00ED7784">
              <w:rPr>
                <w:rFonts w:ascii="Times New Roman" w:eastAsia="Times New Roman" w:hAnsi="Times New Roman" w:cs="Times New Roman"/>
                <w:color w:val="000000" w:themeColor="text1"/>
                <w:sz w:val="24"/>
                <w:szCs w:val="24"/>
                <w:lang w:val="sr-Cyrl-CS"/>
              </w:rPr>
              <w:t>7,68</w:t>
            </w:r>
          </w:p>
        </w:tc>
      </w:tr>
      <w:tr w:rsidR="000D076B" w:rsidRPr="00806778" w14:paraId="1BD309BE"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tcPr>
          <w:p w14:paraId="5D1B12EF" w14:textId="77777777" w:rsidR="000D076B" w:rsidRPr="001D03C0" w:rsidRDefault="000D076B" w:rsidP="003124ED">
            <w:pPr>
              <w:spacing w:after="0" w:line="240" w:lineRule="auto"/>
              <w:jc w:val="center"/>
              <w:rPr>
                <w:rFonts w:ascii="Times New Roman" w:eastAsia="Times New Roman" w:hAnsi="Times New Roman" w:cs="Times New Roman"/>
                <w:b/>
                <w:sz w:val="24"/>
                <w:szCs w:val="24"/>
                <w:lang w:val="sr-Cyrl-CS"/>
              </w:rPr>
            </w:pPr>
            <w:r w:rsidRPr="001D03C0">
              <w:rPr>
                <w:rFonts w:ascii="Times New Roman" w:eastAsia="Times New Roman" w:hAnsi="Times New Roman" w:cs="Times New Roman"/>
                <w:b/>
                <w:sz w:val="24"/>
                <w:szCs w:val="24"/>
                <w:lang w:val="sr-Cyrl-CS"/>
              </w:rPr>
              <w:t>2018</w:t>
            </w:r>
          </w:p>
        </w:tc>
        <w:tc>
          <w:tcPr>
            <w:tcW w:w="3325" w:type="dxa"/>
            <w:tcBorders>
              <w:top w:val="nil"/>
              <w:left w:val="nil"/>
              <w:bottom w:val="single" w:sz="4" w:space="0" w:color="auto"/>
              <w:right w:val="single" w:sz="4" w:space="0" w:color="auto"/>
            </w:tcBorders>
            <w:shd w:val="clear" w:color="auto" w:fill="auto"/>
            <w:noWrap/>
            <w:vAlign w:val="bottom"/>
          </w:tcPr>
          <w:p w14:paraId="72B2315D"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sidRPr="001D03C0">
              <w:rPr>
                <w:rFonts w:ascii="Times New Roman" w:eastAsia="Times New Roman" w:hAnsi="Times New Roman" w:cs="Times New Roman"/>
                <w:sz w:val="24"/>
                <w:szCs w:val="24"/>
                <w:lang w:val="sr-Cyrl-CS"/>
              </w:rPr>
              <w:t>403.963</w:t>
            </w:r>
          </w:p>
        </w:tc>
        <w:tc>
          <w:tcPr>
            <w:tcW w:w="4252" w:type="dxa"/>
            <w:tcBorders>
              <w:top w:val="nil"/>
              <w:left w:val="nil"/>
              <w:bottom w:val="single" w:sz="4" w:space="0" w:color="auto"/>
              <w:right w:val="single" w:sz="4" w:space="0" w:color="auto"/>
            </w:tcBorders>
            <w:shd w:val="clear" w:color="auto" w:fill="auto"/>
            <w:noWrap/>
            <w:vAlign w:val="center"/>
          </w:tcPr>
          <w:p w14:paraId="391CB51F"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sidRPr="001D03C0">
              <w:rPr>
                <w:rFonts w:ascii="Times New Roman" w:eastAsia="Times New Roman" w:hAnsi="Times New Roman" w:cs="Times New Roman"/>
                <w:sz w:val="24"/>
                <w:szCs w:val="24"/>
                <w:lang w:val="sr-Cyrl-CS"/>
              </w:rPr>
              <w:t xml:space="preserve"> 5.059.480,9</w:t>
            </w:r>
          </w:p>
        </w:tc>
        <w:tc>
          <w:tcPr>
            <w:tcW w:w="1622" w:type="dxa"/>
            <w:tcBorders>
              <w:top w:val="nil"/>
              <w:left w:val="nil"/>
              <w:bottom w:val="single" w:sz="4" w:space="0" w:color="auto"/>
              <w:right w:val="single" w:sz="4" w:space="0" w:color="auto"/>
            </w:tcBorders>
            <w:shd w:val="clear" w:color="auto" w:fill="auto"/>
            <w:noWrap/>
            <w:vAlign w:val="bottom"/>
          </w:tcPr>
          <w:p w14:paraId="1D5D3550"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sidRPr="001D03C0">
              <w:rPr>
                <w:rFonts w:ascii="Times New Roman" w:eastAsia="Times New Roman" w:hAnsi="Times New Roman" w:cs="Times New Roman"/>
                <w:sz w:val="24"/>
                <w:szCs w:val="24"/>
                <w:lang w:val="sr-Cyrl-CS"/>
              </w:rPr>
              <w:t>7,98</w:t>
            </w:r>
          </w:p>
        </w:tc>
      </w:tr>
      <w:tr w:rsidR="000D076B" w:rsidRPr="00ED7784" w14:paraId="17DC346B" w14:textId="77777777" w:rsidTr="003124ED">
        <w:trPr>
          <w:trHeight w:val="315"/>
          <w:jc w:val="center"/>
        </w:trPr>
        <w:tc>
          <w:tcPr>
            <w:tcW w:w="1007" w:type="dxa"/>
            <w:tcBorders>
              <w:top w:val="nil"/>
              <w:left w:val="single" w:sz="4" w:space="0" w:color="auto"/>
              <w:bottom w:val="single" w:sz="4" w:space="0" w:color="auto"/>
              <w:right w:val="single" w:sz="4" w:space="0" w:color="auto"/>
            </w:tcBorders>
            <w:shd w:val="clear" w:color="auto" w:fill="auto"/>
            <w:noWrap/>
            <w:vAlign w:val="bottom"/>
          </w:tcPr>
          <w:p w14:paraId="0A298309" w14:textId="77777777" w:rsidR="000D076B" w:rsidRPr="003854E4" w:rsidRDefault="000D076B" w:rsidP="003124ED">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2019</w:t>
            </w:r>
          </w:p>
        </w:tc>
        <w:tc>
          <w:tcPr>
            <w:tcW w:w="3325" w:type="dxa"/>
            <w:tcBorders>
              <w:top w:val="nil"/>
              <w:left w:val="nil"/>
              <w:bottom w:val="single" w:sz="4" w:space="0" w:color="auto"/>
              <w:right w:val="single" w:sz="4" w:space="0" w:color="auto"/>
            </w:tcBorders>
            <w:shd w:val="clear" w:color="auto" w:fill="auto"/>
            <w:noWrap/>
            <w:vAlign w:val="bottom"/>
          </w:tcPr>
          <w:p w14:paraId="7594AEE8"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440.522</w:t>
            </w:r>
          </w:p>
        </w:tc>
        <w:tc>
          <w:tcPr>
            <w:tcW w:w="4252" w:type="dxa"/>
            <w:tcBorders>
              <w:top w:val="nil"/>
              <w:left w:val="nil"/>
              <w:bottom w:val="single" w:sz="4" w:space="0" w:color="auto"/>
              <w:right w:val="single" w:sz="4" w:space="0" w:color="auto"/>
            </w:tcBorders>
            <w:shd w:val="clear" w:color="auto" w:fill="auto"/>
            <w:noWrap/>
            <w:vAlign w:val="center"/>
          </w:tcPr>
          <w:p w14:paraId="6406F4CA"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GB"/>
              </w:rPr>
              <w:t xml:space="preserve">   </w:t>
            </w:r>
            <w:r w:rsidRPr="003854E4">
              <w:rPr>
                <w:rFonts w:ascii="Times New Roman" w:eastAsia="Times New Roman" w:hAnsi="Times New Roman" w:cs="Times New Roman"/>
                <w:sz w:val="24"/>
                <w:szCs w:val="24"/>
                <w:lang w:val="sr-Cyrl-CS"/>
              </w:rPr>
              <w:t>5.410.794,3</w:t>
            </w:r>
            <w:r w:rsidRPr="003854E4">
              <w:rPr>
                <w:rFonts w:ascii="Times New Roman" w:eastAsia="Times New Roman" w:hAnsi="Times New Roman" w:cs="Times New Roman"/>
                <w:sz w:val="24"/>
                <w:szCs w:val="24"/>
                <w:lang w:val="sr-Cyrl-CS"/>
              </w:rPr>
              <w:t>‬</w:t>
            </w:r>
            <w:r w:rsidRPr="001D03C0">
              <w:rPr>
                <w:rStyle w:val="FootnoteReference"/>
                <w:rFonts w:ascii="Times New Roman" w:eastAsia="Times New Roman" w:hAnsi="Times New Roman" w:cs="Times New Roman"/>
                <w:sz w:val="24"/>
                <w:szCs w:val="24"/>
                <w:lang w:val="sr-Cyrl-CS"/>
              </w:rPr>
              <w:footnoteReference w:id="1"/>
            </w:r>
          </w:p>
        </w:tc>
        <w:tc>
          <w:tcPr>
            <w:tcW w:w="1622" w:type="dxa"/>
            <w:tcBorders>
              <w:top w:val="nil"/>
              <w:left w:val="nil"/>
              <w:bottom w:val="single" w:sz="4" w:space="0" w:color="auto"/>
              <w:right w:val="single" w:sz="4" w:space="0" w:color="auto"/>
            </w:tcBorders>
            <w:shd w:val="clear" w:color="auto" w:fill="auto"/>
            <w:noWrap/>
            <w:vAlign w:val="bottom"/>
          </w:tcPr>
          <w:p w14:paraId="79E9C29F" w14:textId="77777777" w:rsidR="000D076B" w:rsidRPr="003854E4" w:rsidRDefault="000D076B" w:rsidP="003124E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8,14</w:t>
            </w:r>
          </w:p>
        </w:tc>
      </w:tr>
    </w:tbl>
    <w:p w14:paraId="7B5969BF" w14:textId="77777777" w:rsidR="00370E91" w:rsidRPr="00ED7784" w:rsidRDefault="00370E91" w:rsidP="00370E91">
      <w:pPr>
        <w:rPr>
          <w:color w:val="000000" w:themeColor="text1"/>
          <w:lang w:val="en-US"/>
        </w:rPr>
      </w:pPr>
    </w:p>
    <w:p w14:paraId="6FF24C20" w14:textId="7E6545E8" w:rsidR="005E5329" w:rsidRPr="00ED7784" w:rsidRDefault="005E5329" w:rsidP="005E5329">
      <w:pPr>
        <w:jc w:val="both"/>
        <w:rPr>
          <w:rFonts w:ascii="Times New Roman" w:hAnsi="Times New Roman" w:cs="Times New Roman"/>
          <w:color w:val="000000" w:themeColor="text1"/>
          <w:sz w:val="24"/>
          <w:szCs w:val="24"/>
          <w:lang w:val="sr-Cyrl-CS"/>
        </w:rPr>
      </w:pPr>
      <w:r w:rsidRPr="00ED7784">
        <w:rPr>
          <w:rFonts w:ascii="Times New Roman" w:hAnsi="Times New Roman" w:cs="Times New Roman"/>
          <w:color w:val="000000" w:themeColor="text1"/>
          <w:sz w:val="24"/>
          <w:szCs w:val="24"/>
        </w:rPr>
        <w:t>Учешће набавки мале вредности у укупној вредности јавних набавки,</w:t>
      </w:r>
      <w:r w:rsidR="00EF78EB" w:rsidRPr="00ED7784">
        <w:rPr>
          <w:rFonts w:ascii="Times New Roman" w:hAnsi="Times New Roman" w:cs="Times New Roman"/>
          <w:color w:val="000000" w:themeColor="text1"/>
          <w:sz w:val="24"/>
          <w:szCs w:val="24"/>
        </w:rPr>
        <w:t xml:space="preserve"> у 201</w:t>
      </w:r>
      <w:r w:rsidR="000D076B">
        <w:rPr>
          <w:rFonts w:ascii="Times New Roman" w:hAnsi="Times New Roman" w:cs="Times New Roman"/>
          <w:color w:val="000000" w:themeColor="text1"/>
          <w:sz w:val="24"/>
          <w:szCs w:val="24"/>
          <w:lang w:val="sr-Cyrl-CS"/>
        </w:rPr>
        <w:t>9</w:t>
      </w:r>
      <w:r w:rsidRPr="00ED7784">
        <w:rPr>
          <w:rFonts w:ascii="Times New Roman" w:hAnsi="Times New Roman" w:cs="Times New Roman"/>
          <w:color w:val="000000" w:themeColor="text1"/>
          <w:sz w:val="24"/>
          <w:szCs w:val="24"/>
        </w:rPr>
        <w:t xml:space="preserve">. </w:t>
      </w:r>
      <w:r w:rsidR="00755654" w:rsidRPr="00ED7784">
        <w:rPr>
          <w:rFonts w:ascii="Times New Roman" w:hAnsi="Times New Roman" w:cs="Times New Roman"/>
          <w:color w:val="000000" w:themeColor="text1"/>
          <w:sz w:val="24"/>
          <w:szCs w:val="24"/>
        </w:rPr>
        <w:t>г</w:t>
      </w:r>
      <w:r w:rsidRPr="00ED7784">
        <w:rPr>
          <w:rFonts w:ascii="Times New Roman" w:hAnsi="Times New Roman" w:cs="Times New Roman"/>
          <w:color w:val="000000" w:themeColor="text1"/>
          <w:sz w:val="24"/>
          <w:szCs w:val="24"/>
        </w:rPr>
        <w:t xml:space="preserve">одини, износило је </w:t>
      </w:r>
      <w:r w:rsidR="000D076B">
        <w:rPr>
          <w:rFonts w:ascii="Times New Roman" w:hAnsi="Times New Roman" w:cs="Times New Roman"/>
          <w:color w:val="000000" w:themeColor="text1"/>
          <w:sz w:val="24"/>
          <w:szCs w:val="24"/>
          <w:lang w:val="sr-Cyrl-CS"/>
        </w:rPr>
        <w:t>9</w:t>
      </w:r>
      <w:r w:rsidRPr="00ED7784">
        <w:rPr>
          <w:rFonts w:ascii="Times New Roman" w:hAnsi="Times New Roman" w:cs="Times New Roman"/>
          <w:color w:val="000000" w:themeColor="text1"/>
          <w:sz w:val="24"/>
          <w:szCs w:val="24"/>
        </w:rPr>
        <w:t xml:space="preserve">% </w:t>
      </w:r>
      <w:r w:rsidR="00765397" w:rsidRPr="00ED7784">
        <w:rPr>
          <w:rFonts w:ascii="Times New Roman" w:hAnsi="Times New Roman" w:cs="Times New Roman"/>
          <w:color w:val="000000" w:themeColor="text1"/>
          <w:sz w:val="24"/>
          <w:szCs w:val="24"/>
        </w:rPr>
        <w:t xml:space="preserve">што је на нивоу који је успостављен </w:t>
      </w:r>
      <w:r w:rsidR="00BE7E9E" w:rsidRPr="00ED7784">
        <w:rPr>
          <w:rFonts w:ascii="Times New Roman" w:hAnsi="Times New Roman" w:cs="Times New Roman"/>
          <w:color w:val="000000" w:themeColor="text1"/>
          <w:sz w:val="24"/>
          <w:szCs w:val="24"/>
        </w:rPr>
        <w:t xml:space="preserve">почев </w:t>
      </w:r>
      <w:r w:rsidR="00765397" w:rsidRPr="00ED7784">
        <w:rPr>
          <w:rFonts w:ascii="Times New Roman" w:hAnsi="Times New Roman" w:cs="Times New Roman"/>
          <w:color w:val="000000" w:themeColor="text1"/>
          <w:sz w:val="24"/>
          <w:szCs w:val="24"/>
        </w:rPr>
        <w:t>од 2014. године (</w:t>
      </w:r>
      <w:r w:rsidR="00765397" w:rsidRPr="00ED7784">
        <w:rPr>
          <w:rFonts w:ascii="Times New Roman" w:hAnsi="Times New Roman" w:cs="Times New Roman"/>
          <w:color w:val="000000" w:themeColor="text1"/>
          <w:sz w:val="24"/>
          <w:szCs w:val="24"/>
          <w:lang w:val="sr"/>
        </w:rPr>
        <w:t>Табела</w:t>
      </w:r>
      <w:r w:rsidR="00765397" w:rsidRPr="00ED7784">
        <w:rPr>
          <w:rFonts w:ascii="Times New Roman" w:hAnsi="Times New Roman" w:cs="Times New Roman"/>
          <w:color w:val="000000" w:themeColor="text1"/>
          <w:sz w:val="24"/>
          <w:szCs w:val="24"/>
        </w:rPr>
        <w:t xml:space="preserve"> 3</w:t>
      </w:r>
      <w:r w:rsidRPr="00ED7784">
        <w:rPr>
          <w:rFonts w:ascii="Times New Roman" w:hAnsi="Times New Roman" w:cs="Times New Roman"/>
          <w:color w:val="000000" w:themeColor="text1"/>
          <w:sz w:val="24"/>
          <w:szCs w:val="24"/>
        </w:rPr>
        <w:t>)</w:t>
      </w:r>
      <w:r w:rsidRPr="00ED7784">
        <w:rPr>
          <w:rFonts w:ascii="Times New Roman" w:hAnsi="Times New Roman" w:cs="Times New Roman"/>
          <w:color w:val="000000" w:themeColor="text1"/>
          <w:sz w:val="24"/>
          <w:szCs w:val="24"/>
          <w:lang w:val="sr-Cyrl-CS"/>
        </w:rPr>
        <w:t xml:space="preserve">. </w:t>
      </w:r>
    </w:p>
    <w:p w14:paraId="5266E66E" w14:textId="170BA4CB" w:rsidR="00765397" w:rsidRPr="00BE7D6A" w:rsidRDefault="000A42BD" w:rsidP="00765397">
      <w:pPr>
        <w:rPr>
          <w:b/>
        </w:rPr>
      </w:pPr>
      <w:r>
        <w:rPr>
          <w:rFonts w:ascii="Times New Roman" w:hAnsi="Times New Roman" w:cs="Times New Roman"/>
          <w:color w:val="000000" w:themeColor="text1"/>
          <w:sz w:val="24"/>
          <w:szCs w:val="24"/>
          <w:lang w:val="en-GB"/>
        </w:rPr>
        <w:t xml:space="preserve">             </w:t>
      </w:r>
      <w:r w:rsidR="00765397" w:rsidRPr="00BE7D6A">
        <w:rPr>
          <w:rFonts w:ascii="Times New Roman" w:hAnsi="Times New Roman" w:cs="Times New Roman"/>
          <w:b/>
          <w:color w:val="000000" w:themeColor="text1"/>
          <w:sz w:val="24"/>
          <w:szCs w:val="24"/>
          <w:lang w:val="sr-Cyrl-CS"/>
        </w:rPr>
        <w:t>Табела</w:t>
      </w:r>
      <w:r w:rsidR="005D7B21" w:rsidRPr="00BE7D6A">
        <w:rPr>
          <w:rFonts w:ascii="Times New Roman" w:hAnsi="Times New Roman" w:cs="Times New Roman"/>
          <w:b/>
          <w:color w:val="000000" w:themeColor="text1"/>
          <w:sz w:val="24"/>
          <w:szCs w:val="24"/>
        </w:rPr>
        <w:t xml:space="preserve"> </w:t>
      </w:r>
      <w:r w:rsidR="00765397" w:rsidRPr="00BE7D6A">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332AC0" w:rsidRPr="00BE7D6A">
        <w:rPr>
          <w:rFonts w:ascii="Times New Roman" w:hAnsi="Times New Roman" w:cs="Times New Roman"/>
          <w:b/>
          <w:sz w:val="24"/>
          <w:szCs w:val="24"/>
        </w:rPr>
        <w:t xml:space="preserve">       </w:t>
      </w:r>
      <w:r w:rsidR="003C44F7" w:rsidRPr="00BE7D6A">
        <w:rPr>
          <w:rFonts w:ascii="Times New Roman" w:hAnsi="Times New Roman" w:cs="Times New Roman"/>
          <w:b/>
          <w:sz w:val="24"/>
          <w:szCs w:val="24"/>
        </w:rPr>
        <w:t xml:space="preserve"> </w:t>
      </w:r>
      <w:bookmarkStart w:id="1" w:name="_MON_1581335205"/>
      <w:bookmarkEnd w:id="1"/>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960"/>
        <w:gridCol w:w="960"/>
        <w:gridCol w:w="960"/>
        <w:gridCol w:w="960"/>
        <w:gridCol w:w="960"/>
        <w:gridCol w:w="960"/>
        <w:gridCol w:w="960"/>
      </w:tblGrid>
      <w:tr w:rsidR="000D076B" w:rsidRPr="00B605CA" w14:paraId="64B9CA57" w14:textId="77777777" w:rsidTr="003124ED">
        <w:trPr>
          <w:trHeight w:val="300"/>
          <w:jc w:val="center"/>
        </w:trPr>
        <w:tc>
          <w:tcPr>
            <w:tcW w:w="10309" w:type="dxa"/>
            <w:gridSpan w:val="8"/>
            <w:shd w:val="clear" w:color="auto" w:fill="auto"/>
            <w:noWrap/>
            <w:vAlign w:val="center"/>
          </w:tcPr>
          <w:p w14:paraId="4BFC1AC3"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val="sr-Cyrl-CS" w:eastAsia="en-GB"/>
              </w:rPr>
            </w:pPr>
            <w:r w:rsidRPr="00B605CA">
              <w:rPr>
                <w:rFonts w:ascii="Times New Roman" w:eastAsia="Times New Roman" w:hAnsi="Times New Roman" w:cs="Times New Roman"/>
                <w:b/>
                <w:color w:val="000000"/>
                <w:sz w:val="24"/>
                <w:szCs w:val="24"/>
                <w:lang w:val="sr-Cyrl-CS" w:eastAsia="en-GB"/>
              </w:rPr>
              <w:t>Кретање учешћа јавних набавки велике и мале вредности</w:t>
            </w:r>
          </w:p>
          <w:p w14:paraId="219B7A91"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val="sr-Cyrl-CS" w:eastAsia="en-GB"/>
              </w:rPr>
            </w:pPr>
            <w:r>
              <w:rPr>
                <w:rFonts w:ascii="Times New Roman" w:eastAsia="Times New Roman" w:hAnsi="Times New Roman" w:cs="Times New Roman"/>
                <w:b/>
                <w:color w:val="000000"/>
                <w:sz w:val="24"/>
                <w:szCs w:val="24"/>
                <w:lang w:val="sr-Cyrl-CS" w:eastAsia="en-GB"/>
              </w:rPr>
              <w:t>у периоду 2013 – 2019</w:t>
            </w:r>
          </w:p>
        </w:tc>
      </w:tr>
      <w:tr w:rsidR="000D076B" w:rsidRPr="00B605CA" w14:paraId="2FE05A44" w14:textId="77777777" w:rsidTr="003124ED">
        <w:trPr>
          <w:trHeight w:val="300"/>
          <w:jc w:val="center"/>
        </w:trPr>
        <w:tc>
          <w:tcPr>
            <w:tcW w:w="3589" w:type="dxa"/>
            <w:shd w:val="clear" w:color="auto" w:fill="auto"/>
            <w:noWrap/>
            <w:vAlign w:val="center"/>
            <w:hideMark/>
          </w:tcPr>
          <w:p w14:paraId="46945840" w14:textId="77777777" w:rsidR="000D076B" w:rsidRPr="00B605CA" w:rsidRDefault="000D076B" w:rsidP="003124ED">
            <w:pPr>
              <w:spacing w:after="0" w:line="240" w:lineRule="auto"/>
              <w:jc w:val="center"/>
              <w:rPr>
                <w:rFonts w:ascii="Times New Roman" w:eastAsia="Times New Roman" w:hAnsi="Times New Roman" w:cs="Times New Roman"/>
                <w:sz w:val="24"/>
                <w:szCs w:val="24"/>
                <w:lang w:eastAsia="en-GB"/>
              </w:rPr>
            </w:pPr>
          </w:p>
        </w:tc>
        <w:tc>
          <w:tcPr>
            <w:tcW w:w="960" w:type="dxa"/>
            <w:shd w:val="clear" w:color="auto" w:fill="auto"/>
            <w:noWrap/>
            <w:vAlign w:val="center"/>
            <w:hideMark/>
          </w:tcPr>
          <w:p w14:paraId="440A77A0"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2013</w:t>
            </w:r>
          </w:p>
        </w:tc>
        <w:tc>
          <w:tcPr>
            <w:tcW w:w="960" w:type="dxa"/>
            <w:shd w:val="clear" w:color="auto" w:fill="auto"/>
            <w:noWrap/>
            <w:vAlign w:val="center"/>
            <w:hideMark/>
          </w:tcPr>
          <w:p w14:paraId="609C0FF0"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2014</w:t>
            </w:r>
          </w:p>
        </w:tc>
        <w:tc>
          <w:tcPr>
            <w:tcW w:w="960" w:type="dxa"/>
            <w:shd w:val="clear" w:color="auto" w:fill="auto"/>
            <w:noWrap/>
            <w:vAlign w:val="center"/>
            <w:hideMark/>
          </w:tcPr>
          <w:p w14:paraId="5E1C49B8"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2015</w:t>
            </w:r>
          </w:p>
        </w:tc>
        <w:tc>
          <w:tcPr>
            <w:tcW w:w="960" w:type="dxa"/>
            <w:shd w:val="clear" w:color="auto" w:fill="auto"/>
            <w:noWrap/>
            <w:vAlign w:val="center"/>
            <w:hideMark/>
          </w:tcPr>
          <w:p w14:paraId="7E450862"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2016</w:t>
            </w:r>
          </w:p>
        </w:tc>
        <w:tc>
          <w:tcPr>
            <w:tcW w:w="960" w:type="dxa"/>
            <w:shd w:val="clear" w:color="auto" w:fill="auto"/>
            <w:noWrap/>
            <w:vAlign w:val="center"/>
            <w:hideMark/>
          </w:tcPr>
          <w:p w14:paraId="395F9110"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2017</w:t>
            </w:r>
          </w:p>
        </w:tc>
        <w:tc>
          <w:tcPr>
            <w:tcW w:w="960" w:type="dxa"/>
            <w:shd w:val="clear" w:color="auto" w:fill="auto"/>
            <w:vAlign w:val="center"/>
          </w:tcPr>
          <w:p w14:paraId="224CD739" w14:textId="77777777" w:rsidR="000D076B" w:rsidRPr="001D03C0" w:rsidRDefault="000D076B" w:rsidP="003124ED">
            <w:pPr>
              <w:spacing w:after="0" w:line="240" w:lineRule="auto"/>
              <w:jc w:val="center"/>
              <w:rPr>
                <w:rFonts w:ascii="Times New Roman" w:eastAsia="Times New Roman" w:hAnsi="Times New Roman" w:cs="Times New Roman"/>
                <w:b/>
                <w:sz w:val="24"/>
                <w:szCs w:val="24"/>
                <w:lang w:val="en-GB" w:eastAsia="en-GB"/>
              </w:rPr>
            </w:pPr>
            <w:r w:rsidRPr="001D03C0">
              <w:rPr>
                <w:rFonts w:ascii="Times New Roman" w:eastAsia="Times New Roman" w:hAnsi="Times New Roman" w:cs="Times New Roman"/>
                <w:b/>
                <w:sz w:val="24"/>
                <w:szCs w:val="24"/>
                <w:lang w:eastAsia="en-GB"/>
              </w:rPr>
              <w:t>2018</w:t>
            </w:r>
          </w:p>
        </w:tc>
        <w:tc>
          <w:tcPr>
            <w:tcW w:w="960" w:type="dxa"/>
            <w:vAlign w:val="center"/>
          </w:tcPr>
          <w:p w14:paraId="78E97953" w14:textId="77777777" w:rsidR="000D076B" w:rsidRPr="00A55435" w:rsidRDefault="000D076B" w:rsidP="003124ED">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2019</w:t>
            </w:r>
          </w:p>
        </w:tc>
      </w:tr>
      <w:tr w:rsidR="000D076B" w:rsidRPr="00B605CA" w14:paraId="4A54696B" w14:textId="77777777" w:rsidTr="003124ED">
        <w:trPr>
          <w:trHeight w:val="300"/>
          <w:jc w:val="center"/>
        </w:trPr>
        <w:tc>
          <w:tcPr>
            <w:tcW w:w="3589" w:type="dxa"/>
            <w:shd w:val="clear" w:color="auto" w:fill="auto"/>
            <w:noWrap/>
            <w:vAlign w:val="center"/>
            <w:hideMark/>
          </w:tcPr>
          <w:p w14:paraId="4CF3B8F2"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Н</w:t>
            </w:r>
            <w:r w:rsidRPr="00B605CA">
              <w:rPr>
                <w:rFonts w:ascii="Times New Roman" w:eastAsia="Times New Roman" w:hAnsi="Times New Roman" w:cs="Times New Roman"/>
                <w:b/>
                <w:color w:val="000000"/>
                <w:sz w:val="24"/>
                <w:szCs w:val="24"/>
                <w:lang w:eastAsia="en-GB"/>
              </w:rPr>
              <w:t>абавке велике вредности</w:t>
            </w:r>
          </w:p>
        </w:tc>
        <w:tc>
          <w:tcPr>
            <w:tcW w:w="960" w:type="dxa"/>
            <w:shd w:val="clear" w:color="auto" w:fill="auto"/>
            <w:noWrap/>
            <w:vAlign w:val="center"/>
            <w:hideMark/>
          </w:tcPr>
          <w:p w14:paraId="3D0AF860"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83%</w:t>
            </w:r>
          </w:p>
        </w:tc>
        <w:tc>
          <w:tcPr>
            <w:tcW w:w="960" w:type="dxa"/>
            <w:shd w:val="clear" w:color="auto" w:fill="auto"/>
            <w:noWrap/>
            <w:vAlign w:val="center"/>
            <w:hideMark/>
          </w:tcPr>
          <w:p w14:paraId="68E75A42"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92%</w:t>
            </w:r>
          </w:p>
        </w:tc>
        <w:tc>
          <w:tcPr>
            <w:tcW w:w="960" w:type="dxa"/>
            <w:shd w:val="clear" w:color="auto" w:fill="auto"/>
            <w:noWrap/>
            <w:vAlign w:val="center"/>
            <w:hideMark/>
          </w:tcPr>
          <w:p w14:paraId="0E7E7896"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92%</w:t>
            </w:r>
          </w:p>
        </w:tc>
        <w:tc>
          <w:tcPr>
            <w:tcW w:w="960" w:type="dxa"/>
            <w:shd w:val="clear" w:color="auto" w:fill="auto"/>
            <w:noWrap/>
            <w:vAlign w:val="center"/>
            <w:hideMark/>
          </w:tcPr>
          <w:p w14:paraId="24E4C778"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90%</w:t>
            </w:r>
          </w:p>
        </w:tc>
        <w:tc>
          <w:tcPr>
            <w:tcW w:w="960" w:type="dxa"/>
            <w:shd w:val="clear" w:color="auto" w:fill="auto"/>
            <w:noWrap/>
            <w:vAlign w:val="center"/>
            <w:hideMark/>
          </w:tcPr>
          <w:p w14:paraId="77C50A2D"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89%</w:t>
            </w:r>
          </w:p>
        </w:tc>
        <w:tc>
          <w:tcPr>
            <w:tcW w:w="960" w:type="dxa"/>
            <w:shd w:val="clear" w:color="auto" w:fill="auto"/>
            <w:vAlign w:val="center"/>
          </w:tcPr>
          <w:p w14:paraId="5D245A68" w14:textId="77777777" w:rsidR="000D076B" w:rsidRPr="001D03C0" w:rsidRDefault="000D076B" w:rsidP="003124ED">
            <w:pPr>
              <w:spacing w:after="0" w:line="240" w:lineRule="auto"/>
              <w:jc w:val="center"/>
              <w:rPr>
                <w:rFonts w:ascii="Times New Roman" w:eastAsia="Times New Roman" w:hAnsi="Times New Roman" w:cs="Times New Roman"/>
                <w:b/>
                <w:sz w:val="24"/>
                <w:szCs w:val="24"/>
                <w:lang w:eastAsia="en-GB"/>
              </w:rPr>
            </w:pPr>
            <w:r w:rsidRPr="001D03C0">
              <w:rPr>
                <w:rFonts w:ascii="Times New Roman" w:eastAsia="Times New Roman" w:hAnsi="Times New Roman" w:cs="Times New Roman"/>
                <w:sz w:val="24"/>
                <w:szCs w:val="24"/>
                <w:lang w:eastAsia="en-GB"/>
              </w:rPr>
              <w:t>90%</w:t>
            </w:r>
          </w:p>
        </w:tc>
        <w:tc>
          <w:tcPr>
            <w:tcW w:w="960" w:type="dxa"/>
            <w:vAlign w:val="center"/>
          </w:tcPr>
          <w:p w14:paraId="56AD1D93"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91%</w:t>
            </w:r>
          </w:p>
        </w:tc>
      </w:tr>
      <w:tr w:rsidR="000D076B" w:rsidRPr="00B605CA" w14:paraId="1E95B405" w14:textId="77777777" w:rsidTr="003124ED">
        <w:trPr>
          <w:trHeight w:val="300"/>
          <w:jc w:val="center"/>
        </w:trPr>
        <w:tc>
          <w:tcPr>
            <w:tcW w:w="3589" w:type="dxa"/>
            <w:shd w:val="clear" w:color="auto" w:fill="auto"/>
            <w:noWrap/>
            <w:vAlign w:val="center"/>
            <w:hideMark/>
          </w:tcPr>
          <w:p w14:paraId="235CFF9F" w14:textId="77777777" w:rsidR="000D076B" w:rsidRPr="00B605CA" w:rsidRDefault="000D076B" w:rsidP="003124ED">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Н</w:t>
            </w:r>
            <w:r w:rsidRPr="00B605CA">
              <w:rPr>
                <w:rFonts w:ascii="Times New Roman" w:eastAsia="Times New Roman" w:hAnsi="Times New Roman" w:cs="Times New Roman"/>
                <w:b/>
                <w:color w:val="000000"/>
                <w:sz w:val="24"/>
                <w:szCs w:val="24"/>
                <w:lang w:eastAsia="en-GB"/>
              </w:rPr>
              <w:t>абавке мале вредности</w:t>
            </w:r>
          </w:p>
        </w:tc>
        <w:tc>
          <w:tcPr>
            <w:tcW w:w="960" w:type="dxa"/>
            <w:shd w:val="clear" w:color="auto" w:fill="auto"/>
            <w:noWrap/>
            <w:vAlign w:val="center"/>
            <w:hideMark/>
          </w:tcPr>
          <w:p w14:paraId="41C730C2"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17%</w:t>
            </w:r>
          </w:p>
        </w:tc>
        <w:tc>
          <w:tcPr>
            <w:tcW w:w="960" w:type="dxa"/>
            <w:shd w:val="clear" w:color="auto" w:fill="auto"/>
            <w:noWrap/>
            <w:vAlign w:val="center"/>
            <w:hideMark/>
          </w:tcPr>
          <w:p w14:paraId="11A64C95"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8%</w:t>
            </w:r>
          </w:p>
        </w:tc>
        <w:tc>
          <w:tcPr>
            <w:tcW w:w="960" w:type="dxa"/>
            <w:shd w:val="clear" w:color="auto" w:fill="auto"/>
            <w:noWrap/>
            <w:vAlign w:val="center"/>
            <w:hideMark/>
          </w:tcPr>
          <w:p w14:paraId="33D4BC42"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8%</w:t>
            </w:r>
          </w:p>
        </w:tc>
        <w:tc>
          <w:tcPr>
            <w:tcW w:w="960" w:type="dxa"/>
            <w:shd w:val="clear" w:color="auto" w:fill="auto"/>
            <w:noWrap/>
            <w:vAlign w:val="center"/>
            <w:hideMark/>
          </w:tcPr>
          <w:p w14:paraId="0346F870"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10%</w:t>
            </w:r>
          </w:p>
        </w:tc>
        <w:tc>
          <w:tcPr>
            <w:tcW w:w="960" w:type="dxa"/>
            <w:shd w:val="clear" w:color="auto" w:fill="auto"/>
            <w:noWrap/>
            <w:vAlign w:val="center"/>
            <w:hideMark/>
          </w:tcPr>
          <w:p w14:paraId="54B5869A" w14:textId="77777777" w:rsidR="000D076B" w:rsidRPr="00B605CA" w:rsidRDefault="000D076B" w:rsidP="003124ED">
            <w:pPr>
              <w:spacing w:after="0" w:line="240" w:lineRule="auto"/>
              <w:jc w:val="center"/>
              <w:rPr>
                <w:rFonts w:ascii="Times New Roman" w:eastAsia="Times New Roman" w:hAnsi="Times New Roman" w:cs="Times New Roman"/>
                <w:color w:val="000000"/>
                <w:sz w:val="24"/>
                <w:szCs w:val="24"/>
                <w:lang w:eastAsia="en-GB"/>
              </w:rPr>
            </w:pPr>
            <w:r w:rsidRPr="00B605CA">
              <w:rPr>
                <w:rFonts w:ascii="Times New Roman" w:eastAsia="Times New Roman" w:hAnsi="Times New Roman" w:cs="Times New Roman"/>
                <w:color w:val="000000"/>
                <w:sz w:val="24"/>
                <w:szCs w:val="24"/>
                <w:lang w:eastAsia="en-GB"/>
              </w:rPr>
              <w:t>11%</w:t>
            </w:r>
          </w:p>
        </w:tc>
        <w:tc>
          <w:tcPr>
            <w:tcW w:w="960" w:type="dxa"/>
            <w:shd w:val="clear" w:color="auto" w:fill="auto"/>
            <w:vAlign w:val="center"/>
          </w:tcPr>
          <w:p w14:paraId="52F99857" w14:textId="77777777" w:rsidR="000D076B" w:rsidRPr="001D03C0" w:rsidRDefault="000D076B" w:rsidP="003124ED">
            <w:pPr>
              <w:spacing w:after="0" w:line="240" w:lineRule="auto"/>
              <w:jc w:val="center"/>
              <w:rPr>
                <w:rFonts w:ascii="Times New Roman" w:eastAsia="Times New Roman" w:hAnsi="Times New Roman" w:cs="Times New Roman"/>
                <w:b/>
                <w:sz w:val="24"/>
                <w:szCs w:val="24"/>
                <w:lang w:eastAsia="en-GB"/>
              </w:rPr>
            </w:pPr>
            <w:r w:rsidRPr="001D03C0">
              <w:rPr>
                <w:rFonts w:ascii="Times New Roman" w:eastAsia="Times New Roman" w:hAnsi="Times New Roman" w:cs="Times New Roman"/>
                <w:sz w:val="24"/>
                <w:szCs w:val="24"/>
                <w:lang w:eastAsia="en-GB"/>
              </w:rPr>
              <w:t>10%</w:t>
            </w:r>
          </w:p>
        </w:tc>
        <w:tc>
          <w:tcPr>
            <w:tcW w:w="960" w:type="dxa"/>
            <w:vAlign w:val="center"/>
          </w:tcPr>
          <w:p w14:paraId="4C561CA5" w14:textId="77777777" w:rsidR="000D076B" w:rsidRPr="001D03C0" w:rsidRDefault="000D076B" w:rsidP="003124ED">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w:t>
            </w:r>
          </w:p>
        </w:tc>
      </w:tr>
    </w:tbl>
    <w:p w14:paraId="2873E05B" w14:textId="2CA9D028" w:rsidR="00E30209" w:rsidRPr="00ED7784" w:rsidRDefault="00CD6B87" w:rsidP="0030552D">
      <w:pPr>
        <w:jc w:val="both"/>
        <w:rPr>
          <w:rFonts w:ascii="Times New Roman" w:hAnsi="Times New Roman" w:cs="Times New Roman"/>
          <w:color w:val="000000" w:themeColor="text1"/>
          <w:sz w:val="24"/>
          <w:szCs w:val="24"/>
        </w:rPr>
      </w:pPr>
      <w:r>
        <w:rPr>
          <w:rFonts w:ascii="Times New Roman" w:hAnsi="Times New Roman" w:cs="Times New Roman"/>
          <w:sz w:val="24"/>
          <w:szCs w:val="24"/>
        </w:rPr>
        <w:br/>
      </w:r>
      <w:r w:rsidR="0048463F" w:rsidRPr="001D03C0">
        <w:rPr>
          <w:rFonts w:ascii="Times New Roman" w:hAnsi="Times New Roman" w:cs="Times New Roman"/>
          <w:sz w:val="24"/>
          <w:szCs w:val="24"/>
        </w:rPr>
        <w:t>Највеће учешће имала су</w:t>
      </w:r>
      <w:r w:rsidR="004F408A" w:rsidRPr="001D03C0">
        <w:rPr>
          <w:rFonts w:ascii="Times New Roman" w:hAnsi="Times New Roman" w:cs="Times New Roman"/>
          <w:sz w:val="24"/>
          <w:szCs w:val="24"/>
        </w:rPr>
        <w:t xml:space="preserve"> </w:t>
      </w:r>
      <w:r w:rsidR="005E5329" w:rsidRPr="001D03C0">
        <w:rPr>
          <w:rFonts w:ascii="Times New Roman" w:hAnsi="Times New Roman" w:cs="Times New Roman"/>
          <w:sz w:val="24"/>
          <w:szCs w:val="24"/>
        </w:rPr>
        <w:t xml:space="preserve">државна јавна предузећа </w:t>
      </w:r>
      <w:r w:rsidR="004F408A" w:rsidRPr="001D03C0">
        <w:rPr>
          <w:rFonts w:ascii="Times New Roman" w:hAnsi="Times New Roman" w:cs="Times New Roman"/>
          <w:sz w:val="24"/>
          <w:szCs w:val="24"/>
        </w:rPr>
        <w:t>(</w:t>
      </w:r>
      <w:r w:rsidR="00074207">
        <w:rPr>
          <w:rFonts w:ascii="Times New Roman" w:hAnsi="Times New Roman" w:cs="Times New Roman"/>
          <w:sz w:val="24"/>
          <w:szCs w:val="24"/>
        </w:rPr>
        <w:t>29</w:t>
      </w:r>
      <w:r w:rsidR="002C32DB" w:rsidRPr="001D03C0">
        <w:rPr>
          <w:rFonts w:ascii="Times New Roman" w:hAnsi="Times New Roman" w:cs="Times New Roman"/>
          <w:sz w:val="24"/>
          <w:szCs w:val="24"/>
        </w:rPr>
        <w:t>%</w:t>
      </w:r>
      <w:r w:rsidR="00CE4C7E" w:rsidRPr="001D03C0">
        <w:rPr>
          <w:rFonts w:ascii="Times New Roman" w:hAnsi="Times New Roman" w:cs="Times New Roman"/>
          <w:sz w:val="24"/>
          <w:szCs w:val="24"/>
        </w:rPr>
        <w:t xml:space="preserve">), </w:t>
      </w:r>
      <w:r w:rsidR="005E5329" w:rsidRPr="001D03C0">
        <w:rPr>
          <w:rFonts w:ascii="Times New Roman" w:hAnsi="Times New Roman" w:cs="Times New Roman"/>
          <w:sz w:val="24"/>
          <w:szCs w:val="24"/>
        </w:rPr>
        <w:t>здравство и социјална заштита</w:t>
      </w:r>
      <w:r w:rsidR="00074207">
        <w:rPr>
          <w:rFonts w:ascii="Times New Roman" w:hAnsi="Times New Roman" w:cs="Times New Roman"/>
          <w:sz w:val="24"/>
          <w:szCs w:val="24"/>
        </w:rPr>
        <w:t xml:space="preserve"> (21</w:t>
      </w:r>
      <w:r w:rsidR="004F408A" w:rsidRPr="001D03C0">
        <w:rPr>
          <w:rFonts w:ascii="Times New Roman" w:hAnsi="Times New Roman" w:cs="Times New Roman"/>
          <w:sz w:val="24"/>
          <w:szCs w:val="24"/>
        </w:rPr>
        <w:t>%</w:t>
      </w:r>
      <w:r w:rsidR="005E5329" w:rsidRPr="001D03C0">
        <w:rPr>
          <w:rFonts w:ascii="Times New Roman" w:hAnsi="Times New Roman" w:cs="Times New Roman"/>
          <w:sz w:val="24"/>
          <w:szCs w:val="24"/>
        </w:rPr>
        <w:t>)</w:t>
      </w:r>
      <w:r w:rsidR="00CE4C7E" w:rsidRPr="001D03C0">
        <w:rPr>
          <w:rFonts w:ascii="Times New Roman" w:hAnsi="Times New Roman" w:cs="Times New Roman"/>
          <w:sz w:val="24"/>
          <w:szCs w:val="24"/>
          <w:lang w:val="en-GB"/>
        </w:rPr>
        <w:t>,</w:t>
      </w:r>
      <w:r w:rsidR="005E5329" w:rsidRPr="001D03C0">
        <w:rPr>
          <w:rFonts w:ascii="Times New Roman" w:hAnsi="Times New Roman" w:cs="Times New Roman"/>
          <w:sz w:val="24"/>
          <w:szCs w:val="24"/>
        </w:rPr>
        <w:t xml:space="preserve"> </w:t>
      </w:r>
      <w:r w:rsidR="00A66016" w:rsidRPr="001D03C0">
        <w:rPr>
          <w:rFonts w:ascii="Times New Roman" w:hAnsi="Times New Roman" w:cs="Times New Roman"/>
          <w:sz w:val="24"/>
          <w:szCs w:val="24"/>
          <w:lang w:val="sr"/>
        </w:rPr>
        <w:t xml:space="preserve">јавна </w:t>
      </w:r>
      <w:r w:rsidR="005A5570" w:rsidRPr="001D03C0">
        <w:rPr>
          <w:rFonts w:ascii="Times New Roman" w:hAnsi="Times New Roman" w:cs="Times New Roman"/>
          <w:sz w:val="24"/>
          <w:szCs w:val="24"/>
          <w:lang w:val="sr"/>
        </w:rPr>
        <w:t>предузећа</w:t>
      </w:r>
      <w:r w:rsidR="00A66016" w:rsidRPr="001D03C0">
        <w:rPr>
          <w:rFonts w:ascii="Times New Roman" w:hAnsi="Times New Roman" w:cs="Times New Roman"/>
          <w:sz w:val="24"/>
          <w:szCs w:val="24"/>
          <w:lang w:val="sr-Cyrl-CS"/>
        </w:rPr>
        <w:t>-локална самоуправа</w:t>
      </w:r>
      <w:r w:rsidR="00074207">
        <w:rPr>
          <w:rFonts w:ascii="Times New Roman" w:hAnsi="Times New Roman" w:cs="Times New Roman"/>
          <w:sz w:val="24"/>
          <w:szCs w:val="24"/>
          <w:lang w:val="sr"/>
        </w:rPr>
        <w:t xml:space="preserve"> (15</w:t>
      </w:r>
      <w:r w:rsidR="005A5570" w:rsidRPr="001D03C0">
        <w:rPr>
          <w:rFonts w:ascii="Times New Roman" w:hAnsi="Times New Roman" w:cs="Times New Roman"/>
          <w:sz w:val="24"/>
          <w:szCs w:val="24"/>
          <w:lang w:val="sr"/>
        </w:rPr>
        <w:t>%)</w:t>
      </w:r>
      <w:r w:rsidR="0048463F" w:rsidRPr="001D03C0">
        <w:rPr>
          <w:rFonts w:ascii="Times New Roman" w:hAnsi="Times New Roman" w:cs="Times New Roman"/>
          <w:sz w:val="24"/>
          <w:szCs w:val="24"/>
          <w:lang w:val="sr-Cyrl-RS"/>
        </w:rPr>
        <w:t>, органи државне управе (14%)</w:t>
      </w:r>
      <w:r w:rsidR="005A5570" w:rsidRPr="001D03C0">
        <w:rPr>
          <w:rFonts w:ascii="Times New Roman" w:hAnsi="Times New Roman" w:cs="Times New Roman"/>
          <w:sz w:val="24"/>
          <w:szCs w:val="24"/>
          <w:lang w:val="sr"/>
        </w:rPr>
        <w:t xml:space="preserve"> </w:t>
      </w:r>
      <w:r w:rsidR="00074207">
        <w:rPr>
          <w:rFonts w:ascii="Times New Roman" w:hAnsi="Times New Roman" w:cs="Times New Roman"/>
          <w:sz w:val="24"/>
          <w:szCs w:val="24"/>
          <w:lang w:val="sr"/>
        </w:rPr>
        <w:t>и градска и општинска управа (15</w:t>
      </w:r>
      <w:r w:rsidR="0048463F" w:rsidRPr="001D03C0">
        <w:rPr>
          <w:rFonts w:ascii="Times New Roman" w:hAnsi="Times New Roman" w:cs="Times New Roman"/>
          <w:sz w:val="24"/>
          <w:szCs w:val="24"/>
          <w:lang w:val="sr"/>
        </w:rPr>
        <w:t xml:space="preserve">%) који </w:t>
      </w:r>
      <w:r w:rsidR="0048463F" w:rsidRPr="001D03C0">
        <w:rPr>
          <w:rFonts w:ascii="Times New Roman" w:hAnsi="Times New Roman" w:cs="Times New Roman"/>
          <w:sz w:val="24"/>
          <w:szCs w:val="24"/>
          <w:lang w:val="sr"/>
        </w:rPr>
        <w:lastRenderedPageBreak/>
        <w:t>заједно чине 94%</w:t>
      </w:r>
      <w:r w:rsidR="005A5570" w:rsidRPr="001D03C0">
        <w:rPr>
          <w:rFonts w:ascii="Times New Roman" w:hAnsi="Times New Roman" w:cs="Times New Roman"/>
          <w:sz w:val="24"/>
          <w:szCs w:val="24"/>
          <w:lang w:val="en-US"/>
        </w:rPr>
        <w:t xml:space="preserve"> </w:t>
      </w:r>
      <w:r w:rsidR="005A5570" w:rsidRPr="001D03C0">
        <w:rPr>
          <w:rFonts w:ascii="Times New Roman" w:hAnsi="Times New Roman" w:cs="Times New Roman"/>
          <w:sz w:val="24"/>
          <w:szCs w:val="24"/>
          <w:lang w:val="sr"/>
        </w:rPr>
        <w:t>укупне вредности набавки</w:t>
      </w:r>
      <w:r w:rsidR="000A648B">
        <w:rPr>
          <w:rFonts w:ascii="Times New Roman" w:hAnsi="Times New Roman" w:cs="Times New Roman"/>
          <w:sz w:val="24"/>
          <w:szCs w:val="24"/>
          <w:lang w:val="sr-Cyrl-CS"/>
        </w:rPr>
        <w:t xml:space="preserve"> (Табела 4)</w:t>
      </w:r>
      <w:r w:rsidR="005A5570" w:rsidRPr="001D03C0">
        <w:rPr>
          <w:rFonts w:ascii="Times New Roman" w:hAnsi="Times New Roman" w:cs="Times New Roman"/>
          <w:sz w:val="24"/>
          <w:szCs w:val="24"/>
          <w:lang w:val="sr"/>
        </w:rPr>
        <w:t>.</w:t>
      </w:r>
      <w:r w:rsidR="001D03C0">
        <w:rPr>
          <w:rFonts w:ascii="Times New Roman" w:hAnsi="Times New Roman" w:cs="Times New Roman"/>
          <w:color w:val="000000" w:themeColor="text1"/>
          <w:sz w:val="24"/>
          <w:szCs w:val="24"/>
          <w:lang w:val="sr"/>
        </w:rPr>
        <w:t xml:space="preserve"> </w:t>
      </w:r>
      <w:r w:rsidR="003E30CB" w:rsidRPr="00ED7784">
        <w:rPr>
          <w:rFonts w:ascii="Times New Roman" w:hAnsi="Times New Roman" w:cs="Times New Roman"/>
          <w:color w:val="000000" w:themeColor="text1"/>
          <w:sz w:val="24"/>
          <w:szCs w:val="24"/>
        </w:rPr>
        <w:t xml:space="preserve">Стога </w:t>
      </w:r>
      <w:r w:rsidR="00A75067" w:rsidRPr="00ED7784">
        <w:rPr>
          <w:rFonts w:ascii="Times New Roman" w:hAnsi="Times New Roman" w:cs="Times New Roman"/>
          <w:color w:val="000000" w:themeColor="text1"/>
          <w:sz w:val="24"/>
          <w:szCs w:val="24"/>
        </w:rPr>
        <w:t>п</w:t>
      </w:r>
      <w:r w:rsidR="003E30CB" w:rsidRPr="00ED7784">
        <w:rPr>
          <w:rFonts w:ascii="Times New Roman" w:hAnsi="Times New Roman" w:cs="Times New Roman"/>
          <w:color w:val="000000" w:themeColor="text1"/>
          <w:sz w:val="24"/>
          <w:szCs w:val="24"/>
        </w:rPr>
        <w:t>оменуте</w:t>
      </w:r>
      <w:r w:rsidR="005A5570" w:rsidRPr="00ED7784">
        <w:rPr>
          <w:rFonts w:ascii="Times New Roman" w:hAnsi="Times New Roman" w:cs="Times New Roman"/>
          <w:color w:val="000000" w:themeColor="text1"/>
          <w:sz w:val="24"/>
          <w:szCs w:val="24"/>
        </w:rPr>
        <w:t xml:space="preserve"> </w:t>
      </w:r>
      <w:r w:rsidR="00A75067" w:rsidRPr="00ED7784">
        <w:rPr>
          <w:rFonts w:ascii="Times New Roman" w:hAnsi="Times New Roman" w:cs="Times New Roman"/>
          <w:color w:val="000000" w:themeColor="text1"/>
          <w:sz w:val="24"/>
          <w:szCs w:val="24"/>
        </w:rPr>
        <w:t>категорије</w:t>
      </w:r>
      <w:r w:rsidR="005E5329" w:rsidRPr="00ED7784">
        <w:rPr>
          <w:rFonts w:ascii="Times New Roman" w:hAnsi="Times New Roman" w:cs="Times New Roman"/>
          <w:color w:val="000000" w:themeColor="text1"/>
          <w:sz w:val="24"/>
          <w:szCs w:val="24"/>
        </w:rPr>
        <w:t xml:space="preserve"> </w:t>
      </w:r>
      <w:r w:rsidR="003E30CB" w:rsidRPr="00ED7784">
        <w:rPr>
          <w:rFonts w:ascii="Times New Roman" w:hAnsi="Times New Roman" w:cs="Times New Roman"/>
          <w:color w:val="000000" w:themeColor="text1"/>
          <w:sz w:val="24"/>
          <w:szCs w:val="24"/>
        </w:rPr>
        <w:t>наручилаца имају приоритетан значај за примену механизама праћења и контроле пос</w:t>
      </w:r>
      <w:r w:rsidR="00F93003" w:rsidRPr="00ED7784">
        <w:rPr>
          <w:rFonts w:ascii="Times New Roman" w:hAnsi="Times New Roman" w:cs="Times New Roman"/>
          <w:color w:val="000000" w:themeColor="text1"/>
          <w:sz w:val="24"/>
          <w:szCs w:val="24"/>
        </w:rPr>
        <w:t>тупака јавних набавки,</w:t>
      </w:r>
      <w:r w:rsidR="00437FAB" w:rsidRPr="00ED7784">
        <w:rPr>
          <w:rFonts w:ascii="Times New Roman" w:hAnsi="Times New Roman" w:cs="Times New Roman"/>
          <w:color w:val="000000" w:themeColor="text1"/>
          <w:sz w:val="24"/>
          <w:szCs w:val="24"/>
        </w:rPr>
        <w:t xml:space="preserve"> </w:t>
      </w:r>
      <w:r w:rsidR="00F93003" w:rsidRPr="00ED7784">
        <w:rPr>
          <w:rFonts w:ascii="Times New Roman" w:hAnsi="Times New Roman" w:cs="Times New Roman"/>
          <w:color w:val="000000" w:themeColor="text1"/>
          <w:sz w:val="24"/>
          <w:szCs w:val="24"/>
        </w:rPr>
        <w:t>као</w:t>
      </w:r>
      <w:r w:rsidR="00437FAB" w:rsidRPr="00ED7784">
        <w:rPr>
          <w:rFonts w:ascii="Times New Roman" w:hAnsi="Times New Roman" w:cs="Times New Roman"/>
          <w:color w:val="000000" w:themeColor="text1"/>
          <w:sz w:val="24"/>
          <w:szCs w:val="24"/>
        </w:rPr>
        <w:t xml:space="preserve"> и </w:t>
      </w:r>
      <w:r w:rsidR="00F93003" w:rsidRPr="00ED7784">
        <w:rPr>
          <w:rFonts w:ascii="Times New Roman" w:hAnsi="Times New Roman" w:cs="Times New Roman"/>
          <w:color w:val="000000" w:themeColor="text1"/>
          <w:sz w:val="24"/>
          <w:szCs w:val="24"/>
        </w:rPr>
        <w:t xml:space="preserve">за процес унапређења ефикасности и економичности </w:t>
      </w:r>
      <w:r w:rsidR="00107DE6" w:rsidRPr="00ED7784">
        <w:rPr>
          <w:rFonts w:ascii="Times New Roman" w:hAnsi="Times New Roman" w:cs="Times New Roman"/>
          <w:color w:val="000000" w:themeColor="text1"/>
          <w:sz w:val="24"/>
          <w:szCs w:val="24"/>
        </w:rPr>
        <w:t>у јавним набавкама увођењем сав</w:t>
      </w:r>
      <w:r w:rsidR="00F93003" w:rsidRPr="00ED7784">
        <w:rPr>
          <w:rFonts w:ascii="Times New Roman" w:hAnsi="Times New Roman" w:cs="Times New Roman"/>
          <w:color w:val="000000" w:themeColor="text1"/>
          <w:sz w:val="24"/>
          <w:szCs w:val="24"/>
        </w:rPr>
        <w:t>рем</w:t>
      </w:r>
      <w:r w:rsidR="00107DE6" w:rsidRPr="00ED7784">
        <w:rPr>
          <w:rFonts w:ascii="Times New Roman" w:hAnsi="Times New Roman" w:cs="Times New Roman"/>
          <w:color w:val="000000" w:themeColor="text1"/>
          <w:sz w:val="24"/>
          <w:szCs w:val="24"/>
        </w:rPr>
        <w:t>е</w:t>
      </w:r>
      <w:r w:rsidR="00F93003" w:rsidRPr="00ED7784">
        <w:rPr>
          <w:rFonts w:ascii="Times New Roman" w:hAnsi="Times New Roman" w:cs="Times New Roman"/>
          <w:color w:val="000000" w:themeColor="text1"/>
          <w:sz w:val="24"/>
          <w:szCs w:val="24"/>
        </w:rPr>
        <w:t>них инструмената као што су оквирни споразуми, примена критеријума ек</w:t>
      </w:r>
      <w:r w:rsidR="00ED2AF1" w:rsidRPr="00ED7784">
        <w:rPr>
          <w:rFonts w:ascii="Times New Roman" w:hAnsi="Times New Roman" w:cs="Times New Roman"/>
          <w:color w:val="000000" w:themeColor="text1"/>
          <w:sz w:val="24"/>
          <w:szCs w:val="24"/>
        </w:rPr>
        <w:t>ономски најповољније понуде и др</w:t>
      </w:r>
      <w:r w:rsidR="00F93003" w:rsidRPr="00ED7784">
        <w:rPr>
          <w:rFonts w:ascii="Times New Roman" w:hAnsi="Times New Roman" w:cs="Times New Roman"/>
          <w:color w:val="000000" w:themeColor="text1"/>
          <w:sz w:val="24"/>
          <w:szCs w:val="24"/>
        </w:rPr>
        <w:t xml:space="preserve">. </w:t>
      </w:r>
    </w:p>
    <w:p w14:paraId="06986AE7" w14:textId="794FF0B6" w:rsidR="0030552D" w:rsidRDefault="00C421EE" w:rsidP="0030552D">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        </w:t>
      </w:r>
      <w:r w:rsidR="00765397" w:rsidRPr="00BE7D6A">
        <w:rPr>
          <w:rFonts w:ascii="Times New Roman" w:hAnsi="Times New Roman" w:cs="Times New Roman"/>
          <w:b/>
          <w:color w:val="000000" w:themeColor="text1"/>
          <w:sz w:val="24"/>
          <w:szCs w:val="24"/>
        </w:rPr>
        <w:t>Табела 4</w:t>
      </w:r>
    </w:p>
    <w:tbl>
      <w:tblPr>
        <w:tblStyle w:val="TableGrid1"/>
        <w:tblW w:w="10422" w:type="dxa"/>
        <w:jc w:val="center"/>
        <w:tblLook w:val="04A0" w:firstRow="1" w:lastRow="0" w:firstColumn="1" w:lastColumn="0" w:noHBand="0" w:noVBand="1"/>
      </w:tblPr>
      <w:tblGrid>
        <w:gridCol w:w="3114"/>
        <w:gridCol w:w="1021"/>
        <w:gridCol w:w="577"/>
        <w:gridCol w:w="1419"/>
        <w:gridCol w:w="592"/>
        <w:gridCol w:w="1104"/>
        <w:gridCol w:w="546"/>
        <w:gridCol w:w="1393"/>
        <w:gridCol w:w="656"/>
      </w:tblGrid>
      <w:tr w:rsidR="001D4F11" w:rsidRPr="00E30209" w14:paraId="28A516D1" w14:textId="77777777" w:rsidTr="00C421EE">
        <w:trPr>
          <w:trHeight w:val="488"/>
          <w:jc w:val="center"/>
        </w:trPr>
        <w:tc>
          <w:tcPr>
            <w:tcW w:w="10422" w:type="dxa"/>
            <w:gridSpan w:val="9"/>
            <w:vAlign w:val="center"/>
            <w:hideMark/>
          </w:tcPr>
          <w:p w14:paraId="4AC2A79D" w14:textId="25835095" w:rsidR="001D4F11" w:rsidRPr="00CD6B87" w:rsidRDefault="001D4F11" w:rsidP="00CD6B87">
            <w:pPr>
              <w:jc w:val="center"/>
              <w:rPr>
                <w:rFonts w:ascii="Times New Roman" w:hAnsi="Times New Roman" w:cs="Times New Roman"/>
                <w:b/>
                <w:color w:val="000000" w:themeColor="text1"/>
                <w:sz w:val="24"/>
                <w:szCs w:val="24"/>
              </w:rPr>
            </w:pPr>
            <w:r w:rsidRPr="00D96A95">
              <w:rPr>
                <w:rFonts w:ascii="Times New Roman" w:hAnsi="Times New Roman" w:cs="Times New Roman"/>
                <w:b/>
                <w:color w:val="000000" w:themeColor="text1"/>
                <w:sz w:val="24"/>
                <w:szCs w:val="24"/>
              </w:rPr>
              <w:t>Преглед укупног броја и вредности јавних наб</w:t>
            </w:r>
            <w:r w:rsidR="00CD6B87">
              <w:rPr>
                <w:rFonts w:ascii="Times New Roman" w:hAnsi="Times New Roman" w:cs="Times New Roman"/>
                <w:b/>
                <w:color w:val="000000" w:themeColor="text1"/>
                <w:sz w:val="24"/>
                <w:szCs w:val="24"/>
              </w:rPr>
              <w:t>авки по категоријама наручилаца</w:t>
            </w:r>
          </w:p>
        </w:tc>
      </w:tr>
      <w:tr w:rsidR="001D4F11" w:rsidRPr="00E30209" w14:paraId="6A94F472" w14:textId="77777777" w:rsidTr="00C421EE">
        <w:trPr>
          <w:jc w:val="center"/>
        </w:trPr>
        <w:tc>
          <w:tcPr>
            <w:tcW w:w="3114" w:type="dxa"/>
            <w:vAlign w:val="center"/>
            <w:hideMark/>
          </w:tcPr>
          <w:p w14:paraId="60690F2A" w14:textId="77777777" w:rsidR="001D4F11" w:rsidRPr="00E30209" w:rsidRDefault="001D4F11" w:rsidP="003124ED">
            <w:pPr>
              <w:jc w:val="center"/>
              <w:rPr>
                <w:rFonts w:ascii="Times New Roman" w:hAnsi="Times New Roman" w:cs="Times New Roman"/>
                <w:b/>
                <w:color w:val="FF0000"/>
                <w:sz w:val="24"/>
                <w:szCs w:val="24"/>
              </w:rPr>
            </w:pPr>
            <w:r w:rsidRPr="00E30209">
              <w:rPr>
                <w:rFonts w:ascii="Times New Roman" w:hAnsi="Times New Roman" w:cs="Times New Roman"/>
                <w:b/>
                <w:sz w:val="24"/>
                <w:szCs w:val="24"/>
              </w:rPr>
              <w:t>Период</w:t>
            </w:r>
          </w:p>
        </w:tc>
        <w:tc>
          <w:tcPr>
            <w:tcW w:w="3609" w:type="dxa"/>
            <w:gridSpan w:val="4"/>
            <w:vAlign w:val="center"/>
          </w:tcPr>
          <w:p w14:paraId="3977A3C9" w14:textId="77777777" w:rsidR="001D4F11" w:rsidRPr="00E30209" w:rsidRDefault="001D4F11" w:rsidP="003124ED">
            <w:pPr>
              <w:jc w:val="center"/>
              <w:rPr>
                <w:rFonts w:ascii="Times New Roman" w:hAnsi="Times New Roman" w:cs="Times New Roman"/>
                <w:b/>
                <w:sz w:val="24"/>
                <w:szCs w:val="24"/>
              </w:rPr>
            </w:pPr>
            <w:r w:rsidRPr="00E30209">
              <w:rPr>
                <w:rFonts w:ascii="Times New Roman" w:hAnsi="Times New Roman" w:cs="Times New Roman"/>
                <w:b/>
                <w:sz w:val="24"/>
                <w:szCs w:val="24"/>
              </w:rPr>
              <w:t>201</w:t>
            </w:r>
            <w:r>
              <w:rPr>
                <w:rFonts w:ascii="Times New Roman" w:hAnsi="Times New Roman" w:cs="Times New Roman"/>
                <w:b/>
                <w:sz w:val="24"/>
                <w:szCs w:val="24"/>
                <w:lang w:val="en-US"/>
              </w:rPr>
              <w:t>8</w:t>
            </w:r>
            <w:r w:rsidRPr="00E30209">
              <w:rPr>
                <w:rFonts w:ascii="Times New Roman" w:hAnsi="Times New Roman" w:cs="Times New Roman"/>
                <w:b/>
                <w:sz w:val="24"/>
                <w:szCs w:val="24"/>
              </w:rPr>
              <w:t>. година</w:t>
            </w:r>
          </w:p>
        </w:tc>
        <w:tc>
          <w:tcPr>
            <w:tcW w:w="3699" w:type="dxa"/>
            <w:gridSpan w:val="4"/>
            <w:vAlign w:val="center"/>
            <w:hideMark/>
          </w:tcPr>
          <w:p w14:paraId="3DD33494" w14:textId="77777777" w:rsidR="001D4F11" w:rsidRPr="00E30209" w:rsidRDefault="001D4F11" w:rsidP="003124ED">
            <w:pPr>
              <w:jc w:val="center"/>
              <w:rPr>
                <w:rFonts w:ascii="Times New Roman" w:hAnsi="Times New Roman" w:cs="Times New Roman"/>
                <w:b/>
                <w:sz w:val="24"/>
                <w:szCs w:val="24"/>
              </w:rPr>
            </w:pPr>
            <w:r w:rsidRPr="00E30209">
              <w:rPr>
                <w:rFonts w:ascii="Times New Roman" w:hAnsi="Times New Roman" w:cs="Times New Roman"/>
                <w:b/>
                <w:sz w:val="24"/>
                <w:szCs w:val="24"/>
              </w:rPr>
              <w:t>201</w:t>
            </w:r>
            <w:r>
              <w:rPr>
                <w:rFonts w:ascii="Times New Roman" w:hAnsi="Times New Roman" w:cs="Times New Roman"/>
                <w:b/>
                <w:sz w:val="24"/>
                <w:szCs w:val="24"/>
                <w:lang w:val="en-US"/>
              </w:rPr>
              <w:t>9</w:t>
            </w:r>
            <w:r w:rsidRPr="00E30209">
              <w:rPr>
                <w:rFonts w:ascii="Times New Roman" w:hAnsi="Times New Roman" w:cs="Times New Roman"/>
                <w:b/>
                <w:sz w:val="24"/>
                <w:szCs w:val="24"/>
              </w:rPr>
              <w:t>. година</w:t>
            </w:r>
          </w:p>
        </w:tc>
      </w:tr>
      <w:tr w:rsidR="001D4F11" w:rsidRPr="00BF29CA" w14:paraId="5FDD7441" w14:textId="77777777" w:rsidTr="00C421EE">
        <w:trPr>
          <w:trHeight w:val="1396"/>
          <w:jc w:val="center"/>
        </w:trPr>
        <w:tc>
          <w:tcPr>
            <w:tcW w:w="3114" w:type="dxa"/>
            <w:vAlign w:val="center"/>
            <w:hideMark/>
          </w:tcPr>
          <w:p w14:paraId="6F729BB8" w14:textId="77777777" w:rsidR="001D4F11" w:rsidRPr="00E30209" w:rsidRDefault="001D4F11" w:rsidP="003124ED">
            <w:pPr>
              <w:jc w:val="center"/>
              <w:rPr>
                <w:rFonts w:ascii="Times New Roman" w:hAnsi="Times New Roman" w:cs="Times New Roman"/>
                <w:b/>
                <w:sz w:val="24"/>
                <w:szCs w:val="24"/>
              </w:rPr>
            </w:pPr>
            <w:r w:rsidRPr="00E30209">
              <w:rPr>
                <w:rFonts w:ascii="Times New Roman" w:hAnsi="Times New Roman" w:cs="Times New Roman"/>
                <w:b/>
                <w:sz w:val="24"/>
                <w:szCs w:val="24"/>
              </w:rPr>
              <w:t>Категорија</w:t>
            </w:r>
          </w:p>
        </w:tc>
        <w:tc>
          <w:tcPr>
            <w:tcW w:w="1019" w:type="dxa"/>
            <w:tcBorders>
              <w:bottom w:val="single" w:sz="4" w:space="0" w:color="auto"/>
            </w:tcBorders>
            <w:vAlign w:val="center"/>
          </w:tcPr>
          <w:p w14:paraId="1ACCC7AD"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Број</w:t>
            </w:r>
          </w:p>
          <w:p w14:paraId="3D14E5A1" w14:textId="77777777" w:rsidR="001D4F11" w:rsidRPr="003258BC" w:rsidRDefault="001D4F11" w:rsidP="003124ED">
            <w:pPr>
              <w:jc w:val="center"/>
              <w:rPr>
                <w:rFonts w:ascii="Times New Roman" w:hAnsi="Times New Roman" w:cs="Times New Roman"/>
                <w:sz w:val="24"/>
                <w:szCs w:val="24"/>
              </w:rPr>
            </w:pPr>
            <w:r>
              <w:rPr>
                <w:rFonts w:ascii="Times New Roman" w:hAnsi="Times New Roman" w:cs="Times New Roman"/>
                <w:sz w:val="24"/>
                <w:szCs w:val="24"/>
                <w:lang w:val="sr-Cyrl-RS"/>
              </w:rPr>
              <w:t>у</w:t>
            </w:r>
            <w:r w:rsidRPr="003258BC">
              <w:rPr>
                <w:rFonts w:ascii="Times New Roman" w:hAnsi="Times New Roman" w:cs="Times New Roman"/>
                <w:sz w:val="24"/>
                <w:szCs w:val="24"/>
              </w:rPr>
              <w:t>говора</w:t>
            </w:r>
          </w:p>
        </w:tc>
        <w:tc>
          <w:tcPr>
            <w:tcW w:w="0" w:type="auto"/>
            <w:tcBorders>
              <w:bottom w:val="single" w:sz="4" w:space="0" w:color="auto"/>
            </w:tcBorders>
            <w:vAlign w:val="center"/>
          </w:tcPr>
          <w:p w14:paraId="65BA2AA7"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w:t>
            </w:r>
          </w:p>
        </w:tc>
        <w:tc>
          <w:tcPr>
            <w:tcW w:w="0" w:type="auto"/>
            <w:tcBorders>
              <w:bottom w:val="single" w:sz="4" w:space="0" w:color="auto"/>
            </w:tcBorders>
            <w:vAlign w:val="center"/>
          </w:tcPr>
          <w:p w14:paraId="3203285A"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Уговорена</w:t>
            </w:r>
          </w:p>
          <w:p w14:paraId="3E2FDCD0" w14:textId="77777777" w:rsidR="001D4F11" w:rsidRPr="003258BC" w:rsidRDefault="001D4F11" w:rsidP="003124ED">
            <w:pPr>
              <w:jc w:val="center"/>
              <w:rPr>
                <w:rFonts w:ascii="Times New Roman" w:hAnsi="Times New Roman" w:cs="Times New Roman"/>
                <w:sz w:val="24"/>
                <w:szCs w:val="24"/>
              </w:rPr>
            </w:pPr>
            <w:r>
              <w:rPr>
                <w:rFonts w:ascii="Times New Roman" w:hAnsi="Times New Roman" w:cs="Times New Roman"/>
                <w:sz w:val="24"/>
                <w:szCs w:val="24"/>
                <w:lang w:val="sr-Cyrl-RS"/>
              </w:rPr>
              <w:t>в</w:t>
            </w:r>
            <w:r w:rsidRPr="003258BC">
              <w:rPr>
                <w:rFonts w:ascii="Times New Roman" w:hAnsi="Times New Roman" w:cs="Times New Roman"/>
                <w:sz w:val="24"/>
                <w:szCs w:val="24"/>
              </w:rPr>
              <w:t>редност</w:t>
            </w:r>
          </w:p>
          <w:p w14:paraId="4D36E26A"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без ПДВ-а*</w:t>
            </w:r>
          </w:p>
        </w:tc>
        <w:tc>
          <w:tcPr>
            <w:tcW w:w="591" w:type="dxa"/>
            <w:tcBorders>
              <w:bottom w:val="single" w:sz="4" w:space="0" w:color="auto"/>
            </w:tcBorders>
            <w:vAlign w:val="center"/>
          </w:tcPr>
          <w:p w14:paraId="4D98E7F4"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w:t>
            </w:r>
          </w:p>
        </w:tc>
        <w:tc>
          <w:tcPr>
            <w:tcW w:w="1104" w:type="dxa"/>
            <w:tcBorders>
              <w:bottom w:val="single" w:sz="4" w:space="0" w:color="auto"/>
            </w:tcBorders>
            <w:vAlign w:val="center"/>
          </w:tcPr>
          <w:p w14:paraId="7E07679C"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Број</w:t>
            </w:r>
          </w:p>
          <w:p w14:paraId="7D1EC20E" w14:textId="77777777" w:rsidR="001D4F11" w:rsidRPr="003258BC" w:rsidRDefault="001D4F11" w:rsidP="003124ED">
            <w:pPr>
              <w:jc w:val="center"/>
              <w:rPr>
                <w:rFonts w:ascii="Times New Roman" w:hAnsi="Times New Roman" w:cs="Times New Roman"/>
                <w:sz w:val="24"/>
                <w:szCs w:val="24"/>
              </w:rPr>
            </w:pPr>
            <w:r>
              <w:rPr>
                <w:rFonts w:ascii="Times New Roman" w:hAnsi="Times New Roman" w:cs="Times New Roman"/>
                <w:sz w:val="24"/>
                <w:szCs w:val="24"/>
                <w:lang w:val="sr-Cyrl-RS"/>
              </w:rPr>
              <w:t>у</w:t>
            </w:r>
            <w:r w:rsidRPr="003258BC">
              <w:rPr>
                <w:rFonts w:ascii="Times New Roman" w:hAnsi="Times New Roman" w:cs="Times New Roman"/>
                <w:sz w:val="24"/>
                <w:szCs w:val="24"/>
              </w:rPr>
              <w:t>говора</w:t>
            </w:r>
          </w:p>
        </w:tc>
        <w:tc>
          <w:tcPr>
            <w:tcW w:w="0" w:type="auto"/>
            <w:tcBorders>
              <w:bottom w:val="single" w:sz="4" w:space="0" w:color="auto"/>
            </w:tcBorders>
            <w:vAlign w:val="center"/>
          </w:tcPr>
          <w:p w14:paraId="200792FE"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w:t>
            </w:r>
          </w:p>
        </w:tc>
        <w:tc>
          <w:tcPr>
            <w:tcW w:w="0" w:type="auto"/>
            <w:tcBorders>
              <w:bottom w:val="single" w:sz="4" w:space="0" w:color="auto"/>
            </w:tcBorders>
            <w:vAlign w:val="center"/>
          </w:tcPr>
          <w:p w14:paraId="5D9ED025"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Уговорена</w:t>
            </w:r>
          </w:p>
          <w:p w14:paraId="30A40C49" w14:textId="77777777" w:rsidR="001D4F11" w:rsidRPr="003258BC" w:rsidRDefault="001D4F11" w:rsidP="003124ED">
            <w:pPr>
              <w:jc w:val="center"/>
              <w:rPr>
                <w:rFonts w:ascii="Times New Roman" w:hAnsi="Times New Roman" w:cs="Times New Roman"/>
                <w:sz w:val="24"/>
                <w:szCs w:val="24"/>
              </w:rPr>
            </w:pPr>
            <w:r>
              <w:rPr>
                <w:rFonts w:ascii="Times New Roman" w:hAnsi="Times New Roman" w:cs="Times New Roman"/>
                <w:sz w:val="24"/>
                <w:szCs w:val="24"/>
                <w:lang w:val="sr-Cyrl-RS"/>
              </w:rPr>
              <w:t>в</w:t>
            </w:r>
            <w:r w:rsidRPr="003258BC">
              <w:rPr>
                <w:rFonts w:ascii="Times New Roman" w:hAnsi="Times New Roman" w:cs="Times New Roman"/>
                <w:sz w:val="24"/>
                <w:szCs w:val="24"/>
              </w:rPr>
              <w:t>редност</w:t>
            </w:r>
          </w:p>
          <w:p w14:paraId="20781521"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без ПДВ-а*</w:t>
            </w:r>
          </w:p>
        </w:tc>
        <w:tc>
          <w:tcPr>
            <w:tcW w:w="656" w:type="dxa"/>
            <w:tcBorders>
              <w:bottom w:val="single" w:sz="4" w:space="0" w:color="auto"/>
            </w:tcBorders>
            <w:vAlign w:val="center"/>
          </w:tcPr>
          <w:p w14:paraId="39CF46D7" w14:textId="77777777" w:rsidR="001D4F11" w:rsidRPr="003258BC" w:rsidRDefault="001D4F11" w:rsidP="003124ED">
            <w:pPr>
              <w:jc w:val="center"/>
              <w:rPr>
                <w:rFonts w:ascii="Times New Roman" w:hAnsi="Times New Roman" w:cs="Times New Roman"/>
                <w:sz w:val="24"/>
                <w:szCs w:val="24"/>
              </w:rPr>
            </w:pPr>
            <w:r w:rsidRPr="003258BC">
              <w:rPr>
                <w:rFonts w:ascii="Times New Roman" w:hAnsi="Times New Roman" w:cs="Times New Roman"/>
                <w:sz w:val="24"/>
                <w:szCs w:val="24"/>
              </w:rPr>
              <w:t>%</w:t>
            </w:r>
          </w:p>
        </w:tc>
      </w:tr>
      <w:tr w:rsidR="001D4F11" w:rsidRPr="000B3F57" w14:paraId="01553E24" w14:textId="77777777" w:rsidTr="00C421EE">
        <w:trPr>
          <w:jc w:val="center"/>
        </w:trPr>
        <w:tc>
          <w:tcPr>
            <w:tcW w:w="3114" w:type="dxa"/>
            <w:vAlign w:val="center"/>
            <w:hideMark/>
          </w:tcPr>
          <w:p w14:paraId="4DC1CCC3"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Органи државне управе</w:t>
            </w:r>
          </w:p>
        </w:tc>
        <w:tc>
          <w:tcPr>
            <w:tcW w:w="1019" w:type="dxa"/>
            <w:tcBorders>
              <w:top w:val="single" w:sz="4" w:space="0" w:color="auto"/>
              <w:left w:val="nil"/>
              <w:bottom w:val="single" w:sz="4" w:space="0" w:color="auto"/>
              <w:right w:val="single" w:sz="4" w:space="0" w:color="auto"/>
            </w:tcBorders>
            <w:shd w:val="clear" w:color="auto" w:fill="auto"/>
            <w:vAlign w:val="center"/>
          </w:tcPr>
          <w:p w14:paraId="1ED924F1"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11.376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6AEBB3"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0E3B5"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54.847.336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18C5AA4"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14</w:t>
            </w:r>
          </w:p>
        </w:tc>
        <w:tc>
          <w:tcPr>
            <w:tcW w:w="1104" w:type="dxa"/>
            <w:vAlign w:val="center"/>
          </w:tcPr>
          <w:p w14:paraId="507E0EC8"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11</w:t>
            </w:r>
            <w:r>
              <w:rPr>
                <w:rFonts w:ascii="Times New Roman" w:hAnsi="Times New Roman" w:cs="Times New Roman"/>
                <w:lang w:val="en-US"/>
              </w:rPr>
              <w:t>.</w:t>
            </w:r>
            <w:r w:rsidRPr="00BE4C68">
              <w:rPr>
                <w:rFonts w:ascii="Times New Roman" w:hAnsi="Times New Roman" w:cs="Times New Roman"/>
              </w:rPr>
              <w:t>694</w:t>
            </w:r>
          </w:p>
        </w:tc>
        <w:tc>
          <w:tcPr>
            <w:tcW w:w="0" w:type="auto"/>
            <w:vAlign w:val="center"/>
          </w:tcPr>
          <w:p w14:paraId="0F09FA42"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10</w:t>
            </w:r>
          </w:p>
        </w:tc>
        <w:tc>
          <w:tcPr>
            <w:tcW w:w="0" w:type="auto"/>
            <w:vAlign w:val="center"/>
          </w:tcPr>
          <w:p w14:paraId="0CD26329"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63</w:t>
            </w:r>
            <w:r>
              <w:rPr>
                <w:rFonts w:ascii="Times New Roman" w:hAnsi="Times New Roman" w:cs="Times New Roman"/>
                <w:lang w:val="en-US"/>
              </w:rPr>
              <w:t>.</w:t>
            </w:r>
            <w:r w:rsidRPr="00BE4C68">
              <w:rPr>
                <w:rFonts w:ascii="Times New Roman" w:hAnsi="Times New Roman" w:cs="Times New Roman"/>
              </w:rPr>
              <w:t>307</w:t>
            </w:r>
            <w:r>
              <w:rPr>
                <w:rFonts w:ascii="Times New Roman" w:hAnsi="Times New Roman" w:cs="Times New Roman"/>
                <w:lang w:val="en-US"/>
              </w:rPr>
              <w:t>.</w:t>
            </w:r>
            <w:r w:rsidRPr="00BE4C68">
              <w:rPr>
                <w:rFonts w:ascii="Times New Roman" w:hAnsi="Times New Roman" w:cs="Times New Roman"/>
              </w:rPr>
              <w:t>760</w:t>
            </w:r>
          </w:p>
        </w:tc>
        <w:tc>
          <w:tcPr>
            <w:tcW w:w="656" w:type="dxa"/>
            <w:vAlign w:val="center"/>
          </w:tcPr>
          <w:p w14:paraId="7E32E3AC"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14</w:t>
            </w:r>
          </w:p>
        </w:tc>
      </w:tr>
      <w:tr w:rsidR="001D4F11" w:rsidRPr="000B3F57" w14:paraId="1FAB7DBD" w14:textId="77777777" w:rsidTr="00C421EE">
        <w:trPr>
          <w:jc w:val="center"/>
        </w:trPr>
        <w:tc>
          <w:tcPr>
            <w:tcW w:w="3114" w:type="dxa"/>
            <w:vAlign w:val="center"/>
            <w:hideMark/>
          </w:tcPr>
          <w:p w14:paraId="3E3D99E9"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Правосуђе</w:t>
            </w:r>
          </w:p>
        </w:tc>
        <w:tc>
          <w:tcPr>
            <w:tcW w:w="1019" w:type="dxa"/>
            <w:tcBorders>
              <w:top w:val="single" w:sz="4" w:space="0" w:color="auto"/>
              <w:left w:val="nil"/>
              <w:bottom w:val="single" w:sz="4" w:space="0" w:color="auto"/>
              <w:right w:val="single" w:sz="4" w:space="0" w:color="auto"/>
            </w:tcBorders>
            <w:shd w:val="clear" w:color="auto" w:fill="auto"/>
            <w:vAlign w:val="center"/>
          </w:tcPr>
          <w:p w14:paraId="5C464747"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29469D"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86A404"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2.753.294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4F0305"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1</w:t>
            </w:r>
          </w:p>
        </w:tc>
        <w:tc>
          <w:tcPr>
            <w:tcW w:w="1104" w:type="dxa"/>
            <w:vAlign w:val="center"/>
          </w:tcPr>
          <w:p w14:paraId="7F33C149"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w:t>
            </w:r>
            <w:r>
              <w:rPr>
                <w:rFonts w:ascii="Times New Roman" w:hAnsi="Times New Roman" w:cs="Times New Roman"/>
                <w:lang w:val="en-US"/>
              </w:rPr>
              <w:t>.</w:t>
            </w:r>
            <w:r w:rsidRPr="00BE4C68">
              <w:rPr>
                <w:rFonts w:ascii="Times New Roman" w:hAnsi="Times New Roman" w:cs="Times New Roman"/>
              </w:rPr>
              <w:t>961</w:t>
            </w:r>
          </w:p>
        </w:tc>
        <w:tc>
          <w:tcPr>
            <w:tcW w:w="0" w:type="auto"/>
            <w:vAlign w:val="center"/>
          </w:tcPr>
          <w:p w14:paraId="7F8B1210"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2</w:t>
            </w:r>
          </w:p>
        </w:tc>
        <w:tc>
          <w:tcPr>
            <w:tcW w:w="0" w:type="auto"/>
            <w:vAlign w:val="center"/>
          </w:tcPr>
          <w:p w14:paraId="1540FC75"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w:t>
            </w:r>
            <w:r>
              <w:rPr>
                <w:rFonts w:ascii="Times New Roman" w:hAnsi="Times New Roman" w:cs="Times New Roman"/>
                <w:lang w:val="en-US"/>
              </w:rPr>
              <w:t>.</w:t>
            </w:r>
            <w:r w:rsidRPr="00BE4C68">
              <w:rPr>
                <w:rFonts w:ascii="Times New Roman" w:hAnsi="Times New Roman" w:cs="Times New Roman"/>
              </w:rPr>
              <w:t>958</w:t>
            </w:r>
            <w:r>
              <w:rPr>
                <w:rFonts w:ascii="Times New Roman" w:hAnsi="Times New Roman" w:cs="Times New Roman"/>
                <w:lang w:val="en-US"/>
              </w:rPr>
              <w:t>.</w:t>
            </w:r>
            <w:r w:rsidRPr="00BE4C68">
              <w:rPr>
                <w:rFonts w:ascii="Times New Roman" w:hAnsi="Times New Roman" w:cs="Times New Roman"/>
              </w:rPr>
              <w:t>747</w:t>
            </w:r>
          </w:p>
        </w:tc>
        <w:tc>
          <w:tcPr>
            <w:tcW w:w="656" w:type="dxa"/>
            <w:vAlign w:val="center"/>
          </w:tcPr>
          <w:p w14:paraId="7921C5BB"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w:t>
            </w:r>
          </w:p>
        </w:tc>
      </w:tr>
      <w:tr w:rsidR="001D4F11" w:rsidRPr="000B3F57" w14:paraId="1D30CBAF" w14:textId="77777777" w:rsidTr="00C421EE">
        <w:trPr>
          <w:trHeight w:val="464"/>
          <w:jc w:val="center"/>
        </w:trPr>
        <w:tc>
          <w:tcPr>
            <w:tcW w:w="3114" w:type="dxa"/>
            <w:vAlign w:val="center"/>
            <w:hideMark/>
          </w:tcPr>
          <w:p w14:paraId="1103773B"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Здравство и социјална заштита</w:t>
            </w:r>
          </w:p>
        </w:tc>
        <w:tc>
          <w:tcPr>
            <w:tcW w:w="1019" w:type="dxa"/>
            <w:tcBorders>
              <w:top w:val="single" w:sz="4" w:space="0" w:color="auto"/>
              <w:left w:val="nil"/>
              <w:bottom w:val="single" w:sz="4" w:space="0" w:color="auto"/>
              <w:right w:val="single" w:sz="4" w:space="0" w:color="auto"/>
            </w:tcBorders>
            <w:shd w:val="clear" w:color="auto" w:fill="auto"/>
            <w:vAlign w:val="center"/>
          </w:tcPr>
          <w:p w14:paraId="4D01D56B"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41.979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65528B"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1C952E"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68.492.018</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F93FB1F" w14:textId="77777777" w:rsidR="001D4F11" w:rsidRPr="003258BC" w:rsidRDefault="001D4F11" w:rsidP="003124ED">
            <w:pPr>
              <w:jc w:val="center"/>
              <w:outlineLvl w:val="2"/>
              <w:rPr>
                <w:rFonts w:ascii="Times New Roman" w:hAnsi="Times New Roman" w:cs="Times New Roman"/>
                <w:sz w:val="24"/>
                <w:szCs w:val="24"/>
                <w:lang w:val="en-GB"/>
              </w:rPr>
            </w:pPr>
            <w:r w:rsidRPr="003258BC">
              <w:rPr>
                <w:rFonts w:ascii="Times New Roman" w:hAnsi="Times New Roman" w:cs="Times New Roman"/>
                <w:sz w:val="24"/>
                <w:szCs w:val="24"/>
                <w:lang w:val="en-GB"/>
              </w:rPr>
              <w:t>17</w:t>
            </w:r>
          </w:p>
        </w:tc>
        <w:tc>
          <w:tcPr>
            <w:tcW w:w="1104" w:type="dxa"/>
            <w:vAlign w:val="center"/>
          </w:tcPr>
          <w:p w14:paraId="1B15C661"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48</w:t>
            </w:r>
            <w:r>
              <w:rPr>
                <w:rFonts w:ascii="Times New Roman" w:hAnsi="Times New Roman" w:cs="Times New Roman"/>
                <w:lang w:val="en-US"/>
              </w:rPr>
              <w:t>.</w:t>
            </w:r>
            <w:r w:rsidRPr="00BE4C68">
              <w:rPr>
                <w:rFonts w:ascii="Times New Roman" w:hAnsi="Times New Roman" w:cs="Times New Roman"/>
              </w:rPr>
              <w:t>038</w:t>
            </w:r>
          </w:p>
        </w:tc>
        <w:tc>
          <w:tcPr>
            <w:tcW w:w="0" w:type="auto"/>
            <w:vAlign w:val="center"/>
          </w:tcPr>
          <w:p w14:paraId="2D68434B"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39</w:t>
            </w:r>
          </w:p>
        </w:tc>
        <w:tc>
          <w:tcPr>
            <w:tcW w:w="0" w:type="auto"/>
            <w:vAlign w:val="center"/>
          </w:tcPr>
          <w:p w14:paraId="13EA55BD"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90</w:t>
            </w:r>
            <w:r>
              <w:rPr>
                <w:rFonts w:ascii="Times New Roman" w:hAnsi="Times New Roman" w:cs="Times New Roman"/>
                <w:lang w:val="en-US"/>
              </w:rPr>
              <w:t>.</w:t>
            </w:r>
            <w:r w:rsidRPr="00BE4C68">
              <w:rPr>
                <w:rFonts w:ascii="Times New Roman" w:hAnsi="Times New Roman" w:cs="Times New Roman"/>
              </w:rPr>
              <w:t>174</w:t>
            </w:r>
            <w:r>
              <w:rPr>
                <w:rFonts w:ascii="Times New Roman" w:hAnsi="Times New Roman" w:cs="Times New Roman"/>
                <w:lang w:val="en-US"/>
              </w:rPr>
              <w:t>.</w:t>
            </w:r>
            <w:r w:rsidRPr="00BE4C68">
              <w:rPr>
                <w:rFonts w:ascii="Times New Roman" w:hAnsi="Times New Roman" w:cs="Times New Roman"/>
              </w:rPr>
              <w:t>824</w:t>
            </w:r>
          </w:p>
        </w:tc>
        <w:tc>
          <w:tcPr>
            <w:tcW w:w="656" w:type="dxa"/>
            <w:vAlign w:val="center"/>
          </w:tcPr>
          <w:p w14:paraId="1FE7DDB2" w14:textId="77777777" w:rsidR="001D4F11" w:rsidRPr="008F6DC0" w:rsidRDefault="001D4F11" w:rsidP="003124ED">
            <w:pPr>
              <w:jc w:val="center"/>
              <w:rPr>
                <w:rFonts w:ascii="Times New Roman" w:hAnsi="Times New Roman" w:cs="Times New Roman"/>
                <w:lang w:val="sr-Cyrl-RS"/>
              </w:rPr>
            </w:pPr>
            <w:r>
              <w:rPr>
                <w:rFonts w:ascii="Times New Roman" w:hAnsi="Times New Roman" w:cs="Times New Roman"/>
                <w:lang w:val="en-US"/>
              </w:rPr>
              <w:t>2</w:t>
            </w:r>
            <w:r>
              <w:rPr>
                <w:rFonts w:ascii="Times New Roman" w:hAnsi="Times New Roman" w:cs="Times New Roman"/>
                <w:lang w:val="sr-Cyrl-RS"/>
              </w:rPr>
              <w:t>1</w:t>
            </w:r>
          </w:p>
        </w:tc>
      </w:tr>
      <w:tr w:rsidR="001D4F11" w:rsidRPr="000B3F57" w14:paraId="74819E92" w14:textId="77777777" w:rsidTr="00C421EE">
        <w:trPr>
          <w:jc w:val="center"/>
        </w:trPr>
        <w:tc>
          <w:tcPr>
            <w:tcW w:w="3114" w:type="dxa"/>
            <w:vAlign w:val="center"/>
            <w:hideMark/>
          </w:tcPr>
          <w:p w14:paraId="7402C021"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Култура</w:t>
            </w:r>
          </w:p>
        </w:tc>
        <w:tc>
          <w:tcPr>
            <w:tcW w:w="1019" w:type="dxa"/>
            <w:tcBorders>
              <w:top w:val="single" w:sz="4" w:space="0" w:color="auto"/>
              <w:left w:val="nil"/>
              <w:bottom w:val="single" w:sz="4" w:space="0" w:color="auto"/>
              <w:right w:val="single" w:sz="4" w:space="0" w:color="auto"/>
            </w:tcBorders>
            <w:shd w:val="clear" w:color="auto" w:fill="auto"/>
            <w:vAlign w:val="center"/>
          </w:tcPr>
          <w:p w14:paraId="28919DBD"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2.591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5D16ED"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575F1"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3.020.080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6CA4B21"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1</w:t>
            </w:r>
          </w:p>
        </w:tc>
        <w:tc>
          <w:tcPr>
            <w:tcW w:w="1104" w:type="dxa"/>
            <w:vAlign w:val="center"/>
          </w:tcPr>
          <w:p w14:paraId="49B1341D"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2</w:t>
            </w:r>
            <w:r>
              <w:rPr>
                <w:rFonts w:ascii="Times New Roman" w:hAnsi="Times New Roman" w:cs="Times New Roman"/>
                <w:lang w:val="en-US"/>
              </w:rPr>
              <w:t>.</w:t>
            </w:r>
            <w:r w:rsidRPr="00BE4C68">
              <w:rPr>
                <w:rFonts w:ascii="Times New Roman" w:hAnsi="Times New Roman" w:cs="Times New Roman"/>
              </w:rPr>
              <w:t>703</w:t>
            </w:r>
          </w:p>
        </w:tc>
        <w:tc>
          <w:tcPr>
            <w:tcW w:w="0" w:type="auto"/>
            <w:vAlign w:val="center"/>
          </w:tcPr>
          <w:p w14:paraId="2E291195"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2</w:t>
            </w:r>
          </w:p>
        </w:tc>
        <w:tc>
          <w:tcPr>
            <w:tcW w:w="0" w:type="auto"/>
            <w:vAlign w:val="center"/>
          </w:tcPr>
          <w:p w14:paraId="78943AD2"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3</w:t>
            </w:r>
            <w:r>
              <w:rPr>
                <w:rFonts w:ascii="Times New Roman" w:hAnsi="Times New Roman" w:cs="Times New Roman"/>
                <w:lang w:val="en-US"/>
              </w:rPr>
              <w:t>.</w:t>
            </w:r>
            <w:r w:rsidRPr="00BE4C68">
              <w:rPr>
                <w:rFonts w:ascii="Times New Roman" w:hAnsi="Times New Roman" w:cs="Times New Roman"/>
              </w:rPr>
              <w:t>435</w:t>
            </w:r>
            <w:r>
              <w:rPr>
                <w:rFonts w:ascii="Times New Roman" w:hAnsi="Times New Roman" w:cs="Times New Roman"/>
                <w:lang w:val="en-US"/>
              </w:rPr>
              <w:t>.</w:t>
            </w:r>
            <w:r w:rsidRPr="00BE4C68">
              <w:rPr>
                <w:rFonts w:ascii="Times New Roman" w:hAnsi="Times New Roman" w:cs="Times New Roman"/>
              </w:rPr>
              <w:t>179</w:t>
            </w:r>
          </w:p>
        </w:tc>
        <w:tc>
          <w:tcPr>
            <w:tcW w:w="656" w:type="dxa"/>
            <w:vAlign w:val="center"/>
          </w:tcPr>
          <w:p w14:paraId="69A1853F"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w:t>
            </w:r>
          </w:p>
        </w:tc>
      </w:tr>
      <w:tr w:rsidR="001D4F11" w:rsidRPr="000B3F57" w14:paraId="33133144" w14:textId="77777777" w:rsidTr="00C421EE">
        <w:trPr>
          <w:jc w:val="center"/>
        </w:trPr>
        <w:tc>
          <w:tcPr>
            <w:tcW w:w="3114" w:type="dxa"/>
            <w:vAlign w:val="center"/>
            <w:hideMark/>
          </w:tcPr>
          <w:p w14:paraId="2BAD3B54"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Просвета и наука</w:t>
            </w:r>
          </w:p>
        </w:tc>
        <w:tc>
          <w:tcPr>
            <w:tcW w:w="1019" w:type="dxa"/>
            <w:tcBorders>
              <w:top w:val="single" w:sz="4" w:space="0" w:color="auto"/>
              <w:left w:val="nil"/>
              <w:bottom w:val="single" w:sz="4" w:space="0" w:color="auto"/>
              <w:right w:val="single" w:sz="4" w:space="0" w:color="auto"/>
            </w:tcBorders>
            <w:shd w:val="clear" w:color="auto" w:fill="auto"/>
            <w:vAlign w:val="center"/>
          </w:tcPr>
          <w:p w14:paraId="2FC9DBC2"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18.003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07DF0"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EC3F93"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17.798.245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394FA6B8"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4</w:t>
            </w:r>
          </w:p>
        </w:tc>
        <w:tc>
          <w:tcPr>
            <w:tcW w:w="1104" w:type="dxa"/>
            <w:vAlign w:val="center"/>
          </w:tcPr>
          <w:p w14:paraId="3FBBC326"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14</w:t>
            </w:r>
            <w:r>
              <w:rPr>
                <w:rFonts w:ascii="Times New Roman" w:hAnsi="Times New Roman" w:cs="Times New Roman"/>
                <w:lang w:val="en-US"/>
              </w:rPr>
              <w:t>.</w:t>
            </w:r>
            <w:r w:rsidRPr="00BE4C68">
              <w:rPr>
                <w:rFonts w:ascii="Times New Roman" w:hAnsi="Times New Roman" w:cs="Times New Roman"/>
              </w:rPr>
              <w:t>897</w:t>
            </w:r>
          </w:p>
        </w:tc>
        <w:tc>
          <w:tcPr>
            <w:tcW w:w="0" w:type="auto"/>
            <w:vAlign w:val="center"/>
          </w:tcPr>
          <w:p w14:paraId="213A6EA2"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12</w:t>
            </w:r>
          </w:p>
        </w:tc>
        <w:tc>
          <w:tcPr>
            <w:tcW w:w="0" w:type="auto"/>
            <w:vAlign w:val="center"/>
          </w:tcPr>
          <w:p w14:paraId="59B310EB"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19</w:t>
            </w:r>
            <w:r>
              <w:rPr>
                <w:rFonts w:ascii="Times New Roman" w:hAnsi="Times New Roman" w:cs="Times New Roman"/>
                <w:lang w:val="en-US"/>
              </w:rPr>
              <w:t>.</w:t>
            </w:r>
            <w:r w:rsidRPr="00BE4C68">
              <w:rPr>
                <w:rFonts w:ascii="Times New Roman" w:hAnsi="Times New Roman" w:cs="Times New Roman"/>
              </w:rPr>
              <w:t>205</w:t>
            </w:r>
            <w:r>
              <w:rPr>
                <w:rFonts w:ascii="Times New Roman" w:hAnsi="Times New Roman" w:cs="Times New Roman"/>
                <w:lang w:val="en-US"/>
              </w:rPr>
              <w:t>.</w:t>
            </w:r>
            <w:r w:rsidRPr="00BE4C68">
              <w:rPr>
                <w:rFonts w:ascii="Times New Roman" w:hAnsi="Times New Roman" w:cs="Times New Roman"/>
              </w:rPr>
              <w:t>430</w:t>
            </w:r>
          </w:p>
        </w:tc>
        <w:tc>
          <w:tcPr>
            <w:tcW w:w="656" w:type="dxa"/>
            <w:vAlign w:val="center"/>
          </w:tcPr>
          <w:p w14:paraId="459CFFEE"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4</w:t>
            </w:r>
          </w:p>
        </w:tc>
      </w:tr>
      <w:tr w:rsidR="001D4F11" w:rsidRPr="000B3F57" w14:paraId="56142DA7" w14:textId="77777777" w:rsidTr="00C421EE">
        <w:trPr>
          <w:jc w:val="center"/>
        </w:trPr>
        <w:tc>
          <w:tcPr>
            <w:tcW w:w="3114" w:type="dxa"/>
            <w:vAlign w:val="center"/>
            <w:hideMark/>
          </w:tcPr>
          <w:p w14:paraId="0255D573" w14:textId="77777777" w:rsidR="001D4F11" w:rsidRPr="008F6DC0" w:rsidRDefault="001D4F11" w:rsidP="0007420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Јавна предузећа/привредна друштва-републички ниво</w:t>
            </w:r>
          </w:p>
        </w:tc>
        <w:tc>
          <w:tcPr>
            <w:tcW w:w="1019" w:type="dxa"/>
            <w:tcBorders>
              <w:top w:val="single" w:sz="4" w:space="0" w:color="auto"/>
              <w:left w:val="nil"/>
              <w:bottom w:val="single" w:sz="4" w:space="0" w:color="auto"/>
              <w:right w:val="single" w:sz="4" w:space="0" w:color="auto"/>
            </w:tcBorders>
            <w:shd w:val="clear" w:color="auto" w:fill="auto"/>
            <w:vAlign w:val="center"/>
          </w:tcPr>
          <w:p w14:paraId="31EA44CA"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24.651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DD314"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75AA4"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132.312.435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ADD1E25"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33</w:t>
            </w:r>
          </w:p>
        </w:tc>
        <w:tc>
          <w:tcPr>
            <w:tcW w:w="1104" w:type="dxa"/>
            <w:vAlign w:val="center"/>
          </w:tcPr>
          <w:p w14:paraId="2FDA3FBE"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16</w:t>
            </w:r>
            <w:r>
              <w:rPr>
                <w:rFonts w:ascii="Times New Roman" w:hAnsi="Times New Roman" w:cs="Times New Roman"/>
                <w:lang w:val="en-US"/>
              </w:rPr>
              <w:t>.</w:t>
            </w:r>
            <w:r w:rsidRPr="00BE4C68">
              <w:rPr>
                <w:rFonts w:ascii="Times New Roman" w:hAnsi="Times New Roman" w:cs="Times New Roman"/>
              </w:rPr>
              <w:t>635</w:t>
            </w:r>
          </w:p>
        </w:tc>
        <w:tc>
          <w:tcPr>
            <w:tcW w:w="0" w:type="auto"/>
            <w:vAlign w:val="center"/>
          </w:tcPr>
          <w:p w14:paraId="62CC2EBE"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14</w:t>
            </w:r>
          </w:p>
        </w:tc>
        <w:tc>
          <w:tcPr>
            <w:tcW w:w="0" w:type="auto"/>
            <w:vAlign w:val="center"/>
          </w:tcPr>
          <w:p w14:paraId="4E2A1D3E"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128</w:t>
            </w:r>
            <w:r>
              <w:rPr>
                <w:rFonts w:ascii="Times New Roman" w:hAnsi="Times New Roman" w:cs="Times New Roman"/>
                <w:lang w:val="en-US"/>
              </w:rPr>
              <w:t>.</w:t>
            </w:r>
            <w:r w:rsidRPr="00BE4C68">
              <w:rPr>
                <w:rFonts w:ascii="Times New Roman" w:hAnsi="Times New Roman" w:cs="Times New Roman"/>
              </w:rPr>
              <w:t>436</w:t>
            </w:r>
            <w:r>
              <w:rPr>
                <w:rFonts w:ascii="Times New Roman" w:hAnsi="Times New Roman" w:cs="Times New Roman"/>
                <w:lang w:val="en-US"/>
              </w:rPr>
              <w:t>.</w:t>
            </w:r>
            <w:r w:rsidRPr="00BE4C68">
              <w:rPr>
                <w:rFonts w:ascii="Times New Roman" w:hAnsi="Times New Roman" w:cs="Times New Roman"/>
              </w:rPr>
              <w:t>078</w:t>
            </w:r>
          </w:p>
        </w:tc>
        <w:tc>
          <w:tcPr>
            <w:tcW w:w="656" w:type="dxa"/>
            <w:vAlign w:val="center"/>
          </w:tcPr>
          <w:p w14:paraId="40B0B4C8" w14:textId="77777777" w:rsidR="001D4F11" w:rsidRPr="008F6DC0" w:rsidRDefault="001D4F11" w:rsidP="003124ED">
            <w:pPr>
              <w:jc w:val="center"/>
              <w:rPr>
                <w:rFonts w:ascii="Times New Roman" w:hAnsi="Times New Roman" w:cs="Times New Roman"/>
                <w:lang w:val="sr-Cyrl-RS"/>
              </w:rPr>
            </w:pPr>
            <w:r>
              <w:rPr>
                <w:rFonts w:ascii="Times New Roman" w:hAnsi="Times New Roman" w:cs="Times New Roman"/>
                <w:lang w:val="sr-Cyrl-RS"/>
              </w:rPr>
              <w:t>29</w:t>
            </w:r>
          </w:p>
        </w:tc>
      </w:tr>
      <w:tr w:rsidR="001D4F11" w:rsidRPr="000B3F57" w14:paraId="6D652B33" w14:textId="77777777" w:rsidTr="00C421EE">
        <w:trPr>
          <w:jc w:val="center"/>
        </w:trPr>
        <w:tc>
          <w:tcPr>
            <w:tcW w:w="3114" w:type="dxa"/>
            <w:vAlign w:val="center"/>
            <w:hideMark/>
          </w:tcPr>
          <w:p w14:paraId="5F284711"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Јавна предузећа-локална самоуправа</w:t>
            </w:r>
          </w:p>
        </w:tc>
        <w:tc>
          <w:tcPr>
            <w:tcW w:w="1019" w:type="dxa"/>
            <w:tcBorders>
              <w:top w:val="single" w:sz="4" w:space="0" w:color="auto"/>
              <w:left w:val="nil"/>
              <w:bottom w:val="single" w:sz="4" w:space="0" w:color="auto"/>
              <w:right w:val="single" w:sz="4" w:space="0" w:color="auto"/>
            </w:tcBorders>
            <w:shd w:val="clear" w:color="auto" w:fill="auto"/>
            <w:vAlign w:val="center"/>
          </w:tcPr>
          <w:p w14:paraId="273B4A7E"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15.959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A58C28"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FE9FD6"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69.428.108</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046D59E"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17</w:t>
            </w:r>
          </w:p>
        </w:tc>
        <w:tc>
          <w:tcPr>
            <w:tcW w:w="1104" w:type="dxa"/>
            <w:vAlign w:val="center"/>
          </w:tcPr>
          <w:p w14:paraId="487DF86C"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15</w:t>
            </w:r>
            <w:r>
              <w:rPr>
                <w:rFonts w:ascii="Times New Roman" w:hAnsi="Times New Roman" w:cs="Times New Roman"/>
                <w:lang w:val="en-US"/>
              </w:rPr>
              <w:t>.</w:t>
            </w:r>
            <w:r w:rsidRPr="00BE4C68">
              <w:rPr>
                <w:rFonts w:ascii="Times New Roman" w:hAnsi="Times New Roman" w:cs="Times New Roman"/>
              </w:rPr>
              <w:t>536</w:t>
            </w:r>
          </w:p>
        </w:tc>
        <w:tc>
          <w:tcPr>
            <w:tcW w:w="0" w:type="auto"/>
            <w:vAlign w:val="center"/>
          </w:tcPr>
          <w:p w14:paraId="23B021E6"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13</w:t>
            </w:r>
          </w:p>
        </w:tc>
        <w:tc>
          <w:tcPr>
            <w:tcW w:w="0" w:type="auto"/>
            <w:vAlign w:val="center"/>
          </w:tcPr>
          <w:p w14:paraId="37114627"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65</w:t>
            </w:r>
            <w:r>
              <w:rPr>
                <w:rFonts w:ascii="Times New Roman" w:hAnsi="Times New Roman" w:cs="Times New Roman"/>
                <w:lang w:val="en-US"/>
              </w:rPr>
              <w:t>.</w:t>
            </w:r>
            <w:r w:rsidRPr="00BE4C68">
              <w:rPr>
                <w:rFonts w:ascii="Times New Roman" w:hAnsi="Times New Roman" w:cs="Times New Roman"/>
              </w:rPr>
              <w:t>288</w:t>
            </w:r>
            <w:r>
              <w:rPr>
                <w:rFonts w:ascii="Times New Roman" w:hAnsi="Times New Roman" w:cs="Times New Roman"/>
                <w:lang w:val="en-US"/>
              </w:rPr>
              <w:t>.</w:t>
            </w:r>
            <w:r w:rsidRPr="00BE4C68">
              <w:rPr>
                <w:rFonts w:ascii="Times New Roman" w:hAnsi="Times New Roman" w:cs="Times New Roman"/>
              </w:rPr>
              <w:t>062</w:t>
            </w:r>
          </w:p>
        </w:tc>
        <w:tc>
          <w:tcPr>
            <w:tcW w:w="656" w:type="dxa"/>
            <w:vAlign w:val="center"/>
          </w:tcPr>
          <w:p w14:paraId="2CBD1897"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15</w:t>
            </w:r>
          </w:p>
        </w:tc>
      </w:tr>
      <w:tr w:rsidR="001D4F11" w:rsidRPr="000B3F57" w14:paraId="029F12D4" w14:textId="77777777" w:rsidTr="00C421EE">
        <w:trPr>
          <w:jc w:val="center"/>
        </w:trPr>
        <w:tc>
          <w:tcPr>
            <w:tcW w:w="3114" w:type="dxa"/>
            <w:vAlign w:val="center"/>
            <w:hideMark/>
          </w:tcPr>
          <w:p w14:paraId="5D373544"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Градска и општинска управа</w:t>
            </w:r>
          </w:p>
        </w:tc>
        <w:tc>
          <w:tcPr>
            <w:tcW w:w="1019" w:type="dxa"/>
            <w:tcBorders>
              <w:top w:val="single" w:sz="4" w:space="0" w:color="auto"/>
              <w:left w:val="nil"/>
              <w:bottom w:val="single" w:sz="4" w:space="0" w:color="auto"/>
              <w:right w:val="single" w:sz="4" w:space="0" w:color="auto"/>
            </w:tcBorders>
            <w:shd w:val="clear" w:color="auto" w:fill="auto"/>
            <w:vAlign w:val="center"/>
          </w:tcPr>
          <w:p w14:paraId="2A0367B8"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9.416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AEB48A"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5102E6"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54.117.493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AE9198E"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13</w:t>
            </w:r>
          </w:p>
        </w:tc>
        <w:tc>
          <w:tcPr>
            <w:tcW w:w="1104" w:type="dxa"/>
            <w:vAlign w:val="center"/>
          </w:tcPr>
          <w:p w14:paraId="3B863AEC"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10</w:t>
            </w:r>
            <w:r>
              <w:rPr>
                <w:rFonts w:ascii="Times New Roman" w:hAnsi="Times New Roman" w:cs="Times New Roman"/>
                <w:lang w:val="en-US"/>
              </w:rPr>
              <w:t>.</w:t>
            </w:r>
            <w:r w:rsidRPr="00BE4C68">
              <w:rPr>
                <w:rFonts w:ascii="Times New Roman" w:hAnsi="Times New Roman" w:cs="Times New Roman"/>
              </w:rPr>
              <w:t>101</w:t>
            </w:r>
          </w:p>
        </w:tc>
        <w:tc>
          <w:tcPr>
            <w:tcW w:w="0" w:type="auto"/>
            <w:vAlign w:val="center"/>
          </w:tcPr>
          <w:p w14:paraId="278F3D83"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8</w:t>
            </w:r>
          </w:p>
        </w:tc>
        <w:tc>
          <w:tcPr>
            <w:tcW w:w="0" w:type="auto"/>
            <w:vAlign w:val="center"/>
          </w:tcPr>
          <w:p w14:paraId="3D3792E5"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6</w:t>
            </w:r>
            <w:r>
              <w:rPr>
                <w:rFonts w:ascii="Times New Roman" w:hAnsi="Times New Roman" w:cs="Times New Roman"/>
                <w:lang w:val="en-US"/>
              </w:rPr>
              <w:t>7.</w:t>
            </w:r>
            <w:r w:rsidRPr="00BE4C68">
              <w:rPr>
                <w:rFonts w:ascii="Times New Roman" w:hAnsi="Times New Roman" w:cs="Times New Roman"/>
              </w:rPr>
              <w:t>051</w:t>
            </w:r>
            <w:r>
              <w:rPr>
                <w:rFonts w:ascii="Times New Roman" w:hAnsi="Times New Roman" w:cs="Times New Roman"/>
                <w:lang w:val="sr-Cyrl-CS"/>
              </w:rPr>
              <w:t>.</w:t>
            </w:r>
            <w:r w:rsidRPr="00BE4C68">
              <w:rPr>
                <w:rFonts w:ascii="Times New Roman" w:hAnsi="Times New Roman" w:cs="Times New Roman"/>
              </w:rPr>
              <w:t>153</w:t>
            </w:r>
          </w:p>
        </w:tc>
        <w:tc>
          <w:tcPr>
            <w:tcW w:w="656" w:type="dxa"/>
            <w:vAlign w:val="center"/>
          </w:tcPr>
          <w:p w14:paraId="180B3FE6"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15</w:t>
            </w:r>
          </w:p>
        </w:tc>
      </w:tr>
      <w:tr w:rsidR="001D4F11" w:rsidRPr="000B3F57" w14:paraId="7EDDA67D" w14:textId="77777777" w:rsidTr="00C421EE">
        <w:trPr>
          <w:jc w:val="center"/>
        </w:trPr>
        <w:tc>
          <w:tcPr>
            <w:tcW w:w="3114" w:type="dxa"/>
            <w:vAlign w:val="center"/>
            <w:hideMark/>
          </w:tcPr>
          <w:p w14:paraId="2BA2124E"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Удружења</w:t>
            </w:r>
          </w:p>
        </w:tc>
        <w:tc>
          <w:tcPr>
            <w:tcW w:w="1019" w:type="dxa"/>
            <w:tcBorders>
              <w:top w:val="single" w:sz="4" w:space="0" w:color="auto"/>
              <w:left w:val="nil"/>
              <w:bottom w:val="single" w:sz="4" w:space="0" w:color="auto"/>
              <w:right w:val="single" w:sz="4" w:space="0" w:color="auto"/>
            </w:tcBorders>
            <w:shd w:val="clear" w:color="auto" w:fill="auto"/>
            <w:vAlign w:val="center"/>
          </w:tcPr>
          <w:p w14:paraId="03A4F22A"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AE5BC"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7C4B24"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1.108.594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25B88DC"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0</w:t>
            </w:r>
          </w:p>
        </w:tc>
        <w:tc>
          <w:tcPr>
            <w:tcW w:w="1104" w:type="dxa"/>
            <w:vAlign w:val="center"/>
          </w:tcPr>
          <w:p w14:paraId="0C9E1F3D"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465</w:t>
            </w:r>
          </w:p>
        </w:tc>
        <w:tc>
          <w:tcPr>
            <w:tcW w:w="0" w:type="auto"/>
            <w:vAlign w:val="center"/>
          </w:tcPr>
          <w:p w14:paraId="29212D4C"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0</w:t>
            </w:r>
          </w:p>
        </w:tc>
        <w:tc>
          <w:tcPr>
            <w:tcW w:w="0" w:type="auto"/>
            <w:vAlign w:val="center"/>
          </w:tcPr>
          <w:p w14:paraId="78D387AD"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1</w:t>
            </w:r>
            <w:r>
              <w:rPr>
                <w:rFonts w:ascii="Times New Roman" w:hAnsi="Times New Roman" w:cs="Times New Roman"/>
                <w:lang w:val="en-US"/>
              </w:rPr>
              <w:t>.</w:t>
            </w:r>
            <w:r w:rsidRPr="00BE4C68">
              <w:rPr>
                <w:rFonts w:ascii="Times New Roman" w:hAnsi="Times New Roman" w:cs="Times New Roman"/>
              </w:rPr>
              <w:t>573</w:t>
            </w:r>
            <w:r>
              <w:rPr>
                <w:rFonts w:ascii="Times New Roman" w:hAnsi="Times New Roman" w:cs="Times New Roman"/>
                <w:lang w:val="en-US"/>
              </w:rPr>
              <w:t>.</w:t>
            </w:r>
            <w:r w:rsidRPr="00BE4C68">
              <w:rPr>
                <w:rFonts w:ascii="Times New Roman" w:hAnsi="Times New Roman" w:cs="Times New Roman"/>
              </w:rPr>
              <w:t>947</w:t>
            </w:r>
          </w:p>
        </w:tc>
        <w:tc>
          <w:tcPr>
            <w:tcW w:w="656" w:type="dxa"/>
            <w:vAlign w:val="center"/>
          </w:tcPr>
          <w:p w14:paraId="6608E8F3"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0</w:t>
            </w:r>
          </w:p>
        </w:tc>
      </w:tr>
      <w:tr w:rsidR="001D4F11" w:rsidRPr="000B3F57" w14:paraId="6FF2BB2D" w14:textId="77777777" w:rsidTr="00C421EE">
        <w:trPr>
          <w:jc w:val="center"/>
        </w:trPr>
        <w:tc>
          <w:tcPr>
            <w:tcW w:w="3114" w:type="dxa"/>
            <w:vAlign w:val="center"/>
            <w:hideMark/>
          </w:tcPr>
          <w:p w14:paraId="1848FF0D" w14:textId="77777777" w:rsidR="001D4F11" w:rsidRPr="00E30209" w:rsidRDefault="001D4F11" w:rsidP="00074207">
            <w:pPr>
              <w:jc w:val="center"/>
              <w:rPr>
                <w:rFonts w:ascii="Times New Roman" w:hAnsi="Times New Roman" w:cs="Times New Roman"/>
                <w:b/>
                <w:sz w:val="24"/>
                <w:szCs w:val="24"/>
              </w:rPr>
            </w:pPr>
            <w:r w:rsidRPr="00E30209">
              <w:rPr>
                <w:rFonts w:ascii="Times New Roman" w:hAnsi="Times New Roman" w:cs="Times New Roman"/>
                <w:b/>
                <w:sz w:val="24"/>
                <w:szCs w:val="24"/>
              </w:rPr>
              <w:t>Фондације и задужбине</w:t>
            </w:r>
          </w:p>
        </w:tc>
        <w:tc>
          <w:tcPr>
            <w:tcW w:w="1019" w:type="dxa"/>
            <w:tcBorders>
              <w:top w:val="single" w:sz="4" w:space="0" w:color="auto"/>
              <w:left w:val="nil"/>
              <w:bottom w:val="single" w:sz="4" w:space="0" w:color="auto"/>
              <w:right w:val="single" w:sz="4" w:space="0" w:color="auto"/>
            </w:tcBorders>
            <w:shd w:val="clear" w:color="auto" w:fill="auto"/>
            <w:vAlign w:val="center"/>
          </w:tcPr>
          <w:p w14:paraId="436D5018"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66F4D"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8BADC" w14:textId="77777777" w:rsidR="001D4F11" w:rsidRPr="003258BC" w:rsidRDefault="001D4F11" w:rsidP="003124ED">
            <w:pPr>
              <w:jc w:val="center"/>
              <w:rPr>
                <w:rFonts w:ascii="Times New Roman" w:hAnsi="Times New Roman" w:cs="Times New Roman"/>
                <w:sz w:val="24"/>
                <w:szCs w:val="24"/>
                <w:lang w:val="sr-Cyrl-CS"/>
              </w:rPr>
            </w:pPr>
            <w:r w:rsidRPr="003258BC">
              <w:rPr>
                <w:rFonts w:ascii="Times New Roman" w:hAnsi="Times New Roman" w:cs="Times New Roman"/>
                <w:sz w:val="24"/>
                <w:szCs w:val="24"/>
                <w:lang w:val="sr-Cyrl-CS"/>
              </w:rPr>
              <w:t>85.797</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0F55440" w14:textId="77777777" w:rsidR="001D4F11" w:rsidRPr="003258BC" w:rsidRDefault="001D4F11" w:rsidP="003124ED">
            <w:pPr>
              <w:jc w:val="center"/>
              <w:outlineLvl w:val="2"/>
              <w:rPr>
                <w:rFonts w:ascii="Times New Roman" w:hAnsi="Times New Roman" w:cs="Times New Roman"/>
                <w:sz w:val="24"/>
                <w:szCs w:val="24"/>
                <w:lang w:val="sr-Cyrl-CS"/>
              </w:rPr>
            </w:pPr>
            <w:r w:rsidRPr="003258BC">
              <w:rPr>
                <w:rFonts w:ascii="Times New Roman" w:hAnsi="Times New Roman" w:cs="Times New Roman"/>
                <w:sz w:val="24"/>
                <w:szCs w:val="24"/>
                <w:lang w:val="sr-Cyrl-CS"/>
              </w:rPr>
              <w:t>0</w:t>
            </w:r>
          </w:p>
        </w:tc>
        <w:tc>
          <w:tcPr>
            <w:tcW w:w="1104" w:type="dxa"/>
            <w:vAlign w:val="center"/>
          </w:tcPr>
          <w:p w14:paraId="0EADFC49"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36</w:t>
            </w:r>
          </w:p>
        </w:tc>
        <w:tc>
          <w:tcPr>
            <w:tcW w:w="0" w:type="auto"/>
            <w:vAlign w:val="center"/>
          </w:tcPr>
          <w:p w14:paraId="43B438B0"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0</w:t>
            </w:r>
          </w:p>
        </w:tc>
        <w:tc>
          <w:tcPr>
            <w:tcW w:w="0" w:type="auto"/>
            <w:vAlign w:val="center"/>
          </w:tcPr>
          <w:p w14:paraId="73EF8C4E" w14:textId="77777777" w:rsidR="001D4F11" w:rsidRPr="00BE4C68" w:rsidRDefault="001D4F11" w:rsidP="003124ED">
            <w:pPr>
              <w:jc w:val="center"/>
              <w:rPr>
                <w:rFonts w:ascii="Times New Roman" w:hAnsi="Times New Roman" w:cs="Times New Roman"/>
              </w:rPr>
            </w:pPr>
            <w:r w:rsidRPr="00BE4C68">
              <w:rPr>
                <w:rFonts w:ascii="Times New Roman" w:hAnsi="Times New Roman" w:cs="Times New Roman"/>
              </w:rPr>
              <w:t>91</w:t>
            </w:r>
            <w:r>
              <w:rPr>
                <w:rFonts w:ascii="Times New Roman" w:hAnsi="Times New Roman" w:cs="Times New Roman"/>
                <w:lang w:val="en-US"/>
              </w:rPr>
              <w:t>.</w:t>
            </w:r>
            <w:r w:rsidRPr="00BE4C68">
              <w:rPr>
                <w:rFonts w:ascii="Times New Roman" w:hAnsi="Times New Roman" w:cs="Times New Roman"/>
              </w:rPr>
              <w:t>031</w:t>
            </w:r>
          </w:p>
        </w:tc>
        <w:tc>
          <w:tcPr>
            <w:tcW w:w="656" w:type="dxa"/>
            <w:vAlign w:val="center"/>
          </w:tcPr>
          <w:p w14:paraId="47E67A68" w14:textId="77777777" w:rsidR="001D4F11" w:rsidRPr="00C84CD3" w:rsidRDefault="001D4F11" w:rsidP="003124ED">
            <w:pPr>
              <w:jc w:val="center"/>
              <w:rPr>
                <w:rFonts w:ascii="Times New Roman" w:hAnsi="Times New Roman" w:cs="Times New Roman"/>
                <w:lang w:val="en-US"/>
              </w:rPr>
            </w:pPr>
            <w:r>
              <w:rPr>
                <w:rFonts w:ascii="Times New Roman" w:hAnsi="Times New Roman" w:cs="Times New Roman"/>
                <w:lang w:val="en-US"/>
              </w:rPr>
              <w:t>0</w:t>
            </w:r>
          </w:p>
        </w:tc>
      </w:tr>
      <w:tr w:rsidR="001D4F11" w:rsidRPr="000B3F57" w14:paraId="229C8C09" w14:textId="77777777" w:rsidTr="00C421EE">
        <w:trPr>
          <w:jc w:val="center"/>
        </w:trPr>
        <w:tc>
          <w:tcPr>
            <w:tcW w:w="3114" w:type="dxa"/>
            <w:vAlign w:val="center"/>
            <w:hideMark/>
          </w:tcPr>
          <w:p w14:paraId="4E038D8E" w14:textId="77777777" w:rsidR="001D4F11" w:rsidRPr="00E30209" w:rsidRDefault="001D4F11" w:rsidP="003124ED">
            <w:pPr>
              <w:jc w:val="center"/>
              <w:rPr>
                <w:rFonts w:ascii="Times New Roman" w:hAnsi="Times New Roman" w:cs="Times New Roman"/>
                <w:b/>
                <w:sz w:val="24"/>
                <w:szCs w:val="24"/>
              </w:rPr>
            </w:pPr>
            <w:r w:rsidRPr="00E30209">
              <w:rPr>
                <w:rFonts w:ascii="Times New Roman" w:hAnsi="Times New Roman" w:cs="Times New Roman"/>
                <w:b/>
                <w:sz w:val="24"/>
                <w:szCs w:val="24"/>
              </w:rPr>
              <w:t>Укупно</w:t>
            </w:r>
          </w:p>
        </w:tc>
        <w:tc>
          <w:tcPr>
            <w:tcW w:w="1019" w:type="dxa"/>
            <w:tcBorders>
              <w:top w:val="single" w:sz="4" w:space="0" w:color="auto"/>
              <w:left w:val="nil"/>
              <w:bottom w:val="single" w:sz="4" w:space="0" w:color="auto"/>
              <w:right w:val="single" w:sz="4" w:space="0" w:color="auto"/>
            </w:tcBorders>
            <w:shd w:val="clear" w:color="auto" w:fill="auto"/>
            <w:vAlign w:val="center"/>
          </w:tcPr>
          <w:p w14:paraId="795A631D" w14:textId="77777777" w:rsidR="001D4F11" w:rsidRPr="00C84CD3" w:rsidRDefault="001D4F11" w:rsidP="003124ED">
            <w:pPr>
              <w:jc w:val="center"/>
              <w:rPr>
                <w:rFonts w:ascii="Times New Roman" w:hAnsi="Times New Roman" w:cs="Times New Roman"/>
                <w:b/>
                <w:sz w:val="24"/>
                <w:szCs w:val="24"/>
                <w:lang w:val="sr-Cyrl-CS"/>
              </w:rPr>
            </w:pPr>
            <w:r w:rsidRPr="00C84CD3">
              <w:rPr>
                <w:rFonts w:ascii="Times New Roman" w:hAnsi="Times New Roman" w:cs="Times New Roman"/>
                <w:b/>
                <w:sz w:val="24"/>
                <w:szCs w:val="24"/>
                <w:lang w:val="sr-Cyrl-CS"/>
              </w:rPr>
              <w:t>125.619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994A45" w14:textId="77777777" w:rsidR="001D4F11" w:rsidRPr="00C84CD3" w:rsidRDefault="001D4F11" w:rsidP="003124ED">
            <w:pPr>
              <w:jc w:val="center"/>
              <w:rPr>
                <w:rFonts w:ascii="Times New Roman" w:hAnsi="Times New Roman" w:cs="Times New Roman"/>
                <w:b/>
                <w:sz w:val="24"/>
                <w:szCs w:val="24"/>
                <w:lang w:val="sr-Cyrl-CS"/>
              </w:rPr>
            </w:pPr>
            <w:r w:rsidRPr="00C84CD3">
              <w:rPr>
                <w:rFonts w:ascii="Times New Roman" w:hAnsi="Times New Roman" w:cs="Times New Roman"/>
                <w:b/>
                <w:sz w:val="24"/>
                <w:szCs w:val="24"/>
                <w:lang w:val="sr-Cyrl-CS"/>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C300EC" w14:textId="77777777" w:rsidR="001D4F11" w:rsidRPr="00C84CD3" w:rsidRDefault="001D4F11" w:rsidP="003124ED">
            <w:pPr>
              <w:jc w:val="center"/>
              <w:rPr>
                <w:rFonts w:ascii="Times New Roman" w:hAnsi="Times New Roman" w:cs="Times New Roman"/>
                <w:b/>
                <w:sz w:val="24"/>
                <w:szCs w:val="24"/>
                <w:lang w:val="sr-Cyrl-CS"/>
              </w:rPr>
            </w:pPr>
            <w:r w:rsidRPr="00C84CD3">
              <w:rPr>
                <w:rFonts w:ascii="Times New Roman" w:hAnsi="Times New Roman" w:cs="Times New Roman"/>
                <w:b/>
                <w:sz w:val="24"/>
                <w:szCs w:val="24"/>
                <w:lang w:val="sr-Cyrl-CS"/>
              </w:rPr>
              <w:t>403.963.400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E073EFD" w14:textId="77777777" w:rsidR="001D4F11" w:rsidRPr="00C84CD3" w:rsidRDefault="001D4F11" w:rsidP="003124ED">
            <w:pPr>
              <w:jc w:val="center"/>
              <w:outlineLvl w:val="2"/>
              <w:rPr>
                <w:rFonts w:ascii="Times New Roman" w:hAnsi="Times New Roman" w:cs="Times New Roman"/>
                <w:b/>
                <w:sz w:val="24"/>
                <w:szCs w:val="24"/>
                <w:lang w:val="sr-Cyrl-CS"/>
              </w:rPr>
            </w:pPr>
            <w:r w:rsidRPr="00C84CD3">
              <w:rPr>
                <w:rFonts w:ascii="Times New Roman" w:hAnsi="Times New Roman" w:cs="Times New Roman"/>
                <w:b/>
                <w:sz w:val="24"/>
                <w:szCs w:val="24"/>
                <w:lang w:val="sr-Cyrl-CS"/>
              </w:rPr>
              <w:t>100</w:t>
            </w:r>
          </w:p>
        </w:tc>
        <w:tc>
          <w:tcPr>
            <w:tcW w:w="1104" w:type="dxa"/>
            <w:vAlign w:val="center"/>
          </w:tcPr>
          <w:p w14:paraId="27086746" w14:textId="77777777" w:rsidR="001D4F11" w:rsidRPr="00C84CD3" w:rsidRDefault="001D4F11" w:rsidP="003124ED">
            <w:pPr>
              <w:jc w:val="center"/>
              <w:rPr>
                <w:rFonts w:ascii="Times New Roman" w:hAnsi="Times New Roman" w:cs="Times New Roman"/>
                <w:b/>
                <w:bCs/>
              </w:rPr>
            </w:pPr>
            <w:r w:rsidRPr="00C84CD3">
              <w:rPr>
                <w:rFonts w:ascii="Times New Roman" w:hAnsi="Times New Roman" w:cs="Times New Roman"/>
                <w:b/>
                <w:bCs/>
              </w:rPr>
              <w:t>122</w:t>
            </w:r>
            <w:r>
              <w:rPr>
                <w:rFonts w:ascii="Times New Roman" w:hAnsi="Times New Roman" w:cs="Times New Roman"/>
                <w:b/>
                <w:bCs/>
                <w:lang w:val="en-US"/>
              </w:rPr>
              <w:t>.</w:t>
            </w:r>
            <w:r w:rsidRPr="00C84CD3">
              <w:rPr>
                <w:rFonts w:ascii="Times New Roman" w:hAnsi="Times New Roman" w:cs="Times New Roman"/>
                <w:b/>
                <w:bCs/>
              </w:rPr>
              <w:t>066</w:t>
            </w:r>
          </w:p>
        </w:tc>
        <w:tc>
          <w:tcPr>
            <w:tcW w:w="0" w:type="auto"/>
            <w:vAlign w:val="center"/>
          </w:tcPr>
          <w:p w14:paraId="086EA98C" w14:textId="77777777" w:rsidR="001D4F11" w:rsidRPr="00C84CD3" w:rsidRDefault="001D4F11" w:rsidP="003124ED">
            <w:pPr>
              <w:jc w:val="center"/>
              <w:rPr>
                <w:rFonts w:ascii="Times New Roman" w:hAnsi="Times New Roman" w:cs="Times New Roman"/>
                <w:b/>
              </w:rPr>
            </w:pPr>
            <w:r w:rsidRPr="00C84CD3">
              <w:rPr>
                <w:rFonts w:ascii="Times New Roman" w:hAnsi="Times New Roman" w:cs="Times New Roman"/>
                <w:b/>
              </w:rPr>
              <w:t>100</w:t>
            </w:r>
          </w:p>
        </w:tc>
        <w:tc>
          <w:tcPr>
            <w:tcW w:w="0" w:type="auto"/>
            <w:vAlign w:val="center"/>
          </w:tcPr>
          <w:p w14:paraId="186B0D6B" w14:textId="77777777" w:rsidR="001D4F11" w:rsidRPr="00C84CD3" w:rsidRDefault="001D4F11" w:rsidP="003124ED">
            <w:pPr>
              <w:jc w:val="center"/>
              <w:rPr>
                <w:rFonts w:ascii="Times New Roman" w:hAnsi="Times New Roman" w:cs="Times New Roman"/>
                <w:b/>
                <w:bCs/>
              </w:rPr>
            </w:pPr>
            <w:r w:rsidRPr="00C84CD3">
              <w:rPr>
                <w:rFonts w:ascii="Times New Roman" w:hAnsi="Times New Roman" w:cs="Times New Roman"/>
                <w:b/>
                <w:bCs/>
              </w:rPr>
              <w:t>440</w:t>
            </w:r>
            <w:r>
              <w:rPr>
                <w:rFonts w:ascii="Times New Roman" w:hAnsi="Times New Roman" w:cs="Times New Roman"/>
                <w:b/>
                <w:bCs/>
                <w:lang w:val="en-US"/>
              </w:rPr>
              <w:t>.</w:t>
            </w:r>
            <w:r w:rsidRPr="00C84CD3">
              <w:rPr>
                <w:rFonts w:ascii="Times New Roman" w:hAnsi="Times New Roman" w:cs="Times New Roman"/>
                <w:b/>
                <w:bCs/>
              </w:rPr>
              <w:t>522</w:t>
            </w:r>
            <w:r>
              <w:rPr>
                <w:rFonts w:ascii="Times New Roman" w:hAnsi="Times New Roman" w:cs="Times New Roman"/>
                <w:b/>
                <w:bCs/>
                <w:lang w:val="en-US"/>
              </w:rPr>
              <w:t>.</w:t>
            </w:r>
            <w:r w:rsidRPr="00C84CD3">
              <w:rPr>
                <w:rFonts w:ascii="Times New Roman" w:hAnsi="Times New Roman" w:cs="Times New Roman"/>
                <w:b/>
                <w:bCs/>
              </w:rPr>
              <w:t>211</w:t>
            </w:r>
          </w:p>
        </w:tc>
        <w:tc>
          <w:tcPr>
            <w:tcW w:w="656" w:type="dxa"/>
            <w:vAlign w:val="center"/>
          </w:tcPr>
          <w:p w14:paraId="5DEE8621" w14:textId="77777777" w:rsidR="001D4F11" w:rsidRPr="00C84CD3" w:rsidRDefault="001D4F11" w:rsidP="003124ED">
            <w:pPr>
              <w:jc w:val="center"/>
              <w:rPr>
                <w:rFonts w:ascii="Times New Roman" w:hAnsi="Times New Roman" w:cs="Times New Roman"/>
                <w:b/>
              </w:rPr>
            </w:pPr>
            <w:r w:rsidRPr="00C84CD3">
              <w:rPr>
                <w:rFonts w:ascii="Times New Roman" w:hAnsi="Times New Roman" w:cs="Times New Roman"/>
                <w:b/>
              </w:rPr>
              <w:t>100</w:t>
            </w:r>
          </w:p>
        </w:tc>
      </w:tr>
    </w:tbl>
    <w:p w14:paraId="061FE44F" w14:textId="77777777" w:rsidR="0030552D" w:rsidRDefault="0030552D" w:rsidP="0030552D">
      <w:pPr>
        <w:jc w:val="both"/>
        <w:rPr>
          <w:rFonts w:ascii="Times New Roman" w:hAnsi="Times New Roman" w:cs="Times New Roman"/>
          <w:sz w:val="24"/>
          <w:szCs w:val="24"/>
        </w:rPr>
      </w:pPr>
      <w:r>
        <w:rPr>
          <w:rFonts w:ascii="Times New Roman" w:hAnsi="Times New Roman" w:cs="Times New Roman"/>
          <w:sz w:val="24"/>
          <w:szCs w:val="24"/>
        </w:rPr>
        <w:t xml:space="preserve">      *В</w:t>
      </w:r>
      <w:r w:rsidRPr="005E5329">
        <w:rPr>
          <w:rFonts w:ascii="Times New Roman" w:hAnsi="Times New Roman" w:cs="Times New Roman"/>
          <w:sz w:val="24"/>
          <w:szCs w:val="24"/>
        </w:rPr>
        <w:t>редност</w:t>
      </w:r>
      <w:r>
        <w:rPr>
          <w:rFonts w:ascii="Times New Roman" w:hAnsi="Times New Roman" w:cs="Times New Roman"/>
          <w:sz w:val="24"/>
          <w:szCs w:val="24"/>
        </w:rPr>
        <w:t>и су изражене у хиљадама динара</w:t>
      </w:r>
    </w:p>
    <w:p w14:paraId="15A22F31" w14:textId="454930B2" w:rsidR="00FF3FA7" w:rsidRPr="003305E1" w:rsidRDefault="00DF0759" w:rsidP="0030552D">
      <w:pPr>
        <w:jc w:val="both"/>
        <w:rPr>
          <w:rFonts w:ascii="Calibri" w:eastAsia="Times New Roman" w:hAnsi="Calibri" w:cs="Calibri"/>
          <w:color w:val="000000"/>
          <w:lang w:val="sr-Cyrl-RS" w:eastAsia="sr-Cyrl-RS"/>
        </w:rPr>
      </w:pPr>
      <w:r w:rsidRPr="003258BC">
        <w:rPr>
          <w:rFonts w:ascii="Times New Roman" w:hAnsi="Times New Roman" w:cs="Times New Roman"/>
          <w:sz w:val="24"/>
          <w:szCs w:val="24"/>
          <w:lang w:val="sr-Cyrl-RS"/>
        </w:rPr>
        <w:t xml:space="preserve">Вредност јавних набавки </w:t>
      </w:r>
      <w:r w:rsidR="00936160">
        <w:rPr>
          <w:rFonts w:ascii="Times New Roman" w:hAnsi="Times New Roman" w:cs="Times New Roman"/>
          <w:sz w:val="24"/>
          <w:szCs w:val="24"/>
          <w:lang w:val="sr-Cyrl-RS"/>
        </w:rPr>
        <w:t>у</w:t>
      </w:r>
      <w:r w:rsidR="003305E1">
        <w:rPr>
          <w:rFonts w:ascii="Times New Roman" w:hAnsi="Times New Roman" w:cs="Times New Roman"/>
          <w:sz w:val="24"/>
          <w:szCs w:val="24"/>
          <w:lang w:val="sr-Latn-RS"/>
        </w:rPr>
        <w:t xml:space="preserve"> 2019</w:t>
      </w:r>
      <w:r w:rsidRPr="003258BC">
        <w:rPr>
          <w:rFonts w:ascii="Times New Roman" w:hAnsi="Times New Roman" w:cs="Times New Roman"/>
          <w:sz w:val="24"/>
          <w:szCs w:val="24"/>
          <w:lang w:val="sr-Latn-RS"/>
        </w:rPr>
        <w:t xml:space="preserve">. </w:t>
      </w:r>
      <w:r w:rsidRPr="003258BC">
        <w:rPr>
          <w:rFonts w:ascii="Times New Roman" w:hAnsi="Times New Roman" w:cs="Times New Roman"/>
          <w:sz w:val="24"/>
          <w:szCs w:val="24"/>
          <w:lang w:val="sr-Cyrl-CS"/>
        </w:rPr>
        <w:t>години знатно је порасла у од</w:t>
      </w:r>
      <w:r w:rsidR="00FF3FA7" w:rsidRPr="003258BC">
        <w:rPr>
          <w:rFonts w:ascii="Times New Roman" w:hAnsi="Times New Roman" w:cs="Times New Roman"/>
          <w:sz w:val="24"/>
          <w:szCs w:val="24"/>
          <w:lang w:val="sr-Cyrl-CS"/>
        </w:rPr>
        <w:t>носу на претходне године.</w:t>
      </w:r>
      <w:r w:rsidR="00004743" w:rsidRPr="003258BC">
        <w:rPr>
          <w:rFonts w:ascii="Times New Roman" w:hAnsi="Times New Roman" w:cs="Times New Roman"/>
          <w:sz w:val="24"/>
          <w:szCs w:val="24"/>
          <w:lang w:val="sr-Cyrl-CS"/>
        </w:rPr>
        <w:t xml:space="preserve"> </w:t>
      </w:r>
      <w:r w:rsidR="00FF3FA7" w:rsidRPr="003258BC">
        <w:rPr>
          <w:rFonts w:ascii="Times New Roman" w:hAnsi="Times New Roman" w:cs="Times New Roman"/>
          <w:sz w:val="24"/>
          <w:szCs w:val="24"/>
          <w:lang w:val="sr-Cyrl-CS"/>
        </w:rPr>
        <w:t>Највећи раст заб</w:t>
      </w:r>
      <w:r w:rsidR="003305E1">
        <w:rPr>
          <w:rFonts w:ascii="Times New Roman" w:hAnsi="Times New Roman" w:cs="Times New Roman"/>
          <w:sz w:val="24"/>
          <w:szCs w:val="24"/>
          <w:lang w:val="sr-Cyrl-CS"/>
        </w:rPr>
        <w:t>ележен је кад су у питању добра</w:t>
      </w:r>
      <w:r w:rsidR="00FF3FA7" w:rsidRPr="003258BC">
        <w:rPr>
          <w:rFonts w:ascii="Times New Roman" w:hAnsi="Times New Roman" w:cs="Times New Roman"/>
          <w:sz w:val="24"/>
          <w:szCs w:val="24"/>
          <w:lang w:val="sr-Cyrl-CS"/>
        </w:rPr>
        <w:t xml:space="preserve">, где је дошло до повећања вредности закључених уговора у износу од </w:t>
      </w:r>
      <w:r w:rsidR="003305E1" w:rsidRPr="003305E1">
        <w:rPr>
          <w:rFonts w:ascii="Times New Roman" w:eastAsia="Times New Roman" w:hAnsi="Times New Roman" w:cs="Times New Roman"/>
          <w:color w:val="000000"/>
          <w:sz w:val="24"/>
          <w:szCs w:val="24"/>
          <w:lang w:val="sr-Cyrl-RS" w:eastAsia="sr-Cyrl-RS"/>
        </w:rPr>
        <w:t>37.346.016</w:t>
      </w:r>
      <w:r w:rsidR="000B1315">
        <w:rPr>
          <w:rFonts w:ascii="Times New Roman" w:eastAsia="Times New Roman" w:hAnsi="Times New Roman" w:cs="Times New Roman"/>
          <w:color w:val="000000"/>
          <w:sz w:val="24"/>
          <w:szCs w:val="24"/>
          <w:lang w:val="en-GB" w:eastAsia="sr-Cyrl-RS"/>
        </w:rPr>
        <w:t>.000</w:t>
      </w:r>
      <w:r w:rsidR="003305E1">
        <w:rPr>
          <w:rFonts w:ascii="Calibri" w:eastAsia="Times New Roman" w:hAnsi="Calibri" w:cs="Calibri"/>
          <w:color w:val="000000"/>
          <w:lang w:val="sr-Cyrl-RS" w:eastAsia="sr-Cyrl-RS"/>
        </w:rPr>
        <w:t xml:space="preserve"> </w:t>
      </w:r>
      <w:r w:rsidR="00D8525A" w:rsidRPr="003258BC">
        <w:rPr>
          <w:rFonts w:ascii="Times New Roman" w:hAnsi="Times New Roman" w:cs="Times New Roman"/>
          <w:sz w:val="24"/>
          <w:szCs w:val="24"/>
          <w:lang w:val="sr-Cyrl-CS"/>
        </w:rPr>
        <w:t>динара</w:t>
      </w:r>
      <w:r w:rsidR="005127FC" w:rsidRPr="003258BC">
        <w:rPr>
          <w:rFonts w:ascii="Times New Roman" w:hAnsi="Times New Roman" w:cs="Times New Roman"/>
          <w:sz w:val="24"/>
          <w:szCs w:val="24"/>
          <w:lang w:val="sr-Latn-RS"/>
        </w:rPr>
        <w:t xml:space="preserve"> (</w:t>
      </w:r>
      <w:r w:rsidR="00936160">
        <w:rPr>
          <w:rFonts w:ascii="Times New Roman" w:hAnsi="Times New Roman" w:cs="Times New Roman"/>
          <w:sz w:val="24"/>
          <w:szCs w:val="24"/>
          <w:lang w:val="sr-Cyrl-CS"/>
        </w:rPr>
        <w:t>Т</w:t>
      </w:r>
      <w:r w:rsidR="003258BC">
        <w:rPr>
          <w:rFonts w:ascii="Times New Roman" w:hAnsi="Times New Roman" w:cs="Times New Roman"/>
          <w:sz w:val="24"/>
          <w:szCs w:val="24"/>
          <w:lang w:val="sr-Cyrl-CS"/>
        </w:rPr>
        <w:t xml:space="preserve">абела </w:t>
      </w:r>
      <w:r w:rsidR="005127FC" w:rsidRPr="003258BC">
        <w:rPr>
          <w:rFonts w:ascii="Times New Roman" w:hAnsi="Times New Roman" w:cs="Times New Roman"/>
          <w:sz w:val="24"/>
          <w:szCs w:val="24"/>
          <w:lang w:val="sr-Cyrl-CS"/>
        </w:rPr>
        <w:t>5)</w:t>
      </w:r>
      <w:r w:rsidR="00D8525A" w:rsidRPr="003258BC">
        <w:rPr>
          <w:rFonts w:ascii="Times New Roman" w:hAnsi="Times New Roman" w:cs="Times New Roman"/>
          <w:sz w:val="24"/>
          <w:szCs w:val="24"/>
          <w:lang w:val="sr-Cyrl-CS"/>
        </w:rPr>
        <w:t xml:space="preserve">. </w:t>
      </w:r>
    </w:p>
    <w:p w14:paraId="6CCAB3FC" w14:textId="3CDFE6FF" w:rsidR="00530EB3" w:rsidRPr="00062C44" w:rsidRDefault="00964A52" w:rsidP="0030552D">
      <w:pPr>
        <w:jc w:val="both"/>
        <w:rPr>
          <w:rFonts w:ascii="Times New Roman" w:hAnsi="Times New Roman" w:cs="Times New Roman"/>
          <w:b/>
          <w:sz w:val="24"/>
          <w:szCs w:val="24"/>
          <w:lang w:val="sr-Cyrl-CS"/>
        </w:rPr>
      </w:pPr>
      <w:r>
        <w:rPr>
          <w:rFonts w:ascii="Times New Roman" w:hAnsi="Times New Roman" w:cs="Times New Roman"/>
          <w:color w:val="FF0000"/>
          <w:sz w:val="24"/>
          <w:szCs w:val="24"/>
          <w:lang w:val="sr-Cyrl-CS"/>
        </w:rPr>
        <w:t xml:space="preserve">      </w:t>
      </w:r>
      <w:r w:rsidR="003305E1">
        <w:rPr>
          <w:rFonts w:ascii="Times New Roman" w:hAnsi="Times New Roman" w:cs="Times New Roman"/>
          <w:color w:val="FF0000"/>
          <w:sz w:val="24"/>
          <w:szCs w:val="24"/>
          <w:lang w:val="sr-Cyrl-CS"/>
        </w:rPr>
        <w:t xml:space="preserve">    </w:t>
      </w:r>
      <w:r w:rsidR="00C421EE">
        <w:rPr>
          <w:rFonts w:ascii="Times New Roman" w:hAnsi="Times New Roman" w:cs="Times New Roman"/>
          <w:color w:val="FF0000"/>
          <w:sz w:val="24"/>
          <w:szCs w:val="24"/>
          <w:lang w:val="en-US"/>
        </w:rPr>
        <w:t xml:space="preserve">    </w:t>
      </w:r>
      <w:r w:rsidR="003305E1">
        <w:rPr>
          <w:rFonts w:ascii="Times New Roman" w:hAnsi="Times New Roman" w:cs="Times New Roman"/>
          <w:color w:val="FF0000"/>
          <w:sz w:val="24"/>
          <w:szCs w:val="24"/>
          <w:lang w:val="sr-Cyrl-CS"/>
        </w:rPr>
        <w:t xml:space="preserve">   </w:t>
      </w:r>
      <w:r w:rsidRPr="00062C44">
        <w:rPr>
          <w:rFonts w:ascii="Times New Roman" w:hAnsi="Times New Roman" w:cs="Times New Roman"/>
          <w:b/>
          <w:sz w:val="24"/>
          <w:szCs w:val="24"/>
          <w:lang w:val="sr-Cyrl-CS"/>
        </w:rPr>
        <w:t>Табела 5</w:t>
      </w:r>
    </w:p>
    <w:tbl>
      <w:tblPr>
        <w:tblStyle w:val="TableGrid"/>
        <w:tblW w:w="0" w:type="auto"/>
        <w:jc w:val="center"/>
        <w:tblLook w:val="04A0" w:firstRow="1" w:lastRow="0" w:firstColumn="1" w:lastColumn="0" w:noHBand="0" w:noVBand="1"/>
      </w:tblPr>
      <w:tblGrid>
        <w:gridCol w:w="1225"/>
        <w:gridCol w:w="1121"/>
        <w:gridCol w:w="749"/>
        <w:gridCol w:w="1416"/>
        <w:gridCol w:w="749"/>
        <w:gridCol w:w="1121"/>
        <w:gridCol w:w="734"/>
        <w:gridCol w:w="1416"/>
        <w:gridCol w:w="734"/>
      </w:tblGrid>
      <w:tr w:rsidR="003305E1" w:rsidRPr="001648C1" w14:paraId="2CA3D2C4" w14:textId="77777777" w:rsidTr="003124ED">
        <w:trPr>
          <w:jc w:val="center"/>
        </w:trPr>
        <w:tc>
          <w:tcPr>
            <w:tcW w:w="1225" w:type="dxa"/>
            <w:vAlign w:val="center"/>
          </w:tcPr>
          <w:p w14:paraId="53163224" w14:textId="77777777" w:rsidR="003305E1" w:rsidRPr="00062C44" w:rsidRDefault="003305E1" w:rsidP="003124E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Година</w:t>
            </w:r>
          </w:p>
        </w:tc>
        <w:tc>
          <w:tcPr>
            <w:tcW w:w="4035" w:type="dxa"/>
            <w:gridSpan w:val="4"/>
            <w:vAlign w:val="center"/>
          </w:tcPr>
          <w:p w14:paraId="158E6F84" w14:textId="77777777" w:rsidR="003305E1" w:rsidRPr="00E002F0" w:rsidRDefault="003305E1" w:rsidP="003124ED">
            <w:pPr>
              <w:jc w:val="center"/>
              <w:rPr>
                <w:rFonts w:ascii="Times New Roman" w:hAnsi="Times New Roman" w:cs="Times New Roman"/>
                <w:b/>
                <w:sz w:val="24"/>
                <w:szCs w:val="24"/>
                <w:lang w:val="sr-Cyrl-RS"/>
              </w:rPr>
            </w:pPr>
            <w:r w:rsidRPr="00E002F0">
              <w:rPr>
                <w:rFonts w:ascii="Times New Roman" w:hAnsi="Times New Roman" w:cs="Times New Roman"/>
                <w:b/>
                <w:sz w:val="24"/>
                <w:szCs w:val="24"/>
              </w:rPr>
              <w:t>2018</w:t>
            </w:r>
            <w:r>
              <w:rPr>
                <w:rFonts w:ascii="Times New Roman" w:hAnsi="Times New Roman" w:cs="Times New Roman"/>
                <w:b/>
                <w:sz w:val="24"/>
                <w:szCs w:val="24"/>
                <w:lang w:val="en-US"/>
              </w:rPr>
              <w:t xml:space="preserve">. </w:t>
            </w:r>
            <w:r>
              <w:rPr>
                <w:rFonts w:ascii="Times New Roman" w:hAnsi="Times New Roman" w:cs="Times New Roman"/>
                <w:b/>
                <w:sz w:val="24"/>
                <w:szCs w:val="24"/>
                <w:lang w:val="sr-Cyrl-RS"/>
              </w:rPr>
              <w:t>година</w:t>
            </w:r>
          </w:p>
        </w:tc>
        <w:tc>
          <w:tcPr>
            <w:tcW w:w="3802" w:type="dxa"/>
            <w:gridSpan w:val="4"/>
            <w:vAlign w:val="center"/>
          </w:tcPr>
          <w:p w14:paraId="1458C5AA" w14:textId="77777777" w:rsidR="003305E1" w:rsidRPr="00E002F0" w:rsidRDefault="003305E1" w:rsidP="003124ED">
            <w:pPr>
              <w:jc w:val="center"/>
              <w:rPr>
                <w:rFonts w:ascii="Times New Roman" w:hAnsi="Times New Roman" w:cs="Times New Roman"/>
                <w:b/>
                <w:sz w:val="24"/>
                <w:szCs w:val="24"/>
                <w:lang w:val="sr-Cyrl-RS"/>
              </w:rPr>
            </w:pPr>
            <w:r w:rsidRPr="00E002F0">
              <w:rPr>
                <w:rFonts w:ascii="Times New Roman" w:hAnsi="Times New Roman" w:cs="Times New Roman"/>
                <w:b/>
                <w:sz w:val="24"/>
                <w:szCs w:val="24"/>
                <w:lang w:val="sr-Cyrl-RS"/>
              </w:rPr>
              <w:t>2019. година</w:t>
            </w:r>
          </w:p>
        </w:tc>
      </w:tr>
      <w:tr w:rsidR="003305E1" w:rsidRPr="001648C1" w14:paraId="57874339" w14:textId="77777777" w:rsidTr="003124ED">
        <w:trPr>
          <w:jc w:val="center"/>
        </w:trPr>
        <w:tc>
          <w:tcPr>
            <w:tcW w:w="1225" w:type="dxa"/>
            <w:vAlign w:val="center"/>
          </w:tcPr>
          <w:p w14:paraId="23D97209" w14:textId="77777777" w:rsidR="003305E1" w:rsidRPr="00FF5DE9" w:rsidRDefault="003305E1" w:rsidP="003124ED">
            <w:pPr>
              <w:jc w:val="center"/>
              <w:rPr>
                <w:rFonts w:ascii="Times New Roman" w:hAnsi="Times New Roman" w:cs="Times New Roman"/>
                <w:b/>
                <w:sz w:val="24"/>
                <w:szCs w:val="24"/>
                <w:lang w:val="sr-Cyrl-CS"/>
              </w:rPr>
            </w:pPr>
            <w:r w:rsidRPr="00FF5DE9">
              <w:rPr>
                <w:rFonts w:ascii="Times New Roman" w:hAnsi="Times New Roman" w:cs="Times New Roman"/>
                <w:b/>
                <w:sz w:val="24"/>
                <w:szCs w:val="24"/>
                <w:lang w:val="sr-Cyrl-CS"/>
              </w:rPr>
              <w:t>Врста предмета</w:t>
            </w:r>
          </w:p>
        </w:tc>
        <w:tc>
          <w:tcPr>
            <w:tcW w:w="1121" w:type="dxa"/>
            <w:vAlign w:val="center"/>
          </w:tcPr>
          <w:p w14:paraId="67F88C06" w14:textId="77777777" w:rsidR="003305E1" w:rsidRPr="00E002F0" w:rsidRDefault="003305E1" w:rsidP="003124ED">
            <w:pPr>
              <w:jc w:val="center"/>
              <w:rPr>
                <w:rFonts w:ascii="Times New Roman" w:hAnsi="Times New Roman" w:cs="Times New Roman"/>
                <w:b/>
                <w:sz w:val="24"/>
                <w:szCs w:val="24"/>
              </w:rPr>
            </w:pPr>
            <w:r w:rsidRPr="00E002F0">
              <w:rPr>
                <w:rFonts w:ascii="Times New Roman" w:hAnsi="Times New Roman" w:cs="Times New Roman"/>
                <w:b/>
                <w:sz w:val="24"/>
                <w:szCs w:val="24"/>
              </w:rPr>
              <w:t>Број набавки</w:t>
            </w:r>
          </w:p>
        </w:tc>
        <w:tc>
          <w:tcPr>
            <w:tcW w:w="749" w:type="dxa"/>
            <w:vAlign w:val="center"/>
          </w:tcPr>
          <w:p w14:paraId="4520AA54" w14:textId="77777777" w:rsidR="003305E1" w:rsidRPr="00E002F0" w:rsidRDefault="003305E1" w:rsidP="003124ED">
            <w:pPr>
              <w:jc w:val="center"/>
              <w:rPr>
                <w:rFonts w:ascii="Times New Roman" w:hAnsi="Times New Roman" w:cs="Times New Roman"/>
                <w:b/>
                <w:sz w:val="24"/>
                <w:szCs w:val="24"/>
              </w:rPr>
            </w:pPr>
            <w:r w:rsidRPr="00E002F0">
              <w:rPr>
                <w:rFonts w:ascii="Times New Roman" w:hAnsi="Times New Roman" w:cs="Times New Roman"/>
                <w:b/>
                <w:sz w:val="24"/>
                <w:szCs w:val="24"/>
              </w:rPr>
              <w:t>%</w:t>
            </w:r>
          </w:p>
        </w:tc>
        <w:tc>
          <w:tcPr>
            <w:tcW w:w="1416" w:type="dxa"/>
            <w:vAlign w:val="center"/>
          </w:tcPr>
          <w:p w14:paraId="113344CA" w14:textId="77777777" w:rsidR="003305E1" w:rsidRPr="00E002F0" w:rsidRDefault="003305E1" w:rsidP="003124ED">
            <w:pPr>
              <w:jc w:val="center"/>
              <w:rPr>
                <w:rFonts w:ascii="Times New Roman" w:hAnsi="Times New Roman" w:cs="Times New Roman"/>
                <w:b/>
                <w:sz w:val="24"/>
                <w:szCs w:val="24"/>
              </w:rPr>
            </w:pPr>
            <w:r w:rsidRPr="00E002F0">
              <w:rPr>
                <w:rFonts w:ascii="Times New Roman" w:hAnsi="Times New Roman" w:cs="Times New Roman"/>
                <w:b/>
                <w:sz w:val="24"/>
                <w:szCs w:val="24"/>
              </w:rPr>
              <w:t>Вредност набавки</w:t>
            </w:r>
          </w:p>
        </w:tc>
        <w:tc>
          <w:tcPr>
            <w:tcW w:w="749" w:type="dxa"/>
            <w:vAlign w:val="center"/>
          </w:tcPr>
          <w:p w14:paraId="76E2BEEA"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w:t>
            </w:r>
          </w:p>
        </w:tc>
        <w:tc>
          <w:tcPr>
            <w:tcW w:w="1035" w:type="dxa"/>
            <w:vAlign w:val="center"/>
          </w:tcPr>
          <w:p w14:paraId="73C3066C" w14:textId="77777777" w:rsidR="003305E1" w:rsidRPr="00E002F0" w:rsidRDefault="003305E1" w:rsidP="003124ED">
            <w:pPr>
              <w:jc w:val="center"/>
              <w:rPr>
                <w:rFonts w:ascii="Times New Roman" w:hAnsi="Times New Roman" w:cs="Times New Roman"/>
                <w:b/>
                <w:sz w:val="24"/>
                <w:szCs w:val="24"/>
              </w:rPr>
            </w:pPr>
            <w:r w:rsidRPr="00E002F0">
              <w:rPr>
                <w:rFonts w:ascii="Times New Roman" w:hAnsi="Times New Roman" w:cs="Times New Roman"/>
                <w:b/>
                <w:sz w:val="24"/>
                <w:szCs w:val="24"/>
              </w:rPr>
              <w:t>Број набавки</w:t>
            </w:r>
          </w:p>
        </w:tc>
        <w:tc>
          <w:tcPr>
            <w:tcW w:w="734" w:type="dxa"/>
            <w:vAlign w:val="center"/>
          </w:tcPr>
          <w:p w14:paraId="1BDA6156" w14:textId="77777777" w:rsidR="003305E1" w:rsidRPr="00E002F0" w:rsidRDefault="003305E1" w:rsidP="003124ED">
            <w:pPr>
              <w:jc w:val="center"/>
              <w:rPr>
                <w:rFonts w:ascii="Times New Roman" w:hAnsi="Times New Roman" w:cs="Times New Roman"/>
                <w:b/>
                <w:sz w:val="24"/>
                <w:szCs w:val="24"/>
              </w:rPr>
            </w:pPr>
            <w:r w:rsidRPr="00E002F0">
              <w:rPr>
                <w:rFonts w:ascii="Times New Roman" w:hAnsi="Times New Roman" w:cs="Times New Roman"/>
                <w:b/>
                <w:sz w:val="24"/>
                <w:szCs w:val="24"/>
              </w:rPr>
              <w:t>%</w:t>
            </w:r>
          </w:p>
        </w:tc>
        <w:tc>
          <w:tcPr>
            <w:tcW w:w="1299" w:type="dxa"/>
            <w:vAlign w:val="center"/>
          </w:tcPr>
          <w:p w14:paraId="23D4DCB6" w14:textId="77777777" w:rsidR="003305E1" w:rsidRPr="00E002F0" w:rsidRDefault="003305E1" w:rsidP="003124ED">
            <w:pPr>
              <w:jc w:val="center"/>
              <w:rPr>
                <w:rFonts w:ascii="Times New Roman" w:hAnsi="Times New Roman" w:cs="Times New Roman"/>
                <w:b/>
                <w:sz w:val="24"/>
                <w:szCs w:val="24"/>
              </w:rPr>
            </w:pPr>
            <w:r w:rsidRPr="00E002F0">
              <w:rPr>
                <w:rFonts w:ascii="Times New Roman" w:hAnsi="Times New Roman" w:cs="Times New Roman"/>
                <w:b/>
                <w:sz w:val="24"/>
                <w:szCs w:val="24"/>
              </w:rPr>
              <w:t>Вредност набавки</w:t>
            </w:r>
          </w:p>
        </w:tc>
        <w:tc>
          <w:tcPr>
            <w:tcW w:w="734" w:type="dxa"/>
            <w:vAlign w:val="center"/>
          </w:tcPr>
          <w:p w14:paraId="3823FBFF" w14:textId="77777777" w:rsidR="003305E1" w:rsidRPr="00E002F0" w:rsidRDefault="003305E1" w:rsidP="003124ED">
            <w:pPr>
              <w:jc w:val="center"/>
              <w:rPr>
                <w:rFonts w:ascii="Times New Roman" w:hAnsi="Times New Roman" w:cs="Times New Roman"/>
                <w:b/>
                <w:sz w:val="24"/>
                <w:szCs w:val="24"/>
              </w:rPr>
            </w:pPr>
            <w:r w:rsidRPr="00E002F0">
              <w:rPr>
                <w:rFonts w:ascii="Times New Roman" w:hAnsi="Times New Roman" w:cs="Times New Roman"/>
                <w:b/>
                <w:sz w:val="24"/>
                <w:szCs w:val="24"/>
              </w:rPr>
              <w:t>%</w:t>
            </w:r>
          </w:p>
        </w:tc>
      </w:tr>
      <w:tr w:rsidR="003305E1" w:rsidRPr="001648C1" w14:paraId="7DE4312D" w14:textId="77777777" w:rsidTr="003124ED">
        <w:trPr>
          <w:jc w:val="center"/>
        </w:trPr>
        <w:tc>
          <w:tcPr>
            <w:tcW w:w="1225" w:type="dxa"/>
            <w:vAlign w:val="center"/>
          </w:tcPr>
          <w:p w14:paraId="7B2AB686" w14:textId="77777777" w:rsidR="003305E1" w:rsidRPr="00FF5DE9" w:rsidRDefault="003305E1" w:rsidP="003124ED">
            <w:pPr>
              <w:jc w:val="center"/>
              <w:rPr>
                <w:rFonts w:ascii="Times New Roman" w:hAnsi="Times New Roman" w:cs="Times New Roman"/>
                <w:b/>
                <w:sz w:val="24"/>
                <w:szCs w:val="24"/>
                <w:lang w:val="sr-Cyrl-CS"/>
              </w:rPr>
            </w:pPr>
            <w:r w:rsidRPr="00FF5DE9">
              <w:rPr>
                <w:rFonts w:ascii="Times New Roman" w:hAnsi="Times New Roman" w:cs="Times New Roman"/>
                <w:b/>
                <w:sz w:val="24"/>
                <w:szCs w:val="24"/>
                <w:lang w:val="sr-Cyrl-CS"/>
              </w:rPr>
              <w:t>Добра</w:t>
            </w:r>
          </w:p>
        </w:tc>
        <w:tc>
          <w:tcPr>
            <w:tcW w:w="1121" w:type="dxa"/>
            <w:vAlign w:val="center"/>
          </w:tcPr>
          <w:p w14:paraId="30A92433"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75.959</w:t>
            </w:r>
          </w:p>
        </w:tc>
        <w:tc>
          <w:tcPr>
            <w:tcW w:w="749" w:type="dxa"/>
            <w:vAlign w:val="center"/>
          </w:tcPr>
          <w:p w14:paraId="63DE7332"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61</w:t>
            </w:r>
          </w:p>
        </w:tc>
        <w:tc>
          <w:tcPr>
            <w:tcW w:w="1416" w:type="dxa"/>
            <w:vAlign w:val="center"/>
          </w:tcPr>
          <w:p w14:paraId="67F6279E"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198.821.634</w:t>
            </w:r>
          </w:p>
        </w:tc>
        <w:tc>
          <w:tcPr>
            <w:tcW w:w="749" w:type="dxa"/>
            <w:vAlign w:val="center"/>
          </w:tcPr>
          <w:p w14:paraId="695ACC29"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49</w:t>
            </w:r>
          </w:p>
        </w:tc>
        <w:tc>
          <w:tcPr>
            <w:tcW w:w="1035" w:type="dxa"/>
            <w:vAlign w:val="center"/>
          </w:tcPr>
          <w:p w14:paraId="5B573315" w14:textId="77777777" w:rsidR="003305E1" w:rsidRPr="00E002F0" w:rsidRDefault="003305E1" w:rsidP="003124ED">
            <w:pPr>
              <w:jc w:val="center"/>
              <w:rPr>
                <w:rFonts w:ascii="Times New Roman" w:hAnsi="Times New Roman" w:cs="Times New Roman"/>
                <w:sz w:val="24"/>
                <w:szCs w:val="24"/>
                <w:lang w:val="sr-Cyrl-RS"/>
              </w:rPr>
            </w:pPr>
            <w:r w:rsidRPr="00E002F0">
              <w:rPr>
                <w:rFonts w:ascii="Times New Roman" w:hAnsi="Times New Roman" w:cs="Times New Roman"/>
                <w:sz w:val="24"/>
                <w:szCs w:val="24"/>
                <w:lang w:val="sr-Cyrl-RS"/>
              </w:rPr>
              <w:t>79.286</w:t>
            </w:r>
          </w:p>
        </w:tc>
        <w:tc>
          <w:tcPr>
            <w:tcW w:w="734" w:type="dxa"/>
            <w:vAlign w:val="center"/>
          </w:tcPr>
          <w:p w14:paraId="3B4FA5F0"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65</w:t>
            </w:r>
          </w:p>
        </w:tc>
        <w:tc>
          <w:tcPr>
            <w:tcW w:w="1299" w:type="dxa"/>
            <w:vAlign w:val="center"/>
          </w:tcPr>
          <w:p w14:paraId="799DC4F2"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236.167.650</w:t>
            </w:r>
          </w:p>
        </w:tc>
        <w:tc>
          <w:tcPr>
            <w:tcW w:w="734" w:type="dxa"/>
            <w:vAlign w:val="center"/>
          </w:tcPr>
          <w:p w14:paraId="3499732C"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53</w:t>
            </w:r>
          </w:p>
        </w:tc>
      </w:tr>
      <w:tr w:rsidR="003305E1" w:rsidRPr="001648C1" w14:paraId="0B222337" w14:textId="77777777" w:rsidTr="003124ED">
        <w:trPr>
          <w:jc w:val="center"/>
        </w:trPr>
        <w:tc>
          <w:tcPr>
            <w:tcW w:w="1225" w:type="dxa"/>
            <w:vAlign w:val="center"/>
          </w:tcPr>
          <w:p w14:paraId="363F9584" w14:textId="77777777" w:rsidR="003305E1" w:rsidRPr="00FF5DE9" w:rsidRDefault="003305E1" w:rsidP="003124ED">
            <w:pPr>
              <w:jc w:val="center"/>
              <w:rPr>
                <w:rFonts w:ascii="Times New Roman" w:hAnsi="Times New Roman" w:cs="Times New Roman"/>
                <w:b/>
                <w:sz w:val="24"/>
                <w:szCs w:val="24"/>
                <w:lang w:val="sr-Cyrl-CS"/>
              </w:rPr>
            </w:pPr>
            <w:r w:rsidRPr="00FF5DE9">
              <w:rPr>
                <w:rFonts w:ascii="Times New Roman" w:hAnsi="Times New Roman" w:cs="Times New Roman"/>
                <w:b/>
                <w:sz w:val="24"/>
                <w:szCs w:val="24"/>
                <w:lang w:val="sr-Cyrl-CS"/>
              </w:rPr>
              <w:t>Услуге</w:t>
            </w:r>
          </w:p>
        </w:tc>
        <w:tc>
          <w:tcPr>
            <w:tcW w:w="1121" w:type="dxa"/>
            <w:vAlign w:val="center"/>
          </w:tcPr>
          <w:p w14:paraId="4057C0B2"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38.109</w:t>
            </w:r>
          </w:p>
        </w:tc>
        <w:tc>
          <w:tcPr>
            <w:tcW w:w="749" w:type="dxa"/>
            <w:vAlign w:val="center"/>
          </w:tcPr>
          <w:p w14:paraId="01883B0B"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30</w:t>
            </w:r>
          </w:p>
        </w:tc>
        <w:tc>
          <w:tcPr>
            <w:tcW w:w="1416" w:type="dxa"/>
            <w:vAlign w:val="center"/>
          </w:tcPr>
          <w:p w14:paraId="624DC852"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92.579.996</w:t>
            </w:r>
          </w:p>
        </w:tc>
        <w:tc>
          <w:tcPr>
            <w:tcW w:w="749" w:type="dxa"/>
            <w:vAlign w:val="center"/>
          </w:tcPr>
          <w:p w14:paraId="5D0ADBE3"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23</w:t>
            </w:r>
          </w:p>
        </w:tc>
        <w:tc>
          <w:tcPr>
            <w:tcW w:w="1035" w:type="dxa"/>
            <w:vAlign w:val="center"/>
          </w:tcPr>
          <w:p w14:paraId="04A28090"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34.340</w:t>
            </w:r>
          </w:p>
        </w:tc>
        <w:tc>
          <w:tcPr>
            <w:tcW w:w="734" w:type="dxa"/>
            <w:vAlign w:val="center"/>
          </w:tcPr>
          <w:p w14:paraId="692AD9C5"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28</w:t>
            </w:r>
          </w:p>
        </w:tc>
        <w:tc>
          <w:tcPr>
            <w:tcW w:w="1299" w:type="dxa"/>
            <w:vAlign w:val="center"/>
          </w:tcPr>
          <w:p w14:paraId="2BF14305"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95.665.912</w:t>
            </w:r>
          </w:p>
        </w:tc>
        <w:tc>
          <w:tcPr>
            <w:tcW w:w="734" w:type="dxa"/>
            <w:vAlign w:val="center"/>
          </w:tcPr>
          <w:p w14:paraId="61A4D23C"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22</w:t>
            </w:r>
          </w:p>
        </w:tc>
      </w:tr>
      <w:tr w:rsidR="003305E1" w:rsidRPr="001648C1" w14:paraId="7D6E271D" w14:textId="77777777" w:rsidTr="003124ED">
        <w:trPr>
          <w:jc w:val="center"/>
        </w:trPr>
        <w:tc>
          <w:tcPr>
            <w:tcW w:w="1225" w:type="dxa"/>
            <w:vAlign w:val="center"/>
          </w:tcPr>
          <w:p w14:paraId="37AD992C" w14:textId="77777777" w:rsidR="003305E1" w:rsidRPr="00FF5DE9" w:rsidRDefault="003305E1" w:rsidP="003124ED">
            <w:pPr>
              <w:jc w:val="center"/>
              <w:rPr>
                <w:rFonts w:ascii="Times New Roman" w:hAnsi="Times New Roman" w:cs="Times New Roman"/>
                <w:b/>
                <w:sz w:val="24"/>
                <w:szCs w:val="24"/>
                <w:lang w:val="sr-Cyrl-CS"/>
              </w:rPr>
            </w:pPr>
            <w:r w:rsidRPr="00FF5DE9">
              <w:rPr>
                <w:rFonts w:ascii="Times New Roman" w:hAnsi="Times New Roman" w:cs="Times New Roman"/>
                <w:b/>
                <w:sz w:val="24"/>
                <w:szCs w:val="24"/>
                <w:lang w:val="sr-Cyrl-CS"/>
              </w:rPr>
              <w:t>Радови</w:t>
            </w:r>
          </w:p>
        </w:tc>
        <w:tc>
          <w:tcPr>
            <w:tcW w:w="1121" w:type="dxa"/>
            <w:vAlign w:val="center"/>
          </w:tcPr>
          <w:p w14:paraId="19D9FC90"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11.551</w:t>
            </w:r>
          </w:p>
        </w:tc>
        <w:tc>
          <w:tcPr>
            <w:tcW w:w="749" w:type="dxa"/>
            <w:vAlign w:val="center"/>
          </w:tcPr>
          <w:p w14:paraId="5ABAD00A"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9</w:t>
            </w:r>
          </w:p>
        </w:tc>
        <w:tc>
          <w:tcPr>
            <w:tcW w:w="1416" w:type="dxa"/>
            <w:vAlign w:val="center"/>
          </w:tcPr>
          <w:p w14:paraId="4BCC0485"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112.561.770</w:t>
            </w:r>
          </w:p>
        </w:tc>
        <w:tc>
          <w:tcPr>
            <w:tcW w:w="749" w:type="dxa"/>
            <w:vAlign w:val="center"/>
          </w:tcPr>
          <w:p w14:paraId="6CD649F1" w14:textId="77777777" w:rsidR="003305E1" w:rsidRPr="00E002F0" w:rsidRDefault="003305E1" w:rsidP="003124ED">
            <w:pPr>
              <w:jc w:val="center"/>
              <w:rPr>
                <w:rFonts w:ascii="Times New Roman" w:hAnsi="Times New Roman" w:cs="Times New Roman"/>
                <w:sz w:val="24"/>
                <w:szCs w:val="24"/>
              </w:rPr>
            </w:pPr>
            <w:r w:rsidRPr="00E002F0">
              <w:rPr>
                <w:rFonts w:ascii="Times New Roman" w:hAnsi="Times New Roman" w:cs="Times New Roman"/>
                <w:sz w:val="24"/>
                <w:szCs w:val="24"/>
              </w:rPr>
              <w:t>28</w:t>
            </w:r>
          </w:p>
        </w:tc>
        <w:tc>
          <w:tcPr>
            <w:tcW w:w="1035" w:type="dxa"/>
            <w:vAlign w:val="center"/>
          </w:tcPr>
          <w:p w14:paraId="73DF8468"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8.440</w:t>
            </w:r>
          </w:p>
        </w:tc>
        <w:tc>
          <w:tcPr>
            <w:tcW w:w="734" w:type="dxa"/>
            <w:vAlign w:val="center"/>
          </w:tcPr>
          <w:p w14:paraId="60E76C4F"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1299" w:type="dxa"/>
            <w:vAlign w:val="center"/>
          </w:tcPr>
          <w:p w14:paraId="29330D82"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108.688.649</w:t>
            </w:r>
          </w:p>
        </w:tc>
        <w:tc>
          <w:tcPr>
            <w:tcW w:w="734" w:type="dxa"/>
            <w:vAlign w:val="center"/>
          </w:tcPr>
          <w:p w14:paraId="269A02E7" w14:textId="77777777" w:rsidR="003305E1" w:rsidRPr="00FD6DD8" w:rsidRDefault="003305E1" w:rsidP="00312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3305E1" w:rsidRPr="001648C1" w14:paraId="42C05D4F" w14:textId="77777777" w:rsidTr="003124ED">
        <w:trPr>
          <w:jc w:val="center"/>
        </w:trPr>
        <w:tc>
          <w:tcPr>
            <w:tcW w:w="1225" w:type="dxa"/>
            <w:vAlign w:val="center"/>
          </w:tcPr>
          <w:p w14:paraId="05DF8384" w14:textId="77777777" w:rsidR="003305E1" w:rsidRPr="00936160" w:rsidRDefault="003305E1" w:rsidP="003124ED">
            <w:pPr>
              <w:jc w:val="center"/>
              <w:rPr>
                <w:rFonts w:ascii="Times New Roman" w:hAnsi="Times New Roman" w:cs="Times New Roman"/>
                <w:b/>
                <w:sz w:val="24"/>
                <w:szCs w:val="24"/>
                <w:lang w:val="sr-Cyrl-CS"/>
              </w:rPr>
            </w:pPr>
            <w:r w:rsidRPr="00936160">
              <w:rPr>
                <w:rFonts w:ascii="Times New Roman" w:hAnsi="Times New Roman" w:cs="Times New Roman"/>
                <w:b/>
                <w:sz w:val="24"/>
                <w:szCs w:val="24"/>
                <w:lang w:val="sr-Cyrl-CS"/>
              </w:rPr>
              <w:t>Укупно</w:t>
            </w:r>
          </w:p>
        </w:tc>
        <w:tc>
          <w:tcPr>
            <w:tcW w:w="1121" w:type="dxa"/>
            <w:vAlign w:val="center"/>
          </w:tcPr>
          <w:p w14:paraId="6AC51BB8" w14:textId="77777777" w:rsidR="003305E1" w:rsidRPr="00936160" w:rsidRDefault="003305E1" w:rsidP="003124ED">
            <w:pPr>
              <w:jc w:val="center"/>
              <w:rPr>
                <w:rFonts w:ascii="Times New Roman" w:hAnsi="Times New Roman" w:cs="Times New Roman"/>
                <w:b/>
                <w:sz w:val="24"/>
                <w:szCs w:val="24"/>
              </w:rPr>
            </w:pPr>
            <w:r w:rsidRPr="00936160">
              <w:rPr>
                <w:rFonts w:ascii="Times New Roman" w:hAnsi="Times New Roman" w:cs="Times New Roman"/>
                <w:b/>
                <w:sz w:val="24"/>
                <w:szCs w:val="24"/>
              </w:rPr>
              <w:t>125.619</w:t>
            </w:r>
          </w:p>
        </w:tc>
        <w:tc>
          <w:tcPr>
            <w:tcW w:w="749" w:type="dxa"/>
            <w:vAlign w:val="center"/>
          </w:tcPr>
          <w:p w14:paraId="26C54799" w14:textId="77777777" w:rsidR="003305E1" w:rsidRPr="00936160" w:rsidRDefault="003305E1" w:rsidP="003124ED">
            <w:pPr>
              <w:jc w:val="center"/>
              <w:rPr>
                <w:rFonts w:ascii="Times New Roman" w:hAnsi="Times New Roman" w:cs="Times New Roman"/>
                <w:b/>
                <w:sz w:val="24"/>
                <w:szCs w:val="24"/>
              </w:rPr>
            </w:pPr>
            <w:r w:rsidRPr="00936160">
              <w:rPr>
                <w:rFonts w:ascii="Times New Roman" w:hAnsi="Times New Roman" w:cs="Times New Roman"/>
                <w:b/>
                <w:sz w:val="24"/>
                <w:szCs w:val="24"/>
              </w:rPr>
              <w:t>100</w:t>
            </w:r>
          </w:p>
        </w:tc>
        <w:tc>
          <w:tcPr>
            <w:tcW w:w="1416" w:type="dxa"/>
            <w:vAlign w:val="center"/>
          </w:tcPr>
          <w:p w14:paraId="795885D4" w14:textId="77777777" w:rsidR="003305E1" w:rsidRPr="00936160" w:rsidRDefault="003305E1" w:rsidP="003124ED">
            <w:pPr>
              <w:jc w:val="center"/>
              <w:rPr>
                <w:rFonts w:ascii="Times New Roman" w:hAnsi="Times New Roman" w:cs="Times New Roman"/>
                <w:b/>
                <w:sz w:val="24"/>
                <w:szCs w:val="24"/>
              </w:rPr>
            </w:pPr>
            <w:r w:rsidRPr="00936160">
              <w:rPr>
                <w:rFonts w:ascii="Times New Roman" w:hAnsi="Times New Roman" w:cs="Times New Roman"/>
                <w:b/>
                <w:sz w:val="24"/>
                <w:szCs w:val="24"/>
              </w:rPr>
              <w:t>403.963.400</w:t>
            </w:r>
          </w:p>
        </w:tc>
        <w:tc>
          <w:tcPr>
            <w:tcW w:w="749" w:type="dxa"/>
            <w:vAlign w:val="center"/>
          </w:tcPr>
          <w:p w14:paraId="541320A2" w14:textId="77777777" w:rsidR="003305E1" w:rsidRPr="00936160" w:rsidRDefault="003305E1" w:rsidP="003124ED">
            <w:pPr>
              <w:jc w:val="center"/>
              <w:rPr>
                <w:rFonts w:ascii="Times New Roman" w:hAnsi="Times New Roman" w:cs="Times New Roman"/>
                <w:b/>
                <w:sz w:val="24"/>
                <w:szCs w:val="24"/>
              </w:rPr>
            </w:pPr>
            <w:r w:rsidRPr="00936160">
              <w:rPr>
                <w:rFonts w:ascii="Times New Roman" w:hAnsi="Times New Roman" w:cs="Times New Roman"/>
                <w:b/>
                <w:sz w:val="24"/>
                <w:szCs w:val="24"/>
              </w:rPr>
              <w:t>100</w:t>
            </w:r>
          </w:p>
        </w:tc>
        <w:tc>
          <w:tcPr>
            <w:tcW w:w="1035" w:type="dxa"/>
            <w:vAlign w:val="center"/>
          </w:tcPr>
          <w:p w14:paraId="7CD7C230" w14:textId="77777777" w:rsidR="003305E1" w:rsidRPr="00936160" w:rsidRDefault="003305E1" w:rsidP="003124ED">
            <w:pPr>
              <w:jc w:val="center"/>
              <w:rPr>
                <w:rFonts w:ascii="Times New Roman" w:hAnsi="Times New Roman" w:cs="Times New Roman"/>
                <w:b/>
                <w:sz w:val="24"/>
                <w:szCs w:val="24"/>
                <w:lang w:val="sr-Cyrl-RS"/>
              </w:rPr>
            </w:pPr>
            <w:r w:rsidRPr="00936160">
              <w:rPr>
                <w:rFonts w:ascii="Times New Roman" w:hAnsi="Times New Roman" w:cs="Times New Roman"/>
                <w:b/>
                <w:sz w:val="24"/>
                <w:szCs w:val="24"/>
                <w:lang w:val="sr-Cyrl-RS"/>
              </w:rPr>
              <w:t>122.066</w:t>
            </w:r>
          </w:p>
        </w:tc>
        <w:tc>
          <w:tcPr>
            <w:tcW w:w="734" w:type="dxa"/>
            <w:vAlign w:val="center"/>
          </w:tcPr>
          <w:p w14:paraId="7C419562" w14:textId="77777777" w:rsidR="003305E1" w:rsidRPr="00936160" w:rsidRDefault="003305E1" w:rsidP="003124ED">
            <w:pPr>
              <w:jc w:val="center"/>
              <w:rPr>
                <w:rFonts w:ascii="Times New Roman" w:hAnsi="Times New Roman" w:cs="Times New Roman"/>
                <w:b/>
                <w:sz w:val="24"/>
                <w:szCs w:val="24"/>
                <w:lang w:val="sr-Cyrl-RS"/>
              </w:rPr>
            </w:pPr>
            <w:r w:rsidRPr="00936160">
              <w:rPr>
                <w:rFonts w:ascii="Times New Roman" w:hAnsi="Times New Roman" w:cs="Times New Roman"/>
                <w:b/>
                <w:sz w:val="24"/>
                <w:szCs w:val="24"/>
                <w:lang w:val="sr-Cyrl-RS"/>
              </w:rPr>
              <w:t>100</w:t>
            </w:r>
          </w:p>
        </w:tc>
        <w:tc>
          <w:tcPr>
            <w:tcW w:w="1299" w:type="dxa"/>
            <w:vAlign w:val="center"/>
          </w:tcPr>
          <w:p w14:paraId="7B0CCACE" w14:textId="77777777" w:rsidR="003305E1" w:rsidRPr="00936160" w:rsidRDefault="003305E1" w:rsidP="003124ED">
            <w:pPr>
              <w:jc w:val="center"/>
              <w:rPr>
                <w:rFonts w:ascii="Times New Roman" w:hAnsi="Times New Roman" w:cs="Times New Roman"/>
                <w:b/>
                <w:sz w:val="24"/>
                <w:szCs w:val="24"/>
                <w:lang w:val="sr-Cyrl-RS"/>
              </w:rPr>
            </w:pPr>
            <w:r w:rsidRPr="00936160">
              <w:rPr>
                <w:rFonts w:ascii="Times New Roman" w:hAnsi="Times New Roman" w:cs="Times New Roman"/>
                <w:b/>
                <w:sz w:val="24"/>
                <w:szCs w:val="24"/>
                <w:lang w:val="sr-Cyrl-RS"/>
              </w:rPr>
              <w:t>440.522.211</w:t>
            </w:r>
          </w:p>
        </w:tc>
        <w:tc>
          <w:tcPr>
            <w:tcW w:w="734" w:type="dxa"/>
            <w:vAlign w:val="center"/>
          </w:tcPr>
          <w:p w14:paraId="34CD4AEE" w14:textId="77777777" w:rsidR="003305E1" w:rsidRPr="00936160" w:rsidRDefault="003305E1" w:rsidP="003124ED">
            <w:pPr>
              <w:jc w:val="center"/>
              <w:rPr>
                <w:rFonts w:ascii="Times New Roman" w:hAnsi="Times New Roman" w:cs="Times New Roman"/>
                <w:b/>
                <w:sz w:val="24"/>
                <w:szCs w:val="24"/>
                <w:lang w:val="sr-Cyrl-RS"/>
              </w:rPr>
            </w:pPr>
            <w:r w:rsidRPr="00936160">
              <w:rPr>
                <w:rFonts w:ascii="Times New Roman" w:hAnsi="Times New Roman" w:cs="Times New Roman"/>
                <w:b/>
                <w:sz w:val="24"/>
                <w:szCs w:val="24"/>
                <w:lang w:val="sr-Cyrl-RS"/>
              </w:rPr>
              <w:t>100</w:t>
            </w:r>
          </w:p>
        </w:tc>
      </w:tr>
    </w:tbl>
    <w:p w14:paraId="1D73884E" w14:textId="71D2018C" w:rsidR="000B7F63" w:rsidRPr="00CD6B87" w:rsidRDefault="00DF06BE" w:rsidP="00CD6B87">
      <w:pPr>
        <w:ind w:left="78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6B87">
        <w:rPr>
          <w:rFonts w:ascii="Times New Roman" w:hAnsi="Times New Roman" w:cs="Times New Roman"/>
          <w:sz w:val="24"/>
          <w:szCs w:val="24"/>
          <w:lang w:val="sr-Cyrl-CS"/>
        </w:rPr>
        <w:t>*</w:t>
      </w:r>
      <w:r w:rsidR="00C421EE">
        <w:rPr>
          <w:rFonts w:ascii="Times New Roman" w:hAnsi="Times New Roman" w:cs="Times New Roman"/>
          <w:sz w:val="24"/>
          <w:szCs w:val="24"/>
          <w:lang w:val="sr-Cyrl-RS"/>
        </w:rPr>
        <w:t>В</w:t>
      </w:r>
      <w:r w:rsidR="00CD6B87" w:rsidRPr="00C421EE">
        <w:rPr>
          <w:rFonts w:ascii="Times New Roman" w:hAnsi="Times New Roman" w:cs="Times New Roman"/>
          <w:sz w:val="24"/>
          <w:szCs w:val="24"/>
          <w:lang w:val="sr-Cyrl-CS"/>
        </w:rPr>
        <w:t>редности су изражене у хиљадама динара</w:t>
      </w:r>
    </w:p>
    <w:p w14:paraId="4B4C4685" w14:textId="671A3C72" w:rsidR="00CD6B87" w:rsidRDefault="00CD6B87" w:rsidP="0030552D">
      <w:pPr>
        <w:jc w:val="both"/>
        <w:rPr>
          <w:rFonts w:ascii="Times New Roman" w:hAnsi="Times New Roman" w:cs="Times New Roman"/>
          <w:sz w:val="24"/>
          <w:szCs w:val="24"/>
          <w:lang w:val="sr-Cyrl-CS"/>
        </w:rPr>
      </w:pPr>
      <w:r w:rsidRPr="001648C1">
        <w:rPr>
          <w:rFonts w:ascii="Times New Roman" w:hAnsi="Times New Roman" w:cs="Times New Roman"/>
          <w:sz w:val="24"/>
          <w:szCs w:val="24"/>
          <w:lang w:val="sr-Cyrl-RS"/>
        </w:rPr>
        <w:lastRenderedPageBreak/>
        <w:t>Структура јавних набавки</w:t>
      </w:r>
      <w:r w:rsidR="00DE7489">
        <w:rPr>
          <w:rFonts w:ascii="Times New Roman" w:hAnsi="Times New Roman" w:cs="Times New Roman"/>
          <w:sz w:val="24"/>
          <w:szCs w:val="24"/>
          <w:lang w:val="sr-Cyrl-RS"/>
        </w:rPr>
        <w:t xml:space="preserve"> у броју</w:t>
      </w:r>
      <w:r w:rsidRPr="001648C1">
        <w:rPr>
          <w:rFonts w:ascii="Times New Roman" w:hAnsi="Times New Roman" w:cs="Times New Roman"/>
          <w:sz w:val="24"/>
          <w:szCs w:val="24"/>
          <w:lang w:val="sr-Cyrl-RS"/>
        </w:rPr>
        <w:t>,</w:t>
      </w:r>
      <w:r w:rsidRPr="001648C1">
        <w:rPr>
          <w:rFonts w:ascii="Times New Roman" w:hAnsi="Times New Roman" w:cs="Times New Roman"/>
          <w:sz w:val="24"/>
          <w:szCs w:val="24"/>
          <w:lang w:val="sr-Cyrl-CS"/>
        </w:rPr>
        <w:t xml:space="preserve"> посматрано по предметима набавки</w:t>
      </w:r>
      <w:r>
        <w:rPr>
          <w:rFonts w:ascii="Times New Roman" w:hAnsi="Times New Roman" w:cs="Times New Roman"/>
          <w:sz w:val="24"/>
          <w:szCs w:val="24"/>
          <w:lang w:val="sr-Cyrl-CS"/>
        </w:rPr>
        <w:t xml:space="preserve"> приказана је </w:t>
      </w:r>
      <w:r w:rsidR="00E3067A">
        <w:rPr>
          <w:rFonts w:ascii="Times New Roman" w:hAnsi="Times New Roman" w:cs="Times New Roman"/>
          <w:sz w:val="24"/>
          <w:szCs w:val="24"/>
          <w:lang w:val="sr-Cyrl-CS"/>
        </w:rPr>
        <w:t>на</w:t>
      </w:r>
      <w:r>
        <w:rPr>
          <w:rFonts w:ascii="Times New Roman" w:hAnsi="Times New Roman" w:cs="Times New Roman"/>
          <w:sz w:val="24"/>
          <w:szCs w:val="24"/>
          <w:lang w:val="sr-Cyrl-CS"/>
        </w:rPr>
        <w:t xml:space="preserve"> Слици 1. </w:t>
      </w:r>
    </w:p>
    <w:p w14:paraId="7A344323" w14:textId="1B745913" w:rsidR="00CD6B87" w:rsidRPr="00DF06BE" w:rsidRDefault="00CD6B87" w:rsidP="0030552D">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DF06BE">
        <w:rPr>
          <w:rFonts w:ascii="Times New Roman" w:hAnsi="Times New Roman" w:cs="Times New Roman"/>
          <w:b/>
          <w:sz w:val="24"/>
          <w:szCs w:val="24"/>
          <w:lang w:val="sr-Cyrl-CS"/>
        </w:rPr>
        <w:t>Слика 1</w:t>
      </w:r>
    </w:p>
    <w:p w14:paraId="18D2738E" w14:textId="48EC51E1" w:rsidR="00CD6B87" w:rsidRDefault="00CD6B87" w:rsidP="00CD6B87">
      <w:pPr>
        <w:jc w:val="center"/>
        <w:rPr>
          <w:rFonts w:ascii="Times New Roman" w:hAnsi="Times New Roman" w:cs="Times New Roman"/>
          <w:sz w:val="24"/>
          <w:szCs w:val="24"/>
          <w:lang w:val="sr-Cyrl-CS"/>
        </w:rPr>
      </w:pPr>
      <w:r>
        <w:rPr>
          <w:noProof/>
          <w:lang w:val="sr-Cyrl-RS" w:eastAsia="sr-Cyrl-RS"/>
        </w:rPr>
        <w:drawing>
          <wp:inline distT="0" distB="0" distL="0" distR="0" wp14:anchorId="12AAC9D4" wp14:editId="70CC9DDB">
            <wp:extent cx="4930587" cy="2958352"/>
            <wp:effectExtent l="0" t="0" r="3810" b="139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4F1F3C" w14:textId="22173418" w:rsidR="00DE7489" w:rsidRDefault="00DE7489" w:rsidP="00DE7489">
      <w:pPr>
        <w:jc w:val="both"/>
        <w:rPr>
          <w:rFonts w:ascii="Times New Roman" w:hAnsi="Times New Roman" w:cs="Times New Roman"/>
          <w:sz w:val="24"/>
          <w:szCs w:val="24"/>
          <w:lang w:val="sr-Cyrl-CS"/>
        </w:rPr>
      </w:pPr>
      <w:r w:rsidRPr="001648C1">
        <w:rPr>
          <w:rFonts w:ascii="Times New Roman" w:hAnsi="Times New Roman" w:cs="Times New Roman"/>
          <w:sz w:val="24"/>
          <w:szCs w:val="24"/>
          <w:lang w:val="sr-Cyrl-RS"/>
        </w:rPr>
        <w:t>Структура јавних набавки</w:t>
      </w:r>
      <w:r>
        <w:rPr>
          <w:rFonts w:ascii="Times New Roman" w:hAnsi="Times New Roman" w:cs="Times New Roman"/>
          <w:sz w:val="24"/>
          <w:szCs w:val="24"/>
          <w:lang w:val="sr-Cyrl-RS"/>
        </w:rPr>
        <w:t xml:space="preserve"> у вредности</w:t>
      </w:r>
      <w:r w:rsidRPr="001648C1">
        <w:rPr>
          <w:rFonts w:ascii="Times New Roman" w:hAnsi="Times New Roman" w:cs="Times New Roman"/>
          <w:sz w:val="24"/>
          <w:szCs w:val="24"/>
          <w:lang w:val="sr-Cyrl-RS"/>
        </w:rPr>
        <w:t>,</w:t>
      </w:r>
      <w:r w:rsidRPr="001648C1">
        <w:rPr>
          <w:rFonts w:ascii="Times New Roman" w:hAnsi="Times New Roman" w:cs="Times New Roman"/>
          <w:sz w:val="24"/>
          <w:szCs w:val="24"/>
          <w:lang w:val="sr-Cyrl-CS"/>
        </w:rPr>
        <w:t xml:space="preserve"> посматрано по предметима набавки</w:t>
      </w:r>
      <w:r>
        <w:rPr>
          <w:rFonts w:ascii="Times New Roman" w:hAnsi="Times New Roman" w:cs="Times New Roman"/>
          <w:sz w:val="24"/>
          <w:szCs w:val="24"/>
          <w:lang w:val="sr-Cyrl-CS"/>
        </w:rPr>
        <w:t xml:space="preserve"> приказана је </w:t>
      </w:r>
      <w:r w:rsidR="00E3067A">
        <w:rPr>
          <w:rFonts w:ascii="Times New Roman" w:hAnsi="Times New Roman" w:cs="Times New Roman"/>
          <w:sz w:val="24"/>
          <w:szCs w:val="24"/>
          <w:lang w:val="sr-Cyrl-CS"/>
        </w:rPr>
        <w:t>на</w:t>
      </w:r>
      <w:r>
        <w:rPr>
          <w:rFonts w:ascii="Times New Roman" w:hAnsi="Times New Roman" w:cs="Times New Roman"/>
          <w:sz w:val="24"/>
          <w:szCs w:val="24"/>
          <w:lang w:val="sr-Cyrl-CS"/>
        </w:rPr>
        <w:t xml:space="preserve"> Слици 2. </w:t>
      </w:r>
    </w:p>
    <w:p w14:paraId="7DD97FA7" w14:textId="3D690596" w:rsidR="00DE7489" w:rsidRPr="00007EEA" w:rsidRDefault="00DE7489" w:rsidP="00DE7489">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07EEA">
        <w:rPr>
          <w:rFonts w:ascii="Times New Roman" w:hAnsi="Times New Roman" w:cs="Times New Roman"/>
          <w:b/>
          <w:sz w:val="24"/>
          <w:szCs w:val="24"/>
          <w:lang w:val="sr-Cyrl-CS"/>
        </w:rPr>
        <w:t>Слика 2</w:t>
      </w:r>
    </w:p>
    <w:p w14:paraId="631BFA2B" w14:textId="1F5B5D3B" w:rsidR="00DE7489" w:rsidRDefault="00DE7489" w:rsidP="00DE7489">
      <w:pPr>
        <w:jc w:val="center"/>
        <w:rPr>
          <w:rFonts w:ascii="Times New Roman" w:hAnsi="Times New Roman" w:cs="Times New Roman"/>
          <w:sz w:val="24"/>
          <w:szCs w:val="24"/>
          <w:lang w:val="sr-Cyrl-CS"/>
        </w:rPr>
      </w:pPr>
      <w:r>
        <w:rPr>
          <w:noProof/>
          <w:lang w:val="sr-Cyrl-RS" w:eastAsia="sr-Cyrl-RS"/>
        </w:rPr>
        <w:drawing>
          <wp:inline distT="0" distB="0" distL="0" distR="0" wp14:anchorId="0F146D17" wp14:editId="2E83BA76">
            <wp:extent cx="4915648" cy="2949389"/>
            <wp:effectExtent l="0" t="0" r="18415"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82CE86" w14:textId="77777777" w:rsidR="00DE7489" w:rsidRDefault="00DE7489" w:rsidP="00DE7489">
      <w:pPr>
        <w:jc w:val="center"/>
        <w:rPr>
          <w:rFonts w:ascii="Times New Roman" w:hAnsi="Times New Roman" w:cs="Times New Roman"/>
          <w:sz w:val="24"/>
          <w:szCs w:val="24"/>
          <w:lang w:val="sr-Cyrl-CS"/>
        </w:rPr>
      </w:pPr>
    </w:p>
    <w:p w14:paraId="43684F9B" w14:textId="7CAAC6A7" w:rsidR="00CD6B87" w:rsidRDefault="00CD6B87" w:rsidP="0030552D">
      <w:pPr>
        <w:jc w:val="both"/>
        <w:rPr>
          <w:rFonts w:ascii="Times New Roman" w:hAnsi="Times New Roman" w:cs="Times New Roman"/>
          <w:sz w:val="24"/>
          <w:szCs w:val="24"/>
          <w:lang w:val="sr-Cyrl-RS"/>
        </w:rPr>
      </w:pPr>
    </w:p>
    <w:p w14:paraId="3E93FF96" w14:textId="678BB39F" w:rsidR="00CD6B87" w:rsidRDefault="00CD6B87" w:rsidP="0030552D">
      <w:pPr>
        <w:jc w:val="both"/>
        <w:rPr>
          <w:rFonts w:ascii="Times New Roman" w:hAnsi="Times New Roman" w:cs="Times New Roman"/>
          <w:sz w:val="24"/>
          <w:szCs w:val="24"/>
          <w:lang w:val="sr-Cyrl-RS"/>
        </w:rPr>
      </w:pPr>
    </w:p>
    <w:p w14:paraId="7576D4AB" w14:textId="46DA2F01" w:rsidR="00CD6B87" w:rsidRDefault="00CD6B87" w:rsidP="0030552D">
      <w:pPr>
        <w:jc w:val="both"/>
        <w:rPr>
          <w:rFonts w:ascii="Times New Roman" w:hAnsi="Times New Roman" w:cs="Times New Roman"/>
          <w:sz w:val="24"/>
          <w:szCs w:val="24"/>
          <w:lang w:val="sr-Cyrl-RS"/>
        </w:rPr>
      </w:pPr>
    </w:p>
    <w:p w14:paraId="609931C5" w14:textId="475897A6" w:rsidR="00DF0759" w:rsidRPr="001648C1" w:rsidRDefault="006D2873" w:rsidP="0030552D">
      <w:pPr>
        <w:jc w:val="both"/>
        <w:rPr>
          <w:rFonts w:ascii="Times New Roman" w:hAnsi="Times New Roman" w:cs="Times New Roman"/>
          <w:sz w:val="24"/>
          <w:szCs w:val="24"/>
          <w:lang w:val="sr-Cyrl-CS"/>
        </w:rPr>
      </w:pPr>
      <w:r w:rsidRPr="001648C1">
        <w:rPr>
          <w:rFonts w:ascii="Times New Roman" w:hAnsi="Times New Roman" w:cs="Times New Roman"/>
          <w:sz w:val="24"/>
          <w:szCs w:val="24"/>
          <w:lang w:val="sr-Cyrl-RS"/>
        </w:rPr>
        <w:lastRenderedPageBreak/>
        <w:t>Структура јавних набавки</w:t>
      </w:r>
      <w:r w:rsidR="00B00DD0">
        <w:rPr>
          <w:rFonts w:ascii="Times New Roman" w:hAnsi="Times New Roman" w:cs="Times New Roman"/>
          <w:sz w:val="24"/>
          <w:szCs w:val="24"/>
          <w:lang w:val="sr-Cyrl-RS"/>
        </w:rPr>
        <w:t xml:space="preserve"> у вредности</w:t>
      </w:r>
      <w:r w:rsidRPr="001648C1">
        <w:rPr>
          <w:rFonts w:ascii="Times New Roman" w:hAnsi="Times New Roman" w:cs="Times New Roman"/>
          <w:sz w:val="24"/>
          <w:szCs w:val="24"/>
          <w:lang w:val="sr-Cyrl-RS"/>
        </w:rPr>
        <w:t>,</w:t>
      </w:r>
      <w:r w:rsidRPr="001648C1">
        <w:rPr>
          <w:rFonts w:ascii="Times New Roman" w:hAnsi="Times New Roman" w:cs="Times New Roman"/>
          <w:sz w:val="24"/>
          <w:szCs w:val="24"/>
          <w:lang w:val="sr-Cyrl-CS"/>
        </w:rPr>
        <w:t xml:space="preserve"> п</w:t>
      </w:r>
      <w:r w:rsidR="00055F01" w:rsidRPr="001648C1">
        <w:rPr>
          <w:rFonts w:ascii="Times New Roman" w:hAnsi="Times New Roman" w:cs="Times New Roman"/>
          <w:sz w:val="24"/>
          <w:szCs w:val="24"/>
          <w:lang w:val="sr-Cyrl-CS"/>
        </w:rPr>
        <w:t>о</w:t>
      </w:r>
      <w:r w:rsidRPr="001648C1">
        <w:rPr>
          <w:rFonts w:ascii="Times New Roman" w:hAnsi="Times New Roman" w:cs="Times New Roman"/>
          <w:sz w:val="24"/>
          <w:szCs w:val="24"/>
          <w:lang w:val="sr-Cyrl-CS"/>
        </w:rPr>
        <w:t xml:space="preserve">сматрано по предметима набавки, променила </w:t>
      </w:r>
      <w:r w:rsidR="007534E3">
        <w:rPr>
          <w:rFonts w:ascii="Times New Roman" w:hAnsi="Times New Roman" w:cs="Times New Roman"/>
          <w:sz w:val="24"/>
          <w:szCs w:val="24"/>
          <w:lang w:val="sr-Cyrl-RS"/>
        </w:rPr>
        <w:t xml:space="preserve">се </w:t>
      </w:r>
      <w:r w:rsidR="003305E1">
        <w:rPr>
          <w:rFonts w:ascii="Times New Roman" w:hAnsi="Times New Roman" w:cs="Times New Roman"/>
          <w:sz w:val="24"/>
          <w:szCs w:val="24"/>
          <w:lang w:val="sr-Cyrl-CS"/>
        </w:rPr>
        <w:t>у 2019</w:t>
      </w:r>
      <w:r w:rsidRPr="001648C1">
        <w:rPr>
          <w:rFonts w:ascii="Times New Roman" w:hAnsi="Times New Roman" w:cs="Times New Roman"/>
          <w:sz w:val="24"/>
          <w:szCs w:val="24"/>
          <w:lang w:val="sr-Cyrl-CS"/>
        </w:rPr>
        <w:t>. години у односу</w:t>
      </w:r>
      <w:r w:rsidR="003305E1">
        <w:rPr>
          <w:rFonts w:ascii="Times New Roman" w:hAnsi="Times New Roman" w:cs="Times New Roman"/>
          <w:sz w:val="24"/>
          <w:szCs w:val="24"/>
          <w:lang w:val="sr-Cyrl-CS"/>
        </w:rPr>
        <w:t xml:space="preserve"> на претходну годину. Учешће добара порасло је са 49% на 53</w:t>
      </w:r>
      <w:r w:rsidR="00004743" w:rsidRPr="001648C1">
        <w:rPr>
          <w:rFonts w:ascii="Times New Roman" w:hAnsi="Times New Roman" w:cs="Times New Roman"/>
          <w:sz w:val="24"/>
          <w:szCs w:val="24"/>
          <w:lang w:val="sr-Cyrl-CS"/>
        </w:rPr>
        <w:t>% док</w:t>
      </w:r>
      <w:r w:rsidRPr="001648C1">
        <w:rPr>
          <w:rFonts w:ascii="Times New Roman" w:hAnsi="Times New Roman" w:cs="Times New Roman"/>
          <w:sz w:val="24"/>
          <w:szCs w:val="24"/>
          <w:lang w:val="sr-Cyrl-CS"/>
        </w:rPr>
        <w:t xml:space="preserve"> је уч</w:t>
      </w:r>
      <w:r w:rsidR="003305E1">
        <w:rPr>
          <w:rFonts w:ascii="Times New Roman" w:hAnsi="Times New Roman" w:cs="Times New Roman"/>
          <w:sz w:val="24"/>
          <w:szCs w:val="24"/>
          <w:lang w:val="sr-Cyrl-CS"/>
        </w:rPr>
        <w:t>ешће радова</w:t>
      </w:r>
      <w:r w:rsidR="00004743" w:rsidRPr="001648C1">
        <w:rPr>
          <w:rFonts w:ascii="Times New Roman" w:hAnsi="Times New Roman" w:cs="Times New Roman"/>
          <w:sz w:val="24"/>
          <w:szCs w:val="24"/>
          <w:lang w:val="sr-Cyrl-CS"/>
        </w:rPr>
        <w:t xml:space="preserve"> о</w:t>
      </w:r>
      <w:r w:rsidR="003305E1">
        <w:rPr>
          <w:rFonts w:ascii="Times New Roman" w:hAnsi="Times New Roman" w:cs="Times New Roman"/>
          <w:sz w:val="24"/>
          <w:szCs w:val="24"/>
          <w:lang w:val="sr-Cyrl-CS"/>
        </w:rPr>
        <w:t>пало са 28% на 25%, а услуга са 23% на 22</w:t>
      </w:r>
      <w:r w:rsidR="00004743" w:rsidRPr="001648C1">
        <w:rPr>
          <w:rFonts w:ascii="Times New Roman" w:hAnsi="Times New Roman" w:cs="Times New Roman"/>
          <w:sz w:val="24"/>
          <w:szCs w:val="24"/>
          <w:lang w:val="sr-Cyrl-CS"/>
        </w:rPr>
        <w:t>%.</w:t>
      </w:r>
      <w:r w:rsidR="002F00AD">
        <w:rPr>
          <w:rFonts w:ascii="Times New Roman" w:hAnsi="Times New Roman" w:cs="Times New Roman"/>
          <w:sz w:val="24"/>
          <w:szCs w:val="24"/>
          <w:lang w:val="sr-Cyrl-CS"/>
        </w:rPr>
        <w:t xml:space="preserve"> (С</w:t>
      </w:r>
      <w:r w:rsidR="00DE7489">
        <w:rPr>
          <w:rFonts w:ascii="Times New Roman" w:hAnsi="Times New Roman" w:cs="Times New Roman"/>
          <w:sz w:val="24"/>
          <w:szCs w:val="24"/>
          <w:lang w:val="sr-Cyrl-CS"/>
        </w:rPr>
        <w:t>лика 3</w:t>
      </w:r>
      <w:r w:rsidR="00FF3FA7" w:rsidRPr="001648C1">
        <w:rPr>
          <w:rFonts w:ascii="Times New Roman" w:hAnsi="Times New Roman" w:cs="Times New Roman"/>
          <w:sz w:val="24"/>
          <w:szCs w:val="24"/>
          <w:lang w:val="sr-Cyrl-CS"/>
        </w:rPr>
        <w:t>)</w:t>
      </w:r>
    </w:p>
    <w:p w14:paraId="2E62849A" w14:textId="427D7986" w:rsidR="00442EBC" w:rsidRPr="00181965" w:rsidRDefault="00442EBC" w:rsidP="0030552D">
      <w:pPr>
        <w:jc w:val="both"/>
        <w:rPr>
          <w:rFonts w:ascii="Times New Roman" w:hAnsi="Times New Roman" w:cs="Times New Roman"/>
          <w:b/>
          <w:color w:val="FF0000"/>
          <w:sz w:val="24"/>
          <w:szCs w:val="24"/>
          <w:lang w:val="sr-Cyrl-CS"/>
        </w:rPr>
      </w:pPr>
      <w:r>
        <w:rPr>
          <w:rFonts w:ascii="Times New Roman" w:hAnsi="Times New Roman" w:cs="Times New Roman"/>
          <w:color w:val="FF0000"/>
          <w:sz w:val="24"/>
          <w:szCs w:val="24"/>
          <w:lang w:val="sr-Cyrl-CS"/>
        </w:rPr>
        <w:t xml:space="preserve">  </w:t>
      </w:r>
      <w:r w:rsidR="003305E1">
        <w:rPr>
          <w:rFonts w:ascii="Times New Roman" w:hAnsi="Times New Roman" w:cs="Times New Roman"/>
          <w:color w:val="FF0000"/>
          <w:sz w:val="24"/>
          <w:szCs w:val="24"/>
          <w:lang w:val="sr-Cyrl-CS"/>
        </w:rPr>
        <w:t xml:space="preserve">       </w:t>
      </w:r>
      <w:r w:rsidR="006C6DE9">
        <w:rPr>
          <w:rFonts w:ascii="Times New Roman" w:hAnsi="Times New Roman" w:cs="Times New Roman"/>
          <w:color w:val="FF0000"/>
          <w:sz w:val="24"/>
          <w:szCs w:val="24"/>
          <w:lang w:val="sr-Cyrl-CS"/>
        </w:rPr>
        <w:t xml:space="preserve">     </w:t>
      </w:r>
      <w:r w:rsidR="003305E1">
        <w:rPr>
          <w:rFonts w:ascii="Times New Roman" w:hAnsi="Times New Roman" w:cs="Times New Roman"/>
          <w:color w:val="FF0000"/>
          <w:sz w:val="24"/>
          <w:szCs w:val="24"/>
          <w:lang w:val="sr-Cyrl-CS"/>
        </w:rPr>
        <w:t xml:space="preserve">   </w:t>
      </w:r>
      <w:r w:rsidR="00DE7489">
        <w:rPr>
          <w:rFonts w:ascii="Times New Roman" w:hAnsi="Times New Roman" w:cs="Times New Roman"/>
          <w:color w:val="FF0000"/>
          <w:sz w:val="24"/>
          <w:szCs w:val="24"/>
          <w:lang w:val="sr-Cyrl-CS"/>
        </w:rPr>
        <w:t xml:space="preserve">        </w:t>
      </w:r>
      <w:r w:rsidR="003305E1">
        <w:rPr>
          <w:rFonts w:ascii="Times New Roman" w:hAnsi="Times New Roman" w:cs="Times New Roman"/>
          <w:color w:val="FF0000"/>
          <w:sz w:val="24"/>
          <w:szCs w:val="24"/>
          <w:lang w:val="sr-Cyrl-CS"/>
        </w:rPr>
        <w:t xml:space="preserve"> </w:t>
      </w:r>
      <w:r w:rsidR="002F00AD">
        <w:rPr>
          <w:rFonts w:ascii="Times New Roman" w:hAnsi="Times New Roman" w:cs="Times New Roman"/>
          <w:color w:val="FF0000"/>
          <w:sz w:val="24"/>
          <w:szCs w:val="24"/>
          <w:lang w:val="sr-Cyrl-CS"/>
        </w:rPr>
        <w:t xml:space="preserve">     </w:t>
      </w:r>
      <w:r w:rsidR="00C421EE">
        <w:rPr>
          <w:rFonts w:ascii="Times New Roman" w:hAnsi="Times New Roman" w:cs="Times New Roman"/>
          <w:color w:val="FF0000"/>
          <w:sz w:val="24"/>
          <w:szCs w:val="24"/>
          <w:lang w:val="sr-Cyrl-CS"/>
        </w:rPr>
        <w:t xml:space="preserve">   </w:t>
      </w:r>
      <w:r w:rsidR="002F00AD">
        <w:rPr>
          <w:rFonts w:ascii="Times New Roman" w:hAnsi="Times New Roman" w:cs="Times New Roman"/>
          <w:color w:val="FF0000"/>
          <w:sz w:val="24"/>
          <w:szCs w:val="24"/>
          <w:lang w:val="sr-Cyrl-CS"/>
        </w:rPr>
        <w:t xml:space="preserve"> </w:t>
      </w:r>
      <w:r w:rsidR="00DE7489">
        <w:rPr>
          <w:rFonts w:ascii="Times New Roman" w:hAnsi="Times New Roman" w:cs="Times New Roman"/>
          <w:b/>
          <w:sz w:val="24"/>
          <w:szCs w:val="24"/>
          <w:lang w:val="sr-Cyrl-CS"/>
        </w:rPr>
        <w:t>Слика 3</w:t>
      </w:r>
    </w:p>
    <w:p w14:paraId="4B5592D3" w14:textId="2650543A" w:rsidR="00A9170F" w:rsidRDefault="003305E1" w:rsidP="00A9170F">
      <w:pPr>
        <w:jc w:val="center"/>
        <w:rPr>
          <w:rFonts w:ascii="Times New Roman" w:hAnsi="Times New Roman" w:cs="Times New Roman"/>
          <w:color w:val="FF0000"/>
          <w:sz w:val="24"/>
          <w:szCs w:val="24"/>
          <w:lang w:val="sr-Latn-RS"/>
        </w:rPr>
      </w:pPr>
      <w:r>
        <w:rPr>
          <w:noProof/>
          <w:lang w:val="sr-Cyrl-RS" w:eastAsia="sr-Cyrl-RS"/>
        </w:rPr>
        <w:drawing>
          <wp:inline distT="0" distB="0" distL="0" distR="0" wp14:anchorId="5E67E204" wp14:editId="57ECF346">
            <wp:extent cx="4526915" cy="2823883"/>
            <wp:effectExtent l="0" t="0" r="698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00DD0">
        <w:rPr>
          <w:rFonts w:ascii="Times New Roman" w:hAnsi="Times New Roman" w:cs="Times New Roman"/>
          <w:color w:val="FF0000"/>
          <w:sz w:val="24"/>
          <w:szCs w:val="24"/>
          <w:lang w:val="sr-Latn-RS"/>
        </w:rPr>
        <w:br/>
      </w:r>
    </w:p>
    <w:p w14:paraId="11EA7C35" w14:textId="6254FB8C" w:rsidR="00B00DD0" w:rsidRDefault="00B00DD0" w:rsidP="00B00DD0">
      <w:pPr>
        <w:jc w:val="both"/>
        <w:rPr>
          <w:rFonts w:ascii="Times New Roman" w:hAnsi="Times New Roman" w:cs="Times New Roman"/>
          <w:sz w:val="24"/>
          <w:szCs w:val="24"/>
          <w:lang w:val="sr-Cyrl-CS"/>
        </w:rPr>
      </w:pPr>
      <w:r w:rsidRPr="001648C1">
        <w:rPr>
          <w:rFonts w:ascii="Times New Roman" w:hAnsi="Times New Roman" w:cs="Times New Roman"/>
          <w:sz w:val="24"/>
          <w:szCs w:val="24"/>
          <w:lang w:val="sr-Cyrl-RS"/>
        </w:rPr>
        <w:t>Структура јавних набавки</w:t>
      </w:r>
      <w:r w:rsidR="002F00AD">
        <w:rPr>
          <w:rFonts w:ascii="Times New Roman" w:hAnsi="Times New Roman" w:cs="Times New Roman"/>
          <w:sz w:val="24"/>
          <w:szCs w:val="24"/>
          <w:lang w:val="sr-Cyrl-RS"/>
        </w:rPr>
        <w:t xml:space="preserve"> у броју набавки</w:t>
      </w:r>
      <w:r w:rsidRPr="001648C1">
        <w:rPr>
          <w:rFonts w:ascii="Times New Roman" w:hAnsi="Times New Roman" w:cs="Times New Roman"/>
          <w:sz w:val="24"/>
          <w:szCs w:val="24"/>
          <w:lang w:val="sr-Cyrl-RS"/>
        </w:rPr>
        <w:t>,</w:t>
      </w:r>
      <w:r w:rsidRPr="001648C1">
        <w:rPr>
          <w:rFonts w:ascii="Times New Roman" w:hAnsi="Times New Roman" w:cs="Times New Roman"/>
          <w:sz w:val="24"/>
          <w:szCs w:val="24"/>
          <w:lang w:val="sr-Cyrl-CS"/>
        </w:rPr>
        <w:t xml:space="preserve"> посматрано по предметима набавки, променила </w:t>
      </w:r>
      <w:r>
        <w:rPr>
          <w:rFonts w:ascii="Times New Roman" w:hAnsi="Times New Roman" w:cs="Times New Roman"/>
          <w:sz w:val="24"/>
          <w:szCs w:val="24"/>
          <w:lang w:val="sr-Cyrl-RS"/>
        </w:rPr>
        <w:t xml:space="preserve">се </w:t>
      </w:r>
      <w:r>
        <w:rPr>
          <w:rFonts w:ascii="Times New Roman" w:hAnsi="Times New Roman" w:cs="Times New Roman"/>
          <w:sz w:val="24"/>
          <w:szCs w:val="24"/>
          <w:lang w:val="sr-Cyrl-CS"/>
        </w:rPr>
        <w:t>у 2019</w:t>
      </w:r>
      <w:r w:rsidRPr="001648C1">
        <w:rPr>
          <w:rFonts w:ascii="Times New Roman" w:hAnsi="Times New Roman" w:cs="Times New Roman"/>
          <w:sz w:val="24"/>
          <w:szCs w:val="24"/>
          <w:lang w:val="sr-Cyrl-CS"/>
        </w:rPr>
        <w:t>. години у односу</w:t>
      </w:r>
      <w:r>
        <w:rPr>
          <w:rFonts w:ascii="Times New Roman" w:hAnsi="Times New Roman" w:cs="Times New Roman"/>
          <w:sz w:val="24"/>
          <w:szCs w:val="24"/>
          <w:lang w:val="sr-Cyrl-CS"/>
        </w:rPr>
        <w:t xml:space="preserve"> на претходну годину</w:t>
      </w:r>
      <w:r w:rsidR="002F00AD">
        <w:rPr>
          <w:rFonts w:ascii="Times New Roman" w:hAnsi="Times New Roman" w:cs="Times New Roman"/>
          <w:sz w:val="24"/>
          <w:szCs w:val="24"/>
          <w:lang w:val="sr-Cyrl-CS"/>
        </w:rPr>
        <w:t>. Учешће добара порасло је са 61% на 65</w:t>
      </w:r>
      <w:r w:rsidRPr="001648C1">
        <w:rPr>
          <w:rFonts w:ascii="Times New Roman" w:hAnsi="Times New Roman" w:cs="Times New Roman"/>
          <w:sz w:val="24"/>
          <w:szCs w:val="24"/>
          <w:lang w:val="sr-Cyrl-CS"/>
        </w:rPr>
        <w:t>% док је уч</w:t>
      </w:r>
      <w:r>
        <w:rPr>
          <w:rFonts w:ascii="Times New Roman" w:hAnsi="Times New Roman" w:cs="Times New Roman"/>
          <w:sz w:val="24"/>
          <w:szCs w:val="24"/>
          <w:lang w:val="sr-Cyrl-CS"/>
        </w:rPr>
        <w:t>ешће</w:t>
      </w:r>
      <w:r w:rsidR="002F00AD">
        <w:rPr>
          <w:rFonts w:ascii="Times New Roman" w:hAnsi="Times New Roman" w:cs="Times New Roman"/>
          <w:sz w:val="24"/>
          <w:szCs w:val="24"/>
          <w:lang w:val="sr-Cyrl-CS"/>
        </w:rPr>
        <w:t xml:space="preserve"> услуга опало са 30% на 28</w:t>
      </w:r>
      <w:r w:rsidR="002F00AD" w:rsidRPr="001648C1">
        <w:rPr>
          <w:rFonts w:ascii="Times New Roman" w:hAnsi="Times New Roman" w:cs="Times New Roman"/>
          <w:sz w:val="24"/>
          <w:szCs w:val="24"/>
          <w:lang w:val="sr-Cyrl-CS"/>
        </w:rPr>
        <w:t>%</w:t>
      </w:r>
      <w:r w:rsidR="002F00AD">
        <w:rPr>
          <w:rFonts w:ascii="Times New Roman" w:hAnsi="Times New Roman" w:cs="Times New Roman"/>
          <w:sz w:val="24"/>
          <w:szCs w:val="24"/>
          <w:lang w:val="sr-Cyrl-CS"/>
        </w:rPr>
        <w:t>, а</w:t>
      </w:r>
      <w:r>
        <w:rPr>
          <w:rFonts w:ascii="Times New Roman" w:hAnsi="Times New Roman" w:cs="Times New Roman"/>
          <w:sz w:val="24"/>
          <w:szCs w:val="24"/>
          <w:lang w:val="sr-Cyrl-CS"/>
        </w:rPr>
        <w:t xml:space="preserve"> радова</w:t>
      </w:r>
      <w:r w:rsidR="00007EEA">
        <w:rPr>
          <w:rFonts w:ascii="Times New Roman" w:hAnsi="Times New Roman" w:cs="Times New Roman"/>
          <w:sz w:val="24"/>
          <w:szCs w:val="24"/>
          <w:lang w:val="sr-Cyrl-CS"/>
        </w:rPr>
        <w:t xml:space="preserve"> </w:t>
      </w:r>
      <w:r w:rsidR="002F00AD">
        <w:rPr>
          <w:rFonts w:ascii="Times New Roman" w:hAnsi="Times New Roman" w:cs="Times New Roman"/>
          <w:sz w:val="24"/>
          <w:szCs w:val="24"/>
          <w:lang w:val="sr-Cyrl-CS"/>
        </w:rPr>
        <w:t>са 9% на 7%. (Слика 4</w:t>
      </w:r>
      <w:r w:rsidRPr="001648C1">
        <w:rPr>
          <w:rFonts w:ascii="Times New Roman" w:hAnsi="Times New Roman" w:cs="Times New Roman"/>
          <w:sz w:val="24"/>
          <w:szCs w:val="24"/>
          <w:lang w:val="sr-Cyrl-CS"/>
        </w:rPr>
        <w:t>)</w:t>
      </w:r>
    </w:p>
    <w:p w14:paraId="714320C5" w14:textId="15487FFD" w:rsidR="00007EEA" w:rsidRPr="00F8634C" w:rsidRDefault="00F8634C" w:rsidP="00B00DD0">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421EE">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00007EEA" w:rsidRPr="00F8634C">
        <w:rPr>
          <w:rFonts w:ascii="Times New Roman" w:hAnsi="Times New Roman" w:cs="Times New Roman"/>
          <w:b/>
          <w:sz w:val="24"/>
          <w:szCs w:val="24"/>
          <w:lang w:val="sr-Cyrl-CS"/>
        </w:rPr>
        <w:t>Слика 4</w:t>
      </w:r>
    </w:p>
    <w:p w14:paraId="43860637" w14:textId="2B160B84" w:rsidR="00007EEA" w:rsidRPr="001648C1" w:rsidRDefault="00007EEA" w:rsidP="00F8634C">
      <w:pPr>
        <w:jc w:val="center"/>
        <w:rPr>
          <w:rFonts w:ascii="Times New Roman" w:hAnsi="Times New Roman" w:cs="Times New Roman"/>
          <w:sz w:val="24"/>
          <w:szCs w:val="24"/>
          <w:lang w:val="sr-Cyrl-CS"/>
        </w:rPr>
      </w:pPr>
      <w:r>
        <w:rPr>
          <w:noProof/>
          <w:lang w:val="sr-Cyrl-RS" w:eastAsia="sr-Cyrl-RS"/>
        </w:rPr>
        <w:drawing>
          <wp:inline distT="0" distB="0" distL="0" distR="0" wp14:anchorId="07C4829A" wp14:editId="03949225">
            <wp:extent cx="4670351" cy="3069211"/>
            <wp:effectExtent l="0" t="0" r="16510" b="171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BC0158" w14:textId="77777777" w:rsidR="00B00DD0" w:rsidRDefault="00B00DD0" w:rsidP="00B00DD0">
      <w:pPr>
        <w:rPr>
          <w:rFonts w:ascii="Times New Roman" w:hAnsi="Times New Roman" w:cs="Times New Roman"/>
          <w:color w:val="FF0000"/>
          <w:sz w:val="24"/>
          <w:szCs w:val="24"/>
          <w:lang w:val="sr-Latn-RS"/>
        </w:rPr>
      </w:pPr>
    </w:p>
    <w:p w14:paraId="156A07A2" w14:textId="13C91582" w:rsidR="00DA2363" w:rsidRPr="00B922AD" w:rsidRDefault="00977359" w:rsidP="0030552D">
      <w:pPr>
        <w:jc w:val="both"/>
        <w:rPr>
          <w:rFonts w:ascii="Times New Roman" w:hAnsi="Times New Roman" w:cs="Times New Roman"/>
          <w:sz w:val="24"/>
          <w:szCs w:val="24"/>
          <w:lang w:val="sr-Cyrl-CS"/>
        </w:rPr>
      </w:pPr>
      <w:r>
        <w:rPr>
          <w:rFonts w:ascii="Times New Roman" w:hAnsi="Times New Roman" w:cs="Times New Roman"/>
          <w:color w:val="FF0000"/>
          <w:sz w:val="24"/>
          <w:szCs w:val="24"/>
          <w:lang w:val="sr-Cyrl-CS"/>
        </w:rPr>
        <w:lastRenderedPageBreak/>
        <w:t xml:space="preserve">     </w:t>
      </w:r>
      <w:r w:rsidR="00DA2363" w:rsidRPr="00B922AD">
        <w:rPr>
          <w:rFonts w:ascii="Times New Roman" w:hAnsi="Times New Roman" w:cs="Times New Roman"/>
          <w:sz w:val="24"/>
          <w:szCs w:val="24"/>
          <w:lang w:val="sr-Cyrl-CS"/>
        </w:rPr>
        <w:t>Највећи н</w:t>
      </w:r>
      <w:r w:rsidR="00606639">
        <w:rPr>
          <w:rFonts w:ascii="Times New Roman" w:hAnsi="Times New Roman" w:cs="Times New Roman"/>
          <w:sz w:val="24"/>
          <w:szCs w:val="24"/>
          <w:lang w:val="sr-Cyrl-CS"/>
        </w:rPr>
        <w:t>аручиоци</w:t>
      </w:r>
      <w:r w:rsidR="004C6E30">
        <w:rPr>
          <w:rFonts w:ascii="Times New Roman" w:hAnsi="Times New Roman" w:cs="Times New Roman"/>
          <w:sz w:val="24"/>
          <w:szCs w:val="24"/>
          <w:lang w:val="sr-Cyrl-CS"/>
        </w:rPr>
        <w:t xml:space="preserve">, према </w:t>
      </w:r>
      <w:r w:rsidR="004C6E30" w:rsidRPr="004C6E30">
        <w:rPr>
          <w:rFonts w:ascii="Times New Roman" w:hAnsi="Times New Roman" w:cs="Times New Roman"/>
          <w:sz w:val="24"/>
          <w:szCs w:val="24"/>
          <w:lang w:val="sr-Cyrl-CS"/>
        </w:rPr>
        <w:t>укупно</w:t>
      </w:r>
      <w:r w:rsidR="004C6E30">
        <w:rPr>
          <w:rFonts w:ascii="Times New Roman" w:hAnsi="Times New Roman" w:cs="Times New Roman"/>
          <w:sz w:val="24"/>
          <w:szCs w:val="24"/>
          <w:lang w:val="sr-Cyrl-CS"/>
        </w:rPr>
        <w:t xml:space="preserve"> уговореној вредности</w:t>
      </w:r>
      <w:r w:rsidR="004C6E30" w:rsidRPr="004C6E30">
        <w:rPr>
          <w:rFonts w:ascii="Times New Roman" w:hAnsi="Times New Roman" w:cs="Times New Roman"/>
          <w:sz w:val="24"/>
          <w:szCs w:val="24"/>
          <w:lang w:val="sr-Cyrl-CS"/>
        </w:rPr>
        <w:t xml:space="preserve"> у 2019. години</w:t>
      </w:r>
      <w:r w:rsidR="004C6E30">
        <w:rPr>
          <w:rFonts w:ascii="Times New Roman" w:hAnsi="Times New Roman" w:cs="Times New Roman"/>
          <w:sz w:val="24"/>
          <w:szCs w:val="24"/>
          <w:lang w:val="sr-Cyrl-CS"/>
        </w:rPr>
        <w:t>,</w:t>
      </w:r>
      <w:r w:rsidR="00606639">
        <w:rPr>
          <w:rFonts w:ascii="Times New Roman" w:hAnsi="Times New Roman" w:cs="Times New Roman"/>
          <w:sz w:val="24"/>
          <w:szCs w:val="24"/>
          <w:lang w:val="sr-Cyrl-CS"/>
        </w:rPr>
        <w:t xml:space="preserve"> приказани су у Табели 6</w:t>
      </w:r>
      <w:r w:rsidR="00DA2363" w:rsidRPr="00B922AD">
        <w:rPr>
          <w:rFonts w:ascii="Times New Roman" w:hAnsi="Times New Roman" w:cs="Times New Roman"/>
          <w:sz w:val="24"/>
          <w:szCs w:val="24"/>
          <w:lang w:val="sr-Cyrl-CS"/>
        </w:rPr>
        <w:t>.</w:t>
      </w:r>
    </w:p>
    <w:p w14:paraId="3E900947" w14:textId="1EE60640" w:rsidR="00977359" w:rsidRPr="00471F7E" w:rsidRDefault="00977359" w:rsidP="0030552D">
      <w:pPr>
        <w:jc w:val="both"/>
        <w:rPr>
          <w:rFonts w:ascii="Times New Roman" w:hAnsi="Times New Roman" w:cs="Times New Roman"/>
          <w:b/>
          <w:sz w:val="24"/>
          <w:szCs w:val="24"/>
          <w:lang w:val="sr-Latn-RS"/>
        </w:rPr>
      </w:pPr>
      <w:r w:rsidRPr="00B922AD">
        <w:rPr>
          <w:rFonts w:ascii="Times New Roman" w:hAnsi="Times New Roman" w:cs="Times New Roman"/>
          <w:sz w:val="24"/>
          <w:szCs w:val="24"/>
          <w:lang w:val="sr-Cyrl-CS"/>
        </w:rPr>
        <w:t xml:space="preserve">             </w:t>
      </w:r>
      <w:r w:rsidR="00C421EE">
        <w:rPr>
          <w:rFonts w:ascii="Times New Roman" w:hAnsi="Times New Roman" w:cs="Times New Roman"/>
          <w:sz w:val="24"/>
          <w:szCs w:val="24"/>
          <w:lang w:val="sr-Cyrl-CS"/>
        </w:rPr>
        <w:t xml:space="preserve">    </w:t>
      </w:r>
      <w:r w:rsidR="001D03C0" w:rsidRPr="00471F7E">
        <w:rPr>
          <w:rFonts w:ascii="Times New Roman" w:hAnsi="Times New Roman" w:cs="Times New Roman"/>
          <w:b/>
          <w:sz w:val="24"/>
          <w:szCs w:val="24"/>
          <w:lang w:val="sr-Cyrl-CS"/>
        </w:rPr>
        <w:t>Табела 6</w:t>
      </w:r>
    </w:p>
    <w:tbl>
      <w:tblPr>
        <w:tblW w:w="9298" w:type="dxa"/>
        <w:jc w:val="center"/>
        <w:tblLook w:val="04A0" w:firstRow="1" w:lastRow="0" w:firstColumn="1" w:lastColumn="0" w:noHBand="0" w:noVBand="1"/>
      </w:tblPr>
      <w:tblGrid>
        <w:gridCol w:w="6760"/>
        <w:gridCol w:w="1121"/>
        <w:gridCol w:w="1417"/>
      </w:tblGrid>
      <w:tr w:rsidR="006C6DE9" w:rsidRPr="00B922AD" w14:paraId="305303FA" w14:textId="77777777" w:rsidTr="003124ED">
        <w:trPr>
          <w:trHeight w:val="300"/>
          <w:jc w:val="center"/>
        </w:trPr>
        <w:tc>
          <w:tcPr>
            <w:tcW w:w="9298" w:type="dxa"/>
            <w:gridSpan w:val="3"/>
            <w:tcBorders>
              <w:top w:val="single" w:sz="4" w:space="0" w:color="auto"/>
              <w:left w:val="single" w:sz="4" w:space="0" w:color="auto"/>
              <w:bottom w:val="nil"/>
              <w:right w:val="single" w:sz="4" w:space="0" w:color="auto"/>
            </w:tcBorders>
            <w:shd w:val="clear" w:color="auto" w:fill="auto"/>
            <w:noWrap/>
            <w:vAlign w:val="bottom"/>
          </w:tcPr>
          <w:p w14:paraId="34537C48" w14:textId="77777777" w:rsidR="006C6DE9" w:rsidRPr="00B922AD" w:rsidRDefault="006C6DE9" w:rsidP="003124ED">
            <w:pPr>
              <w:spacing w:after="0" w:line="240" w:lineRule="auto"/>
              <w:jc w:val="center"/>
              <w:rPr>
                <w:rFonts w:ascii="Times New Roman" w:eastAsia="Times New Roman" w:hAnsi="Times New Roman" w:cs="Times New Roman"/>
                <w:b/>
                <w:bCs/>
                <w:sz w:val="24"/>
                <w:szCs w:val="24"/>
                <w:lang w:val="sr-Cyrl-CS" w:eastAsia="en-GB"/>
              </w:rPr>
            </w:pPr>
            <w:r w:rsidRPr="00B922AD">
              <w:rPr>
                <w:rFonts w:ascii="Times New Roman" w:eastAsia="Times New Roman" w:hAnsi="Times New Roman" w:cs="Times New Roman"/>
                <w:b/>
                <w:bCs/>
                <w:sz w:val="24"/>
                <w:szCs w:val="24"/>
                <w:lang w:val="sr-Cyrl-CS" w:eastAsia="en-GB"/>
              </w:rPr>
              <w:t xml:space="preserve">НАЈВЕЋИ НАРУЧИОЦИ </w:t>
            </w:r>
          </w:p>
          <w:p w14:paraId="01D3AAFB" w14:textId="77777777" w:rsidR="006C6DE9" w:rsidRPr="00B922AD" w:rsidRDefault="006C6DE9" w:rsidP="003124ED">
            <w:pPr>
              <w:spacing w:after="0" w:line="240" w:lineRule="auto"/>
              <w:jc w:val="center"/>
              <w:rPr>
                <w:rFonts w:ascii="Times New Roman" w:eastAsia="Times New Roman" w:hAnsi="Times New Roman" w:cs="Times New Roman"/>
                <w:b/>
                <w:bCs/>
                <w:sz w:val="24"/>
                <w:szCs w:val="24"/>
                <w:lang w:val="sr-Cyrl-CS" w:eastAsia="en-GB"/>
              </w:rPr>
            </w:pPr>
            <w:r w:rsidRPr="00B922AD">
              <w:rPr>
                <w:rFonts w:ascii="Times New Roman" w:eastAsia="Times New Roman" w:hAnsi="Times New Roman" w:cs="Times New Roman"/>
                <w:b/>
                <w:bCs/>
                <w:sz w:val="24"/>
                <w:szCs w:val="24"/>
                <w:lang w:val="sr-Cyrl-CS" w:eastAsia="en-GB"/>
              </w:rPr>
              <w:t>ПО ВРЕДНОСТИ ЗАКЉУЧЕНИХ УГОВОРА У 201</w:t>
            </w:r>
            <w:r>
              <w:rPr>
                <w:rFonts w:ascii="Times New Roman" w:eastAsia="Times New Roman" w:hAnsi="Times New Roman" w:cs="Times New Roman"/>
                <w:b/>
                <w:bCs/>
                <w:sz w:val="24"/>
                <w:szCs w:val="24"/>
                <w:lang w:val="sr-Latn-RS" w:eastAsia="en-GB"/>
              </w:rPr>
              <w:t>9</w:t>
            </w:r>
            <w:r w:rsidRPr="00B922AD">
              <w:rPr>
                <w:rFonts w:ascii="Times New Roman" w:eastAsia="Times New Roman" w:hAnsi="Times New Roman" w:cs="Times New Roman"/>
                <w:b/>
                <w:bCs/>
                <w:sz w:val="24"/>
                <w:szCs w:val="24"/>
                <w:lang w:val="sr-Cyrl-CS" w:eastAsia="en-GB"/>
              </w:rPr>
              <w:t>. ГОДИНИ</w:t>
            </w:r>
          </w:p>
        </w:tc>
      </w:tr>
      <w:tr w:rsidR="006C6DE9" w:rsidRPr="00B922AD" w14:paraId="2D94A1C8" w14:textId="77777777" w:rsidTr="003124ED">
        <w:trPr>
          <w:trHeight w:val="300"/>
          <w:jc w:val="center"/>
        </w:trPr>
        <w:tc>
          <w:tcPr>
            <w:tcW w:w="6760" w:type="dxa"/>
            <w:tcBorders>
              <w:top w:val="single" w:sz="4" w:space="0" w:color="auto"/>
              <w:left w:val="single" w:sz="4" w:space="0" w:color="auto"/>
              <w:bottom w:val="nil"/>
              <w:right w:val="single" w:sz="4" w:space="0" w:color="auto"/>
            </w:tcBorders>
            <w:shd w:val="clear" w:color="auto" w:fill="auto"/>
            <w:noWrap/>
            <w:vAlign w:val="bottom"/>
            <w:hideMark/>
          </w:tcPr>
          <w:p w14:paraId="7BCC486A" w14:textId="77777777" w:rsidR="006C6DE9" w:rsidRPr="00B922AD" w:rsidRDefault="006C6DE9" w:rsidP="003124ED">
            <w:pPr>
              <w:spacing w:after="0" w:line="360" w:lineRule="auto"/>
              <w:jc w:val="center"/>
              <w:rPr>
                <w:rFonts w:ascii="Times New Roman" w:eastAsia="Times New Roman" w:hAnsi="Times New Roman" w:cs="Times New Roman"/>
                <w:b/>
                <w:bCs/>
                <w:sz w:val="24"/>
                <w:szCs w:val="24"/>
                <w:lang w:val="en-GB" w:eastAsia="en-GB"/>
              </w:rPr>
            </w:pPr>
            <w:r w:rsidRPr="00B922AD">
              <w:rPr>
                <w:rFonts w:ascii="Times New Roman" w:eastAsia="Times New Roman" w:hAnsi="Times New Roman" w:cs="Times New Roman"/>
                <w:b/>
                <w:bCs/>
                <w:sz w:val="24"/>
                <w:szCs w:val="24"/>
                <w:lang w:val="en-GB" w:eastAsia="en-GB"/>
              </w:rPr>
              <w:t>Назив наручиоца</w:t>
            </w:r>
          </w:p>
        </w:tc>
        <w:tc>
          <w:tcPr>
            <w:tcW w:w="1121" w:type="dxa"/>
            <w:tcBorders>
              <w:top w:val="single" w:sz="4" w:space="0" w:color="auto"/>
              <w:left w:val="nil"/>
              <w:bottom w:val="nil"/>
              <w:right w:val="single" w:sz="4" w:space="0" w:color="auto"/>
            </w:tcBorders>
            <w:shd w:val="clear" w:color="auto" w:fill="auto"/>
            <w:noWrap/>
            <w:vAlign w:val="center"/>
            <w:hideMark/>
          </w:tcPr>
          <w:p w14:paraId="6702FCFF" w14:textId="77777777" w:rsidR="006C6DE9" w:rsidRPr="00B922AD" w:rsidRDefault="006C6DE9" w:rsidP="003124ED">
            <w:pPr>
              <w:spacing w:after="0" w:line="240" w:lineRule="auto"/>
              <w:jc w:val="center"/>
              <w:rPr>
                <w:rFonts w:ascii="Times New Roman" w:eastAsia="Times New Roman" w:hAnsi="Times New Roman" w:cs="Times New Roman"/>
                <w:b/>
                <w:bCs/>
                <w:sz w:val="24"/>
                <w:szCs w:val="24"/>
                <w:lang w:val="en-GB" w:eastAsia="en-GB"/>
              </w:rPr>
            </w:pPr>
            <w:r w:rsidRPr="00B922AD">
              <w:rPr>
                <w:rFonts w:ascii="Times New Roman" w:eastAsia="Times New Roman" w:hAnsi="Times New Roman" w:cs="Times New Roman"/>
                <w:b/>
                <w:bCs/>
                <w:sz w:val="24"/>
                <w:szCs w:val="24"/>
                <w:lang w:val="en-GB" w:eastAsia="en-GB"/>
              </w:rPr>
              <w:t>Број набавки</w:t>
            </w:r>
          </w:p>
        </w:tc>
        <w:tc>
          <w:tcPr>
            <w:tcW w:w="1417" w:type="dxa"/>
            <w:tcBorders>
              <w:top w:val="single" w:sz="4" w:space="0" w:color="auto"/>
              <w:left w:val="nil"/>
              <w:bottom w:val="nil"/>
              <w:right w:val="single" w:sz="4" w:space="0" w:color="auto"/>
            </w:tcBorders>
            <w:shd w:val="clear" w:color="auto" w:fill="auto"/>
            <w:noWrap/>
            <w:vAlign w:val="center"/>
            <w:hideMark/>
          </w:tcPr>
          <w:p w14:paraId="78B0B174" w14:textId="77777777" w:rsidR="006C6DE9" w:rsidRPr="00B922AD" w:rsidRDefault="006C6DE9" w:rsidP="003124ED">
            <w:pPr>
              <w:spacing w:after="0" w:line="240" w:lineRule="auto"/>
              <w:jc w:val="center"/>
              <w:rPr>
                <w:rFonts w:ascii="Times New Roman" w:eastAsia="Times New Roman" w:hAnsi="Times New Roman" w:cs="Times New Roman"/>
                <w:b/>
                <w:bCs/>
                <w:sz w:val="24"/>
                <w:szCs w:val="24"/>
                <w:lang w:val="sr-Cyrl-CS" w:eastAsia="en-GB"/>
              </w:rPr>
            </w:pPr>
            <w:r w:rsidRPr="00B922AD">
              <w:rPr>
                <w:rFonts w:ascii="Times New Roman" w:eastAsia="Times New Roman" w:hAnsi="Times New Roman" w:cs="Times New Roman"/>
                <w:b/>
                <w:bCs/>
                <w:sz w:val="24"/>
                <w:szCs w:val="24"/>
                <w:lang w:val="en-GB" w:eastAsia="en-GB"/>
              </w:rPr>
              <w:t>Уговорена вредност</w:t>
            </w:r>
            <w:r w:rsidRPr="00B922AD">
              <w:rPr>
                <w:rFonts w:ascii="Times New Roman" w:eastAsia="Times New Roman" w:hAnsi="Times New Roman" w:cs="Times New Roman"/>
                <w:b/>
                <w:bCs/>
                <w:sz w:val="24"/>
                <w:szCs w:val="24"/>
                <w:lang w:val="sr-Cyrl-CS" w:eastAsia="en-GB"/>
              </w:rPr>
              <w:t>*</w:t>
            </w:r>
          </w:p>
        </w:tc>
      </w:tr>
      <w:tr w:rsidR="006C6DE9" w:rsidRPr="00B922AD" w14:paraId="5724383C" w14:textId="77777777" w:rsidTr="003124ED">
        <w:trPr>
          <w:trHeight w:val="300"/>
          <w:jc w:val="center"/>
        </w:trPr>
        <w:tc>
          <w:tcPr>
            <w:tcW w:w="6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F4C33"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en-GB" w:eastAsia="en-GB"/>
              </w:rPr>
            </w:pPr>
            <w:r w:rsidRPr="00B922AD">
              <w:rPr>
                <w:rFonts w:ascii="Times New Roman" w:eastAsia="Times New Roman" w:hAnsi="Times New Roman" w:cs="Times New Roman"/>
                <w:sz w:val="24"/>
                <w:szCs w:val="24"/>
                <w:lang w:val="en-GB" w:eastAsia="en-GB"/>
              </w:rPr>
              <w:t xml:space="preserve">ЈАВНО ПРЕДУЗЕЋЕ </w:t>
            </w:r>
            <w:r>
              <w:rPr>
                <w:rFonts w:ascii="Times New Roman" w:eastAsia="Times New Roman" w:hAnsi="Times New Roman" w:cs="Times New Roman"/>
                <w:sz w:val="24"/>
                <w:szCs w:val="24"/>
                <w:lang w:val="sr-Cyrl-RS" w:eastAsia="en-GB"/>
              </w:rPr>
              <w:t>„</w:t>
            </w:r>
            <w:r w:rsidRPr="00B922AD">
              <w:rPr>
                <w:rFonts w:ascii="Times New Roman" w:eastAsia="Times New Roman" w:hAnsi="Times New Roman" w:cs="Times New Roman"/>
                <w:sz w:val="24"/>
                <w:szCs w:val="24"/>
                <w:lang w:val="en-GB" w:eastAsia="en-GB"/>
              </w:rPr>
              <w:t>ЕЛЕКТРОПРИВРЕДА СРБИЈЕ</w:t>
            </w:r>
            <w:r>
              <w:rPr>
                <w:rFonts w:ascii="Times New Roman" w:eastAsia="Times New Roman" w:hAnsi="Times New Roman" w:cs="Times New Roman"/>
                <w:sz w:val="24"/>
                <w:szCs w:val="24"/>
                <w:lang w:val="sr-Cyrl-RS" w:eastAsia="en-GB"/>
              </w:rPr>
              <w:t>“</w:t>
            </w:r>
            <w:r w:rsidRPr="00B922AD">
              <w:rPr>
                <w:rFonts w:ascii="Times New Roman" w:eastAsia="Times New Roman" w:hAnsi="Times New Roman" w:cs="Times New Roman"/>
                <w:sz w:val="24"/>
                <w:szCs w:val="24"/>
                <w:lang w:val="en-GB" w:eastAsia="en-GB"/>
              </w:rPr>
              <w:t xml:space="preserve"> БЕОГРАД</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7EB127F" w14:textId="77777777" w:rsidR="006C6DE9" w:rsidRPr="00BF7755" w:rsidRDefault="006C6DE9" w:rsidP="003124ED">
            <w:pPr>
              <w:spacing w:after="0" w:line="240" w:lineRule="auto"/>
              <w:jc w:val="center"/>
              <w:rPr>
                <w:rFonts w:ascii="Times New Roman" w:eastAsia="Times New Roman" w:hAnsi="Times New Roman" w:cs="Times New Roman"/>
                <w:sz w:val="24"/>
                <w:szCs w:val="24"/>
                <w:lang w:val="sr-Latn-RS" w:eastAsia="en-GB"/>
              </w:rPr>
            </w:pPr>
            <w:r>
              <w:rPr>
                <w:rFonts w:ascii="Times New Roman" w:eastAsia="Times New Roman" w:hAnsi="Times New Roman" w:cs="Times New Roman"/>
                <w:sz w:val="24"/>
                <w:szCs w:val="24"/>
                <w:lang w:val="sr-Latn-RS" w:eastAsia="en-GB"/>
              </w:rPr>
              <w:t>8.482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318767" w14:textId="77777777" w:rsidR="006C6DE9" w:rsidRPr="00BF7755" w:rsidRDefault="006C6DE9" w:rsidP="003124ED">
            <w:pPr>
              <w:spacing w:after="0" w:line="240" w:lineRule="auto"/>
              <w:jc w:val="center"/>
              <w:rPr>
                <w:rFonts w:ascii="Times New Roman" w:eastAsia="Times New Roman" w:hAnsi="Times New Roman" w:cs="Times New Roman"/>
                <w:sz w:val="24"/>
                <w:szCs w:val="24"/>
                <w:lang w:val="sr-Latn-RS" w:eastAsia="en-GB"/>
              </w:rPr>
            </w:pPr>
            <w:r>
              <w:rPr>
                <w:rFonts w:ascii="Times New Roman" w:eastAsia="Times New Roman" w:hAnsi="Times New Roman" w:cs="Times New Roman"/>
                <w:sz w:val="24"/>
                <w:szCs w:val="24"/>
                <w:lang w:val="sr-Latn-RS" w:eastAsia="en-GB"/>
              </w:rPr>
              <w:t>58</w:t>
            </w:r>
            <w:r w:rsidRPr="00B922AD">
              <w:rPr>
                <w:rFonts w:ascii="Times New Roman" w:eastAsia="Times New Roman" w:hAnsi="Times New Roman" w:cs="Times New Roman"/>
                <w:sz w:val="24"/>
                <w:szCs w:val="24"/>
                <w:lang w:val="sr-Cyrl-CS" w:eastAsia="en-GB"/>
              </w:rPr>
              <w:t>.</w:t>
            </w:r>
            <w:r>
              <w:rPr>
                <w:rFonts w:ascii="Times New Roman" w:eastAsia="Times New Roman" w:hAnsi="Times New Roman" w:cs="Times New Roman"/>
                <w:sz w:val="24"/>
                <w:szCs w:val="24"/>
                <w:lang w:val="sr-Latn-RS" w:eastAsia="en-GB"/>
              </w:rPr>
              <w:t>373.971</w:t>
            </w:r>
          </w:p>
        </w:tc>
      </w:tr>
      <w:tr w:rsidR="006C6DE9" w:rsidRPr="00B922AD" w14:paraId="7954AF18" w14:textId="77777777" w:rsidTr="003124ED">
        <w:trPr>
          <w:trHeight w:val="300"/>
          <w:jc w:val="center"/>
        </w:trPr>
        <w:tc>
          <w:tcPr>
            <w:tcW w:w="6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E2A05" w14:textId="77777777" w:rsidR="006C6DE9" w:rsidRDefault="006C6DE9" w:rsidP="003124ED">
            <w:pPr>
              <w:spacing w:after="0" w:line="240" w:lineRule="auto"/>
              <w:jc w:val="center"/>
              <w:rPr>
                <w:rFonts w:ascii="Times New Roman" w:eastAsia="Times New Roman" w:hAnsi="Times New Roman" w:cs="Times New Roman"/>
                <w:sz w:val="24"/>
                <w:szCs w:val="24"/>
                <w:lang w:val="en-GB" w:eastAsia="en-GB"/>
              </w:rPr>
            </w:pPr>
            <w:r w:rsidRPr="00B922AD">
              <w:rPr>
                <w:rFonts w:ascii="Times New Roman" w:eastAsia="Times New Roman" w:hAnsi="Times New Roman" w:cs="Times New Roman"/>
                <w:sz w:val="24"/>
                <w:szCs w:val="24"/>
                <w:lang w:val="en-GB" w:eastAsia="en-GB"/>
              </w:rPr>
              <w:t>ОПЕРАТОР ДИСТРИБУТИВНОГ СИСТЕМА</w:t>
            </w:r>
          </w:p>
          <w:p w14:paraId="1FEEBB97"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en-GB" w:eastAsia="en-GB"/>
              </w:rPr>
            </w:pPr>
            <w:r w:rsidRPr="00B922A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sr-Cyrl-RS" w:eastAsia="en-GB"/>
              </w:rPr>
              <w:t>„</w:t>
            </w:r>
            <w:r w:rsidRPr="00B922AD">
              <w:rPr>
                <w:rFonts w:ascii="Times New Roman" w:eastAsia="Times New Roman" w:hAnsi="Times New Roman" w:cs="Times New Roman"/>
                <w:sz w:val="24"/>
                <w:szCs w:val="24"/>
                <w:lang w:val="en-GB" w:eastAsia="en-GB"/>
              </w:rPr>
              <w:t>ЕПС ДИСТРИБУЦИЈА</w:t>
            </w:r>
            <w:r>
              <w:rPr>
                <w:rFonts w:ascii="Times New Roman" w:eastAsia="Times New Roman" w:hAnsi="Times New Roman" w:cs="Times New Roman"/>
                <w:sz w:val="24"/>
                <w:szCs w:val="24"/>
                <w:lang w:val="sr-Cyrl-RS" w:eastAsia="en-GB"/>
              </w:rPr>
              <w:t xml:space="preserve">“ </w:t>
            </w:r>
            <w:r w:rsidRPr="00B922AD">
              <w:rPr>
                <w:rFonts w:ascii="Times New Roman" w:eastAsia="Times New Roman" w:hAnsi="Times New Roman" w:cs="Times New Roman"/>
                <w:sz w:val="24"/>
                <w:szCs w:val="24"/>
                <w:lang w:val="en-GB" w:eastAsia="en-GB"/>
              </w:rPr>
              <w:t xml:space="preserve"> Д.О.О.</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49F450E" w14:textId="77777777" w:rsidR="006C6DE9" w:rsidRPr="00BF7755" w:rsidRDefault="006C6DE9" w:rsidP="003124ED">
            <w:pPr>
              <w:spacing w:after="0" w:line="240" w:lineRule="auto"/>
              <w:jc w:val="center"/>
              <w:rPr>
                <w:rFonts w:ascii="Times New Roman" w:eastAsia="Times New Roman" w:hAnsi="Times New Roman" w:cs="Times New Roman"/>
                <w:sz w:val="24"/>
                <w:szCs w:val="24"/>
                <w:lang w:val="sr-Latn-RS" w:eastAsia="en-GB"/>
              </w:rPr>
            </w:pPr>
            <w:r>
              <w:rPr>
                <w:rFonts w:ascii="Times New Roman" w:eastAsia="Times New Roman" w:hAnsi="Times New Roman" w:cs="Times New Roman"/>
                <w:sz w:val="24"/>
                <w:szCs w:val="24"/>
                <w:lang w:val="sr-Latn-RS" w:eastAsia="en-GB"/>
              </w:rPr>
              <w:t>557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D290294" w14:textId="77777777" w:rsidR="006C6DE9" w:rsidRPr="00BF7755" w:rsidRDefault="006C6DE9" w:rsidP="003124ED">
            <w:pPr>
              <w:spacing w:after="0" w:line="240" w:lineRule="auto"/>
              <w:jc w:val="center"/>
              <w:rPr>
                <w:rFonts w:ascii="Times New Roman" w:eastAsia="Times New Roman" w:hAnsi="Times New Roman" w:cs="Times New Roman"/>
                <w:sz w:val="24"/>
                <w:szCs w:val="24"/>
                <w:lang w:val="sr-Latn-RS" w:eastAsia="en-GB"/>
              </w:rPr>
            </w:pPr>
            <w:r>
              <w:rPr>
                <w:rFonts w:ascii="Times New Roman" w:eastAsia="Times New Roman" w:hAnsi="Times New Roman" w:cs="Times New Roman"/>
                <w:sz w:val="24"/>
                <w:szCs w:val="24"/>
                <w:lang w:val="sr-Latn-RS" w:eastAsia="en-GB"/>
              </w:rPr>
              <w:t>17.386.613</w:t>
            </w:r>
          </w:p>
        </w:tc>
      </w:tr>
      <w:tr w:rsidR="006C6DE9" w:rsidRPr="00B922AD" w14:paraId="5A6258FD"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14:paraId="40CE28ED" w14:textId="77777777" w:rsidR="006C6DE9" w:rsidRPr="00BF7755" w:rsidRDefault="006C6DE9" w:rsidP="003124ED">
            <w:pPr>
              <w:spacing w:after="0" w:line="240" w:lineRule="auto"/>
              <w:jc w:val="center"/>
              <w:rPr>
                <w:rFonts w:ascii="Times New Roman" w:eastAsia="Times New Roman" w:hAnsi="Times New Roman" w:cs="Times New Roman"/>
                <w:sz w:val="24"/>
                <w:szCs w:val="24"/>
                <w:lang w:val="sr-Cyrl-RS" w:eastAsia="en-GB"/>
              </w:rPr>
            </w:pPr>
            <w:r w:rsidRPr="00B922AD">
              <w:rPr>
                <w:rFonts w:ascii="Times New Roman" w:eastAsia="Times New Roman" w:hAnsi="Times New Roman" w:cs="Times New Roman"/>
                <w:sz w:val="24"/>
                <w:szCs w:val="24"/>
                <w:lang w:val="sr-Cyrl-CS" w:eastAsia="en-GB"/>
              </w:rPr>
              <w:t xml:space="preserve">КЛИНИЧКИ ЦЕНТАР </w:t>
            </w:r>
            <w:r>
              <w:rPr>
                <w:rFonts w:ascii="Times New Roman" w:eastAsia="Times New Roman" w:hAnsi="Times New Roman" w:cs="Times New Roman"/>
                <w:sz w:val="24"/>
                <w:szCs w:val="24"/>
                <w:lang w:val="sr-Cyrl-RS" w:eastAsia="en-GB"/>
              </w:rPr>
              <w:t>СРБИЈЕ</w:t>
            </w:r>
          </w:p>
        </w:tc>
        <w:tc>
          <w:tcPr>
            <w:tcW w:w="1121" w:type="dxa"/>
            <w:tcBorders>
              <w:top w:val="nil"/>
              <w:left w:val="nil"/>
              <w:bottom w:val="single" w:sz="4" w:space="0" w:color="auto"/>
              <w:right w:val="single" w:sz="4" w:space="0" w:color="auto"/>
            </w:tcBorders>
            <w:shd w:val="clear" w:color="auto" w:fill="auto"/>
            <w:noWrap/>
            <w:vAlign w:val="center"/>
          </w:tcPr>
          <w:p w14:paraId="4004D3A8"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2.228</w:t>
            </w:r>
          </w:p>
        </w:tc>
        <w:tc>
          <w:tcPr>
            <w:tcW w:w="1417" w:type="dxa"/>
            <w:tcBorders>
              <w:top w:val="nil"/>
              <w:left w:val="nil"/>
              <w:bottom w:val="single" w:sz="4" w:space="0" w:color="auto"/>
              <w:right w:val="single" w:sz="4" w:space="0" w:color="auto"/>
            </w:tcBorders>
            <w:shd w:val="clear" w:color="auto" w:fill="auto"/>
            <w:noWrap/>
            <w:vAlign w:val="center"/>
          </w:tcPr>
          <w:p w14:paraId="1438996B"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14.760.991</w:t>
            </w:r>
          </w:p>
        </w:tc>
      </w:tr>
      <w:tr w:rsidR="006C6DE9" w:rsidRPr="00B922AD" w14:paraId="4D0956FF"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tcPr>
          <w:p w14:paraId="09FCC7D1"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,,ИНГРАСТРУКТУРА ЖЕЛЕЗНИЦЕ СРБИЈЕ“ А.Д.</w:t>
            </w:r>
          </w:p>
        </w:tc>
        <w:tc>
          <w:tcPr>
            <w:tcW w:w="1121" w:type="dxa"/>
            <w:tcBorders>
              <w:top w:val="nil"/>
              <w:left w:val="nil"/>
              <w:bottom w:val="single" w:sz="4" w:space="0" w:color="auto"/>
              <w:right w:val="single" w:sz="4" w:space="0" w:color="auto"/>
            </w:tcBorders>
            <w:shd w:val="clear" w:color="auto" w:fill="auto"/>
            <w:noWrap/>
            <w:vAlign w:val="center"/>
          </w:tcPr>
          <w:p w14:paraId="418A519A" w14:textId="77777777" w:rsidR="006C6DE9"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167</w:t>
            </w:r>
          </w:p>
        </w:tc>
        <w:tc>
          <w:tcPr>
            <w:tcW w:w="1417" w:type="dxa"/>
            <w:tcBorders>
              <w:top w:val="nil"/>
              <w:left w:val="nil"/>
              <w:bottom w:val="single" w:sz="4" w:space="0" w:color="auto"/>
              <w:right w:val="single" w:sz="4" w:space="0" w:color="auto"/>
            </w:tcBorders>
            <w:shd w:val="clear" w:color="auto" w:fill="auto"/>
            <w:noWrap/>
            <w:vAlign w:val="center"/>
          </w:tcPr>
          <w:p w14:paraId="72694F05" w14:textId="77777777" w:rsidR="006C6DE9"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9.801.535</w:t>
            </w:r>
          </w:p>
        </w:tc>
      </w:tr>
      <w:tr w:rsidR="006C6DE9" w:rsidRPr="00B922AD" w14:paraId="01C3E4FB"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14:paraId="7A5B48EE"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sidRPr="00B922AD">
              <w:rPr>
                <w:rFonts w:ascii="Times New Roman" w:eastAsia="Times New Roman" w:hAnsi="Times New Roman" w:cs="Times New Roman"/>
                <w:sz w:val="24"/>
                <w:szCs w:val="24"/>
                <w:lang w:val="sr-Cyrl-CS" w:eastAsia="en-GB"/>
              </w:rPr>
              <w:t>ЈКП „ГСП“ БЕОГРАД</w:t>
            </w:r>
          </w:p>
        </w:tc>
        <w:tc>
          <w:tcPr>
            <w:tcW w:w="1121" w:type="dxa"/>
            <w:tcBorders>
              <w:top w:val="nil"/>
              <w:left w:val="nil"/>
              <w:bottom w:val="single" w:sz="4" w:space="0" w:color="auto"/>
              <w:right w:val="single" w:sz="4" w:space="0" w:color="auto"/>
            </w:tcBorders>
            <w:shd w:val="clear" w:color="auto" w:fill="auto"/>
            <w:noWrap/>
            <w:vAlign w:val="center"/>
          </w:tcPr>
          <w:p w14:paraId="1B09B991"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971</w:t>
            </w:r>
          </w:p>
        </w:tc>
        <w:tc>
          <w:tcPr>
            <w:tcW w:w="1417" w:type="dxa"/>
            <w:tcBorders>
              <w:top w:val="nil"/>
              <w:left w:val="nil"/>
              <w:bottom w:val="single" w:sz="4" w:space="0" w:color="auto"/>
              <w:right w:val="single" w:sz="4" w:space="0" w:color="auto"/>
            </w:tcBorders>
            <w:shd w:val="clear" w:color="auto" w:fill="auto"/>
            <w:noWrap/>
            <w:vAlign w:val="center"/>
          </w:tcPr>
          <w:p w14:paraId="5F20A0C1"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8.423.951</w:t>
            </w:r>
          </w:p>
        </w:tc>
      </w:tr>
      <w:tr w:rsidR="006C6DE9" w:rsidRPr="00B922AD" w14:paraId="288FBF67"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14:paraId="533434FE"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sidRPr="00B922AD">
              <w:rPr>
                <w:rFonts w:ascii="Times New Roman" w:eastAsia="Times New Roman" w:hAnsi="Times New Roman" w:cs="Times New Roman"/>
                <w:sz w:val="24"/>
                <w:szCs w:val="24"/>
                <w:lang w:val="sr-Cyrl-CS" w:eastAsia="en-GB"/>
              </w:rPr>
              <w:t>ЈКП „БЕОГРАДСКЕ ЕЛЕКТРАНЕ“ БЕОГРАД</w:t>
            </w:r>
          </w:p>
        </w:tc>
        <w:tc>
          <w:tcPr>
            <w:tcW w:w="1121" w:type="dxa"/>
            <w:tcBorders>
              <w:top w:val="nil"/>
              <w:left w:val="nil"/>
              <w:bottom w:val="single" w:sz="4" w:space="0" w:color="auto"/>
              <w:right w:val="single" w:sz="4" w:space="0" w:color="auto"/>
            </w:tcBorders>
            <w:shd w:val="clear" w:color="auto" w:fill="auto"/>
            <w:noWrap/>
            <w:vAlign w:val="center"/>
          </w:tcPr>
          <w:p w14:paraId="14E1DCE1"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1.102</w:t>
            </w:r>
          </w:p>
        </w:tc>
        <w:tc>
          <w:tcPr>
            <w:tcW w:w="1417" w:type="dxa"/>
            <w:tcBorders>
              <w:top w:val="nil"/>
              <w:left w:val="nil"/>
              <w:bottom w:val="single" w:sz="4" w:space="0" w:color="auto"/>
              <w:right w:val="single" w:sz="4" w:space="0" w:color="auto"/>
            </w:tcBorders>
            <w:shd w:val="clear" w:color="auto" w:fill="auto"/>
            <w:noWrap/>
            <w:vAlign w:val="center"/>
          </w:tcPr>
          <w:p w14:paraId="37E35DBC"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7.026.061</w:t>
            </w:r>
          </w:p>
        </w:tc>
      </w:tr>
      <w:tr w:rsidR="006C6DE9" w:rsidRPr="00B922AD" w14:paraId="6802D3C8"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tcPr>
          <w:p w14:paraId="2DAE9E8C" w14:textId="77777777" w:rsidR="006C6DE9" w:rsidRPr="00BF7755" w:rsidRDefault="006C6DE9" w:rsidP="003124ED">
            <w:pPr>
              <w:spacing w:after="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КЛИНИЧКИ ЦЕНТАР ВОЈВОДИНЕ</w:t>
            </w:r>
          </w:p>
        </w:tc>
        <w:tc>
          <w:tcPr>
            <w:tcW w:w="1121" w:type="dxa"/>
            <w:tcBorders>
              <w:top w:val="nil"/>
              <w:left w:val="nil"/>
              <w:bottom w:val="single" w:sz="4" w:space="0" w:color="auto"/>
              <w:right w:val="single" w:sz="4" w:space="0" w:color="auto"/>
            </w:tcBorders>
            <w:shd w:val="clear" w:color="auto" w:fill="auto"/>
            <w:noWrap/>
            <w:vAlign w:val="center"/>
          </w:tcPr>
          <w:p w14:paraId="1F052951"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1.185</w:t>
            </w:r>
          </w:p>
        </w:tc>
        <w:tc>
          <w:tcPr>
            <w:tcW w:w="1417" w:type="dxa"/>
            <w:tcBorders>
              <w:top w:val="nil"/>
              <w:left w:val="nil"/>
              <w:bottom w:val="single" w:sz="4" w:space="0" w:color="auto"/>
              <w:right w:val="single" w:sz="4" w:space="0" w:color="auto"/>
            </w:tcBorders>
            <w:shd w:val="clear" w:color="auto" w:fill="auto"/>
            <w:noWrap/>
            <w:vAlign w:val="center"/>
          </w:tcPr>
          <w:p w14:paraId="240ED4B4"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6.266.951</w:t>
            </w:r>
          </w:p>
        </w:tc>
      </w:tr>
      <w:tr w:rsidR="006C6DE9" w:rsidRPr="00B922AD" w14:paraId="00C684EF"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tcPr>
          <w:p w14:paraId="4F838A0E" w14:textId="77777777" w:rsidR="006C6DE9" w:rsidRDefault="006C6DE9" w:rsidP="003124ED">
            <w:pPr>
              <w:spacing w:after="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МИНИСТАРСТВО ГРАЂЕВИНАРСТВА, САОБРАЋАЈА</w:t>
            </w:r>
          </w:p>
          <w:p w14:paraId="0454123B" w14:textId="77777777" w:rsidR="006C6DE9" w:rsidRPr="00ED19C6" w:rsidRDefault="006C6DE9" w:rsidP="003124ED">
            <w:pPr>
              <w:spacing w:after="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 xml:space="preserve"> И ИНФРАСТРУКТУРЕ</w:t>
            </w:r>
          </w:p>
        </w:tc>
        <w:tc>
          <w:tcPr>
            <w:tcW w:w="1121" w:type="dxa"/>
            <w:tcBorders>
              <w:top w:val="nil"/>
              <w:left w:val="nil"/>
              <w:bottom w:val="single" w:sz="4" w:space="0" w:color="auto"/>
              <w:right w:val="single" w:sz="4" w:space="0" w:color="auto"/>
            </w:tcBorders>
            <w:shd w:val="clear" w:color="auto" w:fill="auto"/>
            <w:noWrap/>
            <w:vAlign w:val="center"/>
          </w:tcPr>
          <w:p w14:paraId="284C1E6D"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33</w:t>
            </w:r>
          </w:p>
        </w:tc>
        <w:tc>
          <w:tcPr>
            <w:tcW w:w="1417" w:type="dxa"/>
            <w:tcBorders>
              <w:top w:val="nil"/>
              <w:left w:val="nil"/>
              <w:bottom w:val="single" w:sz="4" w:space="0" w:color="auto"/>
              <w:right w:val="single" w:sz="4" w:space="0" w:color="auto"/>
            </w:tcBorders>
            <w:shd w:val="clear" w:color="auto" w:fill="auto"/>
            <w:noWrap/>
            <w:vAlign w:val="center"/>
          </w:tcPr>
          <w:p w14:paraId="0B380FE5"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6.128.936</w:t>
            </w:r>
          </w:p>
        </w:tc>
      </w:tr>
      <w:tr w:rsidR="006C6DE9" w:rsidRPr="00B922AD" w14:paraId="0CFDDE07"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tcPr>
          <w:p w14:paraId="5AE675E7" w14:textId="77777777" w:rsidR="006C6DE9" w:rsidRDefault="006C6DE9" w:rsidP="003124ED">
            <w:pPr>
              <w:spacing w:after="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КАНЦЕЛАРИЈА ЗА ИНФОРМАЦИОНЕ ТЕХНОЛОГИЈЕ</w:t>
            </w:r>
          </w:p>
          <w:p w14:paraId="5645F7C8" w14:textId="77777777" w:rsidR="006C6DE9" w:rsidRPr="00ED19C6" w:rsidRDefault="006C6DE9" w:rsidP="003124ED">
            <w:pPr>
              <w:spacing w:after="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 xml:space="preserve"> И ЕЛЕКТРОНСКУ УПРАВУ</w:t>
            </w:r>
          </w:p>
        </w:tc>
        <w:tc>
          <w:tcPr>
            <w:tcW w:w="1121" w:type="dxa"/>
            <w:tcBorders>
              <w:top w:val="nil"/>
              <w:left w:val="nil"/>
              <w:bottom w:val="single" w:sz="4" w:space="0" w:color="auto"/>
              <w:right w:val="single" w:sz="4" w:space="0" w:color="auto"/>
            </w:tcBorders>
            <w:shd w:val="clear" w:color="auto" w:fill="auto"/>
            <w:noWrap/>
            <w:vAlign w:val="center"/>
          </w:tcPr>
          <w:p w14:paraId="553FA94B"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12</w:t>
            </w:r>
          </w:p>
        </w:tc>
        <w:tc>
          <w:tcPr>
            <w:tcW w:w="1417" w:type="dxa"/>
            <w:tcBorders>
              <w:top w:val="nil"/>
              <w:left w:val="nil"/>
              <w:bottom w:val="single" w:sz="4" w:space="0" w:color="auto"/>
              <w:right w:val="single" w:sz="4" w:space="0" w:color="auto"/>
            </w:tcBorders>
            <w:shd w:val="clear" w:color="auto" w:fill="auto"/>
            <w:noWrap/>
            <w:vAlign w:val="center"/>
          </w:tcPr>
          <w:p w14:paraId="064E82D5"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5.336.234</w:t>
            </w:r>
          </w:p>
        </w:tc>
      </w:tr>
      <w:tr w:rsidR="006C6DE9" w:rsidRPr="00B922AD" w14:paraId="567B0C97" w14:textId="77777777" w:rsidTr="003124ED">
        <w:trPr>
          <w:trHeight w:val="300"/>
          <w:jc w:val="center"/>
        </w:trPr>
        <w:tc>
          <w:tcPr>
            <w:tcW w:w="6760" w:type="dxa"/>
            <w:tcBorders>
              <w:top w:val="nil"/>
              <w:left w:val="single" w:sz="4" w:space="0" w:color="auto"/>
              <w:bottom w:val="single" w:sz="4" w:space="0" w:color="auto"/>
              <w:right w:val="single" w:sz="4" w:space="0" w:color="auto"/>
            </w:tcBorders>
            <w:shd w:val="clear" w:color="auto" w:fill="auto"/>
            <w:noWrap/>
            <w:vAlign w:val="center"/>
          </w:tcPr>
          <w:p w14:paraId="023B7250" w14:textId="77777777" w:rsidR="006C6DE9"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 xml:space="preserve">МИНИСТАРСТВО УНУТРАШЊИХ ПОСЛОВА </w:t>
            </w:r>
          </w:p>
          <w:p w14:paraId="3D9D0A47"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РЕПУБЛИКЕ СРБИЈЕ</w:t>
            </w:r>
          </w:p>
        </w:tc>
        <w:tc>
          <w:tcPr>
            <w:tcW w:w="1121" w:type="dxa"/>
            <w:tcBorders>
              <w:top w:val="nil"/>
              <w:left w:val="nil"/>
              <w:bottom w:val="single" w:sz="4" w:space="0" w:color="auto"/>
              <w:right w:val="single" w:sz="4" w:space="0" w:color="auto"/>
            </w:tcBorders>
            <w:shd w:val="clear" w:color="auto" w:fill="auto"/>
            <w:noWrap/>
            <w:vAlign w:val="center"/>
          </w:tcPr>
          <w:p w14:paraId="4CA02DDF"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2.679</w:t>
            </w:r>
          </w:p>
        </w:tc>
        <w:tc>
          <w:tcPr>
            <w:tcW w:w="1417" w:type="dxa"/>
            <w:tcBorders>
              <w:top w:val="nil"/>
              <w:left w:val="nil"/>
              <w:bottom w:val="single" w:sz="4" w:space="0" w:color="auto"/>
              <w:right w:val="single" w:sz="4" w:space="0" w:color="auto"/>
            </w:tcBorders>
            <w:shd w:val="clear" w:color="auto" w:fill="auto"/>
            <w:noWrap/>
            <w:vAlign w:val="center"/>
          </w:tcPr>
          <w:p w14:paraId="380C99F5" w14:textId="77777777" w:rsidR="006C6DE9" w:rsidRPr="00B922AD" w:rsidRDefault="006C6DE9"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5.114.737</w:t>
            </w:r>
          </w:p>
        </w:tc>
      </w:tr>
    </w:tbl>
    <w:p w14:paraId="528F1138" w14:textId="77777777" w:rsidR="00977359" w:rsidRDefault="00977359" w:rsidP="00977359">
      <w:pPr>
        <w:jc w:val="both"/>
        <w:rPr>
          <w:rFonts w:ascii="Times New Roman" w:hAnsi="Times New Roman" w:cs="Times New Roman"/>
          <w:sz w:val="24"/>
          <w:szCs w:val="24"/>
        </w:rPr>
      </w:pPr>
      <w:r>
        <w:rPr>
          <w:rFonts w:ascii="Times New Roman" w:hAnsi="Times New Roman" w:cs="Times New Roman"/>
          <w:color w:val="FF0000"/>
          <w:sz w:val="24"/>
          <w:szCs w:val="24"/>
          <w:lang w:val="sr-Cyrl-CS"/>
        </w:rPr>
        <w:t xml:space="preserve">               </w:t>
      </w:r>
      <w:r>
        <w:rPr>
          <w:rFonts w:ascii="Times New Roman" w:hAnsi="Times New Roman" w:cs="Times New Roman"/>
          <w:sz w:val="24"/>
          <w:szCs w:val="24"/>
        </w:rPr>
        <w:t xml:space="preserve">      *В</w:t>
      </w:r>
      <w:r w:rsidRPr="005E5329">
        <w:rPr>
          <w:rFonts w:ascii="Times New Roman" w:hAnsi="Times New Roman" w:cs="Times New Roman"/>
          <w:sz w:val="24"/>
          <w:szCs w:val="24"/>
        </w:rPr>
        <w:t>редност</w:t>
      </w:r>
      <w:r>
        <w:rPr>
          <w:rFonts w:ascii="Times New Roman" w:hAnsi="Times New Roman" w:cs="Times New Roman"/>
          <w:sz w:val="24"/>
          <w:szCs w:val="24"/>
        </w:rPr>
        <w:t>и су изражене у хиљадама динара</w:t>
      </w:r>
    </w:p>
    <w:p w14:paraId="38482886" w14:textId="77777777" w:rsidR="00B90A32" w:rsidRPr="00B90A32" w:rsidRDefault="005E5329" w:rsidP="00960A8C">
      <w:pPr>
        <w:pStyle w:val="ListParagraph"/>
        <w:numPr>
          <w:ilvl w:val="0"/>
          <w:numId w:val="2"/>
        </w:numPr>
        <w:tabs>
          <w:tab w:val="num" w:pos="720"/>
        </w:tabs>
        <w:jc w:val="both"/>
        <w:rPr>
          <w:rFonts w:ascii="Times New Roman" w:hAnsi="Times New Roman" w:cs="Times New Roman"/>
          <w:color w:val="FF0000"/>
          <w:sz w:val="24"/>
          <w:szCs w:val="24"/>
        </w:rPr>
      </w:pPr>
      <w:r w:rsidRPr="00B90A32">
        <w:rPr>
          <w:rFonts w:ascii="Times New Roman" w:hAnsi="Times New Roman" w:cs="Times New Roman"/>
          <w:b/>
          <w:color w:val="000000" w:themeColor="text1"/>
          <w:sz w:val="24"/>
          <w:szCs w:val="24"/>
          <w:lang w:val="sr-Cyrl-CS"/>
        </w:rPr>
        <w:t xml:space="preserve"> </w:t>
      </w:r>
      <w:r w:rsidR="00F914ED" w:rsidRPr="00B90A32">
        <w:rPr>
          <w:rFonts w:ascii="Times New Roman" w:hAnsi="Times New Roman" w:cs="Times New Roman"/>
          <w:b/>
          <w:color w:val="000000" w:themeColor="text1"/>
          <w:sz w:val="24"/>
          <w:szCs w:val="24"/>
          <w:lang w:val="sr-Cyrl-CS"/>
        </w:rPr>
        <w:t>КЉУЧНЕ ПЕРФОРМАНСЕ</w:t>
      </w:r>
      <w:r w:rsidR="00853C0B" w:rsidRPr="00B90A32">
        <w:rPr>
          <w:rFonts w:ascii="Times New Roman" w:hAnsi="Times New Roman" w:cs="Times New Roman"/>
          <w:b/>
          <w:color w:val="000000" w:themeColor="text1"/>
          <w:sz w:val="24"/>
          <w:szCs w:val="24"/>
          <w:lang w:val="sr-Cyrl-CS"/>
        </w:rPr>
        <w:t xml:space="preserve"> ЈАВНИХ НАБАВКИ </w:t>
      </w:r>
    </w:p>
    <w:p w14:paraId="62B0B576" w14:textId="77777777" w:rsidR="00B90A32" w:rsidRDefault="00B90A32" w:rsidP="00B90A32">
      <w:pPr>
        <w:pStyle w:val="ListParagraph"/>
        <w:tabs>
          <w:tab w:val="num" w:pos="720"/>
        </w:tabs>
        <w:jc w:val="both"/>
        <w:rPr>
          <w:rFonts w:ascii="Times New Roman" w:hAnsi="Times New Roman" w:cs="Times New Roman"/>
          <w:color w:val="FF0000"/>
          <w:sz w:val="24"/>
          <w:szCs w:val="24"/>
          <w:lang w:val="sr"/>
        </w:rPr>
      </w:pPr>
    </w:p>
    <w:p w14:paraId="5A6C2B74" w14:textId="29F1EAC0" w:rsidR="00C13F38" w:rsidRPr="00B90A32" w:rsidRDefault="00FA52F7" w:rsidP="00B90A32">
      <w:pPr>
        <w:tabs>
          <w:tab w:val="num" w:pos="720"/>
        </w:tabs>
        <w:jc w:val="both"/>
        <w:rPr>
          <w:rFonts w:ascii="Times New Roman" w:hAnsi="Times New Roman" w:cs="Times New Roman"/>
          <w:color w:val="000000" w:themeColor="text1"/>
          <w:sz w:val="24"/>
          <w:szCs w:val="24"/>
          <w:lang w:val="sr"/>
        </w:rPr>
      </w:pPr>
      <w:r w:rsidRPr="00B90A32">
        <w:rPr>
          <w:rFonts w:ascii="Times New Roman" w:hAnsi="Times New Roman" w:cs="Times New Roman"/>
          <w:color w:val="000000" w:themeColor="text1"/>
          <w:sz w:val="24"/>
          <w:szCs w:val="24"/>
          <w:lang w:val="sr"/>
        </w:rPr>
        <w:t>Један од најзначајнијих показатеља перформанси јавних набавки јесте</w:t>
      </w:r>
      <w:r w:rsidR="0048271F" w:rsidRPr="00B90A32">
        <w:rPr>
          <w:rFonts w:ascii="Times New Roman" w:hAnsi="Times New Roman" w:cs="Times New Roman"/>
          <w:color w:val="000000" w:themeColor="text1"/>
          <w:sz w:val="24"/>
          <w:szCs w:val="24"/>
          <w:lang w:val="sr"/>
        </w:rPr>
        <w:t xml:space="preserve"> дужина трајања поступка. </w:t>
      </w:r>
      <w:r w:rsidR="005A5570" w:rsidRPr="00B90A32">
        <w:rPr>
          <w:rFonts w:ascii="Times New Roman" w:hAnsi="Times New Roman" w:cs="Times New Roman"/>
          <w:color w:val="000000" w:themeColor="text1"/>
          <w:sz w:val="24"/>
          <w:szCs w:val="24"/>
          <w:lang w:val="sr"/>
        </w:rPr>
        <w:t xml:space="preserve">У </w:t>
      </w:r>
      <w:r w:rsidR="006630D7">
        <w:rPr>
          <w:rFonts w:ascii="Times New Roman" w:hAnsi="Times New Roman" w:cs="Times New Roman"/>
          <w:color w:val="000000" w:themeColor="text1"/>
          <w:sz w:val="24"/>
          <w:szCs w:val="24"/>
          <w:lang w:val="sr"/>
        </w:rPr>
        <w:t xml:space="preserve">периоду 2014 - </w:t>
      </w:r>
      <w:r w:rsidR="000B1315">
        <w:rPr>
          <w:rFonts w:ascii="Times New Roman" w:hAnsi="Times New Roman" w:cs="Times New Roman"/>
          <w:color w:val="000000" w:themeColor="text1"/>
          <w:sz w:val="24"/>
          <w:szCs w:val="24"/>
          <w:lang w:val="sr"/>
        </w:rPr>
        <w:t>2019</w:t>
      </w:r>
      <w:r w:rsidR="006630D7">
        <w:rPr>
          <w:rFonts w:ascii="Times New Roman" w:hAnsi="Times New Roman" w:cs="Times New Roman"/>
          <w:color w:val="000000" w:themeColor="text1"/>
          <w:sz w:val="24"/>
          <w:szCs w:val="24"/>
          <w:lang w:val="sr"/>
        </w:rPr>
        <w:t>. година</w:t>
      </w:r>
      <w:r w:rsidRPr="00B90A32">
        <w:rPr>
          <w:rFonts w:ascii="Times New Roman" w:hAnsi="Times New Roman" w:cs="Times New Roman"/>
          <w:color w:val="000000" w:themeColor="text1"/>
          <w:sz w:val="24"/>
          <w:szCs w:val="24"/>
          <w:lang w:val="sr"/>
        </w:rPr>
        <w:t xml:space="preserve"> </w:t>
      </w:r>
      <w:r w:rsidR="006630D7">
        <w:rPr>
          <w:rFonts w:ascii="Times New Roman" w:hAnsi="Times New Roman" w:cs="Times New Roman"/>
          <w:color w:val="000000" w:themeColor="text1"/>
          <w:sz w:val="24"/>
          <w:szCs w:val="24"/>
          <w:lang w:val="sr"/>
        </w:rPr>
        <w:t xml:space="preserve">дошло је до значајног скраћења </w:t>
      </w:r>
      <w:r w:rsidRPr="00B90A32">
        <w:rPr>
          <w:rFonts w:ascii="Times New Roman" w:hAnsi="Times New Roman" w:cs="Times New Roman"/>
          <w:color w:val="000000" w:themeColor="text1"/>
          <w:sz w:val="24"/>
          <w:szCs w:val="24"/>
          <w:lang w:val="sr-Cyrl-CS"/>
        </w:rPr>
        <w:t>п</w:t>
      </w:r>
      <w:r w:rsidR="005E5329" w:rsidRPr="00B90A32">
        <w:rPr>
          <w:rFonts w:ascii="Times New Roman" w:hAnsi="Times New Roman" w:cs="Times New Roman"/>
          <w:color w:val="000000" w:themeColor="text1"/>
          <w:sz w:val="24"/>
          <w:szCs w:val="24"/>
          <w:lang w:val="sr-Cyrl-CS"/>
        </w:rPr>
        <w:t>росечно</w:t>
      </w:r>
      <w:r w:rsidR="006630D7">
        <w:rPr>
          <w:rFonts w:ascii="Times New Roman" w:hAnsi="Times New Roman" w:cs="Times New Roman"/>
          <w:color w:val="000000" w:themeColor="text1"/>
          <w:sz w:val="24"/>
          <w:szCs w:val="24"/>
          <w:lang w:val="sr-Cyrl-CS"/>
        </w:rPr>
        <w:t>г трајања</w:t>
      </w:r>
      <w:r w:rsidR="005E5329" w:rsidRPr="00B90A32">
        <w:rPr>
          <w:rFonts w:ascii="Times New Roman" w:hAnsi="Times New Roman" w:cs="Times New Roman"/>
          <w:color w:val="000000" w:themeColor="text1"/>
          <w:sz w:val="24"/>
          <w:szCs w:val="24"/>
          <w:lang w:val="sr-Cyrl-CS"/>
        </w:rPr>
        <w:t xml:space="preserve"> о</w:t>
      </w:r>
      <w:r w:rsidRPr="00B90A32">
        <w:rPr>
          <w:rFonts w:ascii="Times New Roman" w:hAnsi="Times New Roman" w:cs="Times New Roman"/>
          <w:color w:val="000000" w:themeColor="text1"/>
          <w:sz w:val="24"/>
          <w:szCs w:val="24"/>
          <w:lang w:val="sr-Cyrl-CS"/>
        </w:rPr>
        <w:t xml:space="preserve">твореног поступка јавне набавке, </w:t>
      </w:r>
      <w:r w:rsidR="005E5329" w:rsidRPr="00B90A32">
        <w:rPr>
          <w:rFonts w:ascii="Times New Roman" w:hAnsi="Times New Roman" w:cs="Times New Roman"/>
          <w:color w:val="000000" w:themeColor="text1"/>
          <w:sz w:val="24"/>
          <w:szCs w:val="24"/>
          <w:lang w:val="sr-Cyrl-CS"/>
        </w:rPr>
        <w:t xml:space="preserve">рачунајући од дана </w:t>
      </w:r>
      <w:r w:rsidRPr="00B90A32">
        <w:rPr>
          <w:rFonts w:ascii="Times New Roman" w:hAnsi="Times New Roman" w:cs="Times New Roman"/>
          <w:color w:val="000000" w:themeColor="text1"/>
          <w:sz w:val="24"/>
          <w:szCs w:val="24"/>
        </w:rPr>
        <w:t>објављивања позива на Порталу па</w:t>
      </w:r>
      <w:r w:rsidR="00957347" w:rsidRPr="00B90A32">
        <w:rPr>
          <w:rFonts w:ascii="Times New Roman" w:hAnsi="Times New Roman" w:cs="Times New Roman"/>
          <w:color w:val="000000" w:themeColor="text1"/>
          <w:sz w:val="24"/>
          <w:szCs w:val="24"/>
        </w:rPr>
        <w:t xml:space="preserve"> </w:t>
      </w:r>
      <w:r w:rsidR="005E5329" w:rsidRPr="00B90A32">
        <w:rPr>
          <w:rFonts w:ascii="Times New Roman" w:hAnsi="Times New Roman" w:cs="Times New Roman"/>
          <w:color w:val="000000" w:themeColor="text1"/>
          <w:sz w:val="24"/>
          <w:szCs w:val="24"/>
          <w:lang w:val="bs-Cyrl-BA"/>
        </w:rPr>
        <w:t>д</w:t>
      </w:r>
      <w:r w:rsidR="005E5329" w:rsidRPr="00B90A32">
        <w:rPr>
          <w:rFonts w:ascii="Times New Roman" w:hAnsi="Times New Roman" w:cs="Times New Roman"/>
          <w:color w:val="000000" w:themeColor="text1"/>
          <w:sz w:val="24"/>
          <w:szCs w:val="24"/>
        </w:rPr>
        <w:t>о дана закључења уговора</w:t>
      </w:r>
      <w:r w:rsidRPr="00B90A32">
        <w:rPr>
          <w:rFonts w:ascii="Times New Roman" w:hAnsi="Times New Roman" w:cs="Times New Roman"/>
          <w:color w:val="000000" w:themeColor="text1"/>
          <w:sz w:val="24"/>
          <w:szCs w:val="24"/>
        </w:rPr>
        <w:t xml:space="preserve">, </w:t>
      </w:r>
      <w:r w:rsidR="006630D7">
        <w:rPr>
          <w:rFonts w:ascii="Times New Roman" w:hAnsi="Times New Roman" w:cs="Times New Roman"/>
          <w:color w:val="000000" w:themeColor="text1"/>
          <w:sz w:val="24"/>
          <w:szCs w:val="24"/>
        </w:rPr>
        <w:t xml:space="preserve">са </w:t>
      </w:r>
      <w:r w:rsidR="006630D7" w:rsidRPr="00B90A32">
        <w:rPr>
          <w:rFonts w:ascii="Times New Roman" w:hAnsi="Times New Roman" w:cs="Times New Roman"/>
          <w:color w:val="000000" w:themeColor="text1"/>
          <w:sz w:val="24"/>
          <w:szCs w:val="24"/>
          <w:lang w:val="sr"/>
        </w:rPr>
        <w:t>77 дана</w:t>
      </w:r>
      <w:r w:rsidR="006630D7" w:rsidRPr="00B90A32">
        <w:rPr>
          <w:rFonts w:ascii="Times New Roman" w:hAnsi="Times New Roman" w:cs="Times New Roman"/>
          <w:color w:val="000000" w:themeColor="text1"/>
          <w:sz w:val="24"/>
          <w:szCs w:val="24"/>
        </w:rPr>
        <w:t xml:space="preserve"> </w:t>
      </w:r>
      <w:r w:rsidR="006630D7">
        <w:rPr>
          <w:rFonts w:ascii="Times New Roman" w:hAnsi="Times New Roman" w:cs="Times New Roman"/>
          <w:color w:val="000000" w:themeColor="text1"/>
          <w:sz w:val="24"/>
          <w:szCs w:val="24"/>
        </w:rPr>
        <w:t xml:space="preserve">у </w:t>
      </w:r>
      <w:r w:rsidR="006630D7">
        <w:rPr>
          <w:rFonts w:ascii="Times New Roman" w:hAnsi="Times New Roman" w:cs="Times New Roman"/>
          <w:color w:val="000000" w:themeColor="text1"/>
          <w:sz w:val="24"/>
          <w:szCs w:val="24"/>
          <w:lang w:val="sr"/>
        </w:rPr>
        <w:t xml:space="preserve">2014. години на </w:t>
      </w:r>
      <w:r w:rsidR="000B1315">
        <w:rPr>
          <w:rFonts w:ascii="Times New Roman" w:hAnsi="Times New Roman" w:cs="Times New Roman"/>
          <w:color w:val="000000" w:themeColor="text1"/>
          <w:sz w:val="24"/>
          <w:szCs w:val="24"/>
        </w:rPr>
        <w:t>62</w:t>
      </w:r>
      <w:r w:rsidR="005E5329" w:rsidRPr="00B90A32">
        <w:rPr>
          <w:rFonts w:ascii="Times New Roman" w:hAnsi="Times New Roman" w:cs="Times New Roman"/>
          <w:color w:val="000000" w:themeColor="text1"/>
          <w:sz w:val="24"/>
          <w:szCs w:val="24"/>
        </w:rPr>
        <w:t xml:space="preserve"> дан</w:t>
      </w:r>
      <w:r w:rsidR="00B90A32" w:rsidRPr="00B90A32">
        <w:rPr>
          <w:rFonts w:ascii="Times New Roman" w:hAnsi="Times New Roman" w:cs="Times New Roman"/>
          <w:color w:val="000000" w:themeColor="text1"/>
          <w:sz w:val="24"/>
          <w:szCs w:val="24"/>
        </w:rPr>
        <w:t xml:space="preserve">а </w:t>
      </w:r>
      <w:r w:rsidR="007C5943">
        <w:rPr>
          <w:rFonts w:ascii="Times New Roman" w:hAnsi="Times New Roman" w:cs="Times New Roman"/>
          <w:color w:val="000000" w:themeColor="text1"/>
          <w:sz w:val="24"/>
          <w:szCs w:val="24"/>
        </w:rPr>
        <w:t>у</w:t>
      </w:r>
      <w:r w:rsidR="000B1315">
        <w:rPr>
          <w:rFonts w:ascii="Times New Roman" w:hAnsi="Times New Roman" w:cs="Times New Roman"/>
          <w:color w:val="000000" w:themeColor="text1"/>
          <w:sz w:val="24"/>
          <w:szCs w:val="24"/>
        </w:rPr>
        <w:t xml:space="preserve"> 2019</w:t>
      </w:r>
      <w:r w:rsidR="006630D7">
        <w:rPr>
          <w:rFonts w:ascii="Times New Roman" w:hAnsi="Times New Roman" w:cs="Times New Roman"/>
          <w:color w:val="000000" w:themeColor="text1"/>
          <w:sz w:val="24"/>
          <w:szCs w:val="24"/>
        </w:rPr>
        <w:t>. години.</w:t>
      </w:r>
      <w:r w:rsidR="005E5329" w:rsidRPr="00B90A32">
        <w:rPr>
          <w:rFonts w:ascii="Times New Roman" w:hAnsi="Times New Roman" w:cs="Times New Roman"/>
          <w:color w:val="000000" w:themeColor="text1"/>
          <w:sz w:val="24"/>
          <w:szCs w:val="24"/>
        </w:rPr>
        <w:t xml:space="preserve"> </w:t>
      </w:r>
      <w:r w:rsidR="00C13F38" w:rsidRPr="00606639">
        <w:rPr>
          <w:rFonts w:ascii="Times New Roman" w:hAnsi="Times New Roman" w:cs="Times New Roman"/>
          <w:sz w:val="24"/>
          <w:szCs w:val="24"/>
        </w:rPr>
        <w:t xml:space="preserve">Просечно </w:t>
      </w:r>
      <w:r w:rsidR="00ED2AF1" w:rsidRPr="00606639">
        <w:rPr>
          <w:rFonts w:ascii="Times New Roman" w:hAnsi="Times New Roman" w:cs="Times New Roman"/>
          <w:sz w:val="24"/>
          <w:szCs w:val="24"/>
        </w:rPr>
        <w:t>т</w:t>
      </w:r>
      <w:r w:rsidR="00C13F38" w:rsidRPr="00606639">
        <w:rPr>
          <w:rFonts w:ascii="Times New Roman" w:hAnsi="Times New Roman" w:cs="Times New Roman"/>
          <w:sz w:val="24"/>
          <w:szCs w:val="24"/>
        </w:rPr>
        <w:t>рајање поступка јавне набавке мале вредности</w:t>
      </w:r>
      <w:r w:rsidR="005E5329" w:rsidRPr="00606639">
        <w:rPr>
          <w:rFonts w:ascii="Times New Roman" w:hAnsi="Times New Roman" w:cs="Times New Roman"/>
          <w:sz w:val="24"/>
          <w:szCs w:val="24"/>
        </w:rPr>
        <w:t xml:space="preserve"> </w:t>
      </w:r>
      <w:r w:rsidR="00C13F38" w:rsidRPr="00606639">
        <w:rPr>
          <w:rFonts w:ascii="Times New Roman" w:hAnsi="Times New Roman" w:cs="Times New Roman"/>
          <w:sz w:val="24"/>
          <w:szCs w:val="24"/>
        </w:rPr>
        <w:t>износи</w:t>
      </w:r>
      <w:r w:rsidR="00ED2AF1" w:rsidRPr="00606639">
        <w:rPr>
          <w:rFonts w:ascii="Times New Roman" w:hAnsi="Times New Roman" w:cs="Times New Roman"/>
          <w:sz w:val="24"/>
          <w:szCs w:val="24"/>
        </w:rPr>
        <w:t>ло је</w:t>
      </w:r>
      <w:r w:rsidR="000B1315">
        <w:rPr>
          <w:rFonts w:ascii="Times New Roman" w:hAnsi="Times New Roman" w:cs="Times New Roman"/>
          <w:sz w:val="24"/>
          <w:szCs w:val="24"/>
        </w:rPr>
        <w:t>, у 2019</w:t>
      </w:r>
      <w:r w:rsidR="006630D7" w:rsidRPr="00606639">
        <w:rPr>
          <w:rFonts w:ascii="Times New Roman" w:hAnsi="Times New Roman" w:cs="Times New Roman"/>
          <w:sz w:val="24"/>
          <w:szCs w:val="24"/>
        </w:rPr>
        <w:t xml:space="preserve">. години, </w:t>
      </w:r>
      <w:r w:rsidR="000B1315">
        <w:rPr>
          <w:rFonts w:ascii="Times New Roman" w:hAnsi="Times New Roman" w:cs="Times New Roman"/>
          <w:sz w:val="24"/>
          <w:szCs w:val="24"/>
        </w:rPr>
        <w:t>30</w:t>
      </w:r>
      <w:r w:rsidR="005E5329" w:rsidRPr="00606639">
        <w:rPr>
          <w:rFonts w:ascii="Times New Roman" w:hAnsi="Times New Roman" w:cs="Times New Roman"/>
          <w:sz w:val="24"/>
          <w:szCs w:val="24"/>
        </w:rPr>
        <w:t xml:space="preserve"> </w:t>
      </w:r>
      <w:r w:rsidR="00B90A32" w:rsidRPr="00606639">
        <w:rPr>
          <w:rFonts w:ascii="Times New Roman" w:hAnsi="Times New Roman" w:cs="Times New Roman"/>
          <w:sz w:val="24"/>
          <w:szCs w:val="24"/>
        </w:rPr>
        <w:t xml:space="preserve">дана </w:t>
      </w:r>
      <w:r w:rsidR="00A44E45" w:rsidRPr="00606639">
        <w:rPr>
          <w:rFonts w:ascii="Times New Roman" w:hAnsi="Times New Roman" w:cs="Times New Roman"/>
          <w:sz w:val="24"/>
          <w:szCs w:val="24"/>
          <w:lang w:val="sr"/>
        </w:rPr>
        <w:t>што је</w:t>
      </w:r>
      <w:r w:rsidR="00B90A32" w:rsidRPr="00606639">
        <w:rPr>
          <w:rFonts w:ascii="Times New Roman" w:hAnsi="Times New Roman" w:cs="Times New Roman"/>
          <w:sz w:val="24"/>
          <w:szCs w:val="24"/>
          <w:lang w:val="en-US"/>
        </w:rPr>
        <w:t xml:space="preserve"> </w:t>
      </w:r>
      <w:r w:rsidR="00B90A32" w:rsidRPr="00606639">
        <w:rPr>
          <w:rFonts w:ascii="Times New Roman" w:hAnsi="Times New Roman" w:cs="Times New Roman"/>
          <w:sz w:val="24"/>
          <w:szCs w:val="24"/>
          <w:lang w:val="sr"/>
        </w:rPr>
        <w:t xml:space="preserve">краће него </w:t>
      </w:r>
      <w:r w:rsidR="006630D7" w:rsidRPr="00606639">
        <w:rPr>
          <w:rFonts w:ascii="Times New Roman" w:hAnsi="Times New Roman" w:cs="Times New Roman"/>
          <w:sz w:val="24"/>
          <w:szCs w:val="24"/>
          <w:lang w:val="sr"/>
        </w:rPr>
        <w:t>у 2014. години</w:t>
      </w:r>
      <w:r w:rsidR="00B90A32" w:rsidRPr="00606639">
        <w:rPr>
          <w:rFonts w:ascii="Times New Roman" w:hAnsi="Times New Roman" w:cs="Times New Roman"/>
          <w:sz w:val="24"/>
          <w:szCs w:val="24"/>
          <w:lang w:val="sr"/>
        </w:rPr>
        <w:t xml:space="preserve"> када је износило 37 дана.  </w:t>
      </w:r>
    </w:p>
    <w:p w14:paraId="258667C2" w14:textId="2E8FA549" w:rsidR="00AC484D" w:rsidRPr="00606639" w:rsidRDefault="00EF78EB" w:rsidP="005E5329">
      <w:pPr>
        <w:jc w:val="both"/>
        <w:rPr>
          <w:rFonts w:ascii="Times New Roman" w:hAnsi="Times New Roman" w:cs="Times New Roman"/>
          <w:sz w:val="24"/>
          <w:szCs w:val="24"/>
        </w:rPr>
      </w:pPr>
      <w:r w:rsidRPr="00606639">
        <w:rPr>
          <w:rFonts w:ascii="Times New Roman" w:hAnsi="Times New Roman" w:cs="Times New Roman"/>
          <w:sz w:val="24"/>
          <w:szCs w:val="24"/>
        </w:rPr>
        <w:t>Учешће</w:t>
      </w:r>
      <w:r w:rsidR="003D3BFD" w:rsidRPr="00606639">
        <w:rPr>
          <w:rFonts w:ascii="Times New Roman" w:hAnsi="Times New Roman" w:cs="Times New Roman"/>
          <w:sz w:val="24"/>
          <w:szCs w:val="24"/>
        </w:rPr>
        <w:t xml:space="preserve"> обустављених поступака у укупном</w:t>
      </w:r>
      <w:r w:rsidRPr="00606639">
        <w:rPr>
          <w:rFonts w:ascii="Times New Roman" w:hAnsi="Times New Roman" w:cs="Times New Roman"/>
          <w:sz w:val="24"/>
          <w:szCs w:val="24"/>
        </w:rPr>
        <w:t xml:space="preserve"> броју поступака јавних набавки</w:t>
      </w:r>
      <w:r w:rsidR="00BE7E9E" w:rsidRPr="00606639">
        <w:rPr>
          <w:rFonts w:ascii="Times New Roman" w:hAnsi="Times New Roman" w:cs="Times New Roman"/>
          <w:sz w:val="24"/>
          <w:szCs w:val="24"/>
        </w:rPr>
        <w:t>,</w:t>
      </w:r>
      <w:r w:rsidR="000B1315">
        <w:rPr>
          <w:rFonts w:ascii="Times New Roman" w:hAnsi="Times New Roman" w:cs="Times New Roman"/>
          <w:sz w:val="24"/>
          <w:szCs w:val="24"/>
        </w:rPr>
        <w:t xml:space="preserve"> у 2019</w:t>
      </w:r>
      <w:r w:rsidR="003D3BFD" w:rsidRPr="00606639">
        <w:rPr>
          <w:rFonts w:ascii="Times New Roman" w:hAnsi="Times New Roman" w:cs="Times New Roman"/>
          <w:sz w:val="24"/>
          <w:szCs w:val="24"/>
        </w:rPr>
        <w:t xml:space="preserve">. </w:t>
      </w:r>
      <w:r w:rsidR="00BE7E9E" w:rsidRPr="00606639">
        <w:rPr>
          <w:rFonts w:ascii="Times New Roman" w:hAnsi="Times New Roman" w:cs="Times New Roman"/>
          <w:sz w:val="24"/>
          <w:szCs w:val="24"/>
        </w:rPr>
        <w:t>г</w:t>
      </w:r>
      <w:r w:rsidR="003D3BFD" w:rsidRPr="00606639">
        <w:rPr>
          <w:rFonts w:ascii="Times New Roman" w:hAnsi="Times New Roman" w:cs="Times New Roman"/>
          <w:sz w:val="24"/>
          <w:szCs w:val="24"/>
        </w:rPr>
        <w:t>одини</w:t>
      </w:r>
      <w:r w:rsidR="00BE7E9E" w:rsidRPr="00606639">
        <w:rPr>
          <w:rFonts w:ascii="Times New Roman" w:hAnsi="Times New Roman" w:cs="Times New Roman"/>
          <w:sz w:val="24"/>
          <w:szCs w:val="24"/>
        </w:rPr>
        <w:t>,</w:t>
      </w:r>
      <w:r w:rsidR="003D3BFD" w:rsidRPr="00606639">
        <w:rPr>
          <w:rFonts w:ascii="Times New Roman" w:hAnsi="Times New Roman" w:cs="Times New Roman"/>
          <w:sz w:val="24"/>
          <w:szCs w:val="24"/>
        </w:rPr>
        <w:t xml:space="preserve"> </w:t>
      </w:r>
      <w:r w:rsidRPr="00606639">
        <w:rPr>
          <w:rFonts w:ascii="Times New Roman" w:hAnsi="Times New Roman" w:cs="Times New Roman"/>
          <w:sz w:val="24"/>
          <w:szCs w:val="24"/>
          <w:lang w:val="sr-Cyrl-CS"/>
        </w:rPr>
        <w:t>износ</w:t>
      </w:r>
      <w:r w:rsidR="001E0BF0" w:rsidRPr="00606639">
        <w:rPr>
          <w:rFonts w:ascii="Times New Roman" w:hAnsi="Times New Roman" w:cs="Times New Roman"/>
          <w:sz w:val="24"/>
          <w:szCs w:val="24"/>
          <w:lang w:val="sr-Cyrl-CS"/>
        </w:rPr>
        <w:t>ило је 9</w:t>
      </w:r>
      <w:r w:rsidR="000B1315">
        <w:rPr>
          <w:rFonts w:ascii="Times New Roman" w:hAnsi="Times New Roman" w:cs="Times New Roman"/>
          <w:sz w:val="24"/>
          <w:szCs w:val="24"/>
          <w:lang w:val="sr-Cyrl-CS"/>
        </w:rPr>
        <w:t xml:space="preserve">% </w:t>
      </w:r>
      <w:r w:rsidR="00471F7E">
        <w:rPr>
          <w:rFonts w:ascii="Times New Roman" w:hAnsi="Times New Roman" w:cs="Times New Roman"/>
          <w:sz w:val="24"/>
          <w:szCs w:val="24"/>
        </w:rPr>
        <w:t>(Табела 7</w:t>
      </w:r>
      <w:r w:rsidR="00765397" w:rsidRPr="00606639">
        <w:rPr>
          <w:rFonts w:ascii="Times New Roman" w:hAnsi="Times New Roman" w:cs="Times New Roman"/>
          <w:sz w:val="24"/>
          <w:szCs w:val="24"/>
        </w:rPr>
        <w:t>)</w:t>
      </w:r>
      <w:r w:rsidR="003D3BFD" w:rsidRPr="00606639">
        <w:rPr>
          <w:rFonts w:ascii="Times New Roman" w:hAnsi="Times New Roman" w:cs="Times New Roman"/>
          <w:sz w:val="24"/>
          <w:szCs w:val="24"/>
        </w:rPr>
        <w:t xml:space="preserve">. </w:t>
      </w:r>
      <w:r w:rsidR="005E5329" w:rsidRPr="00606639">
        <w:rPr>
          <w:rFonts w:ascii="Times New Roman" w:hAnsi="Times New Roman" w:cs="Times New Roman"/>
          <w:sz w:val="24"/>
          <w:szCs w:val="24"/>
        </w:rPr>
        <w:t xml:space="preserve">Најчешћи узрок обуставе поступака јавних </w:t>
      </w:r>
      <w:r w:rsidR="003124ED">
        <w:rPr>
          <w:rFonts w:ascii="Times New Roman" w:hAnsi="Times New Roman" w:cs="Times New Roman"/>
          <w:sz w:val="24"/>
          <w:szCs w:val="24"/>
        </w:rPr>
        <w:t>набавки у 2019</w:t>
      </w:r>
      <w:r w:rsidR="00C95F71" w:rsidRPr="00606639">
        <w:rPr>
          <w:rFonts w:ascii="Times New Roman" w:hAnsi="Times New Roman" w:cs="Times New Roman"/>
          <w:sz w:val="24"/>
          <w:szCs w:val="24"/>
        </w:rPr>
        <w:t xml:space="preserve">. години </w:t>
      </w:r>
      <w:r w:rsidR="00DC6589" w:rsidRPr="00606639">
        <w:rPr>
          <w:rFonts w:ascii="Times New Roman" w:hAnsi="Times New Roman" w:cs="Times New Roman"/>
          <w:sz w:val="24"/>
          <w:szCs w:val="24"/>
        </w:rPr>
        <w:t>би</w:t>
      </w:r>
      <w:r w:rsidR="007534E3">
        <w:rPr>
          <w:rFonts w:ascii="Times New Roman" w:hAnsi="Times New Roman" w:cs="Times New Roman"/>
          <w:sz w:val="24"/>
          <w:szCs w:val="24"/>
          <w:lang w:val="sr-Cyrl-RS"/>
        </w:rPr>
        <w:t>л</w:t>
      </w:r>
      <w:r w:rsidR="005E5329" w:rsidRPr="00606639">
        <w:rPr>
          <w:rFonts w:ascii="Times New Roman" w:hAnsi="Times New Roman" w:cs="Times New Roman"/>
          <w:sz w:val="24"/>
          <w:szCs w:val="24"/>
        </w:rPr>
        <w:t xml:space="preserve">о је </w:t>
      </w:r>
      <w:r w:rsidR="007534E3">
        <w:rPr>
          <w:rFonts w:ascii="Times New Roman" w:hAnsi="Times New Roman" w:cs="Times New Roman"/>
          <w:sz w:val="24"/>
          <w:szCs w:val="24"/>
          <w:lang w:val="sr-Cyrl-RS"/>
        </w:rPr>
        <w:t>подношење неприхватљивих понуда.</w:t>
      </w:r>
      <w:r w:rsidR="003124ED">
        <w:rPr>
          <w:rFonts w:ascii="Times New Roman" w:hAnsi="Times New Roman" w:cs="Times New Roman"/>
          <w:sz w:val="24"/>
          <w:szCs w:val="24"/>
        </w:rPr>
        <w:t xml:space="preserve"> (45</w:t>
      </w:r>
      <w:r w:rsidR="003D3BFD" w:rsidRPr="00606639">
        <w:rPr>
          <w:rFonts w:ascii="Times New Roman" w:hAnsi="Times New Roman" w:cs="Times New Roman"/>
          <w:sz w:val="24"/>
          <w:szCs w:val="24"/>
        </w:rPr>
        <w:t>%)</w:t>
      </w:r>
      <w:r w:rsidR="005E5329" w:rsidRPr="00606639">
        <w:rPr>
          <w:rFonts w:ascii="Times New Roman" w:hAnsi="Times New Roman" w:cs="Times New Roman"/>
          <w:sz w:val="24"/>
          <w:szCs w:val="24"/>
        </w:rPr>
        <w:t xml:space="preserve">. </w:t>
      </w:r>
    </w:p>
    <w:p w14:paraId="3AEFE3C5" w14:textId="0C1A8FA9" w:rsidR="00BE7E9E" w:rsidRPr="00BE7D6A" w:rsidRDefault="00092841" w:rsidP="00BE7E9E">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471F7E">
        <w:rPr>
          <w:rFonts w:ascii="Times New Roman" w:hAnsi="Times New Roman" w:cs="Times New Roman"/>
          <w:b/>
          <w:color w:val="000000" w:themeColor="text1"/>
          <w:sz w:val="24"/>
          <w:szCs w:val="24"/>
        </w:rPr>
        <w:t>Табела 7</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960"/>
        <w:gridCol w:w="960"/>
        <w:gridCol w:w="960"/>
        <w:gridCol w:w="960"/>
        <w:gridCol w:w="960"/>
        <w:gridCol w:w="814"/>
        <w:gridCol w:w="814"/>
      </w:tblGrid>
      <w:tr w:rsidR="000B1315" w:rsidRPr="002506CE" w14:paraId="16ECF513" w14:textId="77777777" w:rsidTr="003124ED">
        <w:trPr>
          <w:trHeight w:val="300"/>
          <w:jc w:val="center"/>
        </w:trPr>
        <w:tc>
          <w:tcPr>
            <w:tcW w:w="10448" w:type="dxa"/>
            <w:gridSpan w:val="8"/>
            <w:vAlign w:val="center"/>
          </w:tcPr>
          <w:p w14:paraId="20287CE3" w14:textId="77777777" w:rsidR="000B1315" w:rsidRPr="002506CE" w:rsidRDefault="000B1315" w:rsidP="003124ED">
            <w:pPr>
              <w:spacing w:after="0" w:line="240" w:lineRule="auto"/>
              <w:jc w:val="center"/>
              <w:rPr>
                <w:rFonts w:ascii="Times New Roman" w:eastAsia="Times New Roman" w:hAnsi="Times New Roman" w:cs="Times New Roman"/>
                <w:b/>
                <w:color w:val="000000"/>
                <w:sz w:val="24"/>
                <w:szCs w:val="24"/>
                <w:lang w:val="sr-Cyrl-CS" w:eastAsia="en-GB"/>
              </w:rPr>
            </w:pPr>
            <w:r w:rsidRPr="002506CE">
              <w:rPr>
                <w:rFonts w:ascii="Times New Roman" w:eastAsia="Times New Roman" w:hAnsi="Times New Roman" w:cs="Times New Roman"/>
                <w:b/>
                <w:color w:val="000000"/>
                <w:sz w:val="24"/>
                <w:szCs w:val="24"/>
                <w:lang w:val="sr-Cyrl-CS" w:eastAsia="en-GB"/>
              </w:rPr>
              <w:t>Кретање учешћа обустављених поступака</w:t>
            </w:r>
          </w:p>
          <w:p w14:paraId="4C4BE715" w14:textId="77777777" w:rsidR="000B1315" w:rsidRPr="002506CE" w:rsidRDefault="000B1315" w:rsidP="003124ED">
            <w:pPr>
              <w:spacing w:after="0" w:line="240" w:lineRule="auto"/>
              <w:jc w:val="center"/>
              <w:rPr>
                <w:rFonts w:ascii="Times New Roman" w:eastAsia="Times New Roman" w:hAnsi="Times New Roman" w:cs="Times New Roman"/>
                <w:b/>
                <w:color w:val="000000"/>
                <w:sz w:val="24"/>
                <w:szCs w:val="24"/>
                <w:lang w:val="sr-Cyrl-CS" w:eastAsia="en-GB"/>
              </w:rPr>
            </w:pPr>
            <w:r w:rsidRPr="002506CE">
              <w:rPr>
                <w:rFonts w:ascii="Times New Roman" w:eastAsia="Times New Roman" w:hAnsi="Times New Roman" w:cs="Times New Roman"/>
                <w:b/>
                <w:color w:val="000000"/>
                <w:sz w:val="24"/>
                <w:szCs w:val="24"/>
                <w:lang w:val="sr-Cyrl-CS" w:eastAsia="en-GB"/>
              </w:rPr>
              <w:t>у периоду 2013 – 201</w:t>
            </w:r>
            <w:r w:rsidRPr="002506CE">
              <w:rPr>
                <w:rFonts w:ascii="Times New Roman" w:eastAsia="Times New Roman" w:hAnsi="Times New Roman" w:cs="Times New Roman"/>
                <w:b/>
                <w:color w:val="000000"/>
                <w:sz w:val="24"/>
                <w:szCs w:val="24"/>
                <w:lang w:val="sr-Latn-RS" w:eastAsia="en-GB"/>
              </w:rPr>
              <w:t>9</w:t>
            </w:r>
          </w:p>
        </w:tc>
      </w:tr>
      <w:tr w:rsidR="000B1315" w:rsidRPr="002506CE" w14:paraId="25BB46DE" w14:textId="77777777" w:rsidTr="003124ED">
        <w:trPr>
          <w:trHeight w:val="300"/>
          <w:jc w:val="center"/>
        </w:trPr>
        <w:tc>
          <w:tcPr>
            <w:tcW w:w="4020" w:type="dxa"/>
            <w:shd w:val="clear" w:color="auto" w:fill="auto"/>
            <w:noWrap/>
            <w:vAlign w:val="center"/>
            <w:hideMark/>
          </w:tcPr>
          <w:p w14:paraId="1B828D02" w14:textId="77777777" w:rsidR="000B1315" w:rsidRPr="002506CE" w:rsidRDefault="000B1315" w:rsidP="003124ED">
            <w:pPr>
              <w:spacing w:after="0" w:line="240" w:lineRule="auto"/>
              <w:jc w:val="center"/>
              <w:rPr>
                <w:rFonts w:ascii="Times New Roman" w:eastAsia="Times New Roman" w:hAnsi="Times New Roman" w:cs="Times New Roman"/>
                <w:sz w:val="24"/>
                <w:szCs w:val="24"/>
                <w:lang w:val="sr-Cyrl-RS" w:eastAsia="en-GB"/>
              </w:rPr>
            </w:pPr>
            <w:r w:rsidRPr="002506CE">
              <w:rPr>
                <w:rFonts w:ascii="Times New Roman" w:eastAsia="Times New Roman" w:hAnsi="Times New Roman" w:cs="Times New Roman"/>
                <w:sz w:val="24"/>
                <w:szCs w:val="24"/>
                <w:lang w:val="sr-Cyrl-RS" w:eastAsia="en-GB"/>
              </w:rPr>
              <w:t>Година</w:t>
            </w:r>
          </w:p>
          <w:p w14:paraId="7A68348E" w14:textId="77777777" w:rsidR="000B1315" w:rsidRPr="002506CE" w:rsidRDefault="000B1315" w:rsidP="003124ED">
            <w:pPr>
              <w:spacing w:after="0" w:line="240" w:lineRule="auto"/>
              <w:jc w:val="center"/>
              <w:rPr>
                <w:rFonts w:ascii="Times New Roman" w:eastAsia="Times New Roman" w:hAnsi="Times New Roman" w:cs="Times New Roman"/>
                <w:sz w:val="24"/>
                <w:szCs w:val="24"/>
                <w:lang w:val="sr-Cyrl-RS" w:eastAsia="en-GB"/>
              </w:rPr>
            </w:pPr>
          </w:p>
        </w:tc>
        <w:tc>
          <w:tcPr>
            <w:tcW w:w="960" w:type="dxa"/>
            <w:shd w:val="clear" w:color="auto" w:fill="auto"/>
            <w:noWrap/>
            <w:vAlign w:val="center"/>
            <w:hideMark/>
          </w:tcPr>
          <w:p w14:paraId="0AB51996" w14:textId="77777777" w:rsidR="000B1315" w:rsidRPr="002506CE" w:rsidRDefault="000B1315" w:rsidP="003124ED">
            <w:pPr>
              <w:spacing w:after="0" w:line="240" w:lineRule="auto"/>
              <w:jc w:val="center"/>
              <w:rPr>
                <w:rFonts w:ascii="Times New Roman" w:eastAsia="Times New Roman" w:hAnsi="Times New Roman" w:cs="Times New Roman"/>
                <w:b/>
                <w:color w:val="000000"/>
                <w:sz w:val="24"/>
                <w:szCs w:val="24"/>
                <w:lang w:val="sr-Cyrl-RS" w:eastAsia="en-GB"/>
              </w:rPr>
            </w:pPr>
            <w:r w:rsidRPr="002506CE">
              <w:rPr>
                <w:rFonts w:ascii="Times New Roman" w:eastAsia="Times New Roman" w:hAnsi="Times New Roman" w:cs="Times New Roman"/>
                <w:b/>
                <w:color w:val="000000"/>
                <w:sz w:val="24"/>
                <w:szCs w:val="24"/>
                <w:lang w:eastAsia="en-GB"/>
              </w:rPr>
              <w:t>2013</w:t>
            </w:r>
            <w:r w:rsidRPr="002506CE">
              <w:rPr>
                <w:rFonts w:ascii="Times New Roman" w:eastAsia="Times New Roman" w:hAnsi="Times New Roman" w:cs="Times New Roman"/>
                <w:b/>
                <w:color w:val="000000"/>
                <w:sz w:val="24"/>
                <w:szCs w:val="24"/>
                <w:lang w:val="sr-Cyrl-RS" w:eastAsia="en-GB"/>
              </w:rPr>
              <w:t>.</w:t>
            </w:r>
          </w:p>
        </w:tc>
        <w:tc>
          <w:tcPr>
            <w:tcW w:w="960" w:type="dxa"/>
            <w:shd w:val="clear" w:color="auto" w:fill="auto"/>
            <w:noWrap/>
            <w:vAlign w:val="center"/>
            <w:hideMark/>
          </w:tcPr>
          <w:p w14:paraId="60A3357B" w14:textId="77777777" w:rsidR="000B1315" w:rsidRPr="002506CE" w:rsidRDefault="000B1315" w:rsidP="003124ED">
            <w:pPr>
              <w:spacing w:after="0" w:line="240" w:lineRule="auto"/>
              <w:jc w:val="center"/>
              <w:rPr>
                <w:rFonts w:ascii="Times New Roman" w:eastAsia="Times New Roman" w:hAnsi="Times New Roman" w:cs="Times New Roman"/>
                <w:b/>
                <w:color w:val="000000"/>
                <w:sz w:val="24"/>
                <w:szCs w:val="24"/>
                <w:lang w:val="sr-Cyrl-RS" w:eastAsia="en-GB"/>
              </w:rPr>
            </w:pPr>
            <w:r w:rsidRPr="002506CE">
              <w:rPr>
                <w:rFonts w:ascii="Times New Roman" w:eastAsia="Times New Roman" w:hAnsi="Times New Roman" w:cs="Times New Roman"/>
                <w:b/>
                <w:color w:val="000000"/>
                <w:sz w:val="24"/>
                <w:szCs w:val="24"/>
                <w:lang w:eastAsia="en-GB"/>
              </w:rPr>
              <w:t>2014</w:t>
            </w:r>
            <w:r w:rsidRPr="002506CE">
              <w:rPr>
                <w:rFonts w:ascii="Times New Roman" w:eastAsia="Times New Roman" w:hAnsi="Times New Roman" w:cs="Times New Roman"/>
                <w:b/>
                <w:color w:val="000000"/>
                <w:sz w:val="24"/>
                <w:szCs w:val="24"/>
                <w:lang w:val="sr-Cyrl-RS" w:eastAsia="en-GB"/>
              </w:rPr>
              <w:t>.</w:t>
            </w:r>
          </w:p>
        </w:tc>
        <w:tc>
          <w:tcPr>
            <w:tcW w:w="960" w:type="dxa"/>
            <w:shd w:val="clear" w:color="auto" w:fill="auto"/>
            <w:noWrap/>
            <w:vAlign w:val="center"/>
            <w:hideMark/>
          </w:tcPr>
          <w:p w14:paraId="70478D0B" w14:textId="77777777" w:rsidR="000B1315" w:rsidRPr="002506CE" w:rsidRDefault="000B1315" w:rsidP="003124ED">
            <w:pPr>
              <w:spacing w:after="0" w:line="240" w:lineRule="auto"/>
              <w:jc w:val="center"/>
              <w:rPr>
                <w:rFonts w:ascii="Times New Roman" w:eastAsia="Times New Roman" w:hAnsi="Times New Roman" w:cs="Times New Roman"/>
                <w:b/>
                <w:color w:val="000000"/>
                <w:sz w:val="24"/>
                <w:szCs w:val="24"/>
                <w:lang w:val="sr-Cyrl-RS" w:eastAsia="en-GB"/>
              </w:rPr>
            </w:pPr>
            <w:r w:rsidRPr="002506CE">
              <w:rPr>
                <w:rFonts w:ascii="Times New Roman" w:eastAsia="Times New Roman" w:hAnsi="Times New Roman" w:cs="Times New Roman"/>
                <w:b/>
                <w:color w:val="000000"/>
                <w:sz w:val="24"/>
                <w:szCs w:val="24"/>
                <w:lang w:eastAsia="en-GB"/>
              </w:rPr>
              <w:t>2015</w:t>
            </w:r>
            <w:r w:rsidRPr="002506CE">
              <w:rPr>
                <w:rFonts w:ascii="Times New Roman" w:eastAsia="Times New Roman" w:hAnsi="Times New Roman" w:cs="Times New Roman"/>
                <w:b/>
                <w:color w:val="000000"/>
                <w:sz w:val="24"/>
                <w:szCs w:val="24"/>
                <w:lang w:val="sr-Cyrl-RS" w:eastAsia="en-GB"/>
              </w:rPr>
              <w:t>.</w:t>
            </w:r>
          </w:p>
        </w:tc>
        <w:tc>
          <w:tcPr>
            <w:tcW w:w="960" w:type="dxa"/>
            <w:shd w:val="clear" w:color="auto" w:fill="auto"/>
            <w:noWrap/>
            <w:vAlign w:val="center"/>
            <w:hideMark/>
          </w:tcPr>
          <w:p w14:paraId="03FAC547" w14:textId="77777777" w:rsidR="000B1315" w:rsidRPr="002506CE" w:rsidRDefault="000B1315" w:rsidP="003124ED">
            <w:pPr>
              <w:spacing w:after="0" w:line="240" w:lineRule="auto"/>
              <w:jc w:val="center"/>
              <w:rPr>
                <w:rFonts w:ascii="Times New Roman" w:eastAsia="Times New Roman" w:hAnsi="Times New Roman" w:cs="Times New Roman"/>
                <w:b/>
                <w:color w:val="000000"/>
                <w:sz w:val="24"/>
                <w:szCs w:val="24"/>
                <w:lang w:val="sr-Cyrl-RS" w:eastAsia="en-GB"/>
              </w:rPr>
            </w:pPr>
            <w:r w:rsidRPr="002506CE">
              <w:rPr>
                <w:rFonts w:ascii="Times New Roman" w:eastAsia="Times New Roman" w:hAnsi="Times New Roman" w:cs="Times New Roman"/>
                <w:b/>
                <w:color w:val="000000"/>
                <w:sz w:val="24"/>
                <w:szCs w:val="24"/>
                <w:lang w:eastAsia="en-GB"/>
              </w:rPr>
              <w:t>2016</w:t>
            </w:r>
            <w:r w:rsidRPr="002506CE">
              <w:rPr>
                <w:rFonts w:ascii="Times New Roman" w:eastAsia="Times New Roman" w:hAnsi="Times New Roman" w:cs="Times New Roman"/>
                <w:b/>
                <w:color w:val="000000"/>
                <w:sz w:val="24"/>
                <w:szCs w:val="24"/>
                <w:lang w:val="sr-Cyrl-RS" w:eastAsia="en-GB"/>
              </w:rPr>
              <w:t>.</w:t>
            </w:r>
          </w:p>
        </w:tc>
        <w:tc>
          <w:tcPr>
            <w:tcW w:w="960" w:type="dxa"/>
            <w:shd w:val="clear" w:color="auto" w:fill="auto"/>
            <w:vAlign w:val="center"/>
          </w:tcPr>
          <w:p w14:paraId="466EE605" w14:textId="77777777" w:rsidR="000B1315" w:rsidRPr="002506CE" w:rsidRDefault="000B1315" w:rsidP="003124ED">
            <w:pPr>
              <w:spacing w:after="0" w:line="240" w:lineRule="auto"/>
              <w:jc w:val="center"/>
              <w:rPr>
                <w:rFonts w:ascii="Times New Roman" w:eastAsia="Times New Roman" w:hAnsi="Times New Roman" w:cs="Times New Roman"/>
                <w:b/>
                <w:color w:val="000000"/>
                <w:sz w:val="24"/>
                <w:szCs w:val="24"/>
                <w:lang w:val="sr-Cyrl-RS" w:eastAsia="en-GB"/>
              </w:rPr>
            </w:pPr>
            <w:r w:rsidRPr="002506CE">
              <w:rPr>
                <w:rFonts w:ascii="Times New Roman" w:eastAsia="Times New Roman" w:hAnsi="Times New Roman" w:cs="Times New Roman"/>
                <w:b/>
                <w:color w:val="000000"/>
                <w:sz w:val="24"/>
                <w:szCs w:val="24"/>
                <w:lang w:eastAsia="en-GB"/>
              </w:rPr>
              <w:t>2017</w:t>
            </w:r>
            <w:r w:rsidRPr="002506CE">
              <w:rPr>
                <w:rFonts w:ascii="Times New Roman" w:eastAsia="Times New Roman" w:hAnsi="Times New Roman" w:cs="Times New Roman"/>
                <w:b/>
                <w:color w:val="000000"/>
                <w:sz w:val="24"/>
                <w:szCs w:val="24"/>
                <w:lang w:val="sr-Cyrl-RS" w:eastAsia="en-GB"/>
              </w:rPr>
              <w:t>.</w:t>
            </w:r>
          </w:p>
        </w:tc>
        <w:tc>
          <w:tcPr>
            <w:tcW w:w="814" w:type="dxa"/>
            <w:shd w:val="clear" w:color="auto" w:fill="auto"/>
            <w:noWrap/>
            <w:vAlign w:val="center"/>
          </w:tcPr>
          <w:p w14:paraId="277B349F" w14:textId="77777777" w:rsidR="000B1315" w:rsidRPr="002506CE" w:rsidRDefault="000B1315" w:rsidP="003124ED">
            <w:pPr>
              <w:spacing w:after="0" w:line="240" w:lineRule="auto"/>
              <w:jc w:val="center"/>
              <w:rPr>
                <w:rFonts w:ascii="Times New Roman" w:eastAsia="Times New Roman" w:hAnsi="Times New Roman" w:cs="Times New Roman"/>
                <w:b/>
                <w:sz w:val="24"/>
                <w:szCs w:val="24"/>
                <w:lang w:val="sr-Cyrl-RS" w:eastAsia="en-GB"/>
              </w:rPr>
            </w:pPr>
            <w:r w:rsidRPr="002506CE">
              <w:rPr>
                <w:rFonts w:ascii="Times New Roman" w:eastAsia="Times New Roman" w:hAnsi="Times New Roman" w:cs="Times New Roman"/>
                <w:b/>
                <w:sz w:val="24"/>
                <w:szCs w:val="24"/>
                <w:lang w:val="en-GB" w:eastAsia="en-GB"/>
              </w:rPr>
              <w:t>2018</w:t>
            </w:r>
            <w:r w:rsidRPr="002506CE">
              <w:rPr>
                <w:rFonts w:ascii="Times New Roman" w:eastAsia="Times New Roman" w:hAnsi="Times New Roman" w:cs="Times New Roman"/>
                <w:b/>
                <w:sz w:val="24"/>
                <w:szCs w:val="24"/>
                <w:lang w:val="sr-Cyrl-RS" w:eastAsia="en-GB"/>
              </w:rPr>
              <w:t>.</w:t>
            </w:r>
          </w:p>
        </w:tc>
        <w:tc>
          <w:tcPr>
            <w:tcW w:w="814" w:type="dxa"/>
            <w:vAlign w:val="center"/>
          </w:tcPr>
          <w:p w14:paraId="3C9E7355" w14:textId="77777777" w:rsidR="000B1315" w:rsidRPr="002506CE" w:rsidRDefault="000B1315" w:rsidP="003124ED">
            <w:pPr>
              <w:spacing w:after="0" w:line="240" w:lineRule="auto"/>
              <w:jc w:val="center"/>
              <w:rPr>
                <w:rFonts w:ascii="Times New Roman" w:eastAsia="Times New Roman" w:hAnsi="Times New Roman" w:cs="Times New Roman"/>
                <w:b/>
                <w:sz w:val="24"/>
                <w:szCs w:val="24"/>
                <w:lang w:val="sr-Cyrl-RS" w:eastAsia="en-GB"/>
              </w:rPr>
            </w:pPr>
            <w:r w:rsidRPr="002506CE">
              <w:rPr>
                <w:rFonts w:ascii="Times New Roman" w:eastAsia="Times New Roman" w:hAnsi="Times New Roman" w:cs="Times New Roman"/>
                <w:b/>
                <w:sz w:val="24"/>
                <w:szCs w:val="24"/>
                <w:lang w:val="sr-Cyrl-RS" w:eastAsia="en-GB"/>
              </w:rPr>
              <w:t>2019.</w:t>
            </w:r>
          </w:p>
        </w:tc>
      </w:tr>
      <w:tr w:rsidR="000B1315" w:rsidRPr="002506CE" w14:paraId="249A1897" w14:textId="77777777" w:rsidTr="003124ED">
        <w:trPr>
          <w:trHeight w:val="300"/>
          <w:jc w:val="center"/>
        </w:trPr>
        <w:tc>
          <w:tcPr>
            <w:tcW w:w="4020" w:type="dxa"/>
            <w:shd w:val="clear" w:color="auto" w:fill="auto"/>
            <w:noWrap/>
            <w:vAlign w:val="center"/>
            <w:hideMark/>
          </w:tcPr>
          <w:p w14:paraId="1C9A74F6" w14:textId="77777777" w:rsidR="000B1315" w:rsidRPr="002506CE" w:rsidRDefault="000B1315" w:rsidP="003124ED">
            <w:pPr>
              <w:spacing w:after="0" w:line="240" w:lineRule="auto"/>
              <w:jc w:val="center"/>
              <w:rPr>
                <w:rFonts w:ascii="Times New Roman" w:eastAsia="Times New Roman" w:hAnsi="Times New Roman" w:cs="Times New Roman"/>
                <w:color w:val="000000"/>
                <w:sz w:val="24"/>
                <w:szCs w:val="24"/>
                <w:lang w:val="sr-Cyrl-CS" w:eastAsia="en-GB"/>
              </w:rPr>
            </w:pPr>
            <w:r w:rsidRPr="002506CE">
              <w:rPr>
                <w:rFonts w:ascii="Times New Roman" w:eastAsia="Times New Roman" w:hAnsi="Times New Roman" w:cs="Times New Roman"/>
                <w:color w:val="000000"/>
                <w:sz w:val="24"/>
                <w:szCs w:val="24"/>
                <w:lang w:eastAsia="en-GB"/>
              </w:rPr>
              <w:t xml:space="preserve">Учешће </w:t>
            </w:r>
            <w:r w:rsidRPr="002506CE">
              <w:rPr>
                <w:rFonts w:ascii="Times New Roman" w:eastAsia="Times New Roman" w:hAnsi="Times New Roman" w:cs="Times New Roman"/>
                <w:color w:val="000000"/>
                <w:sz w:val="24"/>
                <w:szCs w:val="24"/>
                <w:lang w:val="sr-Cyrl-CS" w:eastAsia="en-GB"/>
              </w:rPr>
              <w:t>обустављених поступака</w:t>
            </w:r>
          </w:p>
          <w:p w14:paraId="6C85D1B0" w14:textId="77777777" w:rsidR="000B1315" w:rsidRPr="002506CE" w:rsidRDefault="000B1315" w:rsidP="003124ED">
            <w:pPr>
              <w:spacing w:after="0" w:line="240" w:lineRule="auto"/>
              <w:jc w:val="center"/>
              <w:rPr>
                <w:rFonts w:ascii="Times New Roman" w:eastAsia="Times New Roman" w:hAnsi="Times New Roman" w:cs="Times New Roman"/>
                <w:color w:val="000000"/>
                <w:sz w:val="24"/>
                <w:szCs w:val="24"/>
                <w:lang w:val="sr-Cyrl-CS" w:eastAsia="en-GB"/>
              </w:rPr>
            </w:pPr>
          </w:p>
        </w:tc>
        <w:tc>
          <w:tcPr>
            <w:tcW w:w="960" w:type="dxa"/>
            <w:shd w:val="clear" w:color="auto" w:fill="auto"/>
            <w:noWrap/>
            <w:vAlign w:val="center"/>
            <w:hideMark/>
          </w:tcPr>
          <w:p w14:paraId="64CA4259" w14:textId="77777777" w:rsidR="000B1315" w:rsidRPr="002506CE" w:rsidRDefault="000B1315" w:rsidP="003124ED">
            <w:pPr>
              <w:spacing w:after="0" w:line="240" w:lineRule="auto"/>
              <w:jc w:val="center"/>
              <w:rPr>
                <w:rFonts w:ascii="Times New Roman" w:eastAsia="Times New Roman" w:hAnsi="Times New Roman" w:cs="Times New Roman"/>
                <w:color w:val="000000"/>
                <w:sz w:val="24"/>
                <w:szCs w:val="24"/>
                <w:lang w:eastAsia="en-GB"/>
              </w:rPr>
            </w:pPr>
            <w:r w:rsidRPr="002506CE">
              <w:rPr>
                <w:rFonts w:ascii="Times New Roman" w:eastAsia="Times New Roman" w:hAnsi="Times New Roman" w:cs="Times New Roman"/>
                <w:color w:val="000000"/>
                <w:sz w:val="24"/>
                <w:szCs w:val="24"/>
                <w:lang w:eastAsia="en-GB"/>
              </w:rPr>
              <w:t>10%</w:t>
            </w:r>
          </w:p>
        </w:tc>
        <w:tc>
          <w:tcPr>
            <w:tcW w:w="960" w:type="dxa"/>
            <w:shd w:val="clear" w:color="auto" w:fill="auto"/>
            <w:noWrap/>
            <w:vAlign w:val="center"/>
            <w:hideMark/>
          </w:tcPr>
          <w:p w14:paraId="3E604273" w14:textId="77777777" w:rsidR="000B1315" w:rsidRPr="002506CE" w:rsidRDefault="000B1315" w:rsidP="003124ED">
            <w:pPr>
              <w:spacing w:after="0" w:line="240" w:lineRule="auto"/>
              <w:jc w:val="center"/>
              <w:rPr>
                <w:rFonts w:ascii="Times New Roman" w:eastAsia="Times New Roman" w:hAnsi="Times New Roman" w:cs="Times New Roman"/>
                <w:color w:val="000000"/>
                <w:sz w:val="24"/>
                <w:szCs w:val="24"/>
                <w:lang w:eastAsia="en-GB"/>
              </w:rPr>
            </w:pPr>
            <w:r w:rsidRPr="002506CE">
              <w:rPr>
                <w:rFonts w:ascii="Times New Roman" w:eastAsia="Times New Roman" w:hAnsi="Times New Roman" w:cs="Times New Roman"/>
                <w:color w:val="000000"/>
                <w:sz w:val="24"/>
                <w:szCs w:val="24"/>
                <w:lang w:eastAsia="en-GB"/>
              </w:rPr>
              <w:t>13%</w:t>
            </w:r>
          </w:p>
        </w:tc>
        <w:tc>
          <w:tcPr>
            <w:tcW w:w="960" w:type="dxa"/>
            <w:shd w:val="clear" w:color="auto" w:fill="auto"/>
            <w:noWrap/>
            <w:vAlign w:val="center"/>
            <w:hideMark/>
          </w:tcPr>
          <w:p w14:paraId="0DE201C2" w14:textId="77777777" w:rsidR="000B1315" w:rsidRPr="002506CE" w:rsidRDefault="000B1315" w:rsidP="003124ED">
            <w:pPr>
              <w:spacing w:after="0" w:line="240" w:lineRule="auto"/>
              <w:jc w:val="center"/>
              <w:rPr>
                <w:rFonts w:ascii="Times New Roman" w:eastAsia="Times New Roman" w:hAnsi="Times New Roman" w:cs="Times New Roman"/>
                <w:color w:val="000000"/>
                <w:sz w:val="24"/>
                <w:szCs w:val="24"/>
                <w:lang w:eastAsia="en-GB"/>
              </w:rPr>
            </w:pPr>
            <w:r w:rsidRPr="002506CE">
              <w:rPr>
                <w:rFonts w:ascii="Times New Roman" w:eastAsia="Times New Roman" w:hAnsi="Times New Roman" w:cs="Times New Roman"/>
                <w:color w:val="000000"/>
                <w:sz w:val="24"/>
                <w:szCs w:val="24"/>
                <w:lang w:eastAsia="en-GB"/>
              </w:rPr>
              <w:t>11%</w:t>
            </w:r>
          </w:p>
        </w:tc>
        <w:tc>
          <w:tcPr>
            <w:tcW w:w="960" w:type="dxa"/>
            <w:shd w:val="clear" w:color="auto" w:fill="auto"/>
            <w:noWrap/>
            <w:vAlign w:val="center"/>
            <w:hideMark/>
          </w:tcPr>
          <w:p w14:paraId="326A29FF" w14:textId="77777777" w:rsidR="000B1315" w:rsidRPr="002506CE" w:rsidRDefault="000B1315" w:rsidP="003124ED">
            <w:pPr>
              <w:spacing w:after="0" w:line="240" w:lineRule="auto"/>
              <w:jc w:val="center"/>
              <w:rPr>
                <w:rFonts w:ascii="Times New Roman" w:eastAsia="Times New Roman" w:hAnsi="Times New Roman" w:cs="Times New Roman"/>
                <w:color w:val="000000"/>
                <w:sz w:val="24"/>
                <w:szCs w:val="24"/>
                <w:lang w:eastAsia="en-GB"/>
              </w:rPr>
            </w:pPr>
            <w:r w:rsidRPr="002506CE">
              <w:rPr>
                <w:rFonts w:ascii="Times New Roman" w:eastAsia="Times New Roman" w:hAnsi="Times New Roman" w:cs="Times New Roman"/>
                <w:color w:val="000000"/>
                <w:sz w:val="24"/>
                <w:szCs w:val="24"/>
                <w:lang w:eastAsia="en-GB"/>
              </w:rPr>
              <w:t>10%</w:t>
            </w:r>
          </w:p>
        </w:tc>
        <w:tc>
          <w:tcPr>
            <w:tcW w:w="960" w:type="dxa"/>
            <w:shd w:val="clear" w:color="auto" w:fill="auto"/>
            <w:vAlign w:val="center"/>
          </w:tcPr>
          <w:p w14:paraId="2DD9F028" w14:textId="77777777" w:rsidR="000B1315" w:rsidRPr="002506CE" w:rsidRDefault="000B1315" w:rsidP="003124ED">
            <w:pPr>
              <w:spacing w:after="0" w:line="240" w:lineRule="auto"/>
              <w:jc w:val="center"/>
              <w:rPr>
                <w:rFonts w:ascii="Times New Roman" w:eastAsia="Times New Roman" w:hAnsi="Times New Roman" w:cs="Times New Roman"/>
                <w:color w:val="000000"/>
                <w:sz w:val="24"/>
                <w:szCs w:val="24"/>
                <w:lang w:eastAsia="en-GB"/>
              </w:rPr>
            </w:pPr>
            <w:r w:rsidRPr="002506CE">
              <w:rPr>
                <w:rFonts w:ascii="Times New Roman" w:eastAsia="Times New Roman" w:hAnsi="Times New Roman" w:cs="Times New Roman"/>
                <w:color w:val="000000"/>
                <w:sz w:val="24"/>
                <w:szCs w:val="24"/>
                <w:lang w:eastAsia="en-GB"/>
              </w:rPr>
              <w:t>10%</w:t>
            </w:r>
          </w:p>
        </w:tc>
        <w:tc>
          <w:tcPr>
            <w:tcW w:w="814" w:type="dxa"/>
            <w:shd w:val="clear" w:color="auto" w:fill="auto"/>
            <w:noWrap/>
            <w:vAlign w:val="center"/>
          </w:tcPr>
          <w:p w14:paraId="1CDF042D" w14:textId="77777777" w:rsidR="000B1315" w:rsidRPr="002506CE" w:rsidRDefault="000B1315" w:rsidP="003124ED">
            <w:pPr>
              <w:spacing w:after="0" w:line="240" w:lineRule="auto"/>
              <w:jc w:val="center"/>
              <w:rPr>
                <w:rFonts w:ascii="Times New Roman" w:eastAsia="Times New Roman" w:hAnsi="Times New Roman" w:cs="Times New Roman"/>
                <w:sz w:val="24"/>
                <w:szCs w:val="24"/>
                <w:lang w:val="sr-Cyrl-CS" w:eastAsia="en-GB"/>
              </w:rPr>
            </w:pPr>
            <w:r w:rsidRPr="002506CE">
              <w:rPr>
                <w:rFonts w:ascii="Times New Roman" w:eastAsia="Times New Roman" w:hAnsi="Times New Roman" w:cs="Times New Roman"/>
                <w:sz w:val="24"/>
                <w:szCs w:val="24"/>
                <w:lang w:val="sr-Cyrl-CS" w:eastAsia="en-GB"/>
              </w:rPr>
              <w:t>9%</w:t>
            </w:r>
          </w:p>
        </w:tc>
        <w:tc>
          <w:tcPr>
            <w:tcW w:w="814" w:type="dxa"/>
            <w:vAlign w:val="center"/>
          </w:tcPr>
          <w:p w14:paraId="32AFFD6D" w14:textId="77777777" w:rsidR="000B1315" w:rsidRPr="002506CE" w:rsidRDefault="000B1315" w:rsidP="003124ED">
            <w:pPr>
              <w:spacing w:after="0" w:line="240" w:lineRule="auto"/>
              <w:jc w:val="center"/>
              <w:rPr>
                <w:rFonts w:ascii="Times New Roman" w:eastAsia="Times New Roman" w:hAnsi="Times New Roman" w:cs="Times New Roman"/>
                <w:sz w:val="24"/>
                <w:szCs w:val="24"/>
                <w:lang w:val="sr-Cyrl-CS" w:eastAsia="en-GB"/>
              </w:rPr>
            </w:pPr>
            <w:r w:rsidRPr="002506CE">
              <w:rPr>
                <w:rFonts w:ascii="Times New Roman" w:eastAsia="Times New Roman" w:hAnsi="Times New Roman" w:cs="Times New Roman"/>
                <w:sz w:val="24"/>
                <w:szCs w:val="24"/>
                <w:lang w:val="sr-Cyrl-CS" w:eastAsia="en-GB"/>
              </w:rPr>
              <w:t>9%</w:t>
            </w:r>
          </w:p>
        </w:tc>
      </w:tr>
    </w:tbl>
    <w:p w14:paraId="5E45E85B" w14:textId="77777777" w:rsidR="00BE7E9E" w:rsidRPr="00697005" w:rsidRDefault="00BE7E9E" w:rsidP="005E5329">
      <w:pPr>
        <w:jc w:val="both"/>
        <w:rPr>
          <w:rFonts w:ascii="Times New Roman" w:hAnsi="Times New Roman" w:cs="Times New Roman"/>
          <w:color w:val="FF0000"/>
          <w:sz w:val="24"/>
          <w:szCs w:val="24"/>
        </w:rPr>
      </w:pPr>
    </w:p>
    <w:p w14:paraId="7EB7F77E" w14:textId="08AD472D" w:rsidR="00F914ED" w:rsidRPr="003B5AD5" w:rsidRDefault="006630D7" w:rsidP="00893227">
      <w:pPr>
        <w:tabs>
          <w:tab w:val="num" w:pos="720"/>
        </w:tabs>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Трећи</w:t>
      </w:r>
      <w:r w:rsidR="00F914ED" w:rsidRPr="00D96A95">
        <w:rPr>
          <w:rFonts w:ascii="Times New Roman" w:hAnsi="Times New Roman" w:cs="Times New Roman"/>
          <w:color w:val="000000" w:themeColor="text1"/>
          <w:sz w:val="24"/>
          <w:szCs w:val="24"/>
        </w:rPr>
        <w:t xml:space="preserve"> кључан показатељ перформанси јавних набавки јесте просечан број понуда по поступку јавне </w:t>
      </w:r>
      <w:r w:rsidR="004D6542">
        <w:rPr>
          <w:rFonts w:ascii="Times New Roman" w:hAnsi="Times New Roman" w:cs="Times New Roman"/>
          <w:color w:val="000000" w:themeColor="text1"/>
          <w:sz w:val="24"/>
          <w:szCs w:val="24"/>
        </w:rPr>
        <w:t>набавке.</w:t>
      </w:r>
      <w:r w:rsidR="008B5457">
        <w:rPr>
          <w:rFonts w:ascii="Times New Roman" w:hAnsi="Times New Roman" w:cs="Times New Roman"/>
          <w:color w:val="000000" w:themeColor="text1"/>
          <w:sz w:val="24"/>
          <w:szCs w:val="24"/>
        </w:rPr>
        <w:t xml:space="preserve"> </w:t>
      </w:r>
      <w:r w:rsidR="00C54199">
        <w:rPr>
          <w:rFonts w:ascii="Times New Roman" w:hAnsi="Times New Roman" w:cs="Times New Roman"/>
          <w:sz w:val="24"/>
          <w:szCs w:val="24"/>
        </w:rPr>
        <w:t>У 2019</w:t>
      </w:r>
      <w:r w:rsidR="00F914ED" w:rsidRPr="00D34D43">
        <w:rPr>
          <w:rFonts w:ascii="Times New Roman" w:hAnsi="Times New Roman" w:cs="Times New Roman"/>
          <w:sz w:val="24"/>
          <w:szCs w:val="24"/>
        </w:rPr>
        <w:t>. години, просечан број понуда износ</w:t>
      </w:r>
      <w:r w:rsidR="003B5AD5">
        <w:rPr>
          <w:rFonts w:ascii="Times New Roman" w:hAnsi="Times New Roman" w:cs="Times New Roman"/>
          <w:sz w:val="24"/>
          <w:szCs w:val="24"/>
        </w:rPr>
        <w:t>ио је 2,5</w:t>
      </w:r>
      <w:r w:rsidR="00FD1025" w:rsidRPr="00D34D43">
        <w:rPr>
          <w:rFonts w:ascii="Times New Roman" w:hAnsi="Times New Roman" w:cs="Times New Roman"/>
          <w:sz w:val="24"/>
          <w:szCs w:val="24"/>
        </w:rPr>
        <w:t>,</w:t>
      </w:r>
      <w:r w:rsidR="00026139" w:rsidRPr="00D34D43">
        <w:rPr>
          <w:rFonts w:ascii="Times New Roman" w:hAnsi="Times New Roman" w:cs="Times New Roman"/>
          <w:sz w:val="24"/>
          <w:szCs w:val="24"/>
        </w:rPr>
        <w:t xml:space="preserve"> што ј</w:t>
      </w:r>
      <w:r w:rsidR="003B5AD5">
        <w:rPr>
          <w:rFonts w:ascii="Times New Roman" w:hAnsi="Times New Roman" w:cs="Times New Roman"/>
          <w:sz w:val="24"/>
          <w:szCs w:val="24"/>
        </w:rPr>
        <w:t>е</w:t>
      </w:r>
      <w:r w:rsidR="003B5AD5">
        <w:rPr>
          <w:rFonts w:ascii="Times New Roman" w:hAnsi="Times New Roman" w:cs="Times New Roman"/>
          <w:sz w:val="24"/>
          <w:szCs w:val="24"/>
          <w:lang w:val="sr-Cyrl-CS"/>
        </w:rPr>
        <w:t xml:space="preserve"> на нивоу</w:t>
      </w:r>
      <w:r w:rsidR="003B5AD5">
        <w:rPr>
          <w:rFonts w:ascii="Times New Roman" w:hAnsi="Times New Roman" w:cs="Times New Roman"/>
          <w:sz w:val="24"/>
          <w:szCs w:val="24"/>
        </w:rPr>
        <w:t xml:space="preserve"> претходне године.</w:t>
      </w:r>
      <w:r w:rsidR="003B5AD5">
        <w:rPr>
          <w:rFonts w:ascii="Times New Roman" w:hAnsi="Times New Roman" w:cs="Times New Roman"/>
          <w:sz w:val="24"/>
          <w:szCs w:val="24"/>
          <w:lang w:val="sr-Cyrl-CS"/>
        </w:rPr>
        <w:t xml:space="preserve"> </w:t>
      </w:r>
      <w:r w:rsidR="003B5AD5">
        <w:rPr>
          <w:rFonts w:ascii="Times New Roman" w:hAnsi="Times New Roman" w:cs="Times New Roman"/>
          <w:sz w:val="24"/>
          <w:szCs w:val="24"/>
          <w:lang w:val="sr-Cyrl-CS"/>
        </w:rPr>
        <w:br/>
      </w:r>
      <w:r w:rsidR="00471F7E">
        <w:rPr>
          <w:rFonts w:ascii="Times New Roman" w:hAnsi="Times New Roman" w:cs="Times New Roman"/>
          <w:sz w:val="24"/>
          <w:szCs w:val="24"/>
        </w:rPr>
        <w:t>(Табела 8</w:t>
      </w:r>
      <w:r w:rsidR="00260CEA" w:rsidRPr="00D34D43">
        <w:rPr>
          <w:rFonts w:ascii="Times New Roman" w:hAnsi="Times New Roman" w:cs="Times New Roman"/>
          <w:sz w:val="24"/>
          <w:szCs w:val="24"/>
        </w:rPr>
        <w:t>)</w:t>
      </w:r>
      <w:r w:rsidR="00F914ED" w:rsidRPr="00D34D43">
        <w:rPr>
          <w:rFonts w:ascii="Times New Roman" w:hAnsi="Times New Roman" w:cs="Times New Roman"/>
          <w:sz w:val="24"/>
          <w:szCs w:val="24"/>
        </w:rPr>
        <w:t xml:space="preserve">. </w:t>
      </w:r>
    </w:p>
    <w:p w14:paraId="2CA2FEA1" w14:textId="5A8DF4CF" w:rsidR="00260CEA" w:rsidRPr="00BE7D6A" w:rsidRDefault="00D34D43" w:rsidP="00260CE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471F7E">
        <w:rPr>
          <w:rFonts w:ascii="Times New Roman" w:hAnsi="Times New Roman" w:cs="Times New Roman"/>
          <w:b/>
          <w:color w:val="000000" w:themeColor="text1"/>
          <w:sz w:val="24"/>
          <w:szCs w:val="24"/>
        </w:rPr>
        <w:t>Табела 8</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573"/>
        <w:gridCol w:w="1572"/>
        <w:gridCol w:w="1537"/>
        <w:gridCol w:w="1548"/>
        <w:gridCol w:w="1550"/>
        <w:gridCol w:w="1548"/>
      </w:tblGrid>
      <w:tr w:rsidR="00C54199" w:rsidRPr="005E5329" w14:paraId="6AF812D3" w14:textId="0C47CF33" w:rsidTr="00C54199">
        <w:trPr>
          <w:trHeight w:val="713"/>
          <w:jc w:val="center"/>
        </w:trPr>
        <w:tc>
          <w:tcPr>
            <w:tcW w:w="5000" w:type="pct"/>
            <w:gridSpan w:val="7"/>
          </w:tcPr>
          <w:p w14:paraId="768FCB64" w14:textId="77777777" w:rsidR="00C54199" w:rsidRPr="00D96A95" w:rsidRDefault="00C54199" w:rsidP="00FD1025">
            <w:pPr>
              <w:tabs>
                <w:tab w:val="left" w:pos="1885"/>
              </w:tabs>
              <w:spacing w:after="0" w:line="240" w:lineRule="auto"/>
              <w:jc w:val="center"/>
              <w:rPr>
                <w:rFonts w:ascii="Times New Roman" w:eastAsia="Times New Roman" w:hAnsi="Times New Roman" w:cs="Times New Roman"/>
                <w:b/>
                <w:color w:val="000000" w:themeColor="text1"/>
                <w:sz w:val="24"/>
                <w:szCs w:val="24"/>
              </w:rPr>
            </w:pPr>
            <w:r w:rsidRPr="00D96A95">
              <w:rPr>
                <w:rFonts w:ascii="Times New Roman" w:eastAsia="Times New Roman" w:hAnsi="Times New Roman" w:cs="Times New Roman"/>
                <w:b/>
                <w:color w:val="000000" w:themeColor="text1"/>
                <w:sz w:val="24"/>
                <w:szCs w:val="24"/>
              </w:rPr>
              <w:t>Просечан број понуда по закљученом уговору у поступцима</w:t>
            </w:r>
          </w:p>
          <w:p w14:paraId="39E49977" w14:textId="057AB9AA" w:rsidR="00C54199" w:rsidRPr="00D96A95" w:rsidRDefault="00C54199" w:rsidP="00FD1025">
            <w:pPr>
              <w:tabs>
                <w:tab w:val="left" w:pos="1885"/>
              </w:tabs>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јавних набавки </w:t>
            </w:r>
          </w:p>
        </w:tc>
      </w:tr>
      <w:tr w:rsidR="00C54199" w:rsidRPr="00ED7784" w14:paraId="6E5E9DB1" w14:textId="11E03E14" w:rsidTr="00EE6D63">
        <w:tblPrEx>
          <w:tblLook w:val="04A0" w:firstRow="1" w:lastRow="0" w:firstColumn="1" w:lastColumn="0" w:noHBand="0" w:noVBand="1"/>
        </w:tblPrEx>
        <w:trPr>
          <w:trHeight w:val="425"/>
          <w:jc w:val="center"/>
        </w:trPr>
        <w:tc>
          <w:tcPr>
            <w:tcW w:w="728" w:type="pct"/>
            <w:shd w:val="clear" w:color="auto" w:fill="auto"/>
            <w:vAlign w:val="center"/>
          </w:tcPr>
          <w:p w14:paraId="5FD032C5" w14:textId="77777777" w:rsidR="00C54199" w:rsidRPr="005E5329" w:rsidRDefault="00C54199" w:rsidP="00C54199">
            <w:pPr>
              <w:tabs>
                <w:tab w:val="left" w:pos="1885"/>
              </w:tabs>
              <w:spacing w:after="0" w:line="240" w:lineRule="auto"/>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2013. година</w:t>
            </w:r>
          </w:p>
        </w:tc>
        <w:tc>
          <w:tcPr>
            <w:tcW w:w="720" w:type="pct"/>
            <w:vAlign w:val="center"/>
          </w:tcPr>
          <w:p w14:paraId="51389073" w14:textId="77777777" w:rsidR="00C54199" w:rsidRPr="005E5329" w:rsidRDefault="00C54199" w:rsidP="00C54199">
            <w:pPr>
              <w:tabs>
                <w:tab w:val="left" w:pos="1885"/>
              </w:tabs>
              <w:spacing w:after="0" w:line="240" w:lineRule="auto"/>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2014. година</w:t>
            </w:r>
          </w:p>
        </w:tc>
        <w:tc>
          <w:tcPr>
            <w:tcW w:w="720" w:type="pct"/>
            <w:vAlign w:val="center"/>
          </w:tcPr>
          <w:p w14:paraId="020A604D" w14:textId="77777777" w:rsidR="00C54199" w:rsidRPr="00D96A95" w:rsidRDefault="00C54199" w:rsidP="00C54199">
            <w:pPr>
              <w:tabs>
                <w:tab w:val="left" w:pos="1885"/>
              </w:tabs>
              <w:spacing w:after="0" w:line="240" w:lineRule="auto"/>
              <w:jc w:val="center"/>
              <w:rPr>
                <w:rFonts w:ascii="Times New Roman" w:eastAsia="Times New Roman" w:hAnsi="Times New Roman" w:cs="Times New Roman"/>
                <w:b/>
                <w:color w:val="000000" w:themeColor="text1"/>
                <w:sz w:val="24"/>
                <w:szCs w:val="24"/>
              </w:rPr>
            </w:pPr>
            <w:r w:rsidRPr="00D96A95">
              <w:rPr>
                <w:rFonts w:ascii="Times New Roman" w:eastAsia="Times New Roman" w:hAnsi="Times New Roman" w:cs="Times New Roman"/>
                <w:b/>
                <w:color w:val="000000" w:themeColor="text1"/>
                <w:sz w:val="24"/>
                <w:szCs w:val="24"/>
              </w:rPr>
              <w:t>2015. година</w:t>
            </w:r>
          </w:p>
        </w:tc>
        <w:tc>
          <w:tcPr>
            <w:tcW w:w="704" w:type="pct"/>
            <w:vAlign w:val="center"/>
          </w:tcPr>
          <w:p w14:paraId="631D1940" w14:textId="77777777" w:rsidR="00C54199" w:rsidRPr="005E5329" w:rsidRDefault="00C54199" w:rsidP="00C54199">
            <w:pPr>
              <w:tabs>
                <w:tab w:val="left" w:pos="188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r>
              <w:rPr>
                <w:rFonts w:ascii="Times New Roman" w:eastAsia="Times New Roman" w:hAnsi="Times New Roman" w:cs="Times New Roman"/>
                <w:b/>
                <w:sz w:val="24"/>
                <w:szCs w:val="24"/>
                <w:lang w:val="en-US"/>
              </w:rPr>
              <w:t>6</w:t>
            </w:r>
            <w:r w:rsidRPr="006F341F">
              <w:rPr>
                <w:rFonts w:ascii="Times New Roman" w:eastAsia="Times New Roman" w:hAnsi="Times New Roman" w:cs="Times New Roman"/>
                <w:b/>
                <w:sz w:val="24"/>
                <w:szCs w:val="24"/>
              </w:rPr>
              <w:t>. година</w:t>
            </w:r>
          </w:p>
        </w:tc>
        <w:tc>
          <w:tcPr>
            <w:tcW w:w="709" w:type="pct"/>
            <w:vAlign w:val="center"/>
          </w:tcPr>
          <w:p w14:paraId="0739D2AE" w14:textId="0B0AC539" w:rsidR="00C54199" w:rsidRPr="00ED7784" w:rsidRDefault="00C54199" w:rsidP="00C54199">
            <w:pPr>
              <w:tabs>
                <w:tab w:val="left" w:pos="1885"/>
              </w:tabs>
              <w:spacing w:after="0" w:line="240" w:lineRule="auto"/>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201</w:t>
            </w:r>
            <w:r w:rsidRPr="00ED7784">
              <w:rPr>
                <w:rFonts w:ascii="Times New Roman" w:eastAsia="Times New Roman" w:hAnsi="Times New Roman" w:cs="Times New Roman"/>
                <w:b/>
                <w:color w:val="000000" w:themeColor="text1"/>
                <w:sz w:val="24"/>
                <w:szCs w:val="24"/>
                <w:lang w:val="en-US"/>
              </w:rPr>
              <w:t>7</w:t>
            </w:r>
            <w:r w:rsidRPr="00ED7784">
              <w:rPr>
                <w:rFonts w:ascii="Times New Roman" w:eastAsia="Times New Roman" w:hAnsi="Times New Roman" w:cs="Times New Roman"/>
                <w:b/>
                <w:color w:val="000000" w:themeColor="text1"/>
                <w:sz w:val="24"/>
                <w:szCs w:val="24"/>
              </w:rPr>
              <w:t>. година</w:t>
            </w:r>
          </w:p>
        </w:tc>
        <w:tc>
          <w:tcPr>
            <w:tcW w:w="710" w:type="pct"/>
            <w:vAlign w:val="center"/>
          </w:tcPr>
          <w:p w14:paraId="24A762CF" w14:textId="22D0447F" w:rsidR="00C54199" w:rsidRPr="00D34D43" w:rsidRDefault="00C54199" w:rsidP="00C54199">
            <w:pPr>
              <w:tabs>
                <w:tab w:val="left" w:pos="1885"/>
              </w:tabs>
              <w:spacing w:after="0" w:line="240" w:lineRule="auto"/>
              <w:jc w:val="center"/>
              <w:rPr>
                <w:rFonts w:ascii="Times New Roman" w:eastAsia="Times New Roman" w:hAnsi="Times New Roman" w:cs="Times New Roman"/>
                <w:b/>
                <w:sz w:val="24"/>
                <w:szCs w:val="24"/>
                <w:lang w:val="sr-Cyrl-CS"/>
              </w:rPr>
            </w:pPr>
            <w:r w:rsidRPr="00D34D43">
              <w:rPr>
                <w:rFonts w:ascii="Times New Roman" w:eastAsia="Times New Roman" w:hAnsi="Times New Roman" w:cs="Times New Roman"/>
                <w:b/>
                <w:sz w:val="24"/>
                <w:szCs w:val="24"/>
                <w:lang w:val="sr-Cyrl-CS"/>
              </w:rPr>
              <w:t>2018. година</w:t>
            </w:r>
          </w:p>
        </w:tc>
        <w:tc>
          <w:tcPr>
            <w:tcW w:w="709" w:type="pct"/>
            <w:vAlign w:val="center"/>
          </w:tcPr>
          <w:p w14:paraId="62BA428E" w14:textId="7A73E3C3" w:rsidR="00C54199" w:rsidRPr="00D34D43" w:rsidRDefault="00C54199" w:rsidP="00C54199">
            <w:pPr>
              <w:tabs>
                <w:tab w:val="left" w:pos="1885"/>
              </w:tabs>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2019</w:t>
            </w:r>
            <w:r w:rsidRPr="00D34D43">
              <w:rPr>
                <w:rFonts w:ascii="Times New Roman" w:eastAsia="Times New Roman" w:hAnsi="Times New Roman" w:cs="Times New Roman"/>
                <w:b/>
                <w:sz w:val="24"/>
                <w:szCs w:val="24"/>
                <w:lang w:val="sr-Cyrl-CS"/>
              </w:rPr>
              <w:t>. година</w:t>
            </w:r>
          </w:p>
        </w:tc>
      </w:tr>
      <w:tr w:rsidR="00C54199" w:rsidRPr="005E5329" w14:paraId="4A571CF8" w14:textId="1E9831C2" w:rsidTr="00EE6D63">
        <w:tblPrEx>
          <w:tblLook w:val="04A0" w:firstRow="1" w:lastRow="0" w:firstColumn="1" w:lastColumn="0" w:noHBand="0" w:noVBand="1"/>
        </w:tblPrEx>
        <w:trPr>
          <w:jc w:val="center"/>
        </w:trPr>
        <w:tc>
          <w:tcPr>
            <w:tcW w:w="728" w:type="pct"/>
            <w:shd w:val="clear" w:color="auto" w:fill="auto"/>
            <w:vAlign w:val="center"/>
          </w:tcPr>
          <w:p w14:paraId="3D147E5B" w14:textId="77777777" w:rsidR="00C54199" w:rsidRPr="005E5329" w:rsidRDefault="00C54199" w:rsidP="00C54199">
            <w:pPr>
              <w:tabs>
                <w:tab w:val="left" w:pos="1885"/>
              </w:tabs>
              <w:spacing w:after="0"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sz w:val="24"/>
                <w:szCs w:val="24"/>
              </w:rPr>
              <w:t>2,7</w:t>
            </w:r>
          </w:p>
        </w:tc>
        <w:tc>
          <w:tcPr>
            <w:tcW w:w="720" w:type="pct"/>
            <w:vAlign w:val="center"/>
          </w:tcPr>
          <w:p w14:paraId="5640381B" w14:textId="77777777" w:rsidR="00C54199" w:rsidRPr="005E5329" w:rsidRDefault="00C54199" w:rsidP="00C54199">
            <w:pPr>
              <w:tabs>
                <w:tab w:val="left" w:pos="1885"/>
              </w:tabs>
              <w:spacing w:after="0"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sz w:val="24"/>
                <w:szCs w:val="24"/>
              </w:rPr>
              <w:t>2,6</w:t>
            </w:r>
          </w:p>
        </w:tc>
        <w:tc>
          <w:tcPr>
            <w:tcW w:w="720" w:type="pct"/>
            <w:vAlign w:val="center"/>
          </w:tcPr>
          <w:p w14:paraId="78B555D9" w14:textId="77777777" w:rsidR="00C54199" w:rsidRPr="005E5329" w:rsidRDefault="00C54199" w:rsidP="00C54199">
            <w:pPr>
              <w:tabs>
                <w:tab w:val="left" w:pos="1885"/>
              </w:tabs>
              <w:spacing w:after="0"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sz w:val="24"/>
                <w:szCs w:val="24"/>
              </w:rPr>
              <w:t>2,9</w:t>
            </w:r>
          </w:p>
        </w:tc>
        <w:tc>
          <w:tcPr>
            <w:tcW w:w="704" w:type="pct"/>
            <w:vAlign w:val="center"/>
          </w:tcPr>
          <w:p w14:paraId="5FAB5134" w14:textId="77777777" w:rsidR="00C54199" w:rsidRPr="006F341F" w:rsidRDefault="00C54199" w:rsidP="00C54199">
            <w:pPr>
              <w:tabs>
                <w:tab w:val="left" w:pos="188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c>
          <w:tcPr>
            <w:tcW w:w="709" w:type="pct"/>
            <w:vAlign w:val="center"/>
          </w:tcPr>
          <w:p w14:paraId="426794C0" w14:textId="373CC07F" w:rsidR="00C54199" w:rsidRPr="00ED7784" w:rsidRDefault="00C54199" w:rsidP="00C54199">
            <w:pPr>
              <w:tabs>
                <w:tab w:val="left" w:pos="1885"/>
              </w:tabs>
              <w:spacing w:after="0" w:line="240" w:lineRule="auto"/>
              <w:jc w:val="center"/>
              <w:rPr>
                <w:rFonts w:ascii="Times New Roman" w:eastAsia="Times New Roman" w:hAnsi="Times New Roman" w:cs="Times New Roman"/>
                <w:color w:val="000000" w:themeColor="text1"/>
                <w:sz w:val="24"/>
                <w:szCs w:val="24"/>
                <w:lang w:val="en-US"/>
              </w:rPr>
            </w:pPr>
            <w:r w:rsidRPr="00ED7784">
              <w:rPr>
                <w:rFonts w:ascii="Times New Roman" w:eastAsia="Times New Roman" w:hAnsi="Times New Roman" w:cs="Times New Roman"/>
                <w:color w:val="000000" w:themeColor="text1"/>
                <w:sz w:val="24"/>
                <w:szCs w:val="24"/>
                <w:lang w:val="en-US"/>
              </w:rPr>
              <w:t>3</w:t>
            </w:r>
          </w:p>
        </w:tc>
        <w:tc>
          <w:tcPr>
            <w:tcW w:w="710" w:type="pct"/>
            <w:vAlign w:val="center"/>
          </w:tcPr>
          <w:p w14:paraId="712F9C3B" w14:textId="34A2F7EB" w:rsidR="00C54199" w:rsidRPr="00D34D43" w:rsidRDefault="00C54199" w:rsidP="00C54199">
            <w:pPr>
              <w:tabs>
                <w:tab w:val="left" w:pos="1885"/>
              </w:tabs>
              <w:spacing w:after="0" w:line="240" w:lineRule="auto"/>
              <w:jc w:val="center"/>
              <w:rPr>
                <w:rFonts w:ascii="Times New Roman" w:eastAsia="Times New Roman" w:hAnsi="Times New Roman" w:cs="Times New Roman"/>
                <w:sz w:val="24"/>
                <w:szCs w:val="24"/>
                <w:lang w:val="en-GB"/>
              </w:rPr>
            </w:pPr>
            <w:r w:rsidRPr="00D34D43">
              <w:rPr>
                <w:rFonts w:ascii="Times New Roman" w:eastAsia="Times New Roman" w:hAnsi="Times New Roman" w:cs="Times New Roman"/>
                <w:sz w:val="24"/>
                <w:szCs w:val="24"/>
                <w:lang w:val="en-GB"/>
              </w:rPr>
              <w:t>2,5</w:t>
            </w:r>
          </w:p>
        </w:tc>
        <w:tc>
          <w:tcPr>
            <w:tcW w:w="709" w:type="pct"/>
            <w:vAlign w:val="center"/>
          </w:tcPr>
          <w:p w14:paraId="4FB98FBB" w14:textId="02A5B7EE" w:rsidR="00C54199" w:rsidRPr="00855540" w:rsidRDefault="00855540" w:rsidP="00C54199">
            <w:pPr>
              <w:tabs>
                <w:tab w:val="left" w:pos="1885"/>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sr-Cyrl-CS"/>
              </w:rPr>
              <w:t>5</w:t>
            </w:r>
          </w:p>
        </w:tc>
      </w:tr>
    </w:tbl>
    <w:p w14:paraId="0AFF3136" w14:textId="77777777" w:rsidR="00260CEA" w:rsidRDefault="00260CEA" w:rsidP="00260CEA">
      <w:pPr>
        <w:jc w:val="both"/>
        <w:rPr>
          <w:rFonts w:ascii="Times New Roman" w:hAnsi="Times New Roman" w:cs="Times New Roman"/>
          <w:sz w:val="24"/>
          <w:szCs w:val="24"/>
        </w:rPr>
      </w:pPr>
    </w:p>
    <w:p w14:paraId="23469473" w14:textId="1C0C82B1" w:rsidR="00205EA7" w:rsidRDefault="00DF5743" w:rsidP="005E5329">
      <w:pPr>
        <w:jc w:val="both"/>
        <w:rPr>
          <w:rFonts w:ascii="Times New Roman" w:hAnsi="Times New Roman" w:cs="Times New Roman"/>
          <w:color w:val="000000" w:themeColor="text1"/>
          <w:sz w:val="24"/>
          <w:szCs w:val="24"/>
          <w:lang w:val="sr"/>
        </w:rPr>
      </w:pPr>
      <w:r>
        <w:rPr>
          <w:rFonts w:ascii="Times New Roman" w:hAnsi="Times New Roman" w:cs="Times New Roman"/>
          <w:color w:val="000000" w:themeColor="text1"/>
          <w:sz w:val="24"/>
          <w:szCs w:val="24"/>
          <w:lang w:val="sr"/>
        </w:rPr>
        <w:t>Обликовање јавних набавки по партијама је фактор који има значајан утицај на интензитет конкуре</w:t>
      </w:r>
      <w:r w:rsidR="006753A3">
        <w:rPr>
          <w:rFonts w:ascii="Times New Roman" w:hAnsi="Times New Roman" w:cs="Times New Roman"/>
          <w:color w:val="000000" w:themeColor="text1"/>
          <w:sz w:val="24"/>
          <w:szCs w:val="24"/>
          <w:lang w:val="sr"/>
        </w:rPr>
        <w:t>нције</w:t>
      </w:r>
      <w:r w:rsidR="00E65208">
        <w:rPr>
          <w:rFonts w:ascii="Times New Roman" w:hAnsi="Times New Roman" w:cs="Times New Roman"/>
          <w:color w:val="000000" w:themeColor="text1"/>
          <w:sz w:val="24"/>
          <w:szCs w:val="24"/>
          <w:lang w:val="sr"/>
        </w:rPr>
        <w:t xml:space="preserve"> јер се, поделом по п</w:t>
      </w:r>
      <w:r w:rsidR="006753A3">
        <w:rPr>
          <w:rFonts w:ascii="Times New Roman" w:hAnsi="Times New Roman" w:cs="Times New Roman"/>
          <w:color w:val="000000" w:themeColor="text1"/>
          <w:sz w:val="24"/>
          <w:szCs w:val="24"/>
          <w:lang w:val="sr"/>
        </w:rPr>
        <w:t>а</w:t>
      </w:r>
      <w:r w:rsidR="00E65208">
        <w:rPr>
          <w:rFonts w:ascii="Times New Roman" w:hAnsi="Times New Roman" w:cs="Times New Roman"/>
          <w:color w:val="000000" w:themeColor="text1"/>
          <w:sz w:val="24"/>
          <w:szCs w:val="24"/>
          <w:lang w:val="sr"/>
        </w:rPr>
        <w:t>р</w:t>
      </w:r>
      <w:r w:rsidR="006753A3">
        <w:rPr>
          <w:rFonts w:ascii="Times New Roman" w:hAnsi="Times New Roman" w:cs="Times New Roman"/>
          <w:color w:val="000000" w:themeColor="text1"/>
          <w:sz w:val="24"/>
          <w:szCs w:val="24"/>
          <w:lang w:val="sr"/>
        </w:rPr>
        <w:t xml:space="preserve">тијама, олакшава </w:t>
      </w:r>
      <w:r w:rsidR="007534E3">
        <w:rPr>
          <w:rFonts w:ascii="Times New Roman" w:hAnsi="Times New Roman" w:cs="Times New Roman"/>
          <w:color w:val="000000" w:themeColor="text1"/>
          <w:sz w:val="24"/>
          <w:szCs w:val="24"/>
          <w:lang w:val="sr-Cyrl-RS"/>
        </w:rPr>
        <w:t xml:space="preserve">и </w:t>
      </w:r>
      <w:r w:rsidR="006753A3">
        <w:rPr>
          <w:rFonts w:ascii="Times New Roman" w:hAnsi="Times New Roman" w:cs="Times New Roman"/>
          <w:color w:val="000000" w:themeColor="text1"/>
          <w:sz w:val="24"/>
          <w:szCs w:val="24"/>
          <w:lang w:val="sr"/>
        </w:rPr>
        <w:t xml:space="preserve">учешће </w:t>
      </w:r>
      <w:r w:rsidR="00205EA7">
        <w:rPr>
          <w:rFonts w:ascii="Times New Roman" w:hAnsi="Times New Roman" w:cs="Times New Roman"/>
          <w:color w:val="000000" w:themeColor="text1"/>
          <w:sz w:val="24"/>
          <w:szCs w:val="24"/>
          <w:lang w:val="sr"/>
        </w:rPr>
        <w:t xml:space="preserve">малим </w:t>
      </w:r>
      <w:r w:rsidR="007534E3">
        <w:rPr>
          <w:rFonts w:ascii="Times New Roman" w:hAnsi="Times New Roman" w:cs="Times New Roman"/>
          <w:color w:val="000000" w:themeColor="text1"/>
          <w:sz w:val="24"/>
          <w:szCs w:val="24"/>
          <w:lang w:val="sr-Cyrl-RS"/>
        </w:rPr>
        <w:t xml:space="preserve">и средњим </w:t>
      </w:r>
      <w:r w:rsidR="00205EA7">
        <w:rPr>
          <w:rFonts w:ascii="Times New Roman" w:hAnsi="Times New Roman" w:cs="Times New Roman"/>
          <w:color w:val="000000" w:themeColor="text1"/>
          <w:sz w:val="24"/>
          <w:szCs w:val="24"/>
          <w:lang w:val="sr"/>
        </w:rPr>
        <w:t>предузећима</w:t>
      </w:r>
      <w:r w:rsidR="00E65208">
        <w:rPr>
          <w:rFonts w:ascii="Times New Roman" w:hAnsi="Times New Roman" w:cs="Times New Roman"/>
          <w:color w:val="000000" w:themeColor="text1"/>
          <w:sz w:val="24"/>
          <w:szCs w:val="24"/>
          <w:lang w:val="sr"/>
        </w:rPr>
        <w:t xml:space="preserve">. </w:t>
      </w:r>
      <w:r w:rsidR="005D155E">
        <w:rPr>
          <w:rFonts w:ascii="Times New Roman" w:hAnsi="Times New Roman" w:cs="Times New Roman"/>
          <w:color w:val="000000" w:themeColor="text1"/>
          <w:sz w:val="24"/>
          <w:szCs w:val="24"/>
          <w:lang w:val="sr"/>
        </w:rPr>
        <w:t>Разлог је што,</w:t>
      </w:r>
      <w:r w:rsidR="00205EA7">
        <w:rPr>
          <w:rFonts w:ascii="Times New Roman" w:hAnsi="Times New Roman" w:cs="Times New Roman"/>
          <w:color w:val="000000" w:themeColor="text1"/>
          <w:sz w:val="24"/>
          <w:szCs w:val="24"/>
          <w:lang w:val="sr"/>
        </w:rPr>
        <w:t xml:space="preserve"> у одсуству поделе по п</w:t>
      </w:r>
      <w:r w:rsidR="00255F23">
        <w:rPr>
          <w:rFonts w:ascii="Times New Roman" w:hAnsi="Times New Roman" w:cs="Times New Roman"/>
          <w:color w:val="000000" w:themeColor="text1"/>
          <w:sz w:val="24"/>
          <w:szCs w:val="24"/>
        </w:rPr>
        <w:t>а</w:t>
      </w:r>
      <w:r w:rsidR="00255F23">
        <w:rPr>
          <w:rFonts w:ascii="Times New Roman" w:hAnsi="Times New Roman" w:cs="Times New Roman"/>
          <w:color w:val="000000" w:themeColor="text1"/>
          <w:sz w:val="24"/>
          <w:szCs w:val="24"/>
          <w:lang w:val="sr"/>
        </w:rPr>
        <w:t>р</w:t>
      </w:r>
      <w:r w:rsidR="00205EA7">
        <w:rPr>
          <w:rFonts w:ascii="Times New Roman" w:hAnsi="Times New Roman" w:cs="Times New Roman"/>
          <w:color w:val="000000" w:themeColor="text1"/>
          <w:sz w:val="24"/>
          <w:szCs w:val="24"/>
          <w:lang w:val="sr"/>
        </w:rPr>
        <w:t xml:space="preserve">тијама, мала </w:t>
      </w:r>
      <w:r w:rsidR="007534E3">
        <w:rPr>
          <w:rFonts w:ascii="Times New Roman" w:hAnsi="Times New Roman" w:cs="Times New Roman"/>
          <w:color w:val="000000" w:themeColor="text1"/>
          <w:sz w:val="24"/>
          <w:szCs w:val="24"/>
          <w:lang w:val="sr-Cyrl-RS"/>
        </w:rPr>
        <w:t xml:space="preserve">и средња </w:t>
      </w:r>
      <w:r w:rsidR="00205EA7">
        <w:rPr>
          <w:rFonts w:ascii="Times New Roman" w:hAnsi="Times New Roman" w:cs="Times New Roman"/>
          <w:color w:val="000000" w:themeColor="text1"/>
          <w:sz w:val="24"/>
          <w:szCs w:val="24"/>
          <w:lang w:val="sr"/>
        </w:rPr>
        <w:t xml:space="preserve">предузећа или не могу да понуде све тражене предмете набавки или немају довољан капацитет потребан за целу набавку услед чега су онемогућена да учествују у поступку набавке. </w:t>
      </w:r>
    </w:p>
    <w:p w14:paraId="1AD066B2" w14:textId="74CD0BF4" w:rsidR="001C7AE9" w:rsidRPr="00804FD2" w:rsidRDefault="006B2FA2" w:rsidP="005E5329">
      <w:pPr>
        <w:jc w:val="both"/>
        <w:rPr>
          <w:rFonts w:ascii="Times New Roman" w:hAnsi="Times New Roman" w:cs="Times New Roman"/>
          <w:color w:val="000000" w:themeColor="text1"/>
          <w:sz w:val="24"/>
          <w:szCs w:val="24"/>
          <w:lang w:val="sr-Latn-RS"/>
        </w:rPr>
      </w:pPr>
      <w:r w:rsidRPr="00B84850">
        <w:rPr>
          <w:rFonts w:ascii="Times New Roman" w:hAnsi="Times New Roman" w:cs="Times New Roman"/>
          <w:sz w:val="24"/>
          <w:szCs w:val="24"/>
        </w:rPr>
        <w:t>У</w:t>
      </w:r>
      <w:r w:rsidR="00327D06" w:rsidRPr="00B84850">
        <w:rPr>
          <w:rFonts w:ascii="Times New Roman" w:hAnsi="Times New Roman" w:cs="Times New Roman"/>
          <w:sz w:val="24"/>
          <w:szCs w:val="24"/>
        </w:rPr>
        <w:t>чешће уговора закључени</w:t>
      </w:r>
      <w:r w:rsidR="00E65208" w:rsidRPr="00B84850">
        <w:rPr>
          <w:rFonts w:ascii="Times New Roman" w:hAnsi="Times New Roman" w:cs="Times New Roman"/>
          <w:sz w:val="24"/>
          <w:szCs w:val="24"/>
        </w:rPr>
        <w:t>х у оквиру поступака обликованих</w:t>
      </w:r>
      <w:r w:rsidR="00327D06" w:rsidRPr="00B84850">
        <w:rPr>
          <w:rFonts w:ascii="Times New Roman" w:hAnsi="Times New Roman" w:cs="Times New Roman"/>
          <w:sz w:val="24"/>
          <w:szCs w:val="24"/>
        </w:rPr>
        <w:t xml:space="preserve"> по партијама у односу на укупан број закључених уговора</w:t>
      </w:r>
      <w:r w:rsidR="00C74261" w:rsidRPr="00B84850">
        <w:rPr>
          <w:rFonts w:ascii="Times New Roman" w:hAnsi="Times New Roman" w:cs="Times New Roman"/>
          <w:sz w:val="24"/>
          <w:szCs w:val="24"/>
          <w:lang w:val="sr"/>
        </w:rPr>
        <w:t xml:space="preserve"> </w:t>
      </w:r>
      <w:r w:rsidR="00205EA7" w:rsidRPr="00B84850">
        <w:rPr>
          <w:rFonts w:ascii="Times New Roman" w:hAnsi="Times New Roman" w:cs="Times New Roman"/>
          <w:sz w:val="24"/>
          <w:szCs w:val="24"/>
          <w:lang w:val="sr"/>
        </w:rPr>
        <w:t>у 201</w:t>
      </w:r>
      <w:r w:rsidR="003124ED">
        <w:rPr>
          <w:rFonts w:ascii="Times New Roman" w:hAnsi="Times New Roman" w:cs="Times New Roman"/>
          <w:sz w:val="24"/>
          <w:szCs w:val="24"/>
          <w:lang w:val="sr"/>
        </w:rPr>
        <w:t>9</w:t>
      </w:r>
      <w:r w:rsidR="00EE6D63">
        <w:rPr>
          <w:rFonts w:ascii="Times New Roman" w:hAnsi="Times New Roman" w:cs="Times New Roman"/>
          <w:sz w:val="24"/>
          <w:szCs w:val="24"/>
          <w:lang w:val="sr-Cyrl-RS"/>
        </w:rPr>
        <w:t>.</w:t>
      </w:r>
      <w:r w:rsidR="00205EA7" w:rsidRPr="00B84850">
        <w:rPr>
          <w:rFonts w:ascii="Times New Roman" w:hAnsi="Times New Roman" w:cs="Times New Roman"/>
          <w:sz w:val="24"/>
          <w:szCs w:val="24"/>
          <w:lang w:val="sr"/>
        </w:rPr>
        <w:t xml:space="preserve"> </w:t>
      </w:r>
      <w:r w:rsidRPr="00B84850">
        <w:rPr>
          <w:rFonts w:ascii="Times New Roman" w:hAnsi="Times New Roman" w:cs="Times New Roman"/>
          <w:sz w:val="24"/>
          <w:szCs w:val="24"/>
          <w:lang w:val="sr"/>
        </w:rPr>
        <w:t>г</w:t>
      </w:r>
      <w:r w:rsidR="001754B9" w:rsidRPr="00B84850">
        <w:rPr>
          <w:rFonts w:ascii="Times New Roman" w:hAnsi="Times New Roman" w:cs="Times New Roman"/>
          <w:sz w:val="24"/>
          <w:szCs w:val="24"/>
          <w:lang w:val="sr"/>
        </w:rPr>
        <w:t>одини</w:t>
      </w:r>
      <w:r w:rsidR="003124ED">
        <w:rPr>
          <w:rFonts w:ascii="Times New Roman" w:hAnsi="Times New Roman" w:cs="Times New Roman"/>
          <w:sz w:val="24"/>
          <w:szCs w:val="24"/>
          <w:lang w:val="sr-Cyrl-CS"/>
        </w:rPr>
        <w:t xml:space="preserve"> износио је 62</w:t>
      </w:r>
      <w:r w:rsidRPr="00B84850">
        <w:rPr>
          <w:rFonts w:ascii="Times New Roman" w:hAnsi="Times New Roman" w:cs="Times New Roman"/>
          <w:sz w:val="24"/>
          <w:szCs w:val="24"/>
          <w:lang w:val="sr-Cyrl-CS"/>
        </w:rPr>
        <w:t xml:space="preserve">% </w:t>
      </w:r>
      <w:r w:rsidR="00BE7E9E" w:rsidRPr="00B84850">
        <w:rPr>
          <w:rFonts w:ascii="Times New Roman" w:hAnsi="Times New Roman" w:cs="Times New Roman"/>
          <w:sz w:val="24"/>
          <w:szCs w:val="24"/>
        </w:rPr>
        <w:t>(Таб</w:t>
      </w:r>
      <w:r w:rsidR="00C21B90">
        <w:rPr>
          <w:rFonts w:ascii="Times New Roman" w:hAnsi="Times New Roman" w:cs="Times New Roman"/>
          <w:sz w:val="24"/>
          <w:szCs w:val="24"/>
        </w:rPr>
        <w:t>ела 9</w:t>
      </w:r>
      <w:r w:rsidR="0006447D" w:rsidRPr="00B84850">
        <w:rPr>
          <w:rFonts w:ascii="Times New Roman" w:hAnsi="Times New Roman" w:cs="Times New Roman"/>
          <w:sz w:val="24"/>
          <w:szCs w:val="24"/>
        </w:rPr>
        <w:t>)</w:t>
      </w:r>
      <w:r w:rsidR="00FA3648">
        <w:rPr>
          <w:rFonts w:ascii="Times New Roman" w:hAnsi="Times New Roman" w:cs="Times New Roman"/>
          <w:sz w:val="24"/>
          <w:szCs w:val="24"/>
          <w:lang w:val="en-GB"/>
        </w:rPr>
        <w:t>.</w:t>
      </w:r>
      <w:r w:rsidR="00FA3648">
        <w:rPr>
          <w:rFonts w:ascii="Times New Roman" w:hAnsi="Times New Roman" w:cs="Times New Roman"/>
          <w:color w:val="FF0000"/>
          <w:sz w:val="24"/>
          <w:szCs w:val="24"/>
        </w:rPr>
        <w:t xml:space="preserve"> </w:t>
      </w:r>
      <w:r w:rsidR="006630D7" w:rsidRPr="006B2FA2">
        <w:rPr>
          <w:rFonts w:ascii="Times New Roman" w:hAnsi="Times New Roman" w:cs="Times New Roman"/>
          <w:color w:val="FF0000"/>
          <w:sz w:val="24"/>
          <w:szCs w:val="24"/>
        </w:rPr>
        <w:t xml:space="preserve"> </w:t>
      </w:r>
    </w:p>
    <w:p w14:paraId="5CC23F1E" w14:textId="2F297AB7" w:rsidR="00BE7E9E" w:rsidRPr="00B84850" w:rsidRDefault="00713B81" w:rsidP="00713B81">
      <w:pPr>
        <w:jc w:val="both"/>
        <w:rPr>
          <w:rFonts w:ascii="Times New Roman" w:hAnsi="Times New Roman" w:cs="Times New Roman"/>
          <w:b/>
          <w:color w:val="FF0000"/>
          <w:sz w:val="24"/>
          <w:szCs w:val="24"/>
          <w:lang w:val="sr-Cyrl-CS"/>
        </w:rPr>
      </w:pPr>
      <w:r>
        <w:rPr>
          <w:rFonts w:ascii="Times New Roman" w:hAnsi="Times New Roman" w:cs="Times New Roman"/>
          <w:b/>
          <w:color w:val="FF0000"/>
          <w:sz w:val="24"/>
          <w:szCs w:val="24"/>
          <w:lang w:val="sr-Cyrl-CS"/>
        </w:rPr>
        <w:t xml:space="preserve">        </w:t>
      </w:r>
      <w:r w:rsidR="00C21B90">
        <w:rPr>
          <w:rFonts w:ascii="Times New Roman" w:hAnsi="Times New Roman" w:cs="Times New Roman"/>
          <w:b/>
          <w:sz w:val="24"/>
          <w:szCs w:val="24"/>
          <w:lang w:val="sr"/>
        </w:rPr>
        <w:t>Табела 9</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960"/>
        <w:gridCol w:w="960"/>
        <w:gridCol w:w="960"/>
        <w:gridCol w:w="960"/>
        <w:gridCol w:w="960"/>
        <w:gridCol w:w="960"/>
        <w:gridCol w:w="960"/>
      </w:tblGrid>
      <w:tr w:rsidR="003124ED" w:rsidRPr="00B605CA" w14:paraId="21029C73" w14:textId="77777777" w:rsidTr="003124ED">
        <w:trPr>
          <w:trHeight w:val="300"/>
          <w:jc w:val="center"/>
        </w:trPr>
        <w:tc>
          <w:tcPr>
            <w:tcW w:w="10740" w:type="dxa"/>
            <w:gridSpan w:val="8"/>
            <w:vAlign w:val="center"/>
          </w:tcPr>
          <w:p w14:paraId="161D0F7D" w14:textId="77777777" w:rsidR="003124ED" w:rsidRPr="00B605CA" w:rsidRDefault="003124ED" w:rsidP="003124ED">
            <w:pPr>
              <w:spacing w:after="0" w:line="240" w:lineRule="auto"/>
              <w:jc w:val="center"/>
              <w:rPr>
                <w:rFonts w:ascii="Times New Roman" w:eastAsia="Times New Roman" w:hAnsi="Times New Roman" w:cs="Times New Roman"/>
                <w:b/>
                <w:color w:val="000000"/>
                <w:sz w:val="24"/>
                <w:szCs w:val="24"/>
                <w:lang w:val="sr-Cyrl-CS" w:eastAsia="en-GB"/>
              </w:rPr>
            </w:pPr>
            <w:r w:rsidRPr="00B605CA">
              <w:rPr>
                <w:rFonts w:ascii="Times New Roman" w:eastAsia="Times New Roman" w:hAnsi="Times New Roman" w:cs="Times New Roman"/>
                <w:b/>
                <w:color w:val="000000"/>
                <w:sz w:val="24"/>
                <w:szCs w:val="24"/>
                <w:lang w:val="sr-Cyrl-CS" w:eastAsia="en-GB"/>
              </w:rPr>
              <w:t xml:space="preserve">Кретање учешћа </w:t>
            </w:r>
            <w:r>
              <w:rPr>
                <w:rFonts w:ascii="Times New Roman" w:eastAsia="Times New Roman" w:hAnsi="Times New Roman" w:cs="Times New Roman"/>
                <w:b/>
                <w:color w:val="000000"/>
                <w:sz w:val="24"/>
                <w:szCs w:val="24"/>
                <w:lang w:val="sr-Cyrl-CS" w:eastAsia="en-GB"/>
              </w:rPr>
              <w:t>набавки обликованих по партијама</w:t>
            </w:r>
          </w:p>
          <w:p w14:paraId="73E7DC7D" w14:textId="58D5EAC7" w:rsidR="003124ED" w:rsidRPr="00B605CA" w:rsidRDefault="00901D9B" w:rsidP="003124ED">
            <w:pPr>
              <w:spacing w:after="0" w:line="240" w:lineRule="auto"/>
              <w:jc w:val="center"/>
              <w:rPr>
                <w:rFonts w:ascii="Times New Roman" w:eastAsia="Times New Roman" w:hAnsi="Times New Roman" w:cs="Times New Roman"/>
                <w:b/>
                <w:color w:val="000000"/>
                <w:sz w:val="24"/>
                <w:szCs w:val="24"/>
                <w:lang w:val="sr-Cyrl-CS" w:eastAsia="en-GB"/>
              </w:rPr>
            </w:pPr>
            <w:r>
              <w:rPr>
                <w:rFonts w:ascii="Times New Roman" w:eastAsia="Times New Roman" w:hAnsi="Times New Roman" w:cs="Times New Roman"/>
                <w:b/>
                <w:color w:val="000000"/>
                <w:sz w:val="24"/>
                <w:szCs w:val="24"/>
                <w:lang w:val="sr-Cyrl-CS" w:eastAsia="en-GB"/>
              </w:rPr>
              <w:t>у периоду 2013 – 2019</w:t>
            </w:r>
          </w:p>
        </w:tc>
      </w:tr>
      <w:tr w:rsidR="003124ED" w:rsidRPr="00B605CA" w14:paraId="692E458B" w14:textId="77777777" w:rsidTr="003124ED">
        <w:trPr>
          <w:trHeight w:val="300"/>
          <w:jc w:val="center"/>
        </w:trPr>
        <w:tc>
          <w:tcPr>
            <w:tcW w:w="4020" w:type="dxa"/>
            <w:shd w:val="clear" w:color="auto" w:fill="auto"/>
            <w:noWrap/>
            <w:vAlign w:val="center"/>
            <w:hideMark/>
          </w:tcPr>
          <w:p w14:paraId="7C38B720" w14:textId="77777777" w:rsidR="003124ED" w:rsidRPr="00B605CA" w:rsidRDefault="003124ED" w:rsidP="003124ED">
            <w:pPr>
              <w:spacing w:after="0" w:line="240" w:lineRule="auto"/>
              <w:jc w:val="center"/>
              <w:rPr>
                <w:rFonts w:ascii="Times New Roman" w:eastAsia="Times New Roman" w:hAnsi="Times New Roman" w:cs="Times New Roman"/>
                <w:sz w:val="24"/>
                <w:szCs w:val="24"/>
                <w:lang w:eastAsia="en-GB"/>
              </w:rPr>
            </w:pPr>
          </w:p>
        </w:tc>
        <w:tc>
          <w:tcPr>
            <w:tcW w:w="960" w:type="dxa"/>
            <w:shd w:val="clear" w:color="auto" w:fill="auto"/>
            <w:noWrap/>
            <w:vAlign w:val="center"/>
            <w:hideMark/>
          </w:tcPr>
          <w:p w14:paraId="26D62E2E" w14:textId="77777777" w:rsidR="003124ED" w:rsidRPr="00B605CA" w:rsidRDefault="003124ED"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2013</w:t>
            </w:r>
          </w:p>
        </w:tc>
        <w:tc>
          <w:tcPr>
            <w:tcW w:w="960" w:type="dxa"/>
            <w:shd w:val="clear" w:color="auto" w:fill="auto"/>
            <w:noWrap/>
            <w:vAlign w:val="center"/>
            <w:hideMark/>
          </w:tcPr>
          <w:p w14:paraId="01B64F64" w14:textId="77777777" w:rsidR="003124ED" w:rsidRPr="00B605CA" w:rsidRDefault="003124ED"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2014</w:t>
            </w:r>
          </w:p>
        </w:tc>
        <w:tc>
          <w:tcPr>
            <w:tcW w:w="960" w:type="dxa"/>
            <w:shd w:val="clear" w:color="auto" w:fill="auto"/>
            <w:noWrap/>
            <w:vAlign w:val="center"/>
            <w:hideMark/>
          </w:tcPr>
          <w:p w14:paraId="4A10570A" w14:textId="77777777" w:rsidR="003124ED" w:rsidRPr="00B605CA" w:rsidRDefault="003124ED"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2015</w:t>
            </w:r>
          </w:p>
        </w:tc>
        <w:tc>
          <w:tcPr>
            <w:tcW w:w="960" w:type="dxa"/>
            <w:shd w:val="clear" w:color="auto" w:fill="auto"/>
            <w:noWrap/>
            <w:vAlign w:val="center"/>
            <w:hideMark/>
          </w:tcPr>
          <w:p w14:paraId="6FE7FED0" w14:textId="77777777" w:rsidR="003124ED" w:rsidRPr="00973D66" w:rsidRDefault="003124ED" w:rsidP="003124ED">
            <w:pPr>
              <w:spacing w:after="0" w:line="240" w:lineRule="auto"/>
              <w:jc w:val="center"/>
              <w:rPr>
                <w:rFonts w:ascii="Times New Roman" w:eastAsia="Times New Roman" w:hAnsi="Times New Roman" w:cs="Times New Roman"/>
                <w:b/>
                <w:color w:val="000000"/>
                <w:sz w:val="24"/>
                <w:szCs w:val="24"/>
                <w:lang w:val="sr-Cyrl-CS" w:eastAsia="en-GB"/>
              </w:rPr>
            </w:pPr>
            <w:r w:rsidRPr="00B605CA">
              <w:rPr>
                <w:rFonts w:ascii="Times New Roman" w:eastAsia="Times New Roman" w:hAnsi="Times New Roman" w:cs="Times New Roman"/>
                <w:b/>
                <w:color w:val="000000"/>
                <w:sz w:val="24"/>
                <w:szCs w:val="24"/>
                <w:lang w:eastAsia="en-GB"/>
              </w:rPr>
              <w:t>2016</w:t>
            </w:r>
          </w:p>
        </w:tc>
        <w:tc>
          <w:tcPr>
            <w:tcW w:w="960" w:type="dxa"/>
            <w:shd w:val="clear" w:color="auto" w:fill="auto"/>
            <w:vAlign w:val="center"/>
          </w:tcPr>
          <w:p w14:paraId="32275CC9" w14:textId="77777777" w:rsidR="003124ED" w:rsidRPr="00B605CA" w:rsidRDefault="003124ED" w:rsidP="003124ED">
            <w:pPr>
              <w:spacing w:after="0" w:line="240" w:lineRule="auto"/>
              <w:jc w:val="center"/>
              <w:rPr>
                <w:rFonts w:ascii="Times New Roman" w:eastAsia="Times New Roman" w:hAnsi="Times New Roman" w:cs="Times New Roman"/>
                <w:b/>
                <w:color w:val="000000"/>
                <w:sz w:val="24"/>
                <w:szCs w:val="24"/>
                <w:lang w:eastAsia="en-GB"/>
              </w:rPr>
            </w:pPr>
            <w:r w:rsidRPr="00B605CA">
              <w:rPr>
                <w:rFonts w:ascii="Times New Roman" w:eastAsia="Times New Roman" w:hAnsi="Times New Roman" w:cs="Times New Roman"/>
                <w:b/>
                <w:color w:val="000000"/>
                <w:sz w:val="24"/>
                <w:szCs w:val="24"/>
                <w:lang w:eastAsia="en-GB"/>
              </w:rPr>
              <w:t>2017</w:t>
            </w:r>
          </w:p>
        </w:tc>
        <w:tc>
          <w:tcPr>
            <w:tcW w:w="960" w:type="dxa"/>
            <w:shd w:val="clear" w:color="auto" w:fill="auto"/>
            <w:noWrap/>
            <w:vAlign w:val="center"/>
          </w:tcPr>
          <w:p w14:paraId="2B1F622A" w14:textId="77777777" w:rsidR="003124ED" w:rsidRPr="00B84850" w:rsidRDefault="003124ED" w:rsidP="003124ED">
            <w:pPr>
              <w:spacing w:after="0" w:line="240" w:lineRule="auto"/>
              <w:jc w:val="center"/>
              <w:rPr>
                <w:rFonts w:ascii="Times New Roman" w:eastAsia="Times New Roman" w:hAnsi="Times New Roman" w:cs="Times New Roman"/>
                <w:b/>
                <w:sz w:val="24"/>
                <w:szCs w:val="24"/>
                <w:lang w:val="sr-Cyrl-CS" w:eastAsia="en-GB"/>
              </w:rPr>
            </w:pPr>
            <w:r w:rsidRPr="00B84850">
              <w:rPr>
                <w:rFonts w:ascii="Times New Roman" w:eastAsia="Times New Roman" w:hAnsi="Times New Roman" w:cs="Times New Roman"/>
                <w:b/>
                <w:sz w:val="24"/>
                <w:szCs w:val="24"/>
                <w:lang w:val="sr-Cyrl-CS" w:eastAsia="en-GB"/>
              </w:rPr>
              <w:t>2018</w:t>
            </w:r>
          </w:p>
        </w:tc>
        <w:tc>
          <w:tcPr>
            <w:tcW w:w="960" w:type="dxa"/>
            <w:vAlign w:val="center"/>
          </w:tcPr>
          <w:p w14:paraId="6E05A23F" w14:textId="77777777" w:rsidR="003124ED" w:rsidRPr="00676097" w:rsidRDefault="003124ED" w:rsidP="003124ED">
            <w:pPr>
              <w:spacing w:after="0" w:line="240" w:lineRule="auto"/>
              <w:jc w:val="center"/>
              <w:rPr>
                <w:rFonts w:ascii="Times New Roman" w:eastAsia="Times New Roman" w:hAnsi="Times New Roman" w:cs="Times New Roman"/>
                <w:b/>
                <w:sz w:val="24"/>
                <w:szCs w:val="24"/>
                <w:lang w:val="sr-Latn-RS" w:eastAsia="en-GB"/>
              </w:rPr>
            </w:pPr>
            <w:r>
              <w:rPr>
                <w:rFonts w:ascii="Times New Roman" w:eastAsia="Times New Roman" w:hAnsi="Times New Roman" w:cs="Times New Roman"/>
                <w:b/>
                <w:sz w:val="24"/>
                <w:szCs w:val="24"/>
                <w:lang w:val="sr-Latn-RS" w:eastAsia="en-GB"/>
              </w:rPr>
              <w:t>2019</w:t>
            </w:r>
          </w:p>
        </w:tc>
      </w:tr>
      <w:tr w:rsidR="003124ED" w:rsidRPr="00B605CA" w14:paraId="63FB608C" w14:textId="77777777" w:rsidTr="003124ED">
        <w:trPr>
          <w:trHeight w:val="300"/>
          <w:jc w:val="center"/>
        </w:trPr>
        <w:tc>
          <w:tcPr>
            <w:tcW w:w="4020" w:type="dxa"/>
            <w:shd w:val="clear" w:color="auto" w:fill="auto"/>
            <w:noWrap/>
            <w:vAlign w:val="center"/>
            <w:hideMark/>
          </w:tcPr>
          <w:p w14:paraId="2F2ECCAC" w14:textId="77777777" w:rsidR="003124ED" w:rsidRPr="00751ADB" w:rsidRDefault="003124ED" w:rsidP="003124ED">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Набавке обликоване по партијама</w:t>
            </w:r>
          </w:p>
        </w:tc>
        <w:tc>
          <w:tcPr>
            <w:tcW w:w="960" w:type="dxa"/>
            <w:shd w:val="clear" w:color="auto" w:fill="auto"/>
            <w:noWrap/>
            <w:vAlign w:val="center"/>
            <w:hideMark/>
          </w:tcPr>
          <w:p w14:paraId="316EC0E5" w14:textId="77777777" w:rsidR="003124ED" w:rsidRPr="00B605CA" w:rsidRDefault="003124ED" w:rsidP="003124ED">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51</w:t>
            </w:r>
            <w:r w:rsidRPr="00B605CA">
              <w:rPr>
                <w:rFonts w:ascii="Times New Roman" w:eastAsia="Times New Roman" w:hAnsi="Times New Roman" w:cs="Times New Roman"/>
                <w:color w:val="000000"/>
                <w:sz w:val="24"/>
                <w:szCs w:val="24"/>
                <w:lang w:eastAsia="en-GB"/>
              </w:rPr>
              <w:t>%</w:t>
            </w:r>
          </w:p>
        </w:tc>
        <w:tc>
          <w:tcPr>
            <w:tcW w:w="960" w:type="dxa"/>
            <w:shd w:val="clear" w:color="auto" w:fill="auto"/>
            <w:noWrap/>
            <w:vAlign w:val="center"/>
            <w:hideMark/>
          </w:tcPr>
          <w:p w14:paraId="00EAE5F1" w14:textId="77777777" w:rsidR="003124ED" w:rsidRPr="00B605CA" w:rsidRDefault="003124ED" w:rsidP="003124ED">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62</w:t>
            </w:r>
            <w:r w:rsidRPr="00B605CA">
              <w:rPr>
                <w:rFonts w:ascii="Times New Roman" w:eastAsia="Times New Roman" w:hAnsi="Times New Roman" w:cs="Times New Roman"/>
                <w:color w:val="000000"/>
                <w:sz w:val="24"/>
                <w:szCs w:val="24"/>
                <w:lang w:eastAsia="en-GB"/>
              </w:rPr>
              <w:t>%</w:t>
            </w:r>
          </w:p>
        </w:tc>
        <w:tc>
          <w:tcPr>
            <w:tcW w:w="960" w:type="dxa"/>
            <w:shd w:val="clear" w:color="auto" w:fill="auto"/>
            <w:noWrap/>
            <w:vAlign w:val="center"/>
            <w:hideMark/>
          </w:tcPr>
          <w:p w14:paraId="4E83EC5F" w14:textId="77777777" w:rsidR="003124ED" w:rsidRPr="00B605CA" w:rsidRDefault="003124ED" w:rsidP="003124ED">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64</w:t>
            </w:r>
            <w:r w:rsidRPr="00B605CA">
              <w:rPr>
                <w:rFonts w:ascii="Times New Roman" w:eastAsia="Times New Roman" w:hAnsi="Times New Roman" w:cs="Times New Roman"/>
                <w:color w:val="000000"/>
                <w:sz w:val="24"/>
                <w:szCs w:val="24"/>
                <w:lang w:eastAsia="en-GB"/>
              </w:rPr>
              <w:t>%</w:t>
            </w:r>
          </w:p>
        </w:tc>
        <w:tc>
          <w:tcPr>
            <w:tcW w:w="960" w:type="dxa"/>
            <w:shd w:val="clear" w:color="auto" w:fill="auto"/>
            <w:noWrap/>
            <w:vAlign w:val="center"/>
            <w:hideMark/>
          </w:tcPr>
          <w:p w14:paraId="360FDD98" w14:textId="77777777" w:rsidR="003124ED" w:rsidRPr="00B605CA" w:rsidRDefault="003124ED" w:rsidP="003124ED">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69</w:t>
            </w:r>
            <w:r w:rsidRPr="00B605CA">
              <w:rPr>
                <w:rFonts w:ascii="Times New Roman" w:eastAsia="Times New Roman" w:hAnsi="Times New Roman" w:cs="Times New Roman"/>
                <w:color w:val="000000"/>
                <w:sz w:val="24"/>
                <w:szCs w:val="24"/>
                <w:lang w:eastAsia="en-GB"/>
              </w:rPr>
              <w:t>%</w:t>
            </w:r>
          </w:p>
        </w:tc>
        <w:tc>
          <w:tcPr>
            <w:tcW w:w="960" w:type="dxa"/>
            <w:shd w:val="clear" w:color="auto" w:fill="auto"/>
            <w:vAlign w:val="center"/>
          </w:tcPr>
          <w:p w14:paraId="19B4D06F" w14:textId="77777777" w:rsidR="003124ED" w:rsidRDefault="003124ED" w:rsidP="003124ED">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64</w:t>
            </w:r>
            <w:r w:rsidRPr="00B605CA">
              <w:rPr>
                <w:rFonts w:ascii="Times New Roman" w:eastAsia="Times New Roman" w:hAnsi="Times New Roman" w:cs="Times New Roman"/>
                <w:color w:val="000000"/>
                <w:sz w:val="24"/>
                <w:szCs w:val="24"/>
                <w:lang w:eastAsia="en-GB"/>
              </w:rPr>
              <w:t>%</w:t>
            </w:r>
          </w:p>
        </w:tc>
        <w:tc>
          <w:tcPr>
            <w:tcW w:w="960" w:type="dxa"/>
            <w:shd w:val="clear" w:color="auto" w:fill="auto"/>
            <w:noWrap/>
            <w:vAlign w:val="center"/>
          </w:tcPr>
          <w:p w14:paraId="48ACFF5A" w14:textId="77777777" w:rsidR="003124ED" w:rsidRPr="00B84850" w:rsidRDefault="003124ED" w:rsidP="003124ED">
            <w:pPr>
              <w:spacing w:after="0" w:line="240" w:lineRule="auto"/>
              <w:jc w:val="center"/>
              <w:rPr>
                <w:rFonts w:ascii="Times New Roman" w:eastAsia="Times New Roman" w:hAnsi="Times New Roman" w:cs="Times New Roman"/>
                <w:sz w:val="24"/>
                <w:szCs w:val="24"/>
                <w:lang w:val="sr-Cyrl-CS" w:eastAsia="en-GB"/>
              </w:rPr>
            </w:pPr>
            <w:r w:rsidRPr="00B84850">
              <w:rPr>
                <w:rFonts w:ascii="Times New Roman" w:eastAsia="Times New Roman" w:hAnsi="Times New Roman" w:cs="Times New Roman"/>
                <w:sz w:val="24"/>
                <w:szCs w:val="24"/>
                <w:lang w:val="sr-Cyrl-CS" w:eastAsia="en-GB"/>
              </w:rPr>
              <w:t>56%</w:t>
            </w:r>
          </w:p>
        </w:tc>
        <w:tc>
          <w:tcPr>
            <w:tcW w:w="960" w:type="dxa"/>
            <w:vAlign w:val="center"/>
          </w:tcPr>
          <w:p w14:paraId="2FCCEF0C" w14:textId="77777777" w:rsidR="003124ED" w:rsidRPr="00B84850" w:rsidRDefault="003124ED" w:rsidP="003124ED">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62%</w:t>
            </w:r>
          </w:p>
        </w:tc>
      </w:tr>
    </w:tbl>
    <w:p w14:paraId="325F6799" w14:textId="77777777" w:rsidR="00BE7E9E" w:rsidRDefault="00BE7E9E" w:rsidP="00BE7E9E">
      <w:pPr>
        <w:jc w:val="center"/>
      </w:pPr>
    </w:p>
    <w:p w14:paraId="7E373BC7" w14:textId="067A0A30" w:rsidR="005708B5" w:rsidRPr="00D844AC" w:rsidRDefault="00804FD2" w:rsidP="005708B5">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sr"/>
        </w:rPr>
        <w:t>Велика већина, 60% од 62</w:t>
      </w:r>
      <w:r w:rsidR="00517D6B">
        <w:rPr>
          <w:rFonts w:ascii="Times New Roman" w:hAnsi="Times New Roman" w:cs="Times New Roman"/>
          <w:color w:val="000000" w:themeColor="text1"/>
          <w:sz w:val="24"/>
          <w:szCs w:val="24"/>
          <w:lang w:val="sr"/>
        </w:rPr>
        <w:t>%</w:t>
      </w:r>
      <w:r w:rsidR="009E20D4">
        <w:rPr>
          <w:rFonts w:ascii="Times New Roman" w:hAnsi="Times New Roman" w:cs="Times New Roman"/>
          <w:color w:val="000000" w:themeColor="text1"/>
          <w:sz w:val="24"/>
          <w:szCs w:val="24"/>
          <w:lang w:val="sr"/>
        </w:rPr>
        <w:t xml:space="preserve"> </w:t>
      </w:r>
      <w:r w:rsidR="005708B5">
        <w:rPr>
          <w:rFonts w:ascii="Times New Roman" w:hAnsi="Times New Roman" w:cs="Times New Roman"/>
          <w:color w:val="000000" w:themeColor="text1"/>
          <w:sz w:val="24"/>
          <w:szCs w:val="24"/>
          <w:lang w:val="sr"/>
        </w:rPr>
        <w:t>уговора закључен</w:t>
      </w:r>
      <w:r w:rsidR="00D10402">
        <w:rPr>
          <w:rFonts w:ascii="Times New Roman" w:hAnsi="Times New Roman" w:cs="Times New Roman"/>
          <w:color w:val="000000" w:themeColor="text1"/>
          <w:sz w:val="24"/>
          <w:szCs w:val="24"/>
          <w:lang w:val="sr"/>
        </w:rPr>
        <w:t xml:space="preserve">их по партијама, </w:t>
      </w:r>
      <w:r>
        <w:rPr>
          <w:rFonts w:ascii="Times New Roman" w:hAnsi="Times New Roman" w:cs="Times New Roman"/>
          <w:sz w:val="24"/>
          <w:szCs w:val="24"/>
          <w:lang w:val="sr"/>
        </w:rPr>
        <w:t>у 2019</w:t>
      </w:r>
      <w:r w:rsidR="00A97C6F" w:rsidRPr="00517D6B">
        <w:rPr>
          <w:rFonts w:ascii="Times New Roman" w:hAnsi="Times New Roman" w:cs="Times New Roman"/>
          <w:sz w:val="24"/>
          <w:szCs w:val="24"/>
          <w:lang w:val="sr"/>
        </w:rPr>
        <w:t xml:space="preserve">. </w:t>
      </w:r>
      <w:r w:rsidR="00517D6B">
        <w:rPr>
          <w:rFonts w:ascii="Times New Roman" w:hAnsi="Times New Roman" w:cs="Times New Roman"/>
          <w:sz w:val="24"/>
          <w:szCs w:val="24"/>
          <w:lang w:val="sr"/>
        </w:rPr>
        <w:t>г</w:t>
      </w:r>
      <w:r w:rsidR="00A97C6F" w:rsidRPr="00517D6B">
        <w:rPr>
          <w:rFonts w:ascii="Times New Roman" w:hAnsi="Times New Roman" w:cs="Times New Roman"/>
          <w:sz w:val="24"/>
          <w:szCs w:val="24"/>
          <w:lang w:val="sr"/>
        </w:rPr>
        <w:t>одини</w:t>
      </w:r>
      <w:r w:rsidR="00517D6B">
        <w:rPr>
          <w:rFonts w:ascii="Times New Roman" w:hAnsi="Times New Roman" w:cs="Times New Roman"/>
          <w:sz w:val="24"/>
          <w:szCs w:val="24"/>
          <w:lang w:val="sr"/>
        </w:rPr>
        <w:t xml:space="preserve"> </w:t>
      </w:r>
      <w:r w:rsidR="005708B5" w:rsidRPr="00ED7784">
        <w:rPr>
          <w:rFonts w:ascii="Times New Roman" w:hAnsi="Times New Roman" w:cs="Times New Roman"/>
          <w:color w:val="000000" w:themeColor="text1"/>
          <w:sz w:val="24"/>
          <w:szCs w:val="24"/>
          <w:lang w:val="sr"/>
        </w:rPr>
        <w:t>односи</w:t>
      </w:r>
      <w:r w:rsidR="001754B9" w:rsidRPr="00ED7784">
        <w:rPr>
          <w:rFonts w:ascii="Times New Roman" w:hAnsi="Times New Roman" w:cs="Times New Roman"/>
          <w:color w:val="000000" w:themeColor="text1"/>
          <w:sz w:val="24"/>
          <w:szCs w:val="24"/>
          <w:lang w:val="sr"/>
        </w:rPr>
        <w:t>л</w:t>
      </w:r>
      <w:r w:rsidR="005708B5" w:rsidRPr="00ED7784">
        <w:rPr>
          <w:rFonts w:ascii="Times New Roman" w:hAnsi="Times New Roman" w:cs="Times New Roman"/>
          <w:color w:val="000000" w:themeColor="text1"/>
          <w:sz w:val="24"/>
          <w:szCs w:val="24"/>
          <w:lang w:val="sr"/>
        </w:rPr>
        <w:t xml:space="preserve">о се на медицинску опрему и фармацеутске производе. Централизоване набавке спроведене од стране Републичког фонда за здравствено осигурање често су биле подељене на већи број партија, тако да се неретко јављао случај да један лек представља једну партију. </w:t>
      </w:r>
    </w:p>
    <w:p w14:paraId="068A7260" w14:textId="77777777" w:rsidR="002910F7" w:rsidRDefault="002910F7" w:rsidP="002E286B">
      <w:pPr>
        <w:tabs>
          <w:tab w:val="num" w:pos="720"/>
        </w:tabs>
        <w:jc w:val="both"/>
        <w:rPr>
          <w:rFonts w:ascii="Times New Roman" w:hAnsi="Times New Roman" w:cs="Times New Roman"/>
          <w:color w:val="000000" w:themeColor="text1"/>
          <w:sz w:val="24"/>
          <w:szCs w:val="24"/>
        </w:rPr>
      </w:pPr>
    </w:p>
    <w:p w14:paraId="4587A95A" w14:textId="5445B598" w:rsidR="005E5329" w:rsidRPr="002910F7" w:rsidRDefault="005E5329" w:rsidP="00960A8C">
      <w:pPr>
        <w:pStyle w:val="ListParagraph"/>
        <w:numPr>
          <w:ilvl w:val="0"/>
          <w:numId w:val="2"/>
        </w:numPr>
        <w:tabs>
          <w:tab w:val="num" w:pos="720"/>
        </w:tabs>
        <w:jc w:val="both"/>
        <w:rPr>
          <w:rFonts w:ascii="Times New Roman" w:hAnsi="Times New Roman" w:cs="Times New Roman"/>
          <w:color w:val="000000" w:themeColor="text1"/>
          <w:sz w:val="24"/>
          <w:szCs w:val="24"/>
        </w:rPr>
      </w:pPr>
      <w:r w:rsidRPr="002E286B">
        <w:rPr>
          <w:rFonts w:ascii="Times New Roman" w:hAnsi="Times New Roman" w:cs="Times New Roman"/>
          <w:b/>
          <w:sz w:val="24"/>
          <w:szCs w:val="24"/>
        </w:rPr>
        <w:t>НАБАВКЕ ПО ВРСТАМА ПОСТУПАКА</w:t>
      </w:r>
    </w:p>
    <w:p w14:paraId="0852769D" w14:textId="77777777" w:rsidR="002910F7" w:rsidRPr="002E286B" w:rsidRDefault="002910F7" w:rsidP="002910F7">
      <w:pPr>
        <w:pStyle w:val="ListParagraph"/>
        <w:jc w:val="both"/>
        <w:rPr>
          <w:rFonts w:ascii="Times New Roman" w:hAnsi="Times New Roman" w:cs="Times New Roman"/>
          <w:color w:val="000000" w:themeColor="text1"/>
          <w:sz w:val="24"/>
          <w:szCs w:val="24"/>
        </w:rPr>
      </w:pPr>
    </w:p>
    <w:p w14:paraId="355A2A70" w14:textId="479B7FB2" w:rsidR="005E5329" w:rsidRPr="00015855" w:rsidRDefault="006B46AC" w:rsidP="005E5329">
      <w:pPr>
        <w:jc w:val="both"/>
        <w:rPr>
          <w:rFonts w:ascii="Times New Roman" w:hAnsi="Times New Roman" w:cs="Times New Roman"/>
          <w:color w:val="FF0000"/>
          <w:sz w:val="24"/>
          <w:szCs w:val="24"/>
        </w:rPr>
      </w:pPr>
      <w:r>
        <w:rPr>
          <w:rFonts w:ascii="Times New Roman" w:hAnsi="Times New Roman" w:cs="Times New Roman"/>
          <w:sz w:val="24"/>
          <w:szCs w:val="24"/>
          <w:lang w:val="sr"/>
        </w:rPr>
        <w:t>Значајан п</w:t>
      </w:r>
      <w:r w:rsidR="00772214">
        <w:rPr>
          <w:rFonts w:ascii="Times New Roman" w:hAnsi="Times New Roman" w:cs="Times New Roman"/>
          <w:sz w:val="24"/>
          <w:szCs w:val="24"/>
        </w:rPr>
        <w:t xml:space="preserve">оказатељ </w:t>
      </w:r>
      <w:r>
        <w:rPr>
          <w:rFonts w:ascii="Times New Roman" w:hAnsi="Times New Roman" w:cs="Times New Roman"/>
          <w:sz w:val="24"/>
          <w:szCs w:val="24"/>
        </w:rPr>
        <w:t>пред</w:t>
      </w:r>
      <w:r w:rsidR="00772214">
        <w:rPr>
          <w:rFonts w:ascii="Times New Roman" w:hAnsi="Times New Roman" w:cs="Times New Roman"/>
          <w:sz w:val="24"/>
          <w:szCs w:val="24"/>
        </w:rPr>
        <w:t>услова за слободно деловање конкуренције јесте</w:t>
      </w:r>
      <w:r w:rsidR="005E5329" w:rsidRPr="005E5329">
        <w:rPr>
          <w:rFonts w:ascii="Times New Roman" w:hAnsi="Times New Roman" w:cs="Times New Roman"/>
          <w:sz w:val="24"/>
          <w:szCs w:val="24"/>
        </w:rPr>
        <w:t xml:space="preserve"> заступљеност </w:t>
      </w:r>
      <w:r w:rsidR="005C1A71" w:rsidRPr="005E5329">
        <w:rPr>
          <w:rFonts w:ascii="Times New Roman" w:hAnsi="Times New Roman" w:cs="Times New Roman"/>
          <w:sz w:val="24"/>
          <w:szCs w:val="24"/>
        </w:rPr>
        <w:t>транспарентних и конкурентних поступака (отворени и рестриктивни</w:t>
      </w:r>
      <w:r w:rsidR="005C1A71">
        <w:rPr>
          <w:rFonts w:ascii="Times New Roman" w:hAnsi="Times New Roman" w:cs="Times New Roman"/>
          <w:sz w:val="24"/>
          <w:szCs w:val="24"/>
        </w:rPr>
        <w:t xml:space="preserve"> поступак) насупрот</w:t>
      </w:r>
      <w:r w:rsidR="005C1A71" w:rsidRPr="005E5329">
        <w:rPr>
          <w:rFonts w:ascii="Times New Roman" w:hAnsi="Times New Roman" w:cs="Times New Roman"/>
          <w:sz w:val="24"/>
          <w:szCs w:val="24"/>
        </w:rPr>
        <w:t xml:space="preserve"> </w:t>
      </w:r>
      <w:r w:rsidR="005C1A71">
        <w:rPr>
          <w:rFonts w:ascii="Times New Roman" w:hAnsi="Times New Roman" w:cs="Times New Roman"/>
          <w:sz w:val="24"/>
          <w:szCs w:val="24"/>
        </w:rPr>
        <w:t>неконкурентном поступку</w:t>
      </w:r>
      <w:r w:rsidR="005E5329" w:rsidRPr="005E5329">
        <w:rPr>
          <w:rFonts w:ascii="Times New Roman" w:hAnsi="Times New Roman" w:cs="Times New Roman"/>
          <w:sz w:val="24"/>
          <w:szCs w:val="24"/>
        </w:rPr>
        <w:t xml:space="preserve"> (преговарачки поступак без објављивања позива за подношење понуда)</w:t>
      </w:r>
      <w:r w:rsidR="005C1A71">
        <w:rPr>
          <w:rFonts w:ascii="Times New Roman" w:hAnsi="Times New Roman" w:cs="Times New Roman"/>
          <w:sz w:val="24"/>
          <w:szCs w:val="24"/>
        </w:rPr>
        <w:t>. Осим ограничене конкуренције, преговарачки</w:t>
      </w:r>
      <w:r w:rsidR="005E5329" w:rsidRPr="005E5329">
        <w:rPr>
          <w:rFonts w:ascii="Times New Roman" w:hAnsi="Times New Roman" w:cs="Times New Roman"/>
          <w:sz w:val="24"/>
          <w:szCs w:val="24"/>
        </w:rPr>
        <w:t xml:space="preserve"> поступ</w:t>
      </w:r>
      <w:r w:rsidR="005C1A71">
        <w:rPr>
          <w:rFonts w:ascii="Times New Roman" w:hAnsi="Times New Roman" w:cs="Times New Roman"/>
          <w:sz w:val="24"/>
          <w:szCs w:val="24"/>
        </w:rPr>
        <w:t>ак карактерише и повећан</w:t>
      </w:r>
      <w:r w:rsidR="005E5329" w:rsidRPr="005E5329">
        <w:rPr>
          <w:rFonts w:ascii="Times New Roman" w:hAnsi="Times New Roman" w:cs="Times New Roman"/>
          <w:sz w:val="24"/>
          <w:szCs w:val="24"/>
        </w:rPr>
        <w:t xml:space="preserve"> ризик од договарања како између наручиоца и понуђача, тако и међу самим понуђачима. Због тога је преговарачки поступак предвиђен само за изуз</w:t>
      </w:r>
      <w:r w:rsidR="00F16CB6">
        <w:rPr>
          <w:rFonts w:ascii="Times New Roman" w:hAnsi="Times New Roman" w:cs="Times New Roman"/>
          <w:sz w:val="24"/>
          <w:szCs w:val="24"/>
        </w:rPr>
        <w:t>етне случајеве, а његово учешће</w:t>
      </w:r>
      <w:r w:rsidR="005E5329" w:rsidRPr="005E5329">
        <w:rPr>
          <w:rFonts w:ascii="Times New Roman" w:hAnsi="Times New Roman" w:cs="Times New Roman"/>
          <w:sz w:val="24"/>
          <w:szCs w:val="24"/>
        </w:rPr>
        <w:t xml:space="preserve"> у земљама ЕУ креће</w:t>
      </w:r>
      <w:r w:rsidR="00191A27">
        <w:rPr>
          <w:rFonts w:ascii="Times New Roman" w:hAnsi="Times New Roman" w:cs="Times New Roman"/>
          <w:sz w:val="24"/>
          <w:szCs w:val="24"/>
        </w:rPr>
        <w:t xml:space="preserve"> се</w:t>
      </w:r>
      <w:r w:rsidR="005E5329" w:rsidRPr="005E5329">
        <w:rPr>
          <w:rFonts w:ascii="Times New Roman" w:hAnsi="Times New Roman" w:cs="Times New Roman"/>
          <w:sz w:val="24"/>
          <w:szCs w:val="24"/>
        </w:rPr>
        <w:t xml:space="preserve"> око 5% укупне вредности јавних набавки.  </w:t>
      </w:r>
    </w:p>
    <w:p w14:paraId="24C636C9" w14:textId="77777777" w:rsidR="00C421EE" w:rsidRDefault="00C421EE" w:rsidP="005E5329">
      <w:pPr>
        <w:jc w:val="both"/>
        <w:rPr>
          <w:rFonts w:ascii="Times New Roman" w:hAnsi="Times New Roman" w:cs="Times New Roman"/>
          <w:sz w:val="24"/>
          <w:szCs w:val="24"/>
        </w:rPr>
      </w:pPr>
    </w:p>
    <w:p w14:paraId="54C54717" w14:textId="0CDD6707" w:rsidR="000261E5" w:rsidRPr="00491A59" w:rsidRDefault="005E5329" w:rsidP="005E5329">
      <w:pPr>
        <w:jc w:val="both"/>
        <w:rPr>
          <w:rFonts w:ascii="Times New Roman" w:hAnsi="Times New Roman" w:cs="Times New Roman"/>
          <w:sz w:val="24"/>
          <w:szCs w:val="24"/>
        </w:rPr>
      </w:pPr>
      <w:r w:rsidRPr="005E5329">
        <w:rPr>
          <w:rFonts w:ascii="Times New Roman" w:hAnsi="Times New Roman" w:cs="Times New Roman"/>
          <w:sz w:val="24"/>
          <w:szCs w:val="24"/>
        </w:rPr>
        <w:lastRenderedPageBreak/>
        <w:t xml:space="preserve">Заступљеност врста поступака у укупној вредности јавних набавки </w:t>
      </w:r>
      <w:r w:rsidR="00800A0F">
        <w:rPr>
          <w:rFonts w:ascii="Times New Roman" w:hAnsi="Times New Roman" w:cs="Times New Roman"/>
          <w:sz w:val="24"/>
          <w:szCs w:val="24"/>
        </w:rPr>
        <w:t>у Србији приказана је у Табели 10</w:t>
      </w:r>
      <w:r w:rsidRPr="005E5329">
        <w:rPr>
          <w:rFonts w:ascii="Times New Roman" w:hAnsi="Times New Roman" w:cs="Times New Roman"/>
          <w:sz w:val="24"/>
          <w:szCs w:val="24"/>
        </w:rPr>
        <w:t>.</w:t>
      </w:r>
    </w:p>
    <w:p w14:paraId="2775F257" w14:textId="47726316" w:rsidR="005E5329" w:rsidRPr="00517D6B" w:rsidRDefault="00517D6B" w:rsidP="005E5329">
      <w:pPr>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005E5329" w:rsidRPr="00517D6B">
        <w:rPr>
          <w:rFonts w:ascii="Times New Roman" w:hAnsi="Times New Roman" w:cs="Times New Roman"/>
          <w:b/>
          <w:sz w:val="24"/>
          <w:szCs w:val="24"/>
        </w:rPr>
        <w:t xml:space="preserve">Табела </w:t>
      </w:r>
      <w:r w:rsidR="00800A0F">
        <w:rPr>
          <w:rFonts w:ascii="Times New Roman" w:hAnsi="Times New Roman" w:cs="Times New Roman"/>
          <w:b/>
          <w:sz w:val="24"/>
          <w:szCs w:val="24"/>
        </w:rPr>
        <w:t>10</w:t>
      </w:r>
    </w:p>
    <w:tbl>
      <w:tblPr>
        <w:tblStyle w:val="TableGrid1"/>
        <w:tblW w:w="9327" w:type="dxa"/>
        <w:jc w:val="center"/>
        <w:tblLook w:val="04A0" w:firstRow="1" w:lastRow="0" w:firstColumn="1" w:lastColumn="0" w:noHBand="0" w:noVBand="1"/>
      </w:tblPr>
      <w:tblGrid>
        <w:gridCol w:w="4940"/>
        <w:gridCol w:w="3119"/>
        <w:gridCol w:w="1268"/>
      </w:tblGrid>
      <w:tr w:rsidR="00EE78EC" w:rsidRPr="00ED7784" w14:paraId="3D2FC0C1" w14:textId="77777777" w:rsidTr="00F656C4">
        <w:trPr>
          <w:jc w:val="center"/>
        </w:trPr>
        <w:tc>
          <w:tcPr>
            <w:tcW w:w="9327" w:type="dxa"/>
            <w:gridSpan w:val="3"/>
            <w:vAlign w:val="center"/>
          </w:tcPr>
          <w:p w14:paraId="44AC6A47" w14:textId="77777777" w:rsidR="00EE78EC" w:rsidRPr="00ED7784" w:rsidRDefault="00EE78EC" w:rsidP="00F656C4">
            <w:pPr>
              <w:tabs>
                <w:tab w:val="left" w:pos="1885"/>
              </w:tabs>
              <w:jc w:val="center"/>
              <w:rPr>
                <w:rFonts w:ascii="Times New Roman" w:eastAsia="Times New Roman" w:hAnsi="Times New Roman" w:cs="Times New Roman"/>
                <w:b/>
                <w:color w:val="000000" w:themeColor="text1"/>
                <w:sz w:val="24"/>
                <w:szCs w:val="24"/>
                <w:lang w:val="en-US"/>
              </w:rPr>
            </w:pPr>
            <w:r w:rsidRPr="00ED7784">
              <w:rPr>
                <w:rFonts w:ascii="Times New Roman" w:eastAsia="Times New Roman" w:hAnsi="Times New Roman" w:cs="Times New Roman"/>
                <w:b/>
                <w:color w:val="000000" w:themeColor="text1"/>
                <w:sz w:val="24"/>
                <w:szCs w:val="24"/>
                <w:lang w:val="sr-Cyrl-CS"/>
              </w:rPr>
              <w:t>Преглед вредносне структуре јавних набавки велике вредности</w:t>
            </w:r>
          </w:p>
          <w:p w14:paraId="25760F25" w14:textId="77777777" w:rsidR="00EE78EC" w:rsidRPr="00ED7784" w:rsidRDefault="00EE78EC" w:rsidP="00F656C4">
            <w:pPr>
              <w:tabs>
                <w:tab w:val="left" w:pos="1885"/>
              </w:tabs>
              <w:jc w:val="center"/>
              <w:rPr>
                <w:rFonts w:ascii="Times New Roman" w:eastAsia="Times New Roman" w:hAnsi="Times New Roman" w:cs="Times New Roman"/>
                <w:b/>
                <w:color w:val="000000" w:themeColor="text1"/>
                <w:sz w:val="24"/>
                <w:szCs w:val="24"/>
                <w:lang w:val="sr-Cyrl-CS"/>
              </w:rPr>
            </w:pPr>
            <w:r w:rsidRPr="00ED7784">
              <w:rPr>
                <w:rFonts w:ascii="Times New Roman" w:eastAsia="Times New Roman" w:hAnsi="Times New Roman" w:cs="Times New Roman"/>
                <w:b/>
                <w:color w:val="000000" w:themeColor="text1"/>
                <w:sz w:val="24"/>
                <w:szCs w:val="24"/>
                <w:lang w:val="sr-Cyrl-CS"/>
              </w:rPr>
              <w:t>по врсти поступка у 201</w:t>
            </w:r>
            <w:r>
              <w:rPr>
                <w:rFonts w:ascii="Times New Roman" w:eastAsia="Times New Roman" w:hAnsi="Times New Roman" w:cs="Times New Roman"/>
                <w:b/>
                <w:color w:val="000000" w:themeColor="text1"/>
                <w:sz w:val="24"/>
                <w:szCs w:val="24"/>
                <w:lang w:val="en-US"/>
              </w:rPr>
              <w:t>9</w:t>
            </w:r>
            <w:r w:rsidRPr="00ED7784">
              <w:rPr>
                <w:rFonts w:ascii="Times New Roman" w:eastAsia="Times New Roman" w:hAnsi="Times New Roman" w:cs="Times New Roman"/>
                <w:b/>
                <w:color w:val="000000" w:themeColor="text1"/>
                <w:sz w:val="24"/>
                <w:szCs w:val="24"/>
                <w:lang w:val="sr-Cyrl-CS"/>
              </w:rPr>
              <w:t>. години</w:t>
            </w:r>
          </w:p>
        </w:tc>
      </w:tr>
      <w:tr w:rsidR="00EE78EC" w:rsidRPr="00ED7784" w14:paraId="45BB1CFA" w14:textId="77777777" w:rsidTr="00F656C4">
        <w:trPr>
          <w:jc w:val="center"/>
        </w:trPr>
        <w:tc>
          <w:tcPr>
            <w:tcW w:w="4940" w:type="dxa"/>
            <w:vAlign w:val="center"/>
          </w:tcPr>
          <w:p w14:paraId="6C027C6F" w14:textId="77777777" w:rsidR="00EE78EC" w:rsidRPr="00ED7784" w:rsidRDefault="00EE78EC" w:rsidP="00F656C4">
            <w:pPr>
              <w:tabs>
                <w:tab w:val="left" w:pos="1885"/>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Врста поступка</w:t>
            </w:r>
          </w:p>
          <w:p w14:paraId="366CA3BD" w14:textId="77777777" w:rsidR="00EE78EC" w:rsidRPr="00ED7784" w:rsidRDefault="00EE78EC" w:rsidP="00F656C4">
            <w:pPr>
              <w:tabs>
                <w:tab w:val="left" w:pos="1885"/>
              </w:tabs>
              <w:jc w:val="center"/>
              <w:rPr>
                <w:rFonts w:ascii="Times New Roman" w:eastAsia="Times New Roman" w:hAnsi="Times New Roman" w:cs="Times New Roman"/>
                <w:b/>
                <w:color w:val="000000" w:themeColor="text1"/>
                <w:sz w:val="24"/>
                <w:szCs w:val="24"/>
              </w:rPr>
            </w:pPr>
          </w:p>
        </w:tc>
        <w:tc>
          <w:tcPr>
            <w:tcW w:w="3119" w:type="dxa"/>
            <w:vAlign w:val="center"/>
            <w:hideMark/>
          </w:tcPr>
          <w:p w14:paraId="00D2556B" w14:textId="77777777" w:rsidR="00EE78EC" w:rsidRPr="00ED7784" w:rsidRDefault="00EE78EC" w:rsidP="00F656C4">
            <w:pPr>
              <w:tabs>
                <w:tab w:val="left" w:pos="1885"/>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Уговорена вредност</w:t>
            </w:r>
          </w:p>
          <w:p w14:paraId="0F4468EF" w14:textId="0247EB35" w:rsidR="00EE78EC" w:rsidRPr="00ED7784" w:rsidRDefault="00EE78EC" w:rsidP="0027450B">
            <w:pPr>
              <w:tabs>
                <w:tab w:val="left" w:pos="1885"/>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(у хиљадама</w:t>
            </w:r>
            <w:r w:rsidR="0027450B">
              <w:rPr>
                <w:rFonts w:ascii="Times New Roman" w:eastAsia="Times New Roman" w:hAnsi="Times New Roman" w:cs="Times New Roman"/>
                <w:b/>
                <w:color w:val="000000" w:themeColor="text1"/>
                <w:sz w:val="24"/>
                <w:szCs w:val="24"/>
                <w:lang w:val="sr-Cyrl-RS"/>
              </w:rPr>
              <w:t xml:space="preserve"> </w:t>
            </w:r>
            <w:r w:rsidRPr="00ED7784">
              <w:rPr>
                <w:rFonts w:ascii="Times New Roman" w:eastAsia="Times New Roman" w:hAnsi="Times New Roman" w:cs="Times New Roman"/>
                <w:b/>
                <w:color w:val="000000" w:themeColor="text1"/>
                <w:sz w:val="24"/>
                <w:szCs w:val="24"/>
              </w:rPr>
              <w:t>динара)</w:t>
            </w:r>
          </w:p>
        </w:tc>
        <w:tc>
          <w:tcPr>
            <w:tcW w:w="1268" w:type="dxa"/>
            <w:vAlign w:val="center"/>
            <w:hideMark/>
          </w:tcPr>
          <w:p w14:paraId="4E7A527B" w14:textId="77777777" w:rsidR="00EE78EC" w:rsidRPr="00ED7784" w:rsidRDefault="00EE78EC" w:rsidP="00F656C4">
            <w:pPr>
              <w:tabs>
                <w:tab w:val="left" w:pos="1885"/>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w:t>
            </w:r>
          </w:p>
        </w:tc>
      </w:tr>
      <w:tr w:rsidR="00EE78EC" w:rsidRPr="00ED7784" w14:paraId="548DDC2C" w14:textId="77777777" w:rsidTr="00F656C4">
        <w:trPr>
          <w:jc w:val="center"/>
        </w:trPr>
        <w:tc>
          <w:tcPr>
            <w:tcW w:w="4940" w:type="dxa"/>
            <w:vAlign w:val="center"/>
            <w:hideMark/>
          </w:tcPr>
          <w:p w14:paraId="36536E59" w14:textId="77777777" w:rsidR="00EE78EC" w:rsidRPr="00ED7784" w:rsidRDefault="00EE78EC" w:rsidP="00F656C4">
            <w:pPr>
              <w:tabs>
                <w:tab w:val="left" w:pos="3622"/>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Отворени поступак</w:t>
            </w:r>
          </w:p>
        </w:tc>
        <w:tc>
          <w:tcPr>
            <w:tcW w:w="3119" w:type="dxa"/>
            <w:vAlign w:val="center"/>
          </w:tcPr>
          <w:p w14:paraId="39BD29C5" w14:textId="77777777" w:rsidR="00EE78EC" w:rsidRPr="00040BC2" w:rsidRDefault="00EE78EC" w:rsidP="00F656C4">
            <w:pPr>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370.</w:t>
            </w:r>
            <w:r>
              <w:rPr>
                <w:rFonts w:ascii="Times New Roman" w:eastAsia="Times New Roman" w:hAnsi="Times New Roman" w:cs="Times New Roman"/>
                <w:sz w:val="24"/>
                <w:szCs w:val="24"/>
                <w:lang w:val="sr-Latn-RS"/>
              </w:rPr>
              <w:t>675.509</w:t>
            </w:r>
          </w:p>
        </w:tc>
        <w:tc>
          <w:tcPr>
            <w:tcW w:w="1268" w:type="dxa"/>
            <w:vAlign w:val="center"/>
          </w:tcPr>
          <w:p w14:paraId="28F83173"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93</w:t>
            </w:r>
          </w:p>
        </w:tc>
      </w:tr>
      <w:tr w:rsidR="00EE78EC" w:rsidRPr="00ED7784" w14:paraId="770F89F4" w14:textId="77777777" w:rsidTr="00F656C4">
        <w:trPr>
          <w:jc w:val="center"/>
        </w:trPr>
        <w:tc>
          <w:tcPr>
            <w:tcW w:w="4940" w:type="dxa"/>
            <w:vAlign w:val="center"/>
            <w:hideMark/>
          </w:tcPr>
          <w:p w14:paraId="61446431" w14:textId="77777777" w:rsidR="00EE78EC" w:rsidRPr="00ED7784" w:rsidRDefault="00EE78EC" w:rsidP="00F656C4">
            <w:pPr>
              <w:tabs>
                <w:tab w:val="left" w:pos="3622"/>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Квалификациони поступак</w:t>
            </w:r>
          </w:p>
        </w:tc>
        <w:tc>
          <w:tcPr>
            <w:tcW w:w="3119" w:type="dxa"/>
            <w:vAlign w:val="center"/>
          </w:tcPr>
          <w:p w14:paraId="17C48E56"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1.920.470</w:t>
            </w:r>
          </w:p>
        </w:tc>
        <w:tc>
          <w:tcPr>
            <w:tcW w:w="1268" w:type="dxa"/>
            <w:vAlign w:val="center"/>
          </w:tcPr>
          <w:p w14:paraId="6A95273F"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0</w:t>
            </w:r>
          </w:p>
        </w:tc>
      </w:tr>
      <w:tr w:rsidR="00EE78EC" w:rsidRPr="00ED7784" w14:paraId="0E34672F" w14:textId="77777777" w:rsidTr="00F656C4">
        <w:trPr>
          <w:jc w:val="center"/>
        </w:trPr>
        <w:tc>
          <w:tcPr>
            <w:tcW w:w="4940" w:type="dxa"/>
            <w:vAlign w:val="center"/>
            <w:hideMark/>
          </w:tcPr>
          <w:p w14:paraId="2A2C4F53" w14:textId="77777777" w:rsidR="00EE78EC" w:rsidRPr="00ED7784" w:rsidRDefault="00EE78EC" w:rsidP="00F656C4">
            <w:pPr>
              <w:tabs>
                <w:tab w:val="left" w:pos="3622"/>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Рестриктивни поступак</w:t>
            </w:r>
          </w:p>
        </w:tc>
        <w:tc>
          <w:tcPr>
            <w:tcW w:w="3119" w:type="dxa"/>
            <w:vAlign w:val="center"/>
          </w:tcPr>
          <w:p w14:paraId="00EBFC65"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206.034</w:t>
            </w:r>
          </w:p>
        </w:tc>
        <w:tc>
          <w:tcPr>
            <w:tcW w:w="1268" w:type="dxa"/>
            <w:vAlign w:val="center"/>
          </w:tcPr>
          <w:p w14:paraId="783E6EFA" w14:textId="77777777" w:rsidR="00EE78EC" w:rsidRPr="000D5C44" w:rsidRDefault="00EE78EC" w:rsidP="00F656C4">
            <w:pPr>
              <w:jc w:val="center"/>
              <w:rPr>
                <w:rFonts w:ascii="Times New Roman" w:eastAsia="Times New Roman" w:hAnsi="Times New Roman" w:cs="Times New Roman"/>
                <w:sz w:val="24"/>
                <w:szCs w:val="24"/>
                <w:lang w:val="sr-Cyrl-CS"/>
              </w:rPr>
            </w:pPr>
            <w:r w:rsidRPr="000D5C44">
              <w:rPr>
                <w:rFonts w:ascii="Times New Roman" w:eastAsia="Times New Roman" w:hAnsi="Times New Roman" w:cs="Times New Roman"/>
                <w:sz w:val="24"/>
                <w:szCs w:val="24"/>
                <w:lang w:val="sr-Cyrl-CS"/>
              </w:rPr>
              <w:t>0</w:t>
            </w:r>
          </w:p>
        </w:tc>
      </w:tr>
      <w:tr w:rsidR="00EE78EC" w:rsidRPr="00ED7784" w14:paraId="7EF1AB3D" w14:textId="77777777" w:rsidTr="00F656C4">
        <w:trPr>
          <w:jc w:val="center"/>
        </w:trPr>
        <w:tc>
          <w:tcPr>
            <w:tcW w:w="4940" w:type="dxa"/>
            <w:vAlign w:val="center"/>
            <w:hideMark/>
          </w:tcPr>
          <w:p w14:paraId="0B67268E" w14:textId="77777777" w:rsidR="00EE78EC" w:rsidRPr="00ED7784" w:rsidRDefault="00EE78EC" w:rsidP="00F656C4">
            <w:pPr>
              <w:tabs>
                <w:tab w:val="left" w:pos="3622"/>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Преговарачки поступак без објављивања позива за подношење понуда</w:t>
            </w:r>
          </w:p>
        </w:tc>
        <w:tc>
          <w:tcPr>
            <w:tcW w:w="3119" w:type="dxa"/>
            <w:vAlign w:val="center"/>
          </w:tcPr>
          <w:p w14:paraId="0F3EDD12"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14.229.021</w:t>
            </w:r>
          </w:p>
        </w:tc>
        <w:tc>
          <w:tcPr>
            <w:tcW w:w="1268" w:type="dxa"/>
            <w:vAlign w:val="center"/>
          </w:tcPr>
          <w:p w14:paraId="79B3B9F3"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w:t>
            </w:r>
          </w:p>
        </w:tc>
      </w:tr>
      <w:tr w:rsidR="00EE78EC" w:rsidRPr="00ED7784" w14:paraId="2E8C7DF1" w14:textId="77777777" w:rsidTr="00F656C4">
        <w:trPr>
          <w:jc w:val="center"/>
        </w:trPr>
        <w:tc>
          <w:tcPr>
            <w:tcW w:w="4940" w:type="dxa"/>
            <w:vAlign w:val="center"/>
            <w:hideMark/>
          </w:tcPr>
          <w:p w14:paraId="18434F0E" w14:textId="77777777" w:rsidR="00EE78EC" w:rsidRPr="00ED7784" w:rsidRDefault="00EE78EC" w:rsidP="00F656C4">
            <w:pPr>
              <w:tabs>
                <w:tab w:val="left" w:pos="3622"/>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Преговарачки поступак са објављивањем позива за подношење понуда</w:t>
            </w:r>
          </w:p>
        </w:tc>
        <w:tc>
          <w:tcPr>
            <w:tcW w:w="3119" w:type="dxa"/>
            <w:vAlign w:val="center"/>
          </w:tcPr>
          <w:p w14:paraId="693C845B"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11.114.089</w:t>
            </w:r>
          </w:p>
        </w:tc>
        <w:tc>
          <w:tcPr>
            <w:tcW w:w="1268" w:type="dxa"/>
            <w:vAlign w:val="center"/>
          </w:tcPr>
          <w:p w14:paraId="51AE80B5"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w:t>
            </w:r>
          </w:p>
        </w:tc>
      </w:tr>
      <w:tr w:rsidR="00EE78EC" w:rsidRPr="00ED7784" w14:paraId="65608731" w14:textId="77777777" w:rsidTr="00F656C4">
        <w:trPr>
          <w:jc w:val="center"/>
        </w:trPr>
        <w:tc>
          <w:tcPr>
            <w:tcW w:w="4940" w:type="dxa"/>
            <w:vAlign w:val="center"/>
          </w:tcPr>
          <w:p w14:paraId="5EC84663" w14:textId="77777777" w:rsidR="00EE78EC" w:rsidRPr="00A84932" w:rsidRDefault="00EE78EC" w:rsidP="00F656C4">
            <w:pPr>
              <w:tabs>
                <w:tab w:val="left" w:pos="3622"/>
              </w:tabs>
              <w:jc w:val="center"/>
              <w:rPr>
                <w:rFonts w:ascii="Times New Roman" w:eastAsia="Times New Roman" w:hAnsi="Times New Roman" w:cs="Times New Roman"/>
                <w:b/>
                <w:color w:val="000000" w:themeColor="text1"/>
                <w:sz w:val="24"/>
                <w:szCs w:val="24"/>
                <w:lang w:val="sr-Cyrl-CS"/>
              </w:rPr>
            </w:pPr>
            <w:r w:rsidRPr="00A84932">
              <w:rPr>
                <w:rFonts w:ascii="Times New Roman" w:eastAsia="Times New Roman" w:hAnsi="Times New Roman" w:cs="Times New Roman"/>
                <w:b/>
                <w:color w:val="000000" w:themeColor="text1"/>
                <w:sz w:val="24"/>
                <w:szCs w:val="24"/>
                <w:lang w:val="sr-Cyrl-CS"/>
              </w:rPr>
              <w:t>Конкурентни дијалог</w:t>
            </w:r>
          </w:p>
        </w:tc>
        <w:tc>
          <w:tcPr>
            <w:tcW w:w="3119" w:type="dxa"/>
            <w:vAlign w:val="center"/>
          </w:tcPr>
          <w:p w14:paraId="44413AE0" w14:textId="77777777" w:rsidR="00EE78EC" w:rsidRPr="00A84932" w:rsidRDefault="00EE78EC" w:rsidP="00F656C4">
            <w:pPr>
              <w:jc w:val="center"/>
              <w:rPr>
                <w:rFonts w:ascii="Times New Roman" w:eastAsia="Times New Roman" w:hAnsi="Times New Roman" w:cs="Times New Roman"/>
                <w:sz w:val="24"/>
                <w:szCs w:val="24"/>
                <w:lang w:val="sr-Cyrl-CS"/>
              </w:rPr>
            </w:pPr>
            <w:r w:rsidRPr="00A84932">
              <w:rPr>
                <w:rFonts w:ascii="Times New Roman" w:eastAsia="Times New Roman" w:hAnsi="Times New Roman" w:cs="Times New Roman"/>
                <w:sz w:val="24"/>
                <w:szCs w:val="24"/>
                <w:lang w:val="sr-Cyrl-CS"/>
              </w:rPr>
              <w:t>2.333.215</w:t>
            </w:r>
          </w:p>
        </w:tc>
        <w:tc>
          <w:tcPr>
            <w:tcW w:w="1268" w:type="dxa"/>
            <w:vAlign w:val="center"/>
          </w:tcPr>
          <w:p w14:paraId="157C8755" w14:textId="77777777" w:rsidR="00EE78EC" w:rsidRPr="00A84932"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0</w:t>
            </w:r>
          </w:p>
        </w:tc>
      </w:tr>
      <w:tr w:rsidR="00EE78EC" w:rsidRPr="00ED7784" w14:paraId="6DDF8D4A" w14:textId="77777777" w:rsidTr="00F656C4">
        <w:trPr>
          <w:jc w:val="center"/>
        </w:trPr>
        <w:tc>
          <w:tcPr>
            <w:tcW w:w="4940" w:type="dxa"/>
            <w:vAlign w:val="center"/>
            <w:hideMark/>
          </w:tcPr>
          <w:p w14:paraId="432F4F4C" w14:textId="77777777" w:rsidR="00EE78EC" w:rsidRPr="00ED7784" w:rsidRDefault="00EE78EC" w:rsidP="00F656C4">
            <w:pPr>
              <w:tabs>
                <w:tab w:val="left" w:pos="3622"/>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Конкурс за дизајн</w:t>
            </w:r>
          </w:p>
        </w:tc>
        <w:tc>
          <w:tcPr>
            <w:tcW w:w="3119" w:type="dxa"/>
            <w:vAlign w:val="center"/>
          </w:tcPr>
          <w:p w14:paraId="0901F10D"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11.900</w:t>
            </w:r>
          </w:p>
        </w:tc>
        <w:tc>
          <w:tcPr>
            <w:tcW w:w="1268" w:type="dxa"/>
            <w:vAlign w:val="center"/>
          </w:tcPr>
          <w:p w14:paraId="2A893C6B" w14:textId="77777777" w:rsidR="00EE78EC" w:rsidRPr="000D5C44" w:rsidRDefault="00EE78EC" w:rsidP="00F656C4">
            <w:pPr>
              <w:jc w:val="center"/>
              <w:rPr>
                <w:rFonts w:ascii="Times New Roman" w:eastAsia="Times New Roman" w:hAnsi="Times New Roman" w:cs="Times New Roman"/>
                <w:sz w:val="24"/>
                <w:szCs w:val="24"/>
                <w:lang w:val="sr-Cyrl-CS"/>
              </w:rPr>
            </w:pPr>
            <w:r w:rsidRPr="000D5C44">
              <w:rPr>
                <w:rFonts w:ascii="Times New Roman" w:eastAsia="Times New Roman" w:hAnsi="Times New Roman" w:cs="Times New Roman"/>
                <w:sz w:val="24"/>
                <w:szCs w:val="24"/>
                <w:lang w:val="sr-Cyrl-CS"/>
              </w:rPr>
              <w:t>0</w:t>
            </w:r>
          </w:p>
        </w:tc>
      </w:tr>
      <w:tr w:rsidR="00EE78EC" w:rsidRPr="00ED7784" w14:paraId="08C5F4B7" w14:textId="77777777" w:rsidTr="00F656C4">
        <w:trPr>
          <w:jc w:val="center"/>
        </w:trPr>
        <w:tc>
          <w:tcPr>
            <w:tcW w:w="4940" w:type="dxa"/>
            <w:vAlign w:val="center"/>
            <w:hideMark/>
          </w:tcPr>
          <w:p w14:paraId="343C4778" w14:textId="77777777" w:rsidR="00EE78EC" w:rsidRPr="00ED7784" w:rsidRDefault="00EE78EC" w:rsidP="00F656C4">
            <w:pPr>
              <w:tabs>
                <w:tab w:val="left" w:pos="1885"/>
              </w:tabs>
              <w:jc w:val="center"/>
              <w:rPr>
                <w:rFonts w:ascii="Times New Roman" w:eastAsia="Times New Roman" w:hAnsi="Times New Roman" w:cs="Times New Roman"/>
                <w:b/>
                <w:color w:val="000000" w:themeColor="text1"/>
                <w:sz w:val="24"/>
                <w:szCs w:val="24"/>
              </w:rPr>
            </w:pPr>
            <w:r w:rsidRPr="00ED7784">
              <w:rPr>
                <w:rFonts w:ascii="Times New Roman" w:eastAsia="Times New Roman" w:hAnsi="Times New Roman" w:cs="Times New Roman"/>
                <w:b/>
                <w:color w:val="000000" w:themeColor="text1"/>
                <w:sz w:val="24"/>
                <w:szCs w:val="24"/>
              </w:rPr>
              <w:t>Укупно</w:t>
            </w:r>
          </w:p>
        </w:tc>
        <w:tc>
          <w:tcPr>
            <w:tcW w:w="3119" w:type="dxa"/>
            <w:vAlign w:val="center"/>
          </w:tcPr>
          <w:p w14:paraId="078E9C8A" w14:textId="77777777" w:rsidR="00EE78EC" w:rsidRPr="000D5C44" w:rsidRDefault="00EE78EC" w:rsidP="00F656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400.490.238</w:t>
            </w:r>
          </w:p>
        </w:tc>
        <w:tc>
          <w:tcPr>
            <w:tcW w:w="1268" w:type="dxa"/>
            <w:vAlign w:val="center"/>
          </w:tcPr>
          <w:p w14:paraId="05181ABA" w14:textId="77777777" w:rsidR="00EE78EC" w:rsidRPr="000D5C44" w:rsidRDefault="00EE78EC" w:rsidP="00F656C4">
            <w:pPr>
              <w:jc w:val="center"/>
              <w:rPr>
                <w:rFonts w:ascii="Times New Roman" w:eastAsia="Times New Roman" w:hAnsi="Times New Roman" w:cs="Times New Roman"/>
                <w:sz w:val="24"/>
                <w:szCs w:val="24"/>
                <w:lang w:val="sr-Cyrl-CS"/>
              </w:rPr>
            </w:pPr>
            <w:r w:rsidRPr="000D5C44">
              <w:rPr>
                <w:rFonts w:ascii="Times New Roman" w:eastAsia="Times New Roman" w:hAnsi="Times New Roman" w:cs="Times New Roman"/>
                <w:sz w:val="24"/>
                <w:szCs w:val="24"/>
                <w:lang w:val="sr-Cyrl-CS"/>
              </w:rPr>
              <w:t>100</w:t>
            </w:r>
          </w:p>
        </w:tc>
      </w:tr>
    </w:tbl>
    <w:p w14:paraId="014E69F1" w14:textId="77777777" w:rsidR="005E5329" w:rsidRPr="00ED7784" w:rsidRDefault="005E5329" w:rsidP="005E5329">
      <w:pPr>
        <w:jc w:val="both"/>
        <w:rPr>
          <w:rFonts w:ascii="Times New Roman" w:hAnsi="Times New Roman" w:cs="Times New Roman"/>
          <w:b/>
          <w:color w:val="000000" w:themeColor="text1"/>
          <w:sz w:val="24"/>
          <w:szCs w:val="24"/>
          <w:lang w:val="sr-Cyrl-CS"/>
        </w:rPr>
      </w:pPr>
    </w:p>
    <w:p w14:paraId="3843023E" w14:textId="34B189E9" w:rsidR="005E5329" w:rsidRPr="00995560" w:rsidRDefault="0098767C" w:rsidP="005E5329">
      <w:pPr>
        <w:jc w:val="both"/>
        <w:rPr>
          <w:rFonts w:ascii="Times New Roman" w:hAnsi="Times New Roman" w:cs="Times New Roman"/>
          <w:sz w:val="24"/>
          <w:szCs w:val="24"/>
        </w:rPr>
      </w:pPr>
      <w:r>
        <w:rPr>
          <w:rFonts w:ascii="Times New Roman" w:hAnsi="Times New Roman" w:cs="Times New Roman"/>
          <w:sz w:val="24"/>
          <w:szCs w:val="24"/>
        </w:rPr>
        <w:t>Подаци из Табеле 10</w:t>
      </w:r>
      <w:r w:rsidR="005E5329" w:rsidRPr="00995560">
        <w:rPr>
          <w:rFonts w:ascii="Times New Roman" w:hAnsi="Times New Roman" w:cs="Times New Roman"/>
          <w:sz w:val="24"/>
          <w:szCs w:val="24"/>
        </w:rPr>
        <w:t xml:space="preserve"> показују да је </w:t>
      </w:r>
      <w:r w:rsidR="008D4CB3" w:rsidRPr="00995560">
        <w:rPr>
          <w:rFonts w:ascii="Times New Roman" w:hAnsi="Times New Roman" w:cs="Times New Roman"/>
          <w:sz w:val="24"/>
          <w:szCs w:val="24"/>
        </w:rPr>
        <w:t xml:space="preserve">учешће </w:t>
      </w:r>
      <w:r w:rsidR="005E5329" w:rsidRPr="00995560">
        <w:rPr>
          <w:rFonts w:ascii="Times New Roman" w:hAnsi="Times New Roman" w:cs="Times New Roman"/>
          <w:sz w:val="24"/>
          <w:szCs w:val="24"/>
        </w:rPr>
        <w:t xml:space="preserve">преговарачког поступка </w:t>
      </w:r>
      <w:r w:rsidR="008D4CB3" w:rsidRPr="00995560">
        <w:rPr>
          <w:rFonts w:ascii="Times New Roman" w:hAnsi="Times New Roman" w:cs="Times New Roman"/>
          <w:sz w:val="24"/>
          <w:szCs w:val="24"/>
        </w:rPr>
        <w:t>без објављивања позива</w:t>
      </w:r>
      <w:r w:rsidR="002E286B" w:rsidRPr="00995560">
        <w:rPr>
          <w:rFonts w:ascii="Times New Roman" w:hAnsi="Times New Roman" w:cs="Times New Roman"/>
          <w:sz w:val="24"/>
          <w:szCs w:val="24"/>
        </w:rPr>
        <w:t xml:space="preserve"> за подношење понуда</w:t>
      </w:r>
      <w:r w:rsidR="008D4CB3" w:rsidRPr="00995560">
        <w:rPr>
          <w:rFonts w:ascii="Times New Roman" w:hAnsi="Times New Roman" w:cs="Times New Roman"/>
          <w:sz w:val="24"/>
          <w:szCs w:val="24"/>
        </w:rPr>
        <w:t xml:space="preserve"> </w:t>
      </w:r>
      <w:r w:rsidR="005C1A71" w:rsidRPr="00995560">
        <w:rPr>
          <w:rFonts w:ascii="Times New Roman" w:hAnsi="Times New Roman" w:cs="Times New Roman"/>
          <w:sz w:val="24"/>
          <w:szCs w:val="24"/>
        </w:rPr>
        <w:t>би</w:t>
      </w:r>
      <w:r w:rsidR="00EE78EC">
        <w:rPr>
          <w:rFonts w:ascii="Times New Roman" w:hAnsi="Times New Roman" w:cs="Times New Roman"/>
          <w:sz w:val="24"/>
          <w:szCs w:val="24"/>
        </w:rPr>
        <w:t>ло свега 4</w:t>
      </w:r>
      <w:r w:rsidR="00FD1025" w:rsidRPr="00995560">
        <w:rPr>
          <w:rFonts w:ascii="Times New Roman" w:hAnsi="Times New Roman" w:cs="Times New Roman"/>
          <w:sz w:val="24"/>
          <w:szCs w:val="24"/>
        </w:rPr>
        <w:t>%,</w:t>
      </w:r>
      <w:r w:rsidR="00F8262C" w:rsidRPr="00995560">
        <w:rPr>
          <w:rFonts w:ascii="Times New Roman" w:hAnsi="Times New Roman" w:cs="Times New Roman"/>
          <w:sz w:val="24"/>
          <w:szCs w:val="24"/>
        </w:rPr>
        <w:t xml:space="preserve"> </w:t>
      </w:r>
      <w:bookmarkStart w:id="2" w:name="_Hlk36494489"/>
      <w:r w:rsidR="00DD789E" w:rsidRPr="00995560">
        <w:rPr>
          <w:rFonts w:ascii="Times New Roman" w:hAnsi="Times New Roman" w:cs="Times New Roman"/>
          <w:sz w:val="24"/>
          <w:szCs w:val="24"/>
        </w:rPr>
        <w:t xml:space="preserve">што је </w:t>
      </w:r>
      <w:r w:rsidR="00F74534">
        <w:rPr>
          <w:rFonts w:ascii="Times New Roman" w:hAnsi="Times New Roman" w:cs="Times New Roman"/>
          <w:sz w:val="24"/>
          <w:szCs w:val="24"/>
          <w:lang w:val="sr-Cyrl-CS"/>
        </w:rPr>
        <w:t>на нивоу</w:t>
      </w:r>
      <w:r w:rsidR="0027450B">
        <w:rPr>
          <w:rFonts w:ascii="Times New Roman" w:hAnsi="Times New Roman" w:cs="Times New Roman"/>
          <w:sz w:val="24"/>
          <w:szCs w:val="24"/>
          <w:lang w:val="sr-Cyrl-CS"/>
        </w:rPr>
        <w:t xml:space="preserve"> који се кретао у</w:t>
      </w:r>
      <w:r w:rsidR="00F74534">
        <w:rPr>
          <w:rFonts w:ascii="Times New Roman" w:hAnsi="Times New Roman" w:cs="Times New Roman"/>
          <w:sz w:val="24"/>
          <w:szCs w:val="24"/>
          <w:lang w:val="sr-Cyrl-CS"/>
        </w:rPr>
        <w:t xml:space="preserve"> претходних 5</w:t>
      </w:r>
      <w:r w:rsidR="0027450B">
        <w:rPr>
          <w:rFonts w:ascii="Times New Roman" w:hAnsi="Times New Roman" w:cs="Times New Roman"/>
          <w:sz w:val="24"/>
          <w:szCs w:val="24"/>
          <w:lang w:val="sr-Cyrl-CS"/>
        </w:rPr>
        <w:t xml:space="preserve"> година.</w:t>
      </w:r>
      <w:r w:rsidR="00E22FAE" w:rsidRPr="00995560">
        <w:rPr>
          <w:rFonts w:ascii="Times New Roman" w:hAnsi="Times New Roman" w:cs="Times New Roman"/>
          <w:sz w:val="24"/>
          <w:szCs w:val="24"/>
          <w:lang w:val="sr-Cyrl-CS"/>
        </w:rPr>
        <w:t xml:space="preserve"> </w:t>
      </w:r>
      <w:bookmarkEnd w:id="2"/>
      <w:r w:rsidR="008762D1">
        <w:rPr>
          <w:rFonts w:ascii="Times New Roman" w:hAnsi="Times New Roman" w:cs="Times New Roman"/>
          <w:sz w:val="24"/>
          <w:szCs w:val="24"/>
        </w:rPr>
        <w:t>(Слика 5</w:t>
      </w:r>
      <w:r w:rsidR="00D83EBD">
        <w:rPr>
          <w:rFonts w:ascii="Times New Roman" w:hAnsi="Times New Roman" w:cs="Times New Roman"/>
          <w:sz w:val="24"/>
          <w:szCs w:val="24"/>
        </w:rPr>
        <w:t>)</w:t>
      </w:r>
    </w:p>
    <w:p w14:paraId="0D1E25D8" w14:textId="3B983503" w:rsidR="008D4CB3" w:rsidRPr="00ED7784" w:rsidRDefault="008D4CB3" w:rsidP="005E5329">
      <w:pPr>
        <w:jc w:val="both"/>
        <w:rPr>
          <w:rFonts w:ascii="Times New Roman" w:hAnsi="Times New Roman" w:cs="Times New Roman"/>
          <w:color w:val="000000" w:themeColor="text1"/>
          <w:sz w:val="24"/>
          <w:szCs w:val="24"/>
        </w:rPr>
      </w:pPr>
      <w:r w:rsidRPr="00ED7784">
        <w:rPr>
          <w:rFonts w:ascii="Times New Roman" w:hAnsi="Times New Roman" w:cs="Times New Roman"/>
          <w:color w:val="000000" w:themeColor="text1"/>
          <w:sz w:val="24"/>
          <w:szCs w:val="24"/>
        </w:rPr>
        <w:t xml:space="preserve">На основу података </w:t>
      </w:r>
      <w:r w:rsidR="00976A53" w:rsidRPr="00ED7784">
        <w:rPr>
          <w:rFonts w:ascii="Times New Roman" w:hAnsi="Times New Roman" w:cs="Times New Roman"/>
          <w:color w:val="000000" w:themeColor="text1"/>
          <w:sz w:val="24"/>
          <w:szCs w:val="24"/>
        </w:rPr>
        <w:t>о кретању учеш</w:t>
      </w:r>
      <w:r w:rsidR="0027450B">
        <w:rPr>
          <w:rFonts w:ascii="Times New Roman" w:hAnsi="Times New Roman" w:cs="Times New Roman"/>
          <w:color w:val="000000" w:themeColor="text1"/>
          <w:sz w:val="24"/>
          <w:szCs w:val="24"/>
        </w:rPr>
        <w:t>ћа преговарачких</w:t>
      </w:r>
      <w:r w:rsidR="00CF0170" w:rsidRPr="00ED7784">
        <w:rPr>
          <w:rFonts w:ascii="Times New Roman" w:hAnsi="Times New Roman" w:cs="Times New Roman"/>
          <w:color w:val="000000" w:themeColor="text1"/>
          <w:sz w:val="24"/>
          <w:szCs w:val="24"/>
        </w:rPr>
        <w:t xml:space="preserve"> поступ</w:t>
      </w:r>
      <w:r w:rsidR="0027450B">
        <w:rPr>
          <w:rFonts w:ascii="Times New Roman" w:hAnsi="Times New Roman" w:cs="Times New Roman"/>
          <w:color w:val="000000" w:themeColor="text1"/>
          <w:sz w:val="24"/>
          <w:szCs w:val="24"/>
          <w:lang w:val="sr-Cyrl-RS"/>
        </w:rPr>
        <w:t>а</w:t>
      </w:r>
      <w:r w:rsidR="00DA2341" w:rsidRPr="00ED7784">
        <w:rPr>
          <w:rFonts w:ascii="Times New Roman" w:hAnsi="Times New Roman" w:cs="Times New Roman"/>
          <w:color w:val="000000" w:themeColor="text1"/>
          <w:sz w:val="24"/>
          <w:szCs w:val="24"/>
        </w:rPr>
        <w:t>ка у петн</w:t>
      </w:r>
      <w:r w:rsidR="00976A53" w:rsidRPr="00ED7784">
        <w:rPr>
          <w:rFonts w:ascii="Times New Roman" w:hAnsi="Times New Roman" w:cs="Times New Roman"/>
          <w:color w:val="000000" w:themeColor="text1"/>
          <w:sz w:val="24"/>
          <w:szCs w:val="24"/>
        </w:rPr>
        <w:t xml:space="preserve">аестогодишњем </w:t>
      </w:r>
      <w:r w:rsidR="008762D1">
        <w:rPr>
          <w:rFonts w:ascii="Times New Roman" w:hAnsi="Times New Roman" w:cs="Times New Roman"/>
          <w:color w:val="000000" w:themeColor="text1"/>
          <w:sz w:val="24"/>
          <w:szCs w:val="24"/>
        </w:rPr>
        <w:t>периоду представљених на Слици 5</w:t>
      </w:r>
      <w:r w:rsidR="00976A53" w:rsidRPr="00ED7784">
        <w:rPr>
          <w:rFonts w:ascii="Times New Roman" w:hAnsi="Times New Roman" w:cs="Times New Roman"/>
          <w:color w:val="000000" w:themeColor="text1"/>
          <w:sz w:val="24"/>
          <w:szCs w:val="24"/>
        </w:rPr>
        <w:t xml:space="preserve"> може се извући закључак да је прекретница у сузбијању учешћа преговарачког поступка настала у 2013. години</w:t>
      </w:r>
      <w:r w:rsidR="002E286B" w:rsidRPr="00ED7784">
        <w:rPr>
          <w:rFonts w:ascii="Times New Roman" w:hAnsi="Times New Roman" w:cs="Times New Roman"/>
          <w:color w:val="000000" w:themeColor="text1"/>
          <w:sz w:val="24"/>
          <w:szCs w:val="24"/>
        </w:rPr>
        <w:t xml:space="preserve"> када је Управа </w:t>
      </w:r>
      <w:r w:rsidR="00CF0170" w:rsidRPr="00ED7784">
        <w:rPr>
          <w:rFonts w:ascii="Times New Roman" w:hAnsi="Times New Roman" w:cs="Times New Roman"/>
          <w:color w:val="000000" w:themeColor="text1"/>
          <w:sz w:val="24"/>
          <w:szCs w:val="24"/>
        </w:rPr>
        <w:t>почела</w:t>
      </w:r>
      <w:r w:rsidR="00976A53" w:rsidRPr="00ED7784">
        <w:rPr>
          <w:rFonts w:ascii="Times New Roman" w:hAnsi="Times New Roman" w:cs="Times New Roman"/>
          <w:color w:val="000000" w:themeColor="text1"/>
          <w:sz w:val="24"/>
          <w:szCs w:val="24"/>
        </w:rPr>
        <w:t xml:space="preserve"> да даје мишљења о оправданости примене овог поступка. Први ефекти су регистровани исте године </w:t>
      </w:r>
      <w:r w:rsidR="00CF0170" w:rsidRPr="00ED7784">
        <w:rPr>
          <w:rFonts w:ascii="Times New Roman" w:hAnsi="Times New Roman" w:cs="Times New Roman"/>
          <w:color w:val="000000" w:themeColor="text1"/>
          <w:sz w:val="24"/>
          <w:szCs w:val="24"/>
        </w:rPr>
        <w:t>тако да је</w:t>
      </w:r>
      <w:r w:rsidR="00976A53" w:rsidRPr="00ED7784">
        <w:rPr>
          <w:rFonts w:ascii="Times New Roman" w:hAnsi="Times New Roman" w:cs="Times New Roman"/>
          <w:color w:val="000000" w:themeColor="text1"/>
          <w:sz w:val="24"/>
          <w:szCs w:val="24"/>
        </w:rPr>
        <w:t xml:space="preserve"> учешће овог поступка смањено са 28% у 2012. години на 17% у 2013. </w:t>
      </w:r>
      <w:r w:rsidR="00CD4EC1" w:rsidRPr="00ED7784">
        <w:rPr>
          <w:rFonts w:ascii="Times New Roman" w:hAnsi="Times New Roman" w:cs="Times New Roman"/>
          <w:color w:val="000000" w:themeColor="text1"/>
          <w:sz w:val="24"/>
          <w:szCs w:val="24"/>
        </w:rPr>
        <w:t>Још значајније смањење регист</w:t>
      </w:r>
      <w:r w:rsidR="007D0F38" w:rsidRPr="00ED7784">
        <w:rPr>
          <w:rFonts w:ascii="Times New Roman" w:hAnsi="Times New Roman" w:cs="Times New Roman"/>
          <w:color w:val="000000" w:themeColor="text1"/>
          <w:sz w:val="24"/>
          <w:szCs w:val="24"/>
        </w:rPr>
        <w:t>р</w:t>
      </w:r>
      <w:r w:rsidR="00CD4EC1" w:rsidRPr="00ED7784">
        <w:rPr>
          <w:rFonts w:ascii="Times New Roman" w:hAnsi="Times New Roman" w:cs="Times New Roman"/>
          <w:color w:val="000000" w:themeColor="text1"/>
          <w:sz w:val="24"/>
          <w:szCs w:val="24"/>
        </w:rPr>
        <w:t xml:space="preserve">овано је у </w:t>
      </w:r>
      <w:r w:rsidR="00CF0170" w:rsidRPr="00ED7784">
        <w:rPr>
          <w:rFonts w:ascii="Times New Roman" w:hAnsi="Times New Roman" w:cs="Times New Roman"/>
          <w:color w:val="000000" w:themeColor="text1"/>
          <w:sz w:val="24"/>
          <w:szCs w:val="24"/>
        </w:rPr>
        <w:t>наредној години када је дошло до пада учешћа са 17% на 5% у 2014. години</w:t>
      </w:r>
      <w:r w:rsidR="00CD4EC1" w:rsidRPr="00ED7784">
        <w:rPr>
          <w:rFonts w:ascii="Times New Roman" w:hAnsi="Times New Roman" w:cs="Times New Roman"/>
          <w:color w:val="000000" w:themeColor="text1"/>
          <w:sz w:val="24"/>
          <w:szCs w:val="24"/>
        </w:rPr>
        <w:t xml:space="preserve"> да би се</w:t>
      </w:r>
      <w:r w:rsidR="00CF0170" w:rsidRPr="00ED7784">
        <w:rPr>
          <w:rFonts w:ascii="Times New Roman" w:hAnsi="Times New Roman" w:cs="Times New Roman"/>
          <w:color w:val="000000" w:themeColor="text1"/>
          <w:sz w:val="24"/>
          <w:szCs w:val="24"/>
        </w:rPr>
        <w:t>,</w:t>
      </w:r>
      <w:r w:rsidR="00CD4EC1" w:rsidRPr="00ED7784">
        <w:rPr>
          <w:rFonts w:ascii="Times New Roman" w:hAnsi="Times New Roman" w:cs="Times New Roman"/>
          <w:color w:val="000000" w:themeColor="text1"/>
          <w:sz w:val="24"/>
          <w:szCs w:val="24"/>
        </w:rPr>
        <w:t xml:space="preserve"> у нар</w:t>
      </w:r>
      <w:r w:rsidR="00CF0170" w:rsidRPr="00ED7784">
        <w:rPr>
          <w:rFonts w:ascii="Times New Roman" w:hAnsi="Times New Roman" w:cs="Times New Roman"/>
          <w:color w:val="000000" w:themeColor="text1"/>
          <w:sz w:val="24"/>
          <w:szCs w:val="24"/>
        </w:rPr>
        <w:t>е</w:t>
      </w:r>
      <w:r w:rsidR="004A52A0" w:rsidRPr="00ED7784">
        <w:rPr>
          <w:rFonts w:ascii="Times New Roman" w:hAnsi="Times New Roman" w:cs="Times New Roman"/>
          <w:color w:val="000000" w:themeColor="text1"/>
          <w:sz w:val="24"/>
          <w:szCs w:val="24"/>
        </w:rPr>
        <w:t>дне три</w:t>
      </w:r>
      <w:r w:rsidR="00CD4EC1" w:rsidRPr="00ED7784">
        <w:rPr>
          <w:rFonts w:ascii="Times New Roman" w:hAnsi="Times New Roman" w:cs="Times New Roman"/>
          <w:color w:val="000000" w:themeColor="text1"/>
          <w:sz w:val="24"/>
          <w:szCs w:val="24"/>
        </w:rPr>
        <w:t xml:space="preserve"> године</w:t>
      </w:r>
      <w:r w:rsidR="00CF0170" w:rsidRPr="00ED7784">
        <w:rPr>
          <w:rFonts w:ascii="Times New Roman" w:hAnsi="Times New Roman" w:cs="Times New Roman"/>
          <w:color w:val="000000" w:themeColor="text1"/>
          <w:sz w:val="24"/>
          <w:szCs w:val="24"/>
        </w:rPr>
        <w:t>,</w:t>
      </w:r>
      <w:r w:rsidR="00CD4EC1" w:rsidRPr="00ED7784">
        <w:rPr>
          <w:rFonts w:ascii="Times New Roman" w:hAnsi="Times New Roman" w:cs="Times New Roman"/>
          <w:color w:val="000000" w:themeColor="text1"/>
          <w:sz w:val="24"/>
          <w:szCs w:val="24"/>
        </w:rPr>
        <w:t xml:space="preserve"> </w:t>
      </w:r>
      <w:r w:rsidR="00CF0170" w:rsidRPr="00ED7784">
        <w:rPr>
          <w:rFonts w:ascii="Times New Roman" w:hAnsi="Times New Roman" w:cs="Times New Roman"/>
          <w:color w:val="000000" w:themeColor="text1"/>
          <w:sz w:val="24"/>
          <w:szCs w:val="24"/>
        </w:rPr>
        <w:t xml:space="preserve">смањивање учешћа наставило </w:t>
      </w:r>
      <w:r w:rsidR="004A52A0" w:rsidRPr="00ED7784">
        <w:rPr>
          <w:rFonts w:ascii="Times New Roman" w:hAnsi="Times New Roman" w:cs="Times New Roman"/>
          <w:color w:val="000000" w:themeColor="text1"/>
          <w:sz w:val="24"/>
          <w:szCs w:val="24"/>
        </w:rPr>
        <w:t>до</w:t>
      </w:r>
      <w:r w:rsidR="00E22FAE">
        <w:rPr>
          <w:rFonts w:ascii="Times New Roman" w:hAnsi="Times New Roman" w:cs="Times New Roman"/>
          <w:color w:val="000000" w:themeColor="text1"/>
          <w:sz w:val="24"/>
          <w:szCs w:val="24"/>
          <w:lang w:val="sr-Cyrl-CS"/>
        </w:rPr>
        <w:t xml:space="preserve"> садашњег</w:t>
      </w:r>
      <w:r w:rsidR="00E22FAE">
        <w:rPr>
          <w:rFonts w:ascii="Times New Roman" w:hAnsi="Times New Roman" w:cs="Times New Roman"/>
          <w:color w:val="000000" w:themeColor="text1"/>
          <w:sz w:val="24"/>
          <w:szCs w:val="24"/>
        </w:rPr>
        <w:t xml:space="preserve"> нивоа</w:t>
      </w:r>
      <w:r w:rsidR="00CD4EC1" w:rsidRPr="00ED7784">
        <w:rPr>
          <w:rFonts w:ascii="Times New Roman" w:hAnsi="Times New Roman" w:cs="Times New Roman"/>
          <w:color w:val="000000" w:themeColor="text1"/>
          <w:sz w:val="24"/>
          <w:szCs w:val="24"/>
        </w:rPr>
        <w:t xml:space="preserve">. </w:t>
      </w:r>
    </w:p>
    <w:p w14:paraId="27A0AB26" w14:textId="16A9D4C8" w:rsidR="00F6332A" w:rsidRPr="00F6332A" w:rsidRDefault="00F74534" w:rsidP="00986843">
      <w:pPr>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rPr>
        <w:t>У 2019</w:t>
      </w:r>
      <w:r w:rsidR="00976A53" w:rsidRPr="00ED7784">
        <w:rPr>
          <w:rFonts w:ascii="Times New Roman" w:hAnsi="Times New Roman" w:cs="Times New Roman"/>
          <w:color w:val="000000" w:themeColor="text1"/>
          <w:sz w:val="24"/>
          <w:szCs w:val="24"/>
        </w:rPr>
        <w:t xml:space="preserve">. </w:t>
      </w:r>
      <w:r w:rsidR="00C30FD9">
        <w:rPr>
          <w:rFonts w:ascii="Times New Roman" w:hAnsi="Times New Roman" w:cs="Times New Roman"/>
          <w:color w:val="000000" w:themeColor="text1"/>
          <w:sz w:val="24"/>
          <w:szCs w:val="24"/>
        </w:rPr>
        <w:t>г</w:t>
      </w:r>
      <w:r w:rsidR="00976A53" w:rsidRPr="00ED7784">
        <w:rPr>
          <w:rFonts w:ascii="Times New Roman" w:hAnsi="Times New Roman" w:cs="Times New Roman"/>
          <w:color w:val="000000" w:themeColor="text1"/>
          <w:sz w:val="24"/>
          <w:szCs w:val="24"/>
        </w:rPr>
        <w:t>одини</w:t>
      </w:r>
      <w:r w:rsidR="00C30FD9">
        <w:rPr>
          <w:rFonts w:ascii="Times New Roman" w:hAnsi="Times New Roman" w:cs="Times New Roman"/>
          <w:color w:val="000000" w:themeColor="text1"/>
          <w:sz w:val="24"/>
          <w:szCs w:val="24"/>
        </w:rPr>
        <w:t>,</w:t>
      </w:r>
      <w:r w:rsidR="00976A53" w:rsidRPr="00ED7784">
        <w:rPr>
          <w:rFonts w:ascii="Times New Roman" w:hAnsi="Times New Roman" w:cs="Times New Roman"/>
          <w:color w:val="000000" w:themeColor="text1"/>
          <w:sz w:val="24"/>
          <w:szCs w:val="24"/>
        </w:rPr>
        <w:t xml:space="preserve"> </w:t>
      </w:r>
      <w:r w:rsidR="002E286B" w:rsidRPr="00ED7784">
        <w:rPr>
          <w:rFonts w:ascii="Times New Roman" w:hAnsi="Times New Roman" w:cs="Times New Roman"/>
          <w:color w:val="000000" w:themeColor="text1"/>
          <w:sz w:val="24"/>
          <w:szCs w:val="24"/>
        </w:rPr>
        <w:t>Управа</w:t>
      </w:r>
      <w:r w:rsidR="00976A53" w:rsidRPr="00ED7784">
        <w:rPr>
          <w:rFonts w:ascii="Times New Roman" w:hAnsi="Times New Roman" w:cs="Times New Roman"/>
          <w:color w:val="000000" w:themeColor="text1"/>
          <w:sz w:val="24"/>
          <w:szCs w:val="24"/>
        </w:rPr>
        <w:t xml:space="preserve"> је дала </w:t>
      </w:r>
      <w:r>
        <w:rPr>
          <w:rFonts w:ascii="Times New Roman" w:hAnsi="Times New Roman" w:cs="Times New Roman"/>
          <w:sz w:val="24"/>
          <w:szCs w:val="24"/>
        </w:rPr>
        <w:t>1.948</w:t>
      </w:r>
      <w:r w:rsidR="00445800" w:rsidRPr="00EF6DFD">
        <w:rPr>
          <w:rFonts w:ascii="Times New Roman" w:hAnsi="Times New Roman" w:cs="Times New Roman"/>
          <w:sz w:val="24"/>
          <w:szCs w:val="24"/>
        </w:rPr>
        <w:t xml:space="preserve"> </w:t>
      </w:r>
      <w:r w:rsidR="00445800" w:rsidRPr="00ED7784">
        <w:rPr>
          <w:rFonts w:ascii="Times New Roman" w:hAnsi="Times New Roman" w:cs="Times New Roman"/>
          <w:color w:val="000000" w:themeColor="text1"/>
          <w:sz w:val="24"/>
          <w:szCs w:val="24"/>
        </w:rPr>
        <w:t>п</w:t>
      </w:r>
      <w:r w:rsidR="00976A53" w:rsidRPr="00ED7784">
        <w:rPr>
          <w:rFonts w:ascii="Times New Roman" w:hAnsi="Times New Roman" w:cs="Times New Roman"/>
          <w:color w:val="000000" w:themeColor="text1"/>
          <w:sz w:val="24"/>
          <w:szCs w:val="24"/>
        </w:rPr>
        <w:t>озитивн</w:t>
      </w:r>
      <w:r>
        <w:rPr>
          <w:rFonts w:ascii="Times New Roman" w:hAnsi="Times New Roman" w:cs="Times New Roman"/>
          <w:color w:val="000000" w:themeColor="text1"/>
          <w:sz w:val="24"/>
          <w:szCs w:val="24"/>
          <w:lang w:val="sr-Cyrl-RS"/>
        </w:rPr>
        <w:t>их</w:t>
      </w:r>
      <w:r w:rsidR="00C30FD9">
        <w:rPr>
          <w:rFonts w:ascii="Times New Roman" w:hAnsi="Times New Roman" w:cs="Times New Roman"/>
          <w:color w:val="000000" w:themeColor="text1"/>
          <w:sz w:val="24"/>
          <w:szCs w:val="24"/>
        </w:rPr>
        <w:t xml:space="preserve"> </w:t>
      </w:r>
      <w:r w:rsidR="00976A53" w:rsidRPr="00ED7784">
        <w:rPr>
          <w:rFonts w:ascii="Times New Roman" w:hAnsi="Times New Roman" w:cs="Times New Roman"/>
          <w:color w:val="000000" w:themeColor="text1"/>
          <w:sz w:val="24"/>
          <w:szCs w:val="24"/>
        </w:rPr>
        <w:t xml:space="preserve">и </w:t>
      </w:r>
      <w:r>
        <w:rPr>
          <w:rFonts w:ascii="Times New Roman" w:hAnsi="Times New Roman" w:cs="Times New Roman"/>
          <w:sz w:val="24"/>
          <w:szCs w:val="24"/>
        </w:rPr>
        <w:t>69</w:t>
      </w:r>
      <w:r w:rsidR="00976A53" w:rsidRPr="00ED7784">
        <w:rPr>
          <w:rFonts w:ascii="Times New Roman" w:hAnsi="Times New Roman" w:cs="Times New Roman"/>
          <w:color w:val="000000" w:themeColor="text1"/>
          <w:sz w:val="24"/>
          <w:szCs w:val="24"/>
        </w:rPr>
        <w:t xml:space="preserve"> негативн</w:t>
      </w:r>
      <w:r w:rsidR="00B40D4A" w:rsidRPr="00ED7784">
        <w:rPr>
          <w:rFonts w:ascii="Times New Roman" w:hAnsi="Times New Roman" w:cs="Times New Roman"/>
          <w:color w:val="000000" w:themeColor="text1"/>
          <w:sz w:val="24"/>
          <w:szCs w:val="24"/>
        </w:rPr>
        <w:t>их</w:t>
      </w:r>
      <w:r w:rsidR="00976A53" w:rsidRPr="00ED7784">
        <w:rPr>
          <w:rFonts w:ascii="Times New Roman" w:hAnsi="Times New Roman" w:cs="Times New Roman"/>
          <w:color w:val="000000" w:themeColor="text1"/>
          <w:sz w:val="24"/>
          <w:szCs w:val="24"/>
        </w:rPr>
        <w:t xml:space="preserve"> мишљења</w:t>
      </w:r>
      <w:r w:rsidR="00445800" w:rsidRPr="00ED7784">
        <w:rPr>
          <w:rFonts w:ascii="Times New Roman" w:hAnsi="Times New Roman" w:cs="Times New Roman"/>
          <w:color w:val="000000" w:themeColor="text1"/>
          <w:sz w:val="24"/>
          <w:szCs w:val="24"/>
        </w:rPr>
        <w:t xml:space="preserve"> за преговарачки поступак без објављивања позива</w:t>
      </w:r>
      <w:r w:rsidR="002E286B" w:rsidRPr="00ED7784">
        <w:rPr>
          <w:rFonts w:ascii="Times New Roman" w:hAnsi="Times New Roman" w:cs="Times New Roman"/>
          <w:color w:val="000000" w:themeColor="text1"/>
          <w:sz w:val="24"/>
          <w:szCs w:val="24"/>
        </w:rPr>
        <w:t xml:space="preserve"> за подношење понуда</w:t>
      </w:r>
      <w:r w:rsidR="00976A53" w:rsidRPr="00ED7784">
        <w:rPr>
          <w:rFonts w:ascii="Times New Roman" w:hAnsi="Times New Roman" w:cs="Times New Roman"/>
          <w:color w:val="000000" w:themeColor="text1"/>
          <w:sz w:val="24"/>
          <w:szCs w:val="24"/>
        </w:rPr>
        <w:t xml:space="preserve">. Податак </w:t>
      </w:r>
      <w:r w:rsidR="006B46AC" w:rsidRPr="00ED7784">
        <w:rPr>
          <w:rFonts w:ascii="Times New Roman" w:hAnsi="Times New Roman" w:cs="Times New Roman"/>
          <w:color w:val="000000" w:themeColor="text1"/>
          <w:sz w:val="24"/>
          <w:szCs w:val="24"/>
        </w:rPr>
        <w:t>д</w:t>
      </w:r>
      <w:r w:rsidR="00E22FAE">
        <w:rPr>
          <w:rFonts w:ascii="Times New Roman" w:hAnsi="Times New Roman" w:cs="Times New Roman"/>
          <w:color w:val="000000" w:themeColor="text1"/>
          <w:sz w:val="24"/>
          <w:szCs w:val="24"/>
        </w:rPr>
        <w:t xml:space="preserve">а негативна мишљења чине свега </w:t>
      </w:r>
      <w:r>
        <w:rPr>
          <w:rFonts w:ascii="Times New Roman" w:hAnsi="Times New Roman" w:cs="Times New Roman"/>
          <w:sz w:val="24"/>
          <w:szCs w:val="24"/>
        </w:rPr>
        <w:t>3,4</w:t>
      </w:r>
      <w:r w:rsidR="006B46AC" w:rsidRPr="00EF6DFD">
        <w:rPr>
          <w:rFonts w:ascii="Times New Roman" w:hAnsi="Times New Roman" w:cs="Times New Roman"/>
          <w:sz w:val="24"/>
          <w:szCs w:val="24"/>
        </w:rPr>
        <w:t>%</w:t>
      </w:r>
      <w:r w:rsidR="006B46AC" w:rsidRPr="00ED7784">
        <w:rPr>
          <w:rFonts w:ascii="Times New Roman" w:hAnsi="Times New Roman" w:cs="Times New Roman"/>
          <w:color w:val="000000" w:themeColor="text1"/>
          <w:sz w:val="24"/>
          <w:szCs w:val="24"/>
        </w:rPr>
        <w:t xml:space="preserve"> укупно датих мишљења</w:t>
      </w:r>
      <w:r w:rsidR="00445800" w:rsidRPr="00ED7784">
        <w:rPr>
          <w:rFonts w:ascii="Times New Roman" w:hAnsi="Times New Roman" w:cs="Times New Roman"/>
          <w:color w:val="000000" w:themeColor="text1"/>
          <w:sz w:val="24"/>
          <w:szCs w:val="24"/>
        </w:rPr>
        <w:t xml:space="preserve">, </w:t>
      </w:r>
      <w:r w:rsidR="00976A53" w:rsidRPr="00ED7784">
        <w:rPr>
          <w:rFonts w:ascii="Times New Roman" w:hAnsi="Times New Roman" w:cs="Times New Roman"/>
          <w:color w:val="000000" w:themeColor="text1"/>
          <w:sz w:val="24"/>
          <w:szCs w:val="24"/>
        </w:rPr>
        <w:t>у комбинацији са ниским учешћем преговарачких поступака у уку</w:t>
      </w:r>
      <w:r w:rsidR="00015855" w:rsidRPr="00ED7784">
        <w:rPr>
          <w:rFonts w:ascii="Times New Roman" w:hAnsi="Times New Roman" w:cs="Times New Roman"/>
          <w:color w:val="000000" w:themeColor="text1"/>
          <w:sz w:val="24"/>
          <w:szCs w:val="24"/>
        </w:rPr>
        <w:t>пној вредности јавних набавки у</w:t>
      </w:r>
      <w:r w:rsidR="00976A53" w:rsidRPr="00ED7784">
        <w:rPr>
          <w:rFonts w:ascii="Times New Roman" w:hAnsi="Times New Roman" w:cs="Times New Roman"/>
          <w:color w:val="000000" w:themeColor="text1"/>
          <w:sz w:val="24"/>
          <w:szCs w:val="24"/>
        </w:rPr>
        <w:t xml:space="preserve">казује да наручиоци знају </w:t>
      </w:r>
      <w:r w:rsidR="00CC1AF4" w:rsidRPr="00ED7784">
        <w:rPr>
          <w:rFonts w:ascii="Times New Roman" w:hAnsi="Times New Roman" w:cs="Times New Roman"/>
          <w:color w:val="000000" w:themeColor="text1"/>
          <w:sz w:val="24"/>
          <w:szCs w:val="24"/>
        </w:rPr>
        <w:t>када</w:t>
      </w:r>
      <w:r w:rsidR="00976A53" w:rsidRPr="00ED7784">
        <w:rPr>
          <w:rFonts w:ascii="Times New Roman" w:hAnsi="Times New Roman" w:cs="Times New Roman"/>
          <w:color w:val="000000" w:themeColor="text1"/>
          <w:sz w:val="24"/>
          <w:szCs w:val="24"/>
        </w:rPr>
        <w:t xml:space="preserve"> имају основа за примену овог поступка</w:t>
      </w:r>
      <w:r w:rsidR="00986843">
        <w:rPr>
          <w:rFonts w:ascii="Times New Roman" w:hAnsi="Times New Roman" w:cs="Times New Roman"/>
          <w:color w:val="000000" w:themeColor="text1"/>
          <w:sz w:val="24"/>
          <w:szCs w:val="24"/>
          <w:lang w:val="sr-Cyrl-RS"/>
        </w:rPr>
        <w:t xml:space="preserve">. </w:t>
      </w:r>
    </w:p>
    <w:p w14:paraId="7DB9C722" w14:textId="08F10D21" w:rsidR="005E5329" w:rsidRPr="00D96A95" w:rsidRDefault="005E5329" w:rsidP="002321BB">
      <w:pPr>
        <w:jc w:val="both"/>
        <w:rPr>
          <w:rFonts w:ascii="Times New Roman" w:hAnsi="Times New Roman" w:cs="Times New Roman"/>
          <w:color w:val="000000" w:themeColor="text1"/>
          <w:sz w:val="24"/>
          <w:szCs w:val="24"/>
        </w:rPr>
      </w:pPr>
      <w:r w:rsidRPr="00ED7784">
        <w:rPr>
          <w:rFonts w:ascii="Times New Roman" w:hAnsi="Times New Roman" w:cs="Times New Roman"/>
          <w:color w:val="000000" w:themeColor="text1"/>
          <w:sz w:val="24"/>
          <w:szCs w:val="24"/>
        </w:rPr>
        <w:t>Упоредо са смањивањем учешћа неконкурентног поступка, повећала се заступљеност отвореног поступка. Учешће отвореног пос</w:t>
      </w:r>
      <w:r w:rsidR="00E707E5" w:rsidRPr="00ED7784">
        <w:rPr>
          <w:rFonts w:ascii="Times New Roman" w:hAnsi="Times New Roman" w:cs="Times New Roman"/>
          <w:color w:val="000000" w:themeColor="text1"/>
          <w:sz w:val="24"/>
          <w:szCs w:val="24"/>
        </w:rPr>
        <w:t>тупка до</w:t>
      </w:r>
      <w:r w:rsidR="00483D26">
        <w:rPr>
          <w:rFonts w:ascii="Times New Roman" w:hAnsi="Times New Roman" w:cs="Times New Roman"/>
          <w:color w:val="000000" w:themeColor="text1"/>
          <w:sz w:val="24"/>
          <w:szCs w:val="24"/>
        </w:rPr>
        <w:t xml:space="preserve">стигло је ниво </w:t>
      </w:r>
      <w:r w:rsidR="00F74534">
        <w:rPr>
          <w:rFonts w:ascii="Times New Roman" w:hAnsi="Times New Roman" w:cs="Times New Roman"/>
          <w:sz w:val="24"/>
          <w:szCs w:val="24"/>
        </w:rPr>
        <w:t>од  93% у 2019</w:t>
      </w:r>
      <w:r w:rsidR="003E1ECE" w:rsidRPr="00ED7784">
        <w:rPr>
          <w:rFonts w:ascii="Times New Roman" w:hAnsi="Times New Roman" w:cs="Times New Roman"/>
          <w:color w:val="000000" w:themeColor="text1"/>
          <w:sz w:val="24"/>
          <w:szCs w:val="24"/>
        </w:rPr>
        <w:t>.</w:t>
      </w:r>
      <w:r w:rsidRPr="00ED7784">
        <w:rPr>
          <w:rFonts w:ascii="Times New Roman" w:hAnsi="Times New Roman" w:cs="Times New Roman"/>
          <w:color w:val="000000" w:themeColor="text1"/>
          <w:sz w:val="24"/>
          <w:szCs w:val="24"/>
        </w:rPr>
        <w:t xml:space="preserve"> години</w:t>
      </w:r>
      <w:r w:rsidRPr="00D96A95">
        <w:rPr>
          <w:rFonts w:ascii="Times New Roman" w:hAnsi="Times New Roman" w:cs="Times New Roman"/>
          <w:color w:val="000000" w:themeColor="text1"/>
          <w:sz w:val="24"/>
          <w:szCs w:val="24"/>
        </w:rPr>
        <w:t>, што пред</w:t>
      </w:r>
      <w:r w:rsidR="00A3195D" w:rsidRPr="00D96A95">
        <w:rPr>
          <w:rFonts w:ascii="Times New Roman" w:hAnsi="Times New Roman" w:cs="Times New Roman"/>
          <w:color w:val="000000" w:themeColor="text1"/>
          <w:sz w:val="24"/>
          <w:szCs w:val="24"/>
        </w:rPr>
        <w:t xml:space="preserve">ставља </w:t>
      </w:r>
      <w:r w:rsidR="006B46AC">
        <w:rPr>
          <w:rFonts w:ascii="Times New Roman" w:hAnsi="Times New Roman" w:cs="Times New Roman"/>
          <w:color w:val="000000" w:themeColor="text1"/>
          <w:sz w:val="24"/>
          <w:szCs w:val="24"/>
        </w:rPr>
        <w:t>значајан напредак у односу на 2013</w:t>
      </w:r>
      <w:r w:rsidRPr="00D96A95">
        <w:rPr>
          <w:rFonts w:ascii="Times New Roman" w:hAnsi="Times New Roman" w:cs="Times New Roman"/>
          <w:color w:val="000000" w:themeColor="text1"/>
          <w:sz w:val="24"/>
          <w:szCs w:val="24"/>
        </w:rPr>
        <w:t xml:space="preserve">. годину </w:t>
      </w:r>
      <w:r w:rsidR="006B46AC">
        <w:rPr>
          <w:rFonts w:ascii="Times New Roman" w:hAnsi="Times New Roman" w:cs="Times New Roman"/>
          <w:color w:val="000000" w:themeColor="text1"/>
          <w:sz w:val="24"/>
          <w:szCs w:val="24"/>
        </w:rPr>
        <w:t xml:space="preserve">када је износио 66% </w:t>
      </w:r>
      <w:r w:rsidR="00F9284E">
        <w:rPr>
          <w:rFonts w:ascii="Times New Roman" w:hAnsi="Times New Roman" w:cs="Times New Roman"/>
          <w:color w:val="000000" w:themeColor="text1"/>
          <w:sz w:val="24"/>
          <w:szCs w:val="24"/>
        </w:rPr>
        <w:t>(Слика</w:t>
      </w:r>
      <w:r w:rsidR="008762D1">
        <w:rPr>
          <w:rFonts w:ascii="Times New Roman" w:hAnsi="Times New Roman" w:cs="Times New Roman"/>
          <w:color w:val="000000" w:themeColor="text1"/>
          <w:sz w:val="24"/>
          <w:szCs w:val="24"/>
        </w:rPr>
        <w:t xml:space="preserve"> 6</w:t>
      </w:r>
      <w:r w:rsidRPr="00D96A95">
        <w:rPr>
          <w:rFonts w:ascii="Times New Roman" w:hAnsi="Times New Roman" w:cs="Times New Roman"/>
          <w:color w:val="000000" w:themeColor="text1"/>
          <w:sz w:val="24"/>
          <w:szCs w:val="24"/>
        </w:rPr>
        <w:t xml:space="preserve">). </w:t>
      </w:r>
    </w:p>
    <w:p w14:paraId="5E7F0763" w14:textId="18D3CC90" w:rsidR="00015855" w:rsidRPr="00ED7784" w:rsidRDefault="007D7091" w:rsidP="000E5435">
      <w:pPr>
        <w:jc w:val="both"/>
        <w:rPr>
          <w:rFonts w:ascii="Times New Roman" w:hAnsi="Times New Roman" w:cs="Times New Roman"/>
          <w:color w:val="000000" w:themeColor="text1"/>
          <w:sz w:val="24"/>
          <w:szCs w:val="24"/>
        </w:rPr>
      </w:pPr>
      <w:r w:rsidRPr="00EF6DFD">
        <w:rPr>
          <w:rFonts w:ascii="Times New Roman" w:hAnsi="Times New Roman" w:cs="Times New Roman"/>
          <w:sz w:val="24"/>
          <w:szCs w:val="24"/>
        </w:rPr>
        <w:t>Када се посматра пет</w:t>
      </w:r>
      <w:r w:rsidR="005E5329" w:rsidRPr="00EF6DFD">
        <w:rPr>
          <w:rFonts w:ascii="Times New Roman" w:hAnsi="Times New Roman" w:cs="Times New Roman"/>
          <w:sz w:val="24"/>
          <w:szCs w:val="24"/>
        </w:rPr>
        <w:t>наестогодишњи период примене Закона, до</w:t>
      </w:r>
      <w:r w:rsidRPr="00EF6DFD">
        <w:rPr>
          <w:rFonts w:ascii="Times New Roman" w:hAnsi="Times New Roman" w:cs="Times New Roman"/>
          <w:sz w:val="24"/>
          <w:szCs w:val="24"/>
        </w:rPr>
        <w:t>лази се до закључка да је</w:t>
      </w:r>
      <w:r w:rsidR="00F8262C" w:rsidRPr="00EF6DFD">
        <w:rPr>
          <w:rFonts w:ascii="Times New Roman" w:hAnsi="Times New Roman" w:cs="Times New Roman"/>
          <w:sz w:val="24"/>
          <w:szCs w:val="24"/>
        </w:rPr>
        <w:t>,</w:t>
      </w:r>
      <w:r w:rsidRPr="00EF6DFD">
        <w:rPr>
          <w:rFonts w:ascii="Times New Roman" w:hAnsi="Times New Roman" w:cs="Times New Roman"/>
          <w:sz w:val="24"/>
          <w:szCs w:val="24"/>
        </w:rPr>
        <w:t xml:space="preserve"> </w:t>
      </w:r>
      <w:r w:rsidR="00483D26" w:rsidRPr="00EF6DFD">
        <w:rPr>
          <w:rFonts w:ascii="Times New Roman" w:hAnsi="Times New Roman" w:cs="Times New Roman"/>
          <w:sz w:val="24"/>
          <w:szCs w:val="24"/>
        </w:rPr>
        <w:t xml:space="preserve">у последње </w:t>
      </w:r>
      <w:r w:rsidR="003C26EC" w:rsidRPr="00EF6DFD">
        <w:rPr>
          <w:rFonts w:ascii="Times New Roman" w:hAnsi="Times New Roman" w:cs="Times New Roman"/>
          <w:sz w:val="24"/>
          <w:szCs w:val="24"/>
          <w:lang w:val="sr-Cyrl-CS"/>
        </w:rPr>
        <w:t>че</w:t>
      </w:r>
      <w:r w:rsidR="00483D26" w:rsidRPr="00EF6DFD">
        <w:rPr>
          <w:rFonts w:ascii="Times New Roman" w:hAnsi="Times New Roman" w:cs="Times New Roman"/>
          <w:sz w:val="24"/>
          <w:szCs w:val="24"/>
        </w:rPr>
        <w:t>т</w:t>
      </w:r>
      <w:r w:rsidR="003C26EC" w:rsidRPr="00EF6DFD">
        <w:rPr>
          <w:rFonts w:ascii="Times New Roman" w:hAnsi="Times New Roman" w:cs="Times New Roman"/>
          <w:sz w:val="24"/>
          <w:szCs w:val="24"/>
          <w:lang w:val="sr-Cyrl-CS"/>
        </w:rPr>
        <w:t>и</w:t>
      </w:r>
      <w:r w:rsidR="00483D26" w:rsidRPr="00EF6DFD">
        <w:rPr>
          <w:rFonts w:ascii="Times New Roman" w:hAnsi="Times New Roman" w:cs="Times New Roman"/>
          <w:sz w:val="24"/>
          <w:szCs w:val="24"/>
        </w:rPr>
        <w:t>ри</w:t>
      </w:r>
      <w:r w:rsidR="002E0EC4" w:rsidRPr="00EF6DFD">
        <w:rPr>
          <w:rFonts w:ascii="Times New Roman" w:hAnsi="Times New Roman" w:cs="Times New Roman"/>
          <w:sz w:val="24"/>
          <w:szCs w:val="24"/>
        </w:rPr>
        <w:t xml:space="preserve"> године, </w:t>
      </w:r>
      <w:r w:rsidR="00483D26" w:rsidRPr="00EF6DFD">
        <w:rPr>
          <w:rFonts w:ascii="Times New Roman" w:hAnsi="Times New Roman" w:cs="Times New Roman"/>
          <w:sz w:val="24"/>
          <w:szCs w:val="24"/>
        </w:rPr>
        <w:t>остварено</w:t>
      </w:r>
      <w:r w:rsidR="005E5329" w:rsidRPr="00EF6DFD">
        <w:rPr>
          <w:rFonts w:ascii="Times New Roman" w:hAnsi="Times New Roman" w:cs="Times New Roman"/>
          <w:sz w:val="24"/>
          <w:szCs w:val="24"/>
        </w:rPr>
        <w:t xml:space="preserve"> високо учешће отвореног поступка</w:t>
      </w:r>
      <w:r w:rsidR="008762D1">
        <w:rPr>
          <w:rFonts w:ascii="Times New Roman" w:hAnsi="Times New Roman" w:cs="Times New Roman"/>
          <w:sz w:val="24"/>
          <w:szCs w:val="24"/>
        </w:rPr>
        <w:t xml:space="preserve"> (Слика 5</w:t>
      </w:r>
      <w:r w:rsidR="002E0EC4" w:rsidRPr="00EF6DFD">
        <w:rPr>
          <w:rFonts w:ascii="Times New Roman" w:hAnsi="Times New Roman" w:cs="Times New Roman"/>
          <w:sz w:val="24"/>
          <w:szCs w:val="24"/>
        </w:rPr>
        <w:t>)</w:t>
      </w:r>
      <w:r w:rsidR="005E5329" w:rsidRPr="00EF6DFD">
        <w:rPr>
          <w:rFonts w:ascii="Times New Roman" w:hAnsi="Times New Roman" w:cs="Times New Roman"/>
          <w:sz w:val="24"/>
          <w:szCs w:val="24"/>
        </w:rPr>
        <w:t>. Истовремено се уочава да је</w:t>
      </w:r>
      <w:r w:rsidR="005E5329" w:rsidRPr="00ED7784">
        <w:rPr>
          <w:rFonts w:ascii="Times New Roman" w:hAnsi="Times New Roman" w:cs="Times New Roman"/>
          <w:color w:val="000000" w:themeColor="text1"/>
          <w:sz w:val="24"/>
          <w:szCs w:val="24"/>
        </w:rPr>
        <w:t xml:space="preserve">, у </w:t>
      </w:r>
      <w:r w:rsidR="00AD2EA3" w:rsidRPr="00ED7784">
        <w:rPr>
          <w:rFonts w:ascii="Times New Roman" w:hAnsi="Times New Roman" w:cs="Times New Roman"/>
          <w:color w:val="000000" w:themeColor="text1"/>
          <w:sz w:val="24"/>
          <w:szCs w:val="24"/>
        </w:rPr>
        <w:t>ранијим годинама</w:t>
      </w:r>
      <w:r w:rsidR="005E5329" w:rsidRPr="00ED7784">
        <w:rPr>
          <w:rFonts w:ascii="Times New Roman" w:hAnsi="Times New Roman" w:cs="Times New Roman"/>
          <w:color w:val="000000" w:themeColor="text1"/>
          <w:sz w:val="24"/>
          <w:szCs w:val="24"/>
        </w:rPr>
        <w:t>, постојала уобичајена пракса да се избегава отворени поступак, што је резултирало тиме да је његово учешће у појединим годинама (2007</w:t>
      </w:r>
      <w:r w:rsidR="00347C25">
        <w:rPr>
          <w:rFonts w:ascii="Times New Roman" w:hAnsi="Times New Roman" w:cs="Times New Roman"/>
          <w:color w:val="000000" w:themeColor="text1"/>
          <w:sz w:val="24"/>
          <w:szCs w:val="24"/>
        </w:rPr>
        <w:t>.</w:t>
      </w:r>
      <w:r w:rsidR="005E5329" w:rsidRPr="00ED7784">
        <w:rPr>
          <w:rFonts w:ascii="Times New Roman" w:hAnsi="Times New Roman" w:cs="Times New Roman"/>
          <w:color w:val="000000" w:themeColor="text1"/>
          <w:sz w:val="24"/>
          <w:szCs w:val="24"/>
        </w:rPr>
        <w:t xml:space="preserve"> и 2008. год</w:t>
      </w:r>
      <w:r w:rsidR="00BE7D6A">
        <w:rPr>
          <w:rFonts w:ascii="Times New Roman" w:hAnsi="Times New Roman" w:cs="Times New Roman"/>
          <w:color w:val="000000" w:themeColor="text1"/>
          <w:sz w:val="24"/>
          <w:szCs w:val="24"/>
        </w:rPr>
        <w:t xml:space="preserve">ини) износило свега 35% (Слика </w:t>
      </w:r>
      <w:r w:rsidR="008762D1">
        <w:rPr>
          <w:rFonts w:ascii="Times New Roman" w:hAnsi="Times New Roman" w:cs="Times New Roman"/>
          <w:color w:val="000000" w:themeColor="text1"/>
          <w:sz w:val="24"/>
          <w:szCs w:val="24"/>
          <w:lang w:val="sr-Latn-RS"/>
        </w:rPr>
        <w:t>6</w:t>
      </w:r>
      <w:r w:rsidR="00DF3192">
        <w:rPr>
          <w:rFonts w:ascii="Times New Roman" w:hAnsi="Times New Roman" w:cs="Times New Roman"/>
          <w:color w:val="000000" w:themeColor="text1"/>
          <w:sz w:val="24"/>
          <w:szCs w:val="24"/>
          <w:lang w:val="sr-Latn-RS"/>
        </w:rPr>
        <w:t>)</w:t>
      </w:r>
      <w:r w:rsidR="00D66CAF" w:rsidRPr="00ED7784">
        <w:rPr>
          <w:rFonts w:ascii="Times New Roman" w:hAnsi="Times New Roman" w:cs="Times New Roman"/>
          <w:color w:val="000000" w:themeColor="text1"/>
          <w:sz w:val="24"/>
          <w:szCs w:val="24"/>
        </w:rPr>
        <w:t>.</w:t>
      </w:r>
      <w:r w:rsidR="005E5329" w:rsidRPr="00ED7784">
        <w:rPr>
          <w:rFonts w:ascii="Times New Roman" w:hAnsi="Times New Roman" w:cs="Times New Roman"/>
          <w:color w:val="000000" w:themeColor="text1"/>
          <w:sz w:val="24"/>
          <w:szCs w:val="24"/>
        </w:rPr>
        <w:t xml:space="preserve"> </w:t>
      </w:r>
    </w:p>
    <w:p w14:paraId="4AA991F4" w14:textId="787AA2FF" w:rsidR="0080559C" w:rsidRDefault="004D4D39" w:rsidP="00DC4DBD">
      <w:pPr>
        <w:rPr>
          <w:rFonts w:ascii="Times New Roman" w:hAnsi="Times New Roman" w:cs="Times New Roman"/>
          <w:b/>
          <w:color w:val="000000" w:themeColor="text1"/>
          <w:sz w:val="24"/>
          <w:szCs w:val="24"/>
          <w:lang w:val="en-US"/>
        </w:rPr>
      </w:pPr>
      <w:r w:rsidRPr="00ED7784">
        <w:rPr>
          <w:rFonts w:ascii="Times New Roman" w:hAnsi="Times New Roman" w:cs="Times New Roman"/>
          <w:b/>
          <w:color w:val="000000" w:themeColor="text1"/>
          <w:sz w:val="24"/>
          <w:szCs w:val="24"/>
          <w:lang w:val="en-US"/>
        </w:rPr>
        <w:t xml:space="preserve">            </w:t>
      </w:r>
    </w:p>
    <w:p w14:paraId="4F36345B" w14:textId="77777777" w:rsidR="0080559C" w:rsidRDefault="0080559C" w:rsidP="00DC4DBD">
      <w:pPr>
        <w:rPr>
          <w:rFonts w:ascii="Times New Roman" w:hAnsi="Times New Roman" w:cs="Times New Roman"/>
          <w:b/>
          <w:color w:val="000000" w:themeColor="text1"/>
          <w:sz w:val="24"/>
          <w:szCs w:val="24"/>
          <w:lang w:val="en-US"/>
        </w:rPr>
      </w:pPr>
    </w:p>
    <w:p w14:paraId="1CA32FF2" w14:textId="732B4E82" w:rsidR="00F6313E" w:rsidRDefault="004D4D39" w:rsidP="00DC4DBD">
      <w:pPr>
        <w:rPr>
          <w:rFonts w:ascii="Times New Roman" w:hAnsi="Times New Roman" w:cs="Times New Roman"/>
          <w:b/>
          <w:sz w:val="24"/>
          <w:szCs w:val="24"/>
        </w:rPr>
      </w:pPr>
      <w:r w:rsidRPr="00ED7784">
        <w:rPr>
          <w:rFonts w:ascii="Times New Roman" w:hAnsi="Times New Roman" w:cs="Times New Roman"/>
          <w:b/>
          <w:color w:val="000000" w:themeColor="text1"/>
          <w:sz w:val="24"/>
          <w:szCs w:val="24"/>
          <w:lang w:val="en-US"/>
        </w:rPr>
        <w:lastRenderedPageBreak/>
        <w:t xml:space="preserve">  </w:t>
      </w:r>
      <w:r w:rsidR="00D5594B" w:rsidRPr="00ED7784">
        <w:rPr>
          <w:rFonts w:ascii="Times New Roman" w:hAnsi="Times New Roman" w:cs="Times New Roman"/>
          <w:b/>
          <w:color w:val="000000" w:themeColor="text1"/>
          <w:sz w:val="24"/>
          <w:szCs w:val="24"/>
          <w:lang w:val="en-US"/>
        </w:rPr>
        <w:t xml:space="preserve">  </w:t>
      </w:r>
      <w:r w:rsidRPr="00ED7784">
        <w:rPr>
          <w:rFonts w:ascii="Times New Roman" w:hAnsi="Times New Roman" w:cs="Times New Roman"/>
          <w:b/>
          <w:color w:val="000000" w:themeColor="text1"/>
          <w:sz w:val="24"/>
          <w:szCs w:val="24"/>
          <w:lang w:val="en-US"/>
        </w:rPr>
        <w:t xml:space="preserve"> </w:t>
      </w:r>
      <w:r w:rsidR="009C5489">
        <w:rPr>
          <w:rFonts w:ascii="Times New Roman" w:hAnsi="Times New Roman" w:cs="Times New Roman"/>
          <w:b/>
          <w:color w:val="000000" w:themeColor="text1"/>
          <w:sz w:val="24"/>
          <w:szCs w:val="24"/>
          <w:lang w:val="sr-Cyrl-CS"/>
        </w:rPr>
        <w:t xml:space="preserve">     </w:t>
      </w:r>
      <w:r w:rsidR="005E5329" w:rsidRPr="00541B73">
        <w:rPr>
          <w:rFonts w:ascii="Times New Roman" w:hAnsi="Times New Roman" w:cs="Times New Roman"/>
          <w:b/>
          <w:sz w:val="24"/>
          <w:szCs w:val="24"/>
        </w:rPr>
        <w:t>Слика</w:t>
      </w:r>
      <w:r w:rsidR="009D4AE2" w:rsidRPr="00541B73">
        <w:rPr>
          <w:rFonts w:ascii="Times New Roman" w:hAnsi="Times New Roman" w:cs="Times New Roman"/>
          <w:b/>
          <w:sz w:val="24"/>
          <w:szCs w:val="24"/>
        </w:rPr>
        <w:t xml:space="preserve"> </w:t>
      </w:r>
      <w:r w:rsidR="008762D1">
        <w:rPr>
          <w:rFonts w:ascii="Times New Roman" w:hAnsi="Times New Roman" w:cs="Times New Roman"/>
          <w:b/>
          <w:sz w:val="24"/>
          <w:szCs w:val="24"/>
        </w:rPr>
        <w:t>5</w:t>
      </w:r>
    </w:p>
    <w:p w14:paraId="6FD8B43C" w14:textId="6E7B5726" w:rsidR="00F6313E" w:rsidRPr="00453342" w:rsidRDefault="00F74534" w:rsidP="00F74534">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sr-Cyrl-RS" w:eastAsia="sr-Cyrl-RS"/>
        </w:rPr>
        <w:drawing>
          <wp:inline distT="0" distB="0" distL="0" distR="0" wp14:anchorId="6BA1896D" wp14:editId="383DB966">
            <wp:extent cx="6485890" cy="3523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5890" cy="3523615"/>
                    </a:xfrm>
                    <a:prstGeom prst="rect">
                      <a:avLst/>
                    </a:prstGeom>
                    <a:noFill/>
                  </pic:spPr>
                </pic:pic>
              </a:graphicData>
            </a:graphic>
          </wp:inline>
        </w:drawing>
      </w:r>
      <w:bookmarkStart w:id="3" w:name="_MON_1581418678"/>
      <w:bookmarkStart w:id="4" w:name="_MON_1581418766"/>
      <w:bookmarkStart w:id="5" w:name="_MON_1518850465"/>
      <w:bookmarkEnd w:id="3"/>
      <w:bookmarkEnd w:id="4"/>
      <w:bookmarkEnd w:id="5"/>
    </w:p>
    <w:p w14:paraId="56C86622" w14:textId="53707237" w:rsidR="005E5329" w:rsidRDefault="00453342" w:rsidP="0034355D">
      <w:pPr>
        <w:rPr>
          <w:rFonts w:ascii="Times New Roman" w:hAnsi="Times New Roman" w:cs="Times New Roman"/>
          <w:b/>
          <w:sz w:val="24"/>
          <w:szCs w:val="24"/>
        </w:rPr>
      </w:pPr>
      <w:r>
        <w:rPr>
          <w:rFonts w:ascii="Times New Roman" w:hAnsi="Times New Roman" w:cs="Times New Roman"/>
          <w:b/>
          <w:color w:val="FF0000"/>
          <w:sz w:val="24"/>
          <w:szCs w:val="24"/>
          <w:lang w:val="sr-Cyrl-CS"/>
        </w:rPr>
        <w:t xml:space="preserve">        </w:t>
      </w:r>
      <w:r w:rsidR="009C5489">
        <w:rPr>
          <w:rFonts w:ascii="Times New Roman" w:hAnsi="Times New Roman" w:cs="Times New Roman"/>
          <w:b/>
          <w:color w:val="FF0000"/>
          <w:sz w:val="24"/>
          <w:szCs w:val="24"/>
          <w:lang w:val="sr-Cyrl-CS"/>
        </w:rPr>
        <w:t xml:space="preserve"> </w:t>
      </w:r>
      <w:r w:rsidR="005E5329" w:rsidRPr="00541B73">
        <w:rPr>
          <w:rFonts w:ascii="Times New Roman" w:hAnsi="Times New Roman" w:cs="Times New Roman"/>
          <w:b/>
          <w:sz w:val="24"/>
          <w:szCs w:val="24"/>
        </w:rPr>
        <w:t xml:space="preserve">Слика  </w:t>
      </w:r>
      <w:bookmarkStart w:id="6" w:name="_MON_1454937143"/>
      <w:bookmarkEnd w:id="6"/>
      <w:r w:rsidR="008762D1">
        <w:rPr>
          <w:rFonts w:ascii="Times New Roman" w:hAnsi="Times New Roman" w:cs="Times New Roman"/>
          <w:b/>
          <w:sz w:val="24"/>
          <w:szCs w:val="24"/>
        </w:rPr>
        <w:t>6</w:t>
      </w:r>
    </w:p>
    <w:p w14:paraId="4BE07584" w14:textId="5443CB8A" w:rsidR="00F74534" w:rsidRPr="00541B73" w:rsidRDefault="00F74534" w:rsidP="00F74534">
      <w:pPr>
        <w:jc w:val="center"/>
        <w:rPr>
          <w:rFonts w:ascii="Times New Roman" w:hAnsi="Times New Roman" w:cs="Times New Roman"/>
          <w:b/>
          <w:sz w:val="24"/>
          <w:szCs w:val="24"/>
        </w:rPr>
      </w:pPr>
      <w:r>
        <w:rPr>
          <w:rFonts w:ascii="Times New Roman" w:hAnsi="Times New Roman" w:cs="Times New Roman"/>
          <w:b/>
          <w:sz w:val="24"/>
          <w:szCs w:val="24"/>
          <w:lang w:val="sr-Cyrl-CS"/>
        </w:rPr>
        <w:t xml:space="preserve"> </w:t>
      </w:r>
      <w:r>
        <w:rPr>
          <w:rFonts w:ascii="Times New Roman" w:hAnsi="Times New Roman" w:cs="Times New Roman"/>
          <w:b/>
          <w:noProof/>
          <w:sz w:val="24"/>
          <w:szCs w:val="24"/>
          <w:lang w:val="sr-Cyrl-RS" w:eastAsia="sr-Cyrl-RS"/>
        </w:rPr>
        <w:drawing>
          <wp:inline distT="0" distB="0" distL="0" distR="0" wp14:anchorId="24B004AA" wp14:editId="0E8AB958">
            <wp:extent cx="6466840" cy="3305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6840" cy="3305175"/>
                    </a:xfrm>
                    <a:prstGeom prst="rect">
                      <a:avLst/>
                    </a:prstGeom>
                    <a:noFill/>
                  </pic:spPr>
                </pic:pic>
              </a:graphicData>
            </a:graphic>
          </wp:inline>
        </w:drawing>
      </w:r>
    </w:p>
    <w:p w14:paraId="61031C36" w14:textId="2E2C0744" w:rsidR="005E5329" w:rsidRPr="005E5329" w:rsidRDefault="005E5329" w:rsidP="000D2B50">
      <w:pPr>
        <w:jc w:val="center"/>
        <w:rPr>
          <w:rFonts w:ascii="Times New Roman" w:hAnsi="Times New Roman" w:cs="Times New Roman"/>
          <w:sz w:val="24"/>
          <w:szCs w:val="24"/>
        </w:rPr>
      </w:pPr>
      <w:bookmarkStart w:id="7" w:name="_MON_1518506070"/>
      <w:bookmarkEnd w:id="7"/>
    </w:p>
    <w:p w14:paraId="1D53EFF0" w14:textId="1E4CA6E9" w:rsidR="002910F7" w:rsidRDefault="005E5329" w:rsidP="005E5329">
      <w:pPr>
        <w:jc w:val="both"/>
        <w:rPr>
          <w:rFonts w:ascii="Times New Roman" w:hAnsi="Times New Roman" w:cs="Times New Roman"/>
          <w:sz w:val="24"/>
          <w:szCs w:val="24"/>
        </w:rPr>
      </w:pPr>
      <w:r w:rsidRPr="005E5329">
        <w:rPr>
          <w:rFonts w:ascii="Times New Roman" w:hAnsi="Times New Roman" w:cs="Times New Roman"/>
          <w:sz w:val="24"/>
          <w:szCs w:val="24"/>
        </w:rPr>
        <w:t xml:space="preserve">Следеће важно питање везано за преговарачки поступак без објављивања </w:t>
      </w:r>
      <w:r w:rsidR="005D7B21">
        <w:rPr>
          <w:rFonts w:ascii="Times New Roman" w:hAnsi="Times New Roman" w:cs="Times New Roman"/>
          <w:sz w:val="24"/>
          <w:szCs w:val="24"/>
        </w:rPr>
        <w:t xml:space="preserve">позива за подношење понуда </w:t>
      </w:r>
      <w:r w:rsidRPr="005E5329">
        <w:rPr>
          <w:rFonts w:ascii="Times New Roman" w:hAnsi="Times New Roman" w:cs="Times New Roman"/>
          <w:sz w:val="24"/>
          <w:szCs w:val="24"/>
        </w:rPr>
        <w:t>јесте како је његово учешће распоређено по категоријама наручилаца. Другим речима, б</w:t>
      </w:r>
      <w:r w:rsidR="00F8262C">
        <w:rPr>
          <w:rFonts w:ascii="Times New Roman" w:hAnsi="Times New Roman" w:cs="Times New Roman"/>
          <w:sz w:val="24"/>
          <w:szCs w:val="24"/>
        </w:rPr>
        <w:t>итно је да се сагледа које категорије наручилаца су највише примењивале</w:t>
      </w:r>
      <w:r w:rsidRPr="005E5329">
        <w:rPr>
          <w:rFonts w:ascii="Times New Roman" w:hAnsi="Times New Roman" w:cs="Times New Roman"/>
          <w:sz w:val="24"/>
          <w:szCs w:val="24"/>
        </w:rPr>
        <w:t xml:space="preserve"> ова</w:t>
      </w:r>
      <w:r w:rsidR="00192624">
        <w:rPr>
          <w:rFonts w:ascii="Times New Roman" w:hAnsi="Times New Roman" w:cs="Times New Roman"/>
          <w:sz w:val="24"/>
          <w:szCs w:val="24"/>
        </w:rPr>
        <w:t xml:space="preserve">ј </w:t>
      </w:r>
      <w:r w:rsidRPr="005E5329">
        <w:rPr>
          <w:rFonts w:ascii="Times New Roman" w:hAnsi="Times New Roman" w:cs="Times New Roman"/>
          <w:sz w:val="24"/>
          <w:szCs w:val="24"/>
        </w:rPr>
        <w:t>поступ</w:t>
      </w:r>
      <w:r w:rsidR="00192624">
        <w:rPr>
          <w:rFonts w:ascii="Times New Roman" w:hAnsi="Times New Roman" w:cs="Times New Roman"/>
          <w:sz w:val="24"/>
          <w:szCs w:val="24"/>
        </w:rPr>
        <w:t>ак</w:t>
      </w:r>
      <w:r w:rsidR="001C4431">
        <w:rPr>
          <w:rFonts w:ascii="Times New Roman" w:hAnsi="Times New Roman" w:cs="Times New Roman"/>
          <w:sz w:val="24"/>
          <w:szCs w:val="24"/>
        </w:rPr>
        <w:t xml:space="preserve"> (Табела 11</w:t>
      </w:r>
      <w:r w:rsidR="009B750B">
        <w:rPr>
          <w:rFonts w:ascii="Times New Roman" w:hAnsi="Times New Roman" w:cs="Times New Roman"/>
          <w:sz w:val="24"/>
          <w:szCs w:val="24"/>
        </w:rPr>
        <w:t>).</w:t>
      </w:r>
    </w:p>
    <w:p w14:paraId="61AEBA17" w14:textId="2FA0AE43" w:rsidR="005E5329" w:rsidRPr="001C4431" w:rsidRDefault="009C5489" w:rsidP="005E5329">
      <w:pPr>
        <w:jc w:val="both"/>
        <w:rPr>
          <w:rFonts w:ascii="Times New Roman" w:hAnsi="Times New Roman" w:cs="Times New Roman"/>
          <w:b/>
          <w:sz w:val="24"/>
          <w:szCs w:val="24"/>
          <w:lang w:val="sr-Cyrl-RS"/>
        </w:rPr>
      </w:pPr>
      <w:r>
        <w:rPr>
          <w:rFonts w:ascii="Times New Roman" w:hAnsi="Times New Roman" w:cs="Times New Roman"/>
          <w:b/>
          <w:sz w:val="24"/>
          <w:szCs w:val="24"/>
          <w:lang w:val="sr-Cyrl-CS"/>
        </w:rPr>
        <w:lastRenderedPageBreak/>
        <w:t xml:space="preserve">        </w:t>
      </w:r>
      <w:r w:rsidR="001C4431">
        <w:rPr>
          <w:rFonts w:ascii="Times New Roman" w:hAnsi="Times New Roman" w:cs="Times New Roman"/>
          <w:b/>
          <w:sz w:val="24"/>
          <w:szCs w:val="24"/>
        </w:rPr>
        <w:t>Табела 1</w:t>
      </w:r>
      <w:r w:rsidR="001C4431">
        <w:rPr>
          <w:rFonts w:ascii="Times New Roman" w:hAnsi="Times New Roman" w:cs="Times New Roman"/>
          <w:b/>
          <w:sz w:val="24"/>
          <w:szCs w:val="24"/>
          <w:lang w:val="sr-Cyrl-RS"/>
        </w:rPr>
        <w:t>1</w:t>
      </w:r>
    </w:p>
    <w:tbl>
      <w:tblPr>
        <w:tblStyle w:val="TableGrid1"/>
        <w:tblW w:w="10477" w:type="dxa"/>
        <w:jc w:val="center"/>
        <w:tblLayout w:type="fixed"/>
        <w:tblLook w:val="04A0" w:firstRow="1" w:lastRow="0" w:firstColumn="1" w:lastColumn="0" w:noHBand="0" w:noVBand="1"/>
      </w:tblPr>
      <w:tblGrid>
        <w:gridCol w:w="2268"/>
        <w:gridCol w:w="1134"/>
        <w:gridCol w:w="640"/>
        <w:gridCol w:w="1567"/>
        <w:gridCol w:w="616"/>
        <w:gridCol w:w="1288"/>
        <w:gridCol w:w="696"/>
        <w:gridCol w:w="1559"/>
        <w:gridCol w:w="709"/>
      </w:tblGrid>
      <w:tr w:rsidR="000848C9" w:rsidRPr="00EF6DFD" w14:paraId="024FFF5A" w14:textId="77777777" w:rsidTr="00F656C4">
        <w:trPr>
          <w:trHeight w:val="708"/>
          <w:jc w:val="center"/>
        </w:trPr>
        <w:tc>
          <w:tcPr>
            <w:tcW w:w="10477" w:type="dxa"/>
            <w:gridSpan w:val="9"/>
            <w:vAlign w:val="center"/>
          </w:tcPr>
          <w:p w14:paraId="7069ACF2" w14:textId="77777777" w:rsidR="000848C9" w:rsidRDefault="000848C9" w:rsidP="00F656C4">
            <w:pPr>
              <w:jc w:val="center"/>
              <w:rPr>
                <w:rFonts w:ascii="Times New Roman" w:hAnsi="Times New Roman" w:cs="Times New Roman"/>
                <w:b/>
                <w:sz w:val="28"/>
                <w:szCs w:val="28"/>
                <w:lang w:val="sr-Cyrl-CS"/>
              </w:rPr>
            </w:pPr>
            <w:r w:rsidRPr="00EA06DC">
              <w:rPr>
                <w:rFonts w:ascii="Times New Roman" w:hAnsi="Times New Roman" w:cs="Times New Roman"/>
                <w:b/>
                <w:sz w:val="28"/>
                <w:szCs w:val="28"/>
                <w:lang w:val="sr-Cyrl-CS"/>
              </w:rPr>
              <w:t>Упоредни преглед бројчане и вредносне структуре</w:t>
            </w:r>
            <w:r>
              <w:rPr>
                <w:rFonts w:ascii="Times New Roman" w:hAnsi="Times New Roman" w:cs="Times New Roman"/>
                <w:b/>
                <w:sz w:val="28"/>
                <w:szCs w:val="28"/>
                <w:lang w:val="sr-Cyrl-CS"/>
              </w:rPr>
              <w:t xml:space="preserve"> </w:t>
            </w:r>
          </w:p>
          <w:p w14:paraId="211CA140" w14:textId="77777777" w:rsidR="000848C9" w:rsidRDefault="000848C9" w:rsidP="00F656C4">
            <w:pPr>
              <w:jc w:val="center"/>
              <w:rPr>
                <w:rFonts w:ascii="Times New Roman" w:hAnsi="Times New Roman" w:cs="Times New Roman"/>
                <w:b/>
                <w:sz w:val="28"/>
                <w:szCs w:val="28"/>
                <w:lang w:val="sr-Cyrl-CS"/>
              </w:rPr>
            </w:pPr>
            <w:r w:rsidRPr="00EA06DC">
              <w:rPr>
                <w:rFonts w:ascii="Times New Roman" w:hAnsi="Times New Roman" w:cs="Times New Roman"/>
                <w:b/>
                <w:sz w:val="28"/>
                <w:szCs w:val="28"/>
                <w:lang w:val="sr-Cyrl-CS"/>
              </w:rPr>
              <w:t>преговарачког поступка без објављивања позива</w:t>
            </w:r>
            <w:r>
              <w:rPr>
                <w:rFonts w:ascii="Times New Roman" w:hAnsi="Times New Roman" w:cs="Times New Roman"/>
                <w:b/>
                <w:sz w:val="28"/>
                <w:szCs w:val="28"/>
                <w:lang w:val="sr-Cyrl-CS"/>
              </w:rPr>
              <w:t xml:space="preserve"> за подношење понуда </w:t>
            </w:r>
          </w:p>
          <w:p w14:paraId="6262C5ED" w14:textId="77777777" w:rsidR="000848C9" w:rsidRPr="00EA06DC" w:rsidRDefault="000848C9" w:rsidP="00F656C4">
            <w:pPr>
              <w:jc w:val="center"/>
              <w:rPr>
                <w:rFonts w:ascii="Times New Roman" w:hAnsi="Times New Roman" w:cs="Times New Roman"/>
                <w:b/>
                <w:sz w:val="28"/>
                <w:szCs w:val="28"/>
                <w:lang w:val="sr-Cyrl-CS"/>
              </w:rPr>
            </w:pPr>
            <w:r w:rsidRPr="00EA06DC">
              <w:rPr>
                <w:rFonts w:ascii="Times New Roman" w:hAnsi="Times New Roman" w:cs="Times New Roman"/>
                <w:b/>
                <w:sz w:val="28"/>
                <w:szCs w:val="28"/>
                <w:lang w:val="sr-Cyrl-CS"/>
              </w:rPr>
              <w:t>по категоријама наручилаца</w:t>
            </w:r>
          </w:p>
        </w:tc>
      </w:tr>
      <w:tr w:rsidR="000848C9" w:rsidRPr="00EF6DFD" w14:paraId="31C3A6E5" w14:textId="77777777" w:rsidTr="00F656C4">
        <w:trPr>
          <w:jc w:val="center"/>
        </w:trPr>
        <w:tc>
          <w:tcPr>
            <w:tcW w:w="2268" w:type="dxa"/>
            <w:vAlign w:val="center"/>
          </w:tcPr>
          <w:p w14:paraId="5203C289"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Период</w:t>
            </w:r>
          </w:p>
        </w:tc>
        <w:tc>
          <w:tcPr>
            <w:tcW w:w="3957" w:type="dxa"/>
            <w:gridSpan w:val="4"/>
            <w:vAlign w:val="center"/>
          </w:tcPr>
          <w:p w14:paraId="754AED5E"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201</w:t>
            </w:r>
            <w:r w:rsidRPr="00EF6DFD">
              <w:rPr>
                <w:rFonts w:ascii="Times New Roman" w:hAnsi="Times New Roman" w:cs="Times New Roman"/>
                <w:b/>
                <w:sz w:val="24"/>
                <w:szCs w:val="24"/>
                <w:lang w:val="en-US"/>
              </w:rPr>
              <w:t>8</w:t>
            </w:r>
            <w:r w:rsidRPr="00EF6DFD">
              <w:rPr>
                <w:rFonts w:ascii="Times New Roman" w:hAnsi="Times New Roman" w:cs="Times New Roman"/>
                <w:b/>
                <w:sz w:val="24"/>
                <w:szCs w:val="24"/>
                <w:lang w:val="sr-Cyrl-CS"/>
              </w:rPr>
              <w:t>.</w:t>
            </w:r>
            <w:r w:rsidRPr="00EF6DFD">
              <w:rPr>
                <w:rFonts w:ascii="Times New Roman" w:hAnsi="Times New Roman" w:cs="Times New Roman"/>
                <w:b/>
                <w:sz w:val="24"/>
                <w:szCs w:val="24"/>
              </w:rPr>
              <w:t xml:space="preserve"> година</w:t>
            </w:r>
          </w:p>
        </w:tc>
        <w:tc>
          <w:tcPr>
            <w:tcW w:w="4252" w:type="dxa"/>
            <w:gridSpan w:val="4"/>
            <w:vAlign w:val="center"/>
          </w:tcPr>
          <w:p w14:paraId="568119B2"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201</w:t>
            </w:r>
            <w:r>
              <w:rPr>
                <w:rFonts w:ascii="Times New Roman" w:hAnsi="Times New Roman" w:cs="Times New Roman"/>
                <w:b/>
                <w:sz w:val="24"/>
                <w:szCs w:val="24"/>
                <w:lang w:val="sr-Cyrl-RS"/>
              </w:rPr>
              <w:t>9</w:t>
            </w:r>
            <w:r w:rsidRPr="00EF6DFD">
              <w:rPr>
                <w:rFonts w:ascii="Times New Roman" w:hAnsi="Times New Roman" w:cs="Times New Roman"/>
                <w:b/>
                <w:sz w:val="24"/>
                <w:szCs w:val="24"/>
                <w:lang w:val="sr-Cyrl-CS"/>
              </w:rPr>
              <w:t>.</w:t>
            </w:r>
            <w:r w:rsidRPr="00EF6DFD">
              <w:rPr>
                <w:rFonts w:ascii="Times New Roman" w:hAnsi="Times New Roman" w:cs="Times New Roman"/>
                <w:b/>
                <w:sz w:val="24"/>
                <w:szCs w:val="24"/>
              </w:rPr>
              <w:t xml:space="preserve"> година</w:t>
            </w:r>
          </w:p>
        </w:tc>
      </w:tr>
      <w:tr w:rsidR="000848C9" w:rsidRPr="00EF6DFD" w14:paraId="78B7EFCC" w14:textId="77777777" w:rsidTr="00F656C4">
        <w:trPr>
          <w:jc w:val="center"/>
        </w:trPr>
        <w:tc>
          <w:tcPr>
            <w:tcW w:w="2268" w:type="dxa"/>
            <w:vAlign w:val="center"/>
          </w:tcPr>
          <w:p w14:paraId="39E661E1"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Категорија</w:t>
            </w:r>
          </w:p>
        </w:tc>
        <w:tc>
          <w:tcPr>
            <w:tcW w:w="1134" w:type="dxa"/>
            <w:vAlign w:val="center"/>
          </w:tcPr>
          <w:p w14:paraId="5645C18A"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Број</w:t>
            </w:r>
          </w:p>
          <w:p w14:paraId="4D1EABF1" w14:textId="139BBCBD" w:rsidR="000848C9" w:rsidRPr="00EF6DFD" w:rsidRDefault="007D2B3B" w:rsidP="00F656C4">
            <w:pPr>
              <w:jc w:val="center"/>
              <w:rPr>
                <w:rFonts w:ascii="Times New Roman" w:hAnsi="Times New Roman" w:cs="Times New Roman"/>
                <w:b/>
                <w:sz w:val="24"/>
                <w:szCs w:val="24"/>
              </w:rPr>
            </w:pPr>
            <w:r>
              <w:rPr>
                <w:rFonts w:ascii="Times New Roman" w:hAnsi="Times New Roman" w:cs="Times New Roman"/>
                <w:b/>
                <w:sz w:val="24"/>
                <w:szCs w:val="24"/>
              </w:rPr>
              <w:t>у</w:t>
            </w:r>
            <w:r w:rsidR="000848C9" w:rsidRPr="00EF6DFD">
              <w:rPr>
                <w:rFonts w:ascii="Times New Roman" w:hAnsi="Times New Roman" w:cs="Times New Roman"/>
                <w:b/>
                <w:sz w:val="24"/>
                <w:szCs w:val="24"/>
              </w:rPr>
              <w:t>говора</w:t>
            </w:r>
          </w:p>
        </w:tc>
        <w:tc>
          <w:tcPr>
            <w:tcW w:w="640" w:type="dxa"/>
            <w:vAlign w:val="center"/>
          </w:tcPr>
          <w:p w14:paraId="2CB70A1A"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w:t>
            </w:r>
          </w:p>
        </w:tc>
        <w:tc>
          <w:tcPr>
            <w:tcW w:w="1567" w:type="dxa"/>
            <w:vAlign w:val="center"/>
          </w:tcPr>
          <w:p w14:paraId="050B6137"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Уговорена</w:t>
            </w:r>
          </w:p>
          <w:p w14:paraId="209D1F53"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вредност</w:t>
            </w:r>
          </w:p>
          <w:p w14:paraId="46C76A4D"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без ПДВ-а*</w:t>
            </w:r>
          </w:p>
        </w:tc>
        <w:tc>
          <w:tcPr>
            <w:tcW w:w="616" w:type="dxa"/>
            <w:vAlign w:val="center"/>
          </w:tcPr>
          <w:p w14:paraId="6B45D9D2"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w:t>
            </w:r>
          </w:p>
        </w:tc>
        <w:tc>
          <w:tcPr>
            <w:tcW w:w="1288" w:type="dxa"/>
            <w:vAlign w:val="center"/>
          </w:tcPr>
          <w:p w14:paraId="71C242EC"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Број</w:t>
            </w:r>
          </w:p>
          <w:p w14:paraId="448E5ED5" w14:textId="6D82FC5E" w:rsidR="000848C9" w:rsidRPr="00EF6DFD" w:rsidRDefault="007D2B3B" w:rsidP="00F656C4">
            <w:pPr>
              <w:jc w:val="center"/>
              <w:rPr>
                <w:rFonts w:ascii="Times New Roman" w:hAnsi="Times New Roman" w:cs="Times New Roman"/>
                <w:b/>
                <w:sz w:val="24"/>
                <w:szCs w:val="24"/>
              </w:rPr>
            </w:pPr>
            <w:r>
              <w:rPr>
                <w:rFonts w:ascii="Times New Roman" w:hAnsi="Times New Roman" w:cs="Times New Roman"/>
                <w:b/>
                <w:sz w:val="24"/>
                <w:szCs w:val="24"/>
              </w:rPr>
              <w:t>у</w:t>
            </w:r>
            <w:r w:rsidR="000848C9" w:rsidRPr="00EF6DFD">
              <w:rPr>
                <w:rFonts w:ascii="Times New Roman" w:hAnsi="Times New Roman" w:cs="Times New Roman"/>
                <w:b/>
                <w:sz w:val="24"/>
                <w:szCs w:val="24"/>
              </w:rPr>
              <w:t>говора</w:t>
            </w:r>
          </w:p>
        </w:tc>
        <w:tc>
          <w:tcPr>
            <w:tcW w:w="696" w:type="dxa"/>
            <w:vAlign w:val="center"/>
          </w:tcPr>
          <w:p w14:paraId="24D8D80A"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w:t>
            </w:r>
          </w:p>
        </w:tc>
        <w:tc>
          <w:tcPr>
            <w:tcW w:w="1559" w:type="dxa"/>
            <w:vAlign w:val="center"/>
          </w:tcPr>
          <w:p w14:paraId="2DE4B620"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Уговорена</w:t>
            </w:r>
          </w:p>
          <w:p w14:paraId="3A2BAFD5"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вредност</w:t>
            </w:r>
          </w:p>
          <w:p w14:paraId="39055FC9"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без ПДВ-а*</w:t>
            </w:r>
          </w:p>
        </w:tc>
        <w:tc>
          <w:tcPr>
            <w:tcW w:w="709" w:type="dxa"/>
            <w:vAlign w:val="center"/>
          </w:tcPr>
          <w:p w14:paraId="1E3880F5"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w:t>
            </w:r>
          </w:p>
        </w:tc>
      </w:tr>
      <w:tr w:rsidR="000848C9" w:rsidRPr="00EF6DFD" w14:paraId="1147CD86" w14:textId="77777777" w:rsidTr="00F656C4">
        <w:trPr>
          <w:jc w:val="center"/>
        </w:trPr>
        <w:tc>
          <w:tcPr>
            <w:tcW w:w="2268" w:type="dxa"/>
            <w:vAlign w:val="center"/>
          </w:tcPr>
          <w:p w14:paraId="4377592C"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Органи државне управе</w:t>
            </w:r>
          </w:p>
        </w:tc>
        <w:tc>
          <w:tcPr>
            <w:tcW w:w="1134" w:type="dxa"/>
            <w:vAlign w:val="center"/>
          </w:tcPr>
          <w:p w14:paraId="54A4D4C2"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289</w:t>
            </w:r>
          </w:p>
        </w:tc>
        <w:tc>
          <w:tcPr>
            <w:tcW w:w="640" w:type="dxa"/>
            <w:vAlign w:val="center"/>
          </w:tcPr>
          <w:p w14:paraId="52830645"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13</w:t>
            </w:r>
          </w:p>
        </w:tc>
        <w:tc>
          <w:tcPr>
            <w:tcW w:w="1567" w:type="dxa"/>
            <w:vAlign w:val="center"/>
          </w:tcPr>
          <w:p w14:paraId="07945F35"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2.346.254</w:t>
            </w:r>
          </w:p>
        </w:tc>
        <w:tc>
          <w:tcPr>
            <w:tcW w:w="616" w:type="dxa"/>
            <w:vAlign w:val="center"/>
          </w:tcPr>
          <w:p w14:paraId="62153B6F"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24</w:t>
            </w:r>
          </w:p>
        </w:tc>
        <w:tc>
          <w:tcPr>
            <w:tcW w:w="1288" w:type="dxa"/>
            <w:vAlign w:val="center"/>
          </w:tcPr>
          <w:p w14:paraId="63960097" w14:textId="77777777" w:rsidR="000848C9" w:rsidRPr="00300258" w:rsidRDefault="000848C9" w:rsidP="00F656C4">
            <w:pPr>
              <w:jc w:val="center"/>
              <w:rPr>
                <w:rFonts w:ascii="Times New Roman" w:hAnsi="Times New Roman" w:cs="Times New Roman"/>
                <w:sz w:val="24"/>
                <w:szCs w:val="24"/>
                <w:lang w:val="en-US"/>
              </w:rPr>
            </w:pPr>
            <w:r>
              <w:rPr>
                <w:rFonts w:ascii="Times New Roman" w:hAnsi="Times New Roman" w:cs="Times New Roman"/>
                <w:sz w:val="24"/>
                <w:szCs w:val="24"/>
                <w:lang w:val="en-US"/>
              </w:rPr>
              <w:t>287</w:t>
            </w:r>
          </w:p>
        </w:tc>
        <w:tc>
          <w:tcPr>
            <w:tcW w:w="696" w:type="dxa"/>
            <w:vAlign w:val="center"/>
          </w:tcPr>
          <w:p w14:paraId="0CA196F2"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1559" w:type="dxa"/>
            <w:vAlign w:val="center"/>
          </w:tcPr>
          <w:p w14:paraId="2E287F95" w14:textId="77777777" w:rsidR="000848C9" w:rsidRPr="00300258" w:rsidRDefault="000848C9" w:rsidP="00F656C4">
            <w:pPr>
              <w:jc w:val="center"/>
              <w:rPr>
                <w:rFonts w:ascii="Times New Roman" w:hAnsi="Times New Roman" w:cs="Times New Roman"/>
                <w:sz w:val="24"/>
                <w:szCs w:val="24"/>
                <w:lang w:val="en-US"/>
              </w:rPr>
            </w:pPr>
            <w:r>
              <w:rPr>
                <w:rFonts w:ascii="Times New Roman" w:hAnsi="Times New Roman" w:cs="Times New Roman"/>
                <w:sz w:val="24"/>
                <w:szCs w:val="24"/>
                <w:lang w:val="en-US"/>
              </w:rPr>
              <w:t>3.252.288</w:t>
            </w:r>
          </w:p>
        </w:tc>
        <w:tc>
          <w:tcPr>
            <w:tcW w:w="709" w:type="dxa"/>
            <w:vAlign w:val="center"/>
          </w:tcPr>
          <w:p w14:paraId="62B33D69"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23</w:t>
            </w:r>
          </w:p>
        </w:tc>
      </w:tr>
      <w:tr w:rsidR="000848C9" w:rsidRPr="00EF6DFD" w14:paraId="028FF430" w14:textId="77777777" w:rsidTr="00F656C4">
        <w:trPr>
          <w:jc w:val="center"/>
        </w:trPr>
        <w:tc>
          <w:tcPr>
            <w:tcW w:w="2268" w:type="dxa"/>
            <w:vAlign w:val="center"/>
          </w:tcPr>
          <w:p w14:paraId="0AA44222"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Правосуђе</w:t>
            </w:r>
          </w:p>
        </w:tc>
        <w:tc>
          <w:tcPr>
            <w:tcW w:w="1134" w:type="dxa"/>
            <w:vAlign w:val="center"/>
          </w:tcPr>
          <w:p w14:paraId="5A89CB85"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6</w:t>
            </w:r>
          </w:p>
        </w:tc>
        <w:tc>
          <w:tcPr>
            <w:tcW w:w="640" w:type="dxa"/>
            <w:vAlign w:val="center"/>
          </w:tcPr>
          <w:p w14:paraId="73519DDB"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1567" w:type="dxa"/>
            <w:vAlign w:val="center"/>
          </w:tcPr>
          <w:p w14:paraId="1D21D405"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2.192</w:t>
            </w:r>
          </w:p>
        </w:tc>
        <w:tc>
          <w:tcPr>
            <w:tcW w:w="616" w:type="dxa"/>
            <w:vAlign w:val="center"/>
          </w:tcPr>
          <w:p w14:paraId="35CF883A"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1288" w:type="dxa"/>
            <w:vAlign w:val="center"/>
          </w:tcPr>
          <w:p w14:paraId="75A9ECB0"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696" w:type="dxa"/>
            <w:vAlign w:val="center"/>
          </w:tcPr>
          <w:p w14:paraId="12EA110E"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1559" w:type="dxa"/>
            <w:vAlign w:val="center"/>
          </w:tcPr>
          <w:p w14:paraId="389CF5F7"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16.053</w:t>
            </w:r>
          </w:p>
        </w:tc>
        <w:tc>
          <w:tcPr>
            <w:tcW w:w="709" w:type="dxa"/>
            <w:vAlign w:val="center"/>
          </w:tcPr>
          <w:p w14:paraId="7894E130"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0</w:t>
            </w:r>
          </w:p>
        </w:tc>
      </w:tr>
      <w:tr w:rsidR="000848C9" w:rsidRPr="00EF6DFD" w14:paraId="765E0EB3" w14:textId="77777777" w:rsidTr="00F656C4">
        <w:trPr>
          <w:jc w:val="center"/>
        </w:trPr>
        <w:tc>
          <w:tcPr>
            <w:tcW w:w="2268" w:type="dxa"/>
            <w:vAlign w:val="center"/>
          </w:tcPr>
          <w:p w14:paraId="679791C1"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Здравство и социјална заштита</w:t>
            </w:r>
          </w:p>
        </w:tc>
        <w:tc>
          <w:tcPr>
            <w:tcW w:w="1134" w:type="dxa"/>
            <w:vAlign w:val="center"/>
          </w:tcPr>
          <w:p w14:paraId="3CBF7B6C"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699</w:t>
            </w:r>
          </w:p>
        </w:tc>
        <w:tc>
          <w:tcPr>
            <w:tcW w:w="640" w:type="dxa"/>
            <w:vAlign w:val="center"/>
          </w:tcPr>
          <w:p w14:paraId="18EEB4B4"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31</w:t>
            </w:r>
          </w:p>
        </w:tc>
        <w:tc>
          <w:tcPr>
            <w:tcW w:w="1567" w:type="dxa"/>
            <w:vAlign w:val="center"/>
          </w:tcPr>
          <w:p w14:paraId="18972866"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1.417.789</w:t>
            </w:r>
          </w:p>
        </w:tc>
        <w:tc>
          <w:tcPr>
            <w:tcW w:w="616" w:type="dxa"/>
            <w:vAlign w:val="center"/>
          </w:tcPr>
          <w:p w14:paraId="79F57DB5"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15</w:t>
            </w:r>
          </w:p>
        </w:tc>
        <w:tc>
          <w:tcPr>
            <w:tcW w:w="1288" w:type="dxa"/>
            <w:vAlign w:val="center"/>
          </w:tcPr>
          <w:p w14:paraId="59E492D8"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503</w:t>
            </w:r>
          </w:p>
        </w:tc>
        <w:tc>
          <w:tcPr>
            <w:tcW w:w="696" w:type="dxa"/>
            <w:vAlign w:val="center"/>
          </w:tcPr>
          <w:p w14:paraId="30E25FAE"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24</w:t>
            </w:r>
          </w:p>
        </w:tc>
        <w:tc>
          <w:tcPr>
            <w:tcW w:w="1559" w:type="dxa"/>
            <w:vAlign w:val="center"/>
          </w:tcPr>
          <w:p w14:paraId="777D6FAC"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1.082.203</w:t>
            </w:r>
          </w:p>
        </w:tc>
        <w:tc>
          <w:tcPr>
            <w:tcW w:w="709" w:type="dxa"/>
            <w:vAlign w:val="center"/>
          </w:tcPr>
          <w:p w14:paraId="2232150B"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r>
      <w:tr w:rsidR="000848C9" w:rsidRPr="00EF6DFD" w14:paraId="097C94E9" w14:textId="77777777" w:rsidTr="00F656C4">
        <w:trPr>
          <w:jc w:val="center"/>
        </w:trPr>
        <w:tc>
          <w:tcPr>
            <w:tcW w:w="2268" w:type="dxa"/>
            <w:vAlign w:val="center"/>
          </w:tcPr>
          <w:p w14:paraId="1166E2B7"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Култура</w:t>
            </w:r>
          </w:p>
        </w:tc>
        <w:tc>
          <w:tcPr>
            <w:tcW w:w="1134" w:type="dxa"/>
            <w:vAlign w:val="center"/>
          </w:tcPr>
          <w:p w14:paraId="3314395C"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457</w:t>
            </w:r>
          </w:p>
        </w:tc>
        <w:tc>
          <w:tcPr>
            <w:tcW w:w="640" w:type="dxa"/>
            <w:vAlign w:val="center"/>
          </w:tcPr>
          <w:p w14:paraId="29E93EB6"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20</w:t>
            </w:r>
          </w:p>
        </w:tc>
        <w:tc>
          <w:tcPr>
            <w:tcW w:w="1567" w:type="dxa"/>
            <w:vAlign w:val="center"/>
          </w:tcPr>
          <w:p w14:paraId="7417A01C"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620.029</w:t>
            </w:r>
          </w:p>
        </w:tc>
        <w:tc>
          <w:tcPr>
            <w:tcW w:w="616" w:type="dxa"/>
            <w:vAlign w:val="center"/>
          </w:tcPr>
          <w:p w14:paraId="496643C3"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6</w:t>
            </w:r>
          </w:p>
        </w:tc>
        <w:tc>
          <w:tcPr>
            <w:tcW w:w="1288" w:type="dxa"/>
            <w:vAlign w:val="center"/>
          </w:tcPr>
          <w:p w14:paraId="734277C3"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398</w:t>
            </w:r>
          </w:p>
        </w:tc>
        <w:tc>
          <w:tcPr>
            <w:tcW w:w="696" w:type="dxa"/>
            <w:vAlign w:val="center"/>
          </w:tcPr>
          <w:p w14:paraId="57F97192"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1559" w:type="dxa"/>
            <w:vAlign w:val="center"/>
          </w:tcPr>
          <w:p w14:paraId="1786C017"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493.740</w:t>
            </w:r>
          </w:p>
        </w:tc>
        <w:tc>
          <w:tcPr>
            <w:tcW w:w="709" w:type="dxa"/>
            <w:vAlign w:val="center"/>
          </w:tcPr>
          <w:p w14:paraId="2783E1DD"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r>
      <w:tr w:rsidR="000848C9" w:rsidRPr="00EF6DFD" w14:paraId="33777452" w14:textId="77777777" w:rsidTr="00F656C4">
        <w:trPr>
          <w:jc w:val="center"/>
        </w:trPr>
        <w:tc>
          <w:tcPr>
            <w:tcW w:w="2268" w:type="dxa"/>
            <w:vAlign w:val="center"/>
          </w:tcPr>
          <w:p w14:paraId="0B6955E9"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Просвета и наука</w:t>
            </w:r>
          </w:p>
        </w:tc>
        <w:tc>
          <w:tcPr>
            <w:tcW w:w="1134" w:type="dxa"/>
            <w:vAlign w:val="center"/>
          </w:tcPr>
          <w:p w14:paraId="63118603"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43</w:t>
            </w:r>
          </w:p>
        </w:tc>
        <w:tc>
          <w:tcPr>
            <w:tcW w:w="640" w:type="dxa"/>
            <w:vAlign w:val="center"/>
          </w:tcPr>
          <w:p w14:paraId="324F0E09"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w:t>
            </w:r>
          </w:p>
        </w:tc>
        <w:tc>
          <w:tcPr>
            <w:tcW w:w="1567" w:type="dxa"/>
            <w:vAlign w:val="center"/>
          </w:tcPr>
          <w:p w14:paraId="1DDA4D28"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56.708</w:t>
            </w:r>
          </w:p>
        </w:tc>
        <w:tc>
          <w:tcPr>
            <w:tcW w:w="616" w:type="dxa"/>
            <w:vAlign w:val="center"/>
          </w:tcPr>
          <w:p w14:paraId="5ACEC1DC"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1</w:t>
            </w:r>
          </w:p>
        </w:tc>
        <w:tc>
          <w:tcPr>
            <w:tcW w:w="1288" w:type="dxa"/>
            <w:vAlign w:val="center"/>
          </w:tcPr>
          <w:p w14:paraId="48EFF5F4"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tc>
        <w:tc>
          <w:tcPr>
            <w:tcW w:w="696" w:type="dxa"/>
            <w:vAlign w:val="center"/>
          </w:tcPr>
          <w:p w14:paraId="38BB7419"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1559" w:type="dxa"/>
            <w:vAlign w:val="center"/>
          </w:tcPr>
          <w:p w14:paraId="0A61B07D"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79.854</w:t>
            </w:r>
          </w:p>
        </w:tc>
        <w:tc>
          <w:tcPr>
            <w:tcW w:w="709" w:type="dxa"/>
            <w:vAlign w:val="center"/>
          </w:tcPr>
          <w:p w14:paraId="60BC50DF"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0848C9" w:rsidRPr="00EF6DFD" w14:paraId="27F40258" w14:textId="77777777" w:rsidTr="00F656C4">
        <w:trPr>
          <w:jc w:val="center"/>
        </w:trPr>
        <w:tc>
          <w:tcPr>
            <w:tcW w:w="2268" w:type="dxa"/>
            <w:vAlign w:val="center"/>
          </w:tcPr>
          <w:p w14:paraId="08B64A8E" w14:textId="77777777" w:rsidR="000848C9" w:rsidRPr="00300258" w:rsidRDefault="000848C9" w:rsidP="00F656C4">
            <w:pPr>
              <w:jc w:val="center"/>
              <w:rPr>
                <w:rFonts w:ascii="Times New Roman" w:hAnsi="Times New Roman" w:cs="Times New Roman"/>
                <w:b/>
                <w:sz w:val="24"/>
                <w:szCs w:val="24"/>
                <w:lang w:val="sr-Cyrl-RS"/>
              </w:rPr>
            </w:pPr>
            <w:r w:rsidRPr="00EF6DFD">
              <w:rPr>
                <w:rFonts w:ascii="Times New Roman" w:hAnsi="Times New Roman" w:cs="Times New Roman"/>
                <w:b/>
                <w:sz w:val="24"/>
                <w:szCs w:val="24"/>
              </w:rPr>
              <w:t>Државна јавна предузећа/привредна друштва</w:t>
            </w:r>
            <w:r>
              <w:rPr>
                <w:rFonts w:ascii="Times New Roman" w:hAnsi="Times New Roman" w:cs="Times New Roman"/>
                <w:b/>
                <w:sz w:val="24"/>
                <w:szCs w:val="24"/>
                <w:lang w:val="en-US"/>
              </w:rPr>
              <w:t>-</w:t>
            </w:r>
            <w:r>
              <w:rPr>
                <w:rFonts w:ascii="Times New Roman" w:hAnsi="Times New Roman" w:cs="Times New Roman"/>
                <w:b/>
                <w:sz w:val="24"/>
                <w:szCs w:val="24"/>
                <w:lang w:val="sr-Cyrl-RS"/>
              </w:rPr>
              <w:t>републички ниво</w:t>
            </w:r>
          </w:p>
        </w:tc>
        <w:tc>
          <w:tcPr>
            <w:tcW w:w="1134" w:type="dxa"/>
            <w:vAlign w:val="center"/>
          </w:tcPr>
          <w:p w14:paraId="5456D81E"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291</w:t>
            </w:r>
          </w:p>
        </w:tc>
        <w:tc>
          <w:tcPr>
            <w:tcW w:w="640" w:type="dxa"/>
            <w:vAlign w:val="center"/>
          </w:tcPr>
          <w:p w14:paraId="22ADC906"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13</w:t>
            </w:r>
          </w:p>
        </w:tc>
        <w:tc>
          <w:tcPr>
            <w:tcW w:w="1567" w:type="dxa"/>
            <w:vAlign w:val="center"/>
          </w:tcPr>
          <w:p w14:paraId="0005A1A8"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4.502.549</w:t>
            </w:r>
          </w:p>
        </w:tc>
        <w:tc>
          <w:tcPr>
            <w:tcW w:w="616" w:type="dxa"/>
            <w:vAlign w:val="center"/>
          </w:tcPr>
          <w:p w14:paraId="73175F87"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46</w:t>
            </w:r>
          </w:p>
        </w:tc>
        <w:tc>
          <w:tcPr>
            <w:tcW w:w="1288" w:type="dxa"/>
            <w:vAlign w:val="center"/>
          </w:tcPr>
          <w:p w14:paraId="62B8B268"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349</w:t>
            </w:r>
          </w:p>
        </w:tc>
        <w:tc>
          <w:tcPr>
            <w:tcW w:w="696" w:type="dxa"/>
            <w:vAlign w:val="center"/>
          </w:tcPr>
          <w:p w14:paraId="62A12ADA"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1559" w:type="dxa"/>
            <w:vAlign w:val="center"/>
          </w:tcPr>
          <w:p w14:paraId="5BF5DCB0"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7.858.546</w:t>
            </w:r>
          </w:p>
        </w:tc>
        <w:tc>
          <w:tcPr>
            <w:tcW w:w="709" w:type="dxa"/>
            <w:vAlign w:val="center"/>
          </w:tcPr>
          <w:p w14:paraId="02203092"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55</w:t>
            </w:r>
          </w:p>
        </w:tc>
      </w:tr>
      <w:tr w:rsidR="000848C9" w:rsidRPr="00EF6DFD" w14:paraId="30F8EFBC" w14:textId="77777777" w:rsidTr="00F656C4">
        <w:trPr>
          <w:jc w:val="center"/>
        </w:trPr>
        <w:tc>
          <w:tcPr>
            <w:tcW w:w="2268" w:type="dxa"/>
            <w:vAlign w:val="center"/>
          </w:tcPr>
          <w:p w14:paraId="570AB160"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Јавна предузећа-локална самоуправа</w:t>
            </w:r>
          </w:p>
        </w:tc>
        <w:tc>
          <w:tcPr>
            <w:tcW w:w="1134" w:type="dxa"/>
            <w:vAlign w:val="center"/>
          </w:tcPr>
          <w:p w14:paraId="5043A4B0"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101</w:t>
            </w:r>
          </w:p>
        </w:tc>
        <w:tc>
          <w:tcPr>
            <w:tcW w:w="640" w:type="dxa"/>
            <w:vAlign w:val="center"/>
          </w:tcPr>
          <w:p w14:paraId="4E11D498"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5</w:t>
            </w:r>
          </w:p>
        </w:tc>
        <w:tc>
          <w:tcPr>
            <w:tcW w:w="1567" w:type="dxa"/>
            <w:vAlign w:val="center"/>
          </w:tcPr>
          <w:p w14:paraId="1D15B133"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238.227</w:t>
            </w:r>
          </w:p>
        </w:tc>
        <w:tc>
          <w:tcPr>
            <w:tcW w:w="616" w:type="dxa"/>
            <w:vAlign w:val="center"/>
          </w:tcPr>
          <w:p w14:paraId="643BAD2B"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2</w:t>
            </w:r>
          </w:p>
        </w:tc>
        <w:tc>
          <w:tcPr>
            <w:tcW w:w="1288" w:type="dxa"/>
            <w:vAlign w:val="center"/>
          </w:tcPr>
          <w:p w14:paraId="606F3AF0"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89</w:t>
            </w:r>
          </w:p>
        </w:tc>
        <w:tc>
          <w:tcPr>
            <w:tcW w:w="696" w:type="dxa"/>
            <w:vAlign w:val="center"/>
          </w:tcPr>
          <w:p w14:paraId="2634EDBE"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1559" w:type="dxa"/>
            <w:vAlign w:val="center"/>
          </w:tcPr>
          <w:p w14:paraId="579162B8"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402.966</w:t>
            </w:r>
          </w:p>
        </w:tc>
        <w:tc>
          <w:tcPr>
            <w:tcW w:w="709" w:type="dxa"/>
            <w:vAlign w:val="center"/>
          </w:tcPr>
          <w:p w14:paraId="7F851EBB"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r>
      <w:tr w:rsidR="000848C9" w:rsidRPr="00EF6DFD" w14:paraId="78BE7B71" w14:textId="77777777" w:rsidTr="00F656C4">
        <w:trPr>
          <w:jc w:val="center"/>
        </w:trPr>
        <w:tc>
          <w:tcPr>
            <w:tcW w:w="2268" w:type="dxa"/>
            <w:vAlign w:val="center"/>
          </w:tcPr>
          <w:p w14:paraId="5911C641"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Градска и општинска управа</w:t>
            </w:r>
          </w:p>
        </w:tc>
        <w:tc>
          <w:tcPr>
            <w:tcW w:w="1134" w:type="dxa"/>
            <w:vAlign w:val="center"/>
          </w:tcPr>
          <w:p w14:paraId="19EF85FB"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363</w:t>
            </w:r>
          </w:p>
        </w:tc>
        <w:tc>
          <w:tcPr>
            <w:tcW w:w="640" w:type="dxa"/>
            <w:vAlign w:val="center"/>
          </w:tcPr>
          <w:p w14:paraId="14F3A3E9"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16</w:t>
            </w:r>
          </w:p>
        </w:tc>
        <w:tc>
          <w:tcPr>
            <w:tcW w:w="1567" w:type="dxa"/>
            <w:vAlign w:val="center"/>
          </w:tcPr>
          <w:p w14:paraId="61E3DE2F"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625.938</w:t>
            </w:r>
          </w:p>
        </w:tc>
        <w:tc>
          <w:tcPr>
            <w:tcW w:w="616" w:type="dxa"/>
            <w:vAlign w:val="center"/>
          </w:tcPr>
          <w:p w14:paraId="7DCFA848"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6</w:t>
            </w:r>
          </w:p>
        </w:tc>
        <w:tc>
          <w:tcPr>
            <w:tcW w:w="1288" w:type="dxa"/>
            <w:vAlign w:val="center"/>
          </w:tcPr>
          <w:p w14:paraId="2277D1FC"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423</w:t>
            </w:r>
          </w:p>
        </w:tc>
        <w:tc>
          <w:tcPr>
            <w:tcW w:w="696" w:type="dxa"/>
            <w:vAlign w:val="center"/>
          </w:tcPr>
          <w:p w14:paraId="69BF85E3"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559" w:type="dxa"/>
            <w:vAlign w:val="center"/>
          </w:tcPr>
          <w:p w14:paraId="73805165"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1.033.788</w:t>
            </w:r>
          </w:p>
        </w:tc>
        <w:tc>
          <w:tcPr>
            <w:tcW w:w="709" w:type="dxa"/>
            <w:vAlign w:val="center"/>
          </w:tcPr>
          <w:p w14:paraId="1CBF7A2B"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r>
      <w:tr w:rsidR="000848C9" w:rsidRPr="00EF6DFD" w14:paraId="25490973" w14:textId="77777777" w:rsidTr="00F656C4">
        <w:trPr>
          <w:jc w:val="center"/>
        </w:trPr>
        <w:tc>
          <w:tcPr>
            <w:tcW w:w="2268" w:type="dxa"/>
            <w:vAlign w:val="center"/>
          </w:tcPr>
          <w:p w14:paraId="3E928441"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Удружења</w:t>
            </w:r>
          </w:p>
        </w:tc>
        <w:tc>
          <w:tcPr>
            <w:tcW w:w="1134" w:type="dxa"/>
            <w:vAlign w:val="center"/>
          </w:tcPr>
          <w:p w14:paraId="15E8822A"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640" w:type="dxa"/>
            <w:vAlign w:val="center"/>
          </w:tcPr>
          <w:p w14:paraId="13D642DA"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1567" w:type="dxa"/>
            <w:vAlign w:val="center"/>
          </w:tcPr>
          <w:p w14:paraId="1DCF6483"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616" w:type="dxa"/>
            <w:vAlign w:val="center"/>
          </w:tcPr>
          <w:p w14:paraId="384FBBB9"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1288" w:type="dxa"/>
            <w:vAlign w:val="center"/>
          </w:tcPr>
          <w:p w14:paraId="65E182A5"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696" w:type="dxa"/>
            <w:vAlign w:val="center"/>
          </w:tcPr>
          <w:p w14:paraId="175DD700"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0</w:t>
            </w:r>
          </w:p>
        </w:tc>
        <w:tc>
          <w:tcPr>
            <w:tcW w:w="1559" w:type="dxa"/>
            <w:vAlign w:val="center"/>
          </w:tcPr>
          <w:p w14:paraId="060DD36D"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9.583</w:t>
            </w:r>
          </w:p>
        </w:tc>
        <w:tc>
          <w:tcPr>
            <w:tcW w:w="709" w:type="dxa"/>
            <w:vAlign w:val="center"/>
          </w:tcPr>
          <w:p w14:paraId="5B74A775"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0</w:t>
            </w:r>
          </w:p>
        </w:tc>
      </w:tr>
      <w:tr w:rsidR="000848C9" w:rsidRPr="00EF6DFD" w14:paraId="2825E489" w14:textId="77777777" w:rsidTr="00F656C4">
        <w:trPr>
          <w:jc w:val="center"/>
        </w:trPr>
        <w:tc>
          <w:tcPr>
            <w:tcW w:w="2268" w:type="dxa"/>
            <w:vAlign w:val="center"/>
          </w:tcPr>
          <w:p w14:paraId="7DFC415D"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Фондације и задужбине</w:t>
            </w:r>
          </w:p>
        </w:tc>
        <w:tc>
          <w:tcPr>
            <w:tcW w:w="1134" w:type="dxa"/>
            <w:vAlign w:val="center"/>
          </w:tcPr>
          <w:p w14:paraId="51647CA7"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640" w:type="dxa"/>
            <w:vAlign w:val="center"/>
          </w:tcPr>
          <w:p w14:paraId="170EF3DA"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1567" w:type="dxa"/>
            <w:vAlign w:val="center"/>
          </w:tcPr>
          <w:p w14:paraId="33ADBC3A"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616" w:type="dxa"/>
            <w:vAlign w:val="center"/>
          </w:tcPr>
          <w:p w14:paraId="2B1AC23B" w14:textId="77777777" w:rsidR="000848C9" w:rsidRPr="00EF6DFD" w:rsidRDefault="000848C9" w:rsidP="00F656C4">
            <w:pPr>
              <w:jc w:val="center"/>
              <w:rPr>
                <w:rFonts w:ascii="Times New Roman" w:hAnsi="Times New Roman" w:cs="Times New Roman"/>
                <w:sz w:val="24"/>
                <w:szCs w:val="24"/>
                <w:lang w:val="sr-Cyrl-CS"/>
              </w:rPr>
            </w:pPr>
            <w:r w:rsidRPr="00EF6DFD">
              <w:rPr>
                <w:rFonts w:ascii="Times New Roman" w:hAnsi="Times New Roman" w:cs="Times New Roman"/>
                <w:sz w:val="24"/>
                <w:szCs w:val="24"/>
                <w:lang w:val="sr-Cyrl-CS"/>
              </w:rPr>
              <w:t>0</w:t>
            </w:r>
          </w:p>
        </w:tc>
        <w:tc>
          <w:tcPr>
            <w:tcW w:w="1288" w:type="dxa"/>
            <w:vAlign w:val="center"/>
          </w:tcPr>
          <w:p w14:paraId="3C9A1E03"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0</w:t>
            </w:r>
          </w:p>
        </w:tc>
        <w:tc>
          <w:tcPr>
            <w:tcW w:w="696" w:type="dxa"/>
            <w:vAlign w:val="center"/>
          </w:tcPr>
          <w:p w14:paraId="7F7E24FD"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0</w:t>
            </w:r>
          </w:p>
        </w:tc>
        <w:tc>
          <w:tcPr>
            <w:tcW w:w="1559" w:type="dxa"/>
            <w:vAlign w:val="center"/>
          </w:tcPr>
          <w:p w14:paraId="255DFE30"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0</w:t>
            </w:r>
          </w:p>
        </w:tc>
        <w:tc>
          <w:tcPr>
            <w:tcW w:w="709" w:type="dxa"/>
            <w:vAlign w:val="center"/>
          </w:tcPr>
          <w:p w14:paraId="21ED5014" w14:textId="77777777" w:rsidR="000848C9" w:rsidRPr="00EF6DFD" w:rsidRDefault="000848C9" w:rsidP="00F656C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0</w:t>
            </w:r>
          </w:p>
        </w:tc>
      </w:tr>
      <w:tr w:rsidR="000848C9" w:rsidRPr="00EF6DFD" w14:paraId="2E40528A" w14:textId="77777777" w:rsidTr="00F656C4">
        <w:trPr>
          <w:jc w:val="center"/>
        </w:trPr>
        <w:tc>
          <w:tcPr>
            <w:tcW w:w="2268" w:type="dxa"/>
            <w:vAlign w:val="center"/>
          </w:tcPr>
          <w:p w14:paraId="50BD2A5E" w14:textId="77777777" w:rsidR="000848C9" w:rsidRPr="00EF6DFD" w:rsidRDefault="000848C9" w:rsidP="00F656C4">
            <w:pPr>
              <w:jc w:val="center"/>
              <w:rPr>
                <w:rFonts w:ascii="Times New Roman" w:hAnsi="Times New Roman" w:cs="Times New Roman"/>
                <w:b/>
                <w:sz w:val="24"/>
                <w:szCs w:val="24"/>
              </w:rPr>
            </w:pPr>
            <w:r w:rsidRPr="00EF6DFD">
              <w:rPr>
                <w:rFonts w:ascii="Times New Roman" w:hAnsi="Times New Roman" w:cs="Times New Roman"/>
                <w:b/>
                <w:sz w:val="24"/>
                <w:szCs w:val="24"/>
              </w:rPr>
              <w:t>Укупно</w:t>
            </w:r>
          </w:p>
        </w:tc>
        <w:tc>
          <w:tcPr>
            <w:tcW w:w="1134" w:type="dxa"/>
            <w:vAlign w:val="center"/>
          </w:tcPr>
          <w:p w14:paraId="040F46BF" w14:textId="77777777" w:rsidR="000848C9" w:rsidRPr="009C638E" w:rsidRDefault="000848C9" w:rsidP="00F656C4">
            <w:pPr>
              <w:jc w:val="center"/>
              <w:rPr>
                <w:rFonts w:ascii="Times New Roman" w:hAnsi="Times New Roman" w:cs="Times New Roman"/>
                <w:b/>
                <w:sz w:val="24"/>
                <w:szCs w:val="24"/>
                <w:lang w:val="sr-Cyrl-CS"/>
              </w:rPr>
            </w:pPr>
            <w:r w:rsidRPr="009C638E">
              <w:rPr>
                <w:rFonts w:ascii="Times New Roman" w:hAnsi="Times New Roman" w:cs="Times New Roman"/>
                <w:b/>
                <w:sz w:val="24"/>
                <w:szCs w:val="24"/>
                <w:lang w:val="sr-Cyrl-CS"/>
              </w:rPr>
              <w:t>2.249</w:t>
            </w:r>
          </w:p>
        </w:tc>
        <w:tc>
          <w:tcPr>
            <w:tcW w:w="640" w:type="dxa"/>
            <w:vAlign w:val="center"/>
          </w:tcPr>
          <w:p w14:paraId="5919C4C2" w14:textId="77777777" w:rsidR="000848C9" w:rsidRPr="009C638E" w:rsidRDefault="000848C9" w:rsidP="00F656C4">
            <w:pPr>
              <w:jc w:val="center"/>
              <w:rPr>
                <w:rFonts w:ascii="Times New Roman" w:hAnsi="Times New Roman" w:cs="Times New Roman"/>
                <w:b/>
                <w:sz w:val="24"/>
                <w:szCs w:val="24"/>
                <w:lang w:val="sr-Cyrl-CS"/>
              </w:rPr>
            </w:pPr>
            <w:r w:rsidRPr="009C638E">
              <w:rPr>
                <w:rFonts w:ascii="Times New Roman" w:hAnsi="Times New Roman" w:cs="Times New Roman"/>
                <w:b/>
                <w:sz w:val="24"/>
                <w:szCs w:val="24"/>
                <w:lang w:val="sr-Cyrl-CS"/>
              </w:rPr>
              <w:t>100</w:t>
            </w:r>
          </w:p>
        </w:tc>
        <w:tc>
          <w:tcPr>
            <w:tcW w:w="1567" w:type="dxa"/>
            <w:vAlign w:val="center"/>
          </w:tcPr>
          <w:p w14:paraId="4C9E293B" w14:textId="77777777" w:rsidR="000848C9" w:rsidRPr="009C638E" w:rsidRDefault="000848C9" w:rsidP="00F656C4">
            <w:pPr>
              <w:jc w:val="center"/>
              <w:rPr>
                <w:rFonts w:ascii="Times New Roman" w:hAnsi="Times New Roman" w:cs="Times New Roman"/>
                <w:b/>
                <w:sz w:val="24"/>
                <w:szCs w:val="24"/>
                <w:lang w:val="sr-Cyrl-CS"/>
              </w:rPr>
            </w:pPr>
            <w:r w:rsidRPr="009C638E">
              <w:rPr>
                <w:rFonts w:ascii="Times New Roman" w:hAnsi="Times New Roman" w:cs="Times New Roman"/>
                <w:b/>
                <w:sz w:val="24"/>
                <w:szCs w:val="24"/>
                <w:lang w:val="sr-Cyrl-CS"/>
              </w:rPr>
              <w:t>9.809.686</w:t>
            </w:r>
          </w:p>
        </w:tc>
        <w:tc>
          <w:tcPr>
            <w:tcW w:w="616" w:type="dxa"/>
            <w:vAlign w:val="center"/>
          </w:tcPr>
          <w:p w14:paraId="6AA0A5B5" w14:textId="77777777" w:rsidR="000848C9" w:rsidRPr="009C638E" w:rsidRDefault="000848C9" w:rsidP="00F656C4">
            <w:pPr>
              <w:jc w:val="center"/>
              <w:rPr>
                <w:rFonts w:ascii="Times New Roman" w:hAnsi="Times New Roman" w:cs="Times New Roman"/>
                <w:b/>
                <w:sz w:val="24"/>
                <w:szCs w:val="24"/>
                <w:lang w:val="sr-Cyrl-CS"/>
              </w:rPr>
            </w:pPr>
            <w:r w:rsidRPr="009C638E">
              <w:rPr>
                <w:rFonts w:ascii="Times New Roman" w:hAnsi="Times New Roman" w:cs="Times New Roman"/>
                <w:b/>
                <w:sz w:val="24"/>
                <w:szCs w:val="24"/>
                <w:lang w:val="sr-Cyrl-CS"/>
              </w:rPr>
              <w:t>100</w:t>
            </w:r>
          </w:p>
        </w:tc>
        <w:tc>
          <w:tcPr>
            <w:tcW w:w="1288" w:type="dxa"/>
            <w:vAlign w:val="center"/>
          </w:tcPr>
          <w:p w14:paraId="3001F276" w14:textId="77777777" w:rsidR="000848C9" w:rsidRPr="009C638E" w:rsidRDefault="000848C9" w:rsidP="00F656C4">
            <w:pPr>
              <w:jc w:val="center"/>
              <w:rPr>
                <w:rFonts w:ascii="Times New Roman" w:hAnsi="Times New Roman" w:cs="Times New Roman"/>
                <w:b/>
                <w:sz w:val="24"/>
                <w:szCs w:val="24"/>
                <w:lang w:val="sr-Cyrl-CS"/>
              </w:rPr>
            </w:pPr>
            <w:r w:rsidRPr="009C638E">
              <w:rPr>
                <w:rFonts w:ascii="Times New Roman" w:hAnsi="Times New Roman" w:cs="Times New Roman"/>
                <w:b/>
                <w:sz w:val="24"/>
                <w:szCs w:val="24"/>
                <w:lang w:val="sr-Cyrl-CS"/>
              </w:rPr>
              <w:t>2.123</w:t>
            </w:r>
          </w:p>
        </w:tc>
        <w:tc>
          <w:tcPr>
            <w:tcW w:w="696" w:type="dxa"/>
            <w:vAlign w:val="center"/>
          </w:tcPr>
          <w:p w14:paraId="55BF6D4F" w14:textId="77777777" w:rsidR="000848C9" w:rsidRPr="009C638E" w:rsidRDefault="000848C9" w:rsidP="00F656C4">
            <w:pPr>
              <w:jc w:val="center"/>
              <w:rPr>
                <w:rFonts w:ascii="Times New Roman" w:hAnsi="Times New Roman" w:cs="Times New Roman"/>
                <w:b/>
                <w:sz w:val="24"/>
                <w:szCs w:val="24"/>
                <w:lang w:val="sr-Cyrl-CS"/>
              </w:rPr>
            </w:pPr>
            <w:r w:rsidRPr="009C638E">
              <w:rPr>
                <w:rFonts w:ascii="Times New Roman" w:hAnsi="Times New Roman" w:cs="Times New Roman"/>
                <w:b/>
                <w:sz w:val="24"/>
                <w:szCs w:val="24"/>
                <w:lang w:val="sr-Cyrl-CS"/>
              </w:rPr>
              <w:t>100</w:t>
            </w:r>
          </w:p>
        </w:tc>
        <w:tc>
          <w:tcPr>
            <w:tcW w:w="1559" w:type="dxa"/>
            <w:vAlign w:val="center"/>
          </w:tcPr>
          <w:p w14:paraId="2BD164BD" w14:textId="77777777" w:rsidR="000848C9" w:rsidRPr="009C638E" w:rsidRDefault="000848C9" w:rsidP="00F656C4">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14.229.021</w:t>
            </w:r>
          </w:p>
        </w:tc>
        <w:tc>
          <w:tcPr>
            <w:tcW w:w="709" w:type="dxa"/>
            <w:vAlign w:val="center"/>
          </w:tcPr>
          <w:p w14:paraId="1B1275DD" w14:textId="77777777" w:rsidR="000848C9" w:rsidRPr="009C638E" w:rsidRDefault="000848C9" w:rsidP="00F656C4">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100</w:t>
            </w:r>
          </w:p>
        </w:tc>
      </w:tr>
    </w:tbl>
    <w:p w14:paraId="3744FD21" w14:textId="40093779" w:rsidR="005E5329" w:rsidRPr="00221F95" w:rsidRDefault="009C5489" w:rsidP="005E5329">
      <w:pPr>
        <w:jc w:val="both"/>
        <w:rPr>
          <w:rFonts w:ascii="Times New Roman" w:hAnsi="Times New Roman" w:cs="Times New Roman"/>
        </w:rPr>
      </w:pPr>
      <w:r>
        <w:rPr>
          <w:rFonts w:ascii="Times New Roman" w:hAnsi="Times New Roman" w:cs="Times New Roman"/>
          <w:lang w:val="sr-Cyrl-CS"/>
        </w:rPr>
        <w:t xml:space="preserve">       </w:t>
      </w:r>
      <w:r w:rsidR="0034355D" w:rsidRPr="00221F95">
        <w:rPr>
          <w:rFonts w:ascii="Times New Roman" w:hAnsi="Times New Roman" w:cs="Times New Roman"/>
        </w:rPr>
        <w:t xml:space="preserve"> </w:t>
      </w:r>
      <w:r w:rsidR="00B92132">
        <w:rPr>
          <w:rFonts w:ascii="Times New Roman" w:hAnsi="Times New Roman" w:cs="Times New Roman"/>
        </w:rPr>
        <w:t>*В</w:t>
      </w:r>
      <w:r w:rsidR="005E5329" w:rsidRPr="00221F95">
        <w:rPr>
          <w:rFonts w:ascii="Times New Roman" w:hAnsi="Times New Roman" w:cs="Times New Roman"/>
        </w:rPr>
        <w:t>редности су изражене у хиљадама динара</w:t>
      </w:r>
    </w:p>
    <w:p w14:paraId="7E5F6F1D" w14:textId="30AB79A5" w:rsidR="00AB5A06" w:rsidRPr="00ED7784" w:rsidRDefault="00192624" w:rsidP="002321BB">
      <w:pPr>
        <w:jc w:val="both"/>
        <w:rPr>
          <w:rFonts w:ascii="Times New Roman" w:hAnsi="Times New Roman" w:cs="Times New Roman"/>
          <w:color w:val="000000" w:themeColor="text1"/>
          <w:sz w:val="24"/>
          <w:szCs w:val="24"/>
        </w:rPr>
      </w:pPr>
      <w:r w:rsidRPr="00ED7784">
        <w:rPr>
          <w:rFonts w:ascii="Times New Roman" w:hAnsi="Times New Roman" w:cs="Times New Roman"/>
          <w:color w:val="000000" w:themeColor="text1"/>
          <w:sz w:val="24"/>
          <w:szCs w:val="24"/>
        </w:rPr>
        <w:t>Највеће учешће у укупној вредности преговарачког поступка без об</w:t>
      </w:r>
      <w:r w:rsidR="00DA6B09" w:rsidRPr="00ED7784">
        <w:rPr>
          <w:rFonts w:ascii="Times New Roman" w:hAnsi="Times New Roman" w:cs="Times New Roman"/>
          <w:color w:val="000000" w:themeColor="text1"/>
          <w:sz w:val="24"/>
          <w:szCs w:val="24"/>
        </w:rPr>
        <w:t>јављивања позива</w:t>
      </w:r>
      <w:r w:rsidR="00E94A26" w:rsidRPr="00ED7784">
        <w:rPr>
          <w:rFonts w:ascii="Times New Roman" w:hAnsi="Times New Roman" w:cs="Times New Roman"/>
          <w:color w:val="000000" w:themeColor="text1"/>
          <w:sz w:val="24"/>
          <w:szCs w:val="24"/>
        </w:rPr>
        <w:t xml:space="preserve"> за подношење понуда</w:t>
      </w:r>
      <w:r w:rsidR="00DA6B09" w:rsidRPr="00ED7784">
        <w:rPr>
          <w:rFonts w:ascii="Times New Roman" w:hAnsi="Times New Roman" w:cs="Times New Roman"/>
          <w:color w:val="000000" w:themeColor="text1"/>
          <w:sz w:val="24"/>
          <w:szCs w:val="24"/>
        </w:rPr>
        <w:t xml:space="preserve"> имала су </w:t>
      </w:r>
      <w:r w:rsidRPr="00ED7784">
        <w:rPr>
          <w:rFonts w:ascii="Times New Roman" w:hAnsi="Times New Roman" w:cs="Times New Roman"/>
          <w:color w:val="000000" w:themeColor="text1"/>
          <w:sz w:val="24"/>
          <w:szCs w:val="24"/>
        </w:rPr>
        <w:t>д</w:t>
      </w:r>
      <w:r w:rsidR="002F45D6">
        <w:rPr>
          <w:rFonts w:ascii="Times New Roman" w:hAnsi="Times New Roman" w:cs="Times New Roman"/>
          <w:color w:val="000000" w:themeColor="text1"/>
          <w:sz w:val="24"/>
          <w:szCs w:val="24"/>
        </w:rPr>
        <w:t>ржавна јавна пре</w:t>
      </w:r>
      <w:r w:rsidR="000848C9">
        <w:rPr>
          <w:rFonts w:ascii="Times New Roman" w:hAnsi="Times New Roman" w:cs="Times New Roman"/>
          <w:color w:val="000000" w:themeColor="text1"/>
          <w:sz w:val="24"/>
          <w:szCs w:val="24"/>
        </w:rPr>
        <w:t xml:space="preserve">дузећа. Код </w:t>
      </w:r>
      <w:r w:rsidR="000848C9">
        <w:rPr>
          <w:rFonts w:ascii="Times New Roman" w:hAnsi="Times New Roman" w:cs="Times New Roman"/>
          <w:color w:val="000000" w:themeColor="text1"/>
          <w:sz w:val="24"/>
          <w:szCs w:val="24"/>
          <w:lang w:val="sr-Cyrl-CS"/>
        </w:rPr>
        <w:t>државних јавних предузећа</w:t>
      </w:r>
      <w:r w:rsidRPr="00ED7784">
        <w:rPr>
          <w:rFonts w:ascii="Times New Roman" w:hAnsi="Times New Roman" w:cs="Times New Roman"/>
          <w:color w:val="000000" w:themeColor="text1"/>
          <w:sz w:val="24"/>
          <w:szCs w:val="24"/>
        </w:rPr>
        <w:t xml:space="preserve"> дошло је </w:t>
      </w:r>
      <w:r w:rsidR="000848C9">
        <w:rPr>
          <w:rFonts w:ascii="Times New Roman" w:hAnsi="Times New Roman" w:cs="Times New Roman"/>
          <w:color w:val="000000" w:themeColor="text1"/>
          <w:sz w:val="24"/>
          <w:szCs w:val="24"/>
          <w:lang w:val="sr-Cyrl-CS"/>
        </w:rPr>
        <w:t xml:space="preserve">и </w:t>
      </w:r>
      <w:r w:rsidR="003D15C1">
        <w:rPr>
          <w:rFonts w:ascii="Times New Roman" w:hAnsi="Times New Roman" w:cs="Times New Roman"/>
          <w:color w:val="000000" w:themeColor="text1"/>
          <w:sz w:val="24"/>
          <w:szCs w:val="24"/>
        </w:rPr>
        <w:t xml:space="preserve">до највећег раста учешћа, </w:t>
      </w:r>
      <w:r w:rsidR="000848C9">
        <w:rPr>
          <w:rFonts w:ascii="Times New Roman" w:hAnsi="Times New Roman" w:cs="Times New Roman"/>
          <w:color w:val="000000" w:themeColor="text1"/>
          <w:sz w:val="24"/>
          <w:szCs w:val="24"/>
        </w:rPr>
        <w:t>са 46</w:t>
      </w:r>
      <w:r w:rsidR="002F45D6">
        <w:rPr>
          <w:rFonts w:ascii="Times New Roman" w:hAnsi="Times New Roman" w:cs="Times New Roman"/>
          <w:color w:val="000000" w:themeColor="text1"/>
          <w:sz w:val="24"/>
          <w:szCs w:val="24"/>
        </w:rPr>
        <w:t>% у 201</w:t>
      </w:r>
      <w:r w:rsidR="000848C9">
        <w:rPr>
          <w:rFonts w:ascii="Times New Roman" w:hAnsi="Times New Roman" w:cs="Times New Roman"/>
          <w:color w:val="000000" w:themeColor="text1"/>
          <w:sz w:val="24"/>
          <w:szCs w:val="24"/>
          <w:lang w:val="sr-Cyrl-CS"/>
        </w:rPr>
        <w:t>8</w:t>
      </w:r>
      <w:r w:rsidR="000848C9">
        <w:rPr>
          <w:rFonts w:ascii="Times New Roman" w:hAnsi="Times New Roman" w:cs="Times New Roman"/>
          <w:color w:val="000000" w:themeColor="text1"/>
          <w:sz w:val="24"/>
          <w:szCs w:val="24"/>
        </w:rPr>
        <w:t>. години на 55% у 2019</w:t>
      </w:r>
      <w:r w:rsidRPr="00ED7784">
        <w:rPr>
          <w:rFonts w:ascii="Times New Roman" w:hAnsi="Times New Roman" w:cs="Times New Roman"/>
          <w:color w:val="000000" w:themeColor="text1"/>
          <w:sz w:val="24"/>
          <w:szCs w:val="24"/>
        </w:rPr>
        <w:t>. години</w:t>
      </w:r>
      <w:r w:rsidR="001C4431">
        <w:rPr>
          <w:rFonts w:ascii="Times New Roman" w:hAnsi="Times New Roman" w:cs="Times New Roman"/>
          <w:color w:val="000000" w:themeColor="text1"/>
          <w:sz w:val="24"/>
          <w:szCs w:val="24"/>
        </w:rPr>
        <w:t xml:space="preserve"> (Табела 11</w:t>
      </w:r>
      <w:r w:rsidRPr="00ED7784">
        <w:rPr>
          <w:rFonts w:ascii="Times New Roman" w:hAnsi="Times New Roman" w:cs="Times New Roman"/>
          <w:color w:val="000000" w:themeColor="text1"/>
          <w:sz w:val="24"/>
          <w:szCs w:val="24"/>
        </w:rPr>
        <w:t>). Истовремено</w:t>
      </w:r>
      <w:r w:rsidR="00076197" w:rsidRPr="00ED7784">
        <w:rPr>
          <w:rFonts w:ascii="Times New Roman" w:hAnsi="Times New Roman" w:cs="Times New Roman"/>
          <w:color w:val="000000" w:themeColor="text1"/>
          <w:sz w:val="24"/>
          <w:szCs w:val="24"/>
        </w:rPr>
        <w:t>,</w:t>
      </w:r>
      <w:r w:rsidR="002F45D6">
        <w:rPr>
          <w:rFonts w:ascii="Times New Roman" w:hAnsi="Times New Roman" w:cs="Times New Roman"/>
          <w:color w:val="000000" w:themeColor="text1"/>
          <w:sz w:val="24"/>
          <w:szCs w:val="24"/>
        </w:rPr>
        <w:t xml:space="preserve"> здравство је смањило</w:t>
      </w:r>
      <w:r w:rsidRPr="00ED7784">
        <w:rPr>
          <w:rFonts w:ascii="Times New Roman" w:hAnsi="Times New Roman" w:cs="Times New Roman"/>
          <w:color w:val="000000" w:themeColor="text1"/>
          <w:sz w:val="24"/>
          <w:szCs w:val="24"/>
        </w:rPr>
        <w:t xml:space="preserve"> учешће у вредносн</w:t>
      </w:r>
      <w:r w:rsidR="000848C9">
        <w:rPr>
          <w:rFonts w:ascii="Times New Roman" w:hAnsi="Times New Roman" w:cs="Times New Roman"/>
          <w:color w:val="000000" w:themeColor="text1"/>
          <w:sz w:val="24"/>
          <w:szCs w:val="24"/>
        </w:rPr>
        <w:t>ој структури овог поступка са 15</w:t>
      </w:r>
      <w:r w:rsidR="00D70069" w:rsidRPr="00ED7784">
        <w:rPr>
          <w:rFonts w:ascii="Times New Roman" w:hAnsi="Times New Roman" w:cs="Times New Roman"/>
          <w:color w:val="000000" w:themeColor="text1"/>
          <w:sz w:val="24"/>
          <w:szCs w:val="24"/>
        </w:rPr>
        <w:t>%</w:t>
      </w:r>
      <w:r w:rsidRPr="00ED7784">
        <w:rPr>
          <w:rFonts w:ascii="Times New Roman" w:hAnsi="Times New Roman" w:cs="Times New Roman"/>
          <w:color w:val="000000" w:themeColor="text1"/>
          <w:sz w:val="24"/>
          <w:szCs w:val="24"/>
        </w:rPr>
        <w:t xml:space="preserve"> на </w:t>
      </w:r>
      <w:r w:rsidR="000848C9">
        <w:rPr>
          <w:rFonts w:ascii="Times New Roman" w:hAnsi="Times New Roman" w:cs="Times New Roman"/>
          <w:color w:val="000000" w:themeColor="text1"/>
          <w:sz w:val="24"/>
          <w:szCs w:val="24"/>
        </w:rPr>
        <w:t>8</w:t>
      </w:r>
      <w:r w:rsidR="00985197" w:rsidRPr="00ED7784">
        <w:rPr>
          <w:rFonts w:ascii="Times New Roman" w:hAnsi="Times New Roman" w:cs="Times New Roman"/>
          <w:color w:val="000000" w:themeColor="text1"/>
          <w:sz w:val="24"/>
          <w:szCs w:val="24"/>
        </w:rPr>
        <w:t>%</w:t>
      </w:r>
      <w:r w:rsidR="00F53B93" w:rsidRPr="00ED7784">
        <w:rPr>
          <w:rFonts w:ascii="Times New Roman" w:hAnsi="Times New Roman" w:cs="Times New Roman"/>
          <w:color w:val="000000" w:themeColor="text1"/>
          <w:sz w:val="24"/>
          <w:szCs w:val="24"/>
        </w:rPr>
        <w:t xml:space="preserve">, док је учешће </w:t>
      </w:r>
      <w:r w:rsidR="000848C9">
        <w:rPr>
          <w:rFonts w:ascii="Times New Roman" w:hAnsi="Times New Roman" w:cs="Times New Roman"/>
          <w:color w:val="000000" w:themeColor="text1"/>
          <w:sz w:val="24"/>
          <w:szCs w:val="24"/>
          <w:lang w:val="sr-Cyrl-CS"/>
        </w:rPr>
        <w:t xml:space="preserve">органа државне управе </w:t>
      </w:r>
      <w:r w:rsidR="002F45D6">
        <w:rPr>
          <w:rFonts w:ascii="Times New Roman" w:hAnsi="Times New Roman" w:cs="Times New Roman"/>
          <w:color w:val="000000" w:themeColor="text1"/>
          <w:sz w:val="24"/>
          <w:szCs w:val="24"/>
          <w:lang w:val="sr-Cyrl-CS"/>
        </w:rPr>
        <w:t>о</w:t>
      </w:r>
      <w:r w:rsidR="00F53B93" w:rsidRPr="00ED7784">
        <w:rPr>
          <w:rFonts w:ascii="Times New Roman" w:hAnsi="Times New Roman" w:cs="Times New Roman"/>
          <w:color w:val="000000" w:themeColor="text1"/>
          <w:sz w:val="24"/>
          <w:szCs w:val="24"/>
        </w:rPr>
        <w:t>стало на приближно истом нивоу. То значи да су поменуте три</w:t>
      </w:r>
      <w:r w:rsidRPr="00ED7784">
        <w:rPr>
          <w:rFonts w:ascii="Times New Roman" w:hAnsi="Times New Roman" w:cs="Times New Roman"/>
          <w:color w:val="000000" w:themeColor="text1"/>
          <w:sz w:val="24"/>
          <w:szCs w:val="24"/>
        </w:rPr>
        <w:t xml:space="preserve"> категорије наручилаца реализовале</w:t>
      </w:r>
      <w:r w:rsidR="00F8262C" w:rsidRPr="00ED7784">
        <w:rPr>
          <w:rFonts w:ascii="Times New Roman" w:hAnsi="Times New Roman" w:cs="Times New Roman"/>
          <w:color w:val="000000" w:themeColor="text1"/>
          <w:sz w:val="24"/>
          <w:szCs w:val="24"/>
        </w:rPr>
        <w:t xml:space="preserve"> </w:t>
      </w:r>
      <w:r w:rsidR="002F45D6">
        <w:rPr>
          <w:rFonts w:ascii="Times New Roman" w:hAnsi="Times New Roman" w:cs="Times New Roman"/>
          <w:color w:val="000000" w:themeColor="text1"/>
          <w:sz w:val="24"/>
          <w:szCs w:val="24"/>
          <w:lang w:val="sr-Cyrl-CS"/>
        </w:rPr>
        <w:t xml:space="preserve">више од </w:t>
      </w:r>
      <w:r w:rsidR="00F8262C" w:rsidRPr="00ED7784">
        <w:rPr>
          <w:rFonts w:ascii="Times New Roman" w:hAnsi="Times New Roman" w:cs="Times New Roman"/>
          <w:color w:val="000000" w:themeColor="text1"/>
          <w:sz w:val="24"/>
          <w:szCs w:val="24"/>
        </w:rPr>
        <w:t>4/5</w:t>
      </w:r>
      <w:r w:rsidRPr="00ED7784">
        <w:rPr>
          <w:rFonts w:ascii="Times New Roman" w:hAnsi="Times New Roman" w:cs="Times New Roman"/>
          <w:color w:val="000000" w:themeColor="text1"/>
          <w:sz w:val="24"/>
          <w:szCs w:val="24"/>
        </w:rPr>
        <w:t xml:space="preserve"> укупне вредност</w:t>
      </w:r>
      <w:r w:rsidR="00DA6B09" w:rsidRPr="00ED7784">
        <w:rPr>
          <w:rFonts w:ascii="Times New Roman" w:hAnsi="Times New Roman" w:cs="Times New Roman"/>
          <w:color w:val="000000" w:themeColor="text1"/>
          <w:sz w:val="24"/>
          <w:szCs w:val="24"/>
        </w:rPr>
        <w:t>и преговарачког поступка без објављивања позива</w:t>
      </w:r>
      <w:r w:rsidR="00EF1072" w:rsidRPr="00ED7784">
        <w:rPr>
          <w:rFonts w:ascii="Times New Roman" w:hAnsi="Times New Roman" w:cs="Times New Roman"/>
          <w:color w:val="000000" w:themeColor="text1"/>
          <w:sz w:val="24"/>
          <w:szCs w:val="24"/>
        </w:rPr>
        <w:t xml:space="preserve"> за подношење понуда</w:t>
      </w:r>
      <w:r w:rsidR="001C4431">
        <w:rPr>
          <w:rFonts w:ascii="Times New Roman" w:hAnsi="Times New Roman" w:cs="Times New Roman"/>
          <w:color w:val="000000" w:themeColor="text1"/>
          <w:sz w:val="24"/>
          <w:szCs w:val="24"/>
        </w:rPr>
        <w:t xml:space="preserve"> (Табела 11</w:t>
      </w:r>
      <w:r w:rsidR="00F9284E" w:rsidRPr="00ED7784">
        <w:rPr>
          <w:rFonts w:ascii="Times New Roman" w:hAnsi="Times New Roman" w:cs="Times New Roman"/>
          <w:color w:val="000000" w:themeColor="text1"/>
          <w:sz w:val="24"/>
          <w:szCs w:val="24"/>
        </w:rPr>
        <w:t>)</w:t>
      </w:r>
      <w:r w:rsidR="00DA6B09" w:rsidRPr="00ED7784">
        <w:rPr>
          <w:rFonts w:ascii="Times New Roman" w:hAnsi="Times New Roman" w:cs="Times New Roman"/>
          <w:color w:val="000000" w:themeColor="text1"/>
          <w:sz w:val="24"/>
          <w:szCs w:val="24"/>
        </w:rPr>
        <w:t xml:space="preserve">. </w:t>
      </w:r>
    </w:p>
    <w:p w14:paraId="38288C5A" w14:textId="77777777" w:rsidR="002910F7" w:rsidRDefault="002910F7" w:rsidP="005E5329">
      <w:pPr>
        <w:jc w:val="both"/>
        <w:rPr>
          <w:rFonts w:ascii="Times New Roman" w:hAnsi="Times New Roman" w:cs="Times New Roman"/>
          <w:sz w:val="24"/>
          <w:szCs w:val="24"/>
          <w:lang w:val="sr-Cyrl-CS"/>
        </w:rPr>
      </w:pPr>
    </w:p>
    <w:p w14:paraId="3305488C" w14:textId="77777777" w:rsidR="00562510" w:rsidRDefault="00562510" w:rsidP="005E5329">
      <w:pPr>
        <w:jc w:val="both"/>
        <w:rPr>
          <w:rFonts w:ascii="Times New Roman" w:hAnsi="Times New Roman" w:cs="Times New Roman"/>
          <w:sz w:val="24"/>
          <w:szCs w:val="24"/>
          <w:lang w:val="sr-Cyrl-CS"/>
        </w:rPr>
      </w:pPr>
    </w:p>
    <w:p w14:paraId="6CBCF08F" w14:textId="77777777" w:rsidR="00562510" w:rsidRDefault="00562510" w:rsidP="005E5329">
      <w:pPr>
        <w:jc w:val="both"/>
        <w:rPr>
          <w:rFonts w:ascii="Times New Roman" w:hAnsi="Times New Roman" w:cs="Times New Roman"/>
          <w:sz w:val="24"/>
          <w:szCs w:val="24"/>
          <w:lang w:val="sr-Cyrl-CS"/>
        </w:rPr>
      </w:pPr>
    </w:p>
    <w:p w14:paraId="276585A7" w14:textId="1EBAD06A" w:rsidR="00562510" w:rsidRDefault="00562510" w:rsidP="005E5329">
      <w:pPr>
        <w:jc w:val="both"/>
        <w:rPr>
          <w:rFonts w:ascii="Times New Roman" w:hAnsi="Times New Roman" w:cs="Times New Roman"/>
          <w:sz w:val="24"/>
          <w:szCs w:val="24"/>
          <w:lang w:val="sr-Cyrl-CS"/>
        </w:rPr>
      </w:pPr>
    </w:p>
    <w:p w14:paraId="7FDA25C1" w14:textId="05C4CFDA" w:rsidR="00EA22DE" w:rsidRDefault="00EA22DE" w:rsidP="005E5329">
      <w:pPr>
        <w:jc w:val="both"/>
        <w:rPr>
          <w:rFonts w:ascii="Times New Roman" w:hAnsi="Times New Roman" w:cs="Times New Roman"/>
          <w:sz w:val="24"/>
          <w:szCs w:val="24"/>
          <w:lang w:val="sr-Cyrl-CS"/>
        </w:rPr>
      </w:pPr>
    </w:p>
    <w:p w14:paraId="6A669C4F" w14:textId="57F0982A" w:rsidR="00EA22DE" w:rsidRDefault="00D83EBD" w:rsidP="005E5329">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Вредност преговарачког поступка без објављивања јавног позива повеђала се са 9.809.686.000 у 2018. години на 14.229.021.000 у 2019. години. (Слика 7)</w:t>
      </w:r>
    </w:p>
    <w:p w14:paraId="1DEA72A0" w14:textId="39E81084" w:rsidR="005E5329" w:rsidRPr="00BE7D6A" w:rsidRDefault="00FD7D7F" w:rsidP="005E532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D83EBD">
        <w:rPr>
          <w:rFonts w:ascii="Times New Roman" w:hAnsi="Times New Roman" w:cs="Times New Roman"/>
          <w:b/>
          <w:sz w:val="24"/>
          <w:szCs w:val="24"/>
        </w:rPr>
        <w:t>Слика 7</w:t>
      </w:r>
    </w:p>
    <w:p w14:paraId="463C235D" w14:textId="481C6E37" w:rsidR="005E5329" w:rsidRPr="005E5329" w:rsidRDefault="0034355D" w:rsidP="005E5329">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bookmarkStart w:id="8" w:name="_MON_1645614434"/>
      <w:bookmarkEnd w:id="8"/>
      <w:r w:rsidR="00D83EBD">
        <w:object w:dxaOrig="8033" w:dyaOrig="5406" w14:anchorId="0CC75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70pt" o:ole="">
            <v:imagedata r:id="rId18" o:title=""/>
          </v:shape>
          <o:OLEObject Type="Embed" ProgID="Excel.Sheet.12" ShapeID="_x0000_i1025" DrawAspect="Content" ObjectID="_1649063686" r:id="rId19"/>
        </w:object>
      </w:r>
    </w:p>
    <w:p w14:paraId="628C5F8B" w14:textId="0F0AF4C4" w:rsidR="00FD7D7F" w:rsidRPr="00E40777" w:rsidRDefault="00FD7D7F" w:rsidP="00FD7D7F">
      <w:pPr>
        <w:jc w:val="both"/>
        <w:rPr>
          <w:rFonts w:ascii="Times New Roman" w:hAnsi="Times New Roman" w:cs="Times New Roman"/>
          <w:sz w:val="24"/>
          <w:szCs w:val="24"/>
          <w:lang w:val="sr-Cyrl-CS"/>
        </w:rPr>
      </w:pPr>
      <w:r w:rsidRPr="00E40777">
        <w:rPr>
          <w:rFonts w:ascii="Times New Roman" w:hAnsi="Times New Roman" w:cs="Times New Roman"/>
          <w:sz w:val="24"/>
          <w:szCs w:val="24"/>
        </w:rPr>
        <w:t>Ка</w:t>
      </w:r>
      <w:r w:rsidR="00D83EBD">
        <w:rPr>
          <w:rFonts w:ascii="Times New Roman" w:hAnsi="Times New Roman" w:cs="Times New Roman"/>
          <w:sz w:val="24"/>
          <w:szCs w:val="24"/>
        </w:rPr>
        <w:t>о што се на Слици 7</w:t>
      </w:r>
      <w:r w:rsidR="00540D2E">
        <w:rPr>
          <w:rFonts w:ascii="Times New Roman" w:hAnsi="Times New Roman" w:cs="Times New Roman"/>
          <w:sz w:val="24"/>
          <w:szCs w:val="24"/>
        </w:rPr>
        <w:t xml:space="preserve"> и Табелама 11</w:t>
      </w:r>
      <w:r w:rsidR="00540D2E">
        <w:rPr>
          <w:rFonts w:ascii="Times New Roman" w:hAnsi="Times New Roman" w:cs="Times New Roman"/>
          <w:sz w:val="24"/>
          <w:szCs w:val="24"/>
          <w:lang w:val="sr-Cyrl-CS"/>
        </w:rPr>
        <w:t xml:space="preserve"> и 10</w:t>
      </w:r>
      <w:r w:rsidRPr="00E40777">
        <w:rPr>
          <w:rFonts w:ascii="Times New Roman" w:hAnsi="Times New Roman" w:cs="Times New Roman"/>
          <w:sz w:val="24"/>
          <w:szCs w:val="24"/>
        </w:rPr>
        <w:t xml:space="preserve"> може видети, вредност преговарачког поступка без објављивања позива за подношење понуда</w:t>
      </w:r>
      <w:r w:rsidRPr="00E40777">
        <w:rPr>
          <w:rFonts w:ascii="Times New Roman" w:hAnsi="Times New Roman" w:cs="Times New Roman"/>
          <w:sz w:val="24"/>
          <w:szCs w:val="24"/>
          <w:lang w:val="sr-Cyrl-CS"/>
        </w:rPr>
        <w:t>, и поред</w:t>
      </w:r>
      <w:r w:rsidRPr="00E40777">
        <w:rPr>
          <w:rFonts w:ascii="Times New Roman" w:hAnsi="Times New Roman" w:cs="Times New Roman"/>
          <w:sz w:val="24"/>
          <w:szCs w:val="24"/>
        </w:rPr>
        <w:t xml:space="preserve"> </w:t>
      </w:r>
      <w:r w:rsidRPr="00E40777">
        <w:rPr>
          <w:rFonts w:ascii="Times New Roman" w:hAnsi="Times New Roman" w:cs="Times New Roman"/>
          <w:sz w:val="24"/>
          <w:szCs w:val="24"/>
          <w:lang w:val="sr-Cyrl-CS"/>
        </w:rPr>
        <w:t>пов</w:t>
      </w:r>
      <w:r w:rsidR="001E03F0">
        <w:rPr>
          <w:rFonts w:ascii="Times New Roman" w:hAnsi="Times New Roman" w:cs="Times New Roman"/>
          <w:sz w:val="24"/>
          <w:szCs w:val="24"/>
          <w:lang w:val="sr-Cyrl-CS"/>
        </w:rPr>
        <w:t>ећања апсолутне вредности у 201</w:t>
      </w:r>
      <w:r w:rsidR="001E03F0">
        <w:rPr>
          <w:rFonts w:ascii="Times New Roman" w:hAnsi="Times New Roman" w:cs="Times New Roman"/>
          <w:sz w:val="24"/>
          <w:szCs w:val="24"/>
          <w:lang w:val="sr-Latn-RS"/>
        </w:rPr>
        <w:t>9</w:t>
      </w:r>
      <w:r w:rsidRPr="00E40777">
        <w:rPr>
          <w:rFonts w:ascii="Times New Roman" w:hAnsi="Times New Roman" w:cs="Times New Roman"/>
          <w:sz w:val="24"/>
          <w:szCs w:val="24"/>
          <w:lang w:val="sr-Cyrl-CS"/>
        </w:rPr>
        <w:t>. години, задржала је своје ниско учешће у укупној</w:t>
      </w:r>
      <w:r w:rsidR="001E03F0">
        <w:rPr>
          <w:rFonts w:ascii="Times New Roman" w:hAnsi="Times New Roman" w:cs="Times New Roman"/>
          <w:sz w:val="24"/>
          <w:szCs w:val="24"/>
          <w:lang w:val="sr-Cyrl-CS"/>
        </w:rPr>
        <w:t xml:space="preserve"> вредности набавки у износу од 4</w:t>
      </w:r>
      <w:r w:rsidRPr="00E40777">
        <w:rPr>
          <w:rFonts w:ascii="Times New Roman" w:hAnsi="Times New Roman" w:cs="Times New Roman"/>
          <w:sz w:val="24"/>
          <w:szCs w:val="24"/>
          <w:lang w:val="sr-Cyrl-CS"/>
        </w:rPr>
        <w:t>%.</w:t>
      </w:r>
    </w:p>
    <w:p w14:paraId="1784B7A0" w14:textId="322DCB86" w:rsidR="005E5329" w:rsidRPr="00ED7784" w:rsidRDefault="009532CD" w:rsidP="00896FAE">
      <w:pPr>
        <w:jc w:val="both"/>
        <w:rPr>
          <w:rFonts w:ascii="Times New Roman" w:hAnsi="Times New Roman" w:cs="Times New Roman"/>
          <w:b/>
          <w:color w:val="000000" w:themeColor="text1"/>
          <w:sz w:val="24"/>
          <w:szCs w:val="24"/>
        </w:rPr>
      </w:pPr>
      <w:r>
        <w:rPr>
          <w:rFonts w:ascii="Times New Roman" w:hAnsi="Times New Roman" w:cs="Times New Roman"/>
          <w:sz w:val="24"/>
          <w:szCs w:val="24"/>
        </w:rPr>
        <w:t>Важно је сагледати</w:t>
      </w:r>
      <w:r w:rsidR="005E5329" w:rsidRPr="005E5329">
        <w:rPr>
          <w:rFonts w:ascii="Times New Roman" w:hAnsi="Times New Roman" w:cs="Times New Roman"/>
          <w:sz w:val="24"/>
          <w:szCs w:val="24"/>
        </w:rPr>
        <w:t xml:space="preserve"> промене у структури, посматрано по основама за преговарање. </w:t>
      </w:r>
      <w:r w:rsidR="005E5329" w:rsidRPr="004E06A7">
        <w:rPr>
          <w:rFonts w:ascii="Times New Roman" w:hAnsi="Times New Roman" w:cs="Times New Roman"/>
          <w:color w:val="000000" w:themeColor="text1"/>
          <w:sz w:val="24"/>
          <w:szCs w:val="24"/>
        </w:rPr>
        <w:t>У</w:t>
      </w:r>
      <w:r w:rsidR="0034631E" w:rsidRPr="004E06A7">
        <w:rPr>
          <w:rFonts w:ascii="Times New Roman" w:hAnsi="Times New Roman" w:cs="Times New Roman"/>
          <w:color w:val="000000" w:themeColor="text1"/>
          <w:sz w:val="24"/>
          <w:szCs w:val="24"/>
        </w:rPr>
        <w:t xml:space="preserve"> 201</w:t>
      </w:r>
      <w:r w:rsidR="00F656C4">
        <w:rPr>
          <w:rFonts w:ascii="Times New Roman" w:hAnsi="Times New Roman" w:cs="Times New Roman"/>
          <w:color w:val="000000" w:themeColor="text1"/>
          <w:sz w:val="24"/>
          <w:szCs w:val="24"/>
          <w:lang w:val="en-US"/>
        </w:rPr>
        <w:t>9</w:t>
      </w:r>
      <w:r w:rsidR="005E5329" w:rsidRPr="004E06A7">
        <w:rPr>
          <w:rFonts w:ascii="Times New Roman" w:hAnsi="Times New Roman" w:cs="Times New Roman"/>
          <w:color w:val="000000" w:themeColor="text1"/>
          <w:sz w:val="24"/>
          <w:szCs w:val="24"/>
        </w:rPr>
        <w:t xml:space="preserve">. </w:t>
      </w:r>
      <w:r w:rsidR="00076197" w:rsidRPr="004E06A7">
        <w:rPr>
          <w:rFonts w:ascii="Times New Roman" w:hAnsi="Times New Roman" w:cs="Times New Roman"/>
          <w:color w:val="000000" w:themeColor="text1"/>
          <w:sz w:val="24"/>
          <w:szCs w:val="24"/>
        </w:rPr>
        <w:t>г</w:t>
      </w:r>
      <w:r w:rsidR="005E5329" w:rsidRPr="004E06A7">
        <w:rPr>
          <w:rFonts w:ascii="Times New Roman" w:hAnsi="Times New Roman" w:cs="Times New Roman"/>
          <w:color w:val="000000" w:themeColor="text1"/>
          <w:sz w:val="24"/>
          <w:szCs w:val="24"/>
        </w:rPr>
        <w:t>одини</w:t>
      </w:r>
      <w:r w:rsidR="00DA6B09" w:rsidRPr="004E06A7">
        <w:rPr>
          <w:rFonts w:ascii="Times New Roman" w:hAnsi="Times New Roman" w:cs="Times New Roman"/>
          <w:color w:val="000000" w:themeColor="text1"/>
          <w:sz w:val="24"/>
          <w:szCs w:val="24"/>
        </w:rPr>
        <w:t>,</w:t>
      </w:r>
      <w:r w:rsidR="005E5329" w:rsidRPr="004E06A7">
        <w:rPr>
          <w:rFonts w:ascii="Times New Roman" w:hAnsi="Times New Roman" w:cs="Times New Roman"/>
          <w:color w:val="000000" w:themeColor="text1"/>
          <w:sz w:val="24"/>
          <w:szCs w:val="24"/>
        </w:rPr>
        <w:t xml:space="preserve"> најзаступљенији је био преговарачки поступак са тачно одређеним понуђачем, услед техничких или уметни</w:t>
      </w:r>
      <w:r w:rsidR="006D5090">
        <w:rPr>
          <w:rFonts w:ascii="Times New Roman" w:hAnsi="Times New Roman" w:cs="Times New Roman"/>
          <w:color w:val="000000" w:themeColor="text1"/>
          <w:sz w:val="24"/>
          <w:szCs w:val="24"/>
        </w:rPr>
        <w:t xml:space="preserve">чких разлога, са укупном </w:t>
      </w:r>
      <w:r w:rsidR="006D5090" w:rsidRPr="00ED7784">
        <w:rPr>
          <w:rFonts w:ascii="Times New Roman" w:hAnsi="Times New Roman" w:cs="Times New Roman"/>
          <w:color w:val="000000" w:themeColor="text1"/>
          <w:sz w:val="24"/>
          <w:szCs w:val="24"/>
        </w:rPr>
        <w:t>вредношћу</w:t>
      </w:r>
      <w:r w:rsidR="00CC32B8">
        <w:rPr>
          <w:rFonts w:ascii="Times New Roman" w:hAnsi="Times New Roman" w:cs="Times New Roman"/>
          <w:color w:val="000000" w:themeColor="text1"/>
          <w:sz w:val="24"/>
          <w:szCs w:val="24"/>
        </w:rPr>
        <w:t xml:space="preserve"> од 9,7</w:t>
      </w:r>
      <w:r>
        <w:rPr>
          <w:rFonts w:ascii="Times New Roman" w:hAnsi="Times New Roman" w:cs="Times New Roman"/>
          <w:color w:val="000000" w:themeColor="text1"/>
          <w:sz w:val="24"/>
          <w:szCs w:val="24"/>
        </w:rPr>
        <w:t xml:space="preserve"> милијарди</w:t>
      </w:r>
      <w:r w:rsidR="005E5329" w:rsidRPr="00ED7784">
        <w:rPr>
          <w:rFonts w:ascii="Times New Roman" w:hAnsi="Times New Roman" w:cs="Times New Roman"/>
          <w:color w:val="000000" w:themeColor="text1"/>
          <w:sz w:val="24"/>
          <w:szCs w:val="24"/>
        </w:rPr>
        <w:t xml:space="preserve"> динара</w:t>
      </w:r>
      <w:r w:rsidR="00F9284E" w:rsidRPr="00ED7784">
        <w:rPr>
          <w:rFonts w:ascii="Times New Roman" w:hAnsi="Times New Roman" w:cs="Times New Roman"/>
          <w:color w:val="000000" w:themeColor="text1"/>
          <w:sz w:val="24"/>
          <w:szCs w:val="24"/>
        </w:rPr>
        <w:t xml:space="preserve"> (Слика </w:t>
      </w:r>
      <w:r w:rsidR="000F5D7F">
        <w:rPr>
          <w:rFonts w:ascii="Times New Roman" w:hAnsi="Times New Roman" w:cs="Times New Roman"/>
          <w:color w:val="000000" w:themeColor="text1"/>
          <w:sz w:val="24"/>
          <w:szCs w:val="24"/>
        </w:rPr>
        <w:t>8</w:t>
      </w:r>
      <w:r w:rsidR="00F9284E" w:rsidRPr="00ED7784">
        <w:rPr>
          <w:rFonts w:ascii="Times New Roman" w:hAnsi="Times New Roman" w:cs="Times New Roman"/>
          <w:color w:val="000000" w:themeColor="text1"/>
          <w:sz w:val="24"/>
          <w:szCs w:val="24"/>
        </w:rPr>
        <w:t>)</w:t>
      </w:r>
      <w:r w:rsidR="005E5329" w:rsidRPr="00ED7784">
        <w:rPr>
          <w:rFonts w:ascii="Times New Roman" w:hAnsi="Times New Roman" w:cs="Times New Roman"/>
          <w:color w:val="000000" w:themeColor="text1"/>
          <w:sz w:val="24"/>
          <w:szCs w:val="24"/>
        </w:rPr>
        <w:t xml:space="preserve">. На другом месту </w:t>
      </w:r>
      <w:r w:rsidR="00F9284E" w:rsidRPr="00ED7784">
        <w:rPr>
          <w:rFonts w:ascii="Times New Roman" w:hAnsi="Times New Roman" w:cs="Times New Roman"/>
          <w:color w:val="000000" w:themeColor="text1"/>
          <w:sz w:val="24"/>
          <w:szCs w:val="24"/>
        </w:rPr>
        <w:t>по заступљ</w:t>
      </w:r>
      <w:r w:rsidR="00172B71">
        <w:rPr>
          <w:rFonts w:ascii="Times New Roman" w:hAnsi="Times New Roman" w:cs="Times New Roman"/>
          <w:color w:val="000000" w:themeColor="text1"/>
          <w:sz w:val="24"/>
          <w:szCs w:val="24"/>
          <w:lang w:val="sr-Cyrl-CS"/>
        </w:rPr>
        <w:t>е</w:t>
      </w:r>
      <w:r w:rsidR="00F9284E" w:rsidRPr="00ED7784">
        <w:rPr>
          <w:rFonts w:ascii="Times New Roman" w:hAnsi="Times New Roman" w:cs="Times New Roman"/>
          <w:color w:val="000000" w:themeColor="text1"/>
          <w:sz w:val="24"/>
          <w:szCs w:val="24"/>
        </w:rPr>
        <w:t xml:space="preserve">ности </w:t>
      </w:r>
      <w:r w:rsidR="005E5329" w:rsidRPr="00ED7784">
        <w:rPr>
          <w:rFonts w:ascii="Times New Roman" w:hAnsi="Times New Roman" w:cs="Times New Roman"/>
          <w:color w:val="000000" w:themeColor="text1"/>
          <w:sz w:val="24"/>
          <w:szCs w:val="24"/>
        </w:rPr>
        <w:t>је преговарачки поступак по основу ванредних и непредвиђених</w:t>
      </w:r>
      <w:r w:rsidR="002E0EC4">
        <w:rPr>
          <w:rFonts w:ascii="Times New Roman" w:hAnsi="Times New Roman" w:cs="Times New Roman"/>
          <w:color w:val="000000" w:themeColor="text1"/>
          <w:sz w:val="24"/>
          <w:szCs w:val="24"/>
        </w:rPr>
        <w:t xml:space="preserve"> околности</w:t>
      </w:r>
      <w:r w:rsidR="005E351E" w:rsidRPr="00ED7784">
        <w:rPr>
          <w:rFonts w:ascii="Times New Roman" w:hAnsi="Times New Roman" w:cs="Times New Roman"/>
          <w:color w:val="000000" w:themeColor="text1"/>
          <w:sz w:val="24"/>
          <w:szCs w:val="24"/>
        </w:rPr>
        <w:t xml:space="preserve"> (тзв.</w:t>
      </w:r>
      <w:r w:rsidR="006D5090" w:rsidRPr="00ED77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„хитност“) са 2</w:t>
      </w:r>
      <w:r w:rsidR="00CC32B8">
        <w:rPr>
          <w:rFonts w:ascii="Times New Roman" w:hAnsi="Times New Roman" w:cs="Times New Roman"/>
          <w:color w:val="000000" w:themeColor="text1"/>
          <w:sz w:val="24"/>
          <w:szCs w:val="24"/>
          <w:lang w:val="sr-Latn-RS"/>
        </w:rPr>
        <w:t>,6</w:t>
      </w:r>
      <w:r>
        <w:rPr>
          <w:rFonts w:ascii="Times New Roman" w:hAnsi="Times New Roman" w:cs="Times New Roman"/>
          <w:color w:val="000000" w:themeColor="text1"/>
          <w:sz w:val="24"/>
          <w:szCs w:val="24"/>
        </w:rPr>
        <w:t xml:space="preserve"> милијарде</w:t>
      </w:r>
      <w:r w:rsidR="005E5329" w:rsidRPr="00ED7784">
        <w:rPr>
          <w:rFonts w:ascii="Times New Roman" w:hAnsi="Times New Roman" w:cs="Times New Roman"/>
          <w:color w:val="000000" w:themeColor="text1"/>
          <w:sz w:val="24"/>
          <w:szCs w:val="24"/>
        </w:rPr>
        <w:t xml:space="preserve"> динара</w:t>
      </w:r>
      <w:r>
        <w:rPr>
          <w:rFonts w:ascii="Times New Roman" w:hAnsi="Times New Roman" w:cs="Times New Roman"/>
          <w:color w:val="000000" w:themeColor="text1"/>
          <w:sz w:val="24"/>
          <w:szCs w:val="24"/>
        </w:rPr>
        <w:t>,</w:t>
      </w:r>
      <w:r w:rsidR="00A80CAB">
        <w:rPr>
          <w:rFonts w:ascii="Times New Roman" w:hAnsi="Times New Roman" w:cs="Times New Roman"/>
          <w:color w:val="000000" w:themeColor="text1"/>
          <w:sz w:val="24"/>
          <w:szCs w:val="24"/>
          <w:lang w:val="sr-Cyrl-RS"/>
        </w:rPr>
        <w:t xml:space="preserve"> </w:t>
      </w:r>
      <w:r w:rsidR="00A80CAB">
        <w:rPr>
          <w:rFonts w:ascii="Times New Roman" w:hAnsi="Times New Roman" w:cs="Times New Roman"/>
          <w:color w:val="000000" w:themeColor="text1"/>
          <w:sz w:val="24"/>
          <w:szCs w:val="24"/>
          <w:lang w:val="sr-Cyrl-CS"/>
        </w:rPr>
        <w:t>на трећем месту поступак по основу</w:t>
      </w:r>
      <w:r w:rsidR="00A80CAB" w:rsidRPr="00ED7784">
        <w:rPr>
          <w:rFonts w:ascii="Times New Roman" w:hAnsi="Times New Roman" w:cs="Times New Roman"/>
          <w:color w:val="000000" w:themeColor="text1"/>
          <w:sz w:val="24"/>
          <w:szCs w:val="24"/>
          <w:lang w:val="sr-Cyrl-CS"/>
        </w:rPr>
        <w:t xml:space="preserve"> „додат</w:t>
      </w:r>
      <w:r w:rsidR="00A80CAB">
        <w:rPr>
          <w:rFonts w:ascii="Times New Roman" w:hAnsi="Times New Roman" w:cs="Times New Roman"/>
          <w:color w:val="000000" w:themeColor="text1"/>
          <w:sz w:val="24"/>
          <w:szCs w:val="24"/>
          <w:lang w:val="sr-Cyrl-CS"/>
        </w:rPr>
        <w:t>них радова и услуга“ са 778,2</w:t>
      </w:r>
      <w:r w:rsidR="00A80CAB" w:rsidRPr="00ED7784">
        <w:rPr>
          <w:rFonts w:ascii="Times New Roman" w:hAnsi="Times New Roman" w:cs="Times New Roman"/>
          <w:color w:val="000000" w:themeColor="text1"/>
          <w:sz w:val="24"/>
          <w:szCs w:val="24"/>
          <w:lang w:val="sr-Cyrl-CS"/>
        </w:rPr>
        <w:t xml:space="preserve"> хиљада динара</w:t>
      </w:r>
      <w:r w:rsidR="00A80CAB">
        <w:rPr>
          <w:rFonts w:ascii="Times New Roman" w:hAnsi="Times New Roman" w:cs="Times New Roman"/>
          <w:color w:val="000000" w:themeColor="text1"/>
          <w:sz w:val="24"/>
          <w:szCs w:val="24"/>
          <w:lang w:val="sr-Cyrl-CS"/>
        </w:rPr>
        <w:t>, а</w:t>
      </w:r>
      <w:r w:rsidR="005E351E" w:rsidRPr="00ED7784">
        <w:rPr>
          <w:rFonts w:ascii="Times New Roman" w:hAnsi="Times New Roman" w:cs="Times New Roman"/>
          <w:color w:val="000000" w:themeColor="text1"/>
          <w:sz w:val="24"/>
          <w:szCs w:val="24"/>
          <w:lang w:val="sr-Cyrl-CS"/>
        </w:rPr>
        <w:t xml:space="preserve"> </w:t>
      </w:r>
      <w:r w:rsidR="00F656C4">
        <w:rPr>
          <w:rFonts w:ascii="Times New Roman" w:hAnsi="Times New Roman" w:cs="Times New Roman"/>
          <w:color w:val="000000" w:themeColor="text1"/>
          <w:sz w:val="24"/>
          <w:szCs w:val="24"/>
          <w:lang w:val="sr-Cyrl-CS"/>
        </w:rPr>
        <w:t xml:space="preserve">на </w:t>
      </w:r>
      <w:r w:rsidR="00F656C4">
        <w:rPr>
          <w:rFonts w:ascii="Times New Roman" w:hAnsi="Times New Roman" w:cs="Times New Roman"/>
          <w:color w:val="000000" w:themeColor="text1"/>
          <w:sz w:val="24"/>
          <w:szCs w:val="24"/>
          <w:lang w:val="sr-Cyrl-RS"/>
        </w:rPr>
        <w:t>четвртом</w:t>
      </w:r>
      <w:r w:rsidR="00F9284E" w:rsidRPr="00ED7784">
        <w:rPr>
          <w:rFonts w:ascii="Times New Roman" w:hAnsi="Times New Roman" w:cs="Times New Roman"/>
          <w:color w:val="000000" w:themeColor="text1"/>
          <w:sz w:val="24"/>
          <w:szCs w:val="24"/>
          <w:lang w:val="sr-Cyrl-CS"/>
        </w:rPr>
        <w:t xml:space="preserve"> месту </w:t>
      </w:r>
      <w:r w:rsidR="00442194" w:rsidRPr="00ED7784">
        <w:rPr>
          <w:rFonts w:ascii="Times New Roman" w:hAnsi="Times New Roman" w:cs="Times New Roman"/>
          <w:color w:val="000000" w:themeColor="text1"/>
          <w:sz w:val="24"/>
          <w:szCs w:val="24"/>
          <w:lang w:val="sr-Cyrl-CS"/>
        </w:rPr>
        <w:t>поступак по основу</w:t>
      </w:r>
      <w:r>
        <w:rPr>
          <w:rFonts w:ascii="Times New Roman" w:hAnsi="Times New Roman" w:cs="Times New Roman"/>
          <w:color w:val="000000" w:themeColor="text1"/>
          <w:sz w:val="24"/>
          <w:szCs w:val="24"/>
          <w:lang w:val="sr-Cyrl-CS"/>
        </w:rPr>
        <w:t xml:space="preserve"> „неуспелог отвореног односно рестриктивног посту</w:t>
      </w:r>
      <w:r w:rsidR="00C071DE">
        <w:rPr>
          <w:rFonts w:ascii="Times New Roman" w:hAnsi="Times New Roman" w:cs="Times New Roman"/>
          <w:color w:val="000000" w:themeColor="text1"/>
          <w:sz w:val="24"/>
          <w:szCs w:val="24"/>
          <w:lang w:val="sr-Cyrl-CS"/>
        </w:rPr>
        <w:t>п</w:t>
      </w:r>
      <w:r>
        <w:rPr>
          <w:rFonts w:ascii="Times New Roman" w:hAnsi="Times New Roman" w:cs="Times New Roman"/>
          <w:color w:val="000000" w:themeColor="text1"/>
          <w:sz w:val="24"/>
          <w:szCs w:val="24"/>
          <w:lang w:val="sr-Cyrl-CS"/>
        </w:rPr>
        <w:t xml:space="preserve">ка“ са </w:t>
      </w:r>
      <w:r w:rsidR="00F656C4">
        <w:rPr>
          <w:rFonts w:ascii="Times New Roman" w:hAnsi="Times New Roman" w:cs="Times New Roman"/>
          <w:color w:val="000000" w:themeColor="text1"/>
          <w:sz w:val="24"/>
          <w:szCs w:val="24"/>
          <w:lang w:val="sr-Cyrl-CS"/>
        </w:rPr>
        <w:t>502,1</w:t>
      </w:r>
      <w:r w:rsidR="007B68EB">
        <w:rPr>
          <w:rFonts w:ascii="Times New Roman" w:hAnsi="Times New Roman" w:cs="Times New Roman"/>
          <w:color w:val="000000" w:themeColor="text1"/>
          <w:sz w:val="24"/>
          <w:szCs w:val="24"/>
          <w:lang w:val="sr-Cyrl-CS"/>
        </w:rPr>
        <w:t xml:space="preserve"> хиљада</w:t>
      </w:r>
      <w:r w:rsidR="00CC32B8">
        <w:rPr>
          <w:rFonts w:ascii="Times New Roman" w:hAnsi="Times New Roman" w:cs="Times New Roman"/>
          <w:color w:val="000000" w:themeColor="text1"/>
          <w:sz w:val="24"/>
          <w:szCs w:val="24"/>
          <w:lang w:val="sr-Cyrl-CS"/>
        </w:rPr>
        <w:t xml:space="preserve"> динара.</w:t>
      </w:r>
      <w:r w:rsidR="00F656C4">
        <w:rPr>
          <w:rFonts w:ascii="Times New Roman" w:hAnsi="Times New Roman" w:cs="Times New Roman"/>
          <w:color w:val="000000" w:themeColor="text1"/>
          <w:sz w:val="24"/>
          <w:szCs w:val="24"/>
          <w:lang w:val="sr-Cyrl-CS"/>
        </w:rPr>
        <w:t xml:space="preserve"> </w:t>
      </w:r>
      <w:r w:rsidR="00F9284E" w:rsidRPr="00ED7784">
        <w:rPr>
          <w:rFonts w:ascii="Times New Roman" w:hAnsi="Times New Roman" w:cs="Times New Roman"/>
          <w:color w:val="000000" w:themeColor="text1"/>
          <w:sz w:val="24"/>
          <w:szCs w:val="24"/>
        </w:rPr>
        <w:t xml:space="preserve">(Слика </w:t>
      </w:r>
      <w:r w:rsidR="000F5D7F">
        <w:rPr>
          <w:rFonts w:ascii="Times New Roman" w:hAnsi="Times New Roman" w:cs="Times New Roman"/>
          <w:color w:val="000000" w:themeColor="text1"/>
          <w:sz w:val="24"/>
          <w:szCs w:val="24"/>
        </w:rPr>
        <w:t>8</w:t>
      </w:r>
      <w:r w:rsidR="00F9284E" w:rsidRPr="00ED7784">
        <w:rPr>
          <w:rFonts w:ascii="Times New Roman" w:hAnsi="Times New Roman" w:cs="Times New Roman"/>
          <w:color w:val="000000" w:themeColor="text1"/>
          <w:sz w:val="24"/>
          <w:szCs w:val="24"/>
        </w:rPr>
        <w:t>)</w:t>
      </w:r>
      <w:r w:rsidR="00442194" w:rsidRPr="00ED7784">
        <w:rPr>
          <w:rFonts w:ascii="Times New Roman" w:hAnsi="Times New Roman" w:cs="Times New Roman"/>
          <w:color w:val="000000" w:themeColor="text1"/>
          <w:sz w:val="24"/>
          <w:szCs w:val="24"/>
          <w:lang w:val="sr-Cyrl-CS"/>
        </w:rPr>
        <w:t>.</w:t>
      </w:r>
      <w:r w:rsidR="00442194" w:rsidRPr="00ED7784">
        <w:rPr>
          <w:rFonts w:ascii="Times New Roman" w:hAnsi="Times New Roman" w:cs="Times New Roman"/>
          <w:color w:val="000000" w:themeColor="text1"/>
          <w:sz w:val="24"/>
          <w:szCs w:val="24"/>
        </w:rPr>
        <w:t xml:space="preserve"> </w:t>
      </w:r>
    </w:p>
    <w:p w14:paraId="344D525A" w14:textId="155D986D" w:rsidR="006A18BB" w:rsidRPr="004E06A7" w:rsidRDefault="005E5329" w:rsidP="00896FAE">
      <w:pPr>
        <w:pStyle w:val="CommentText"/>
        <w:spacing w:line="276" w:lineRule="auto"/>
        <w:jc w:val="both"/>
        <w:rPr>
          <w:color w:val="000000" w:themeColor="text1"/>
        </w:rPr>
      </w:pPr>
      <w:r w:rsidRPr="00ED7784">
        <w:rPr>
          <w:rFonts w:ascii="Times New Roman" w:hAnsi="Times New Roman" w:cs="Times New Roman"/>
          <w:color w:val="000000" w:themeColor="text1"/>
          <w:sz w:val="24"/>
          <w:szCs w:val="24"/>
        </w:rPr>
        <w:t>Нај</w:t>
      </w:r>
      <w:r w:rsidR="00A53317">
        <w:rPr>
          <w:rFonts w:ascii="Times New Roman" w:hAnsi="Times New Roman" w:cs="Times New Roman"/>
          <w:color w:val="000000" w:themeColor="text1"/>
          <w:sz w:val="24"/>
          <w:szCs w:val="24"/>
        </w:rPr>
        <w:t>значајније повећање</w:t>
      </w:r>
      <w:r w:rsidRPr="00ED7784">
        <w:rPr>
          <w:rFonts w:ascii="Times New Roman" w:hAnsi="Times New Roman" w:cs="Times New Roman"/>
          <w:color w:val="000000" w:themeColor="text1"/>
          <w:sz w:val="24"/>
          <w:szCs w:val="24"/>
        </w:rPr>
        <w:t xml:space="preserve"> вреднос</w:t>
      </w:r>
      <w:r w:rsidR="00A53317">
        <w:rPr>
          <w:rFonts w:ascii="Times New Roman" w:hAnsi="Times New Roman" w:cs="Times New Roman"/>
          <w:color w:val="000000" w:themeColor="text1"/>
          <w:sz w:val="24"/>
          <w:szCs w:val="24"/>
        </w:rPr>
        <w:t>ти преговарачког поступка у</w:t>
      </w:r>
      <w:r w:rsidR="00A80CAB">
        <w:rPr>
          <w:rFonts w:ascii="Times New Roman" w:hAnsi="Times New Roman" w:cs="Times New Roman"/>
          <w:color w:val="000000" w:themeColor="text1"/>
          <w:sz w:val="24"/>
          <w:szCs w:val="24"/>
        </w:rPr>
        <w:t xml:space="preserve"> 2019. у односу на 2018</w:t>
      </w:r>
      <w:r w:rsidR="003853B4" w:rsidRPr="00ED7784">
        <w:rPr>
          <w:rFonts w:ascii="Times New Roman" w:hAnsi="Times New Roman" w:cs="Times New Roman"/>
          <w:color w:val="000000" w:themeColor="text1"/>
          <w:sz w:val="24"/>
          <w:szCs w:val="24"/>
        </w:rPr>
        <w:t>. годину</w:t>
      </w:r>
      <w:r w:rsidRPr="00ED7784">
        <w:rPr>
          <w:rFonts w:ascii="Times New Roman" w:hAnsi="Times New Roman" w:cs="Times New Roman"/>
          <w:color w:val="000000" w:themeColor="text1"/>
          <w:sz w:val="24"/>
          <w:szCs w:val="24"/>
        </w:rPr>
        <w:t>, остварено је код уговора који су закључен</w:t>
      </w:r>
      <w:r w:rsidR="00741EA2" w:rsidRPr="00ED7784">
        <w:rPr>
          <w:rFonts w:ascii="Times New Roman" w:hAnsi="Times New Roman" w:cs="Times New Roman"/>
          <w:color w:val="000000" w:themeColor="text1"/>
          <w:sz w:val="24"/>
          <w:szCs w:val="24"/>
        </w:rPr>
        <w:t xml:space="preserve">и са тачно одређеним понуђачем, услед техничких или уметничких разлога и то са </w:t>
      </w:r>
      <w:r w:rsidR="00A80CAB">
        <w:rPr>
          <w:rFonts w:ascii="Times New Roman" w:hAnsi="Times New Roman" w:cs="Times New Roman"/>
          <w:color w:val="000000" w:themeColor="text1"/>
          <w:sz w:val="24"/>
          <w:szCs w:val="24"/>
          <w:lang w:val="en-GB"/>
        </w:rPr>
        <w:t>6,2</w:t>
      </w:r>
      <w:r w:rsidR="00741EA2" w:rsidRPr="00ED7784">
        <w:rPr>
          <w:rFonts w:ascii="Times New Roman" w:hAnsi="Times New Roman" w:cs="Times New Roman"/>
          <w:color w:val="000000" w:themeColor="text1"/>
          <w:sz w:val="24"/>
          <w:szCs w:val="24"/>
        </w:rPr>
        <w:t xml:space="preserve"> на </w:t>
      </w:r>
      <w:r w:rsidR="00A80CAB">
        <w:rPr>
          <w:rFonts w:ascii="Times New Roman" w:hAnsi="Times New Roman" w:cs="Times New Roman"/>
          <w:color w:val="000000" w:themeColor="text1"/>
          <w:sz w:val="24"/>
          <w:szCs w:val="24"/>
          <w:lang w:val="en-GB"/>
        </w:rPr>
        <w:t>9,7</w:t>
      </w:r>
      <w:r w:rsidR="00A53317">
        <w:rPr>
          <w:rFonts w:ascii="Times New Roman" w:hAnsi="Times New Roman" w:cs="Times New Roman"/>
          <w:color w:val="000000" w:themeColor="text1"/>
          <w:sz w:val="24"/>
          <w:szCs w:val="24"/>
        </w:rPr>
        <w:t xml:space="preserve"> </w:t>
      </w:r>
      <w:r w:rsidR="00564A3F">
        <w:rPr>
          <w:rFonts w:ascii="Times New Roman" w:hAnsi="Times New Roman" w:cs="Times New Roman"/>
          <w:color w:val="000000" w:themeColor="text1"/>
          <w:sz w:val="24"/>
          <w:szCs w:val="24"/>
        </w:rPr>
        <w:t>милијард</w:t>
      </w:r>
      <w:r w:rsidR="00564A3F">
        <w:rPr>
          <w:rFonts w:ascii="Times New Roman" w:hAnsi="Times New Roman" w:cs="Times New Roman"/>
          <w:color w:val="000000" w:themeColor="text1"/>
          <w:sz w:val="24"/>
          <w:szCs w:val="24"/>
          <w:lang w:val="sr-Cyrl-RS"/>
        </w:rPr>
        <w:t>и</w:t>
      </w:r>
      <w:r w:rsidR="00564A3F">
        <w:rPr>
          <w:rFonts w:ascii="Times New Roman" w:hAnsi="Times New Roman" w:cs="Times New Roman"/>
          <w:color w:val="000000" w:themeColor="text1"/>
          <w:sz w:val="24"/>
          <w:szCs w:val="24"/>
        </w:rPr>
        <w:t xml:space="preserve"> </w:t>
      </w:r>
      <w:r w:rsidR="000F5D7F">
        <w:rPr>
          <w:rFonts w:ascii="Times New Roman" w:hAnsi="Times New Roman" w:cs="Times New Roman"/>
          <w:color w:val="000000" w:themeColor="text1"/>
          <w:sz w:val="24"/>
          <w:szCs w:val="24"/>
        </w:rPr>
        <w:t>динара (Слика 8</w:t>
      </w:r>
      <w:r w:rsidRPr="00ED7784">
        <w:rPr>
          <w:rFonts w:ascii="Times New Roman" w:hAnsi="Times New Roman" w:cs="Times New Roman"/>
          <w:color w:val="000000" w:themeColor="text1"/>
          <w:sz w:val="24"/>
          <w:szCs w:val="24"/>
        </w:rPr>
        <w:t xml:space="preserve">). </w:t>
      </w:r>
      <w:r w:rsidR="00D91AD5" w:rsidRPr="00ED7784">
        <w:rPr>
          <w:rFonts w:ascii="Times New Roman" w:hAnsi="Times New Roman" w:cs="Times New Roman"/>
          <w:color w:val="000000" w:themeColor="text1"/>
          <w:sz w:val="24"/>
          <w:szCs w:val="24"/>
        </w:rPr>
        <w:t>И</w:t>
      </w:r>
      <w:r w:rsidR="00D91AD5" w:rsidRPr="004E06A7">
        <w:rPr>
          <w:rFonts w:ascii="Times New Roman" w:hAnsi="Times New Roman" w:cs="Times New Roman"/>
          <w:color w:val="000000" w:themeColor="text1"/>
          <w:sz w:val="24"/>
          <w:szCs w:val="24"/>
        </w:rPr>
        <w:t>мајући у виду да, код преговарачког поступка</w:t>
      </w:r>
      <w:r w:rsidR="00536CC0">
        <w:rPr>
          <w:rFonts w:ascii="Times New Roman" w:hAnsi="Times New Roman" w:cs="Times New Roman"/>
          <w:color w:val="000000" w:themeColor="text1"/>
          <w:sz w:val="24"/>
          <w:szCs w:val="24"/>
          <w:lang w:val="en-GB"/>
        </w:rPr>
        <w:t xml:space="preserve"> </w:t>
      </w:r>
      <w:r w:rsidR="00536CC0" w:rsidRPr="004E06A7">
        <w:rPr>
          <w:rFonts w:ascii="Times New Roman" w:hAnsi="Times New Roman" w:cs="Times New Roman"/>
          <w:color w:val="000000" w:themeColor="text1"/>
          <w:sz w:val="24"/>
          <w:szCs w:val="24"/>
        </w:rPr>
        <w:t>са тачно одређеним понуђачем</w:t>
      </w:r>
      <w:r w:rsidR="00D91AD5" w:rsidRPr="004E06A7">
        <w:rPr>
          <w:rFonts w:ascii="Times New Roman" w:hAnsi="Times New Roman" w:cs="Times New Roman"/>
          <w:color w:val="000000" w:themeColor="text1"/>
          <w:sz w:val="24"/>
          <w:szCs w:val="24"/>
        </w:rPr>
        <w:t xml:space="preserve"> постоји само један понуђач чиме је конкуренција онемогућена, важно је сагледати који су предмети набавки имали доминантно учешће у набавкама по овом основу. </w:t>
      </w:r>
    </w:p>
    <w:p w14:paraId="3A4A5A6E" w14:textId="1BF3804D" w:rsidR="00DC4DBD" w:rsidRDefault="00DC4DBD" w:rsidP="005E5329">
      <w:pPr>
        <w:jc w:val="both"/>
        <w:rPr>
          <w:rFonts w:ascii="Times New Roman" w:hAnsi="Times New Roman" w:cs="Times New Roman"/>
          <w:b/>
          <w:color w:val="000000" w:themeColor="text1"/>
          <w:sz w:val="24"/>
          <w:szCs w:val="24"/>
        </w:rPr>
      </w:pPr>
    </w:p>
    <w:p w14:paraId="678DD892" w14:textId="39447CAD" w:rsidR="00827261" w:rsidRDefault="00827261" w:rsidP="005E5329">
      <w:pPr>
        <w:jc w:val="both"/>
        <w:rPr>
          <w:rFonts w:ascii="Times New Roman" w:hAnsi="Times New Roman" w:cs="Times New Roman"/>
          <w:b/>
          <w:color w:val="000000" w:themeColor="text1"/>
          <w:sz w:val="24"/>
          <w:szCs w:val="24"/>
        </w:rPr>
      </w:pPr>
    </w:p>
    <w:p w14:paraId="136FBAA3" w14:textId="034F440F" w:rsidR="00827261" w:rsidRDefault="00827261" w:rsidP="005E5329">
      <w:pPr>
        <w:jc w:val="both"/>
        <w:rPr>
          <w:rFonts w:ascii="Times New Roman" w:hAnsi="Times New Roman" w:cs="Times New Roman"/>
          <w:b/>
          <w:color w:val="000000" w:themeColor="text1"/>
          <w:sz w:val="24"/>
          <w:szCs w:val="24"/>
        </w:rPr>
      </w:pPr>
    </w:p>
    <w:p w14:paraId="41FC0CB6" w14:textId="76D714F5" w:rsidR="004C45C3" w:rsidRPr="00BE7D6A" w:rsidRDefault="00023953" w:rsidP="005E532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lastRenderedPageBreak/>
        <w:t xml:space="preserve">                  </w:t>
      </w:r>
      <w:r w:rsidR="004C45C3" w:rsidRPr="00BE7D6A">
        <w:rPr>
          <w:rFonts w:ascii="Times New Roman" w:hAnsi="Times New Roman" w:cs="Times New Roman"/>
          <w:b/>
          <w:color w:val="000000" w:themeColor="text1"/>
          <w:sz w:val="24"/>
          <w:szCs w:val="24"/>
        </w:rPr>
        <w:t xml:space="preserve">Слика </w:t>
      </w:r>
      <w:r w:rsidR="000F5D7F">
        <w:rPr>
          <w:rFonts w:ascii="Times New Roman" w:hAnsi="Times New Roman" w:cs="Times New Roman"/>
          <w:b/>
          <w:color w:val="000000" w:themeColor="text1"/>
          <w:sz w:val="24"/>
          <w:szCs w:val="24"/>
        </w:rPr>
        <w:t>8</w:t>
      </w:r>
    </w:p>
    <w:p w14:paraId="7D807A14" w14:textId="5DDDB6E4" w:rsidR="002A4357" w:rsidRPr="005E5329" w:rsidRDefault="00CC2CC7" w:rsidP="005E5329">
      <w:pPr>
        <w:tabs>
          <w:tab w:val="left" w:pos="1635"/>
        </w:tabs>
        <w:jc w:val="both"/>
        <w:rPr>
          <w:rFonts w:ascii="Times New Roman" w:hAnsi="Times New Roman" w:cs="Times New Roman"/>
          <w:b/>
          <w:sz w:val="24"/>
          <w:szCs w:val="24"/>
        </w:rPr>
      </w:pPr>
      <w:r w:rsidRPr="005E5329">
        <w:rPr>
          <w:rFonts w:ascii="Times New Roman" w:hAnsi="Times New Roman" w:cs="Times New Roman"/>
          <w:b/>
          <w:sz w:val="24"/>
          <w:szCs w:val="24"/>
          <w:lang w:val="en-US"/>
        </w:rPr>
        <w:t xml:space="preserve">  </w:t>
      </w:r>
      <w:r w:rsidR="0034355D">
        <w:rPr>
          <w:rFonts w:ascii="Times New Roman" w:hAnsi="Times New Roman" w:cs="Times New Roman"/>
          <w:b/>
          <w:sz w:val="24"/>
          <w:szCs w:val="24"/>
        </w:rPr>
        <w:t xml:space="preserve">               </w:t>
      </w:r>
      <w:bookmarkStart w:id="9" w:name="_MON_1581423354"/>
      <w:bookmarkEnd w:id="9"/>
      <w:r w:rsidR="00F656C4">
        <w:rPr>
          <w:noProof/>
          <w:lang w:val="sr-Cyrl-RS" w:eastAsia="sr-Cyrl-RS"/>
        </w:rPr>
        <w:drawing>
          <wp:inline distT="0" distB="0" distL="0" distR="0" wp14:anchorId="1DBE20A6" wp14:editId="3387DD6A">
            <wp:extent cx="5562600" cy="3600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C45C3" w:rsidRPr="005E5329">
        <w:rPr>
          <w:rFonts w:ascii="Times New Roman" w:hAnsi="Times New Roman" w:cs="Times New Roman"/>
          <w:sz w:val="24"/>
          <w:szCs w:val="24"/>
        </w:rPr>
        <w:t xml:space="preserve">   </w:t>
      </w:r>
    </w:p>
    <w:p w14:paraId="63D79E62" w14:textId="7776250C" w:rsidR="00CB00A0" w:rsidRDefault="00C34989" w:rsidP="005E5329">
      <w:pPr>
        <w:jc w:val="both"/>
        <w:rPr>
          <w:rFonts w:ascii="Times New Roman" w:eastAsiaTheme="minorHAnsi" w:hAnsi="Times New Roman" w:cs="Times New Roman"/>
          <w:color w:val="000000" w:themeColor="text1"/>
          <w:sz w:val="24"/>
          <w:szCs w:val="24"/>
          <w:lang w:val="sr-Cyrl-RS" w:eastAsia="en-US"/>
        </w:rPr>
      </w:pPr>
      <w:r w:rsidRPr="00ED7784">
        <w:rPr>
          <w:rFonts w:ascii="Times New Roman" w:eastAsiaTheme="minorHAnsi" w:hAnsi="Times New Roman" w:cs="Times New Roman"/>
          <w:color w:val="000000" w:themeColor="text1"/>
          <w:sz w:val="24"/>
          <w:szCs w:val="24"/>
          <w:lang w:eastAsia="en-US"/>
        </w:rPr>
        <w:t xml:space="preserve">Предмети јавних набавки који су били најзаступљенији у примени преговарачког поступка са </w:t>
      </w:r>
      <w:r w:rsidR="00070E1D" w:rsidRPr="00ED7784">
        <w:rPr>
          <w:rFonts w:ascii="Times New Roman" w:eastAsiaTheme="minorHAnsi" w:hAnsi="Times New Roman" w:cs="Times New Roman"/>
          <w:color w:val="000000" w:themeColor="text1"/>
          <w:sz w:val="24"/>
          <w:szCs w:val="24"/>
          <w:lang w:eastAsia="en-US"/>
        </w:rPr>
        <w:t>тачно одређеним понуђачем</w:t>
      </w:r>
      <w:r w:rsidR="006D5090" w:rsidRPr="00ED7784">
        <w:rPr>
          <w:rFonts w:ascii="Times New Roman" w:eastAsiaTheme="minorHAnsi" w:hAnsi="Times New Roman" w:cs="Times New Roman"/>
          <w:color w:val="000000" w:themeColor="text1"/>
          <w:sz w:val="24"/>
          <w:szCs w:val="24"/>
          <w:lang w:eastAsia="en-US"/>
        </w:rPr>
        <w:t>,</w:t>
      </w:r>
      <w:r w:rsidR="00C131AD">
        <w:rPr>
          <w:rFonts w:ascii="Times New Roman" w:eastAsiaTheme="minorHAnsi" w:hAnsi="Times New Roman" w:cs="Times New Roman"/>
          <w:color w:val="000000" w:themeColor="text1"/>
          <w:sz w:val="24"/>
          <w:szCs w:val="24"/>
          <w:lang w:eastAsia="en-US"/>
        </w:rPr>
        <w:t xml:space="preserve"> у 201</w:t>
      </w:r>
      <w:r w:rsidR="00DF3192">
        <w:rPr>
          <w:rFonts w:ascii="Times New Roman" w:eastAsiaTheme="minorHAnsi" w:hAnsi="Times New Roman" w:cs="Times New Roman"/>
          <w:color w:val="000000" w:themeColor="text1"/>
          <w:sz w:val="24"/>
          <w:szCs w:val="24"/>
          <w:lang w:val="sr-Latn-RS" w:eastAsia="en-US"/>
        </w:rPr>
        <w:t>9</w:t>
      </w:r>
      <w:r w:rsidR="00564A3F">
        <w:rPr>
          <w:rFonts w:ascii="Times New Roman" w:eastAsiaTheme="minorHAnsi" w:hAnsi="Times New Roman" w:cs="Times New Roman"/>
          <w:color w:val="000000" w:themeColor="text1"/>
          <w:sz w:val="24"/>
          <w:szCs w:val="24"/>
          <w:lang w:val="sr-Cyrl-RS" w:eastAsia="en-US"/>
        </w:rPr>
        <w:t>.</w:t>
      </w:r>
      <w:r w:rsidRPr="00ED7784">
        <w:rPr>
          <w:rFonts w:ascii="Times New Roman" w:eastAsiaTheme="minorHAnsi" w:hAnsi="Times New Roman" w:cs="Times New Roman"/>
          <w:color w:val="000000" w:themeColor="text1"/>
          <w:sz w:val="24"/>
          <w:szCs w:val="24"/>
          <w:lang w:eastAsia="en-US"/>
        </w:rPr>
        <w:t xml:space="preserve"> </w:t>
      </w:r>
      <w:r w:rsidR="004E5BA6" w:rsidRPr="00ED7784">
        <w:rPr>
          <w:rFonts w:ascii="Times New Roman" w:eastAsiaTheme="minorHAnsi" w:hAnsi="Times New Roman" w:cs="Times New Roman"/>
          <w:color w:val="000000" w:themeColor="text1"/>
          <w:sz w:val="24"/>
          <w:szCs w:val="24"/>
          <w:lang w:eastAsia="en-US"/>
        </w:rPr>
        <w:t>г</w:t>
      </w:r>
      <w:r w:rsidRPr="00ED7784">
        <w:rPr>
          <w:rFonts w:ascii="Times New Roman" w:eastAsiaTheme="minorHAnsi" w:hAnsi="Times New Roman" w:cs="Times New Roman"/>
          <w:color w:val="000000" w:themeColor="text1"/>
          <w:sz w:val="24"/>
          <w:szCs w:val="24"/>
          <w:lang w:eastAsia="en-US"/>
        </w:rPr>
        <w:t>одини</w:t>
      </w:r>
      <w:r w:rsidR="006D5090" w:rsidRPr="00ED7784">
        <w:rPr>
          <w:rFonts w:ascii="Times New Roman" w:eastAsiaTheme="minorHAnsi" w:hAnsi="Times New Roman" w:cs="Times New Roman"/>
          <w:color w:val="000000" w:themeColor="text1"/>
          <w:sz w:val="24"/>
          <w:szCs w:val="24"/>
          <w:lang w:eastAsia="en-US"/>
        </w:rPr>
        <w:t>,</w:t>
      </w:r>
      <w:r w:rsidRPr="00ED7784">
        <w:rPr>
          <w:rFonts w:ascii="Times New Roman" w:eastAsiaTheme="minorHAnsi" w:hAnsi="Times New Roman" w:cs="Times New Roman"/>
          <w:color w:val="000000" w:themeColor="text1"/>
          <w:sz w:val="24"/>
          <w:szCs w:val="24"/>
          <w:lang w:eastAsia="en-US"/>
        </w:rPr>
        <w:t xml:space="preserve"> били су:</w:t>
      </w:r>
      <w:r w:rsidR="006A2990" w:rsidRPr="00ED7784">
        <w:rPr>
          <w:rFonts w:ascii="Times New Roman" w:eastAsiaTheme="minorHAnsi" w:hAnsi="Times New Roman" w:cs="Times New Roman"/>
          <w:color w:val="000000" w:themeColor="text1"/>
          <w:sz w:val="24"/>
          <w:szCs w:val="24"/>
          <w:lang w:eastAsia="en-US"/>
        </w:rPr>
        <w:t xml:space="preserve"> </w:t>
      </w:r>
      <w:r w:rsidR="00563775">
        <w:rPr>
          <w:rFonts w:ascii="Times New Roman" w:eastAsiaTheme="minorHAnsi" w:hAnsi="Times New Roman" w:cs="Times New Roman"/>
          <w:color w:val="000000" w:themeColor="text1"/>
          <w:sz w:val="24"/>
          <w:szCs w:val="24"/>
          <w:lang w:val="sr-Cyrl-RS" w:eastAsia="en-US"/>
        </w:rPr>
        <w:t>грађевински радови,</w:t>
      </w:r>
      <w:r w:rsidR="00543245">
        <w:rPr>
          <w:rFonts w:ascii="Times New Roman" w:eastAsiaTheme="minorHAnsi" w:hAnsi="Times New Roman" w:cs="Times New Roman"/>
          <w:color w:val="000000" w:themeColor="text1"/>
          <w:sz w:val="24"/>
          <w:szCs w:val="24"/>
          <w:lang w:val="sr-Cyrl-RS" w:eastAsia="en-US"/>
        </w:rPr>
        <w:t xml:space="preserve"> </w:t>
      </w:r>
      <w:r w:rsidR="00543245" w:rsidRPr="00ED7784">
        <w:rPr>
          <w:rFonts w:ascii="Times New Roman" w:eastAsiaTheme="minorHAnsi" w:hAnsi="Times New Roman" w:cs="Times New Roman"/>
          <w:color w:val="000000" w:themeColor="text1"/>
          <w:sz w:val="24"/>
          <w:szCs w:val="24"/>
          <w:lang w:eastAsia="en-US"/>
        </w:rPr>
        <w:t>услуге информационе технологије</w:t>
      </w:r>
      <w:r w:rsidR="00543245">
        <w:rPr>
          <w:rFonts w:ascii="Times New Roman" w:eastAsiaTheme="minorHAnsi" w:hAnsi="Times New Roman" w:cs="Times New Roman"/>
          <w:color w:val="000000" w:themeColor="text1"/>
          <w:sz w:val="24"/>
          <w:szCs w:val="24"/>
          <w:lang w:val="sr-Cyrl-RS" w:eastAsia="en-US"/>
        </w:rPr>
        <w:t xml:space="preserve"> и </w:t>
      </w:r>
      <w:r w:rsidR="00564A3F">
        <w:rPr>
          <w:rFonts w:ascii="Times New Roman" w:eastAsiaTheme="minorHAnsi" w:hAnsi="Times New Roman" w:cs="Times New Roman"/>
          <w:color w:val="000000" w:themeColor="text1"/>
          <w:sz w:val="24"/>
          <w:szCs w:val="24"/>
          <w:lang w:val="sr-Cyrl-RS" w:eastAsia="en-US"/>
        </w:rPr>
        <w:t xml:space="preserve">услуге </w:t>
      </w:r>
      <w:r w:rsidR="00543245">
        <w:rPr>
          <w:rFonts w:ascii="Times New Roman" w:eastAsiaTheme="minorHAnsi" w:hAnsi="Times New Roman" w:cs="Times New Roman"/>
          <w:color w:val="000000" w:themeColor="text1"/>
          <w:sz w:val="24"/>
          <w:szCs w:val="24"/>
          <w:lang w:val="sr-Cyrl-RS" w:eastAsia="en-US"/>
        </w:rPr>
        <w:t>одржавања и поправки</w:t>
      </w:r>
      <w:r w:rsidR="00563775">
        <w:rPr>
          <w:rStyle w:val="FootnoteReference"/>
          <w:rFonts w:ascii="Times New Roman" w:eastAsiaTheme="minorHAnsi" w:hAnsi="Times New Roman" w:cs="Times New Roman"/>
          <w:color w:val="000000" w:themeColor="text1"/>
          <w:sz w:val="24"/>
          <w:szCs w:val="24"/>
          <w:lang w:eastAsia="en-US"/>
        </w:rPr>
        <w:footnoteReference w:id="2"/>
      </w:r>
      <w:r w:rsidR="00563775">
        <w:rPr>
          <w:rFonts w:ascii="Times New Roman" w:eastAsiaTheme="minorHAnsi" w:hAnsi="Times New Roman" w:cs="Times New Roman"/>
          <w:color w:val="000000" w:themeColor="text1"/>
          <w:sz w:val="24"/>
          <w:szCs w:val="24"/>
          <w:lang w:val="sr-Cyrl-RS" w:eastAsia="en-US"/>
        </w:rPr>
        <w:t>.</w:t>
      </w:r>
    </w:p>
    <w:p w14:paraId="4CD2E81C" w14:textId="77777777" w:rsidR="00206753" w:rsidRPr="0092552E" w:rsidRDefault="00206753" w:rsidP="005E5329">
      <w:pPr>
        <w:jc w:val="both"/>
        <w:rPr>
          <w:rFonts w:ascii="Times New Roman" w:eastAsiaTheme="minorHAnsi" w:hAnsi="Times New Roman" w:cs="Times New Roman"/>
          <w:color w:val="000000" w:themeColor="text1"/>
          <w:sz w:val="24"/>
          <w:szCs w:val="24"/>
          <w:lang w:val="sr-Cyrl-RS" w:eastAsia="en-US"/>
        </w:rPr>
      </w:pPr>
    </w:p>
    <w:p w14:paraId="7DF6B25A" w14:textId="77777777" w:rsidR="001453FB" w:rsidRPr="001E21D6" w:rsidRDefault="001453FB" w:rsidP="00960A8C">
      <w:pPr>
        <w:pStyle w:val="ListParagraph"/>
        <w:numPr>
          <w:ilvl w:val="0"/>
          <w:numId w:val="2"/>
        </w:numPr>
        <w:spacing w:after="240"/>
        <w:ind w:left="714" w:hanging="357"/>
        <w:jc w:val="both"/>
        <w:rPr>
          <w:rFonts w:ascii="Times New Roman" w:hAnsi="Times New Roman" w:cs="Times New Roman"/>
          <w:b/>
          <w:sz w:val="24"/>
          <w:szCs w:val="24"/>
        </w:rPr>
      </w:pPr>
      <w:r w:rsidRPr="001E21D6">
        <w:rPr>
          <w:rFonts w:ascii="Times New Roman" w:hAnsi="Times New Roman" w:cs="Times New Roman"/>
          <w:b/>
          <w:sz w:val="24"/>
          <w:szCs w:val="24"/>
        </w:rPr>
        <w:t>РЕГИСТАР ПОНУЂАЧА</w:t>
      </w:r>
    </w:p>
    <w:p w14:paraId="5C7B90A3" w14:textId="26AF4889" w:rsidR="00563775" w:rsidRDefault="00E9515B" w:rsidP="005E5329">
      <w:pPr>
        <w:jc w:val="both"/>
        <w:rPr>
          <w:rFonts w:ascii="Times New Roman" w:hAnsi="Times New Roman" w:cs="Times New Roman"/>
          <w:color w:val="000000" w:themeColor="text1"/>
          <w:sz w:val="24"/>
          <w:szCs w:val="24"/>
        </w:rPr>
      </w:pPr>
      <w:r w:rsidRPr="005E5329">
        <w:rPr>
          <w:rFonts w:ascii="Times New Roman" w:hAnsi="Times New Roman" w:cs="Times New Roman"/>
          <w:sz w:val="24"/>
          <w:szCs w:val="24"/>
        </w:rPr>
        <w:t xml:space="preserve">Регистар понуђача почео је са радом 1. септембра 2013. године и води га </w:t>
      </w:r>
      <w:r w:rsidR="002E0EC4">
        <w:rPr>
          <w:rFonts w:ascii="Times New Roman" w:hAnsi="Times New Roman" w:cs="Times New Roman"/>
          <w:sz w:val="24"/>
          <w:szCs w:val="24"/>
        </w:rPr>
        <w:t>Агенција за привредне регистре</w:t>
      </w:r>
      <w:r w:rsidR="00076197">
        <w:rPr>
          <w:rFonts w:ascii="Times New Roman" w:hAnsi="Times New Roman" w:cs="Times New Roman"/>
          <w:sz w:val="24"/>
          <w:szCs w:val="24"/>
        </w:rPr>
        <w:t>.  О томе колико</w:t>
      </w:r>
      <w:r w:rsidRPr="005E5329">
        <w:rPr>
          <w:rFonts w:ascii="Times New Roman" w:hAnsi="Times New Roman" w:cs="Times New Roman"/>
          <w:sz w:val="24"/>
          <w:szCs w:val="24"/>
        </w:rPr>
        <w:t xml:space="preserve"> је Регистар користан </w:t>
      </w:r>
      <w:r w:rsidR="00076197">
        <w:rPr>
          <w:rFonts w:ascii="Times New Roman" w:hAnsi="Times New Roman" w:cs="Times New Roman"/>
          <w:sz w:val="24"/>
          <w:szCs w:val="24"/>
        </w:rPr>
        <w:t xml:space="preserve">понуђачима сведочи њихово </w:t>
      </w:r>
      <w:r w:rsidRPr="005E5329">
        <w:rPr>
          <w:rFonts w:ascii="Times New Roman" w:hAnsi="Times New Roman" w:cs="Times New Roman"/>
          <w:sz w:val="24"/>
          <w:szCs w:val="24"/>
        </w:rPr>
        <w:t xml:space="preserve">интересовање </w:t>
      </w:r>
      <w:r w:rsidR="00076197">
        <w:rPr>
          <w:rFonts w:ascii="Times New Roman" w:hAnsi="Times New Roman" w:cs="Times New Roman"/>
          <w:sz w:val="24"/>
          <w:szCs w:val="24"/>
        </w:rPr>
        <w:t xml:space="preserve">за упис у Регистар које расте из године у годину </w:t>
      </w:r>
      <w:r w:rsidR="000F5D7F">
        <w:rPr>
          <w:rFonts w:ascii="Times New Roman" w:hAnsi="Times New Roman" w:cs="Times New Roman"/>
          <w:color w:val="000000" w:themeColor="text1"/>
          <w:sz w:val="24"/>
          <w:szCs w:val="24"/>
        </w:rPr>
        <w:t>(Слика 9</w:t>
      </w:r>
      <w:r w:rsidR="00076197" w:rsidRPr="00ED7784">
        <w:rPr>
          <w:rFonts w:ascii="Times New Roman" w:hAnsi="Times New Roman" w:cs="Times New Roman"/>
          <w:color w:val="000000" w:themeColor="text1"/>
          <w:sz w:val="24"/>
          <w:szCs w:val="24"/>
        </w:rPr>
        <w:t>)</w:t>
      </w:r>
      <w:r w:rsidR="001B30C0" w:rsidRPr="00ED7784">
        <w:rPr>
          <w:rFonts w:ascii="Times New Roman" w:hAnsi="Times New Roman" w:cs="Times New Roman"/>
          <w:color w:val="000000" w:themeColor="text1"/>
          <w:sz w:val="24"/>
          <w:szCs w:val="24"/>
        </w:rPr>
        <w:t>.</w:t>
      </w:r>
    </w:p>
    <w:p w14:paraId="34C1F9C4" w14:textId="1AD9F8A7" w:rsidR="00B055F7" w:rsidRDefault="00B055F7" w:rsidP="005E5329">
      <w:pPr>
        <w:jc w:val="both"/>
        <w:rPr>
          <w:rFonts w:ascii="Times New Roman" w:hAnsi="Times New Roman" w:cs="Times New Roman"/>
          <w:color w:val="000000" w:themeColor="text1"/>
          <w:sz w:val="24"/>
          <w:szCs w:val="24"/>
        </w:rPr>
      </w:pPr>
    </w:p>
    <w:p w14:paraId="3724E733" w14:textId="2120DD87" w:rsidR="00B055F7" w:rsidRDefault="00B055F7" w:rsidP="005E5329">
      <w:pPr>
        <w:jc w:val="both"/>
        <w:rPr>
          <w:rFonts w:ascii="Times New Roman" w:hAnsi="Times New Roman" w:cs="Times New Roman"/>
          <w:color w:val="000000" w:themeColor="text1"/>
          <w:sz w:val="24"/>
          <w:szCs w:val="24"/>
          <w:lang w:val="en-US"/>
        </w:rPr>
      </w:pPr>
    </w:p>
    <w:p w14:paraId="04DF3FD7" w14:textId="1FE1B022" w:rsidR="00AE1769" w:rsidRDefault="00AE1769" w:rsidP="005E5329">
      <w:pPr>
        <w:jc w:val="both"/>
        <w:rPr>
          <w:rFonts w:ascii="Times New Roman" w:hAnsi="Times New Roman" w:cs="Times New Roman"/>
          <w:color w:val="000000" w:themeColor="text1"/>
          <w:sz w:val="24"/>
          <w:szCs w:val="24"/>
          <w:lang w:val="en-US"/>
        </w:rPr>
      </w:pPr>
    </w:p>
    <w:p w14:paraId="302ED082" w14:textId="62616DBB" w:rsidR="00AE1769" w:rsidRDefault="00AE1769" w:rsidP="005E5329">
      <w:pPr>
        <w:jc w:val="both"/>
        <w:rPr>
          <w:rFonts w:ascii="Times New Roman" w:hAnsi="Times New Roman" w:cs="Times New Roman"/>
          <w:color w:val="000000" w:themeColor="text1"/>
          <w:sz w:val="24"/>
          <w:szCs w:val="24"/>
          <w:lang w:val="en-US"/>
        </w:rPr>
      </w:pPr>
    </w:p>
    <w:p w14:paraId="4EBB7F5E" w14:textId="77777777" w:rsidR="009C5489" w:rsidRDefault="009C5489" w:rsidP="005E5329">
      <w:pPr>
        <w:jc w:val="both"/>
        <w:rPr>
          <w:rFonts w:ascii="Times New Roman" w:hAnsi="Times New Roman" w:cs="Times New Roman"/>
          <w:color w:val="000000" w:themeColor="text1"/>
          <w:sz w:val="24"/>
          <w:szCs w:val="24"/>
          <w:lang w:val="en-US"/>
        </w:rPr>
      </w:pPr>
    </w:p>
    <w:p w14:paraId="3DE2211A" w14:textId="36C7846A" w:rsidR="00AE1769" w:rsidRDefault="00AE1769" w:rsidP="005E5329">
      <w:pPr>
        <w:jc w:val="both"/>
        <w:rPr>
          <w:rFonts w:ascii="Times New Roman" w:hAnsi="Times New Roman" w:cs="Times New Roman"/>
          <w:color w:val="000000" w:themeColor="text1"/>
          <w:sz w:val="24"/>
          <w:szCs w:val="24"/>
          <w:lang w:val="en-US"/>
        </w:rPr>
      </w:pPr>
    </w:p>
    <w:p w14:paraId="51F868F9" w14:textId="2A51F477" w:rsidR="00836F35" w:rsidRPr="00BE7D6A" w:rsidRDefault="00563775" w:rsidP="005E532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RS"/>
        </w:rPr>
        <w:lastRenderedPageBreak/>
        <w:t xml:space="preserve">                            </w:t>
      </w:r>
      <w:r w:rsidR="000F5D7F">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 xml:space="preserve"> </w:t>
      </w:r>
      <w:r w:rsidR="00F01DFC" w:rsidRPr="00ED7784">
        <w:rPr>
          <w:rFonts w:ascii="Times New Roman" w:hAnsi="Times New Roman" w:cs="Times New Roman"/>
          <w:b/>
          <w:color w:val="000000" w:themeColor="text1"/>
          <w:sz w:val="24"/>
          <w:szCs w:val="24"/>
          <w:lang w:val="en-US"/>
        </w:rPr>
        <w:t xml:space="preserve"> </w:t>
      </w:r>
      <w:r w:rsidR="00836F35" w:rsidRPr="00BE7D6A">
        <w:rPr>
          <w:rFonts w:ascii="Times New Roman" w:hAnsi="Times New Roman" w:cs="Times New Roman"/>
          <w:b/>
          <w:color w:val="000000" w:themeColor="text1"/>
          <w:sz w:val="24"/>
          <w:szCs w:val="24"/>
        </w:rPr>
        <w:t xml:space="preserve">Слика </w:t>
      </w:r>
      <w:r w:rsidR="000F5D7F">
        <w:rPr>
          <w:rFonts w:ascii="Times New Roman" w:hAnsi="Times New Roman" w:cs="Times New Roman"/>
          <w:b/>
          <w:color w:val="000000" w:themeColor="text1"/>
          <w:sz w:val="24"/>
          <w:szCs w:val="24"/>
        </w:rPr>
        <w:t>9</w:t>
      </w:r>
    </w:p>
    <w:p w14:paraId="41E00268" w14:textId="69E4F422" w:rsidR="00A300BE" w:rsidRDefault="004B2EE2" w:rsidP="00EB7FA5">
      <w:pPr>
        <w:jc w:val="center"/>
        <w:rPr>
          <w:rFonts w:ascii="Times New Roman" w:hAnsi="Times New Roman" w:cs="Times New Roman"/>
          <w:sz w:val="24"/>
          <w:szCs w:val="24"/>
          <w:lang w:val="en-US"/>
        </w:rPr>
      </w:pPr>
      <w:r>
        <w:rPr>
          <w:noProof/>
          <w:lang w:val="sr-Cyrl-RS" w:eastAsia="sr-Cyrl-RS"/>
        </w:rPr>
        <w:drawing>
          <wp:inline distT="0" distB="0" distL="0" distR="0" wp14:anchorId="0FDE135C" wp14:editId="5D96E77F">
            <wp:extent cx="4616823" cy="2868295"/>
            <wp:effectExtent l="0" t="0" r="1270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76B716" w14:textId="77777777" w:rsidR="00C421EE" w:rsidRDefault="00C421EE" w:rsidP="00EB7FA5">
      <w:pPr>
        <w:jc w:val="center"/>
        <w:rPr>
          <w:rFonts w:ascii="Times New Roman" w:hAnsi="Times New Roman" w:cs="Times New Roman"/>
          <w:sz w:val="24"/>
          <w:szCs w:val="24"/>
          <w:lang w:val="en-US"/>
        </w:rPr>
      </w:pPr>
    </w:p>
    <w:p w14:paraId="49C9237A" w14:textId="77777777" w:rsidR="0090382C" w:rsidRPr="00700497" w:rsidRDefault="00B63848" w:rsidP="00960A8C">
      <w:pPr>
        <w:pStyle w:val="ListParagraph"/>
        <w:numPr>
          <w:ilvl w:val="0"/>
          <w:numId w:val="2"/>
        </w:numPr>
        <w:spacing w:after="360"/>
        <w:ind w:left="714" w:hanging="357"/>
        <w:jc w:val="both"/>
        <w:rPr>
          <w:rFonts w:ascii="Times New Roman" w:hAnsi="Times New Roman" w:cs="Times New Roman"/>
          <w:b/>
          <w:sz w:val="24"/>
          <w:szCs w:val="24"/>
        </w:rPr>
      </w:pPr>
      <w:r w:rsidRPr="001E21D6">
        <w:rPr>
          <w:rFonts w:ascii="Times New Roman" w:hAnsi="Times New Roman" w:cs="Times New Roman"/>
          <w:b/>
          <w:sz w:val="24"/>
          <w:szCs w:val="24"/>
        </w:rPr>
        <w:t>ПОРТАЛ</w:t>
      </w:r>
      <w:r w:rsidR="00F62E82" w:rsidRPr="001E21D6">
        <w:rPr>
          <w:rFonts w:ascii="Times New Roman" w:hAnsi="Times New Roman" w:cs="Times New Roman"/>
          <w:b/>
          <w:sz w:val="24"/>
          <w:szCs w:val="24"/>
        </w:rPr>
        <w:t xml:space="preserve"> </w:t>
      </w:r>
      <w:r w:rsidR="00265D9F" w:rsidRPr="001E21D6">
        <w:rPr>
          <w:rFonts w:ascii="Times New Roman" w:hAnsi="Times New Roman" w:cs="Times New Roman"/>
          <w:b/>
          <w:sz w:val="24"/>
          <w:szCs w:val="24"/>
        </w:rPr>
        <w:t>ЈАВНИХ</w:t>
      </w:r>
      <w:r w:rsidR="00F62E82" w:rsidRPr="001E21D6">
        <w:rPr>
          <w:rFonts w:ascii="Times New Roman" w:hAnsi="Times New Roman" w:cs="Times New Roman"/>
          <w:b/>
          <w:sz w:val="24"/>
          <w:szCs w:val="24"/>
        </w:rPr>
        <w:t xml:space="preserve"> </w:t>
      </w:r>
      <w:r w:rsidR="0090382C" w:rsidRPr="001E21D6">
        <w:rPr>
          <w:rFonts w:ascii="Times New Roman" w:hAnsi="Times New Roman" w:cs="Times New Roman"/>
          <w:b/>
          <w:sz w:val="24"/>
          <w:szCs w:val="24"/>
        </w:rPr>
        <w:t>НАБАВКИ</w:t>
      </w:r>
    </w:p>
    <w:p w14:paraId="0BBDFAF6" w14:textId="11FD005C" w:rsidR="004B2EE2" w:rsidRDefault="004E06A7" w:rsidP="000F5D7F">
      <w:pPr>
        <w:jc w:val="both"/>
        <w:rPr>
          <w:rFonts w:ascii="Times New Roman" w:hAnsi="Times New Roman" w:cs="Times New Roman"/>
          <w:b/>
          <w:color w:val="000000" w:themeColor="text1"/>
          <w:sz w:val="24"/>
          <w:szCs w:val="24"/>
          <w:lang w:val="sr-Cyrl-CS"/>
        </w:rPr>
      </w:pPr>
      <w:r w:rsidRPr="00ED7784">
        <w:rPr>
          <w:rFonts w:ascii="Times New Roman" w:hAnsi="Times New Roman" w:cs="Times New Roman"/>
          <w:color w:val="000000" w:themeColor="text1"/>
          <w:sz w:val="24"/>
          <w:szCs w:val="24"/>
        </w:rPr>
        <w:t>Број јавних набавки обја</w:t>
      </w:r>
      <w:r w:rsidR="00DB5468" w:rsidRPr="00ED7784">
        <w:rPr>
          <w:rFonts w:ascii="Times New Roman" w:hAnsi="Times New Roman" w:cs="Times New Roman"/>
          <w:color w:val="000000" w:themeColor="text1"/>
          <w:sz w:val="24"/>
          <w:szCs w:val="24"/>
        </w:rPr>
        <w:t>вљених на Порталу</w:t>
      </w:r>
      <w:r w:rsidR="004B2EE2">
        <w:rPr>
          <w:rFonts w:ascii="Times New Roman" w:hAnsi="Times New Roman" w:cs="Times New Roman"/>
          <w:color w:val="000000" w:themeColor="text1"/>
          <w:sz w:val="24"/>
          <w:szCs w:val="24"/>
        </w:rPr>
        <w:t xml:space="preserve"> повећао се у 2019</w:t>
      </w:r>
      <w:r w:rsidR="0082440D" w:rsidRPr="00ED7784">
        <w:rPr>
          <w:rFonts w:ascii="Times New Roman" w:hAnsi="Times New Roman" w:cs="Times New Roman"/>
          <w:color w:val="000000" w:themeColor="text1"/>
          <w:sz w:val="24"/>
          <w:szCs w:val="24"/>
        </w:rPr>
        <w:t>.</w:t>
      </w:r>
      <w:r w:rsidRPr="00ED7784">
        <w:rPr>
          <w:rFonts w:ascii="Times New Roman" w:hAnsi="Times New Roman" w:cs="Times New Roman"/>
          <w:color w:val="000000" w:themeColor="text1"/>
          <w:sz w:val="24"/>
          <w:szCs w:val="24"/>
        </w:rPr>
        <w:t xml:space="preserve"> у односу на претходну</w:t>
      </w:r>
      <w:r w:rsidR="004B2EE2">
        <w:rPr>
          <w:rFonts w:ascii="Times New Roman" w:hAnsi="Times New Roman" w:cs="Times New Roman"/>
          <w:color w:val="000000" w:themeColor="text1"/>
          <w:sz w:val="24"/>
          <w:szCs w:val="24"/>
        </w:rPr>
        <w:t xml:space="preserve"> годину за 867</w:t>
      </w:r>
      <w:r w:rsidR="0082440D" w:rsidRPr="00ED7784">
        <w:rPr>
          <w:rFonts w:ascii="Times New Roman" w:hAnsi="Times New Roman" w:cs="Times New Roman"/>
          <w:color w:val="000000" w:themeColor="text1"/>
          <w:sz w:val="24"/>
          <w:szCs w:val="24"/>
        </w:rPr>
        <w:t xml:space="preserve"> </w:t>
      </w:r>
      <w:r w:rsidR="000F5D7F">
        <w:rPr>
          <w:rFonts w:ascii="Times New Roman" w:hAnsi="Times New Roman" w:cs="Times New Roman"/>
          <w:color w:val="000000" w:themeColor="text1"/>
          <w:sz w:val="24"/>
          <w:szCs w:val="24"/>
        </w:rPr>
        <w:t>(Слика 10</w:t>
      </w:r>
      <w:r w:rsidR="00DB5468" w:rsidRPr="00ED7784">
        <w:rPr>
          <w:rFonts w:ascii="Times New Roman" w:hAnsi="Times New Roman" w:cs="Times New Roman"/>
          <w:color w:val="000000" w:themeColor="text1"/>
          <w:sz w:val="24"/>
          <w:szCs w:val="24"/>
        </w:rPr>
        <w:t xml:space="preserve">). </w:t>
      </w:r>
      <w:r w:rsidR="00E762DD">
        <w:rPr>
          <w:rFonts w:ascii="Times New Roman" w:hAnsi="Times New Roman" w:cs="Times New Roman"/>
          <w:color w:val="000000" w:themeColor="text1"/>
          <w:sz w:val="24"/>
          <w:szCs w:val="24"/>
        </w:rPr>
        <w:t xml:space="preserve">И поред </w:t>
      </w:r>
      <w:r w:rsidR="00764BCB">
        <w:rPr>
          <w:rFonts w:ascii="Times New Roman" w:hAnsi="Times New Roman" w:cs="Times New Roman"/>
          <w:color w:val="000000" w:themeColor="text1"/>
          <w:sz w:val="24"/>
          <w:szCs w:val="24"/>
        </w:rPr>
        <w:t>увођења</w:t>
      </w:r>
      <w:r w:rsidR="00E762DD">
        <w:rPr>
          <w:rFonts w:ascii="Times New Roman" w:hAnsi="Times New Roman" w:cs="Times New Roman"/>
          <w:color w:val="000000" w:themeColor="text1"/>
          <w:sz w:val="24"/>
          <w:szCs w:val="24"/>
        </w:rPr>
        <w:t xml:space="preserve"> оквирног споразума број</w:t>
      </w:r>
      <w:r w:rsidR="0082440D" w:rsidRPr="00ED7784">
        <w:rPr>
          <w:rFonts w:ascii="Times New Roman" w:hAnsi="Times New Roman" w:cs="Times New Roman"/>
          <w:color w:val="000000" w:themeColor="text1"/>
          <w:sz w:val="24"/>
          <w:szCs w:val="24"/>
        </w:rPr>
        <w:t xml:space="preserve"> обја</w:t>
      </w:r>
      <w:r w:rsidR="00E762DD">
        <w:rPr>
          <w:rFonts w:ascii="Times New Roman" w:hAnsi="Times New Roman" w:cs="Times New Roman"/>
          <w:color w:val="000000" w:themeColor="text1"/>
          <w:sz w:val="24"/>
          <w:szCs w:val="24"/>
        </w:rPr>
        <w:t>вљених јавних набавки поново је порастао на ниво на којем је био у</w:t>
      </w:r>
      <w:r w:rsidR="0082440D" w:rsidRPr="00ED7784">
        <w:rPr>
          <w:rFonts w:ascii="Times New Roman" w:hAnsi="Times New Roman" w:cs="Times New Roman"/>
          <w:color w:val="000000" w:themeColor="text1"/>
          <w:sz w:val="24"/>
          <w:szCs w:val="24"/>
        </w:rPr>
        <w:t xml:space="preserve"> 2014</w:t>
      </w:r>
      <w:r w:rsidR="00791E74">
        <w:rPr>
          <w:rFonts w:ascii="Times New Roman" w:hAnsi="Times New Roman" w:cs="Times New Roman"/>
          <w:color w:val="000000" w:themeColor="text1"/>
          <w:sz w:val="24"/>
          <w:szCs w:val="24"/>
        </w:rPr>
        <w:t>.</w:t>
      </w:r>
      <w:r w:rsidR="00E762DD">
        <w:rPr>
          <w:rFonts w:ascii="Times New Roman" w:hAnsi="Times New Roman" w:cs="Times New Roman"/>
          <w:color w:val="000000" w:themeColor="text1"/>
          <w:sz w:val="24"/>
          <w:szCs w:val="24"/>
        </w:rPr>
        <w:t xml:space="preserve"> и 2015. години</w:t>
      </w:r>
      <w:r w:rsidR="001A5AE4" w:rsidRPr="00ED7784">
        <w:rPr>
          <w:rFonts w:ascii="Times New Roman" w:hAnsi="Times New Roman" w:cs="Times New Roman"/>
          <w:color w:val="000000" w:themeColor="text1"/>
          <w:sz w:val="24"/>
          <w:szCs w:val="24"/>
        </w:rPr>
        <w:t>.</w:t>
      </w:r>
      <w:r w:rsidR="0082440D" w:rsidRPr="00ED7784">
        <w:rPr>
          <w:rFonts w:ascii="Times New Roman" w:hAnsi="Times New Roman" w:cs="Times New Roman"/>
          <w:color w:val="000000" w:themeColor="text1"/>
          <w:sz w:val="24"/>
          <w:szCs w:val="24"/>
        </w:rPr>
        <w:t xml:space="preserve"> </w:t>
      </w:r>
      <w:r w:rsidR="00002620" w:rsidRPr="00ED7784">
        <w:rPr>
          <w:rFonts w:ascii="Times New Roman" w:hAnsi="Times New Roman" w:cs="Times New Roman"/>
          <w:color w:val="000000" w:themeColor="text1"/>
          <w:sz w:val="24"/>
          <w:szCs w:val="24"/>
        </w:rPr>
        <w:t>Чињеница да оквирни споразуми</w:t>
      </w:r>
      <w:r w:rsidR="0091123D" w:rsidRPr="00ED7784">
        <w:rPr>
          <w:rFonts w:ascii="Times New Roman" w:hAnsi="Times New Roman" w:cs="Times New Roman"/>
          <w:color w:val="000000" w:themeColor="text1"/>
          <w:sz w:val="24"/>
          <w:szCs w:val="24"/>
        </w:rPr>
        <w:t xml:space="preserve"> омогућавају </w:t>
      </w:r>
      <w:r w:rsidR="001A5AE4" w:rsidRPr="00ED7784">
        <w:rPr>
          <w:rFonts w:ascii="Times New Roman" w:hAnsi="Times New Roman" w:cs="Times New Roman"/>
          <w:color w:val="000000" w:themeColor="text1"/>
          <w:sz w:val="24"/>
          <w:szCs w:val="24"/>
        </w:rPr>
        <w:t xml:space="preserve">да </w:t>
      </w:r>
      <w:r w:rsidR="00DB5468" w:rsidRPr="00ED7784">
        <w:rPr>
          <w:rFonts w:ascii="Times New Roman" w:hAnsi="Times New Roman" w:cs="Times New Roman"/>
          <w:color w:val="000000" w:themeColor="text1"/>
          <w:sz w:val="24"/>
          <w:szCs w:val="24"/>
        </w:rPr>
        <w:t>се н</w:t>
      </w:r>
      <w:r w:rsidRPr="00ED7784">
        <w:rPr>
          <w:rFonts w:ascii="Times New Roman" w:hAnsi="Times New Roman" w:cs="Times New Roman"/>
          <w:color w:val="000000" w:themeColor="text1"/>
          <w:sz w:val="24"/>
          <w:szCs w:val="24"/>
        </w:rPr>
        <w:t>а основу једног поступка јавне наба</w:t>
      </w:r>
      <w:r w:rsidR="00F3581F">
        <w:rPr>
          <w:rFonts w:ascii="Times New Roman" w:hAnsi="Times New Roman" w:cs="Times New Roman"/>
          <w:color w:val="000000" w:themeColor="text1"/>
          <w:sz w:val="24"/>
          <w:szCs w:val="24"/>
        </w:rPr>
        <w:t>в</w:t>
      </w:r>
      <w:r w:rsidRPr="00ED7784">
        <w:rPr>
          <w:rFonts w:ascii="Times New Roman" w:hAnsi="Times New Roman" w:cs="Times New Roman"/>
          <w:color w:val="000000" w:themeColor="text1"/>
          <w:sz w:val="24"/>
          <w:szCs w:val="24"/>
        </w:rPr>
        <w:t>ке може закључити више уговора, да га може закључити више н</w:t>
      </w:r>
      <w:r w:rsidR="001A5AE4" w:rsidRPr="00ED7784">
        <w:rPr>
          <w:rFonts w:ascii="Times New Roman" w:hAnsi="Times New Roman" w:cs="Times New Roman"/>
          <w:color w:val="000000" w:themeColor="text1"/>
          <w:sz w:val="24"/>
          <w:szCs w:val="24"/>
        </w:rPr>
        <w:t>аручилаца и да може трајати неколико</w:t>
      </w:r>
      <w:r w:rsidRPr="00ED7784">
        <w:rPr>
          <w:rFonts w:ascii="Times New Roman" w:hAnsi="Times New Roman" w:cs="Times New Roman"/>
          <w:color w:val="000000" w:themeColor="text1"/>
          <w:sz w:val="24"/>
          <w:szCs w:val="24"/>
        </w:rPr>
        <w:t xml:space="preserve"> година</w:t>
      </w:r>
      <w:r w:rsidR="00002620" w:rsidRPr="00ED7784">
        <w:rPr>
          <w:rFonts w:ascii="Times New Roman" w:hAnsi="Times New Roman" w:cs="Times New Roman"/>
          <w:color w:val="000000" w:themeColor="text1"/>
          <w:sz w:val="24"/>
          <w:szCs w:val="24"/>
        </w:rPr>
        <w:t xml:space="preserve"> имала је за резултат</w:t>
      </w:r>
      <w:r w:rsidR="001A5AE4" w:rsidRPr="00ED7784">
        <w:rPr>
          <w:rFonts w:ascii="Times New Roman" w:hAnsi="Times New Roman" w:cs="Times New Roman"/>
          <w:color w:val="000000" w:themeColor="text1"/>
          <w:sz w:val="24"/>
          <w:szCs w:val="24"/>
        </w:rPr>
        <w:t xml:space="preserve"> да се смањује број </w:t>
      </w:r>
      <w:r w:rsidR="0091123D" w:rsidRPr="00ED7784">
        <w:rPr>
          <w:rFonts w:ascii="Times New Roman" w:hAnsi="Times New Roman" w:cs="Times New Roman"/>
          <w:color w:val="000000" w:themeColor="text1"/>
          <w:sz w:val="24"/>
          <w:szCs w:val="24"/>
        </w:rPr>
        <w:t>поступака јавне набавке. У случају када закљученом уговору претходи поступак јавне набавке (другим речима, када се не примењује оквирни споразум)</w:t>
      </w:r>
      <w:r w:rsidRPr="00ED7784">
        <w:rPr>
          <w:rFonts w:ascii="Times New Roman" w:hAnsi="Times New Roman" w:cs="Times New Roman"/>
          <w:color w:val="000000" w:themeColor="text1"/>
          <w:sz w:val="24"/>
          <w:szCs w:val="24"/>
        </w:rPr>
        <w:t xml:space="preserve"> </w:t>
      </w:r>
      <w:r w:rsidR="0091123D" w:rsidRPr="00ED7784">
        <w:rPr>
          <w:rFonts w:ascii="Times New Roman" w:hAnsi="Times New Roman" w:cs="Times New Roman"/>
          <w:color w:val="000000" w:themeColor="text1"/>
          <w:sz w:val="24"/>
          <w:szCs w:val="24"/>
        </w:rPr>
        <w:t>за сваки од њих се објављује јавни позив на Порталу</w:t>
      </w:r>
      <w:r w:rsidRPr="00ED7784">
        <w:rPr>
          <w:rFonts w:ascii="Times New Roman" w:hAnsi="Times New Roman" w:cs="Times New Roman"/>
          <w:color w:val="000000" w:themeColor="text1"/>
          <w:sz w:val="24"/>
          <w:szCs w:val="24"/>
        </w:rPr>
        <w:t>.</w:t>
      </w:r>
      <w:r w:rsidR="000F5D7F">
        <w:rPr>
          <w:rFonts w:ascii="Times New Roman" w:hAnsi="Times New Roman" w:cs="Times New Roman"/>
          <w:color w:val="000000" w:themeColor="text1"/>
          <w:sz w:val="24"/>
          <w:szCs w:val="24"/>
        </w:rPr>
        <w:t xml:space="preserve"> </w:t>
      </w:r>
    </w:p>
    <w:p w14:paraId="36C344C1" w14:textId="0E84D0EE" w:rsidR="00F32666" w:rsidRPr="00BE7D6A" w:rsidRDefault="003D318B" w:rsidP="00700497">
      <w:pP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4B2EE2">
        <w:rPr>
          <w:rFonts w:ascii="Times New Roman" w:hAnsi="Times New Roman" w:cs="Times New Roman"/>
          <w:b/>
          <w:color w:val="000000" w:themeColor="text1"/>
          <w:sz w:val="24"/>
          <w:szCs w:val="24"/>
          <w:lang w:val="sr-Cyrl-CS"/>
        </w:rPr>
        <w:t xml:space="preserve">                        </w:t>
      </w:r>
      <w:r>
        <w:rPr>
          <w:rFonts w:ascii="Times New Roman" w:hAnsi="Times New Roman" w:cs="Times New Roman"/>
          <w:b/>
          <w:color w:val="000000" w:themeColor="text1"/>
          <w:sz w:val="24"/>
          <w:szCs w:val="24"/>
          <w:lang w:val="sr-Cyrl-CS"/>
        </w:rPr>
        <w:t xml:space="preserve">  </w:t>
      </w:r>
      <w:r w:rsidR="00F32666" w:rsidRPr="00BE7D6A">
        <w:rPr>
          <w:rFonts w:ascii="Times New Roman" w:hAnsi="Times New Roman" w:cs="Times New Roman"/>
          <w:b/>
          <w:color w:val="000000" w:themeColor="text1"/>
          <w:sz w:val="24"/>
          <w:szCs w:val="24"/>
        </w:rPr>
        <w:t xml:space="preserve">Слика </w:t>
      </w:r>
      <w:r w:rsidR="000F5D7F">
        <w:rPr>
          <w:rFonts w:ascii="Times New Roman" w:hAnsi="Times New Roman" w:cs="Times New Roman"/>
          <w:b/>
          <w:color w:val="000000" w:themeColor="text1"/>
          <w:sz w:val="24"/>
          <w:szCs w:val="24"/>
        </w:rPr>
        <w:t>10</w:t>
      </w:r>
    </w:p>
    <w:p w14:paraId="7C317DFF" w14:textId="6603E830" w:rsidR="006E087E" w:rsidRPr="0092552E" w:rsidRDefault="00CC32B8" w:rsidP="009234CB">
      <w:pPr>
        <w:jc w:val="center"/>
        <w:rPr>
          <w:rFonts w:ascii="Times New Roman" w:hAnsi="Times New Roman" w:cs="Times New Roman"/>
          <w:sz w:val="24"/>
          <w:szCs w:val="24"/>
          <w:lang w:val="sr-Latn-RS"/>
        </w:rPr>
      </w:pPr>
      <w:r>
        <w:rPr>
          <w:noProof/>
          <w:lang w:val="sr-Cyrl-RS" w:eastAsia="sr-Cyrl-RS"/>
        </w:rPr>
        <w:drawing>
          <wp:inline distT="0" distB="0" distL="0" distR="0" wp14:anchorId="50998D1D" wp14:editId="32904C6C">
            <wp:extent cx="5686677" cy="2725271"/>
            <wp:effectExtent l="0" t="0" r="9525"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3778D3" w14:textId="18390013" w:rsidR="00D16263" w:rsidRDefault="003D318B" w:rsidP="00002620">
      <w:pPr>
        <w:jc w:val="both"/>
        <w:rPr>
          <w:rFonts w:ascii="Times New Roman" w:hAnsi="Times New Roman" w:cs="Times New Roman"/>
          <w:color w:val="000000" w:themeColor="text1"/>
          <w:sz w:val="24"/>
          <w:szCs w:val="24"/>
          <w:lang w:val="sr-Latn-RS"/>
        </w:rPr>
      </w:pPr>
      <w:r>
        <w:rPr>
          <w:rFonts w:ascii="Times New Roman" w:hAnsi="Times New Roman" w:cs="Times New Roman"/>
          <w:sz w:val="24"/>
          <w:szCs w:val="24"/>
        </w:rPr>
        <w:lastRenderedPageBreak/>
        <w:t>Број посета Порталу з</w:t>
      </w:r>
      <w:r w:rsidR="00CC32B8">
        <w:rPr>
          <w:rFonts w:ascii="Times New Roman" w:hAnsi="Times New Roman" w:cs="Times New Roman"/>
          <w:sz w:val="24"/>
          <w:szCs w:val="24"/>
        </w:rPr>
        <w:t>адржао је висок ниво</w:t>
      </w:r>
      <w:r w:rsidR="00002620">
        <w:rPr>
          <w:rFonts w:ascii="Times New Roman" w:hAnsi="Times New Roman" w:cs="Times New Roman"/>
          <w:sz w:val="24"/>
          <w:szCs w:val="24"/>
        </w:rPr>
        <w:t xml:space="preserve"> </w:t>
      </w:r>
      <w:r w:rsidR="00721DAD">
        <w:rPr>
          <w:rFonts w:ascii="Times New Roman" w:hAnsi="Times New Roman" w:cs="Times New Roman"/>
          <w:sz w:val="24"/>
          <w:szCs w:val="24"/>
        </w:rPr>
        <w:t xml:space="preserve">и у </w:t>
      </w:r>
      <w:r w:rsidR="004B2EE2">
        <w:rPr>
          <w:rFonts w:ascii="Times New Roman" w:hAnsi="Times New Roman" w:cs="Times New Roman"/>
          <w:color w:val="000000" w:themeColor="text1"/>
          <w:sz w:val="24"/>
          <w:szCs w:val="24"/>
        </w:rPr>
        <w:t>2019</w:t>
      </w:r>
      <w:r w:rsidR="00002620" w:rsidRPr="00ED7784">
        <w:rPr>
          <w:rFonts w:ascii="Times New Roman" w:hAnsi="Times New Roman" w:cs="Times New Roman"/>
          <w:color w:val="000000" w:themeColor="text1"/>
          <w:sz w:val="24"/>
          <w:szCs w:val="24"/>
        </w:rPr>
        <w:t>.</w:t>
      </w:r>
      <w:r w:rsidR="001217FB" w:rsidRPr="00ED7784">
        <w:rPr>
          <w:rFonts w:ascii="Times New Roman" w:hAnsi="Times New Roman" w:cs="Times New Roman"/>
          <w:color w:val="000000" w:themeColor="text1"/>
          <w:sz w:val="24"/>
          <w:szCs w:val="24"/>
        </w:rPr>
        <w:t xml:space="preserve"> </w:t>
      </w:r>
      <w:r w:rsidR="00002620" w:rsidRPr="00ED7784">
        <w:rPr>
          <w:rFonts w:ascii="Times New Roman" w:hAnsi="Times New Roman" w:cs="Times New Roman"/>
          <w:color w:val="000000" w:themeColor="text1"/>
          <w:sz w:val="24"/>
          <w:szCs w:val="24"/>
        </w:rPr>
        <w:t>г</w:t>
      </w:r>
      <w:r w:rsidR="001217FB" w:rsidRPr="00ED7784">
        <w:rPr>
          <w:rFonts w:ascii="Times New Roman" w:hAnsi="Times New Roman" w:cs="Times New Roman"/>
          <w:color w:val="000000" w:themeColor="text1"/>
          <w:sz w:val="24"/>
          <w:szCs w:val="24"/>
        </w:rPr>
        <w:t>одини</w:t>
      </w:r>
      <w:r w:rsidR="00002620" w:rsidRPr="00ED7784">
        <w:rPr>
          <w:rFonts w:ascii="Times New Roman" w:hAnsi="Times New Roman" w:cs="Times New Roman"/>
          <w:color w:val="000000" w:themeColor="text1"/>
          <w:sz w:val="24"/>
          <w:szCs w:val="24"/>
        </w:rPr>
        <w:t xml:space="preserve"> у односу на претходне године.</w:t>
      </w:r>
      <w:r w:rsidR="001E2AC5">
        <w:rPr>
          <w:rFonts w:ascii="Times New Roman" w:hAnsi="Times New Roman" w:cs="Times New Roman"/>
          <w:color w:val="000000" w:themeColor="text1"/>
          <w:sz w:val="24"/>
          <w:szCs w:val="24"/>
        </w:rPr>
        <w:t xml:space="preserve"> </w:t>
      </w:r>
      <w:r w:rsidR="00002620" w:rsidRPr="00ED7784">
        <w:rPr>
          <w:rFonts w:ascii="Times New Roman" w:hAnsi="Times New Roman" w:cs="Times New Roman"/>
          <w:color w:val="000000" w:themeColor="text1"/>
          <w:sz w:val="24"/>
          <w:szCs w:val="24"/>
        </w:rPr>
        <w:t>Т</w:t>
      </w:r>
      <w:r w:rsidR="001217FB" w:rsidRPr="00ED7784">
        <w:rPr>
          <w:rFonts w:ascii="Times New Roman" w:hAnsi="Times New Roman" w:cs="Times New Roman"/>
          <w:color w:val="000000" w:themeColor="text1"/>
          <w:sz w:val="24"/>
          <w:szCs w:val="24"/>
        </w:rPr>
        <w:t xml:space="preserve">о </w:t>
      </w:r>
      <w:r w:rsidR="00023266" w:rsidRPr="00ED7784">
        <w:rPr>
          <w:rFonts w:ascii="Times New Roman" w:hAnsi="Times New Roman" w:cs="Times New Roman"/>
          <w:color w:val="000000" w:themeColor="text1"/>
          <w:sz w:val="24"/>
          <w:szCs w:val="24"/>
        </w:rPr>
        <w:t xml:space="preserve">јасно </w:t>
      </w:r>
      <w:r w:rsidR="00002620" w:rsidRPr="00ED7784">
        <w:rPr>
          <w:rFonts w:ascii="Times New Roman" w:hAnsi="Times New Roman" w:cs="Times New Roman"/>
          <w:color w:val="000000" w:themeColor="text1"/>
          <w:sz w:val="24"/>
          <w:szCs w:val="24"/>
        </w:rPr>
        <w:t xml:space="preserve">потврђује </w:t>
      </w:r>
      <w:r w:rsidR="00986843">
        <w:rPr>
          <w:rFonts w:ascii="Times New Roman" w:hAnsi="Times New Roman" w:cs="Times New Roman"/>
          <w:color w:val="000000" w:themeColor="text1"/>
          <w:sz w:val="24"/>
          <w:szCs w:val="24"/>
          <w:lang w:val="sr-Cyrl-RS"/>
        </w:rPr>
        <w:t>значај</w:t>
      </w:r>
      <w:r w:rsidR="00023266" w:rsidRPr="00ED7784">
        <w:rPr>
          <w:rFonts w:ascii="Times New Roman" w:hAnsi="Times New Roman" w:cs="Times New Roman"/>
          <w:color w:val="000000" w:themeColor="text1"/>
          <w:sz w:val="24"/>
          <w:szCs w:val="24"/>
        </w:rPr>
        <w:t xml:space="preserve"> Портала за најшири круг заинтересованих лица</w:t>
      </w:r>
      <w:r w:rsidR="00002620" w:rsidRPr="00ED7784">
        <w:rPr>
          <w:rFonts w:ascii="Times New Roman" w:hAnsi="Times New Roman" w:cs="Times New Roman"/>
          <w:color w:val="000000" w:themeColor="text1"/>
          <w:sz w:val="24"/>
          <w:szCs w:val="24"/>
        </w:rPr>
        <w:t xml:space="preserve">. </w:t>
      </w:r>
      <w:r w:rsidR="00E03A01" w:rsidRPr="00E03A01">
        <w:rPr>
          <w:rFonts w:ascii="Times New Roman" w:hAnsi="Times New Roman" w:cs="Times New Roman"/>
          <w:color w:val="000000" w:themeColor="text1"/>
          <w:sz w:val="24"/>
          <w:szCs w:val="24"/>
          <w:lang w:val="sr-Latn-RS"/>
        </w:rPr>
        <w:t>(</w:t>
      </w:r>
      <w:r w:rsidR="000F5D7F">
        <w:rPr>
          <w:rFonts w:ascii="Times New Roman" w:hAnsi="Times New Roman" w:cs="Times New Roman"/>
          <w:color w:val="000000" w:themeColor="text1"/>
          <w:sz w:val="24"/>
          <w:szCs w:val="24"/>
          <w:lang w:val="sr-Cyrl-RS"/>
        </w:rPr>
        <w:t>Слика 11</w:t>
      </w:r>
      <w:r w:rsidR="001E2AC5" w:rsidRPr="00E03A01">
        <w:rPr>
          <w:rFonts w:ascii="Times New Roman" w:hAnsi="Times New Roman" w:cs="Times New Roman"/>
          <w:color w:val="000000" w:themeColor="text1"/>
          <w:sz w:val="24"/>
          <w:szCs w:val="24"/>
          <w:lang w:val="sr-Latn-RS"/>
        </w:rPr>
        <w:t>)</w:t>
      </w:r>
    </w:p>
    <w:p w14:paraId="2F4717B9" w14:textId="2B5CB232" w:rsidR="001E2AC5" w:rsidRPr="00206753" w:rsidRDefault="001E2AC5" w:rsidP="00002620">
      <w:pPr>
        <w:jc w:val="both"/>
        <w:rPr>
          <w:rFonts w:ascii="Times New Roman" w:hAnsi="Times New Roman" w:cs="Times New Roman"/>
          <w:b/>
          <w:sz w:val="24"/>
          <w:szCs w:val="24"/>
          <w:lang w:val="sr-Latn-RS"/>
        </w:rPr>
      </w:pPr>
      <w:r w:rsidRPr="00E03A01">
        <w:rPr>
          <w:rFonts w:ascii="Times New Roman" w:hAnsi="Times New Roman" w:cs="Times New Roman"/>
          <w:sz w:val="24"/>
          <w:szCs w:val="24"/>
          <w:lang w:val="sr-Latn-RS"/>
        </w:rPr>
        <w:t xml:space="preserve">                                     </w:t>
      </w:r>
      <w:r w:rsidR="000F5D7F">
        <w:rPr>
          <w:rFonts w:ascii="Times New Roman" w:hAnsi="Times New Roman" w:cs="Times New Roman"/>
          <w:sz w:val="24"/>
          <w:szCs w:val="24"/>
          <w:lang w:val="sr-Cyrl-CS"/>
        </w:rPr>
        <w:t xml:space="preserve">   </w:t>
      </w:r>
      <w:r w:rsidR="000F5D7F">
        <w:rPr>
          <w:rFonts w:ascii="Times New Roman" w:hAnsi="Times New Roman" w:cs="Times New Roman"/>
          <w:b/>
          <w:sz w:val="24"/>
          <w:szCs w:val="24"/>
          <w:lang w:val="sr-Latn-RS"/>
        </w:rPr>
        <w:t>Слика 11</w:t>
      </w:r>
    </w:p>
    <w:p w14:paraId="29EA2A2D" w14:textId="3AA3E146" w:rsidR="004B5967" w:rsidRDefault="001E2AC5" w:rsidP="001E2AC5">
      <w:pPr>
        <w:pStyle w:val="ListParagraph"/>
        <w:jc w:val="center"/>
        <w:rPr>
          <w:rFonts w:ascii="Times New Roman" w:hAnsi="Times New Roman" w:cs="Times New Roman"/>
          <w:b/>
          <w:color w:val="000000" w:themeColor="text1"/>
          <w:sz w:val="24"/>
          <w:szCs w:val="24"/>
        </w:rPr>
      </w:pPr>
      <w:r>
        <w:rPr>
          <w:noProof/>
          <w:lang w:val="sr-Cyrl-RS" w:eastAsia="sr-Cyrl-RS"/>
        </w:rPr>
        <w:drawing>
          <wp:inline distT="0" distB="0" distL="0" distR="0" wp14:anchorId="3C77E1B3" wp14:editId="1BBC6991">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0614F2" w14:textId="0F5210B7" w:rsidR="00397ADD" w:rsidRDefault="00397ADD" w:rsidP="001E2AC5">
      <w:pPr>
        <w:pStyle w:val="ListParagraph"/>
        <w:jc w:val="center"/>
        <w:rPr>
          <w:rFonts w:ascii="Times New Roman" w:hAnsi="Times New Roman" w:cs="Times New Roman"/>
          <w:b/>
          <w:color w:val="000000" w:themeColor="text1"/>
          <w:sz w:val="24"/>
          <w:szCs w:val="24"/>
        </w:rPr>
      </w:pPr>
    </w:p>
    <w:p w14:paraId="5A5802FD" w14:textId="6E162D8A" w:rsidR="00397ADD" w:rsidRDefault="00397ADD" w:rsidP="001E2AC5">
      <w:pPr>
        <w:pStyle w:val="ListParagraph"/>
        <w:jc w:val="center"/>
        <w:rPr>
          <w:rFonts w:ascii="Times New Roman" w:hAnsi="Times New Roman" w:cs="Times New Roman"/>
          <w:b/>
          <w:color w:val="000000" w:themeColor="text1"/>
          <w:sz w:val="24"/>
          <w:szCs w:val="24"/>
        </w:rPr>
      </w:pPr>
    </w:p>
    <w:p w14:paraId="37120B77" w14:textId="67908FEB" w:rsidR="001E2AC5" w:rsidRPr="00ED7784" w:rsidRDefault="001E2AC5" w:rsidP="001E2AC5">
      <w:pPr>
        <w:pStyle w:val="ListParagraph"/>
        <w:jc w:val="center"/>
        <w:rPr>
          <w:rFonts w:ascii="Times New Roman" w:hAnsi="Times New Roman" w:cs="Times New Roman"/>
          <w:b/>
          <w:color w:val="000000" w:themeColor="text1"/>
          <w:sz w:val="24"/>
          <w:szCs w:val="24"/>
        </w:rPr>
      </w:pPr>
    </w:p>
    <w:p w14:paraId="31EFF445" w14:textId="12347F12" w:rsidR="00A734C3" w:rsidRPr="00ED7784" w:rsidRDefault="00753F20" w:rsidP="00960A8C">
      <w:pPr>
        <w:pStyle w:val="ListParagraph"/>
        <w:numPr>
          <w:ilvl w:val="0"/>
          <w:numId w:val="2"/>
        </w:numPr>
        <w:jc w:val="both"/>
        <w:rPr>
          <w:rFonts w:ascii="Times New Roman" w:hAnsi="Times New Roman" w:cs="Times New Roman"/>
          <w:b/>
          <w:color w:val="000000" w:themeColor="text1"/>
          <w:sz w:val="24"/>
          <w:szCs w:val="24"/>
        </w:rPr>
      </w:pPr>
      <w:r w:rsidRPr="00ED7784">
        <w:rPr>
          <w:rFonts w:ascii="Times New Roman" w:hAnsi="Times New Roman" w:cs="Times New Roman"/>
          <w:b/>
          <w:color w:val="000000" w:themeColor="text1"/>
          <w:sz w:val="24"/>
          <w:szCs w:val="24"/>
        </w:rPr>
        <w:t>УЧЕШЋЕ ДОМАЋИХ И СТРАНИХ ПОНУЂАЧА</w:t>
      </w:r>
      <w:r w:rsidR="00D54BC6" w:rsidRPr="00ED7784">
        <w:rPr>
          <w:rFonts w:ascii="Times New Roman" w:hAnsi="Times New Roman" w:cs="Times New Roman"/>
          <w:b/>
          <w:color w:val="000000" w:themeColor="text1"/>
          <w:sz w:val="24"/>
          <w:szCs w:val="24"/>
        </w:rPr>
        <w:t xml:space="preserve"> </w:t>
      </w:r>
    </w:p>
    <w:p w14:paraId="6ACA249B" w14:textId="53055D65" w:rsidR="00D54BC6" w:rsidRDefault="00C131AD" w:rsidP="00D54BC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Учешће </w:t>
      </w:r>
      <w:r w:rsidR="00E06F36">
        <w:rPr>
          <w:rFonts w:ascii="Times New Roman" w:hAnsi="Times New Roman" w:cs="Times New Roman"/>
          <w:color w:val="000000" w:themeColor="text1"/>
          <w:sz w:val="24"/>
          <w:szCs w:val="24"/>
          <w:lang w:val="sr-Cyrl-CS"/>
        </w:rPr>
        <w:t xml:space="preserve">уговора додељених </w:t>
      </w:r>
      <w:r w:rsidR="00E06F36">
        <w:rPr>
          <w:rFonts w:ascii="Times New Roman" w:hAnsi="Times New Roman" w:cs="Times New Roman"/>
          <w:color w:val="000000" w:themeColor="text1"/>
          <w:sz w:val="24"/>
          <w:szCs w:val="24"/>
        </w:rPr>
        <w:t>страним понуђачима</w:t>
      </w:r>
      <w:r w:rsidR="00D5059D" w:rsidRPr="00ED7784">
        <w:rPr>
          <w:rFonts w:ascii="Times New Roman" w:hAnsi="Times New Roman" w:cs="Times New Roman"/>
          <w:color w:val="000000" w:themeColor="text1"/>
          <w:sz w:val="24"/>
          <w:szCs w:val="24"/>
        </w:rPr>
        <w:t xml:space="preserve"> </w:t>
      </w:r>
      <w:r w:rsidR="00753F20" w:rsidRPr="00ED7784">
        <w:rPr>
          <w:rFonts w:ascii="Times New Roman" w:hAnsi="Times New Roman" w:cs="Times New Roman"/>
          <w:color w:val="000000" w:themeColor="text1"/>
          <w:sz w:val="24"/>
          <w:szCs w:val="24"/>
        </w:rPr>
        <w:t>у 201</w:t>
      </w:r>
      <w:r w:rsidR="00397ADD">
        <w:rPr>
          <w:rFonts w:ascii="Times New Roman" w:hAnsi="Times New Roman" w:cs="Times New Roman"/>
          <w:color w:val="000000" w:themeColor="text1"/>
          <w:sz w:val="24"/>
          <w:szCs w:val="24"/>
        </w:rPr>
        <w:t>9</w:t>
      </w:r>
      <w:r w:rsidR="00753F20" w:rsidRPr="00ED7784">
        <w:rPr>
          <w:rFonts w:ascii="Times New Roman" w:hAnsi="Times New Roman" w:cs="Times New Roman"/>
          <w:color w:val="000000" w:themeColor="text1"/>
          <w:sz w:val="24"/>
          <w:szCs w:val="24"/>
        </w:rPr>
        <w:t xml:space="preserve">. </w:t>
      </w:r>
      <w:r w:rsidR="00D5059D" w:rsidRPr="00ED7784">
        <w:rPr>
          <w:rFonts w:ascii="Times New Roman" w:hAnsi="Times New Roman" w:cs="Times New Roman"/>
          <w:color w:val="000000" w:themeColor="text1"/>
          <w:sz w:val="24"/>
          <w:szCs w:val="24"/>
        </w:rPr>
        <w:t>г</w:t>
      </w:r>
      <w:r w:rsidR="003643CD" w:rsidRPr="00ED7784">
        <w:rPr>
          <w:rFonts w:ascii="Times New Roman" w:hAnsi="Times New Roman" w:cs="Times New Roman"/>
          <w:color w:val="000000" w:themeColor="text1"/>
          <w:sz w:val="24"/>
          <w:szCs w:val="24"/>
        </w:rPr>
        <w:t>один</w:t>
      </w:r>
      <w:r w:rsidR="009C1D7F" w:rsidRPr="00ED7784">
        <w:rPr>
          <w:rFonts w:ascii="Times New Roman" w:hAnsi="Times New Roman" w:cs="Times New Roman"/>
          <w:color w:val="000000" w:themeColor="text1"/>
          <w:sz w:val="24"/>
          <w:szCs w:val="24"/>
        </w:rPr>
        <w:t>и</w:t>
      </w:r>
      <w:r w:rsidR="00795A5C">
        <w:rPr>
          <w:rFonts w:ascii="Times New Roman" w:hAnsi="Times New Roman" w:cs="Times New Roman"/>
          <w:color w:val="000000" w:themeColor="text1"/>
          <w:sz w:val="24"/>
          <w:szCs w:val="24"/>
          <w:lang w:val="sr"/>
        </w:rPr>
        <w:t xml:space="preserve"> износи</w:t>
      </w:r>
      <w:r w:rsidR="00F17C6F">
        <w:rPr>
          <w:rFonts w:ascii="Times New Roman" w:hAnsi="Times New Roman" w:cs="Times New Roman"/>
          <w:color w:val="000000" w:themeColor="text1"/>
          <w:sz w:val="24"/>
          <w:szCs w:val="24"/>
          <w:lang w:val="sr"/>
        </w:rPr>
        <w:t xml:space="preserve"> 2</w:t>
      </w:r>
      <w:r w:rsidR="002A7ECF">
        <w:rPr>
          <w:rFonts w:ascii="Times New Roman" w:hAnsi="Times New Roman" w:cs="Times New Roman"/>
          <w:color w:val="000000" w:themeColor="text1"/>
          <w:sz w:val="24"/>
          <w:szCs w:val="24"/>
          <w:lang w:val="sr"/>
        </w:rPr>
        <w:t>%</w:t>
      </w:r>
      <w:r w:rsidR="009C58DD">
        <w:rPr>
          <w:rFonts w:ascii="Times New Roman" w:hAnsi="Times New Roman" w:cs="Times New Roman"/>
          <w:color w:val="000000" w:themeColor="text1"/>
          <w:sz w:val="24"/>
          <w:szCs w:val="24"/>
          <w:lang w:val="sr-Cyrl-RS"/>
        </w:rPr>
        <w:t>.</w:t>
      </w:r>
      <w:r w:rsidR="002A7ECF">
        <w:rPr>
          <w:rFonts w:ascii="Times New Roman" w:hAnsi="Times New Roman" w:cs="Times New Roman"/>
          <w:color w:val="000000" w:themeColor="text1"/>
          <w:sz w:val="24"/>
          <w:szCs w:val="24"/>
          <w:lang w:val="sr"/>
        </w:rPr>
        <w:t xml:space="preserve"> (Табела 12</w:t>
      </w:r>
      <w:r w:rsidR="000F5D7F">
        <w:rPr>
          <w:rFonts w:ascii="Times New Roman" w:hAnsi="Times New Roman" w:cs="Times New Roman"/>
          <w:color w:val="000000" w:themeColor="text1"/>
          <w:sz w:val="24"/>
          <w:szCs w:val="24"/>
          <w:lang w:val="sr-Cyrl-RS"/>
        </w:rPr>
        <w:t>, Слика 12</w:t>
      </w:r>
      <w:r w:rsidR="003542A1" w:rsidRPr="00ED7784">
        <w:rPr>
          <w:rFonts w:ascii="Times New Roman" w:hAnsi="Times New Roman" w:cs="Times New Roman"/>
          <w:color w:val="000000" w:themeColor="text1"/>
          <w:sz w:val="24"/>
          <w:szCs w:val="24"/>
          <w:lang w:val="sr"/>
        </w:rPr>
        <w:t xml:space="preserve">). </w:t>
      </w:r>
      <w:r w:rsidR="00B92EF5" w:rsidRPr="00ED7784">
        <w:rPr>
          <w:rFonts w:ascii="Times New Roman" w:hAnsi="Times New Roman" w:cs="Times New Roman"/>
          <w:color w:val="000000" w:themeColor="text1"/>
          <w:sz w:val="24"/>
          <w:szCs w:val="24"/>
        </w:rPr>
        <w:t xml:space="preserve"> </w:t>
      </w:r>
    </w:p>
    <w:p w14:paraId="0FE18523" w14:textId="5A299F27" w:rsidR="00F17C6F" w:rsidRPr="00F17C6F" w:rsidRDefault="00C4458E" w:rsidP="00D54BC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F17C6F" w:rsidRPr="005005C3">
        <w:rPr>
          <w:rFonts w:ascii="Times New Roman" w:hAnsi="Times New Roman" w:cs="Times New Roman"/>
          <w:b/>
          <w:color w:val="000000" w:themeColor="text1"/>
          <w:sz w:val="24"/>
          <w:szCs w:val="24"/>
        </w:rPr>
        <w:t xml:space="preserve">Табела </w:t>
      </w:r>
      <w:r w:rsidR="00F17C6F">
        <w:rPr>
          <w:rFonts w:ascii="Times New Roman" w:hAnsi="Times New Roman" w:cs="Times New Roman"/>
          <w:b/>
          <w:color w:val="000000" w:themeColor="text1"/>
          <w:sz w:val="24"/>
          <w:szCs w:val="24"/>
        </w:rPr>
        <w:t>12</w:t>
      </w:r>
    </w:p>
    <w:tbl>
      <w:tblPr>
        <w:tblStyle w:val="TableGrid"/>
        <w:tblW w:w="9786" w:type="dxa"/>
        <w:jc w:val="center"/>
        <w:tblLook w:val="04A0" w:firstRow="1" w:lastRow="0" w:firstColumn="1" w:lastColumn="0" w:noHBand="0" w:noVBand="1"/>
      </w:tblPr>
      <w:tblGrid>
        <w:gridCol w:w="1058"/>
        <w:gridCol w:w="995"/>
        <w:gridCol w:w="995"/>
        <w:gridCol w:w="995"/>
        <w:gridCol w:w="995"/>
        <w:gridCol w:w="995"/>
        <w:gridCol w:w="995"/>
        <w:gridCol w:w="995"/>
        <w:gridCol w:w="995"/>
        <w:gridCol w:w="768"/>
      </w:tblGrid>
      <w:tr w:rsidR="00C4458E" w:rsidRPr="00D43FE4" w14:paraId="00D9503E" w14:textId="77777777" w:rsidTr="00C4458E">
        <w:trPr>
          <w:jc w:val="center"/>
        </w:trPr>
        <w:tc>
          <w:tcPr>
            <w:tcW w:w="9786"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8DA7C24"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bookmarkStart w:id="10" w:name="_MON_1581428175"/>
            <w:bookmarkEnd w:id="10"/>
            <w:r w:rsidRPr="00D43FE4">
              <w:rPr>
                <w:rFonts w:ascii="Times New Roman" w:eastAsia="Times New Roman" w:hAnsi="Times New Roman" w:cs="Times New Roman"/>
                <w:b/>
                <w:sz w:val="24"/>
                <w:szCs w:val="24"/>
              </w:rPr>
              <w:t>Упоредни преглед набавки према вредности уговора додељених страним и домаћим понуђачима у периоду 2002-2019. година (у %)</w:t>
            </w:r>
          </w:p>
        </w:tc>
      </w:tr>
      <w:tr w:rsidR="00C4458E" w:rsidRPr="00D43FE4" w14:paraId="6617BA1D" w14:textId="77777777" w:rsidTr="00C4458E">
        <w:trPr>
          <w:jc w:val="center"/>
        </w:trPr>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2535EFCA" w14:textId="77777777" w:rsidR="000F5D7F" w:rsidRDefault="000F5D7F" w:rsidP="00C4458E">
            <w:pPr>
              <w:tabs>
                <w:tab w:val="left" w:pos="1885"/>
              </w:tabs>
              <w:jc w:val="center"/>
              <w:rPr>
                <w:rFonts w:ascii="Times New Roman" w:eastAsia="Times New Roman" w:hAnsi="Times New Roman" w:cs="Times New Roman"/>
                <w:b/>
                <w:sz w:val="24"/>
                <w:szCs w:val="24"/>
              </w:rPr>
            </w:pPr>
          </w:p>
          <w:p w14:paraId="2BE801DD" w14:textId="4EC98D13" w:rsidR="00C4458E" w:rsidRPr="00D43FE4" w:rsidRDefault="00C4458E" w:rsidP="00C4458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Година</w:t>
            </w:r>
          </w:p>
          <w:p w14:paraId="7E9C3C9F" w14:textId="77777777" w:rsidR="00C4458E" w:rsidRPr="00D43FE4" w:rsidRDefault="00C4458E" w:rsidP="00C4458E">
            <w:pPr>
              <w:tabs>
                <w:tab w:val="left" w:pos="1885"/>
              </w:tabs>
              <w:jc w:val="center"/>
              <w:rPr>
                <w:rFonts w:ascii="Times New Roman" w:eastAsia="Times New Roman" w:hAnsi="Times New Roman" w:cs="Times New Roman"/>
                <w:b/>
                <w:sz w:val="24"/>
                <w:szCs w:val="24"/>
              </w:rPr>
            </w:pPr>
          </w:p>
        </w:tc>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4ACE9416"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2002</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7213FD03"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2003</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03DE40F3"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2004</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006E4A47"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2005</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22242869"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2006</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602F1AD6"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2007</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0A256F28"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2008</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5926006F"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2009</w:t>
            </w:r>
          </w:p>
        </w:tc>
        <w:tc>
          <w:tcPr>
            <w:tcW w:w="770" w:type="dxa"/>
            <w:tcBorders>
              <w:top w:val="single" w:sz="12" w:space="0" w:color="auto"/>
              <w:left w:val="single" w:sz="12" w:space="0" w:color="auto"/>
              <w:bottom w:val="single" w:sz="12" w:space="0" w:color="auto"/>
              <w:right w:val="single" w:sz="12" w:space="0" w:color="auto"/>
            </w:tcBorders>
            <w:shd w:val="clear" w:color="auto" w:fill="auto"/>
            <w:vAlign w:val="center"/>
          </w:tcPr>
          <w:p w14:paraId="21EB974A" w14:textId="77777777" w:rsidR="00C4458E" w:rsidRPr="00D43FE4" w:rsidRDefault="00C4458E" w:rsidP="00C421E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2010</w:t>
            </w:r>
          </w:p>
        </w:tc>
      </w:tr>
      <w:tr w:rsidR="00C4458E" w:rsidRPr="00D43FE4" w14:paraId="6BE96C71" w14:textId="77777777" w:rsidTr="000F5D7F">
        <w:trPr>
          <w:jc w:val="center"/>
        </w:trPr>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374BC845" w14:textId="77777777" w:rsidR="00C4458E" w:rsidRPr="00D43FE4" w:rsidRDefault="00C4458E" w:rsidP="000F5D7F">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Домаћи</w:t>
            </w:r>
          </w:p>
          <w:p w14:paraId="714EE1D2" w14:textId="77777777" w:rsidR="00C4458E" w:rsidRPr="00D43FE4" w:rsidRDefault="00C4458E" w:rsidP="000F5D7F">
            <w:pPr>
              <w:tabs>
                <w:tab w:val="left" w:pos="1885"/>
              </w:tabs>
              <w:jc w:val="center"/>
              <w:rPr>
                <w:rFonts w:ascii="Times New Roman" w:eastAsia="Times New Roman" w:hAnsi="Times New Roman" w:cs="Times New Roman"/>
                <w:b/>
                <w:sz w:val="24"/>
                <w:szCs w:val="24"/>
              </w:rPr>
            </w:pPr>
          </w:p>
        </w:tc>
        <w:tc>
          <w:tcPr>
            <w:tcW w:w="1001" w:type="dxa"/>
            <w:tcBorders>
              <w:top w:val="single" w:sz="12" w:space="0" w:color="auto"/>
              <w:left w:val="single" w:sz="12" w:space="0" w:color="auto"/>
            </w:tcBorders>
            <w:shd w:val="clear" w:color="auto" w:fill="auto"/>
            <w:vAlign w:val="center"/>
          </w:tcPr>
          <w:p w14:paraId="7A3A1E8F"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80</w:t>
            </w:r>
          </w:p>
        </w:tc>
        <w:tc>
          <w:tcPr>
            <w:tcW w:w="1002" w:type="dxa"/>
            <w:tcBorders>
              <w:top w:val="single" w:sz="12" w:space="0" w:color="auto"/>
            </w:tcBorders>
            <w:shd w:val="clear" w:color="auto" w:fill="auto"/>
            <w:vAlign w:val="center"/>
          </w:tcPr>
          <w:p w14:paraId="22B35C19"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84</w:t>
            </w:r>
          </w:p>
        </w:tc>
        <w:tc>
          <w:tcPr>
            <w:tcW w:w="1002" w:type="dxa"/>
            <w:tcBorders>
              <w:top w:val="single" w:sz="12" w:space="0" w:color="auto"/>
            </w:tcBorders>
            <w:shd w:val="clear" w:color="auto" w:fill="auto"/>
            <w:vAlign w:val="center"/>
          </w:tcPr>
          <w:p w14:paraId="55E0E035"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91</w:t>
            </w:r>
          </w:p>
        </w:tc>
        <w:tc>
          <w:tcPr>
            <w:tcW w:w="1002" w:type="dxa"/>
            <w:tcBorders>
              <w:top w:val="single" w:sz="12" w:space="0" w:color="auto"/>
            </w:tcBorders>
            <w:shd w:val="clear" w:color="auto" w:fill="auto"/>
            <w:vAlign w:val="center"/>
          </w:tcPr>
          <w:p w14:paraId="2F0622C7"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91</w:t>
            </w:r>
          </w:p>
        </w:tc>
        <w:tc>
          <w:tcPr>
            <w:tcW w:w="1002" w:type="dxa"/>
            <w:tcBorders>
              <w:top w:val="single" w:sz="12" w:space="0" w:color="auto"/>
            </w:tcBorders>
            <w:shd w:val="clear" w:color="auto" w:fill="auto"/>
            <w:vAlign w:val="center"/>
          </w:tcPr>
          <w:p w14:paraId="1970F7C0"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90</w:t>
            </w:r>
          </w:p>
        </w:tc>
        <w:tc>
          <w:tcPr>
            <w:tcW w:w="1002" w:type="dxa"/>
            <w:tcBorders>
              <w:top w:val="single" w:sz="12" w:space="0" w:color="auto"/>
            </w:tcBorders>
            <w:shd w:val="clear" w:color="auto" w:fill="auto"/>
            <w:vAlign w:val="center"/>
          </w:tcPr>
          <w:p w14:paraId="1DDD30DB"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96</w:t>
            </w:r>
          </w:p>
        </w:tc>
        <w:tc>
          <w:tcPr>
            <w:tcW w:w="1002" w:type="dxa"/>
            <w:tcBorders>
              <w:top w:val="single" w:sz="12" w:space="0" w:color="auto"/>
            </w:tcBorders>
            <w:shd w:val="clear" w:color="auto" w:fill="auto"/>
            <w:vAlign w:val="center"/>
          </w:tcPr>
          <w:p w14:paraId="49A80C90"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93</w:t>
            </w:r>
          </w:p>
        </w:tc>
        <w:tc>
          <w:tcPr>
            <w:tcW w:w="1002" w:type="dxa"/>
            <w:tcBorders>
              <w:top w:val="single" w:sz="12" w:space="0" w:color="auto"/>
            </w:tcBorders>
            <w:shd w:val="clear" w:color="auto" w:fill="auto"/>
            <w:vAlign w:val="center"/>
          </w:tcPr>
          <w:p w14:paraId="4EF6C355"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96</w:t>
            </w:r>
          </w:p>
        </w:tc>
        <w:tc>
          <w:tcPr>
            <w:tcW w:w="770" w:type="dxa"/>
            <w:tcBorders>
              <w:top w:val="single" w:sz="12" w:space="0" w:color="auto"/>
              <w:right w:val="single" w:sz="12" w:space="0" w:color="auto"/>
            </w:tcBorders>
            <w:shd w:val="clear" w:color="auto" w:fill="auto"/>
            <w:vAlign w:val="center"/>
          </w:tcPr>
          <w:p w14:paraId="6BB0779B"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97</w:t>
            </w:r>
          </w:p>
        </w:tc>
      </w:tr>
      <w:tr w:rsidR="00C4458E" w:rsidRPr="00D43FE4" w14:paraId="2E277DC5" w14:textId="77777777" w:rsidTr="000F5D7F">
        <w:trPr>
          <w:jc w:val="center"/>
        </w:trPr>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74F2240F" w14:textId="77777777" w:rsidR="00C4458E" w:rsidRPr="00D43FE4" w:rsidRDefault="00C4458E" w:rsidP="000F5D7F">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Страни</w:t>
            </w:r>
          </w:p>
          <w:p w14:paraId="085E3AC7" w14:textId="77777777" w:rsidR="00C4458E" w:rsidRPr="00D43FE4" w:rsidRDefault="00C4458E" w:rsidP="000F5D7F">
            <w:pPr>
              <w:tabs>
                <w:tab w:val="left" w:pos="1885"/>
              </w:tabs>
              <w:jc w:val="center"/>
              <w:rPr>
                <w:rFonts w:ascii="Times New Roman" w:eastAsia="Times New Roman" w:hAnsi="Times New Roman" w:cs="Times New Roman"/>
                <w:b/>
                <w:sz w:val="24"/>
                <w:szCs w:val="24"/>
              </w:rPr>
            </w:pPr>
          </w:p>
        </w:tc>
        <w:tc>
          <w:tcPr>
            <w:tcW w:w="1001" w:type="dxa"/>
            <w:tcBorders>
              <w:left w:val="single" w:sz="12" w:space="0" w:color="auto"/>
              <w:bottom w:val="single" w:sz="12" w:space="0" w:color="auto"/>
            </w:tcBorders>
            <w:shd w:val="clear" w:color="auto" w:fill="auto"/>
            <w:vAlign w:val="center"/>
          </w:tcPr>
          <w:p w14:paraId="2201AA5A"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20</w:t>
            </w:r>
          </w:p>
        </w:tc>
        <w:tc>
          <w:tcPr>
            <w:tcW w:w="1002" w:type="dxa"/>
            <w:tcBorders>
              <w:bottom w:val="single" w:sz="12" w:space="0" w:color="auto"/>
            </w:tcBorders>
            <w:shd w:val="clear" w:color="auto" w:fill="auto"/>
            <w:vAlign w:val="center"/>
          </w:tcPr>
          <w:p w14:paraId="34F1122B"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16</w:t>
            </w:r>
          </w:p>
        </w:tc>
        <w:tc>
          <w:tcPr>
            <w:tcW w:w="1002" w:type="dxa"/>
            <w:tcBorders>
              <w:bottom w:val="single" w:sz="12" w:space="0" w:color="auto"/>
            </w:tcBorders>
            <w:shd w:val="clear" w:color="auto" w:fill="auto"/>
            <w:vAlign w:val="center"/>
          </w:tcPr>
          <w:p w14:paraId="1F52BC70"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w:t>
            </w:r>
          </w:p>
        </w:tc>
        <w:tc>
          <w:tcPr>
            <w:tcW w:w="1002" w:type="dxa"/>
            <w:tcBorders>
              <w:bottom w:val="single" w:sz="12" w:space="0" w:color="auto"/>
            </w:tcBorders>
            <w:shd w:val="clear" w:color="auto" w:fill="auto"/>
            <w:vAlign w:val="center"/>
          </w:tcPr>
          <w:p w14:paraId="4413CCBC"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w:t>
            </w:r>
          </w:p>
        </w:tc>
        <w:tc>
          <w:tcPr>
            <w:tcW w:w="1002" w:type="dxa"/>
            <w:tcBorders>
              <w:bottom w:val="single" w:sz="12" w:space="0" w:color="auto"/>
            </w:tcBorders>
            <w:shd w:val="clear" w:color="auto" w:fill="auto"/>
            <w:vAlign w:val="center"/>
          </w:tcPr>
          <w:p w14:paraId="46A21D0A"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10</w:t>
            </w:r>
          </w:p>
        </w:tc>
        <w:tc>
          <w:tcPr>
            <w:tcW w:w="1002" w:type="dxa"/>
            <w:tcBorders>
              <w:bottom w:val="single" w:sz="12" w:space="0" w:color="auto"/>
            </w:tcBorders>
            <w:shd w:val="clear" w:color="auto" w:fill="auto"/>
            <w:vAlign w:val="center"/>
          </w:tcPr>
          <w:p w14:paraId="5440F32E"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4</w:t>
            </w:r>
          </w:p>
        </w:tc>
        <w:tc>
          <w:tcPr>
            <w:tcW w:w="1002" w:type="dxa"/>
            <w:tcBorders>
              <w:bottom w:val="single" w:sz="12" w:space="0" w:color="auto"/>
            </w:tcBorders>
            <w:shd w:val="clear" w:color="auto" w:fill="auto"/>
            <w:vAlign w:val="center"/>
          </w:tcPr>
          <w:p w14:paraId="5ABE10CA"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7</w:t>
            </w:r>
          </w:p>
        </w:tc>
        <w:tc>
          <w:tcPr>
            <w:tcW w:w="1002" w:type="dxa"/>
            <w:tcBorders>
              <w:bottom w:val="single" w:sz="12" w:space="0" w:color="auto"/>
            </w:tcBorders>
            <w:shd w:val="clear" w:color="auto" w:fill="auto"/>
            <w:vAlign w:val="center"/>
          </w:tcPr>
          <w:p w14:paraId="4896F07F"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4</w:t>
            </w:r>
          </w:p>
        </w:tc>
        <w:tc>
          <w:tcPr>
            <w:tcW w:w="770" w:type="dxa"/>
            <w:tcBorders>
              <w:bottom w:val="single" w:sz="12" w:space="0" w:color="auto"/>
              <w:right w:val="single" w:sz="12" w:space="0" w:color="auto"/>
            </w:tcBorders>
            <w:shd w:val="clear" w:color="auto" w:fill="auto"/>
            <w:vAlign w:val="center"/>
          </w:tcPr>
          <w:p w14:paraId="61950D2E" w14:textId="77777777" w:rsidR="00C4458E" w:rsidRPr="00D43FE4" w:rsidRDefault="00C4458E" w:rsidP="000F5D7F">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3</w:t>
            </w:r>
          </w:p>
        </w:tc>
      </w:tr>
      <w:tr w:rsidR="00C4458E" w:rsidRPr="00D43FE4" w14:paraId="026F227B" w14:textId="77777777" w:rsidTr="00C4458E">
        <w:trPr>
          <w:jc w:val="center"/>
        </w:trPr>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26ECAD99" w14:textId="77777777" w:rsidR="000F5D7F" w:rsidRDefault="000F5D7F" w:rsidP="00C4458E">
            <w:pPr>
              <w:tabs>
                <w:tab w:val="left" w:pos="1885"/>
              </w:tabs>
              <w:jc w:val="center"/>
              <w:rPr>
                <w:rFonts w:ascii="Times New Roman" w:eastAsia="Times New Roman" w:hAnsi="Times New Roman" w:cs="Times New Roman"/>
                <w:b/>
                <w:sz w:val="24"/>
                <w:szCs w:val="24"/>
              </w:rPr>
            </w:pPr>
          </w:p>
          <w:p w14:paraId="3C10C329" w14:textId="13791378" w:rsidR="00C4458E" w:rsidRPr="00C4458E" w:rsidRDefault="00C4458E" w:rsidP="00C4458E">
            <w:pPr>
              <w:tabs>
                <w:tab w:val="left" w:pos="1885"/>
              </w:tabs>
              <w:jc w:val="center"/>
              <w:rPr>
                <w:rFonts w:ascii="Times New Roman" w:eastAsia="Times New Roman" w:hAnsi="Times New Roman" w:cs="Times New Roman"/>
                <w:b/>
                <w:sz w:val="24"/>
                <w:szCs w:val="24"/>
              </w:rPr>
            </w:pPr>
            <w:r w:rsidRPr="00C4458E">
              <w:rPr>
                <w:rFonts w:ascii="Times New Roman" w:eastAsia="Times New Roman" w:hAnsi="Times New Roman" w:cs="Times New Roman"/>
                <w:b/>
                <w:sz w:val="24"/>
                <w:szCs w:val="24"/>
              </w:rPr>
              <w:t>Година</w:t>
            </w:r>
          </w:p>
          <w:p w14:paraId="6A1BD881" w14:textId="77777777" w:rsidR="00C4458E" w:rsidRPr="00C4458E" w:rsidRDefault="00C4458E" w:rsidP="00C4458E">
            <w:pPr>
              <w:tabs>
                <w:tab w:val="left" w:pos="1885"/>
              </w:tabs>
              <w:jc w:val="center"/>
              <w:rPr>
                <w:rFonts w:ascii="Times New Roman" w:eastAsia="Times New Roman" w:hAnsi="Times New Roman" w:cs="Times New Roman"/>
                <w:b/>
                <w:sz w:val="24"/>
                <w:szCs w:val="24"/>
              </w:rPr>
            </w:pPr>
          </w:p>
        </w:tc>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494DBA2F"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rPr>
              <w:t>2011</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45EC7770"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rPr>
              <w:t>2012</w:t>
            </w:r>
          </w:p>
        </w:tc>
        <w:tc>
          <w:tcPr>
            <w:tcW w:w="1002" w:type="dxa"/>
            <w:tcBorders>
              <w:top w:val="single" w:sz="12" w:space="0" w:color="auto"/>
              <w:left w:val="single" w:sz="12" w:space="0" w:color="auto"/>
              <w:bottom w:val="single" w:sz="12" w:space="0" w:color="auto"/>
              <w:right w:val="single" w:sz="12" w:space="0" w:color="auto"/>
            </w:tcBorders>
            <w:shd w:val="clear" w:color="auto" w:fill="auto"/>
            <w:vAlign w:val="center"/>
          </w:tcPr>
          <w:p w14:paraId="1BAEDFC7"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lang w:val="sr-Cyrl-CS"/>
              </w:rPr>
              <w:t>2013</w:t>
            </w:r>
          </w:p>
        </w:tc>
        <w:tc>
          <w:tcPr>
            <w:tcW w:w="1002" w:type="dxa"/>
            <w:tcBorders>
              <w:top w:val="single" w:sz="12" w:space="0" w:color="auto"/>
              <w:left w:val="single" w:sz="12" w:space="0" w:color="auto"/>
              <w:bottom w:val="single" w:sz="12" w:space="0" w:color="auto"/>
              <w:right w:val="single" w:sz="12" w:space="0" w:color="auto"/>
            </w:tcBorders>
            <w:vAlign w:val="center"/>
          </w:tcPr>
          <w:p w14:paraId="1ECB91D6"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rPr>
              <w:t>2014</w:t>
            </w:r>
          </w:p>
        </w:tc>
        <w:tc>
          <w:tcPr>
            <w:tcW w:w="1002" w:type="dxa"/>
            <w:tcBorders>
              <w:top w:val="single" w:sz="12" w:space="0" w:color="auto"/>
              <w:left w:val="single" w:sz="12" w:space="0" w:color="auto"/>
              <w:bottom w:val="single" w:sz="12" w:space="0" w:color="auto"/>
              <w:right w:val="single" w:sz="12" w:space="0" w:color="auto"/>
            </w:tcBorders>
            <w:vAlign w:val="center"/>
          </w:tcPr>
          <w:p w14:paraId="02A68F98"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rPr>
              <w:t>2015</w:t>
            </w:r>
          </w:p>
        </w:tc>
        <w:tc>
          <w:tcPr>
            <w:tcW w:w="1002" w:type="dxa"/>
            <w:tcBorders>
              <w:top w:val="single" w:sz="12" w:space="0" w:color="auto"/>
              <w:left w:val="single" w:sz="12" w:space="0" w:color="auto"/>
              <w:bottom w:val="single" w:sz="12" w:space="0" w:color="auto"/>
              <w:right w:val="single" w:sz="12" w:space="0" w:color="auto"/>
            </w:tcBorders>
            <w:vAlign w:val="center"/>
          </w:tcPr>
          <w:p w14:paraId="4ADF6D52"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lang w:val="en-US"/>
              </w:rPr>
              <w:t>2016</w:t>
            </w:r>
          </w:p>
        </w:tc>
        <w:tc>
          <w:tcPr>
            <w:tcW w:w="1002" w:type="dxa"/>
            <w:tcBorders>
              <w:top w:val="single" w:sz="12" w:space="0" w:color="auto"/>
              <w:left w:val="single" w:sz="12" w:space="0" w:color="auto"/>
              <w:bottom w:val="single" w:sz="12" w:space="0" w:color="auto"/>
              <w:right w:val="single" w:sz="12" w:space="0" w:color="auto"/>
            </w:tcBorders>
            <w:vAlign w:val="center"/>
          </w:tcPr>
          <w:p w14:paraId="7871B7FB"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lang w:val="en-US"/>
              </w:rPr>
              <w:t>2017</w:t>
            </w:r>
          </w:p>
        </w:tc>
        <w:tc>
          <w:tcPr>
            <w:tcW w:w="1002" w:type="dxa"/>
            <w:tcBorders>
              <w:top w:val="single" w:sz="12" w:space="0" w:color="auto"/>
              <w:left w:val="single" w:sz="12" w:space="0" w:color="auto"/>
              <w:bottom w:val="single" w:sz="12" w:space="0" w:color="auto"/>
              <w:right w:val="single" w:sz="12" w:space="0" w:color="auto"/>
            </w:tcBorders>
            <w:vAlign w:val="center"/>
          </w:tcPr>
          <w:p w14:paraId="3DAC1D2F"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lang w:val="sr-Cyrl-CS"/>
              </w:rPr>
              <w:t>2018</w:t>
            </w:r>
          </w:p>
        </w:tc>
        <w:tc>
          <w:tcPr>
            <w:tcW w:w="770" w:type="dxa"/>
            <w:tcBorders>
              <w:top w:val="single" w:sz="12" w:space="0" w:color="auto"/>
              <w:left w:val="single" w:sz="12" w:space="0" w:color="auto"/>
              <w:bottom w:val="single" w:sz="12" w:space="0" w:color="auto"/>
              <w:right w:val="single" w:sz="12" w:space="0" w:color="auto"/>
            </w:tcBorders>
            <w:vAlign w:val="center"/>
          </w:tcPr>
          <w:p w14:paraId="0EE85770" w14:textId="77777777" w:rsidR="00C4458E" w:rsidRPr="00C4458E" w:rsidRDefault="00C4458E" w:rsidP="00C421EE">
            <w:pPr>
              <w:tabs>
                <w:tab w:val="left" w:pos="1885"/>
              </w:tabs>
              <w:jc w:val="center"/>
              <w:rPr>
                <w:rFonts w:ascii="Times New Roman" w:eastAsia="Times New Roman" w:hAnsi="Times New Roman" w:cs="Times New Roman"/>
                <w:sz w:val="24"/>
                <w:szCs w:val="24"/>
              </w:rPr>
            </w:pPr>
            <w:r w:rsidRPr="00C4458E">
              <w:rPr>
                <w:rFonts w:ascii="Times New Roman" w:eastAsia="Times New Roman" w:hAnsi="Times New Roman" w:cs="Times New Roman"/>
                <w:b/>
                <w:sz w:val="24"/>
                <w:szCs w:val="24"/>
                <w:lang w:val="sr-Latn-RS"/>
              </w:rPr>
              <w:t>2019</w:t>
            </w:r>
          </w:p>
        </w:tc>
      </w:tr>
      <w:tr w:rsidR="00C4458E" w:rsidRPr="00D43FE4" w14:paraId="551BB39A" w14:textId="77777777" w:rsidTr="00C4458E">
        <w:trPr>
          <w:jc w:val="center"/>
        </w:trPr>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7C8A8466" w14:textId="77777777" w:rsidR="00C4458E" w:rsidRPr="00D43FE4" w:rsidRDefault="00C4458E" w:rsidP="00C4458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Домаћи</w:t>
            </w:r>
          </w:p>
          <w:p w14:paraId="69063457" w14:textId="77777777" w:rsidR="00C4458E" w:rsidRPr="00D43FE4" w:rsidRDefault="00C4458E" w:rsidP="00C4458E">
            <w:pPr>
              <w:tabs>
                <w:tab w:val="left" w:pos="1885"/>
              </w:tabs>
              <w:jc w:val="center"/>
              <w:rPr>
                <w:rFonts w:ascii="Times New Roman" w:eastAsia="Times New Roman" w:hAnsi="Times New Roman" w:cs="Times New Roman"/>
                <w:b/>
                <w:sz w:val="24"/>
                <w:szCs w:val="24"/>
              </w:rPr>
            </w:pPr>
          </w:p>
        </w:tc>
        <w:tc>
          <w:tcPr>
            <w:tcW w:w="1001" w:type="dxa"/>
            <w:tcBorders>
              <w:top w:val="single" w:sz="12" w:space="0" w:color="auto"/>
              <w:left w:val="single" w:sz="12" w:space="0" w:color="auto"/>
            </w:tcBorders>
            <w:shd w:val="clear" w:color="auto" w:fill="auto"/>
            <w:vAlign w:val="center"/>
          </w:tcPr>
          <w:p w14:paraId="2E12E51E"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98</w:t>
            </w:r>
          </w:p>
        </w:tc>
        <w:tc>
          <w:tcPr>
            <w:tcW w:w="1002" w:type="dxa"/>
            <w:tcBorders>
              <w:top w:val="single" w:sz="12" w:space="0" w:color="auto"/>
            </w:tcBorders>
            <w:shd w:val="clear" w:color="auto" w:fill="auto"/>
            <w:vAlign w:val="center"/>
          </w:tcPr>
          <w:p w14:paraId="25EC7EE0"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88</w:t>
            </w:r>
          </w:p>
        </w:tc>
        <w:tc>
          <w:tcPr>
            <w:tcW w:w="1002" w:type="dxa"/>
            <w:tcBorders>
              <w:top w:val="single" w:sz="12" w:space="0" w:color="auto"/>
            </w:tcBorders>
            <w:shd w:val="clear" w:color="auto" w:fill="auto"/>
            <w:vAlign w:val="center"/>
          </w:tcPr>
          <w:p w14:paraId="7CCC1C15"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w:t>
            </w:r>
            <w:r w:rsidRPr="00D43FE4">
              <w:rPr>
                <w:rFonts w:ascii="Times New Roman" w:eastAsia="Times New Roman" w:hAnsi="Times New Roman" w:cs="Times New Roman"/>
                <w:sz w:val="24"/>
                <w:szCs w:val="24"/>
                <w:lang w:val="sr-Cyrl-CS"/>
              </w:rPr>
              <w:t>6</w:t>
            </w:r>
          </w:p>
        </w:tc>
        <w:tc>
          <w:tcPr>
            <w:tcW w:w="1002" w:type="dxa"/>
            <w:tcBorders>
              <w:top w:val="single" w:sz="12" w:space="0" w:color="auto"/>
            </w:tcBorders>
            <w:vAlign w:val="center"/>
          </w:tcPr>
          <w:p w14:paraId="3D5E411F"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97</w:t>
            </w:r>
          </w:p>
        </w:tc>
        <w:tc>
          <w:tcPr>
            <w:tcW w:w="1002" w:type="dxa"/>
            <w:tcBorders>
              <w:top w:val="single" w:sz="12" w:space="0" w:color="auto"/>
            </w:tcBorders>
            <w:vAlign w:val="center"/>
          </w:tcPr>
          <w:p w14:paraId="63F526E3"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98</w:t>
            </w:r>
          </w:p>
        </w:tc>
        <w:tc>
          <w:tcPr>
            <w:tcW w:w="1002" w:type="dxa"/>
            <w:tcBorders>
              <w:top w:val="single" w:sz="12" w:space="0" w:color="auto"/>
            </w:tcBorders>
            <w:vAlign w:val="center"/>
          </w:tcPr>
          <w:p w14:paraId="4EE1D07E"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en-US"/>
              </w:rPr>
              <w:t>95</w:t>
            </w:r>
          </w:p>
        </w:tc>
        <w:tc>
          <w:tcPr>
            <w:tcW w:w="1002" w:type="dxa"/>
            <w:tcBorders>
              <w:top w:val="single" w:sz="12" w:space="0" w:color="auto"/>
            </w:tcBorders>
            <w:vAlign w:val="center"/>
          </w:tcPr>
          <w:p w14:paraId="48085F8B"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en-GB"/>
              </w:rPr>
              <w:t>97</w:t>
            </w:r>
          </w:p>
        </w:tc>
        <w:tc>
          <w:tcPr>
            <w:tcW w:w="1002" w:type="dxa"/>
            <w:tcBorders>
              <w:top w:val="single" w:sz="12" w:space="0" w:color="auto"/>
            </w:tcBorders>
            <w:vAlign w:val="center"/>
          </w:tcPr>
          <w:p w14:paraId="0446354F"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sr-Cyrl-CS"/>
              </w:rPr>
              <w:t>97</w:t>
            </w:r>
          </w:p>
        </w:tc>
        <w:tc>
          <w:tcPr>
            <w:tcW w:w="770" w:type="dxa"/>
            <w:tcBorders>
              <w:top w:val="single" w:sz="12" w:space="0" w:color="auto"/>
              <w:right w:val="single" w:sz="12" w:space="0" w:color="auto"/>
            </w:tcBorders>
            <w:vAlign w:val="center"/>
          </w:tcPr>
          <w:p w14:paraId="1477DB10"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sr-Latn-RS"/>
              </w:rPr>
              <w:t>98</w:t>
            </w:r>
          </w:p>
        </w:tc>
      </w:tr>
      <w:tr w:rsidR="00C4458E" w:rsidRPr="00D43FE4" w14:paraId="0F8CD7AC" w14:textId="77777777" w:rsidTr="00C4458E">
        <w:trPr>
          <w:jc w:val="center"/>
        </w:trPr>
        <w:tc>
          <w:tcPr>
            <w:tcW w:w="1001" w:type="dxa"/>
            <w:tcBorders>
              <w:top w:val="single" w:sz="12" w:space="0" w:color="auto"/>
              <w:left w:val="single" w:sz="12" w:space="0" w:color="auto"/>
              <w:bottom w:val="single" w:sz="12" w:space="0" w:color="auto"/>
              <w:right w:val="single" w:sz="12" w:space="0" w:color="auto"/>
            </w:tcBorders>
            <w:shd w:val="clear" w:color="auto" w:fill="auto"/>
            <w:vAlign w:val="center"/>
          </w:tcPr>
          <w:p w14:paraId="22C5FD07" w14:textId="77777777" w:rsidR="00C4458E" w:rsidRPr="00D43FE4" w:rsidRDefault="00C4458E" w:rsidP="00C4458E">
            <w:pPr>
              <w:tabs>
                <w:tab w:val="left" w:pos="1885"/>
              </w:tabs>
              <w:jc w:val="center"/>
              <w:rPr>
                <w:rFonts w:ascii="Times New Roman" w:eastAsia="Times New Roman" w:hAnsi="Times New Roman" w:cs="Times New Roman"/>
                <w:b/>
                <w:sz w:val="24"/>
                <w:szCs w:val="24"/>
              </w:rPr>
            </w:pPr>
            <w:r w:rsidRPr="00D43FE4">
              <w:rPr>
                <w:rFonts w:ascii="Times New Roman" w:eastAsia="Times New Roman" w:hAnsi="Times New Roman" w:cs="Times New Roman"/>
                <w:b/>
                <w:sz w:val="24"/>
                <w:szCs w:val="24"/>
              </w:rPr>
              <w:t>Страни</w:t>
            </w:r>
          </w:p>
          <w:p w14:paraId="2088C678" w14:textId="77777777" w:rsidR="00C4458E" w:rsidRPr="00D43FE4" w:rsidRDefault="00C4458E" w:rsidP="00C4458E">
            <w:pPr>
              <w:tabs>
                <w:tab w:val="left" w:pos="1885"/>
              </w:tabs>
              <w:jc w:val="center"/>
              <w:rPr>
                <w:rFonts w:ascii="Times New Roman" w:eastAsia="Times New Roman" w:hAnsi="Times New Roman" w:cs="Times New Roman"/>
                <w:b/>
                <w:sz w:val="24"/>
                <w:szCs w:val="24"/>
              </w:rPr>
            </w:pPr>
          </w:p>
        </w:tc>
        <w:tc>
          <w:tcPr>
            <w:tcW w:w="1001" w:type="dxa"/>
            <w:tcBorders>
              <w:left w:val="single" w:sz="12" w:space="0" w:color="auto"/>
              <w:bottom w:val="single" w:sz="12" w:space="0" w:color="auto"/>
            </w:tcBorders>
            <w:shd w:val="clear" w:color="auto" w:fill="auto"/>
            <w:vAlign w:val="center"/>
          </w:tcPr>
          <w:p w14:paraId="3A32A3AA"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2</w:t>
            </w:r>
          </w:p>
        </w:tc>
        <w:tc>
          <w:tcPr>
            <w:tcW w:w="1002" w:type="dxa"/>
            <w:tcBorders>
              <w:bottom w:val="single" w:sz="12" w:space="0" w:color="auto"/>
            </w:tcBorders>
            <w:shd w:val="clear" w:color="auto" w:fill="auto"/>
            <w:vAlign w:val="center"/>
          </w:tcPr>
          <w:p w14:paraId="43BD81D5"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12</w:t>
            </w:r>
          </w:p>
        </w:tc>
        <w:tc>
          <w:tcPr>
            <w:tcW w:w="1002" w:type="dxa"/>
            <w:tcBorders>
              <w:bottom w:val="single" w:sz="12" w:space="0" w:color="auto"/>
            </w:tcBorders>
            <w:shd w:val="clear" w:color="auto" w:fill="auto"/>
            <w:vAlign w:val="center"/>
          </w:tcPr>
          <w:p w14:paraId="582A9062"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sr-Cyrl-CS"/>
              </w:rPr>
              <w:t>4</w:t>
            </w:r>
          </w:p>
        </w:tc>
        <w:tc>
          <w:tcPr>
            <w:tcW w:w="1002" w:type="dxa"/>
            <w:tcBorders>
              <w:bottom w:val="single" w:sz="12" w:space="0" w:color="auto"/>
            </w:tcBorders>
            <w:vAlign w:val="center"/>
          </w:tcPr>
          <w:p w14:paraId="73F1EECB"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3</w:t>
            </w:r>
          </w:p>
        </w:tc>
        <w:tc>
          <w:tcPr>
            <w:tcW w:w="1002" w:type="dxa"/>
            <w:tcBorders>
              <w:bottom w:val="single" w:sz="12" w:space="0" w:color="auto"/>
            </w:tcBorders>
            <w:vAlign w:val="center"/>
          </w:tcPr>
          <w:p w14:paraId="2362D0DE"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rPr>
              <w:t>2</w:t>
            </w:r>
          </w:p>
        </w:tc>
        <w:tc>
          <w:tcPr>
            <w:tcW w:w="1002" w:type="dxa"/>
            <w:tcBorders>
              <w:bottom w:val="single" w:sz="12" w:space="0" w:color="auto"/>
            </w:tcBorders>
            <w:vAlign w:val="center"/>
          </w:tcPr>
          <w:p w14:paraId="20F39683"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en-US"/>
              </w:rPr>
              <w:t>5</w:t>
            </w:r>
          </w:p>
        </w:tc>
        <w:tc>
          <w:tcPr>
            <w:tcW w:w="1002" w:type="dxa"/>
            <w:tcBorders>
              <w:bottom w:val="single" w:sz="12" w:space="0" w:color="auto"/>
            </w:tcBorders>
            <w:vAlign w:val="center"/>
          </w:tcPr>
          <w:p w14:paraId="3BE1EC78"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en-GB"/>
              </w:rPr>
              <w:t>3</w:t>
            </w:r>
          </w:p>
        </w:tc>
        <w:tc>
          <w:tcPr>
            <w:tcW w:w="1002" w:type="dxa"/>
            <w:tcBorders>
              <w:bottom w:val="single" w:sz="12" w:space="0" w:color="auto"/>
            </w:tcBorders>
            <w:vAlign w:val="center"/>
          </w:tcPr>
          <w:p w14:paraId="65397901"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sr-Cyrl-CS"/>
              </w:rPr>
              <w:t>3</w:t>
            </w:r>
          </w:p>
        </w:tc>
        <w:tc>
          <w:tcPr>
            <w:tcW w:w="770" w:type="dxa"/>
            <w:tcBorders>
              <w:bottom w:val="single" w:sz="12" w:space="0" w:color="auto"/>
              <w:right w:val="single" w:sz="12" w:space="0" w:color="auto"/>
            </w:tcBorders>
            <w:vAlign w:val="center"/>
          </w:tcPr>
          <w:p w14:paraId="68E40B27" w14:textId="77777777" w:rsidR="00C4458E" w:rsidRPr="00D43FE4" w:rsidRDefault="00C4458E" w:rsidP="00C421EE">
            <w:pPr>
              <w:tabs>
                <w:tab w:val="left" w:pos="1885"/>
              </w:tabs>
              <w:jc w:val="center"/>
              <w:rPr>
                <w:rFonts w:ascii="Times New Roman" w:eastAsia="Times New Roman" w:hAnsi="Times New Roman" w:cs="Times New Roman"/>
                <w:sz w:val="24"/>
                <w:szCs w:val="24"/>
              </w:rPr>
            </w:pPr>
            <w:r w:rsidRPr="00D43FE4">
              <w:rPr>
                <w:rFonts w:ascii="Times New Roman" w:eastAsia="Times New Roman" w:hAnsi="Times New Roman" w:cs="Times New Roman"/>
                <w:sz w:val="24"/>
                <w:szCs w:val="24"/>
                <w:lang w:val="sr-Latn-RS"/>
              </w:rPr>
              <w:t>2</w:t>
            </w:r>
          </w:p>
        </w:tc>
      </w:tr>
    </w:tbl>
    <w:p w14:paraId="0BC896DD" w14:textId="7BCF19AD" w:rsidR="00DC4DBD" w:rsidRDefault="00DC4DBD" w:rsidP="001513BE">
      <w:pPr>
        <w:jc w:val="both"/>
        <w:rPr>
          <w:rFonts w:ascii="Times New Roman" w:hAnsi="Times New Roman" w:cs="Times New Roman"/>
          <w:sz w:val="24"/>
          <w:szCs w:val="24"/>
        </w:rPr>
      </w:pPr>
    </w:p>
    <w:p w14:paraId="69D2CB94" w14:textId="77777777" w:rsidR="00F17C6F" w:rsidRPr="00465CD9" w:rsidRDefault="00F17C6F" w:rsidP="001513BE">
      <w:pPr>
        <w:jc w:val="both"/>
        <w:rPr>
          <w:rFonts w:ascii="Times New Roman" w:hAnsi="Times New Roman" w:cs="Times New Roman"/>
          <w:sz w:val="24"/>
          <w:szCs w:val="24"/>
        </w:rPr>
      </w:pPr>
    </w:p>
    <w:p w14:paraId="327395FE" w14:textId="7E73D26B" w:rsidR="00397ADD" w:rsidRDefault="0011194E" w:rsidP="001513BE">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lastRenderedPageBreak/>
        <w:t xml:space="preserve">                   </w:t>
      </w:r>
      <w:r w:rsidR="00F17C6F">
        <w:rPr>
          <w:rFonts w:ascii="Times New Roman" w:hAnsi="Times New Roman" w:cs="Times New Roman"/>
          <w:b/>
          <w:color w:val="000000" w:themeColor="text1"/>
          <w:sz w:val="24"/>
          <w:szCs w:val="24"/>
          <w:lang w:val="sr-Latn-RS"/>
        </w:rPr>
        <w:t xml:space="preserve">     </w:t>
      </w:r>
      <w:r w:rsidR="00C4458E">
        <w:rPr>
          <w:rFonts w:ascii="Times New Roman" w:hAnsi="Times New Roman" w:cs="Times New Roman"/>
          <w:b/>
          <w:color w:val="000000" w:themeColor="text1"/>
          <w:sz w:val="24"/>
          <w:szCs w:val="24"/>
          <w:lang w:val="sr-Latn-RS"/>
        </w:rPr>
        <w:t xml:space="preserve">       </w:t>
      </w:r>
      <w:r w:rsidR="00F17C6F">
        <w:rPr>
          <w:rFonts w:ascii="Times New Roman" w:hAnsi="Times New Roman" w:cs="Times New Roman"/>
          <w:b/>
          <w:color w:val="000000" w:themeColor="text1"/>
          <w:sz w:val="24"/>
          <w:szCs w:val="24"/>
          <w:lang w:val="sr-Latn-RS"/>
        </w:rPr>
        <w:t xml:space="preserve">  </w:t>
      </w:r>
      <w:r w:rsidR="00FD42B3" w:rsidRPr="005005C3">
        <w:rPr>
          <w:rFonts w:ascii="Times New Roman" w:hAnsi="Times New Roman" w:cs="Times New Roman"/>
          <w:b/>
          <w:color w:val="000000" w:themeColor="text1"/>
          <w:sz w:val="24"/>
          <w:szCs w:val="24"/>
        </w:rPr>
        <w:t xml:space="preserve">Слика </w:t>
      </w:r>
      <w:r w:rsidR="000F5D7F">
        <w:rPr>
          <w:rFonts w:ascii="Times New Roman" w:hAnsi="Times New Roman" w:cs="Times New Roman"/>
          <w:b/>
          <w:color w:val="000000" w:themeColor="text1"/>
          <w:sz w:val="24"/>
          <w:szCs w:val="24"/>
        </w:rPr>
        <w:t>12</w:t>
      </w:r>
    </w:p>
    <w:p w14:paraId="4506C0C6" w14:textId="7B5370B6" w:rsidR="00F17C6F" w:rsidRDefault="00F17C6F" w:rsidP="00F17C6F">
      <w:pPr>
        <w:jc w:val="center"/>
        <w:rPr>
          <w:rFonts w:ascii="Times New Roman" w:hAnsi="Times New Roman" w:cs="Times New Roman"/>
          <w:b/>
          <w:color w:val="000000" w:themeColor="text1"/>
          <w:sz w:val="24"/>
          <w:szCs w:val="24"/>
        </w:rPr>
        <w:sectPr w:rsidR="00F17C6F" w:rsidSect="00C4458E">
          <w:footerReference w:type="default" r:id="rId24"/>
          <w:pgSz w:w="12240" w:h="15840"/>
          <w:pgMar w:top="720" w:right="426" w:bottom="720" w:left="568" w:header="708" w:footer="708" w:gutter="0"/>
          <w:cols w:space="708"/>
          <w:docGrid w:linePitch="360"/>
        </w:sectPr>
      </w:pPr>
      <w:r>
        <w:rPr>
          <w:noProof/>
          <w:lang w:val="sr-Cyrl-RS" w:eastAsia="sr-Cyrl-RS"/>
        </w:rPr>
        <w:drawing>
          <wp:inline distT="0" distB="0" distL="0" distR="0" wp14:anchorId="4B17F665" wp14:editId="67840344">
            <wp:extent cx="5679677" cy="3406588"/>
            <wp:effectExtent l="0" t="0" r="1651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BCBAC2" w14:textId="19578FC5" w:rsidR="00637BC6" w:rsidRPr="009234CB" w:rsidRDefault="009234CB" w:rsidP="00960A8C">
      <w:pPr>
        <w:pStyle w:val="ListParagraph"/>
        <w:numPr>
          <w:ilvl w:val="0"/>
          <w:numId w:val="2"/>
        </w:numPr>
        <w:jc w:val="both"/>
        <w:rPr>
          <w:rFonts w:ascii="Times New Roman" w:hAnsi="Times New Roman" w:cs="Times New Roman"/>
          <w:b/>
          <w:sz w:val="24"/>
          <w:szCs w:val="24"/>
        </w:rPr>
      </w:pPr>
      <w:bookmarkStart w:id="11" w:name="_MON_1581428310"/>
      <w:bookmarkEnd w:id="11"/>
      <w:r>
        <w:rPr>
          <w:rFonts w:ascii="Times New Roman" w:hAnsi="Times New Roman" w:cs="Times New Roman"/>
          <w:b/>
          <w:sz w:val="24"/>
          <w:szCs w:val="24"/>
        </w:rPr>
        <w:lastRenderedPageBreak/>
        <w:t>ИСХОДИ ПОСТУПАКA</w:t>
      </w:r>
    </w:p>
    <w:p w14:paraId="78BFC244" w14:textId="6F479CB0" w:rsidR="00DC4DBD" w:rsidRDefault="00637BC6" w:rsidP="005E5329">
      <w:pPr>
        <w:jc w:val="both"/>
        <w:rPr>
          <w:rFonts w:ascii="Times New Roman" w:hAnsi="Times New Roman" w:cs="Times New Roman"/>
          <w:b/>
          <w:color w:val="000000" w:themeColor="text1"/>
          <w:sz w:val="24"/>
          <w:szCs w:val="24"/>
        </w:rPr>
      </w:pPr>
      <w:r w:rsidRPr="00ED7784">
        <w:rPr>
          <w:rFonts w:ascii="Times New Roman" w:hAnsi="Times New Roman" w:cs="Times New Roman"/>
          <w:color w:val="000000" w:themeColor="text1"/>
          <w:sz w:val="24"/>
          <w:szCs w:val="24"/>
        </w:rPr>
        <w:t>Преглед исхода поступака јавних набавки</w:t>
      </w:r>
      <w:r w:rsidR="00F46340" w:rsidRPr="00ED7784">
        <w:rPr>
          <w:rFonts w:ascii="Times New Roman" w:hAnsi="Times New Roman" w:cs="Times New Roman"/>
          <w:color w:val="000000" w:themeColor="text1"/>
          <w:sz w:val="24"/>
          <w:szCs w:val="24"/>
        </w:rPr>
        <w:t xml:space="preserve"> у</w:t>
      </w:r>
      <w:r w:rsidR="002C234C" w:rsidRPr="00ED7784">
        <w:rPr>
          <w:rFonts w:ascii="Times New Roman" w:hAnsi="Times New Roman" w:cs="Times New Roman"/>
          <w:color w:val="000000" w:themeColor="text1"/>
          <w:sz w:val="24"/>
          <w:szCs w:val="24"/>
        </w:rPr>
        <w:t xml:space="preserve"> </w:t>
      </w:r>
      <w:r w:rsidR="00ED277B" w:rsidRPr="00ED7784">
        <w:rPr>
          <w:rFonts w:ascii="Times New Roman" w:hAnsi="Times New Roman" w:cs="Times New Roman"/>
          <w:color w:val="000000" w:themeColor="text1"/>
          <w:sz w:val="24"/>
          <w:szCs w:val="24"/>
        </w:rPr>
        <w:t>201</w:t>
      </w:r>
      <w:r w:rsidR="009C58DD">
        <w:rPr>
          <w:rFonts w:ascii="Times New Roman" w:hAnsi="Times New Roman" w:cs="Times New Roman"/>
          <w:color w:val="000000" w:themeColor="text1"/>
          <w:sz w:val="24"/>
          <w:szCs w:val="24"/>
        </w:rPr>
        <w:t>9</w:t>
      </w:r>
      <w:r w:rsidR="00ED277B" w:rsidRPr="00ED7784">
        <w:rPr>
          <w:rFonts w:ascii="Times New Roman" w:hAnsi="Times New Roman" w:cs="Times New Roman"/>
          <w:color w:val="000000" w:themeColor="text1"/>
          <w:sz w:val="24"/>
          <w:szCs w:val="24"/>
        </w:rPr>
        <w:t xml:space="preserve">. </w:t>
      </w:r>
      <w:r w:rsidR="002C234C" w:rsidRPr="00ED7784">
        <w:rPr>
          <w:rFonts w:ascii="Times New Roman" w:hAnsi="Times New Roman" w:cs="Times New Roman"/>
          <w:color w:val="000000" w:themeColor="text1"/>
          <w:sz w:val="24"/>
          <w:szCs w:val="24"/>
        </w:rPr>
        <w:t>г</w:t>
      </w:r>
      <w:r w:rsidR="00ED277B" w:rsidRPr="00ED7784">
        <w:rPr>
          <w:rFonts w:ascii="Times New Roman" w:hAnsi="Times New Roman" w:cs="Times New Roman"/>
          <w:color w:val="000000" w:themeColor="text1"/>
          <w:sz w:val="24"/>
          <w:szCs w:val="24"/>
        </w:rPr>
        <w:t>один</w:t>
      </w:r>
      <w:r w:rsidR="008D04C0" w:rsidRPr="00ED7784">
        <w:rPr>
          <w:rFonts w:ascii="Times New Roman" w:hAnsi="Times New Roman" w:cs="Times New Roman"/>
          <w:color w:val="000000" w:themeColor="text1"/>
          <w:sz w:val="24"/>
          <w:szCs w:val="24"/>
        </w:rPr>
        <w:t>и</w:t>
      </w:r>
      <w:r w:rsidR="002C234C" w:rsidRPr="00ED7784">
        <w:rPr>
          <w:rFonts w:ascii="Times New Roman" w:hAnsi="Times New Roman" w:cs="Times New Roman"/>
          <w:color w:val="000000" w:themeColor="text1"/>
          <w:sz w:val="24"/>
          <w:szCs w:val="24"/>
        </w:rPr>
        <w:t xml:space="preserve"> </w:t>
      </w:r>
      <w:r w:rsidR="000004F0">
        <w:rPr>
          <w:rFonts w:ascii="Times New Roman" w:hAnsi="Times New Roman" w:cs="Times New Roman"/>
          <w:color w:val="000000" w:themeColor="text1"/>
          <w:sz w:val="24"/>
          <w:szCs w:val="24"/>
        </w:rPr>
        <w:t>(Табела 13</w:t>
      </w:r>
      <w:r w:rsidR="00A92087" w:rsidRPr="00ED7784">
        <w:rPr>
          <w:rFonts w:ascii="Times New Roman" w:hAnsi="Times New Roman" w:cs="Times New Roman"/>
          <w:color w:val="000000" w:themeColor="text1"/>
          <w:sz w:val="24"/>
          <w:szCs w:val="24"/>
        </w:rPr>
        <w:t>, С</w:t>
      </w:r>
      <w:r w:rsidR="000F5D7F">
        <w:rPr>
          <w:rFonts w:ascii="Times New Roman" w:hAnsi="Times New Roman" w:cs="Times New Roman"/>
          <w:color w:val="000000" w:themeColor="text1"/>
          <w:sz w:val="24"/>
          <w:szCs w:val="24"/>
        </w:rPr>
        <w:t>лика 13</w:t>
      </w:r>
      <w:r w:rsidRPr="00ED7784">
        <w:rPr>
          <w:rFonts w:ascii="Times New Roman" w:hAnsi="Times New Roman" w:cs="Times New Roman"/>
          <w:color w:val="000000" w:themeColor="text1"/>
          <w:sz w:val="24"/>
          <w:szCs w:val="24"/>
        </w:rPr>
        <w:t xml:space="preserve">) показује да је </w:t>
      </w:r>
      <w:r w:rsidR="000440CC">
        <w:rPr>
          <w:rFonts w:ascii="Times New Roman" w:hAnsi="Times New Roman" w:cs="Times New Roman"/>
          <w:color w:val="000000" w:themeColor="text1"/>
          <w:sz w:val="24"/>
          <w:szCs w:val="24"/>
        </w:rPr>
        <w:t>чак 91</w:t>
      </w:r>
      <w:r w:rsidR="00E9515B" w:rsidRPr="00ED7784">
        <w:rPr>
          <w:rFonts w:ascii="Times New Roman" w:hAnsi="Times New Roman" w:cs="Times New Roman"/>
          <w:color w:val="000000" w:themeColor="text1"/>
          <w:sz w:val="24"/>
          <w:szCs w:val="24"/>
        </w:rPr>
        <w:t xml:space="preserve">% </w:t>
      </w:r>
      <w:r w:rsidRPr="00ED7784">
        <w:rPr>
          <w:rFonts w:ascii="Times New Roman" w:hAnsi="Times New Roman" w:cs="Times New Roman"/>
          <w:color w:val="000000" w:themeColor="text1"/>
          <w:sz w:val="24"/>
          <w:szCs w:val="24"/>
        </w:rPr>
        <w:t>запо</w:t>
      </w:r>
      <w:r w:rsidR="005F5974" w:rsidRPr="00ED7784">
        <w:rPr>
          <w:rFonts w:ascii="Times New Roman" w:hAnsi="Times New Roman" w:cs="Times New Roman"/>
          <w:color w:val="000000" w:themeColor="text1"/>
          <w:sz w:val="24"/>
          <w:szCs w:val="24"/>
        </w:rPr>
        <w:t xml:space="preserve">четих поступака успешно </w:t>
      </w:r>
      <w:r w:rsidR="00B71CA1" w:rsidRPr="00ED7784">
        <w:rPr>
          <w:rFonts w:ascii="Times New Roman" w:hAnsi="Times New Roman" w:cs="Times New Roman"/>
          <w:color w:val="000000" w:themeColor="text1"/>
          <w:sz w:val="24"/>
          <w:szCs w:val="24"/>
        </w:rPr>
        <w:t xml:space="preserve">и </w:t>
      </w:r>
      <w:r w:rsidR="005F5974" w:rsidRPr="00ED7784">
        <w:rPr>
          <w:rFonts w:ascii="Times New Roman" w:hAnsi="Times New Roman" w:cs="Times New Roman"/>
          <w:color w:val="000000" w:themeColor="text1"/>
          <w:sz w:val="24"/>
          <w:szCs w:val="24"/>
        </w:rPr>
        <w:t>окончано</w:t>
      </w:r>
      <w:r w:rsidR="000440CC">
        <w:rPr>
          <w:rFonts w:ascii="Times New Roman" w:hAnsi="Times New Roman" w:cs="Times New Roman"/>
          <w:color w:val="000000" w:themeColor="text1"/>
          <w:sz w:val="24"/>
          <w:szCs w:val="24"/>
        </w:rPr>
        <w:t>, док је 9</w:t>
      </w:r>
      <w:r w:rsidR="002355D5" w:rsidRPr="00ED7784">
        <w:rPr>
          <w:rFonts w:ascii="Times New Roman" w:hAnsi="Times New Roman" w:cs="Times New Roman"/>
          <w:color w:val="000000" w:themeColor="text1"/>
          <w:sz w:val="24"/>
          <w:szCs w:val="24"/>
        </w:rPr>
        <w:t>% поступака обустављено од стране наручилаца.</w:t>
      </w:r>
      <w:r w:rsidR="00DB6EA1" w:rsidRPr="00ED7784">
        <w:rPr>
          <w:rFonts w:ascii="Times New Roman" w:hAnsi="Times New Roman" w:cs="Times New Roman"/>
          <w:b/>
          <w:color w:val="000000" w:themeColor="text1"/>
          <w:sz w:val="24"/>
          <w:szCs w:val="24"/>
        </w:rPr>
        <w:t xml:space="preserve">   </w:t>
      </w:r>
    </w:p>
    <w:p w14:paraId="55D29A94" w14:textId="52157FCF" w:rsidR="00637BC6" w:rsidRPr="00D57D73" w:rsidRDefault="00126332" w:rsidP="005E5329">
      <w:pPr>
        <w:jc w:val="both"/>
        <w:rPr>
          <w:rFonts w:ascii="Times New Roman" w:hAnsi="Times New Roman" w:cs="Times New Roman"/>
          <w:b/>
          <w:color w:val="000000" w:themeColor="text1"/>
          <w:sz w:val="24"/>
          <w:szCs w:val="24"/>
          <w:lang w:val="sr-Latn-RS"/>
        </w:rPr>
      </w:pPr>
      <w:r>
        <w:rPr>
          <w:rFonts w:ascii="Times New Roman" w:hAnsi="Times New Roman" w:cs="Times New Roman"/>
          <w:b/>
          <w:color w:val="000000" w:themeColor="text1"/>
          <w:sz w:val="24"/>
          <w:szCs w:val="24"/>
          <w:lang w:val="sr-Cyrl-CS"/>
        </w:rPr>
        <w:t xml:space="preserve">  </w:t>
      </w:r>
      <w:r w:rsidR="00C421EE">
        <w:rPr>
          <w:rFonts w:ascii="Times New Roman" w:hAnsi="Times New Roman" w:cs="Times New Roman"/>
          <w:b/>
          <w:color w:val="000000" w:themeColor="text1"/>
          <w:sz w:val="24"/>
          <w:szCs w:val="24"/>
          <w:lang w:val="sr-Cyrl-CS"/>
        </w:rPr>
        <w:t xml:space="preserve">  </w:t>
      </w:r>
      <w:r>
        <w:rPr>
          <w:rFonts w:ascii="Times New Roman" w:hAnsi="Times New Roman" w:cs="Times New Roman"/>
          <w:b/>
          <w:color w:val="000000" w:themeColor="text1"/>
          <w:sz w:val="24"/>
          <w:szCs w:val="24"/>
          <w:lang w:val="sr-Cyrl-CS"/>
        </w:rPr>
        <w:t xml:space="preserve">   </w:t>
      </w:r>
      <w:r w:rsidR="00637BC6" w:rsidRPr="005005C3">
        <w:rPr>
          <w:rFonts w:ascii="Times New Roman" w:hAnsi="Times New Roman" w:cs="Times New Roman"/>
          <w:b/>
          <w:color w:val="000000" w:themeColor="text1"/>
          <w:sz w:val="24"/>
          <w:szCs w:val="24"/>
        </w:rPr>
        <w:t>Табела</w:t>
      </w:r>
      <w:r w:rsidR="003722B3" w:rsidRPr="005005C3">
        <w:rPr>
          <w:rFonts w:ascii="Times New Roman" w:hAnsi="Times New Roman" w:cs="Times New Roman"/>
          <w:b/>
          <w:color w:val="000000" w:themeColor="text1"/>
          <w:sz w:val="24"/>
          <w:szCs w:val="24"/>
        </w:rPr>
        <w:t xml:space="preserve"> </w:t>
      </w:r>
      <w:r w:rsidR="00D57D73">
        <w:rPr>
          <w:rFonts w:ascii="Times New Roman" w:hAnsi="Times New Roman" w:cs="Times New Roman"/>
          <w:b/>
          <w:color w:val="000000" w:themeColor="text1"/>
          <w:sz w:val="24"/>
          <w:szCs w:val="24"/>
        </w:rPr>
        <w:t>13</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30"/>
        <w:gridCol w:w="1235"/>
        <w:gridCol w:w="1630"/>
        <w:gridCol w:w="1235"/>
        <w:gridCol w:w="1276"/>
        <w:gridCol w:w="1177"/>
      </w:tblGrid>
      <w:tr w:rsidR="009C58DD" w:rsidRPr="00ED7784" w14:paraId="2FEE6A76" w14:textId="77777777" w:rsidTr="003D15C1">
        <w:trPr>
          <w:trHeight w:val="57"/>
          <w:jc w:val="center"/>
        </w:trPr>
        <w:tc>
          <w:tcPr>
            <w:tcW w:w="5000" w:type="pct"/>
            <w:gridSpan w:val="7"/>
            <w:shd w:val="clear" w:color="auto" w:fill="auto"/>
            <w:vAlign w:val="center"/>
          </w:tcPr>
          <w:p w14:paraId="0E495FD7" w14:textId="77777777" w:rsidR="009C58DD" w:rsidRPr="00ED7784" w:rsidRDefault="009C58DD" w:rsidP="003D15C1">
            <w:pPr>
              <w:tabs>
                <w:tab w:val="left" w:pos="1885"/>
              </w:tabs>
              <w:jc w:val="center"/>
              <w:rPr>
                <w:rFonts w:ascii="Times New Roman" w:hAnsi="Times New Roman" w:cs="Times New Roman"/>
                <w:b/>
                <w:color w:val="000000" w:themeColor="text1"/>
                <w:sz w:val="24"/>
                <w:szCs w:val="24"/>
                <w:lang w:val="sr-Cyrl-CS"/>
              </w:rPr>
            </w:pPr>
            <w:r w:rsidRPr="00ED7784">
              <w:rPr>
                <w:rFonts w:ascii="Times New Roman" w:hAnsi="Times New Roman" w:cs="Times New Roman"/>
                <w:b/>
                <w:color w:val="000000" w:themeColor="text1"/>
                <w:sz w:val="24"/>
                <w:szCs w:val="24"/>
              </w:rPr>
              <w:t>Преглед исхода поступака у 201</w:t>
            </w:r>
            <w:r>
              <w:rPr>
                <w:rFonts w:ascii="Times New Roman" w:hAnsi="Times New Roman" w:cs="Times New Roman"/>
                <w:b/>
                <w:color w:val="000000" w:themeColor="text1"/>
                <w:sz w:val="24"/>
                <w:szCs w:val="24"/>
                <w:lang w:val="en-US"/>
              </w:rPr>
              <w:t>9</w:t>
            </w:r>
            <w:r w:rsidRPr="00ED7784">
              <w:rPr>
                <w:rFonts w:ascii="Times New Roman" w:hAnsi="Times New Roman" w:cs="Times New Roman"/>
                <w:b/>
                <w:color w:val="000000" w:themeColor="text1"/>
                <w:sz w:val="24"/>
                <w:szCs w:val="24"/>
              </w:rPr>
              <w:t>. годин</w:t>
            </w:r>
            <w:r w:rsidRPr="00ED7784">
              <w:rPr>
                <w:rFonts w:ascii="Times New Roman" w:hAnsi="Times New Roman" w:cs="Times New Roman"/>
                <w:b/>
                <w:color w:val="000000" w:themeColor="text1"/>
                <w:sz w:val="24"/>
                <w:szCs w:val="24"/>
                <w:lang w:val="sr-Cyrl-CS"/>
              </w:rPr>
              <w:t>и</w:t>
            </w:r>
          </w:p>
        </w:tc>
      </w:tr>
      <w:tr w:rsidR="009C58DD" w:rsidRPr="005E5329" w14:paraId="0123A941" w14:textId="77777777" w:rsidTr="003D15C1">
        <w:trPr>
          <w:trHeight w:val="1202"/>
          <w:jc w:val="center"/>
        </w:trPr>
        <w:tc>
          <w:tcPr>
            <w:tcW w:w="939" w:type="pct"/>
            <w:shd w:val="clear" w:color="auto" w:fill="auto"/>
            <w:vAlign w:val="center"/>
          </w:tcPr>
          <w:p w14:paraId="687702E9"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Исход поступка</w:t>
            </w:r>
          </w:p>
        </w:tc>
        <w:tc>
          <w:tcPr>
            <w:tcW w:w="809" w:type="pct"/>
            <w:shd w:val="clear" w:color="auto" w:fill="auto"/>
            <w:vAlign w:val="center"/>
          </w:tcPr>
          <w:p w14:paraId="38B7A0E0"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Број поступака велике вредности</w:t>
            </w:r>
          </w:p>
        </w:tc>
        <w:tc>
          <w:tcPr>
            <w:tcW w:w="613" w:type="pct"/>
            <w:shd w:val="clear" w:color="auto" w:fill="auto"/>
            <w:vAlign w:val="center"/>
          </w:tcPr>
          <w:p w14:paraId="77A3915B"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w:t>
            </w:r>
          </w:p>
        </w:tc>
        <w:tc>
          <w:tcPr>
            <w:tcW w:w="809" w:type="pct"/>
            <w:shd w:val="clear" w:color="auto" w:fill="auto"/>
            <w:vAlign w:val="center"/>
          </w:tcPr>
          <w:p w14:paraId="590C440C"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Број поступака мале вредности</w:t>
            </w:r>
          </w:p>
        </w:tc>
        <w:tc>
          <w:tcPr>
            <w:tcW w:w="613" w:type="pct"/>
            <w:shd w:val="clear" w:color="auto" w:fill="auto"/>
            <w:vAlign w:val="center"/>
          </w:tcPr>
          <w:p w14:paraId="469B6117"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w:t>
            </w:r>
          </w:p>
        </w:tc>
        <w:tc>
          <w:tcPr>
            <w:tcW w:w="633" w:type="pct"/>
            <w:shd w:val="clear" w:color="auto" w:fill="auto"/>
            <w:vAlign w:val="center"/>
          </w:tcPr>
          <w:p w14:paraId="51E89C4D"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Укупно</w:t>
            </w:r>
          </w:p>
        </w:tc>
        <w:tc>
          <w:tcPr>
            <w:tcW w:w="584" w:type="pct"/>
            <w:shd w:val="clear" w:color="auto" w:fill="auto"/>
            <w:vAlign w:val="center"/>
          </w:tcPr>
          <w:p w14:paraId="63C113DB"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w:t>
            </w:r>
          </w:p>
        </w:tc>
      </w:tr>
      <w:tr w:rsidR="009C58DD" w:rsidRPr="005E5329" w14:paraId="3431AB99" w14:textId="77777777" w:rsidTr="003D15C1">
        <w:trPr>
          <w:trHeight w:val="57"/>
          <w:jc w:val="center"/>
        </w:trPr>
        <w:tc>
          <w:tcPr>
            <w:tcW w:w="939" w:type="pct"/>
            <w:shd w:val="clear" w:color="auto" w:fill="auto"/>
            <w:vAlign w:val="center"/>
          </w:tcPr>
          <w:p w14:paraId="5020DD48"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Успешно спроведени</w:t>
            </w:r>
          </w:p>
        </w:tc>
        <w:tc>
          <w:tcPr>
            <w:tcW w:w="809" w:type="pct"/>
            <w:shd w:val="clear" w:color="auto" w:fill="auto"/>
            <w:vAlign w:val="center"/>
          </w:tcPr>
          <w:p w14:paraId="17D5F59E"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sr-Cyrl-CS"/>
              </w:rPr>
              <w:t>3</w:t>
            </w:r>
            <w:r>
              <w:rPr>
                <w:rFonts w:ascii="Times New Roman" w:hAnsi="Times New Roman" w:cs="Times New Roman"/>
                <w:sz w:val="24"/>
                <w:szCs w:val="24"/>
                <w:lang w:val="en-US"/>
              </w:rPr>
              <w:t>5</w:t>
            </w:r>
            <w:r>
              <w:rPr>
                <w:rFonts w:ascii="Times New Roman" w:hAnsi="Times New Roman" w:cs="Times New Roman"/>
                <w:sz w:val="24"/>
                <w:szCs w:val="24"/>
                <w:lang w:val="sr-Cyrl-CS"/>
              </w:rPr>
              <w:t>.</w:t>
            </w:r>
            <w:r>
              <w:rPr>
                <w:rFonts w:ascii="Times New Roman" w:hAnsi="Times New Roman" w:cs="Times New Roman"/>
                <w:sz w:val="24"/>
                <w:szCs w:val="24"/>
                <w:lang w:val="en-US"/>
              </w:rPr>
              <w:t>366</w:t>
            </w:r>
          </w:p>
        </w:tc>
        <w:tc>
          <w:tcPr>
            <w:tcW w:w="613" w:type="pct"/>
            <w:shd w:val="clear" w:color="auto" w:fill="auto"/>
            <w:vAlign w:val="center"/>
          </w:tcPr>
          <w:p w14:paraId="063C60E7"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sr-Cyrl-CS"/>
              </w:rPr>
              <w:t>9</w:t>
            </w:r>
            <w:r>
              <w:rPr>
                <w:rFonts w:ascii="Times New Roman" w:hAnsi="Times New Roman" w:cs="Times New Roman"/>
                <w:sz w:val="24"/>
                <w:szCs w:val="24"/>
                <w:lang w:val="en-US"/>
              </w:rPr>
              <w:t>1</w:t>
            </w:r>
          </w:p>
        </w:tc>
        <w:tc>
          <w:tcPr>
            <w:tcW w:w="809" w:type="pct"/>
            <w:shd w:val="clear" w:color="auto" w:fill="auto"/>
            <w:vAlign w:val="center"/>
          </w:tcPr>
          <w:p w14:paraId="555E41BA"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sr-Cyrl-CS"/>
              </w:rPr>
              <w:t>23.</w:t>
            </w:r>
            <w:r>
              <w:rPr>
                <w:rFonts w:ascii="Times New Roman" w:hAnsi="Times New Roman" w:cs="Times New Roman"/>
                <w:sz w:val="24"/>
                <w:szCs w:val="24"/>
                <w:lang w:val="en-US"/>
              </w:rPr>
              <w:t>758</w:t>
            </w:r>
          </w:p>
        </w:tc>
        <w:tc>
          <w:tcPr>
            <w:tcW w:w="613" w:type="pct"/>
            <w:shd w:val="clear" w:color="auto" w:fill="auto"/>
            <w:vAlign w:val="center"/>
          </w:tcPr>
          <w:p w14:paraId="1C0C652C" w14:textId="77777777" w:rsidR="009C58DD" w:rsidRPr="000440CC" w:rsidRDefault="009C58DD" w:rsidP="003D15C1">
            <w:pPr>
              <w:tabs>
                <w:tab w:val="left" w:pos="188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91</w:t>
            </w:r>
          </w:p>
        </w:tc>
        <w:tc>
          <w:tcPr>
            <w:tcW w:w="633" w:type="pct"/>
            <w:shd w:val="clear" w:color="auto" w:fill="auto"/>
            <w:vAlign w:val="center"/>
          </w:tcPr>
          <w:p w14:paraId="22921257"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en-US"/>
              </w:rPr>
              <w:t>59.124</w:t>
            </w:r>
          </w:p>
        </w:tc>
        <w:tc>
          <w:tcPr>
            <w:tcW w:w="584" w:type="pct"/>
            <w:shd w:val="clear" w:color="auto" w:fill="auto"/>
            <w:vAlign w:val="center"/>
          </w:tcPr>
          <w:p w14:paraId="58D666C6" w14:textId="77777777" w:rsidR="009C58DD" w:rsidRPr="000440CC" w:rsidRDefault="009C58DD" w:rsidP="003D15C1">
            <w:pPr>
              <w:tabs>
                <w:tab w:val="left" w:pos="188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91</w:t>
            </w:r>
          </w:p>
        </w:tc>
      </w:tr>
      <w:tr w:rsidR="009C58DD" w:rsidRPr="005E5329" w14:paraId="62D0794D" w14:textId="77777777" w:rsidTr="003D15C1">
        <w:trPr>
          <w:trHeight w:val="57"/>
          <w:jc w:val="center"/>
        </w:trPr>
        <w:tc>
          <w:tcPr>
            <w:tcW w:w="939" w:type="pct"/>
            <w:shd w:val="clear" w:color="auto" w:fill="auto"/>
            <w:vAlign w:val="center"/>
          </w:tcPr>
          <w:p w14:paraId="7090D51C"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Обустављени</w:t>
            </w:r>
          </w:p>
        </w:tc>
        <w:tc>
          <w:tcPr>
            <w:tcW w:w="809" w:type="pct"/>
            <w:shd w:val="clear" w:color="auto" w:fill="auto"/>
            <w:vAlign w:val="center"/>
          </w:tcPr>
          <w:p w14:paraId="7F4C8CC7"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sr-Cyrl-CS"/>
              </w:rPr>
              <w:t>3.</w:t>
            </w:r>
            <w:r>
              <w:rPr>
                <w:rFonts w:ascii="Times New Roman" w:hAnsi="Times New Roman" w:cs="Times New Roman"/>
                <w:sz w:val="24"/>
                <w:szCs w:val="24"/>
                <w:lang w:val="en-US"/>
              </w:rPr>
              <w:t>624</w:t>
            </w:r>
          </w:p>
        </w:tc>
        <w:tc>
          <w:tcPr>
            <w:tcW w:w="613" w:type="pct"/>
            <w:shd w:val="clear" w:color="auto" w:fill="auto"/>
            <w:vAlign w:val="center"/>
          </w:tcPr>
          <w:p w14:paraId="36C1A701"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809" w:type="pct"/>
            <w:shd w:val="clear" w:color="auto" w:fill="auto"/>
            <w:vAlign w:val="center"/>
          </w:tcPr>
          <w:p w14:paraId="3E309CD1"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sr-Cyrl-CS"/>
              </w:rPr>
              <w:t>2.</w:t>
            </w:r>
            <w:r>
              <w:rPr>
                <w:rFonts w:ascii="Times New Roman" w:hAnsi="Times New Roman" w:cs="Times New Roman"/>
                <w:sz w:val="24"/>
                <w:szCs w:val="24"/>
                <w:lang w:val="en-US"/>
              </w:rPr>
              <w:t>373</w:t>
            </w:r>
          </w:p>
        </w:tc>
        <w:tc>
          <w:tcPr>
            <w:tcW w:w="613" w:type="pct"/>
            <w:shd w:val="clear" w:color="auto" w:fill="auto"/>
            <w:vAlign w:val="center"/>
          </w:tcPr>
          <w:p w14:paraId="69FCD464" w14:textId="77777777" w:rsidR="009C58DD" w:rsidRPr="000440CC" w:rsidRDefault="009C58DD" w:rsidP="003D15C1">
            <w:pPr>
              <w:tabs>
                <w:tab w:val="left" w:pos="188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633" w:type="pct"/>
            <w:shd w:val="clear" w:color="auto" w:fill="auto"/>
            <w:vAlign w:val="center"/>
          </w:tcPr>
          <w:p w14:paraId="236CF1B2"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en-US"/>
              </w:rPr>
              <w:t>5.997</w:t>
            </w:r>
          </w:p>
        </w:tc>
        <w:tc>
          <w:tcPr>
            <w:tcW w:w="584" w:type="pct"/>
            <w:shd w:val="clear" w:color="auto" w:fill="auto"/>
            <w:vAlign w:val="center"/>
          </w:tcPr>
          <w:p w14:paraId="25810CB0" w14:textId="77777777" w:rsidR="009C58DD" w:rsidRPr="000440CC" w:rsidRDefault="009C58DD" w:rsidP="003D15C1">
            <w:pPr>
              <w:tabs>
                <w:tab w:val="left" w:pos="188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r>
      <w:tr w:rsidR="009C58DD" w:rsidRPr="005E5329" w14:paraId="5B49064F" w14:textId="77777777" w:rsidTr="003D15C1">
        <w:trPr>
          <w:trHeight w:val="57"/>
          <w:jc w:val="center"/>
        </w:trPr>
        <w:tc>
          <w:tcPr>
            <w:tcW w:w="939" w:type="pct"/>
            <w:shd w:val="clear" w:color="auto" w:fill="auto"/>
            <w:vAlign w:val="center"/>
          </w:tcPr>
          <w:p w14:paraId="72CA761B" w14:textId="77777777" w:rsidR="009C58DD" w:rsidRPr="005E5329" w:rsidRDefault="009C58DD" w:rsidP="003D15C1">
            <w:pPr>
              <w:tabs>
                <w:tab w:val="left" w:pos="1885"/>
              </w:tabs>
              <w:jc w:val="center"/>
              <w:rPr>
                <w:rFonts w:ascii="Times New Roman" w:hAnsi="Times New Roman" w:cs="Times New Roman"/>
                <w:b/>
                <w:sz w:val="24"/>
                <w:szCs w:val="24"/>
              </w:rPr>
            </w:pPr>
            <w:r w:rsidRPr="005E5329">
              <w:rPr>
                <w:rFonts w:ascii="Times New Roman" w:hAnsi="Times New Roman" w:cs="Times New Roman"/>
                <w:b/>
                <w:sz w:val="24"/>
                <w:szCs w:val="24"/>
              </w:rPr>
              <w:t>Укупно</w:t>
            </w:r>
          </w:p>
        </w:tc>
        <w:tc>
          <w:tcPr>
            <w:tcW w:w="809" w:type="pct"/>
            <w:shd w:val="clear" w:color="auto" w:fill="auto"/>
            <w:vAlign w:val="center"/>
          </w:tcPr>
          <w:p w14:paraId="5C21E2AB"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en-US"/>
              </w:rPr>
              <w:t>38.990</w:t>
            </w:r>
          </w:p>
        </w:tc>
        <w:tc>
          <w:tcPr>
            <w:tcW w:w="613" w:type="pct"/>
            <w:shd w:val="clear" w:color="auto" w:fill="auto"/>
            <w:vAlign w:val="center"/>
          </w:tcPr>
          <w:p w14:paraId="1B019383" w14:textId="77777777" w:rsidR="009C58DD" w:rsidRPr="000440CC" w:rsidRDefault="009C58DD" w:rsidP="003D15C1">
            <w:pPr>
              <w:tabs>
                <w:tab w:val="left" w:pos="188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809" w:type="pct"/>
            <w:shd w:val="clear" w:color="auto" w:fill="auto"/>
            <w:vAlign w:val="center"/>
          </w:tcPr>
          <w:p w14:paraId="2684D6D1"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sr-Cyrl-CS"/>
              </w:rPr>
              <w:t>2</w:t>
            </w:r>
            <w:r>
              <w:rPr>
                <w:rFonts w:ascii="Times New Roman" w:hAnsi="Times New Roman" w:cs="Times New Roman"/>
                <w:sz w:val="24"/>
                <w:szCs w:val="24"/>
                <w:lang w:val="en-US"/>
              </w:rPr>
              <w:t>6</w:t>
            </w:r>
            <w:r>
              <w:rPr>
                <w:rFonts w:ascii="Times New Roman" w:hAnsi="Times New Roman" w:cs="Times New Roman"/>
                <w:sz w:val="24"/>
                <w:szCs w:val="24"/>
                <w:lang w:val="sr-Cyrl-CS"/>
              </w:rPr>
              <w:t>.</w:t>
            </w:r>
            <w:r>
              <w:rPr>
                <w:rFonts w:ascii="Times New Roman" w:hAnsi="Times New Roman" w:cs="Times New Roman"/>
                <w:sz w:val="24"/>
                <w:szCs w:val="24"/>
                <w:lang w:val="en-US"/>
              </w:rPr>
              <w:t>131</w:t>
            </w:r>
          </w:p>
        </w:tc>
        <w:tc>
          <w:tcPr>
            <w:tcW w:w="613" w:type="pct"/>
            <w:shd w:val="clear" w:color="auto" w:fill="auto"/>
            <w:vAlign w:val="center"/>
          </w:tcPr>
          <w:p w14:paraId="5131DBAD" w14:textId="77777777" w:rsidR="009C58DD" w:rsidRPr="000440CC" w:rsidRDefault="009C58DD" w:rsidP="003D15C1">
            <w:pPr>
              <w:tabs>
                <w:tab w:val="left" w:pos="188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633" w:type="pct"/>
            <w:shd w:val="clear" w:color="auto" w:fill="auto"/>
            <w:vAlign w:val="center"/>
          </w:tcPr>
          <w:p w14:paraId="00C56E31" w14:textId="77777777" w:rsidR="009C58DD" w:rsidRPr="002825F4" w:rsidRDefault="009C58DD" w:rsidP="003D15C1">
            <w:pPr>
              <w:tabs>
                <w:tab w:val="left" w:pos="1885"/>
              </w:tabs>
              <w:jc w:val="center"/>
              <w:rPr>
                <w:rFonts w:ascii="Times New Roman" w:hAnsi="Times New Roman" w:cs="Times New Roman"/>
                <w:sz w:val="24"/>
                <w:szCs w:val="24"/>
                <w:lang w:val="en-US"/>
              </w:rPr>
            </w:pPr>
            <w:r>
              <w:rPr>
                <w:rFonts w:ascii="Times New Roman" w:hAnsi="Times New Roman" w:cs="Times New Roman"/>
                <w:sz w:val="24"/>
                <w:szCs w:val="24"/>
                <w:lang w:val="en-US"/>
              </w:rPr>
              <w:t>65.121</w:t>
            </w:r>
          </w:p>
        </w:tc>
        <w:tc>
          <w:tcPr>
            <w:tcW w:w="584" w:type="pct"/>
            <w:shd w:val="clear" w:color="auto" w:fill="auto"/>
            <w:vAlign w:val="center"/>
          </w:tcPr>
          <w:p w14:paraId="31210852" w14:textId="77777777" w:rsidR="009C58DD" w:rsidRPr="000440CC" w:rsidRDefault="009C58DD" w:rsidP="003D15C1">
            <w:pPr>
              <w:tabs>
                <w:tab w:val="left" w:pos="188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bl>
    <w:p w14:paraId="05BB4205" w14:textId="52C28DE2" w:rsidR="001513BE" w:rsidRDefault="001513BE" w:rsidP="005E5329">
      <w:pPr>
        <w:jc w:val="both"/>
        <w:rPr>
          <w:rFonts w:ascii="Times New Roman" w:hAnsi="Times New Roman" w:cs="Times New Roman"/>
          <w:b/>
          <w:color w:val="FF0000"/>
          <w:sz w:val="24"/>
          <w:szCs w:val="24"/>
        </w:rPr>
      </w:pPr>
    </w:p>
    <w:p w14:paraId="17048FC3" w14:textId="78C43653" w:rsidR="008F74F3" w:rsidRPr="005005C3" w:rsidRDefault="00C421EE" w:rsidP="005E5329">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sr-Cyrl-CS"/>
        </w:rPr>
        <w:t xml:space="preserve">                       </w:t>
      </w:r>
      <w:r w:rsidR="005005C3">
        <w:rPr>
          <w:rFonts w:ascii="Times New Roman" w:hAnsi="Times New Roman" w:cs="Times New Roman"/>
          <w:color w:val="000000" w:themeColor="text1"/>
          <w:sz w:val="24"/>
          <w:szCs w:val="24"/>
          <w:lang w:val="en-GB"/>
        </w:rPr>
        <w:t xml:space="preserve">  </w:t>
      </w:r>
      <w:r w:rsidR="008B1816" w:rsidRPr="005005C3">
        <w:rPr>
          <w:rFonts w:ascii="Times New Roman" w:hAnsi="Times New Roman" w:cs="Times New Roman"/>
          <w:b/>
          <w:color w:val="000000" w:themeColor="text1"/>
          <w:sz w:val="24"/>
          <w:szCs w:val="24"/>
        </w:rPr>
        <w:t>С</w:t>
      </w:r>
      <w:r w:rsidR="005F5974" w:rsidRPr="005005C3">
        <w:rPr>
          <w:rFonts w:ascii="Times New Roman" w:hAnsi="Times New Roman" w:cs="Times New Roman"/>
          <w:b/>
          <w:color w:val="000000" w:themeColor="text1"/>
          <w:sz w:val="24"/>
          <w:szCs w:val="24"/>
        </w:rPr>
        <w:t xml:space="preserve">лика </w:t>
      </w:r>
      <w:r w:rsidR="000F5D7F">
        <w:rPr>
          <w:rFonts w:ascii="Times New Roman" w:hAnsi="Times New Roman" w:cs="Times New Roman"/>
          <w:b/>
          <w:color w:val="000000" w:themeColor="text1"/>
          <w:sz w:val="24"/>
          <w:szCs w:val="24"/>
        </w:rPr>
        <w:t>13</w:t>
      </w:r>
    </w:p>
    <w:p w14:paraId="43A9A85B" w14:textId="2FEA04D3" w:rsidR="00022187" w:rsidRPr="0068438D" w:rsidRDefault="005B16D1" w:rsidP="00986843">
      <w:pPr>
        <w:jc w:val="center"/>
        <w:rPr>
          <w:rFonts w:ascii="Times New Roman" w:hAnsi="Times New Roman" w:cs="Times New Roman"/>
          <w:b/>
          <w:sz w:val="24"/>
          <w:szCs w:val="24"/>
          <w:lang w:val="sr-Latn-RS"/>
        </w:rPr>
      </w:pPr>
      <w:bookmarkStart w:id="12" w:name="_MON_1548238476"/>
      <w:bookmarkEnd w:id="12"/>
      <w:r>
        <w:rPr>
          <w:noProof/>
          <w:lang w:val="sr-Cyrl-RS" w:eastAsia="sr-Cyrl-RS"/>
        </w:rPr>
        <w:drawing>
          <wp:inline distT="0" distB="0" distL="0" distR="0" wp14:anchorId="69A8177B" wp14:editId="3261E4D1">
            <wp:extent cx="5122373" cy="3590925"/>
            <wp:effectExtent l="0" t="0" r="254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20DBFA1" w14:textId="2288CD85" w:rsidR="00270E0A" w:rsidRPr="00986843" w:rsidRDefault="00022187" w:rsidP="001139B8">
      <w:pPr>
        <w:jc w:val="both"/>
        <w:rPr>
          <w:rFonts w:ascii="Times New Roman" w:hAnsi="Times New Roman" w:cs="Times New Roman"/>
          <w:color w:val="000000" w:themeColor="text1"/>
          <w:sz w:val="24"/>
          <w:szCs w:val="24"/>
        </w:rPr>
      </w:pPr>
      <w:r w:rsidRPr="00ED7784">
        <w:rPr>
          <w:rFonts w:ascii="Times New Roman" w:hAnsi="Times New Roman" w:cs="Times New Roman"/>
          <w:color w:val="000000" w:themeColor="text1"/>
          <w:sz w:val="24"/>
          <w:szCs w:val="24"/>
        </w:rPr>
        <w:t>Упоредни преглед заступљености основа за обуставу поступака од стране наручилаца показује да је</w:t>
      </w:r>
      <w:r w:rsidR="003542A1" w:rsidRPr="00ED7784">
        <w:rPr>
          <w:rFonts w:ascii="Times New Roman" w:hAnsi="Times New Roman" w:cs="Times New Roman"/>
          <w:color w:val="000000" w:themeColor="text1"/>
          <w:sz w:val="24"/>
          <w:szCs w:val="24"/>
        </w:rPr>
        <w:t>,</w:t>
      </w:r>
      <w:r w:rsidRPr="00ED7784">
        <w:rPr>
          <w:rFonts w:ascii="Times New Roman" w:hAnsi="Times New Roman" w:cs="Times New Roman"/>
          <w:color w:val="000000" w:themeColor="text1"/>
          <w:sz w:val="24"/>
          <w:szCs w:val="24"/>
        </w:rPr>
        <w:t xml:space="preserve"> </w:t>
      </w:r>
      <w:r w:rsidR="00BD75C1">
        <w:rPr>
          <w:rFonts w:ascii="Times New Roman" w:hAnsi="Times New Roman" w:cs="Times New Roman"/>
          <w:color w:val="000000" w:themeColor="text1"/>
          <w:sz w:val="24"/>
          <w:szCs w:val="24"/>
        </w:rPr>
        <w:t>у 2019</w:t>
      </w:r>
      <w:r w:rsidRPr="00ED7784">
        <w:rPr>
          <w:rFonts w:ascii="Times New Roman" w:hAnsi="Times New Roman" w:cs="Times New Roman"/>
          <w:color w:val="000000" w:themeColor="text1"/>
          <w:sz w:val="24"/>
          <w:szCs w:val="24"/>
        </w:rPr>
        <w:t xml:space="preserve">. </w:t>
      </w:r>
      <w:r w:rsidR="00BF091D" w:rsidRPr="00ED7784">
        <w:rPr>
          <w:rFonts w:ascii="Times New Roman" w:hAnsi="Times New Roman" w:cs="Times New Roman"/>
          <w:color w:val="000000" w:themeColor="text1"/>
          <w:sz w:val="24"/>
          <w:szCs w:val="24"/>
        </w:rPr>
        <w:t>г</w:t>
      </w:r>
      <w:r w:rsidRPr="00ED7784">
        <w:rPr>
          <w:rFonts w:ascii="Times New Roman" w:hAnsi="Times New Roman" w:cs="Times New Roman"/>
          <w:color w:val="000000" w:themeColor="text1"/>
          <w:sz w:val="24"/>
          <w:szCs w:val="24"/>
        </w:rPr>
        <w:t>одини</w:t>
      </w:r>
      <w:r w:rsidR="003542A1" w:rsidRPr="00ED7784">
        <w:rPr>
          <w:rFonts w:ascii="Times New Roman" w:hAnsi="Times New Roman" w:cs="Times New Roman"/>
          <w:color w:val="000000" w:themeColor="text1"/>
          <w:sz w:val="24"/>
          <w:szCs w:val="24"/>
        </w:rPr>
        <w:t>,</w:t>
      </w:r>
      <w:r w:rsidRPr="00ED7784">
        <w:rPr>
          <w:rFonts w:ascii="Times New Roman" w:hAnsi="Times New Roman" w:cs="Times New Roman"/>
          <w:color w:val="000000" w:themeColor="text1"/>
          <w:sz w:val="24"/>
          <w:szCs w:val="24"/>
        </w:rPr>
        <w:t xml:space="preserve"> задржана приближно иста структура као и претходне</w:t>
      </w:r>
      <w:r w:rsidR="00A1549A" w:rsidRPr="00ED7784">
        <w:rPr>
          <w:rFonts w:ascii="Times New Roman" w:hAnsi="Times New Roman" w:cs="Times New Roman"/>
          <w:color w:val="000000" w:themeColor="text1"/>
          <w:sz w:val="24"/>
          <w:szCs w:val="24"/>
        </w:rPr>
        <w:t xml:space="preserve"> године. Наиме, </w:t>
      </w:r>
      <w:r w:rsidR="00BD75C1">
        <w:rPr>
          <w:rFonts w:ascii="Times New Roman" w:hAnsi="Times New Roman" w:cs="Times New Roman"/>
          <w:color w:val="000000" w:themeColor="text1"/>
          <w:sz w:val="24"/>
          <w:szCs w:val="24"/>
        </w:rPr>
        <w:t>разлог за одбијање у нешто мање од</w:t>
      </w:r>
      <w:r w:rsidR="00BF091D" w:rsidRPr="00ED7784">
        <w:rPr>
          <w:rFonts w:ascii="Times New Roman" w:hAnsi="Times New Roman" w:cs="Times New Roman"/>
          <w:color w:val="000000" w:themeColor="text1"/>
          <w:sz w:val="24"/>
          <w:szCs w:val="24"/>
        </w:rPr>
        <w:t xml:space="preserve"> половине </w:t>
      </w:r>
      <w:r w:rsidRPr="00ED7784">
        <w:rPr>
          <w:rFonts w:ascii="Times New Roman" w:hAnsi="Times New Roman" w:cs="Times New Roman"/>
          <w:color w:val="000000" w:themeColor="text1"/>
          <w:sz w:val="24"/>
          <w:szCs w:val="24"/>
        </w:rPr>
        <w:t>обустављених поступака у 201</w:t>
      </w:r>
      <w:r w:rsidR="00BD75C1">
        <w:rPr>
          <w:rFonts w:ascii="Times New Roman" w:hAnsi="Times New Roman" w:cs="Times New Roman"/>
          <w:color w:val="000000" w:themeColor="text1"/>
          <w:sz w:val="24"/>
          <w:szCs w:val="24"/>
        </w:rPr>
        <w:t>9</w:t>
      </w:r>
      <w:r w:rsidRPr="00ED7784">
        <w:rPr>
          <w:rFonts w:ascii="Times New Roman" w:hAnsi="Times New Roman" w:cs="Times New Roman"/>
          <w:color w:val="000000" w:themeColor="text1"/>
          <w:sz w:val="24"/>
          <w:szCs w:val="24"/>
        </w:rPr>
        <w:t>. години</w:t>
      </w:r>
      <w:r w:rsidR="00BF091D" w:rsidRPr="00ED7784">
        <w:rPr>
          <w:rFonts w:ascii="Times New Roman" w:hAnsi="Times New Roman" w:cs="Times New Roman"/>
          <w:color w:val="000000" w:themeColor="text1"/>
          <w:sz w:val="24"/>
          <w:szCs w:val="24"/>
        </w:rPr>
        <w:t xml:space="preserve"> био је </w:t>
      </w:r>
      <w:r w:rsidR="00AD5600" w:rsidRPr="00ED7784">
        <w:rPr>
          <w:rFonts w:ascii="Times New Roman" w:hAnsi="Times New Roman" w:cs="Times New Roman"/>
          <w:color w:val="000000" w:themeColor="text1"/>
          <w:sz w:val="24"/>
          <w:szCs w:val="24"/>
        </w:rPr>
        <w:t xml:space="preserve">тај </w:t>
      </w:r>
      <w:r w:rsidR="00BF091D" w:rsidRPr="00ED7784">
        <w:rPr>
          <w:rFonts w:ascii="Times New Roman" w:hAnsi="Times New Roman" w:cs="Times New Roman"/>
          <w:color w:val="000000" w:themeColor="text1"/>
          <w:sz w:val="24"/>
          <w:szCs w:val="24"/>
        </w:rPr>
        <w:t xml:space="preserve">што су приспеле понуде биле </w:t>
      </w:r>
      <w:r w:rsidRPr="00ED7784">
        <w:rPr>
          <w:rFonts w:ascii="Times New Roman" w:hAnsi="Times New Roman" w:cs="Times New Roman"/>
          <w:color w:val="000000" w:themeColor="text1"/>
          <w:sz w:val="24"/>
          <w:szCs w:val="24"/>
        </w:rPr>
        <w:lastRenderedPageBreak/>
        <w:t>н</w:t>
      </w:r>
      <w:r w:rsidR="00BF091D" w:rsidRPr="00ED7784">
        <w:rPr>
          <w:rFonts w:ascii="Times New Roman" w:hAnsi="Times New Roman" w:cs="Times New Roman"/>
          <w:color w:val="000000" w:themeColor="text1"/>
          <w:sz w:val="24"/>
          <w:szCs w:val="24"/>
        </w:rPr>
        <w:t>еприхватљиве. Д</w:t>
      </w:r>
      <w:r w:rsidR="00A1549A" w:rsidRPr="00ED7784">
        <w:rPr>
          <w:rFonts w:ascii="Times New Roman" w:hAnsi="Times New Roman" w:cs="Times New Roman"/>
          <w:color w:val="000000" w:themeColor="text1"/>
          <w:sz w:val="24"/>
          <w:szCs w:val="24"/>
        </w:rPr>
        <w:t xml:space="preserve">руги по значају разлог </w:t>
      </w:r>
      <w:r w:rsidR="00CA2936" w:rsidRPr="00ED7784">
        <w:rPr>
          <w:rFonts w:ascii="Times New Roman" w:hAnsi="Times New Roman" w:cs="Times New Roman"/>
          <w:color w:val="000000" w:themeColor="text1"/>
          <w:sz w:val="24"/>
          <w:szCs w:val="24"/>
        </w:rPr>
        <w:t>за обуставу пос</w:t>
      </w:r>
      <w:r w:rsidR="00A1549A" w:rsidRPr="00ED7784">
        <w:rPr>
          <w:rFonts w:ascii="Times New Roman" w:hAnsi="Times New Roman" w:cs="Times New Roman"/>
          <w:color w:val="000000" w:themeColor="text1"/>
          <w:sz w:val="24"/>
          <w:szCs w:val="24"/>
        </w:rPr>
        <w:t xml:space="preserve">тупака (са учешћем од </w:t>
      </w:r>
      <w:r w:rsidR="00BD75C1">
        <w:rPr>
          <w:rFonts w:ascii="Times New Roman" w:hAnsi="Times New Roman" w:cs="Times New Roman"/>
          <w:color w:val="000000" w:themeColor="text1"/>
          <w:sz w:val="24"/>
          <w:szCs w:val="24"/>
        </w:rPr>
        <w:t>31</w:t>
      </w:r>
      <w:r w:rsidRPr="00ED7784">
        <w:rPr>
          <w:rFonts w:ascii="Times New Roman" w:hAnsi="Times New Roman" w:cs="Times New Roman"/>
          <w:color w:val="000000" w:themeColor="text1"/>
          <w:sz w:val="24"/>
          <w:szCs w:val="24"/>
        </w:rPr>
        <w:t>%</w:t>
      </w:r>
      <w:r w:rsidR="00BF091D" w:rsidRPr="00ED7784">
        <w:rPr>
          <w:rFonts w:ascii="Times New Roman" w:hAnsi="Times New Roman" w:cs="Times New Roman"/>
          <w:color w:val="000000" w:themeColor="text1"/>
          <w:sz w:val="24"/>
          <w:szCs w:val="24"/>
        </w:rPr>
        <w:t>) био је тај што није достављ</w:t>
      </w:r>
      <w:r w:rsidRPr="00ED7784">
        <w:rPr>
          <w:rFonts w:ascii="Times New Roman" w:hAnsi="Times New Roman" w:cs="Times New Roman"/>
          <w:color w:val="000000" w:themeColor="text1"/>
          <w:sz w:val="24"/>
          <w:szCs w:val="24"/>
        </w:rPr>
        <w:t>е</w:t>
      </w:r>
      <w:r w:rsidR="00BF091D" w:rsidRPr="00ED7784">
        <w:rPr>
          <w:rFonts w:ascii="Times New Roman" w:hAnsi="Times New Roman" w:cs="Times New Roman"/>
          <w:color w:val="000000" w:themeColor="text1"/>
          <w:sz w:val="24"/>
          <w:szCs w:val="24"/>
        </w:rPr>
        <w:t>на ниједна</w:t>
      </w:r>
      <w:r w:rsidRPr="00ED7784">
        <w:rPr>
          <w:rFonts w:ascii="Times New Roman" w:hAnsi="Times New Roman" w:cs="Times New Roman"/>
          <w:color w:val="000000" w:themeColor="text1"/>
          <w:sz w:val="24"/>
          <w:szCs w:val="24"/>
        </w:rPr>
        <w:t xml:space="preserve"> пон</w:t>
      </w:r>
      <w:r w:rsidR="00BF091D" w:rsidRPr="00ED7784">
        <w:rPr>
          <w:rFonts w:ascii="Times New Roman" w:hAnsi="Times New Roman" w:cs="Times New Roman"/>
          <w:color w:val="000000" w:themeColor="text1"/>
          <w:sz w:val="24"/>
          <w:szCs w:val="24"/>
        </w:rPr>
        <w:t xml:space="preserve">уда </w:t>
      </w:r>
      <w:r w:rsidR="000F5D7F">
        <w:rPr>
          <w:rFonts w:ascii="Times New Roman" w:hAnsi="Times New Roman" w:cs="Times New Roman"/>
          <w:color w:val="000000" w:themeColor="text1"/>
          <w:sz w:val="24"/>
          <w:szCs w:val="24"/>
        </w:rPr>
        <w:t>(Слика 14</w:t>
      </w:r>
      <w:r w:rsidRPr="00ED7784">
        <w:rPr>
          <w:rFonts w:ascii="Times New Roman" w:hAnsi="Times New Roman" w:cs="Times New Roman"/>
          <w:color w:val="000000" w:themeColor="text1"/>
          <w:sz w:val="24"/>
          <w:szCs w:val="24"/>
        </w:rPr>
        <w:t>).</w:t>
      </w:r>
      <w:r w:rsidR="00CC32B8">
        <w:rPr>
          <w:rFonts w:ascii="Times New Roman" w:hAnsi="Times New Roman" w:cs="Times New Roman"/>
          <w:color w:val="000000" w:themeColor="text1"/>
          <w:sz w:val="24"/>
          <w:szCs w:val="24"/>
        </w:rPr>
        <w:t xml:space="preserve"> Ова два разлога заједно чине</w:t>
      </w:r>
      <w:r w:rsidR="00BF091D" w:rsidRPr="00ED7784">
        <w:rPr>
          <w:rFonts w:ascii="Times New Roman" w:hAnsi="Times New Roman" w:cs="Times New Roman"/>
          <w:color w:val="000000" w:themeColor="text1"/>
          <w:sz w:val="24"/>
          <w:szCs w:val="24"/>
        </w:rPr>
        <w:t xml:space="preserve"> </w:t>
      </w:r>
      <w:r w:rsidR="000F5D7F">
        <w:rPr>
          <w:rFonts w:ascii="Times New Roman" w:hAnsi="Times New Roman" w:cs="Times New Roman"/>
          <w:color w:val="000000" w:themeColor="text1"/>
          <w:sz w:val="24"/>
          <w:szCs w:val="24"/>
          <w:lang w:val="sr-Cyrl-CS"/>
        </w:rPr>
        <w:t xml:space="preserve">више од </w:t>
      </w:r>
      <w:r w:rsidR="00BF091D" w:rsidRPr="00ED7784">
        <w:rPr>
          <w:rFonts w:ascii="Times New Roman" w:hAnsi="Times New Roman" w:cs="Times New Roman"/>
          <w:color w:val="000000" w:themeColor="text1"/>
          <w:sz w:val="24"/>
          <w:szCs w:val="24"/>
        </w:rPr>
        <w:t>3</w:t>
      </w:r>
      <w:r w:rsidR="00BF091D" w:rsidRPr="00ED7784">
        <w:rPr>
          <w:rFonts w:ascii="Times New Roman" w:hAnsi="Times New Roman" w:cs="Times New Roman"/>
          <w:color w:val="000000" w:themeColor="text1"/>
          <w:sz w:val="24"/>
          <w:szCs w:val="24"/>
          <w:lang w:val="en-US"/>
        </w:rPr>
        <w:t>/4</w:t>
      </w:r>
      <w:r w:rsidR="00BF091D" w:rsidRPr="00ED7784">
        <w:rPr>
          <w:rFonts w:ascii="Times New Roman" w:hAnsi="Times New Roman" w:cs="Times New Roman"/>
          <w:color w:val="000000" w:themeColor="text1"/>
          <w:sz w:val="24"/>
          <w:szCs w:val="24"/>
          <w:lang w:val="sr"/>
        </w:rPr>
        <w:t xml:space="preserve"> обустављених поступака.</w:t>
      </w:r>
      <w:r w:rsidR="00BF091D" w:rsidRPr="00ED7784">
        <w:rPr>
          <w:rFonts w:ascii="Times New Roman" w:hAnsi="Times New Roman" w:cs="Times New Roman"/>
          <w:color w:val="000000" w:themeColor="text1"/>
          <w:sz w:val="24"/>
          <w:szCs w:val="24"/>
        </w:rPr>
        <w:t xml:space="preserve"> </w:t>
      </w:r>
    </w:p>
    <w:p w14:paraId="22107CB4" w14:textId="7BABE72C" w:rsidR="00F62E82" w:rsidRPr="005005C3" w:rsidRDefault="00BF091D" w:rsidP="005E5329">
      <w:pPr>
        <w:jc w:val="both"/>
        <w:rPr>
          <w:rFonts w:ascii="Times New Roman" w:hAnsi="Times New Roman" w:cs="Times New Roman"/>
          <w:b/>
          <w:color w:val="000000" w:themeColor="text1"/>
          <w:sz w:val="24"/>
          <w:szCs w:val="24"/>
          <w:lang w:val="en-US"/>
        </w:rPr>
      </w:pPr>
      <w:r>
        <w:rPr>
          <w:rFonts w:ascii="Times New Roman" w:hAnsi="Times New Roman" w:cs="Times New Roman"/>
          <w:color w:val="FF0000"/>
          <w:sz w:val="24"/>
          <w:szCs w:val="24"/>
          <w:lang w:val="sr-Cyrl-CS"/>
        </w:rPr>
        <w:t xml:space="preserve">     </w:t>
      </w:r>
      <w:r w:rsidR="008454FE">
        <w:rPr>
          <w:rFonts w:ascii="Times New Roman" w:hAnsi="Times New Roman" w:cs="Times New Roman"/>
          <w:color w:val="FF0000"/>
          <w:sz w:val="24"/>
          <w:szCs w:val="24"/>
          <w:lang w:val="sr-Cyrl-CS"/>
        </w:rPr>
        <w:t xml:space="preserve">         </w:t>
      </w:r>
      <w:r w:rsidR="000F5D7F">
        <w:rPr>
          <w:rFonts w:ascii="Times New Roman" w:hAnsi="Times New Roman" w:cs="Times New Roman"/>
          <w:b/>
          <w:color w:val="000000" w:themeColor="text1"/>
          <w:sz w:val="24"/>
          <w:szCs w:val="24"/>
          <w:lang w:val="sr-Cyrl-CS"/>
        </w:rPr>
        <w:t>Слика 14</w:t>
      </w:r>
    </w:p>
    <w:p w14:paraId="7ED6F8E1" w14:textId="2F27000D" w:rsidR="00CF15CD" w:rsidRPr="005E5329" w:rsidRDefault="00BD75C1" w:rsidP="00AE0219">
      <w:pPr>
        <w:jc w:val="center"/>
        <w:rPr>
          <w:rFonts w:ascii="Times New Roman" w:hAnsi="Times New Roman" w:cs="Times New Roman"/>
          <w:b/>
          <w:color w:val="FF0000"/>
          <w:sz w:val="24"/>
          <w:szCs w:val="24"/>
          <w:lang w:val="en-US"/>
        </w:rPr>
      </w:pPr>
      <w:r>
        <w:rPr>
          <w:noProof/>
          <w:lang w:val="sr-Cyrl-RS" w:eastAsia="sr-Cyrl-RS"/>
        </w:rPr>
        <w:drawing>
          <wp:inline distT="0" distB="0" distL="0" distR="0" wp14:anchorId="0639B051" wp14:editId="3B4E0BEC">
            <wp:extent cx="6076315" cy="3962400"/>
            <wp:effectExtent l="0" t="0" r="63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865926D" w14:textId="13EC25AA" w:rsidR="00AE0219" w:rsidRPr="00950451" w:rsidRDefault="00950451" w:rsidP="00950451">
      <w:pPr>
        <w:jc w:val="both"/>
        <w:rPr>
          <w:rFonts w:ascii="Times New Roman" w:hAnsi="Times New Roman" w:cs="Times New Roman"/>
          <w:sz w:val="24"/>
          <w:szCs w:val="24"/>
        </w:rPr>
      </w:pPr>
      <w:r>
        <w:rPr>
          <w:rFonts w:ascii="Times New Roman" w:hAnsi="Times New Roman" w:cs="Times New Roman"/>
          <w:sz w:val="24"/>
          <w:szCs w:val="24"/>
        </w:rPr>
        <w:t>Разлози</w:t>
      </w:r>
      <w:r w:rsidRPr="00950451">
        <w:rPr>
          <w:rFonts w:ascii="Times New Roman" w:hAnsi="Times New Roman" w:cs="Times New Roman"/>
          <w:sz w:val="24"/>
          <w:szCs w:val="24"/>
        </w:rPr>
        <w:t xml:space="preserve"> за </w:t>
      </w:r>
      <w:r>
        <w:rPr>
          <w:rFonts w:ascii="Times New Roman" w:hAnsi="Times New Roman" w:cs="Times New Roman"/>
          <w:sz w:val="24"/>
          <w:szCs w:val="24"/>
        </w:rPr>
        <w:t xml:space="preserve">релативно </w:t>
      </w:r>
      <w:r w:rsidRPr="00950451">
        <w:rPr>
          <w:rFonts w:ascii="Times New Roman" w:hAnsi="Times New Roman" w:cs="Times New Roman"/>
          <w:sz w:val="24"/>
          <w:szCs w:val="24"/>
        </w:rPr>
        <w:t xml:space="preserve">висок </w:t>
      </w:r>
      <w:r>
        <w:rPr>
          <w:rFonts w:ascii="Times New Roman" w:hAnsi="Times New Roman" w:cs="Times New Roman"/>
          <w:sz w:val="24"/>
          <w:szCs w:val="24"/>
        </w:rPr>
        <w:t>удео поступака у којима није</w:t>
      </w:r>
      <w:r w:rsidR="00986843">
        <w:rPr>
          <w:rFonts w:ascii="Times New Roman" w:hAnsi="Times New Roman" w:cs="Times New Roman"/>
          <w:sz w:val="24"/>
          <w:szCs w:val="24"/>
        </w:rPr>
        <w:t xml:space="preserve"> поднета</w:t>
      </w:r>
      <w:r w:rsidR="00314D1E">
        <w:rPr>
          <w:rFonts w:ascii="Times New Roman" w:hAnsi="Times New Roman" w:cs="Times New Roman"/>
          <w:sz w:val="24"/>
          <w:szCs w:val="24"/>
        </w:rPr>
        <w:t xml:space="preserve"> ни</w:t>
      </w:r>
      <w:r w:rsidR="00106D24">
        <w:rPr>
          <w:rFonts w:ascii="Times New Roman" w:hAnsi="Times New Roman" w:cs="Times New Roman"/>
          <w:sz w:val="24"/>
          <w:szCs w:val="24"/>
        </w:rPr>
        <w:t>једна понуда</w:t>
      </w:r>
      <w:r>
        <w:rPr>
          <w:rFonts w:ascii="Times New Roman" w:hAnsi="Times New Roman" w:cs="Times New Roman"/>
          <w:sz w:val="24"/>
          <w:szCs w:val="24"/>
        </w:rPr>
        <w:t xml:space="preserve"> могу да буду или перцепција учесника да је набавка ”намењена” некоме или да су захтеви корисника дефинисани </w:t>
      </w:r>
      <w:r w:rsidR="0098078A">
        <w:rPr>
          <w:rFonts w:ascii="Times New Roman" w:hAnsi="Times New Roman" w:cs="Times New Roman"/>
          <w:sz w:val="24"/>
          <w:szCs w:val="24"/>
        </w:rPr>
        <w:t>на начин који није препознат од стране потенцијалних понуђача, тј. тржишта.</w:t>
      </w:r>
      <w:r w:rsidR="007A3DDF">
        <w:rPr>
          <w:rFonts w:ascii="Times New Roman" w:hAnsi="Times New Roman" w:cs="Times New Roman"/>
          <w:sz w:val="24"/>
          <w:szCs w:val="24"/>
          <w:lang w:val="en-GB"/>
        </w:rPr>
        <w:t xml:space="preserve"> </w:t>
      </w:r>
      <w:r w:rsidR="007A3DDF">
        <w:rPr>
          <w:rFonts w:ascii="Times New Roman" w:hAnsi="Times New Roman" w:cs="Times New Roman"/>
          <w:sz w:val="24"/>
          <w:szCs w:val="24"/>
          <w:lang w:val="sr-Cyrl-RS"/>
        </w:rPr>
        <w:t xml:space="preserve">У 2019. години број обустављених поступака из разлога што није добијена ни једна понуда порастао је са 25% на 31%. </w:t>
      </w:r>
      <w:r w:rsidR="0098078A">
        <w:rPr>
          <w:rFonts w:ascii="Times New Roman" w:hAnsi="Times New Roman" w:cs="Times New Roman"/>
          <w:sz w:val="24"/>
          <w:szCs w:val="24"/>
        </w:rPr>
        <w:t xml:space="preserve"> Произлази да је, у будућем периоду, неопходно да наручиоци више времена посвете истраживању тржишта и комуникацији са понуђачима како би се успоставило поверење да поступак није ”намештен”, као и да би се боље дефинисао предмет набавке, не само са аспекта потреба наручиоца, већ и онога шта се нуди на тржишту. </w:t>
      </w:r>
    </w:p>
    <w:p w14:paraId="7BAF3610" w14:textId="77777777" w:rsidR="00AE0219" w:rsidRDefault="00AE0219" w:rsidP="00F01BD4">
      <w:pPr>
        <w:pStyle w:val="ListParagraph"/>
        <w:jc w:val="both"/>
        <w:rPr>
          <w:rFonts w:ascii="Times New Roman" w:hAnsi="Times New Roman" w:cs="Times New Roman"/>
          <w:b/>
          <w:sz w:val="24"/>
          <w:szCs w:val="24"/>
        </w:rPr>
      </w:pPr>
    </w:p>
    <w:p w14:paraId="23DCBBAA" w14:textId="77777777" w:rsidR="00F86319" w:rsidRDefault="00F86319" w:rsidP="00F01BD4">
      <w:pPr>
        <w:pStyle w:val="ListParagraph"/>
        <w:jc w:val="both"/>
        <w:rPr>
          <w:rFonts w:ascii="Times New Roman" w:hAnsi="Times New Roman" w:cs="Times New Roman"/>
          <w:b/>
          <w:sz w:val="24"/>
          <w:szCs w:val="24"/>
        </w:rPr>
      </w:pPr>
    </w:p>
    <w:p w14:paraId="3A5AE8F9" w14:textId="1C2213F4" w:rsidR="00F86319" w:rsidRDefault="00F86319" w:rsidP="00F01BD4">
      <w:pPr>
        <w:pStyle w:val="ListParagraph"/>
        <w:jc w:val="both"/>
        <w:rPr>
          <w:rFonts w:ascii="Times New Roman" w:hAnsi="Times New Roman" w:cs="Times New Roman"/>
          <w:b/>
          <w:sz w:val="24"/>
          <w:szCs w:val="24"/>
        </w:rPr>
      </w:pPr>
    </w:p>
    <w:p w14:paraId="626444D1" w14:textId="04C390BC" w:rsidR="0043011E" w:rsidRDefault="0043011E" w:rsidP="00F01BD4">
      <w:pPr>
        <w:pStyle w:val="ListParagraph"/>
        <w:jc w:val="both"/>
        <w:rPr>
          <w:rFonts w:ascii="Times New Roman" w:hAnsi="Times New Roman" w:cs="Times New Roman"/>
          <w:b/>
          <w:sz w:val="24"/>
          <w:szCs w:val="24"/>
        </w:rPr>
      </w:pPr>
    </w:p>
    <w:p w14:paraId="5D9425CE" w14:textId="7BFB7E1C" w:rsidR="00BD75C1" w:rsidRDefault="00BD75C1" w:rsidP="00F01BD4">
      <w:pPr>
        <w:pStyle w:val="ListParagraph"/>
        <w:jc w:val="both"/>
        <w:rPr>
          <w:rFonts w:ascii="Times New Roman" w:hAnsi="Times New Roman" w:cs="Times New Roman"/>
          <w:b/>
          <w:sz w:val="24"/>
          <w:szCs w:val="24"/>
        </w:rPr>
      </w:pPr>
    </w:p>
    <w:p w14:paraId="7A220136" w14:textId="3DE0F3FA" w:rsidR="000643E0" w:rsidRDefault="000643E0" w:rsidP="00F01BD4">
      <w:pPr>
        <w:pStyle w:val="ListParagraph"/>
        <w:jc w:val="both"/>
        <w:rPr>
          <w:rFonts w:ascii="Times New Roman" w:hAnsi="Times New Roman" w:cs="Times New Roman"/>
          <w:b/>
          <w:sz w:val="24"/>
          <w:szCs w:val="24"/>
        </w:rPr>
      </w:pPr>
    </w:p>
    <w:p w14:paraId="79FC8AC5" w14:textId="77777777" w:rsidR="000643E0" w:rsidRDefault="000643E0" w:rsidP="00F01BD4">
      <w:pPr>
        <w:pStyle w:val="ListParagraph"/>
        <w:jc w:val="both"/>
        <w:rPr>
          <w:rFonts w:ascii="Times New Roman" w:hAnsi="Times New Roman" w:cs="Times New Roman"/>
          <w:b/>
          <w:sz w:val="24"/>
          <w:szCs w:val="24"/>
        </w:rPr>
      </w:pPr>
    </w:p>
    <w:p w14:paraId="54B09082" w14:textId="5D88B0DA" w:rsidR="0043011E" w:rsidRDefault="0043011E" w:rsidP="00F01BD4">
      <w:pPr>
        <w:pStyle w:val="ListParagraph"/>
        <w:jc w:val="both"/>
        <w:rPr>
          <w:rFonts w:ascii="Times New Roman" w:hAnsi="Times New Roman" w:cs="Times New Roman"/>
          <w:b/>
          <w:sz w:val="24"/>
          <w:szCs w:val="24"/>
        </w:rPr>
      </w:pPr>
    </w:p>
    <w:p w14:paraId="5FF57ACD" w14:textId="7784ABFF" w:rsidR="00BD75C1" w:rsidRDefault="00BD75C1" w:rsidP="00F01BD4">
      <w:pPr>
        <w:pStyle w:val="ListParagraph"/>
        <w:jc w:val="both"/>
        <w:rPr>
          <w:rFonts w:ascii="Times New Roman" w:hAnsi="Times New Roman" w:cs="Times New Roman"/>
          <w:b/>
          <w:sz w:val="24"/>
          <w:szCs w:val="24"/>
        </w:rPr>
      </w:pPr>
    </w:p>
    <w:p w14:paraId="37C75FE1" w14:textId="0FA250FC" w:rsidR="00776673" w:rsidRDefault="00776673" w:rsidP="00F01BD4">
      <w:pPr>
        <w:pStyle w:val="ListParagraph"/>
        <w:jc w:val="both"/>
        <w:rPr>
          <w:rFonts w:ascii="Times New Roman" w:hAnsi="Times New Roman" w:cs="Times New Roman"/>
          <w:b/>
          <w:sz w:val="24"/>
          <w:szCs w:val="24"/>
        </w:rPr>
      </w:pPr>
    </w:p>
    <w:p w14:paraId="61862637" w14:textId="485F8826" w:rsidR="00C5433C" w:rsidRPr="006A6BF8" w:rsidRDefault="00C5433C" w:rsidP="00F01BD4">
      <w:pPr>
        <w:pStyle w:val="ListParagraph"/>
        <w:jc w:val="both"/>
        <w:rPr>
          <w:rFonts w:ascii="Times New Roman" w:hAnsi="Times New Roman" w:cs="Times New Roman"/>
          <w:b/>
          <w:sz w:val="24"/>
          <w:szCs w:val="24"/>
          <w:lang w:val="sr-Cyrl-RS"/>
        </w:rPr>
      </w:pPr>
    </w:p>
    <w:p w14:paraId="64714A8E" w14:textId="47BA4411" w:rsidR="004C3167" w:rsidRPr="009234CB" w:rsidRDefault="00BB0B9A" w:rsidP="00960A8C">
      <w:pPr>
        <w:pStyle w:val="ListParagraph"/>
        <w:numPr>
          <w:ilvl w:val="0"/>
          <w:numId w:val="2"/>
        </w:numPr>
        <w:spacing w:after="240"/>
        <w:ind w:left="714" w:hanging="357"/>
        <w:jc w:val="both"/>
        <w:rPr>
          <w:rFonts w:ascii="Times New Roman" w:hAnsi="Times New Roman" w:cs="Times New Roman"/>
          <w:b/>
          <w:sz w:val="24"/>
          <w:szCs w:val="24"/>
        </w:rPr>
      </w:pPr>
      <w:r w:rsidRPr="009234CB">
        <w:rPr>
          <w:rFonts w:ascii="Times New Roman" w:hAnsi="Times New Roman" w:cs="Times New Roman"/>
          <w:b/>
          <w:sz w:val="24"/>
          <w:szCs w:val="24"/>
        </w:rPr>
        <w:lastRenderedPageBreak/>
        <w:t>НАБАВКЕ ИЗУЗЕТЕ ОД ПРИМЕНЕ ЗАКОНА</w:t>
      </w:r>
    </w:p>
    <w:p w14:paraId="69460D9D" w14:textId="79C13628" w:rsidR="004C3167" w:rsidRPr="0071230F" w:rsidRDefault="00E319C8" w:rsidP="00CA2936">
      <w:pPr>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Вредност </w:t>
      </w:r>
      <w:r>
        <w:rPr>
          <w:rFonts w:ascii="Times New Roman" w:hAnsi="Times New Roman" w:cs="Times New Roman"/>
          <w:color w:val="000000" w:themeColor="text1"/>
          <w:sz w:val="24"/>
          <w:szCs w:val="24"/>
        </w:rPr>
        <w:t>набавки</w:t>
      </w:r>
      <w:r w:rsidR="004C3167" w:rsidRPr="00ED7784">
        <w:rPr>
          <w:rFonts w:ascii="Times New Roman" w:hAnsi="Times New Roman" w:cs="Times New Roman"/>
          <w:color w:val="000000" w:themeColor="text1"/>
          <w:sz w:val="24"/>
          <w:szCs w:val="24"/>
        </w:rPr>
        <w:t xml:space="preserve"> на које с</w:t>
      </w:r>
      <w:r w:rsidR="00CA2936" w:rsidRPr="00ED7784">
        <w:rPr>
          <w:rFonts w:ascii="Times New Roman" w:hAnsi="Times New Roman" w:cs="Times New Roman"/>
          <w:color w:val="000000" w:themeColor="text1"/>
          <w:sz w:val="24"/>
          <w:szCs w:val="24"/>
        </w:rPr>
        <w:t>е није</w:t>
      </w:r>
      <w:r w:rsidR="00F67B62">
        <w:rPr>
          <w:rFonts w:ascii="Times New Roman" w:hAnsi="Times New Roman" w:cs="Times New Roman"/>
          <w:color w:val="000000" w:themeColor="text1"/>
          <w:sz w:val="24"/>
          <w:szCs w:val="24"/>
        </w:rPr>
        <w:t xml:space="preserve"> примењивао Закон </w:t>
      </w:r>
      <w:r w:rsidR="004C3167" w:rsidRPr="00ED7784">
        <w:rPr>
          <w:rFonts w:ascii="Times New Roman" w:hAnsi="Times New Roman" w:cs="Times New Roman"/>
          <w:color w:val="000000" w:themeColor="text1"/>
          <w:sz w:val="24"/>
          <w:szCs w:val="24"/>
        </w:rPr>
        <w:t xml:space="preserve">у укупној уговореној </w:t>
      </w:r>
      <w:r>
        <w:rPr>
          <w:rFonts w:ascii="Times New Roman" w:hAnsi="Times New Roman" w:cs="Times New Roman"/>
          <w:color w:val="000000" w:themeColor="text1"/>
          <w:sz w:val="24"/>
          <w:szCs w:val="24"/>
          <w:lang w:val="sr-Cyrl-CS"/>
        </w:rPr>
        <w:t>вредности износила  је</w:t>
      </w:r>
      <w:r w:rsidR="00F67B62">
        <w:rPr>
          <w:rFonts w:ascii="Times New Roman" w:hAnsi="Times New Roman" w:cs="Times New Roman"/>
          <w:color w:val="000000" w:themeColor="text1"/>
          <w:sz w:val="24"/>
          <w:szCs w:val="24"/>
          <w:lang w:val="sr-Cyrl-CS"/>
        </w:rPr>
        <w:t xml:space="preserve"> </w:t>
      </w:r>
      <w:r w:rsidR="00C9406A">
        <w:rPr>
          <w:rFonts w:ascii="Times New Roman" w:hAnsi="Times New Roman" w:cs="Times New Roman"/>
          <w:color w:val="000000" w:themeColor="text1"/>
          <w:sz w:val="24"/>
          <w:szCs w:val="24"/>
          <w:lang w:val="sr-Cyrl-CS"/>
        </w:rPr>
        <w:t>25</w:t>
      </w:r>
      <w:r w:rsidR="0071230F">
        <w:rPr>
          <w:rFonts w:ascii="Times New Roman" w:hAnsi="Times New Roman" w:cs="Times New Roman"/>
          <w:color w:val="000000" w:themeColor="text1"/>
          <w:sz w:val="24"/>
          <w:szCs w:val="24"/>
          <w:lang w:val="sr-Cyrl-CS"/>
        </w:rPr>
        <w:t xml:space="preserve">% у </w:t>
      </w:r>
      <w:r w:rsidR="00C9406A">
        <w:rPr>
          <w:rFonts w:ascii="Times New Roman" w:hAnsi="Times New Roman" w:cs="Times New Roman"/>
          <w:color w:val="000000" w:themeColor="text1"/>
          <w:sz w:val="24"/>
          <w:szCs w:val="24"/>
        </w:rPr>
        <w:t>2019</w:t>
      </w:r>
      <w:r w:rsidR="00CA2936" w:rsidRPr="00ED7784">
        <w:rPr>
          <w:rFonts w:ascii="Times New Roman" w:hAnsi="Times New Roman" w:cs="Times New Roman"/>
          <w:color w:val="000000" w:themeColor="text1"/>
          <w:sz w:val="24"/>
          <w:szCs w:val="24"/>
        </w:rPr>
        <w:t xml:space="preserve">. </w:t>
      </w:r>
      <w:r w:rsidR="0071230F">
        <w:rPr>
          <w:rFonts w:ascii="Times New Roman" w:hAnsi="Times New Roman" w:cs="Times New Roman"/>
          <w:color w:val="000000" w:themeColor="text1"/>
          <w:sz w:val="24"/>
          <w:szCs w:val="24"/>
        </w:rPr>
        <w:t>г</w:t>
      </w:r>
      <w:r w:rsidR="00CA2936" w:rsidRPr="00ED7784">
        <w:rPr>
          <w:rFonts w:ascii="Times New Roman" w:hAnsi="Times New Roman" w:cs="Times New Roman"/>
          <w:color w:val="000000" w:themeColor="text1"/>
          <w:sz w:val="24"/>
          <w:szCs w:val="24"/>
        </w:rPr>
        <w:t>одини</w:t>
      </w:r>
      <w:r w:rsidR="00C9406A">
        <w:rPr>
          <w:rFonts w:ascii="Times New Roman" w:hAnsi="Times New Roman" w:cs="Times New Roman"/>
          <w:color w:val="000000" w:themeColor="text1"/>
          <w:sz w:val="24"/>
          <w:szCs w:val="24"/>
          <w:lang w:val="sr-Cyrl-CS"/>
        </w:rPr>
        <w:t>, што је за 3% мања вре</w:t>
      </w:r>
      <w:r w:rsidR="00554563">
        <w:rPr>
          <w:rFonts w:ascii="Times New Roman" w:hAnsi="Times New Roman" w:cs="Times New Roman"/>
          <w:color w:val="000000" w:themeColor="text1"/>
          <w:sz w:val="24"/>
          <w:szCs w:val="24"/>
          <w:lang w:val="sr-Cyrl-CS"/>
        </w:rPr>
        <w:t>д</w:t>
      </w:r>
      <w:r w:rsidR="00C9406A">
        <w:rPr>
          <w:rFonts w:ascii="Times New Roman" w:hAnsi="Times New Roman" w:cs="Times New Roman"/>
          <w:color w:val="000000" w:themeColor="text1"/>
          <w:sz w:val="24"/>
          <w:szCs w:val="24"/>
          <w:lang w:val="sr-Cyrl-CS"/>
        </w:rPr>
        <w:t>ност него што је била у 2018</w:t>
      </w:r>
      <w:r w:rsidR="0071230F">
        <w:rPr>
          <w:rFonts w:ascii="Times New Roman" w:hAnsi="Times New Roman" w:cs="Times New Roman"/>
          <w:color w:val="000000" w:themeColor="text1"/>
          <w:sz w:val="24"/>
          <w:szCs w:val="24"/>
          <w:lang w:val="sr-Cyrl-CS"/>
        </w:rPr>
        <w:t>. години</w:t>
      </w:r>
      <w:r w:rsidR="00CA2936" w:rsidRPr="00ED7784">
        <w:rPr>
          <w:rFonts w:ascii="Times New Roman" w:hAnsi="Times New Roman" w:cs="Times New Roman"/>
          <w:color w:val="000000" w:themeColor="text1"/>
          <w:sz w:val="24"/>
          <w:szCs w:val="24"/>
        </w:rPr>
        <w:t xml:space="preserve"> </w:t>
      </w:r>
      <w:r w:rsidR="004C3167" w:rsidRPr="00ED7784">
        <w:rPr>
          <w:rFonts w:ascii="Times New Roman" w:hAnsi="Times New Roman" w:cs="Times New Roman"/>
          <w:color w:val="000000" w:themeColor="text1"/>
          <w:sz w:val="24"/>
          <w:szCs w:val="24"/>
        </w:rPr>
        <w:t xml:space="preserve">(Табела </w:t>
      </w:r>
      <w:r w:rsidR="00D57D73">
        <w:rPr>
          <w:rFonts w:ascii="Times New Roman" w:hAnsi="Times New Roman" w:cs="Times New Roman"/>
          <w:color w:val="000000" w:themeColor="text1"/>
          <w:sz w:val="24"/>
          <w:szCs w:val="24"/>
        </w:rPr>
        <w:t>14</w:t>
      </w:r>
      <w:r w:rsidR="004C3167" w:rsidRPr="00ED7784">
        <w:rPr>
          <w:rFonts w:ascii="Times New Roman" w:hAnsi="Times New Roman" w:cs="Times New Roman"/>
          <w:color w:val="000000" w:themeColor="text1"/>
          <w:sz w:val="24"/>
          <w:szCs w:val="24"/>
        </w:rPr>
        <w:t>).</w:t>
      </w:r>
    </w:p>
    <w:p w14:paraId="3F852CAE" w14:textId="592B1E60" w:rsidR="004C3167" w:rsidRPr="005005C3" w:rsidRDefault="004C3167" w:rsidP="005E5329">
      <w:pPr>
        <w:jc w:val="both"/>
        <w:rPr>
          <w:rFonts w:ascii="Times New Roman" w:hAnsi="Times New Roman" w:cs="Times New Roman"/>
          <w:b/>
          <w:color w:val="000000" w:themeColor="text1"/>
          <w:sz w:val="24"/>
          <w:szCs w:val="24"/>
        </w:rPr>
      </w:pPr>
      <w:r w:rsidRPr="005005C3">
        <w:rPr>
          <w:rFonts w:ascii="Times New Roman" w:hAnsi="Times New Roman" w:cs="Times New Roman"/>
          <w:b/>
          <w:color w:val="000000" w:themeColor="text1"/>
          <w:sz w:val="24"/>
          <w:szCs w:val="24"/>
        </w:rPr>
        <w:t xml:space="preserve">Табела </w:t>
      </w:r>
      <w:r w:rsidR="00D57D73">
        <w:rPr>
          <w:rFonts w:ascii="Times New Roman" w:hAnsi="Times New Roman" w:cs="Times New Roman"/>
          <w:b/>
          <w:color w:val="000000" w:themeColor="text1"/>
          <w:sz w:val="24"/>
          <w:szCs w:val="24"/>
        </w:rPr>
        <w:t>14</w:t>
      </w:r>
    </w:p>
    <w:tbl>
      <w:tblPr>
        <w:tblStyle w:val="TableGrid1"/>
        <w:tblW w:w="4890" w:type="pct"/>
        <w:tblInd w:w="108" w:type="dxa"/>
        <w:tblLook w:val="0000" w:firstRow="0" w:lastRow="0" w:firstColumn="0" w:lastColumn="0" w:noHBand="0" w:noVBand="0"/>
      </w:tblPr>
      <w:tblGrid>
        <w:gridCol w:w="2500"/>
        <w:gridCol w:w="1809"/>
        <w:gridCol w:w="2165"/>
        <w:gridCol w:w="1859"/>
        <w:gridCol w:w="2220"/>
      </w:tblGrid>
      <w:tr w:rsidR="00C9406A" w:rsidRPr="00ED7784" w14:paraId="5B876B8A" w14:textId="77777777" w:rsidTr="003D15C1">
        <w:trPr>
          <w:trHeight w:val="500"/>
        </w:trPr>
        <w:tc>
          <w:tcPr>
            <w:tcW w:w="5000" w:type="pct"/>
            <w:gridSpan w:val="5"/>
            <w:vAlign w:val="center"/>
          </w:tcPr>
          <w:p w14:paraId="2E645E6E" w14:textId="77777777" w:rsidR="00C9406A" w:rsidRPr="00742567" w:rsidRDefault="00C9406A" w:rsidP="003D15C1">
            <w:pPr>
              <w:jc w:val="center"/>
              <w:rPr>
                <w:rFonts w:ascii="Times New Roman" w:hAnsi="Times New Roman" w:cs="Times New Roman"/>
                <w:b/>
                <w:color w:val="000000" w:themeColor="text1"/>
                <w:sz w:val="28"/>
                <w:szCs w:val="28"/>
                <w:lang w:val="sr-Cyrl-CS"/>
              </w:rPr>
            </w:pPr>
            <w:r w:rsidRPr="00742567">
              <w:rPr>
                <w:rFonts w:ascii="Times New Roman" w:hAnsi="Times New Roman" w:cs="Times New Roman"/>
                <w:b/>
                <w:color w:val="000000" w:themeColor="text1"/>
                <w:sz w:val="28"/>
                <w:szCs w:val="28"/>
              </w:rPr>
              <w:t>Преглед свих набавки у Републици Србији у 201</w:t>
            </w:r>
            <w:r w:rsidRPr="00742567">
              <w:rPr>
                <w:rFonts w:ascii="Times New Roman" w:hAnsi="Times New Roman" w:cs="Times New Roman"/>
                <w:b/>
                <w:color w:val="000000" w:themeColor="text1"/>
                <w:sz w:val="28"/>
                <w:szCs w:val="28"/>
                <w:lang w:val="en-US"/>
              </w:rPr>
              <w:t>9</w:t>
            </w:r>
            <w:r w:rsidRPr="00742567">
              <w:rPr>
                <w:rFonts w:ascii="Times New Roman" w:hAnsi="Times New Roman" w:cs="Times New Roman"/>
                <w:b/>
                <w:color w:val="000000" w:themeColor="text1"/>
                <w:sz w:val="28"/>
                <w:szCs w:val="28"/>
              </w:rPr>
              <w:t>. годин</w:t>
            </w:r>
            <w:r w:rsidRPr="00742567">
              <w:rPr>
                <w:rFonts w:ascii="Times New Roman" w:hAnsi="Times New Roman" w:cs="Times New Roman"/>
                <w:b/>
                <w:color w:val="000000" w:themeColor="text1"/>
                <w:sz w:val="28"/>
                <w:szCs w:val="28"/>
                <w:lang w:val="sr-Cyrl-CS"/>
              </w:rPr>
              <w:t>и</w:t>
            </w:r>
          </w:p>
        </w:tc>
      </w:tr>
      <w:tr w:rsidR="00C9406A" w:rsidRPr="005E5329" w14:paraId="6C5B6717" w14:textId="77777777" w:rsidTr="003D15C1">
        <w:tblPrEx>
          <w:tblLook w:val="04A0" w:firstRow="1" w:lastRow="0" w:firstColumn="1" w:lastColumn="0" w:noHBand="0" w:noVBand="1"/>
        </w:tblPrEx>
        <w:tc>
          <w:tcPr>
            <w:tcW w:w="1184" w:type="pct"/>
            <w:vMerge w:val="restart"/>
            <w:vAlign w:val="center"/>
          </w:tcPr>
          <w:p w14:paraId="75357535" w14:textId="77777777" w:rsidR="00C9406A" w:rsidRPr="005E5329" w:rsidRDefault="00C9406A" w:rsidP="003D15C1">
            <w:pPr>
              <w:jc w:val="center"/>
              <w:rPr>
                <w:rFonts w:ascii="Times New Roman" w:hAnsi="Times New Roman" w:cs="Times New Roman"/>
                <w:b/>
                <w:sz w:val="24"/>
                <w:szCs w:val="24"/>
              </w:rPr>
            </w:pPr>
            <w:r w:rsidRPr="005E5329">
              <w:rPr>
                <w:rFonts w:ascii="Times New Roman" w:hAnsi="Times New Roman" w:cs="Times New Roman"/>
                <w:b/>
                <w:sz w:val="24"/>
                <w:szCs w:val="24"/>
              </w:rPr>
              <w:t>Врста набавки</w:t>
            </w:r>
          </w:p>
        </w:tc>
        <w:tc>
          <w:tcPr>
            <w:tcW w:w="857" w:type="pct"/>
            <w:vMerge w:val="restart"/>
            <w:vAlign w:val="center"/>
          </w:tcPr>
          <w:p w14:paraId="1EDE578F" w14:textId="77777777" w:rsidR="00C9406A" w:rsidRPr="005E5329" w:rsidRDefault="00C9406A" w:rsidP="003D15C1">
            <w:pPr>
              <w:jc w:val="center"/>
              <w:rPr>
                <w:rFonts w:ascii="Times New Roman" w:hAnsi="Times New Roman" w:cs="Times New Roman"/>
                <w:b/>
                <w:sz w:val="24"/>
                <w:szCs w:val="24"/>
              </w:rPr>
            </w:pPr>
            <w:r w:rsidRPr="005E5329">
              <w:rPr>
                <w:rFonts w:ascii="Times New Roman" w:hAnsi="Times New Roman" w:cs="Times New Roman"/>
                <w:b/>
                <w:sz w:val="24"/>
                <w:szCs w:val="24"/>
              </w:rPr>
              <w:t>Укупан број уговора</w:t>
            </w:r>
          </w:p>
        </w:tc>
        <w:tc>
          <w:tcPr>
            <w:tcW w:w="1026" w:type="pct"/>
            <w:vMerge w:val="restart"/>
            <w:vAlign w:val="center"/>
          </w:tcPr>
          <w:p w14:paraId="52D1D29A" w14:textId="77777777" w:rsidR="00C9406A" w:rsidRPr="005E5329" w:rsidRDefault="00C9406A" w:rsidP="003D15C1">
            <w:pPr>
              <w:jc w:val="center"/>
              <w:rPr>
                <w:rFonts w:ascii="Times New Roman" w:hAnsi="Times New Roman" w:cs="Times New Roman"/>
                <w:b/>
                <w:sz w:val="24"/>
                <w:szCs w:val="24"/>
              </w:rPr>
            </w:pPr>
            <w:r w:rsidRPr="005E5329">
              <w:rPr>
                <w:rFonts w:ascii="Times New Roman" w:hAnsi="Times New Roman" w:cs="Times New Roman"/>
                <w:b/>
                <w:sz w:val="24"/>
                <w:szCs w:val="24"/>
              </w:rPr>
              <w:t>Укупна уговорена вредност*</w:t>
            </w:r>
          </w:p>
        </w:tc>
        <w:tc>
          <w:tcPr>
            <w:tcW w:w="1933" w:type="pct"/>
            <w:gridSpan w:val="2"/>
            <w:vAlign w:val="center"/>
          </w:tcPr>
          <w:p w14:paraId="56894CFD" w14:textId="77777777" w:rsidR="00C9406A" w:rsidRPr="005E5329" w:rsidRDefault="00C9406A" w:rsidP="003D15C1">
            <w:pPr>
              <w:jc w:val="center"/>
              <w:rPr>
                <w:rFonts w:ascii="Times New Roman" w:hAnsi="Times New Roman" w:cs="Times New Roman"/>
                <w:b/>
                <w:sz w:val="24"/>
                <w:szCs w:val="24"/>
              </w:rPr>
            </w:pPr>
            <w:r w:rsidRPr="005E5329">
              <w:rPr>
                <w:rFonts w:ascii="Times New Roman" w:hAnsi="Times New Roman" w:cs="Times New Roman"/>
                <w:b/>
                <w:sz w:val="24"/>
                <w:szCs w:val="24"/>
              </w:rPr>
              <w:t>Заступљеност у свим набавкама</w:t>
            </w:r>
          </w:p>
        </w:tc>
      </w:tr>
      <w:tr w:rsidR="00C9406A" w:rsidRPr="005E5329" w14:paraId="099BF45D" w14:textId="77777777" w:rsidTr="003D15C1">
        <w:tblPrEx>
          <w:tblLook w:val="04A0" w:firstRow="1" w:lastRow="0" w:firstColumn="1" w:lastColumn="0" w:noHBand="0" w:noVBand="1"/>
        </w:tblPrEx>
        <w:tc>
          <w:tcPr>
            <w:tcW w:w="1184" w:type="pct"/>
            <w:vMerge/>
            <w:vAlign w:val="center"/>
          </w:tcPr>
          <w:p w14:paraId="098ECDC0" w14:textId="77777777" w:rsidR="00C9406A" w:rsidRPr="005E5329" w:rsidRDefault="00C9406A" w:rsidP="003D15C1">
            <w:pPr>
              <w:jc w:val="center"/>
              <w:rPr>
                <w:rFonts w:ascii="Times New Roman" w:hAnsi="Times New Roman" w:cs="Times New Roman"/>
                <w:b/>
                <w:sz w:val="24"/>
                <w:szCs w:val="24"/>
              </w:rPr>
            </w:pPr>
          </w:p>
        </w:tc>
        <w:tc>
          <w:tcPr>
            <w:tcW w:w="857" w:type="pct"/>
            <w:vMerge/>
            <w:tcBorders>
              <w:bottom w:val="single" w:sz="4" w:space="0" w:color="auto"/>
            </w:tcBorders>
            <w:vAlign w:val="center"/>
          </w:tcPr>
          <w:p w14:paraId="467803E9" w14:textId="77777777" w:rsidR="00C9406A" w:rsidRPr="005E5329" w:rsidRDefault="00C9406A" w:rsidP="003D15C1">
            <w:pPr>
              <w:jc w:val="center"/>
              <w:rPr>
                <w:rFonts w:ascii="Times New Roman" w:hAnsi="Times New Roman" w:cs="Times New Roman"/>
                <w:b/>
                <w:sz w:val="24"/>
                <w:szCs w:val="24"/>
              </w:rPr>
            </w:pPr>
          </w:p>
        </w:tc>
        <w:tc>
          <w:tcPr>
            <w:tcW w:w="1026" w:type="pct"/>
            <w:vMerge/>
            <w:tcBorders>
              <w:bottom w:val="single" w:sz="4" w:space="0" w:color="auto"/>
            </w:tcBorders>
            <w:vAlign w:val="center"/>
          </w:tcPr>
          <w:p w14:paraId="053ACE3A" w14:textId="77777777" w:rsidR="00C9406A" w:rsidRPr="005E5329" w:rsidRDefault="00C9406A" w:rsidP="003D15C1">
            <w:pPr>
              <w:jc w:val="center"/>
              <w:rPr>
                <w:rFonts w:ascii="Times New Roman" w:hAnsi="Times New Roman" w:cs="Times New Roman"/>
                <w:b/>
                <w:sz w:val="24"/>
                <w:szCs w:val="24"/>
              </w:rPr>
            </w:pPr>
          </w:p>
        </w:tc>
        <w:tc>
          <w:tcPr>
            <w:tcW w:w="881" w:type="pct"/>
            <w:tcBorders>
              <w:bottom w:val="single" w:sz="4" w:space="0" w:color="auto"/>
            </w:tcBorders>
            <w:vAlign w:val="center"/>
          </w:tcPr>
          <w:p w14:paraId="3C062C9C" w14:textId="77777777" w:rsidR="00C9406A" w:rsidRPr="00742567" w:rsidRDefault="00C9406A" w:rsidP="003D15C1">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У укупном броју</w:t>
            </w:r>
          </w:p>
          <w:p w14:paraId="53EA3696" w14:textId="77777777" w:rsidR="00C9406A" w:rsidRPr="00565D23" w:rsidRDefault="00C9406A" w:rsidP="003D15C1">
            <w:pPr>
              <w:jc w:val="center"/>
              <w:rPr>
                <w:rFonts w:ascii="Times New Roman" w:hAnsi="Times New Roman" w:cs="Times New Roman"/>
                <w:b/>
                <w:sz w:val="24"/>
                <w:szCs w:val="24"/>
              </w:rPr>
            </w:pPr>
            <w:r>
              <w:rPr>
                <w:rFonts w:ascii="Times New Roman" w:hAnsi="Times New Roman" w:cs="Times New Roman"/>
                <w:b/>
                <w:sz w:val="24"/>
                <w:szCs w:val="24"/>
              </w:rPr>
              <w:t>(</w:t>
            </w:r>
            <w:r w:rsidRPr="005E5329">
              <w:rPr>
                <w:rFonts w:ascii="Times New Roman" w:hAnsi="Times New Roman" w:cs="Times New Roman"/>
                <w:b/>
                <w:sz w:val="24"/>
                <w:szCs w:val="24"/>
              </w:rPr>
              <w:t>у %</w:t>
            </w:r>
            <w:r>
              <w:rPr>
                <w:rFonts w:ascii="Times New Roman" w:hAnsi="Times New Roman" w:cs="Times New Roman"/>
                <w:b/>
                <w:sz w:val="24"/>
                <w:szCs w:val="24"/>
              </w:rPr>
              <w:t>)</w:t>
            </w:r>
          </w:p>
        </w:tc>
        <w:tc>
          <w:tcPr>
            <w:tcW w:w="1052" w:type="pct"/>
            <w:tcBorders>
              <w:bottom w:val="single" w:sz="4" w:space="0" w:color="auto"/>
            </w:tcBorders>
            <w:vAlign w:val="center"/>
          </w:tcPr>
          <w:p w14:paraId="5B3CF122" w14:textId="77777777" w:rsidR="00C9406A" w:rsidRPr="00742567" w:rsidRDefault="00C9406A" w:rsidP="003D15C1">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У укупној уговореној вредности</w:t>
            </w:r>
          </w:p>
          <w:p w14:paraId="4BFB7A9F" w14:textId="77777777" w:rsidR="00C9406A" w:rsidRPr="00565D23" w:rsidRDefault="00C9406A" w:rsidP="003D15C1">
            <w:pPr>
              <w:jc w:val="center"/>
              <w:rPr>
                <w:rFonts w:ascii="Times New Roman" w:hAnsi="Times New Roman" w:cs="Times New Roman"/>
                <w:b/>
                <w:sz w:val="24"/>
                <w:szCs w:val="24"/>
              </w:rPr>
            </w:pPr>
            <w:r>
              <w:rPr>
                <w:rFonts w:ascii="Times New Roman" w:hAnsi="Times New Roman" w:cs="Times New Roman"/>
                <w:b/>
                <w:sz w:val="24"/>
                <w:szCs w:val="24"/>
              </w:rPr>
              <w:t>(</w:t>
            </w:r>
            <w:r w:rsidRPr="005E5329">
              <w:rPr>
                <w:rFonts w:ascii="Times New Roman" w:hAnsi="Times New Roman" w:cs="Times New Roman"/>
                <w:b/>
                <w:sz w:val="24"/>
                <w:szCs w:val="24"/>
              </w:rPr>
              <w:t>у %</w:t>
            </w:r>
            <w:r>
              <w:rPr>
                <w:rFonts w:ascii="Times New Roman" w:hAnsi="Times New Roman" w:cs="Times New Roman"/>
                <w:b/>
                <w:sz w:val="24"/>
                <w:szCs w:val="24"/>
              </w:rPr>
              <w:t>)</w:t>
            </w:r>
          </w:p>
        </w:tc>
      </w:tr>
      <w:tr w:rsidR="00C9406A" w:rsidRPr="005E5329" w14:paraId="4095871E" w14:textId="77777777" w:rsidTr="003D15C1">
        <w:tblPrEx>
          <w:tblLook w:val="04A0" w:firstRow="1" w:lastRow="0" w:firstColumn="1" w:lastColumn="0" w:noHBand="0" w:noVBand="1"/>
        </w:tblPrEx>
        <w:tc>
          <w:tcPr>
            <w:tcW w:w="1184" w:type="pct"/>
            <w:vAlign w:val="center"/>
          </w:tcPr>
          <w:p w14:paraId="3EFA5C04" w14:textId="77777777" w:rsidR="00C9406A" w:rsidRPr="005E5329" w:rsidRDefault="00C9406A" w:rsidP="003D15C1">
            <w:pPr>
              <w:jc w:val="center"/>
              <w:rPr>
                <w:rFonts w:ascii="Times New Roman" w:hAnsi="Times New Roman" w:cs="Times New Roman"/>
                <w:b/>
                <w:sz w:val="24"/>
                <w:szCs w:val="24"/>
              </w:rPr>
            </w:pPr>
            <w:r w:rsidRPr="005E5329">
              <w:rPr>
                <w:rFonts w:ascii="Times New Roman" w:hAnsi="Times New Roman" w:cs="Times New Roman"/>
                <w:b/>
                <w:sz w:val="24"/>
                <w:szCs w:val="24"/>
              </w:rPr>
              <w:t>Велике набавке</w:t>
            </w:r>
          </w:p>
        </w:tc>
        <w:tc>
          <w:tcPr>
            <w:tcW w:w="857" w:type="pct"/>
            <w:tcBorders>
              <w:top w:val="single" w:sz="4" w:space="0" w:color="auto"/>
              <w:left w:val="nil"/>
              <w:bottom w:val="single" w:sz="4" w:space="0" w:color="auto"/>
              <w:right w:val="single" w:sz="4" w:space="0" w:color="auto"/>
            </w:tcBorders>
            <w:shd w:val="clear" w:color="auto" w:fill="auto"/>
            <w:vAlign w:val="center"/>
          </w:tcPr>
          <w:p w14:paraId="25A8E331"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79.241</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B208B31"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400.490.238</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0A88C014"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14:paraId="3B3D7A9C" w14:textId="77777777" w:rsidR="00C9406A" w:rsidRPr="00F67B62"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C9406A" w:rsidRPr="005E5329" w14:paraId="42D405CA" w14:textId="77777777" w:rsidTr="003D15C1">
        <w:tblPrEx>
          <w:tblLook w:val="04A0" w:firstRow="1" w:lastRow="0" w:firstColumn="1" w:lastColumn="0" w:noHBand="0" w:noVBand="1"/>
        </w:tblPrEx>
        <w:tc>
          <w:tcPr>
            <w:tcW w:w="1184" w:type="pct"/>
            <w:vAlign w:val="center"/>
          </w:tcPr>
          <w:p w14:paraId="436D5893" w14:textId="77777777" w:rsidR="00C9406A" w:rsidRPr="005E5329" w:rsidRDefault="00C9406A" w:rsidP="003D15C1">
            <w:pPr>
              <w:jc w:val="center"/>
              <w:rPr>
                <w:rFonts w:ascii="Times New Roman" w:hAnsi="Times New Roman" w:cs="Times New Roman"/>
                <w:b/>
                <w:sz w:val="24"/>
                <w:szCs w:val="24"/>
              </w:rPr>
            </w:pPr>
            <w:r w:rsidRPr="005E5329">
              <w:rPr>
                <w:rFonts w:ascii="Times New Roman" w:hAnsi="Times New Roman" w:cs="Times New Roman"/>
                <w:b/>
                <w:sz w:val="24"/>
                <w:szCs w:val="24"/>
              </w:rPr>
              <w:t>Мале набавке</w:t>
            </w:r>
          </w:p>
        </w:tc>
        <w:tc>
          <w:tcPr>
            <w:tcW w:w="857" w:type="pct"/>
            <w:tcBorders>
              <w:top w:val="single" w:sz="4" w:space="0" w:color="auto"/>
              <w:left w:val="nil"/>
              <w:bottom w:val="single" w:sz="4" w:space="0" w:color="auto"/>
              <w:right w:val="single" w:sz="4" w:space="0" w:color="auto"/>
            </w:tcBorders>
            <w:shd w:val="clear" w:color="auto" w:fill="auto"/>
            <w:vAlign w:val="center"/>
          </w:tcPr>
          <w:p w14:paraId="54EBCE9A"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42.825</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7561C38E"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40.031.973</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42982814"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14:paraId="62466D17"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C9406A" w:rsidRPr="005E5329" w14:paraId="6BF98D51" w14:textId="77777777" w:rsidTr="003D15C1">
        <w:tblPrEx>
          <w:tblLook w:val="04A0" w:firstRow="1" w:lastRow="0" w:firstColumn="1" w:lastColumn="0" w:noHBand="0" w:noVBand="1"/>
        </w:tblPrEx>
        <w:tc>
          <w:tcPr>
            <w:tcW w:w="1184" w:type="pct"/>
            <w:vAlign w:val="center"/>
          </w:tcPr>
          <w:p w14:paraId="5AEEE894" w14:textId="77777777" w:rsidR="00C9406A" w:rsidRPr="005E5329" w:rsidRDefault="00C9406A" w:rsidP="003D15C1">
            <w:pPr>
              <w:jc w:val="center"/>
              <w:rPr>
                <w:rFonts w:ascii="Times New Roman" w:hAnsi="Times New Roman" w:cs="Times New Roman"/>
                <w:b/>
                <w:sz w:val="24"/>
                <w:szCs w:val="24"/>
              </w:rPr>
            </w:pPr>
            <w:r w:rsidRPr="005E5329">
              <w:rPr>
                <w:rFonts w:ascii="Times New Roman" w:hAnsi="Times New Roman" w:cs="Times New Roman"/>
                <w:b/>
                <w:sz w:val="24"/>
                <w:szCs w:val="24"/>
              </w:rPr>
              <w:t>Изузете набавке</w:t>
            </w:r>
          </w:p>
        </w:tc>
        <w:tc>
          <w:tcPr>
            <w:tcW w:w="857" w:type="pct"/>
            <w:tcBorders>
              <w:top w:val="single" w:sz="4" w:space="0" w:color="auto"/>
              <w:left w:val="nil"/>
              <w:bottom w:val="single" w:sz="4" w:space="0" w:color="auto"/>
              <w:right w:val="single" w:sz="4" w:space="0" w:color="auto"/>
            </w:tcBorders>
            <w:shd w:val="clear" w:color="auto" w:fill="auto"/>
            <w:vAlign w:val="center"/>
          </w:tcPr>
          <w:p w14:paraId="1A5D5993" w14:textId="77777777" w:rsidR="00C9406A" w:rsidRPr="00F67B62"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395.973</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0A420DC9" w14:textId="77777777" w:rsidR="00C9406A" w:rsidRPr="00F67B62"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150.426.771</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23178009" w14:textId="77777777" w:rsidR="00C9406A" w:rsidRPr="00742567"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14:paraId="57978C98" w14:textId="77777777" w:rsidR="00C9406A" w:rsidRPr="00F67B62" w:rsidRDefault="00C9406A" w:rsidP="003D15C1">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C9406A" w:rsidRPr="005E5329" w14:paraId="34D20778" w14:textId="77777777" w:rsidTr="003D15C1">
        <w:tblPrEx>
          <w:tblLook w:val="04A0" w:firstRow="1" w:lastRow="0" w:firstColumn="1" w:lastColumn="0" w:noHBand="0" w:noVBand="1"/>
        </w:tblPrEx>
        <w:tc>
          <w:tcPr>
            <w:tcW w:w="1184" w:type="pct"/>
            <w:vAlign w:val="center"/>
          </w:tcPr>
          <w:p w14:paraId="5FAF3E0E" w14:textId="77777777" w:rsidR="00C9406A" w:rsidRPr="00742567" w:rsidRDefault="00C9406A" w:rsidP="003D15C1">
            <w:pPr>
              <w:jc w:val="center"/>
              <w:rPr>
                <w:rFonts w:ascii="Times New Roman" w:hAnsi="Times New Roman" w:cs="Times New Roman"/>
                <w:b/>
                <w:sz w:val="24"/>
                <w:szCs w:val="24"/>
              </w:rPr>
            </w:pPr>
            <w:r w:rsidRPr="00742567">
              <w:rPr>
                <w:rFonts w:ascii="Times New Roman" w:hAnsi="Times New Roman" w:cs="Times New Roman"/>
                <w:b/>
                <w:sz w:val="24"/>
                <w:szCs w:val="24"/>
              </w:rPr>
              <w:t>Укупно</w:t>
            </w:r>
          </w:p>
        </w:tc>
        <w:tc>
          <w:tcPr>
            <w:tcW w:w="857" w:type="pct"/>
            <w:tcBorders>
              <w:top w:val="single" w:sz="4" w:space="0" w:color="auto"/>
              <w:left w:val="nil"/>
              <w:bottom w:val="single" w:sz="4" w:space="0" w:color="auto"/>
              <w:right w:val="single" w:sz="4" w:space="0" w:color="auto"/>
            </w:tcBorders>
            <w:shd w:val="clear" w:color="auto" w:fill="auto"/>
            <w:vAlign w:val="center"/>
          </w:tcPr>
          <w:p w14:paraId="60EC9300" w14:textId="77777777" w:rsidR="00C9406A" w:rsidRPr="00742567" w:rsidRDefault="00C9406A" w:rsidP="003D15C1">
            <w:pPr>
              <w:jc w:val="center"/>
              <w:rPr>
                <w:rFonts w:ascii="Times New Roman" w:hAnsi="Times New Roman" w:cs="Times New Roman"/>
                <w:b/>
                <w:sz w:val="24"/>
                <w:szCs w:val="24"/>
                <w:lang w:val="en-US"/>
              </w:rPr>
            </w:pPr>
            <w:r w:rsidRPr="00742567">
              <w:rPr>
                <w:rFonts w:ascii="Times New Roman" w:hAnsi="Times New Roman" w:cs="Times New Roman"/>
                <w:b/>
                <w:sz w:val="24"/>
                <w:szCs w:val="24"/>
                <w:lang w:val="en-US"/>
              </w:rPr>
              <w:t>518.039</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6ED040C3" w14:textId="77777777" w:rsidR="00C9406A" w:rsidRPr="00742567" w:rsidRDefault="00C9406A" w:rsidP="003D15C1">
            <w:pPr>
              <w:jc w:val="center"/>
              <w:rPr>
                <w:rFonts w:ascii="Times New Roman" w:hAnsi="Times New Roman" w:cs="Times New Roman"/>
                <w:b/>
                <w:sz w:val="24"/>
                <w:szCs w:val="24"/>
                <w:lang w:val="en-US"/>
              </w:rPr>
            </w:pPr>
            <w:r>
              <w:rPr>
                <w:rFonts w:ascii="Times New Roman" w:hAnsi="Times New Roman" w:cs="Times New Roman"/>
                <w:b/>
                <w:sz w:val="24"/>
                <w:szCs w:val="24"/>
                <w:lang w:val="en-US"/>
              </w:rPr>
              <w:t>590.948.982</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465169E8" w14:textId="77777777" w:rsidR="00C9406A" w:rsidRPr="00742567" w:rsidRDefault="00C9406A" w:rsidP="003D15C1">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14:paraId="3C58C6DE" w14:textId="77777777" w:rsidR="00C9406A" w:rsidRPr="00742567" w:rsidRDefault="00C9406A" w:rsidP="003D15C1">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14:paraId="2B5F1B4A" w14:textId="78EE4127" w:rsidR="004C3167" w:rsidRPr="00925DB7" w:rsidRDefault="00B92132" w:rsidP="005E5329">
      <w:pPr>
        <w:jc w:val="both"/>
        <w:rPr>
          <w:rFonts w:ascii="Times New Roman" w:hAnsi="Times New Roman" w:cs="Times New Roman"/>
        </w:rPr>
      </w:pPr>
      <w:r w:rsidRPr="00925DB7">
        <w:rPr>
          <w:rFonts w:ascii="Times New Roman" w:hAnsi="Times New Roman" w:cs="Times New Roman"/>
        </w:rPr>
        <w:t>*В</w:t>
      </w:r>
      <w:r w:rsidR="004C3167" w:rsidRPr="00925DB7">
        <w:rPr>
          <w:rFonts w:ascii="Times New Roman" w:hAnsi="Times New Roman" w:cs="Times New Roman"/>
        </w:rPr>
        <w:t>редности су изражене у хиљадама динара</w:t>
      </w:r>
    </w:p>
    <w:p w14:paraId="5C712700" w14:textId="77777777" w:rsidR="006A70B4" w:rsidRDefault="004C3167" w:rsidP="005E5329">
      <w:pPr>
        <w:autoSpaceDE w:val="0"/>
        <w:autoSpaceDN w:val="0"/>
        <w:adjustRightInd w:val="0"/>
        <w:spacing w:after="0" w:line="240" w:lineRule="auto"/>
        <w:jc w:val="both"/>
        <w:rPr>
          <w:rFonts w:ascii="Times New Roman" w:hAnsi="Times New Roman" w:cs="Times New Roman"/>
          <w:sz w:val="24"/>
          <w:szCs w:val="24"/>
        </w:rPr>
      </w:pPr>
      <w:r w:rsidRPr="005E5329">
        <w:rPr>
          <w:rFonts w:ascii="Times New Roman" w:hAnsi="Times New Roman" w:cs="Times New Roman"/>
          <w:sz w:val="24"/>
          <w:szCs w:val="24"/>
        </w:rPr>
        <w:t>Заступљеност појединих осно</w:t>
      </w:r>
      <w:r w:rsidR="004A3701">
        <w:rPr>
          <w:rFonts w:ascii="Times New Roman" w:hAnsi="Times New Roman" w:cs="Times New Roman"/>
          <w:sz w:val="24"/>
          <w:szCs w:val="24"/>
        </w:rPr>
        <w:t>ва за изузеће од примене Закона</w:t>
      </w:r>
      <w:r w:rsidRPr="005E5329">
        <w:rPr>
          <w:rFonts w:ascii="Times New Roman" w:hAnsi="Times New Roman" w:cs="Times New Roman"/>
          <w:sz w:val="24"/>
          <w:szCs w:val="24"/>
        </w:rPr>
        <w:t xml:space="preserve"> приказана је у Табели </w:t>
      </w:r>
      <w:r w:rsidR="00F0798C">
        <w:rPr>
          <w:rFonts w:ascii="Times New Roman" w:hAnsi="Times New Roman" w:cs="Times New Roman"/>
          <w:sz w:val="24"/>
          <w:szCs w:val="24"/>
        </w:rPr>
        <w:t>15</w:t>
      </w:r>
      <w:r w:rsidR="00B41FFC">
        <w:rPr>
          <w:rFonts w:ascii="Times New Roman" w:hAnsi="Times New Roman" w:cs="Times New Roman"/>
          <w:sz w:val="24"/>
          <w:szCs w:val="24"/>
        </w:rPr>
        <w:t>.</w:t>
      </w:r>
    </w:p>
    <w:p w14:paraId="066E570F" w14:textId="0B8089B1" w:rsidR="006A70B4" w:rsidRDefault="006A70B4" w:rsidP="005E5329">
      <w:pPr>
        <w:autoSpaceDE w:val="0"/>
        <w:autoSpaceDN w:val="0"/>
        <w:adjustRightInd w:val="0"/>
        <w:spacing w:after="0" w:line="240" w:lineRule="auto"/>
        <w:jc w:val="both"/>
        <w:rPr>
          <w:rFonts w:ascii="Times New Roman" w:hAnsi="Times New Roman" w:cs="Times New Roman"/>
          <w:sz w:val="24"/>
          <w:szCs w:val="24"/>
        </w:rPr>
      </w:pPr>
    </w:p>
    <w:p w14:paraId="35ABB779"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  </w:t>
      </w:r>
    </w:p>
    <w:p w14:paraId="2AECD64C"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3A3F1B5C"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497A8728"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74665CC4"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477FAD87" w14:textId="77777777" w:rsidR="006A70B4" w:rsidRPr="00E319C8"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Latn-RS"/>
        </w:rPr>
      </w:pPr>
    </w:p>
    <w:p w14:paraId="1D8E4418"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7E29EBE2"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52A9ED5D"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6E659D85"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166780EE"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3BCD513D"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02F2F728"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0ABDBAA1"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7A3182F1"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080CB063"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579C95EE"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65175206"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08A797EA"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6F78C725"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5324B686"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3AF73903"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24351C8D"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24DB938F"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669CE535"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4D459566" w14:textId="7F232F7F"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03E20E61" w14:textId="77777777" w:rsidR="00EA05C4" w:rsidRDefault="00EA05C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1103122F"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lang w:val="sr-Cyrl-RS"/>
        </w:rPr>
      </w:pPr>
    </w:p>
    <w:p w14:paraId="5D2EFD0D" w14:textId="33C008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RS"/>
        </w:rPr>
        <w:lastRenderedPageBreak/>
        <w:t xml:space="preserve">     </w:t>
      </w:r>
      <w:r w:rsidRPr="005005C3">
        <w:rPr>
          <w:rFonts w:ascii="Times New Roman" w:hAnsi="Times New Roman" w:cs="Times New Roman"/>
          <w:b/>
          <w:color w:val="000000" w:themeColor="text1"/>
          <w:sz w:val="24"/>
          <w:szCs w:val="24"/>
        </w:rPr>
        <w:t xml:space="preserve">Табела </w:t>
      </w:r>
      <w:r>
        <w:rPr>
          <w:rFonts w:ascii="Times New Roman" w:hAnsi="Times New Roman" w:cs="Times New Roman"/>
          <w:b/>
          <w:color w:val="000000" w:themeColor="text1"/>
          <w:sz w:val="24"/>
          <w:szCs w:val="24"/>
        </w:rPr>
        <w:t>15</w:t>
      </w:r>
    </w:p>
    <w:p w14:paraId="7D74D446" w14:textId="77777777" w:rsidR="006A70B4" w:rsidRDefault="006A70B4" w:rsidP="005E5329">
      <w:pPr>
        <w:autoSpaceDE w:val="0"/>
        <w:autoSpaceDN w:val="0"/>
        <w:adjustRightInd w:val="0"/>
        <w:spacing w:after="0" w:line="240" w:lineRule="auto"/>
        <w:jc w:val="both"/>
        <w:rPr>
          <w:rFonts w:ascii="Times New Roman" w:hAnsi="Times New Roman" w:cs="Times New Roman"/>
          <w:b/>
          <w:color w:val="000000" w:themeColor="text1"/>
          <w:sz w:val="24"/>
          <w:szCs w:val="24"/>
        </w:rPr>
      </w:pPr>
    </w:p>
    <w:tbl>
      <w:tblPr>
        <w:tblStyle w:val="TableGrid2"/>
        <w:tblW w:w="0" w:type="auto"/>
        <w:jc w:val="center"/>
        <w:tblLayout w:type="fixed"/>
        <w:tblLook w:val="04A0" w:firstRow="1" w:lastRow="0" w:firstColumn="1" w:lastColumn="0" w:noHBand="0" w:noVBand="1"/>
      </w:tblPr>
      <w:tblGrid>
        <w:gridCol w:w="4117"/>
        <w:gridCol w:w="1275"/>
        <w:gridCol w:w="1560"/>
        <w:gridCol w:w="1591"/>
        <w:gridCol w:w="1701"/>
      </w:tblGrid>
      <w:tr w:rsidR="006A70B4" w:rsidRPr="00ED69C4" w14:paraId="0828F8C3" w14:textId="77777777" w:rsidTr="003D15C1">
        <w:trPr>
          <w:jc w:val="center"/>
        </w:trPr>
        <w:tc>
          <w:tcPr>
            <w:tcW w:w="10244" w:type="dxa"/>
            <w:gridSpan w:val="5"/>
            <w:vAlign w:val="center"/>
          </w:tcPr>
          <w:p w14:paraId="7BCCA55A" w14:textId="77777777" w:rsidR="004F7BF6" w:rsidRDefault="006A70B4" w:rsidP="003D15C1">
            <w:pPr>
              <w:jc w:val="center"/>
              <w:rPr>
                <w:rFonts w:ascii="Times New Roman" w:hAnsi="Times New Roman" w:cs="Times New Roman"/>
                <w:b/>
                <w:sz w:val="24"/>
                <w:szCs w:val="24"/>
              </w:rPr>
            </w:pPr>
            <w:r w:rsidRPr="00ED69C4">
              <w:rPr>
                <w:rFonts w:ascii="Times New Roman" w:hAnsi="Times New Roman" w:cs="Times New Roman"/>
                <w:b/>
                <w:sz w:val="24"/>
                <w:szCs w:val="24"/>
              </w:rPr>
              <w:t xml:space="preserve">Подаци о набавкама на које се Закон не </w:t>
            </w:r>
            <w:r w:rsidR="003F73F4">
              <w:rPr>
                <w:rFonts w:ascii="Times New Roman" w:hAnsi="Times New Roman" w:cs="Times New Roman"/>
                <w:b/>
                <w:sz w:val="24"/>
                <w:szCs w:val="24"/>
              </w:rPr>
              <w:t xml:space="preserve">примењује </w:t>
            </w:r>
          </w:p>
          <w:p w14:paraId="6F82CE15" w14:textId="0D4DC6B4" w:rsidR="006A70B4" w:rsidRPr="00ED69C4" w:rsidRDefault="003F73F4" w:rsidP="003D15C1">
            <w:pPr>
              <w:jc w:val="center"/>
              <w:rPr>
                <w:rFonts w:ascii="Times New Roman" w:hAnsi="Times New Roman" w:cs="Times New Roman"/>
                <w:b/>
                <w:sz w:val="24"/>
                <w:szCs w:val="24"/>
              </w:rPr>
            </w:pPr>
            <w:r>
              <w:rPr>
                <w:rFonts w:ascii="Times New Roman" w:hAnsi="Times New Roman" w:cs="Times New Roman"/>
                <w:b/>
                <w:sz w:val="24"/>
                <w:szCs w:val="24"/>
              </w:rPr>
              <w:t>по основама за изузећ</w:t>
            </w:r>
            <w:r w:rsidR="004F7BF6">
              <w:rPr>
                <w:rFonts w:ascii="Times New Roman" w:hAnsi="Times New Roman" w:cs="Times New Roman"/>
                <w:b/>
                <w:sz w:val="24"/>
                <w:szCs w:val="24"/>
                <w:lang w:val="sr-Cyrl-RS"/>
              </w:rPr>
              <w:t xml:space="preserve">е </w:t>
            </w:r>
            <w:r w:rsidR="006A70B4">
              <w:rPr>
                <w:rFonts w:ascii="Times New Roman" w:hAnsi="Times New Roman" w:cs="Times New Roman"/>
                <w:b/>
                <w:sz w:val="24"/>
                <w:szCs w:val="24"/>
              </w:rPr>
              <w:t>у  201</w:t>
            </w:r>
            <w:r w:rsidR="006A70B4">
              <w:rPr>
                <w:rFonts w:ascii="Times New Roman" w:hAnsi="Times New Roman" w:cs="Times New Roman"/>
                <w:b/>
                <w:sz w:val="24"/>
                <w:szCs w:val="24"/>
                <w:lang w:val="en-US"/>
              </w:rPr>
              <w:t>9</w:t>
            </w:r>
            <w:r w:rsidR="006A70B4" w:rsidRPr="00ED69C4">
              <w:rPr>
                <w:rFonts w:ascii="Times New Roman" w:hAnsi="Times New Roman" w:cs="Times New Roman"/>
                <w:b/>
                <w:sz w:val="24"/>
                <w:szCs w:val="24"/>
              </w:rPr>
              <w:t>. години</w:t>
            </w:r>
          </w:p>
        </w:tc>
      </w:tr>
      <w:tr w:rsidR="006A70B4" w:rsidRPr="00ED69C4" w14:paraId="30936F87" w14:textId="77777777" w:rsidTr="003D15C1">
        <w:trPr>
          <w:jc w:val="center"/>
        </w:trPr>
        <w:tc>
          <w:tcPr>
            <w:tcW w:w="4117" w:type="dxa"/>
            <w:vAlign w:val="center"/>
          </w:tcPr>
          <w:p w14:paraId="26DC1181" w14:textId="77777777" w:rsidR="006A70B4" w:rsidRPr="00ED69C4" w:rsidRDefault="006A70B4" w:rsidP="003D15C1">
            <w:pPr>
              <w:jc w:val="center"/>
              <w:rPr>
                <w:rFonts w:ascii="Times New Roman" w:hAnsi="Times New Roman" w:cs="Times New Roman"/>
                <w:b/>
              </w:rPr>
            </w:pPr>
            <w:r w:rsidRPr="00ED69C4">
              <w:rPr>
                <w:rFonts w:ascii="Times New Roman" w:hAnsi="Times New Roman" w:cs="Times New Roman"/>
                <w:b/>
              </w:rPr>
              <w:t>Основ за изузеће</w:t>
            </w:r>
            <w:r>
              <w:rPr>
                <w:rFonts w:ascii="Times New Roman" w:hAnsi="Times New Roman" w:cs="Times New Roman"/>
                <w:b/>
                <w:lang w:val="sr-Cyrl-CS"/>
              </w:rPr>
              <w:t xml:space="preserve"> </w:t>
            </w:r>
            <w:r w:rsidRPr="00ED69C4">
              <w:rPr>
                <w:rFonts w:ascii="Times New Roman" w:hAnsi="Times New Roman" w:cs="Times New Roman"/>
                <w:b/>
              </w:rPr>
              <w:t>од примене Закона</w:t>
            </w:r>
          </w:p>
        </w:tc>
        <w:tc>
          <w:tcPr>
            <w:tcW w:w="1275" w:type="dxa"/>
            <w:vAlign w:val="center"/>
          </w:tcPr>
          <w:p w14:paraId="63985256" w14:textId="77777777" w:rsidR="006A70B4" w:rsidRPr="00ED69C4" w:rsidRDefault="006A70B4" w:rsidP="003D15C1">
            <w:pPr>
              <w:jc w:val="center"/>
              <w:rPr>
                <w:rFonts w:ascii="Times New Roman" w:hAnsi="Times New Roman" w:cs="Times New Roman"/>
                <w:b/>
              </w:rPr>
            </w:pPr>
            <w:r w:rsidRPr="00ED69C4">
              <w:rPr>
                <w:rFonts w:ascii="Times New Roman" w:hAnsi="Times New Roman" w:cs="Times New Roman"/>
                <w:b/>
              </w:rPr>
              <w:t>Број уговора</w:t>
            </w:r>
          </w:p>
        </w:tc>
        <w:tc>
          <w:tcPr>
            <w:tcW w:w="1560" w:type="dxa"/>
            <w:vAlign w:val="center"/>
          </w:tcPr>
          <w:p w14:paraId="659B8A3A" w14:textId="77777777" w:rsidR="006A70B4" w:rsidRPr="00ED69C4" w:rsidRDefault="006A70B4" w:rsidP="003D15C1">
            <w:pPr>
              <w:tabs>
                <w:tab w:val="left" w:pos="1885"/>
              </w:tabs>
              <w:jc w:val="center"/>
              <w:rPr>
                <w:rFonts w:ascii="Times New Roman" w:eastAsia="Times New Roman" w:hAnsi="Times New Roman" w:cs="Times New Roman"/>
                <w:b/>
              </w:rPr>
            </w:pPr>
            <w:r w:rsidRPr="00ED69C4">
              <w:rPr>
                <w:rFonts w:ascii="Times New Roman" w:eastAsia="Times New Roman" w:hAnsi="Times New Roman" w:cs="Times New Roman"/>
                <w:b/>
              </w:rPr>
              <w:t>Уговорена вредност без ПДВ-а</w:t>
            </w:r>
            <w:r w:rsidRPr="00ED69C4">
              <w:rPr>
                <w:rFonts w:ascii="Times New Roman" w:hAnsi="Times New Roman" w:cs="Times New Roman"/>
                <w:b/>
              </w:rPr>
              <w:t>*</w:t>
            </w:r>
          </w:p>
        </w:tc>
        <w:tc>
          <w:tcPr>
            <w:tcW w:w="1591" w:type="dxa"/>
            <w:tcBorders>
              <w:bottom w:val="single" w:sz="4" w:space="0" w:color="auto"/>
            </w:tcBorders>
            <w:vAlign w:val="center"/>
          </w:tcPr>
          <w:p w14:paraId="1B12BCDF" w14:textId="77777777" w:rsidR="006A70B4" w:rsidRPr="00ED69C4" w:rsidRDefault="006A70B4" w:rsidP="003D15C1">
            <w:pPr>
              <w:jc w:val="center"/>
              <w:rPr>
                <w:rFonts w:ascii="Times New Roman" w:hAnsi="Times New Roman" w:cs="Times New Roman"/>
                <w:b/>
              </w:rPr>
            </w:pPr>
            <w:r w:rsidRPr="00ED69C4">
              <w:rPr>
                <w:rFonts w:ascii="Times New Roman" w:hAnsi="Times New Roman" w:cs="Times New Roman"/>
                <w:b/>
              </w:rPr>
              <w:t>Бројчана заступљеност</w:t>
            </w:r>
            <w:r w:rsidRPr="00ED69C4">
              <w:rPr>
                <w:rFonts w:ascii="Times New Roman" w:eastAsia="Times New Roman" w:hAnsi="Times New Roman" w:cs="Times New Roman"/>
                <w:b/>
              </w:rPr>
              <w:t>(у %)</w:t>
            </w:r>
          </w:p>
        </w:tc>
        <w:tc>
          <w:tcPr>
            <w:tcW w:w="1701" w:type="dxa"/>
            <w:tcBorders>
              <w:bottom w:val="single" w:sz="4" w:space="0" w:color="auto"/>
            </w:tcBorders>
            <w:vAlign w:val="center"/>
          </w:tcPr>
          <w:p w14:paraId="38E47CC5" w14:textId="77777777" w:rsidR="006A70B4" w:rsidRPr="00ED69C4" w:rsidRDefault="006A70B4" w:rsidP="003D15C1">
            <w:pPr>
              <w:jc w:val="center"/>
              <w:rPr>
                <w:rFonts w:ascii="Times New Roman" w:hAnsi="Times New Roman" w:cs="Times New Roman"/>
                <w:b/>
              </w:rPr>
            </w:pPr>
            <w:r w:rsidRPr="00ED69C4">
              <w:rPr>
                <w:rFonts w:ascii="Times New Roman" w:hAnsi="Times New Roman" w:cs="Times New Roman"/>
                <w:b/>
              </w:rPr>
              <w:t>Вредносна заступљеност</w:t>
            </w:r>
            <w:r w:rsidRPr="00ED69C4">
              <w:rPr>
                <w:rFonts w:ascii="Times New Roman" w:eastAsia="Times New Roman" w:hAnsi="Times New Roman" w:cs="Times New Roman"/>
                <w:b/>
              </w:rPr>
              <w:t>(у %)</w:t>
            </w:r>
          </w:p>
        </w:tc>
      </w:tr>
      <w:tr w:rsidR="006A70B4" w:rsidRPr="00ED69C4" w14:paraId="087E6FB7" w14:textId="77777777" w:rsidTr="003D15C1">
        <w:trPr>
          <w:jc w:val="center"/>
        </w:trPr>
        <w:tc>
          <w:tcPr>
            <w:tcW w:w="4117" w:type="dxa"/>
            <w:vAlign w:val="center"/>
          </w:tcPr>
          <w:p w14:paraId="232A5F58" w14:textId="77777777" w:rsidR="006A70B4" w:rsidRPr="00ED69C4" w:rsidRDefault="006A70B4" w:rsidP="003D15C1">
            <w:pPr>
              <w:jc w:val="center"/>
              <w:rPr>
                <w:rFonts w:ascii="Times New Roman" w:hAnsi="Times New Roman" w:cs="Times New Roman"/>
                <w:b/>
                <w:color w:val="000000" w:themeColor="text1"/>
              </w:rPr>
            </w:pPr>
            <w:r w:rsidRPr="00ED69C4">
              <w:rPr>
                <w:rFonts w:ascii="Times New Roman" w:hAnsi="Times New Roman" w:cs="Times New Roman"/>
                <w:b/>
                <w:color w:val="000000" w:themeColor="text1"/>
              </w:rPr>
              <w:t>Чл. 7. ст. 1. тач. 1) Закона</w:t>
            </w:r>
          </w:p>
          <w:p w14:paraId="2B986985" w14:textId="77777777" w:rsidR="006A70B4" w:rsidRPr="00ED69C4" w:rsidRDefault="006A70B4" w:rsidP="003D15C1">
            <w:pPr>
              <w:jc w:val="center"/>
              <w:rPr>
                <w:rFonts w:ascii="Times New Roman" w:hAnsi="Times New Roman" w:cs="Times New Roman"/>
                <w:color w:val="000000" w:themeColor="text1"/>
              </w:rPr>
            </w:pPr>
            <w:r w:rsidRPr="00ED69C4">
              <w:rPr>
                <w:rFonts w:ascii="Times New Roman" w:hAnsi="Times New Roman" w:cs="Times New Roman"/>
                <w:color w:val="000000" w:themeColor="text1"/>
              </w:rPr>
              <w:t>Искључиво право на обављање делатности која је предмет</w:t>
            </w:r>
          </w:p>
          <w:p w14:paraId="1114CFC9" w14:textId="77777777" w:rsidR="006A70B4" w:rsidRPr="00ED69C4" w:rsidRDefault="006A70B4" w:rsidP="003D15C1">
            <w:pPr>
              <w:jc w:val="center"/>
              <w:rPr>
                <w:rFonts w:ascii="Times New Roman" w:hAnsi="Times New Roman" w:cs="Times New Roman"/>
                <w:color w:val="000000" w:themeColor="text1"/>
              </w:rPr>
            </w:pPr>
            <w:r w:rsidRPr="00ED69C4">
              <w:rPr>
                <w:rFonts w:ascii="Times New Roman" w:hAnsi="Times New Roman" w:cs="Times New Roman"/>
                <w:color w:val="000000" w:themeColor="text1"/>
              </w:rPr>
              <w:t>јавне набавке</w:t>
            </w:r>
          </w:p>
        </w:tc>
        <w:tc>
          <w:tcPr>
            <w:tcW w:w="1275" w:type="dxa"/>
            <w:vAlign w:val="center"/>
          </w:tcPr>
          <w:p w14:paraId="66741BE6" w14:textId="77777777" w:rsidR="006A70B4" w:rsidRPr="00200603" w:rsidRDefault="006A70B4" w:rsidP="003D15C1">
            <w:pPr>
              <w:jc w:val="center"/>
              <w:rPr>
                <w:rFonts w:ascii="Times New Roman" w:hAnsi="Times New Roman" w:cs="Times New Roman"/>
                <w:sz w:val="24"/>
                <w:szCs w:val="24"/>
                <w:lang w:val="en-GB"/>
              </w:rPr>
            </w:pPr>
            <w:r w:rsidRPr="00200603">
              <w:rPr>
                <w:rFonts w:ascii="Times New Roman" w:hAnsi="Times New Roman" w:cs="Times New Roman"/>
                <w:sz w:val="24"/>
                <w:szCs w:val="24"/>
                <w:lang w:val="en-GB"/>
              </w:rPr>
              <w:t>46.719</w:t>
            </w:r>
          </w:p>
        </w:tc>
        <w:tc>
          <w:tcPr>
            <w:tcW w:w="1560" w:type="dxa"/>
            <w:vAlign w:val="center"/>
          </w:tcPr>
          <w:p w14:paraId="0F5F2425" w14:textId="77777777" w:rsidR="006A70B4" w:rsidRPr="00200603" w:rsidRDefault="006A70B4" w:rsidP="003D15C1">
            <w:pPr>
              <w:jc w:val="center"/>
              <w:rPr>
                <w:rFonts w:ascii="Times New Roman" w:hAnsi="Times New Roman" w:cs="Times New Roman"/>
                <w:sz w:val="24"/>
                <w:szCs w:val="24"/>
                <w:lang w:val="sr-Latn-RS"/>
              </w:rPr>
            </w:pPr>
            <w:r w:rsidRPr="00200603">
              <w:rPr>
                <w:rFonts w:ascii="Times New Roman" w:hAnsi="Times New Roman" w:cs="Times New Roman"/>
                <w:sz w:val="24"/>
                <w:szCs w:val="24"/>
                <w:lang w:val="en-GB"/>
              </w:rPr>
              <w:t>23.660.329</w:t>
            </w:r>
          </w:p>
        </w:tc>
        <w:tc>
          <w:tcPr>
            <w:tcW w:w="1591" w:type="dxa"/>
            <w:tcBorders>
              <w:top w:val="single" w:sz="8" w:space="0" w:color="auto"/>
              <w:left w:val="nil"/>
              <w:bottom w:val="single" w:sz="8" w:space="0" w:color="auto"/>
              <w:right w:val="single" w:sz="8" w:space="0" w:color="auto"/>
            </w:tcBorders>
            <w:shd w:val="clear" w:color="auto" w:fill="auto"/>
            <w:vAlign w:val="center"/>
          </w:tcPr>
          <w:p w14:paraId="4FFA4DE5" w14:textId="546BC1A2" w:rsidR="006A70B4" w:rsidRPr="00200603" w:rsidRDefault="004F7BF6" w:rsidP="003D15C1">
            <w:pPr>
              <w:jc w:val="center"/>
              <w:rPr>
                <w:rFonts w:ascii="Times New Roman" w:eastAsia="Times New Roman" w:hAnsi="Times New Roman" w:cs="Times New Roman"/>
                <w:color w:val="000000"/>
                <w:sz w:val="24"/>
                <w:szCs w:val="24"/>
                <w:lang w:val="sr-Cyrl-RS" w:eastAsia="sr-Cyrl-RS"/>
              </w:rPr>
            </w:pPr>
            <w:r>
              <w:rPr>
                <w:rFonts w:ascii="Times New Roman" w:hAnsi="Times New Roman" w:cs="Times New Roman"/>
                <w:color w:val="000000"/>
                <w:sz w:val="24"/>
                <w:szCs w:val="24"/>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8B3BB5" w14:textId="2191A504" w:rsidR="006A70B4" w:rsidRPr="00200603" w:rsidRDefault="004F7BF6" w:rsidP="003D15C1">
            <w:pPr>
              <w:jc w:val="center"/>
              <w:rPr>
                <w:rFonts w:ascii="Times New Roman" w:eastAsia="Times New Roman" w:hAnsi="Times New Roman" w:cs="Times New Roman"/>
                <w:color w:val="000000"/>
                <w:sz w:val="24"/>
                <w:szCs w:val="24"/>
                <w:lang w:val="sr-Cyrl-RS" w:eastAsia="sr-Cyrl-RS"/>
              </w:rPr>
            </w:pPr>
            <w:r>
              <w:rPr>
                <w:rFonts w:ascii="Times New Roman" w:hAnsi="Times New Roman" w:cs="Times New Roman"/>
                <w:color w:val="000000"/>
                <w:sz w:val="24"/>
                <w:szCs w:val="24"/>
              </w:rPr>
              <w:t>16</w:t>
            </w:r>
          </w:p>
        </w:tc>
      </w:tr>
      <w:tr w:rsidR="006A70B4" w:rsidRPr="00ED69C4" w14:paraId="0D66E3F6" w14:textId="77777777" w:rsidTr="003D15C1">
        <w:trPr>
          <w:jc w:val="center"/>
        </w:trPr>
        <w:tc>
          <w:tcPr>
            <w:tcW w:w="4117" w:type="dxa"/>
            <w:vAlign w:val="center"/>
          </w:tcPr>
          <w:p w14:paraId="7590749A" w14:textId="77777777" w:rsidR="006A70B4" w:rsidRPr="00ED69C4" w:rsidRDefault="006A70B4" w:rsidP="003D15C1">
            <w:pPr>
              <w:jc w:val="center"/>
              <w:rPr>
                <w:rFonts w:ascii="Times New Roman" w:hAnsi="Times New Roman" w:cs="Times New Roman"/>
                <w:b/>
                <w:color w:val="000000" w:themeColor="text1"/>
              </w:rPr>
            </w:pPr>
            <w:r w:rsidRPr="00ED69C4">
              <w:rPr>
                <w:rFonts w:ascii="Times New Roman" w:hAnsi="Times New Roman" w:cs="Times New Roman"/>
                <w:b/>
                <w:color w:val="000000" w:themeColor="text1"/>
              </w:rPr>
              <w:t>Чл. 7. ст. 1. тач. 2) и 2а) Закона</w:t>
            </w:r>
          </w:p>
          <w:p w14:paraId="41D62FD5" w14:textId="77777777" w:rsidR="006A70B4" w:rsidRPr="00ED69C4" w:rsidRDefault="006A70B4" w:rsidP="003D15C1">
            <w:pPr>
              <w:jc w:val="center"/>
              <w:rPr>
                <w:rFonts w:ascii="Times New Roman" w:hAnsi="Times New Roman" w:cs="Times New Roman"/>
                <w:color w:val="000000" w:themeColor="text1"/>
              </w:rPr>
            </w:pPr>
            <w:r w:rsidRPr="00ED69C4">
              <w:rPr>
                <w:rFonts w:ascii="Times New Roman" w:hAnsi="Times New Roman" w:cs="Times New Roman"/>
                <w:color w:val="000000" w:themeColor="text1"/>
              </w:rPr>
              <w:t>Набавке из средстава страних кредита добијених од међународних организација и међународних финансијских институција, односно по основу међународних споразума</w:t>
            </w:r>
          </w:p>
        </w:tc>
        <w:tc>
          <w:tcPr>
            <w:tcW w:w="1275" w:type="dxa"/>
            <w:vAlign w:val="center"/>
          </w:tcPr>
          <w:p w14:paraId="50F5C9D5" w14:textId="77777777" w:rsidR="006A70B4" w:rsidRPr="00200603" w:rsidRDefault="006A70B4" w:rsidP="003D15C1">
            <w:pPr>
              <w:jc w:val="center"/>
              <w:rPr>
                <w:rFonts w:ascii="Times New Roman" w:hAnsi="Times New Roman" w:cs="Times New Roman"/>
                <w:sz w:val="24"/>
                <w:szCs w:val="24"/>
              </w:rPr>
            </w:pPr>
            <w:r w:rsidRPr="00200603">
              <w:rPr>
                <w:rFonts w:ascii="Times New Roman" w:hAnsi="Times New Roman" w:cs="Times New Roman"/>
                <w:sz w:val="24"/>
                <w:szCs w:val="24"/>
              </w:rPr>
              <w:t>1.179</w:t>
            </w:r>
          </w:p>
        </w:tc>
        <w:tc>
          <w:tcPr>
            <w:tcW w:w="1560" w:type="dxa"/>
            <w:vAlign w:val="center"/>
          </w:tcPr>
          <w:p w14:paraId="004CC6DA"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sr-Cyrl-CS"/>
              </w:rPr>
              <w:t>21.519.799</w:t>
            </w:r>
          </w:p>
        </w:tc>
        <w:tc>
          <w:tcPr>
            <w:tcW w:w="1591" w:type="dxa"/>
            <w:tcBorders>
              <w:top w:val="nil"/>
              <w:left w:val="nil"/>
              <w:bottom w:val="single" w:sz="8" w:space="0" w:color="auto"/>
              <w:right w:val="single" w:sz="8" w:space="0" w:color="auto"/>
            </w:tcBorders>
            <w:shd w:val="clear" w:color="auto" w:fill="auto"/>
            <w:vAlign w:val="center"/>
          </w:tcPr>
          <w:p w14:paraId="1C753DD6" w14:textId="68DF3706"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D20DC3" w14:textId="1FBE64AC"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6A70B4" w:rsidRPr="00ED69C4" w14:paraId="61162F82" w14:textId="77777777" w:rsidTr="003D15C1">
        <w:trPr>
          <w:jc w:val="center"/>
        </w:trPr>
        <w:tc>
          <w:tcPr>
            <w:tcW w:w="4117" w:type="dxa"/>
            <w:vAlign w:val="center"/>
          </w:tcPr>
          <w:p w14:paraId="3F43F9FB" w14:textId="77777777" w:rsidR="006A70B4" w:rsidRPr="00ED69C4" w:rsidRDefault="006A70B4" w:rsidP="003D15C1">
            <w:pPr>
              <w:jc w:val="center"/>
              <w:rPr>
                <w:rFonts w:ascii="Times New Roman" w:hAnsi="Times New Roman" w:cs="Times New Roman"/>
                <w:b/>
                <w:color w:val="000000" w:themeColor="text1"/>
              </w:rPr>
            </w:pPr>
            <w:r w:rsidRPr="00ED69C4">
              <w:rPr>
                <w:rFonts w:ascii="Times New Roman" w:hAnsi="Times New Roman" w:cs="Times New Roman"/>
                <w:b/>
                <w:color w:val="000000" w:themeColor="text1"/>
              </w:rPr>
              <w:t>Чл. 7. ст. 1. тач. 6) Закона</w:t>
            </w:r>
          </w:p>
          <w:p w14:paraId="2DD9F311" w14:textId="77777777" w:rsidR="006A70B4" w:rsidRPr="00ED69C4" w:rsidRDefault="006A70B4" w:rsidP="003D15C1">
            <w:pPr>
              <w:jc w:val="center"/>
              <w:rPr>
                <w:rFonts w:ascii="Times New Roman" w:hAnsi="Times New Roman" w:cs="Times New Roman"/>
                <w:color w:val="000000" w:themeColor="text1"/>
              </w:rPr>
            </w:pPr>
            <w:r w:rsidRPr="00ED69C4">
              <w:rPr>
                <w:rFonts w:ascii="Times New Roman" w:hAnsi="Times New Roman" w:cs="Times New Roman"/>
                <w:color w:val="000000" w:themeColor="text1"/>
              </w:rPr>
              <w:t>Набавке добара и услуга ради даље продаје, ради прераде и продаје</w:t>
            </w:r>
          </w:p>
        </w:tc>
        <w:tc>
          <w:tcPr>
            <w:tcW w:w="1275" w:type="dxa"/>
            <w:vAlign w:val="center"/>
          </w:tcPr>
          <w:p w14:paraId="1D4EA7B3"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sr-Cyrl-CS"/>
              </w:rPr>
              <w:t>21.875</w:t>
            </w:r>
          </w:p>
        </w:tc>
        <w:tc>
          <w:tcPr>
            <w:tcW w:w="1560" w:type="dxa"/>
            <w:vAlign w:val="center"/>
          </w:tcPr>
          <w:p w14:paraId="6D842D4E" w14:textId="77777777" w:rsidR="006A70B4" w:rsidRPr="00200603" w:rsidRDefault="006A70B4" w:rsidP="003D15C1">
            <w:pPr>
              <w:jc w:val="center"/>
              <w:rPr>
                <w:rFonts w:ascii="Times New Roman" w:hAnsi="Times New Roman" w:cs="Times New Roman"/>
                <w:sz w:val="24"/>
                <w:szCs w:val="24"/>
                <w:lang w:val="en-US"/>
              </w:rPr>
            </w:pPr>
            <w:r w:rsidRPr="00200603">
              <w:rPr>
                <w:rFonts w:ascii="Times New Roman" w:hAnsi="Times New Roman" w:cs="Times New Roman"/>
                <w:sz w:val="24"/>
                <w:szCs w:val="24"/>
                <w:lang w:val="en-US"/>
              </w:rPr>
              <w:t>6</w:t>
            </w:r>
            <w:r w:rsidRPr="00200603">
              <w:rPr>
                <w:rFonts w:ascii="Times New Roman" w:hAnsi="Times New Roman" w:cs="Times New Roman"/>
                <w:sz w:val="24"/>
                <w:szCs w:val="24"/>
                <w:lang w:val="sr-Cyrl-CS"/>
              </w:rPr>
              <w:t>.013.225</w:t>
            </w:r>
          </w:p>
        </w:tc>
        <w:tc>
          <w:tcPr>
            <w:tcW w:w="1591" w:type="dxa"/>
            <w:tcBorders>
              <w:top w:val="nil"/>
              <w:left w:val="nil"/>
              <w:bottom w:val="single" w:sz="8" w:space="0" w:color="auto"/>
              <w:right w:val="single" w:sz="8" w:space="0" w:color="auto"/>
            </w:tcBorders>
            <w:shd w:val="clear" w:color="auto" w:fill="auto"/>
            <w:vAlign w:val="center"/>
          </w:tcPr>
          <w:p w14:paraId="02CAFAC8" w14:textId="59EB991B"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037E6F" w14:textId="200FB137"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A70B4" w:rsidRPr="00ED69C4" w14:paraId="1C6A6ED3" w14:textId="77777777" w:rsidTr="003D15C1">
        <w:trPr>
          <w:jc w:val="center"/>
        </w:trPr>
        <w:tc>
          <w:tcPr>
            <w:tcW w:w="4117" w:type="dxa"/>
            <w:vAlign w:val="center"/>
          </w:tcPr>
          <w:p w14:paraId="2B296E23" w14:textId="77777777" w:rsidR="006A70B4" w:rsidRPr="00ED69C4" w:rsidRDefault="006A70B4" w:rsidP="003D15C1">
            <w:pPr>
              <w:jc w:val="center"/>
              <w:rPr>
                <w:rFonts w:ascii="Times New Roman" w:hAnsi="Times New Roman" w:cs="Times New Roman"/>
                <w:b/>
                <w:color w:val="000000" w:themeColor="text1"/>
              </w:rPr>
            </w:pPr>
            <w:r w:rsidRPr="00ED69C4">
              <w:rPr>
                <w:rFonts w:ascii="Times New Roman" w:hAnsi="Times New Roman" w:cs="Times New Roman"/>
                <w:b/>
                <w:color w:val="000000" w:themeColor="text1"/>
              </w:rPr>
              <w:t>Чл. 7. ст. 1. тач. 1</w:t>
            </w:r>
            <w:r>
              <w:rPr>
                <w:rFonts w:ascii="Times New Roman" w:hAnsi="Times New Roman" w:cs="Times New Roman"/>
                <w:b/>
                <w:color w:val="000000" w:themeColor="text1"/>
                <w:lang w:val="sr-Cyrl-CS"/>
              </w:rPr>
              <w:t>3</w:t>
            </w:r>
            <w:r w:rsidRPr="00ED69C4">
              <w:rPr>
                <w:rFonts w:ascii="Times New Roman" w:hAnsi="Times New Roman" w:cs="Times New Roman"/>
                <w:b/>
                <w:color w:val="000000" w:themeColor="text1"/>
              </w:rPr>
              <w:t>) Закона</w:t>
            </w:r>
          </w:p>
          <w:p w14:paraId="6F72FB5F" w14:textId="77777777" w:rsidR="006A70B4" w:rsidRPr="00DF7AA5" w:rsidRDefault="006A70B4" w:rsidP="003D15C1">
            <w:pPr>
              <w:jc w:val="center"/>
              <w:rPr>
                <w:rFonts w:ascii="Times New Roman" w:hAnsi="Times New Roman" w:cs="Times New Roman"/>
                <w:color w:val="000000" w:themeColor="text1"/>
                <w:lang w:val="sr-Cyrl-CS"/>
              </w:rPr>
            </w:pPr>
            <w:r w:rsidRPr="00DF7AA5">
              <w:rPr>
                <w:rFonts w:ascii="Times New Roman" w:hAnsi="Times New Roman" w:cs="Times New Roman"/>
                <w:color w:val="000000" w:themeColor="text1"/>
                <w:lang w:val="sr-Cyrl-CS"/>
              </w:rPr>
              <w:t>Услуге кредита</w:t>
            </w:r>
          </w:p>
        </w:tc>
        <w:tc>
          <w:tcPr>
            <w:tcW w:w="1275" w:type="dxa"/>
            <w:vAlign w:val="center"/>
          </w:tcPr>
          <w:p w14:paraId="2922505E"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sr-Cyrl-CS"/>
              </w:rPr>
              <w:t>137</w:t>
            </w:r>
          </w:p>
        </w:tc>
        <w:tc>
          <w:tcPr>
            <w:tcW w:w="1560" w:type="dxa"/>
            <w:vAlign w:val="center"/>
          </w:tcPr>
          <w:p w14:paraId="2471EC82"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sr-Cyrl-CS"/>
              </w:rPr>
              <w:t>12.518.549</w:t>
            </w:r>
          </w:p>
        </w:tc>
        <w:tc>
          <w:tcPr>
            <w:tcW w:w="1591" w:type="dxa"/>
            <w:tcBorders>
              <w:top w:val="nil"/>
              <w:left w:val="nil"/>
              <w:bottom w:val="single" w:sz="8" w:space="0" w:color="auto"/>
              <w:right w:val="single" w:sz="8" w:space="0" w:color="auto"/>
            </w:tcBorders>
            <w:shd w:val="clear" w:color="auto" w:fill="auto"/>
            <w:vAlign w:val="center"/>
          </w:tcPr>
          <w:p w14:paraId="418B0035" w14:textId="14FBAE22"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93C7F3" w14:textId="3EF21003"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6A70B4" w:rsidRPr="00ED69C4" w14:paraId="0E740B2A" w14:textId="77777777" w:rsidTr="003D15C1">
        <w:trPr>
          <w:jc w:val="center"/>
        </w:trPr>
        <w:tc>
          <w:tcPr>
            <w:tcW w:w="4117" w:type="dxa"/>
            <w:vAlign w:val="center"/>
          </w:tcPr>
          <w:p w14:paraId="3A2A5B4F" w14:textId="77777777" w:rsidR="006A70B4" w:rsidRPr="00ED69C4" w:rsidRDefault="006A70B4" w:rsidP="003D15C1">
            <w:pPr>
              <w:jc w:val="center"/>
              <w:rPr>
                <w:rFonts w:ascii="Times New Roman" w:hAnsi="Times New Roman" w:cs="Times New Roman"/>
                <w:b/>
                <w:color w:val="000000" w:themeColor="text1"/>
              </w:rPr>
            </w:pPr>
            <w:r w:rsidRPr="00ED69C4">
              <w:rPr>
                <w:rFonts w:ascii="Times New Roman" w:hAnsi="Times New Roman" w:cs="Times New Roman"/>
                <w:b/>
                <w:color w:val="000000" w:themeColor="text1"/>
              </w:rPr>
              <w:t>Чл. 39. ст. 2. Закона</w:t>
            </w:r>
          </w:p>
          <w:p w14:paraId="05FDCA8E" w14:textId="77777777" w:rsidR="006A70B4" w:rsidRPr="00ED69C4" w:rsidRDefault="006A70B4" w:rsidP="003D15C1">
            <w:pPr>
              <w:jc w:val="center"/>
              <w:rPr>
                <w:rFonts w:ascii="Times New Roman" w:hAnsi="Times New Roman" w:cs="Times New Roman"/>
                <w:color w:val="000000" w:themeColor="text1"/>
              </w:rPr>
            </w:pPr>
            <w:r w:rsidRPr="00ED69C4">
              <w:rPr>
                <w:rFonts w:ascii="Times New Roman" w:hAnsi="Times New Roman" w:cs="Times New Roman"/>
                <w:color w:val="000000" w:themeColor="text1"/>
              </w:rPr>
              <w:t>Набавке испод доњег лимита за јавне набавке мале вредности</w:t>
            </w:r>
          </w:p>
        </w:tc>
        <w:tc>
          <w:tcPr>
            <w:tcW w:w="1275" w:type="dxa"/>
            <w:vAlign w:val="center"/>
          </w:tcPr>
          <w:p w14:paraId="74506FCA"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sr-Cyrl-CS"/>
              </w:rPr>
              <w:t>289.938</w:t>
            </w:r>
          </w:p>
        </w:tc>
        <w:tc>
          <w:tcPr>
            <w:tcW w:w="1560" w:type="dxa"/>
            <w:vAlign w:val="center"/>
          </w:tcPr>
          <w:p w14:paraId="4CDDA027"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rPr>
              <w:t>22.856.601</w:t>
            </w:r>
          </w:p>
        </w:tc>
        <w:tc>
          <w:tcPr>
            <w:tcW w:w="1591" w:type="dxa"/>
            <w:tcBorders>
              <w:top w:val="nil"/>
              <w:left w:val="nil"/>
              <w:bottom w:val="single" w:sz="8" w:space="0" w:color="auto"/>
              <w:right w:val="single" w:sz="8" w:space="0" w:color="auto"/>
            </w:tcBorders>
            <w:shd w:val="clear" w:color="auto" w:fill="auto"/>
            <w:vAlign w:val="center"/>
          </w:tcPr>
          <w:p w14:paraId="6D55D71A" w14:textId="008A8A68"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29DF9C" w14:textId="2B8548D2"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6A70B4" w:rsidRPr="00ED69C4" w14:paraId="1BCEB9D4" w14:textId="77777777" w:rsidTr="003D15C1">
        <w:trPr>
          <w:jc w:val="center"/>
        </w:trPr>
        <w:tc>
          <w:tcPr>
            <w:tcW w:w="4117" w:type="dxa"/>
            <w:vAlign w:val="center"/>
          </w:tcPr>
          <w:p w14:paraId="14DCF32C" w14:textId="77777777" w:rsidR="006A70B4" w:rsidRPr="00ED69C4" w:rsidRDefault="006A70B4" w:rsidP="003D15C1">
            <w:pPr>
              <w:jc w:val="center"/>
              <w:rPr>
                <w:rFonts w:ascii="Times New Roman" w:hAnsi="Times New Roman" w:cs="Times New Roman"/>
                <w:b/>
                <w:color w:val="000000" w:themeColor="text1"/>
              </w:rPr>
            </w:pPr>
            <w:r w:rsidRPr="00ED69C4">
              <w:rPr>
                <w:rFonts w:ascii="Times New Roman" w:hAnsi="Times New Roman" w:cs="Times New Roman"/>
                <w:b/>
                <w:color w:val="000000" w:themeColor="text1"/>
              </w:rPr>
              <w:t>Чл. 122. ст. 1 тач. 4) Закона</w:t>
            </w:r>
          </w:p>
          <w:p w14:paraId="7B699933" w14:textId="77777777" w:rsidR="006A70B4" w:rsidRPr="00ED69C4" w:rsidRDefault="006A70B4" w:rsidP="003D15C1">
            <w:pPr>
              <w:jc w:val="center"/>
              <w:rPr>
                <w:rFonts w:ascii="Times New Roman" w:hAnsi="Times New Roman" w:cs="Times New Roman"/>
                <w:color w:val="000000" w:themeColor="text1"/>
              </w:rPr>
            </w:pPr>
            <w:r w:rsidRPr="00ED69C4">
              <w:rPr>
                <w:rFonts w:ascii="Times New Roman" w:hAnsi="Times New Roman" w:cs="Times New Roman"/>
                <w:color w:val="000000" w:themeColor="text1"/>
              </w:rPr>
              <w:t>Набавка енергије или горива за производњу енергије</w:t>
            </w:r>
            <w:r>
              <w:rPr>
                <w:rFonts w:ascii="Times New Roman" w:hAnsi="Times New Roman" w:cs="Times New Roman"/>
                <w:color w:val="000000" w:themeColor="text1"/>
                <w:lang w:val="sr-Cyrl-CS"/>
              </w:rPr>
              <w:t xml:space="preserve"> </w:t>
            </w:r>
            <w:r w:rsidRPr="00ED69C4">
              <w:rPr>
                <w:rFonts w:ascii="Times New Roman" w:hAnsi="Times New Roman" w:cs="Times New Roman"/>
                <w:color w:val="000000" w:themeColor="text1"/>
              </w:rPr>
              <w:t>у области енергетике</w:t>
            </w:r>
          </w:p>
        </w:tc>
        <w:tc>
          <w:tcPr>
            <w:tcW w:w="1275" w:type="dxa"/>
            <w:vAlign w:val="center"/>
          </w:tcPr>
          <w:p w14:paraId="1D273EE7" w14:textId="77777777" w:rsidR="006A70B4" w:rsidRPr="00200603" w:rsidRDefault="006A70B4" w:rsidP="003D15C1">
            <w:pPr>
              <w:jc w:val="center"/>
              <w:rPr>
                <w:rFonts w:ascii="Times New Roman" w:hAnsi="Times New Roman" w:cs="Times New Roman"/>
                <w:sz w:val="24"/>
                <w:szCs w:val="24"/>
              </w:rPr>
            </w:pPr>
            <w:r w:rsidRPr="00200603">
              <w:rPr>
                <w:rFonts w:ascii="Times New Roman" w:hAnsi="Times New Roman" w:cs="Times New Roman"/>
                <w:sz w:val="24"/>
                <w:szCs w:val="24"/>
              </w:rPr>
              <w:t>631</w:t>
            </w:r>
          </w:p>
        </w:tc>
        <w:tc>
          <w:tcPr>
            <w:tcW w:w="1560" w:type="dxa"/>
            <w:vAlign w:val="center"/>
          </w:tcPr>
          <w:p w14:paraId="05A4E3B0"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en-US"/>
              </w:rPr>
              <w:t>38.699.548</w:t>
            </w:r>
          </w:p>
        </w:tc>
        <w:tc>
          <w:tcPr>
            <w:tcW w:w="1591" w:type="dxa"/>
            <w:tcBorders>
              <w:top w:val="nil"/>
              <w:left w:val="nil"/>
              <w:bottom w:val="single" w:sz="8" w:space="0" w:color="auto"/>
              <w:right w:val="single" w:sz="8" w:space="0" w:color="auto"/>
            </w:tcBorders>
            <w:shd w:val="clear" w:color="auto" w:fill="auto"/>
            <w:vAlign w:val="center"/>
          </w:tcPr>
          <w:p w14:paraId="21BF7A28" w14:textId="7A322394"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BE123E" w14:textId="4EB89C08"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6A70B4" w:rsidRPr="00ED69C4" w14:paraId="59918745" w14:textId="77777777" w:rsidTr="003D15C1">
        <w:trPr>
          <w:jc w:val="center"/>
        </w:trPr>
        <w:tc>
          <w:tcPr>
            <w:tcW w:w="4117" w:type="dxa"/>
            <w:vAlign w:val="center"/>
          </w:tcPr>
          <w:p w14:paraId="64BBC3AB" w14:textId="77777777" w:rsidR="006A70B4" w:rsidRPr="00ED69C4" w:rsidRDefault="006A70B4" w:rsidP="003D15C1">
            <w:pPr>
              <w:jc w:val="center"/>
              <w:rPr>
                <w:rFonts w:ascii="Times New Roman" w:hAnsi="Times New Roman" w:cs="Times New Roman"/>
                <w:b/>
                <w:color w:val="000000" w:themeColor="text1"/>
              </w:rPr>
            </w:pPr>
            <w:r>
              <w:rPr>
                <w:rFonts w:ascii="Times New Roman" w:hAnsi="Times New Roman" w:cs="Times New Roman"/>
                <w:b/>
                <w:color w:val="000000" w:themeColor="text1"/>
              </w:rPr>
              <w:t>Чл. 7а. ст. 1</w:t>
            </w:r>
            <w:r w:rsidRPr="00ED69C4">
              <w:rPr>
                <w:rFonts w:ascii="Times New Roman" w:hAnsi="Times New Roman" w:cs="Times New Roman"/>
                <w:b/>
                <w:color w:val="000000" w:themeColor="text1"/>
              </w:rPr>
              <w:t>. Закона</w:t>
            </w:r>
          </w:p>
          <w:p w14:paraId="124E662B" w14:textId="74DAB178" w:rsidR="006A70B4" w:rsidRPr="000722C3" w:rsidRDefault="006A70B4" w:rsidP="003D15C1">
            <w:pPr>
              <w:jc w:val="center"/>
              <w:rPr>
                <w:rFonts w:ascii="Times New Roman" w:hAnsi="Times New Roman" w:cs="Times New Roman"/>
                <w:color w:val="000000" w:themeColor="text1"/>
                <w:lang w:val="sr-Cyrl-CS"/>
              </w:rPr>
            </w:pPr>
            <w:r>
              <w:rPr>
                <w:rFonts w:ascii="Times New Roman" w:hAnsi="Times New Roman" w:cs="Times New Roman"/>
                <w:color w:val="000000" w:themeColor="text1"/>
              </w:rPr>
              <w:t xml:space="preserve">Када </w:t>
            </w:r>
            <w:r>
              <w:rPr>
                <w:rFonts w:ascii="Times New Roman" w:hAnsi="Times New Roman" w:cs="Times New Roman"/>
                <w:color w:val="000000" w:themeColor="text1"/>
                <w:lang w:val="sr-Cyrl-CS"/>
              </w:rPr>
              <w:t>на</w:t>
            </w:r>
            <w:r w:rsidR="00A306B0">
              <w:rPr>
                <w:rFonts w:ascii="Times New Roman" w:hAnsi="Times New Roman" w:cs="Times New Roman"/>
                <w:color w:val="000000" w:themeColor="text1"/>
                <w:lang w:val="sr-Cyrl-CS"/>
              </w:rPr>
              <w:t>р</w:t>
            </w:r>
            <w:r>
              <w:rPr>
                <w:rFonts w:ascii="Times New Roman" w:hAnsi="Times New Roman" w:cs="Times New Roman"/>
                <w:color w:val="000000" w:themeColor="text1"/>
                <w:lang w:val="sr-Cyrl-CS"/>
              </w:rPr>
              <w:t>училац закључује уговор са другим правним лицем ако над њим врши надзор, ако правно лице над којим наручилац врши надзор више од 80% послова врши у циљу обављања послова које му је наручилац поверио и ако у надзираном лицу нема учешћа приватног капитала</w:t>
            </w:r>
          </w:p>
        </w:tc>
        <w:tc>
          <w:tcPr>
            <w:tcW w:w="1275" w:type="dxa"/>
            <w:vAlign w:val="center"/>
          </w:tcPr>
          <w:p w14:paraId="64B23A70" w14:textId="77777777" w:rsidR="006A70B4" w:rsidRPr="00200603" w:rsidRDefault="006A70B4" w:rsidP="003D15C1">
            <w:pPr>
              <w:jc w:val="center"/>
              <w:rPr>
                <w:rFonts w:ascii="Times New Roman" w:hAnsi="Times New Roman" w:cs="Times New Roman"/>
                <w:sz w:val="24"/>
                <w:szCs w:val="24"/>
                <w:lang w:val="en-GB"/>
              </w:rPr>
            </w:pPr>
            <w:r w:rsidRPr="00200603">
              <w:rPr>
                <w:rFonts w:ascii="Times New Roman" w:hAnsi="Times New Roman" w:cs="Times New Roman"/>
                <w:sz w:val="24"/>
                <w:szCs w:val="24"/>
                <w:lang w:val="en-GB"/>
              </w:rPr>
              <w:t>852</w:t>
            </w:r>
          </w:p>
        </w:tc>
        <w:tc>
          <w:tcPr>
            <w:tcW w:w="1560" w:type="dxa"/>
            <w:vAlign w:val="center"/>
          </w:tcPr>
          <w:p w14:paraId="2478CB15" w14:textId="77777777" w:rsidR="006A70B4" w:rsidRPr="00200603" w:rsidRDefault="006A70B4" w:rsidP="003D15C1">
            <w:pPr>
              <w:jc w:val="center"/>
              <w:rPr>
                <w:rFonts w:ascii="Times New Roman" w:hAnsi="Times New Roman" w:cs="Times New Roman"/>
                <w:sz w:val="24"/>
                <w:szCs w:val="24"/>
                <w:lang w:val="en-GB"/>
              </w:rPr>
            </w:pPr>
            <w:r w:rsidRPr="00200603">
              <w:rPr>
                <w:rFonts w:ascii="Times New Roman" w:hAnsi="Times New Roman" w:cs="Times New Roman"/>
                <w:sz w:val="24"/>
                <w:szCs w:val="24"/>
                <w:lang w:val="en-GB"/>
              </w:rPr>
              <w:t>9.967.450</w:t>
            </w:r>
          </w:p>
        </w:tc>
        <w:tc>
          <w:tcPr>
            <w:tcW w:w="1591" w:type="dxa"/>
            <w:tcBorders>
              <w:top w:val="nil"/>
              <w:left w:val="nil"/>
              <w:bottom w:val="single" w:sz="8" w:space="0" w:color="auto"/>
              <w:right w:val="single" w:sz="8" w:space="0" w:color="auto"/>
            </w:tcBorders>
            <w:shd w:val="clear" w:color="auto" w:fill="auto"/>
            <w:vAlign w:val="center"/>
          </w:tcPr>
          <w:p w14:paraId="4913A9CA" w14:textId="5F710951"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6576F6" w14:textId="4E66CA78"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6A70B4" w:rsidRPr="00ED69C4" w14:paraId="07BB0DB2" w14:textId="77777777" w:rsidTr="003D15C1">
        <w:trPr>
          <w:jc w:val="center"/>
        </w:trPr>
        <w:tc>
          <w:tcPr>
            <w:tcW w:w="4117" w:type="dxa"/>
            <w:vAlign w:val="center"/>
          </w:tcPr>
          <w:p w14:paraId="3EFF3BFB" w14:textId="77777777" w:rsidR="006A70B4" w:rsidRPr="00ED69C4" w:rsidRDefault="006A70B4" w:rsidP="003D15C1">
            <w:pPr>
              <w:jc w:val="center"/>
              <w:rPr>
                <w:rFonts w:ascii="Times New Roman" w:hAnsi="Times New Roman" w:cs="Times New Roman"/>
                <w:b/>
                <w:color w:val="000000" w:themeColor="text1"/>
              </w:rPr>
            </w:pPr>
            <w:r w:rsidRPr="00ED69C4">
              <w:rPr>
                <w:rFonts w:ascii="Times New Roman" w:hAnsi="Times New Roman" w:cs="Times New Roman"/>
                <w:b/>
                <w:color w:val="000000" w:themeColor="text1"/>
              </w:rPr>
              <w:t>Остало</w:t>
            </w:r>
          </w:p>
        </w:tc>
        <w:tc>
          <w:tcPr>
            <w:tcW w:w="1275" w:type="dxa"/>
            <w:vAlign w:val="center"/>
          </w:tcPr>
          <w:p w14:paraId="60ACE4D2"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sr-Cyrl-CS"/>
              </w:rPr>
              <w:t>34.642</w:t>
            </w:r>
          </w:p>
        </w:tc>
        <w:tc>
          <w:tcPr>
            <w:tcW w:w="1560" w:type="dxa"/>
            <w:vAlign w:val="center"/>
          </w:tcPr>
          <w:p w14:paraId="63D347EB" w14:textId="77777777" w:rsidR="006A70B4" w:rsidRPr="00200603" w:rsidRDefault="006A70B4" w:rsidP="003D15C1">
            <w:pPr>
              <w:jc w:val="center"/>
              <w:rPr>
                <w:rFonts w:ascii="Times New Roman" w:hAnsi="Times New Roman" w:cs="Times New Roman"/>
                <w:sz w:val="24"/>
                <w:szCs w:val="24"/>
                <w:lang w:val="sr-Cyrl-CS"/>
              </w:rPr>
            </w:pPr>
            <w:r w:rsidRPr="00200603">
              <w:rPr>
                <w:rFonts w:ascii="Times New Roman" w:hAnsi="Times New Roman" w:cs="Times New Roman"/>
                <w:sz w:val="24"/>
                <w:szCs w:val="24"/>
                <w:lang w:val="sr-Cyrl-CS"/>
              </w:rPr>
              <w:t>15.191.270</w:t>
            </w:r>
          </w:p>
        </w:tc>
        <w:tc>
          <w:tcPr>
            <w:tcW w:w="1591" w:type="dxa"/>
            <w:tcBorders>
              <w:top w:val="nil"/>
              <w:left w:val="nil"/>
              <w:bottom w:val="single" w:sz="8" w:space="0" w:color="auto"/>
              <w:right w:val="single" w:sz="8" w:space="0" w:color="auto"/>
            </w:tcBorders>
            <w:shd w:val="clear" w:color="auto" w:fill="auto"/>
            <w:vAlign w:val="center"/>
          </w:tcPr>
          <w:p w14:paraId="3B7AF756" w14:textId="179DF07C"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6F6678" w14:textId="1DB5CB00" w:rsidR="006A70B4" w:rsidRPr="00200603" w:rsidRDefault="004F7BF6" w:rsidP="003D15C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A70B4" w:rsidRPr="00ED69C4" w14:paraId="54A6081B" w14:textId="77777777" w:rsidTr="003D15C1">
        <w:trPr>
          <w:jc w:val="center"/>
        </w:trPr>
        <w:tc>
          <w:tcPr>
            <w:tcW w:w="4117" w:type="dxa"/>
            <w:vAlign w:val="center"/>
          </w:tcPr>
          <w:p w14:paraId="2E092222" w14:textId="77777777" w:rsidR="006A70B4" w:rsidRPr="00ED69C4" w:rsidRDefault="006A70B4" w:rsidP="003D15C1">
            <w:pPr>
              <w:jc w:val="center"/>
              <w:rPr>
                <w:rFonts w:ascii="Times New Roman" w:hAnsi="Times New Roman" w:cs="Times New Roman"/>
                <w:b/>
              </w:rPr>
            </w:pPr>
            <w:r w:rsidRPr="00ED69C4">
              <w:rPr>
                <w:rFonts w:ascii="Times New Roman" w:hAnsi="Times New Roman" w:cs="Times New Roman"/>
                <w:b/>
              </w:rPr>
              <w:t>Укупно</w:t>
            </w:r>
          </w:p>
        </w:tc>
        <w:tc>
          <w:tcPr>
            <w:tcW w:w="1275" w:type="dxa"/>
            <w:vAlign w:val="center"/>
          </w:tcPr>
          <w:p w14:paraId="2F6F3C3B" w14:textId="77777777" w:rsidR="006A70B4" w:rsidRPr="00A306B0" w:rsidRDefault="006A70B4" w:rsidP="003D15C1">
            <w:pPr>
              <w:jc w:val="center"/>
              <w:rPr>
                <w:rFonts w:ascii="Times New Roman" w:hAnsi="Times New Roman" w:cs="Times New Roman"/>
                <w:b/>
                <w:sz w:val="24"/>
                <w:szCs w:val="24"/>
                <w:lang w:val="sr-Cyrl-CS"/>
              </w:rPr>
            </w:pPr>
            <w:r w:rsidRPr="00A306B0">
              <w:rPr>
                <w:rFonts w:ascii="Times New Roman" w:hAnsi="Times New Roman" w:cs="Times New Roman"/>
                <w:b/>
                <w:sz w:val="24"/>
                <w:szCs w:val="24"/>
                <w:lang w:val="sr-Cyrl-CS"/>
              </w:rPr>
              <w:t>395.973</w:t>
            </w:r>
          </w:p>
        </w:tc>
        <w:tc>
          <w:tcPr>
            <w:tcW w:w="1560" w:type="dxa"/>
            <w:vAlign w:val="center"/>
          </w:tcPr>
          <w:p w14:paraId="59668105" w14:textId="77777777" w:rsidR="006A70B4" w:rsidRPr="00A306B0" w:rsidRDefault="006A70B4" w:rsidP="003D15C1">
            <w:pPr>
              <w:jc w:val="center"/>
              <w:rPr>
                <w:rFonts w:ascii="Times New Roman" w:hAnsi="Times New Roman" w:cs="Times New Roman"/>
                <w:b/>
                <w:sz w:val="24"/>
                <w:szCs w:val="24"/>
                <w:lang w:val="sr-Cyrl-CS"/>
              </w:rPr>
            </w:pPr>
            <w:r w:rsidRPr="00A306B0">
              <w:rPr>
                <w:rFonts w:ascii="Times New Roman" w:hAnsi="Times New Roman" w:cs="Times New Roman"/>
                <w:b/>
                <w:sz w:val="24"/>
                <w:szCs w:val="24"/>
                <w:lang w:val="sr-Cyrl-CS"/>
              </w:rPr>
              <w:t>150.426.771</w:t>
            </w:r>
          </w:p>
        </w:tc>
        <w:tc>
          <w:tcPr>
            <w:tcW w:w="1591" w:type="dxa"/>
            <w:tcBorders>
              <w:top w:val="nil"/>
              <w:left w:val="nil"/>
              <w:bottom w:val="single" w:sz="8" w:space="0" w:color="auto"/>
              <w:right w:val="single" w:sz="8" w:space="0" w:color="auto"/>
            </w:tcBorders>
            <w:shd w:val="clear" w:color="auto" w:fill="auto"/>
            <w:vAlign w:val="center"/>
          </w:tcPr>
          <w:p w14:paraId="4C7071A3" w14:textId="398DEEB0" w:rsidR="006A70B4" w:rsidRPr="00A306B0" w:rsidRDefault="004F7BF6" w:rsidP="003D15C1">
            <w:pPr>
              <w:jc w:val="center"/>
              <w:rPr>
                <w:rFonts w:ascii="Times New Roman" w:hAnsi="Times New Roman" w:cs="Times New Roman"/>
                <w:b/>
                <w:color w:val="000000"/>
                <w:sz w:val="24"/>
                <w:szCs w:val="24"/>
              </w:rPr>
            </w:pPr>
            <w:r w:rsidRPr="00A306B0">
              <w:rPr>
                <w:rFonts w:ascii="Times New Roman" w:hAnsi="Times New Roman" w:cs="Times New Roman"/>
                <w:b/>
                <w:color w:val="000000"/>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C4455F" w14:textId="79EBFAAE" w:rsidR="006A70B4" w:rsidRPr="00A306B0" w:rsidRDefault="004F7BF6" w:rsidP="003D15C1">
            <w:pPr>
              <w:jc w:val="center"/>
              <w:rPr>
                <w:rFonts w:ascii="Times New Roman" w:hAnsi="Times New Roman" w:cs="Times New Roman"/>
                <w:b/>
                <w:color w:val="000000"/>
                <w:sz w:val="24"/>
                <w:szCs w:val="24"/>
              </w:rPr>
            </w:pPr>
            <w:r w:rsidRPr="00A306B0">
              <w:rPr>
                <w:rFonts w:ascii="Times New Roman" w:hAnsi="Times New Roman" w:cs="Times New Roman"/>
                <w:b/>
                <w:color w:val="000000"/>
                <w:sz w:val="24"/>
                <w:szCs w:val="24"/>
              </w:rPr>
              <w:t>100</w:t>
            </w:r>
          </w:p>
        </w:tc>
      </w:tr>
    </w:tbl>
    <w:p w14:paraId="4C2F973C" w14:textId="77777777" w:rsidR="006A70B4" w:rsidRPr="009234CB" w:rsidRDefault="006A70B4" w:rsidP="006A70B4">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w:t>
      </w:r>
      <w:r w:rsidRPr="00925DB7">
        <w:rPr>
          <w:rFonts w:ascii="Times New Roman" w:hAnsi="Times New Roman" w:cs="Times New Roman"/>
        </w:rPr>
        <w:t>Вредности су изражене у хиљадама динара</w:t>
      </w:r>
    </w:p>
    <w:p w14:paraId="3632E0BD" w14:textId="2482F509" w:rsidR="006A70B4" w:rsidRDefault="006A70B4" w:rsidP="005E5329">
      <w:pPr>
        <w:autoSpaceDE w:val="0"/>
        <w:autoSpaceDN w:val="0"/>
        <w:adjustRightInd w:val="0"/>
        <w:spacing w:after="0" w:line="240" w:lineRule="auto"/>
        <w:jc w:val="both"/>
        <w:rPr>
          <w:rFonts w:ascii="Times New Roman" w:hAnsi="Times New Roman" w:cs="Times New Roman"/>
          <w:sz w:val="24"/>
          <w:szCs w:val="24"/>
        </w:rPr>
      </w:pPr>
    </w:p>
    <w:p w14:paraId="475AFB58" w14:textId="72DA27B9" w:rsidR="004A1802" w:rsidRPr="00ED7784" w:rsidRDefault="004A3701" w:rsidP="005E532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Више од д</w:t>
      </w:r>
      <w:r w:rsidR="00B41FFC">
        <w:rPr>
          <w:rFonts w:ascii="Times New Roman" w:hAnsi="Times New Roman" w:cs="Times New Roman"/>
          <w:sz w:val="24"/>
          <w:szCs w:val="24"/>
        </w:rPr>
        <w:t xml:space="preserve">ве трећине </w:t>
      </w:r>
      <w:r w:rsidR="00184FB6">
        <w:rPr>
          <w:rFonts w:ascii="Times New Roman" w:hAnsi="Times New Roman" w:cs="Times New Roman"/>
          <w:sz w:val="24"/>
          <w:szCs w:val="24"/>
        </w:rPr>
        <w:t xml:space="preserve">вредности </w:t>
      </w:r>
      <w:r w:rsidR="0046469F">
        <w:rPr>
          <w:rFonts w:ascii="Times New Roman" w:hAnsi="Times New Roman" w:cs="Times New Roman"/>
          <w:sz w:val="24"/>
          <w:szCs w:val="24"/>
        </w:rPr>
        <w:t>набавки изузетих од примене Закона</w:t>
      </w:r>
      <w:r w:rsidR="00B41FFC">
        <w:rPr>
          <w:rFonts w:ascii="Times New Roman" w:hAnsi="Times New Roman" w:cs="Times New Roman"/>
          <w:sz w:val="24"/>
          <w:szCs w:val="24"/>
        </w:rPr>
        <w:t xml:space="preserve"> </w:t>
      </w:r>
      <w:r w:rsidR="00F25A62">
        <w:rPr>
          <w:rFonts w:ascii="Times New Roman" w:hAnsi="Times New Roman" w:cs="Times New Roman"/>
          <w:color w:val="000000" w:themeColor="text1"/>
          <w:sz w:val="24"/>
          <w:szCs w:val="24"/>
        </w:rPr>
        <w:t>(71</w:t>
      </w:r>
      <w:r w:rsidR="004C3167" w:rsidRPr="00ED7784">
        <w:rPr>
          <w:rFonts w:ascii="Times New Roman" w:hAnsi="Times New Roman" w:cs="Times New Roman"/>
          <w:color w:val="000000" w:themeColor="text1"/>
          <w:sz w:val="24"/>
          <w:szCs w:val="24"/>
        </w:rPr>
        <w:t xml:space="preserve">%) </w:t>
      </w:r>
      <w:r w:rsidR="00B41FFC" w:rsidRPr="00ED7784">
        <w:rPr>
          <w:rFonts w:ascii="Times New Roman" w:hAnsi="Times New Roman" w:cs="Times New Roman"/>
          <w:color w:val="000000" w:themeColor="text1"/>
          <w:sz w:val="24"/>
          <w:szCs w:val="24"/>
        </w:rPr>
        <w:t>чинили</w:t>
      </w:r>
      <w:r w:rsidR="004C3167" w:rsidRPr="00ED7784">
        <w:rPr>
          <w:rFonts w:ascii="Times New Roman" w:hAnsi="Times New Roman" w:cs="Times New Roman"/>
          <w:color w:val="000000" w:themeColor="text1"/>
          <w:sz w:val="24"/>
          <w:szCs w:val="24"/>
        </w:rPr>
        <w:t xml:space="preserve"> </w:t>
      </w:r>
      <w:r w:rsidR="00B41FFC" w:rsidRPr="00ED7784">
        <w:rPr>
          <w:rFonts w:ascii="Times New Roman" w:hAnsi="Times New Roman" w:cs="Times New Roman"/>
          <w:color w:val="000000" w:themeColor="text1"/>
          <w:sz w:val="24"/>
          <w:szCs w:val="24"/>
        </w:rPr>
        <w:t xml:space="preserve">су </w:t>
      </w:r>
      <w:r w:rsidR="004C3167" w:rsidRPr="00ED7784">
        <w:rPr>
          <w:rFonts w:ascii="Times New Roman" w:hAnsi="Times New Roman" w:cs="Times New Roman"/>
          <w:color w:val="000000" w:themeColor="text1"/>
          <w:sz w:val="24"/>
          <w:szCs w:val="24"/>
        </w:rPr>
        <w:t xml:space="preserve">уговори који су закључени по </w:t>
      </w:r>
      <w:r w:rsidR="00B6186D" w:rsidRPr="00ED7784">
        <w:rPr>
          <w:rFonts w:ascii="Times New Roman" w:hAnsi="Times New Roman" w:cs="Times New Roman"/>
          <w:color w:val="000000" w:themeColor="text1"/>
          <w:sz w:val="24"/>
          <w:szCs w:val="24"/>
        </w:rPr>
        <w:t xml:space="preserve">једном од </w:t>
      </w:r>
      <w:r w:rsidR="004C3167" w:rsidRPr="00ED7784">
        <w:rPr>
          <w:rFonts w:ascii="Times New Roman" w:hAnsi="Times New Roman" w:cs="Times New Roman"/>
          <w:color w:val="000000" w:themeColor="text1"/>
          <w:sz w:val="24"/>
          <w:szCs w:val="24"/>
        </w:rPr>
        <w:t xml:space="preserve">следећа </w:t>
      </w:r>
      <w:r w:rsidR="00F25A62">
        <w:rPr>
          <w:rFonts w:ascii="Times New Roman" w:hAnsi="Times New Roman" w:cs="Times New Roman"/>
          <w:color w:val="000000" w:themeColor="text1"/>
          <w:sz w:val="24"/>
          <w:szCs w:val="24"/>
          <w:lang w:val="sr-Cyrl-RS"/>
        </w:rPr>
        <w:t>че</w:t>
      </w:r>
      <w:r w:rsidR="004C3167" w:rsidRPr="00ED7784">
        <w:rPr>
          <w:rFonts w:ascii="Times New Roman" w:hAnsi="Times New Roman" w:cs="Times New Roman"/>
          <w:color w:val="000000" w:themeColor="text1"/>
          <w:sz w:val="24"/>
          <w:szCs w:val="24"/>
        </w:rPr>
        <w:t>т</w:t>
      </w:r>
      <w:r w:rsidR="00F25A62">
        <w:rPr>
          <w:rFonts w:ascii="Times New Roman" w:hAnsi="Times New Roman" w:cs="Times New Roman"/>
          <w:color w:val="000000" w:themeColor="text1"/>
          <w:sz w:val="24"/>
          <w:szCs w:val="24"/>
          <w:lang w:val="sr-Cyrl-RS"/>
        </w:rPr>
        <w:t>и</w:t>
      </w:r>
      <w:r w:rsidR="004C3167" w:rsidRPr="00ED7784">
        <w:rPr>
          <w:rFonts w:ascii="Times New Roman" w:hAnsi="Times New Roman" w:cs="Times New Roman"/>
          <w:color w:val="000000" w:themeColor="text1"/>
          <w:sz w:val="24"/>
          <w:szCs w:val="24"/>
        </w:rPr>
        <w:t>ри основа:</w:t>
      </w:r>
    </w:p>
    <w:p w14:paraId="7AA6AE1C" w14:textId="0869287A" w:rsidR="004C3167" w:rsidRPr="00ED7784" w:rsidRDefault="004C3167" w:rsidP="005E5329">
      <w:pPr>
        <w:autoSpaceDE w:val="0"/>
        <w:autoSpaceDN w:val="0"/>
        <w:adjustRightInd w:val="0"/>
        <w:spacing w:after="0" w:line="240" w:lineRule="auto"/>
        <w:jc w:val="both"/>
        <w:rPr>
          <w:rFonts w:ascii="Times New Roman" w:hAnsi="Times New Roman" w:cs="Times New Roman"/>
          <w:color w:val="000000" w:themeColor="text1"/>
          <w:sz w:val="24"/>
          <w:szCs w:val="24"/>
        </w:rPr>
      </w:pPr>
      <w:r w:rsidRPr="00ED7784">
        <w:rPr>
          <w:rFonts w:ascii="Times New Roman" w:hAnsi="Times New Roman" w:cs="Times New Roman"/>
          <w:color w:val="000000" w:themeColor="text1"/>
          <w:sz w:val="24"/>
          <w:szCs w:val="24"/>
        </w:rPr>
        <w:t xml:space="preserve"> </w:t>
      </w:r>
    </w:p>
    <w:p w14:paraId="24DDCE3D" w14:textId="5E48BC04" w:rsidR="004A1802" w:rsidRDefault="004C3167" w:rsidP="00960A8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7784">
        <w:rPr>
          <w:rFonts w:ascii="Times New Roman" w:hAnsi="Times New Roman" w:cs="Times New Roman"/>
          <w:color w:val="000000" w:themeColor="text1"/>
          <w:sz w:val="24"/>
          <w:szCs w:val="24"/>
        </w:rPr>
        <w:t>набавке</w:t>
      </w:r>
      <w:r w:rsidRPr="00ED7784">
        <w:rPr>
          <w:rFonts w:ascii="Times New Roman" w:hAnsi="Times New Roman" w:cs="Times New Roman"/>
          <w:color w:val="000000" w:themeColor="text1"/>
          <w:sz w:val="24"/>
          <w:szCs w:val="24"/>
          <w:lang w:val="en-US"/>
        </w:rPr>
        <w:t xml:space="preserve"> </w:t>
      </w:r>
      <w:r w:rsidRPr="00ED7784">
        <w:rPr>
          <w:rFonts w:ascii="Times New Roman" w:hAnsi="Times New Roman" w:cs="Times New Roman"/>
          <w:color w:val="000000" w:themeColor="text1"/>
          <w:sz w:val="24"/>
          <w:szCs w:val="24"/>
        </w:rPr>
        <w:t xml:space="preserve">по основу </w:t>
      </w:r>
      <w:r w:rsidR="00E51423" w:rsidRPr="00ED7784">
        <w:rPr>
          <w:rFonts w:ascii="Times New Roman" w:hAnsi="Times New Roman" w:cs="Times New Roman"/>
          <w:color w:val="000000" w:themeColor="text1"/>
          <w:sz w:val="24"/>
          <w:szCs w:val="24"/>
        </w:rPr>
        <w:t>члана 122. став 1</w:t>
      </w:r>
      <w:r w:rsidR="0084562F">
        <w:rPr>
          <w:rFonts w:ascii="Times New Roman" w:hAnsi="Times New Roman" w:cs="Times New Roman"/>
          <w:color w:val="000000" w:themeColor="text1"/>
          <w:sz w:val="24"/>
          <w:szCs w:val="24"/>
        </w:rPr>
        <w:t>.</w:t>
      </w:r>
      <w:r w:rsidR="00E51423" w:rsidRPr="00ED7784">
        <w:rPr>
          <w:rFonts w:ascii="Times New Roman" w:hAnsi="Times New Roman" w:cs="Times New Roman"/>
          <w:color w:val="000000" w:themeColor="text1"/>
          <w:sz w:val="24"/>
          <w:szCs w:val="24"/>
        </w:rPr>
        <w:t xml:space="preserve"> тачка 4) Закона</w:t>
      </w:r>
      <w:r w:rsidRPr="00ED7784">
        <w:rPr>
          <w:rFonts w:ascii="Times New Roman" w:hAnsi="Times New Roman" w:cs="Times New Roman"/>
          <w:color w:val="000000" w:themeColor="text1"/>
          <w:sz w:val="24"/>
          <w:szCs w:val="24"/>
        </w:rPr>
        <w:t xml:space="preserve">, односно </w:t>
      </w:r>
      <w:r w:rsidR="00E51423" w:rsidRPr="00ED7784">
        <w:rPr>
          <w:rFonts w:ascii="Times New Roman" w:hAnsi="Times New Roman" w:cs="Times New Roman"/>
          <w:color w:val="000000" w:themeColor="text1"/>
          <w:sz w:val="24"/>
          <w:szCs w:val="24"/>
        </w:rPr>
        <w:t xml:space="preserve">набавке енергије или горива за производњу енергије у </w:t>
      </w:r>
      <w:r w:rsidR="004B1B6A" w:rsidRPr="00ED7784">
        <w:rPr>
          <w:rFonts w:ascii="Times New Roman" w:hAnsi="Times New Roman" w:cs="Times New Roman"/>
          <w:color w:val="000000" w:themeColor="text1"/>
          <w:sz w:val="24"/>
          <w:szCs w:val="24"/>
        </w:rPr>
        <w:t>области енергетике, које чине</w:t>
      </w:r>
      <w:r w:rsidR="004F7BF6">
        <w:rPr>
          <w:rFonts w:ascii="Times New Roman" w:hAnsi="Times New Roman" w:cs="Times New Roman"/>
          <w:color w:val="000000" w:themeColor="text1"/>
          <w:sz w:val="24"/>
          <w:szCs w:val="24"/>
        </w:rPr>
        <w:t xml:space="preserve"> 26</w:t>
      </w:r>
      <w:r w:rsidR="00E51423" w:rsidRPr="00ED7784">
        <w:rPr>
          <w:rFonts w:ascii="Times New Roman" w:hAnsi="Times New Roman" w:cs="Times New Roman"/>
          <w:color w:val="000000" w:themeColor="text1"/>
          <w:sz w:val="24"/>
          <w:szCs w:val="24"/>
        </w:rPr>
        <w:t>%</w:t>
      </w:r>
    </w:p>
    <w:p w14:paraId="6037E9DF" w14:textId="7D2B89AA" w:rsidR="00D66BD3" w:rsidRPr="00D66BD3" w:rsidRDefault="00D66BD3" w:rsidP="00960A8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7784">
        <w:rPr>
          <w:rFonts w:ascii="Times New Roman" w:hAnsi="Times New Roman" w:cs="Times New Roman"/>
          <w:color w:val="000000" w:themeColor="text1"/>
          <w:sz w:val="24"/>
          <w:szCs w:val="24"/>
        </w:rPr>
        <w:t>набавке по основу члана 7. став 1</w:t>
      </w:r>
      <w:r>
        <w:rPr>
          <w:rFonts w:ascii="Times New Roman" w:hAnsi="Times New Roman" w:cs="Times New Roman"/>
          <w:color w:val="000000" w:themeColor="text1"/>
          <w:sz w:val="24"/>
          <w:szCs w:val="24"/>
        </w:rPr>
        <w:t>.</w:t>
      </w:r>
      <w:r w:rsidRPr="00ED7784">
        <w:rPr>
          <w:rFonts w:ascii="Times New Roman" w:hAnsi="Times New Roman" w:cs="Times New Roman"/>
          <w:color w:val="000000" w:themeColor="text1"/>
          <w:sz w:val="24"/>
          <w:szCs w:val="24"/>
        </w:rPr>
        <w:t xml:space="preserve"> тачка 1) Закона, односно набавке по основу искључивих права на обављање делатности која је предмет јавне набавке, које чине</w:t>
      </w:r>
      <w:r>
        <w:rPr>
          <w:rFonts w:ascii="Times New Roman" w:hAnsi="Times New Roman" w:cs="Times New Roman"/>
          <w:color w:val="000000" w:themeColor="text1"/>
          <w:sz w:val="24"/>
          <w:szCs w:val="24"/>
        </w:rPr>
        <w:t xml:space="preserve"> 16%</w:t>
      </w:r>
    </w:p>
    <w:p w14:paraId="6DA3D0EA" w14:textId="5E989995" w:rsidR="001A76C1" w:rsidRPr="00C25F51" w:rsidRDefault="001A76C1" w:rsidP="00960A8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r-Cyrl-CS"/>
        </w:rPr>
        <w:t>набавке по основу члана 39. став 2., односно набавке испод доњег лимита, које чи</w:t>
      </w:r>
      <w:r w:rsidR="00D66BD3">
        <w:rPr>
          <w:rFonts w:ascii="Times New Roman" w:hAnsi="Times New Roman" w:cs="Times New Roman"/>
          <w:color w:val="000000" w:themeColor="text1"/>
          <w:sz w:val="24"/>
          <w:szCs w:val="24"/>
          <w:lang w:val="sr-Cyrl-CS"/>
        </w:rPr>
        <w:t>не 15</w:t>
      </w:r>
      <w:r>
        <w:rPr>
          <w:rFonts w:ascii="Times New Roman" w:hAnsi="Times New Roman" w:cs="Times New Roman"/>
          <w:color w:val="000000" w:themeColor="text1"/>
          <w:sz w:val="24"/>
          <w:szCs w:val="24"/>
          <w:lang w:val="sr-Cyrl-CS"/>
        </w:rPr>
        <w:t>%</w:t>
      </w:r>
    </w:p>
    <w:p w14:paraId="0DC9CD31" w14:textId="147E0A4A" w:rsidR="00E3384D" w:rsidRPr="006A70B4" w:rsidRDefault="00D66BD3" w:rsidP="00960A8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25F51">
        <w:rPr>
          <w:rFonts w:ascii="Times New Roman" w:hAnsi="Times New Roman" w:cs="Times New Roman"/>
          <w:color w:val="000000" w:themeColor="text1"/>
          <w:sz w:val="24"/>
          <w:szCs w:val="24"/>
          <w:lang w:val="sr-Cyrl-CS"/>
        </w:rPr>
        <w:lastRenderedPageBreak/>
        <w:t xml:space="preserve">набавке по основу </w:t>
      </w:r>
      <w:r w:rsidR="00C25F51" w:rsidRPr="00C25F51">
        <w:rPr>
          <w:rFonts w:ascii="Times New Roman" w:hAnsi="Times New Roman" w:cs="Times New Roman"/>
          <w:color w:val="000000" w:themeColor="text1"/>
          <w:sz w:val="24"/>
          <w:szCs w:val="24"/>
          <w:lang w:val="sr-Cyrl-RS"/>
        </w:rPr>
        <w:t>ч</w:t>
      </w:r>
      <w:r w:rsidRPr="00C25F51">
        <w:rPr>
          <w:rFonts w:ascii="Times New Roman" w:hAnsi="Times New Roman" w:cs="Times New Roman"/>
          <w:color w:val="000000" w:themeColor="text1"/>
          <w:sz w:val="24"/>
          <w:szCs w:val="24"/>
        </w:rPr>
        <w:t>л</w:t>
      </w:r>
      <w:r w:rsidR="00C25F51" w:rsidRPr="00C25F51">
        <w:rPr>
          <w:rFonts w:ascii="Times New Roman" w:hAnsi="Times New Roman" w:cs="Times New Roman"/>
          <w:color w:val="000000" w:themeColor="text1"/>
          <w:sz w:val="24"/>
          <w:szCs w:val="24"/>
          <w:lang w:val="sr-Cyrl-RS"/>
        </w:rPr>
        <w:t>ана</w:t>
      </w:r>
      <w:r w:rsidR="00C25F51" w:rsidRPr="00C25F51">
        <w:rPr>
          <w:rFonts w:ascii="Times New Roman" w:hAnsi="Times New Roman" w:cs="Times New Roman"/>
          <w:color w:val="000000" w:themeColor="text1"/>
          <w:sz w:val="24"/>
          <w:szCs w:val="24"/>
        </w:rPr>
        <w:t xml:space="preserve"> 7. став 1. тачка</w:t>
      </w:r>
      <w:r w:rsidRPr="00C25F51">
        <w:rPr>
          <w:rFonts w:ascii="Times New Roman" w:hAnsi="Times New Roman" w:cs="Times New Roman"/>
          <w:color w:val="000000" w:themeColor="text1"/>
          <w:sz w:val="24"/>
          <w:szCs w:val="24"/>
        </w:rPr>
        <w:t xml:space="preserve"> 2) и 2а) Закона</w:t>
      </w:r>
      <w:r w:rsidR="00C25F51" w:rsidRPr="00C25F51">
        <w:rPr>
          <w:rFonts w:ascii="Times New Roman" w:hAnsi="Times New Roman" w:cs="Times New Roman"/>
          <w:color w:val="000000" w:themeColor="text1"/>
          <w:sz w:val="24"/>
          <w:szCs w:val="24"/>
          <w:lang w:val="sr-Cyrl-RS"/>
        </w:rPr>
        <w:t xml:space="preserve">, односно </w:t>
      </w:r>
      <w:r w:rsidR="00C25F51" w:rsidRPr="00C25F51">
        <w:rPr>
          <w:rFonts w:ascii="Times New Roman" w:hAnsi="Times New Roman" w:cs="Times New Roman"/>
          <w:color w:val="000000" w:themeColor="text1"/>
          <w:sz w:val="24"/>
          <w:szCs w:val="24"/>
        </w:rPr>
        <w:t>н</w:t>
      </w:r>
      <w:r w:rsidRPr="00C25F51">
        <w:rPr>
          <w:rFonts w:ascii="Times New Roman" w:hAnsi="Times New Roman" w:cs="Times New Roman"/>
          <w:color w:val="000000" w:themeColor="text1"/>
          <w:sz w:val="24"/>
          <w:szCs w:val="24"/>
        </w:rPr>
        <w:t>абавке из средстава страних кредита добијених од међународних организација и међународних финансијских институција, односно по основу међународних споразума</w:t>
      </w:r>
      <w:r w:rsidR="00C25F51">
        <w:rPr>
          <w:rFonts w:ascii="Times New Roman" w:hAnsi="Times New Roman" w:cs="Times New Roman"/>
          <w:color w:val="000000" w:themeColor="text1"/>
          <w:sz w:val="24"/>
          <w:szCs w:val="24"/>
          <w:lang w:val="sr-Cyrl-RS"/>
        </w:rPr>
        <w:t>, које чине 14%</w:t>
      </w:r>
      <w:r w:rsidR="002F19E2" w:rsidRPr="006A70B4">
        <w:rPr>
          <w:rFonts w:ascii="Times New Roman" w:hAnsi="Times New Roman" w:cs="Times New Roman"/>
          <w:b/>
          <w:color w:val="000000" w:themeColor="text1"/>
          <w:sz w:val="24"/>
          <w:szCs w:val="24"/>
          <w:lang w:val="sr-Cyrl-CS"/>
        </w:rPr>
        <w:t xml:space="preserve"> </w:t>
      </w:r>
    </w:p>
    <w:p w14:paraId="2114C606" w14:textId="486FDF2F" w:rsidR="00195BEA" w:rsidRPr="009234CB" w:rsidRDefault="009234CB" w:rsidP="005E5329">
      <w:pPr>
        <w:jc w:val="both"/>
        <w:rPr>
          <w:rFonts w:ascii="Times New Roman" w:hAnsi="Times New Roman" w:cs="Times New Roman"/>
          <w:sz w:val="24"/>
          <w:szCs w:val="24"/>
        </w:rPr>
      </w:pPr>
      <w:r>
        <w:rPr>
          <w:rFonts w:ascii="Times New Roman" w:hAnsi="Times New Roman" w:cs="Times New Roman"/>
          <w:sz w:val="24"/>
          <w:szCs w:val="24"/>
        </w:rPr>
        <w:t xml:space="preserve">    </w:t>
      </w:r>
    </w:p>
    <w:p w14:paraId="5A556D87" w14:textId="537AE46F" w:rsidR="00091369" w:rsidRPr="00BE7D6A" w:rsidRDefault="00F75E25" w:rsidP="005E5329">
      <w:pPr>
        <w:jc w:val="both"/>
        <w:rPr>
          <w:rFonts w:ascii="Times New Roman" w:hAnsi="Times New Roman" w:cs="Times New Roman"/>
          <w:color w:val="000000" w:themeColor="text1"/>
          <w:sz w:val="24"/>
          <w:szCs w:val="24"/>
          <w:lang w:val="en-US"/>
        </w:rPr>
      </w:pPr>
      <w:r w:rsidRPr="00BE7D6A">
        <w:rPr>
          <w:rFonts w:ascii="Times New Roman" w:hAnsi="Times New Roman" w:cs="Times New Roman"/>
          <w:color w:val="000000" w:themeColor="text1"/>
          <w:sz w:val="24"/>
          <w:szCs w:val="24"/>
        </w:rPr>
        <w:t>Набавке на које се није примењивао Закон биле су најзаступљеније код јавних предузећа</w:t>
      </w:r>
      <w:r w:rsidR="005426BE">
        <w:rPr>
          <w:rFonts w:ascii="Times New Roman" w:hAnsi="Times New Roman" w:cs="Times New Roman"/>
          <w:color w:val="000000" w:themeColor="text1"/>
          <w:sz w:val="24"/>
          <w:szCs w:val="24"/>
        </w:rPr>
        <w:t xml:space="preserve"> (42</w:t>
      </w:r>
      <w:r w:rsidR="00CA1FBD" w:rsidRPr="00BE7D6A">
        <w:rPr>
          <w:rFonts w:ascii="Times New Roman" w:hAnsi="Times New Roman" w:cs="Times New Roman"/>
          <w:color w:val="000000" w:themeColor="text1"/>
          <w:sz w:val="24"/>
          <w:szCs w:val="24"/>
        </w:rPr>
        <w:t>%)</w:t>
      </w:r>
      <w:r w:rsidRPr="00BE7D6A">
        <w:rPr>
          <w:rFonts w:ascii="Times New Roman" w:hAnsi="Times New Roman" w:cs="Times New Roman"/>
          <w:color w:val="000000" w:themeColor="text1"/>
          <w:sz w:val="24"/>
          <w:szCs w:val="24"/>
        </w:rPr>
        <w:t xml:space="preserve">, </w:t>
      </w:r>
      <w:r w:rsidR="00B14673" w:rsidRPr="00BE7D6A">
        <w:rPr>
          <w:rFonts w:ascii="Times New Roman" w:hAnsi="Times New Roman" w:cs="Times New Roman"/>
          <w:color w:val="000000" w:themeColor="text1"/>
          <w:sz w:val="24"/>
          <w:szCs w:val="24"/>
        </w:rPr>
        <w:t>јавних к</w:t>
      </w:r>
      <w:r w:rsidR="006A70B4">
        <w:rPr>
          <w:rFonts w:ascii="Times New Roman" w:hAnsi="Times New Roman" w:cs="Times New Roman"/>
          <w:color w:val="000000" w:themeColor="text1"/>
          <w:sz w:val="24"/>
          <w:szCs w:val="24"/>
        </w:rPr>
        <w:t>омуналних предузећа (19%) ,</w:t>
      </w:r>
      <w:r w:rsidRPr="00BE7D6A">
        <w:rPr>
          <w:rFonts w:ascii="Times New Roman" w:hAnsi="Times New Roman" w:cs="Times New Roman"/>
          <w:color w:val="000000" w:themeColor="text1"/>
          <w:sz w:val="24"/>
          <w:szCs w:val="24"/>
        </w:rPr>
        <w:t xml:space="preserve">локалних самоуправа </w:t>
      </w:r>
      <w:r w:rsidR="005426BE">
        <w:rPr>
          <w:rFonts w:ascii="Times New Roman" w:hAnsi="Times New Roman" w:cs="Times New Roman"/>
          <w:color w:val="000000" w:themeColor="text1"/>
          <w:sz w:val="24"/>
          <w:szCs w:val="24"/>
        </w:rPr>
        <w:t>(17</w:t>
      </w:r>
      <w:r w:rsidR="00CA1FBD" w:rsidRPr="00BE7D6A">
        <w:rPr>
          <w:rFonts w:ascii="Times New Roman" w:hAnsi="Times New Roman" w:cs="Times New Roman"/>
          <w:color w:val="000000" w:themeColor="text1"/>
          <w:sz w:val="24"/>
          <w:szCs w:val="24"/>
        </w:rPr>
        <w:t>%)</w:t>
      </w:r>
      <w:r w:rsidR="006A70B4">
        <w:rPr>
          <w:rFonts w:ascii="Times New Roman" w:hAnsi="Times New Roman" w:cs="Times New Roman"/>
          <w:color w:val="000000" w:themeColor="text1"/>
          <w:sz w:val="24"/>
          <w:szCs w:val="24"/>
        </w:rPr>
        <w:t xml:space="preserve"> </w:t>
      </w:r>
      <w:r w:rsidR="006A70B4">
        <w:rPr>
          <w:rFonts w:ascii="Times New Roman" w:hAnsi="Times New Roman" w:cs="Times New Roman"/>
          <w:color w:val="000000" w:themeColor="text1"/>
          <w:sz w:val="24"/>
          <w:szCs w:val="24"/>
          <w:lang w:val="sr-Cyrl-RS"/>
        </w:rPr>
        <w:t>и органа државне управе</w:t>
      </w:r>
      <w:r w:rsidR="00043054">
        <w:rPr>
          <w:rFonts w:ascii="Times New Roman" w:hAnsi="Times New Roman" w:cs="Times New Roman"/>
          <w:color w:val="000000" w:themeColor="text1"/>
          <w:sz w:val="24"/>
          <w:szCs w:val="24"/>
          <w:lang w:val="sr-Cyrl-RS"/>
        </w:rPr>
        <w:t xml:space="preserve"> (11%)</w:t>
      </w:r>
      <w:r w:rsidR="00CA1FBD" w:rsidRPr="00BE7D6A">
        <w:rPr>
          <w:rFonts w:ascii="Times New Roman" w:hAnsi="Times New Roman" w:cs="Times New Roman"/>
          <w:color w:val="000000" w:themeColor="text1"/>
          <w:sz w:val="24"/>
          <w:szCs w:val="24"/>
        </w:rPr>
        <w:t xml:space="preserve"> </w:t>
      </w:r>
      <w:r w:rsidRPr="00BE7D6A">
        <w:rPr>
          <w:rFonts w:ascii="Times New Roman" w:hAnsi="Times New Roman" w:cs="Times New Roman"/>
          <w:color w:val="000000" w:themeColor="text1"/>
          <w:sz w:val="24"/>
          <w:szCs w:val="24"/>
        </w:rPr>
        <w:t>кој</w:t>
      </w:r>
      <w:r w:rsidR="00CC0F5C" w:rsidRPr="00BE7D6A">
        <w:rPr>
          <w:rFonts w:ascii="Times New Roman" w:hAnsi="Times New Roman" w:cs="Times New Roman"/>
          <w:color w:val="000000" w:themeColor="text1"/>
          <w:sz w:val="24"/>
          <w:szCs w:val="24"/>
        </w:rPr>
        <w:t>и</w:t>
      </w:r>
      <w:r w:rsidRPr="00BE7D6A">
        <w:rPr>
          <w:rFonts w:ascii="Times New Roman" w:hAnsi="Times New Roman" w:cs="Times New Roman"/>
          <w:color w:val="000000" w:themeColor="text1"/>
          <w:sz w:val="24"/>
          <w:szCs w:val="24"/>
        </w:rPr>
        <w:t xml:space="preserve"> су збирно учествовал</w:t>
      </w:r>
      <w:r w:rsidR="00CC0F5C" w:rsidRPr="00BE7D6A">
        <w:rPr>
          <w:rFonts w:ascii="Times New Roman" w:hAnsi="Times New Roman" w:cs="Times New Roman"/>
          <w:color w:val="000000" w:themeColor="text1"/>
          <w:sz w:val="24"/>
          <w:szCs w:val="24"/>
        </w:rPr>
        <w:t>и</w:t>
      </w:r>
      <w:r w:rsidRPr="00BE7D6A">
        <w:rPr>
          <w:rFonts w:ascii="Times New Roman" w:hAnsi="Times New Roman" w:cs="Times New Roman"/>
          <w:color w:val="000000" w:themeColor="text1"/>
          <w:sz w:val="24"/>
          <w:szCs w:val="24"/>
        </w:rPr>
        <w:t xml:space="preserve"> са </w:t>
      </w:r>
      <w:r w:rsidR="006A70B4">
        <w:rPr>
          <w:rFonts w:ascii="Times New Roman" w:hAnsi="Times New Roman" w:cs="Times New Roman"/>
          <w:color w:val="000000" w:themeColor="text1"/>
          <w:sz w:val="24"/>
          <w:szCs w:val="24"/>
        </w:rPr>
        <w:t>89</w:t>
      </w:r>
      <w:r w:rsidRPr="00BE7D6A">
        <w:rPr>
          <w:rFonts w:ascii="Times New Roman" w:hAnsi="Times New Roman" w:cs="Times New Roman"/>
          <w:color w:val="000000" w:themeColor="text1"/>
          <w:sz w:val="24"/>
          <w:szCs w:val="24"/>
        </w:rPr>
        <w:t>%</w:t>
      </w:r>
      <w:r w:rsidR="002369A3" w:rsidRPr="00BE7D6A">
        <w:rPr>
          <w:rFonts w:ascii="Times New Roman" w:hAnsi="Times New Roman" w:cs="Times New Roman"/>
          <w:color w:val="000000" w:themeColor="text1"/>
          <w:sz w:val="24"/>
          <w:szCs w:val="24"/>
        </w:rPr>
        <w:t xml:space="preserve"> </w:t>
      </w:r>
      <w:r w:rsidRPr="00BE7D6A">
        <w:rPr>
          <w:rFonts w:ascii="Times New Roman" w:hAnsi="Times New Roman" w:cs="Times New Roman"/>
          <w:color w:val="000000" w:themeColor="text1"/>
          <w:sz w:val="24"/>
          <w:szCs w:val="24"/>
        </w:rPr>
        <w:t xml:space="preserve">у укупној вредности набавки изузетих од примене Закона (Табела </w:t>
      </w:r>
      <w:r w:rsidR="004540D1">
        <w:rPr>
          <w:rFonts w:ascii="Times New Roman" w:hAnsi="Times New Roman" w:cs="Times New Roman"/>
          <w:color w:val="000000" w:themeColor="text1"/>
          <w:sz w:val="24"/>
          <w:szCs w:val="24"/>
        </w:rPr>
        <w:t>16</w:t>
      </w:r>
      <w:r w:rsidRPr="00BE7D6A">
        <w:rPr>
          <w:rFonts w:ascii="Times New Roman" w:hAnsi="Times New Roman" w:cs="Times New Roman"/>
          <w:color w:val="000000" w:themeColor="text1"/>
          <w:sz w:val="24"/>
          <w:szCs w:val="24"/>
        </w:rPr>
        <w:t>).</w:t>
      </w:r>
    </w:p>
    <w:p w14:paraId="33F139DB" w14:textId="77777777" w:rsidR="00312EA1" w:rsidRDefault="00312EA1" w:rsidP="005E5329">
      <w:pPr>
        <w:jc w:val="both"/>
        <w:rPr>
          <w:rFonts w:ascii="Times New Roman" w:hAnsi="Times New Roman" w:cs="Times New Roman"/>
          <w:b/>
          <w:color w:val="000000" w:themeColor="text1"/>
          <w:sz w:val="24"/>
          <w:szCs w:val="24"/>
        </w:rPr>
      </w:pPr>
    </w:p>
    <w:p w14:paraId="5308DAE4" w14:textId="3D5BA51A" w:rsidR="00280F6B" w:rsidRPr="006A70B4" w:rsidRDefault="00312EA1" w:rsidP="005E5329">
      <w:pPr>
        <w:jc w:val="both"/>
        <w:rPr>
          <w:rFonts w:ascii="Times New Roman" w:hAnsi="Times New Roman" w:cs="Times New Roman"/>
          <w:b/>
          <w:color w:val="000000" w:themeColor="text1"/>
          <w:sz w:val="24"/>
          <w:szCs w:val="24"/>
          <w:lang w:val="sr-Latn-RS"/>
        </w:rPr>
      </w:pPr>
      <w:r>
        <w:rPr>
          <w:rFonts w:ascii="Times New Roman" w:hAnsi="Times New Roman" w:cs="Times New Roman"/>
          <w:b/>
          <w:color w:val="000000" w:themeColor="text1"/>
          <w:sz w:val="24"/>
          <w:szCs w:val="24"/>
          <w:lang w:val="sr-Cyrl-CS"/>
        </w:rPr>
        <w:t xml:space="preserve">            </w:t>
      </w:r>
      <w:r w:rsidR="00C013A0" w:rsidRPr="005005C3">
        <w:rPr>
          <w:rFonts w:ascii="Times New Roman" w:hAnsi="Times New Roman" w:cs="Times New Roman"/>
          <w:b/>
          <w:color w:val="000000" w:themeColor="text1"/>
          <w:sz w:val="24"/>
          <w:szCs w:val="24"/>
        </w:rPr>
        <w:t xml:space="preserve">Табела </w:t>
      </w:r>
      <w:r w:rsidR="004540D1">
        <w:rPr>
          <w:rFonts w:ascii="Times New Roman" w:hAnsi="Times New Roman" w:cs="Times New Roman"/>
          <w:b/>
          <w:color w:val="000000" w:themeColor="text1"/>
          <w:sz w:val="24"/>
          <w:szCs w:val="24"/>
        </w:rPr>
        <w:t>16</w:t>
      </w:r>
    </w:p>
    <w:tbl>
      <w:tblPr>
        <w:tblStyle w:val="TableGrid"/>
        <w:tblW w:w="9288" w:type="dxa"/>
        <w:jc w:val="center"/>
        <w:tblLayout w:type="fixed"/>
        <w:tblLook w:val="04A0" w:firstRow="1" w:lastRow="0" w:firstColumn="1" w:lastColumn="0" w:noHBand="0" w:noVBand="1"/>
      </w:tblPr>
      <w:tblGrid>
        <w:gridCol w:w="2607"/>
        <w:gridCol w:w="1187"/>
        <w:gridCol w:w="1829"/>
        <w:gridCol w:w="1843"/>
        <w:gridCol w:w="1822"/>
      </w:tblGrid>
      <w:tr w:rsidR="006A70B4" w:rsidRPr="00BE7D6A" w14:paraId="6AE33172" w14:textId="77777777" w:rsidTr="006A70B4">
        <w:trPr>
          <w:trHeight w:val="858"/>
          <w:jc w:val="center"/>
        </w:trPr>
        <w:tc>
          <w:tcPr>
            <w:tcW w:w="9288" w:type="dxa"/>
            <w:gridSpan w:val="5"/>
          </w:tcPr>
          <w:p w14:paraId="00BC635D" w14:textId="77777777" w:rsidR="006A70B4" w:rsidRPr="00BE7D6A" w:rsidRDefault="006A70B4" w:rsidP="003D15C1">
            <w:pPr>
              <w:tabs>
                <w:tab w:val="left" w:pos="1885"/>
              </w:tabs>
              <w:jc w:val="center"/>
              <w:rPr>
                <w:rFonts w:ascii="Times New Roman" w:eastAsia="Times New Roman" w:hAnsi="Times New Roman" w:cs="Times New Roman"/>
                <w:b/>
                <w:color w:val="000000" w:themeColor="text1"/>
                <w:sz w:val="24"/>
                <w:szCs w:val="24"/>
              </w:rPr>
            </w:pPr>
            <w:r w:rsidRPr="00BE7D6A">
              <w:rPr>
                <w:rFonts w:ascii="Times New Roman" w:eastAsia="Times New Roman" w:hAnsi="Times New Roman" w:cs="Times New Roman"/>
                <w:b/>
                <w:color w:val="000000" w:themeColor="text1"/>
                <w:sz w:val="24"/>
                <w:szCs w:val="24"/>
              </w:rPr>
              <w:t>Преглед набавки изузетих од примене Закона</w:t>
            </w:r>
          </w:p>
          <w:p w14:paraId="563C85BB" w14:textId="77777777" w:rsidR="006A70B4" w:rsidRPr="00BE7D6A" w:rsidRDefault="006A70B4" w:rsidP="003D15C1">
            <w:pPr>
              <w:tabs>
                <w:tab w:val="left" w:pos="1885"/>
              </w:tabs>
              <w:jc w:val="center"/>
              <w:rPr>
                <w:rFonts w:ascii="Times New Roman" w:eastAsia="Times New Roman" w:hAnsi="Times New Roman" w:cs="Times New Roman"/>
                <w:b/>
                <w:color w:val="000000" w:themeColor="text1"/>
                <w:sz w:val="24"/>
                <w:szCs w:val="24"/>
              </w:rPr>
            </w:pPr>
            <w:r w:rsidRPr="00BE7D6A">
              <w:rPr>
                <w:rFonts w:ascii="Times New Roman" w:eastAsia="Times New Roman" w:hAnsi="Times New Roman" w:cs="Times New Roman"/>
                <w:b/>
                <w:color w:val="000000" w:themeColor="text1"/>
                <w:sz w:val="24"/>
                <w:szCs w:val="24"/>
              </w:rPr>
              <w:t xml:space="preserve">по категоријама наручилаца </w:t>
            </w:r>
            <w:r>
              <w:rPr>
                <w:rFonts w:ascii="Times New Roman" w:eastAsia="Times New Roman" w:hAnsi="Times New Roman" w:cs="Times New Roman"/>
                <w:b/>
                <w:color w:val="000000" w:themeColor="text1"/>
                <w:sz w:val="24"/>
                <w:szCs w:val="24"/>
              </w:rPr>
              <w:t>у 2019</w:t>
            </w:r>
            <w:r w:rsidRPr="00BE7D6A">
              <w:rPr>
                <w:rFonts w:ascii="Times New Roman" w:eastAsia="Times New Roman" w:hAnsi="Times New Roman" w:cs="Times New Roman"/>
                <w:b/>
                <w:color w:val="000000" w:themeColor="text1"/>
                <w:sz w:val="24"/>
                <w:szCs w:val="24"/>
              </w:rPr>
              <w:t>. години</w:t>
            </w:r>
          </w:p>
        </w:tc>
      </w:tr>
      <w:tr w:rsidR="006A70B4" w:rsidRPr="005E5329" w14:paraId="5FE7F404" w14:textId="77777777" w:rsidTr="006A70B4">
        <w:trPr>
          <w:trHeight w:val="980"/>
          <w:jc w:val="center"/>
        </w:trPr>
        <w:tc>
          <w:tcPr>
            <w:tcW w:w="2607" w:type="dxa"/>
            <w:vAlign w:val="center"/>
          </w:tcPr>
          <w:p w14:paraId="28ECD7E7"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Категорија</w:t>
            </w:r>
          </w:p>
        </w:tc>
        <w:tc>
          <w:tcPr>
            <w:tcW w:w="1187" w:type="dxa"/>
            <w:vAlign w:val="center"/>
          </w:tcPr>
          <w:p w14:paraId="21238B91"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Број уговора</w:t>
            </w:r>
          </w:p>
        </w:tc>
        <w:tc>
          <w:tcPr>
            <w:tcW w:w="1829" w:type="dxa"/>
            <w:vAlign w:val="center"/>
          </w:tcPr>
          <w:p w14:paraId="6BADFA90"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hAnsi="Times New Roman" w:cs="Times New Roman"/>
                <w:b/>
                <w:sz w:val="24"/>
                <w:szCs w:val="24"/>
              </w:rPr>
              <w:t xml:space="preserve">Бројчана заступљеност </w:t>
            </w:r>
            <w:r w:rsidRPr="005E5329">
              <w:rPr>
                <w:rFonts w:ascii="Times New Roman" w:eastAsia="Times New Roman" w:hAnsi="Times New Roman" w:cs="Times New Roman"/>
                <w:b/>
                <w:sz w:val="24"/>
                <w:szCs w:val="24"/>
              </w:rPr>
              <w:t>(у %)</w:t>
            </w:r>
          </w:p>
        </w:tc>
        <w:tc>
          <w:tcPr>
            <w:tcW w:w="1843" w:type="dxa"/>
            <w:vAlign w:val="center"/>
          </w:tcPr>
          <w:p w14:paraId="0C724BB2" w14:textId="77777777" w:rsidR="006A70B4" w:rsidRDefault="006A70B4" w:rsidP="003D15C1">
            <w:pPr>
              <w:tabs>
                <w:tab w:val="left" w:pos="1885"/>
              </w:tabs>
              <w:jc w:val="center"/>
              <w:rPr>
                <w:rFonts w:ascii="Times New Roman" w:eastAsia="Times New Roman" w:hAnsi="Times New Roman" w:cs="Times New Roman"/>
                <w:b/>
                <w:sz w:val="24"/>
                <w:szCs w:val="24"/>
              </w:rPr>
            </w:pPr>
          </w:p>
          <w:p w14:paraId="17CE9600"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Уговорена вредност</w:t>
            </w:r>
          </w:p>
          <w:p w14:paraId="6B5D4987"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без ПДВ-а</w:t>
            </w:r>
            <w:r w:rsidRPr="005E5329">
              <w:rPr>
                <w:rFonts w:ascii="Times New Roman" w:hAnsi="Times New Roman" w:cs="Times New Roman"/>
                <w:b/>
                <w:sz w:val="24"/>
                <w:szCs w:val="24"/>
              </w:rPr>
              <w:t>*</w:t>
            </w:r>
          </w:p>
          <w:p w14:paraId="74DA9D7A" w14:textId="77777777" w:rsidR="006A70B4" w:rsidRPr="005E5329" w:rsidRDefault="006A70B4" w:rsidP="003D15C1">
            <w:pPr>
              <w:jc w:val="center"/>
              <w:rPr>
                <w:rFonts w:ascii="Times New Roman" w:hAnsi="Times New Roman" w:cs="Times New Roman"/>
                <w:b/>
                <w:sz w:val="24"/>
                <w:szCs w:val="24"/>
              </w:rPr>
            </w:pPr>
          </w:p>
        </w:tc>
        <w:tc>
          <w:tcPr>
            <w:tcW w:w="1822" w:type="dxa"/>
            <w:vAlign w:val="center"/>
          </w:tcPr>
          <w:p w14:paraId="01D83EA5" w14:textId="77777777" w:rsidR="006A70B4" w:rsidRPr="005E5329" w:rsidRDefault="006A70B4" w:rsidP="003D15C1">
            <w:pPr>
              <w:jc w:val="center"/>
              <w:rPr>
                <w:rFonts w:ascii="Times New Roman" w:hAnsi="Times New Roman" w:cs="Times New Roman"/>
                <w:b/>
                <w:sz w:val="24"/>
                <w:szCs w:val="24"/>
              </w:rPr>
            </w:pPr>
            <w:r w:rsidRPr="005E5329">
              <w:rPr>
                <w:rFonts w:ascii="Times New Roman" w:hAnsi="Times New Roman" w:cs="Times New Roman"/>
                <w:b/>
                <w:sz w:val="24"/>
                <w:szCs w:val="24"/>
              </w:rPr>
              <w:t xml:space="preserve">Вредносна заступљеност </w:t>
            </w:r>
            <w:r w:rsidRPr="005E5329">
              <w:rPr>
                <w:rFonts w:ascii="Times New Roman" w:eastAsia="Times New Roman" w:hAnsi="Times New Roman" w:cs="Times New Roman"/>
                <w:b/>
                <w:sz w:val="24"/>
                <w:szCs w:val="24"/>
              </w:rPr>
              <w:t>(у %)</w:t>
            </w:r>
          </w:p>
        </w:tc>
      </w:tr>
      <w:tr w:rsidR="006A70B4" w:rsidRPr="005E5329" w14:paraId="05600537" w14:textId="77777777" w:rsidTr="006A70B4">
        <w:trPr>
          <w:jc w:val="center"/>
        </w:trPr>
        <w:tc>
          <w:tcPr>
            <w:tcW w:w="2607" w:type="dxa"/>
          </w:tcPr>
          <w:p w14:paraId="60892082"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Органи државне управе</w:t>
            </w:r>
          </w:p>
        </w:tc>
        <w:tc>
          <w:tcPr>
            <w:tcW w:w="1187" w:type="dxa"/>
          </w:tcPr>
          <w:p w14:paraId="07B11105" w14:textId="77777777" w:rsidR="006A70B4" w:rsidRPr="00A65679" w:rsidRDefault="006A70B4" w:rsidP="003D15C1">
            <w:pPr>
              <w:jc w:val="center"/>
              <w:rPr>
                <w:rFonts w:ascii="Times New Roman" w:eastAsia="Times New Roman" w:hAnsi="Times New Roman" w:cs="Times New Roman"/>
                <w:color w:val="000000"/>
                <w:sz w:val="24"/>
                <w:szCs w:val="24"/>
                <w:lang w:val="sr-Cyrl-RS" w:eastAsia="sr-Cyrl-RS"/>
              </w:rPr>
            </w:pPr>
            <w:r w:rsidRPr="00A65679">
              <w:rPr>
                <w:rFonts w:ascii="Times New Roman" w:hAnsi="Times New Roman" w:cs="Times New Roman"/>
                <w:color w:val="000000"/>
                <w:sz w:val="24"/>
                <w:szCs w:val="24"/>
              </w:rPr>
              <w:t>16.259</w:t>
            </w:r>
          </w:p>
        </w:tc>
        <w:tc>
          <w:tcPr>
            <w:tcW w:w="1829" w:type="dxa"/>
          </w:tcPr>
          <w:p w14:paraId="2EE68E9C"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4</w:t>
            </w:r>
          </w:p>
        </w:tc>
        <w:tc>
          <w:tcPr>
            <w:tcW w:w="1843" w:type="dxa"/>
          </w:tcPr>
          <w:p w14:paraId="5DF9CD70"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15.875.833</w:t>
            </w:r>
          </w:p>
        </w:tc>
        <w:tc>
          <w:tcPr>
            <w:tcW w:w="1822" w:type="dxa"/>
          </w:tcPr>
          <w:p w14:paraId="534B2890"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11</w:t>
            </w:r>
          </w:p>
        </w:tc>
      </w:tr>
      <w:tr w:rsidR="006A70B4" w:rsidRPr="005E5329" w14:paraId="43BFA11A" w14:textId="77777777" w:rsidTr="006A70B4">
        <w:trPr>
          <w:jc w:val="center"/>
        </w:trPr>
        <w:tc>
          <w:tcPr>
            <w:tcW w:w="2607" w:type="dxa"/>
          </w:tcPr>
          <w:p w14:paraId="4FB4CDD8"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Правосуђе</w:t>
            </w:r>
          </w:p>
        </w:tc>
        <w:tc>
          <w:tcPr>
            <w:tcW w:w="1187" w:type="dxa"/>
          </w:tcPr>
          <w:p w14:paraId="6649C084"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6.605</w:t>
            </w:r>
          </w:p>
        </w:tc>
        <w:tc>
          <w:tcPr>
            <w:tcW w:w="1829" w:type="dxa"/>
          </w:tcPr>
          <w:p w14:paraId="366B7B1E"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2</w:t>
            </w:r>
          </w:p>
        </w:tc>
        <w:tc>
          <w:tcPr>
            <w:tcW w:w="1843" w:type="dxa"/>
          </w:tcPr>
          <w:p w14:paraId="545F0EB4"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977.641</w:t>
            </w:r>
          </w:p>
        </w:tc>
        <w:tc>
          <w:tcPr>
            <w:tcW w:w="1822" w:type="dxa"/>
          </w:tcPr>
          <w:p w14:paraId="5DC4034E" w14:textId="77777777" w:rsidR="006A70B4" w:rsidRPr="00134836" w:rsidRDefault="006A70B4" w:rsidP="003D15C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r>
      <w:tr w:rsidR="006A70B4" w:rsidRPr="005E5329" w14:paraId="19CA9590" w14:textId="77777777" w:rsidTr="006A70B4">
        <w:trPr>
          <w:jc w:val="center"/>
        </w:trPr>
        <w:tc>
          <w:tcPr>
            <w:tcW w:w="2607" w:type="dxa"/>
          </w:tcPr>
          <w:p w14:paraId="29942D27"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Здравство и социјална заштита</w:t>
            </w:r>
          </w:p>
        </w:tc>
        <w:tc>
          <w:tcPr>
            <w:tcW w:w="1187" w:type="dxa"/>
          </w:tcPr>
          <w:p w14:paraId="3494E851"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36.142</w:t>
            </w:r>
          </w:p>
        </w:tc>
        <w:tc>
          <w:tcPr>
            <w:tcW w:w="1829" w:type="dxa"/>
          </w:tcPr>
          <w:p w14:paraId="4FA13947"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9</w:t>
            </w:r>
          </w:p>
        </w:tc>
        <w:tc>
          <w:tcPr>
            <w:tcW w:w="1843" w:type="dxa"/>
          </w:tcPr>
          <w:p w14:paraId="771F2810"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4.654.497</w:t>
            </w:r>
          </w:p>
        </w:tc>
        <w:tc>
          <w:tcPr>
            <w:tcW w:w="1822" w:type="dxa"/>
          </w:tcPr>
          <w:p w14:paraId="0150F4C3"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3</w:t>
            </w:r>
          </w:p>
        </w:tc>
      </w:tr>
      <w:tr w:rsidR="006A70B4" w:rsidRPr="005E5329" w14:paraId="6D110E0B" w14:textId="77777777" w:rsidTr="006A70B4">
        <w:trPr>
          <w:jc w:val="center"/>
        </w:trPr>
        <w:tc>
          <w:tcPr>
            <w:tcW w:w="2607" w:type="dxa"/>
          </w:tcPr>
          <w:p w14:paraId="0BD87C0D"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Култура</w:t>
            </w:r>
          </w:p>
        </w:tc>
        <w:tc>
          <w:tcPr>
            <w:tcW w:w="1187" w:type="dxa"/>
          </w:tcPr>
          <w:p w14:paraId="0B1BA953"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35.454</w:t>
            </w:r>
          </w:p>
        </w:tc>
        <w:tc>
          <w:tcPr>
            <w:tcW w:w="1829" w:type="dxa"/>
          </w:tcPr>
          <w:p w14:paraId="3F3B7F86"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9</w:t>
            </w:r>
          </w:p>
        </w:tc>
        <w:tc>
          <w:tcPr>
            <w:tcW w:w="1843" w:type="dxa"/>
          </w:tcPr>
          <w:p w14:paraId="689819DF"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1.958.703</w:t>
            </w:r>
          </w:p>
        </w:tc>
        <w:tc>
          <w:tcPr>
            <w:tcW w:w="1822" w:type="dxa"/>
          </w:tcPr>
          <w:p w14:paraId="2E256E9B"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w:t>
            </w:r>
          </w:p>
        </w:tc>
      </w:tr>
      <w:tr w:rsidR="006A70B4" w:rsidRPr="005E5329" w14:paraId="45F29CBA" w14:textId="77777777" w:rsidTr="006A70B4">
        <w:trPr>
          <w:jc w:val="center"/>
        </w:trPr>
        <w:tc>
          <w:tcPr>
            <w:tcW w:w="2607" w:type="dxa"/>
          </w:tcPr>
          <w:p w14:paraId="42549EC0"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Просвета и наука</w:t>
            </w:r>
          </w:p>
        </w:tc>
        <w:tc>
          <w:tcPr>
            <w:tcW w:w="1187" w:type="dxa"/>
          </w:tcPr>
          <w:p w14:paraId="435B152D"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163.015</w:t>
            </w:r>
          </w:p>
        </w:tc>
        <w:tc>
          <w:tcPr>
            <w:tcW w:w="1829" w:type="dxa"/>
          </w:tcPr>
          <w:p w14:paraId="184828A1"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41</w:t>
            </w:r>
          </w:p>
        </w:tc>
        <w:tc>
          <w:tcPr>
            <w:tcW w:w="1843" w:type="dxa"/>
          </w:tcPr>
          <w:p w14:paraId="234B74B1"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9.502.576</w:t>
            </w:r>
          </w:p>
        </w:tc>
        <w:tc>
          <w:tcPr>
            <w:tcW w:w="1822" w:type="dxa"/>
          </w:tcPr>
          <w:p w14:paraId="20C879BA"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6</w:t>
            </w:r>
          </w:p>
        </w:tc>
      </w:tr>
      <w:tr w:rsidR="006A70B4" w:rsidRPr="005E5329" w14:paraId="3BFDE30F" w14:textId="77777777" w:rsidTr="006A70B4">
        <w:trPr>
          <w:jc w:val="center"/>
        </w:trPr>
        <w:tc>
          <w:tcPr>
            <w:tcW w:w="2607" w:type="dxa"/>
          </w:tcPr>
          <w:p w14:paraId="07736257" w14:textId="77777777" w:rsidR="006A70B4" w:rsidRDefault="006A70B4" w:rsidP="003D15C1">
            <w:pPr>
              <w:tabs>
                <w:tab w:val="left" w:pos="1885"/>
              </w:tabs>
              <w:jc w:val="center"/>
              <w:rPr>
                <w:rFonts w:ascii="Times New Roman" w:eastAsia="Times New Roman" w:hAnsi="Times New Roman" w:cs="Times New Roman"/>
                <w:b/>
                <w:sz w:val="24"/>
                <w:szCs w:val="24"/>
                <w:lang w:val="sr-Cyrl-RS"/>
              </w:rPr>
            </w:pPr>
            <w:r w:rsidRPr="005E5329">
              <w:rPr>
                <w:rFonts w:ascii="Times New Roman" w:eastAsia="Times New Roman" w:hAnsi="Times New Roman" w:cs="Times New Roman"/>
                <w:b/>
                <w:sz w:val="24"/>
                <w:szCs w:val="24"/>
              </w:rPr>
              <w:t>Државна јавна предузећа/привредна друштва</w:t>
            </w:r>
            <w:r>
              <w:rPr>
                <w:rFonts w:ascii="Times New Roman" w:eastAsia="Times New Roman" w:hAnsi="Times New Roman" w:cs="Times New Roman"/>
                <w:b/>
                <w:sz w:val="24"/>
                <w:szCs w:val="24"/>
                <w:lang w:val="sr-Cyrl-RS"/>
              </w:rPr>
              <w:t>-</w:t>
            </w:r>
          </w:p>
          <w:p w14:paraId="7090641E" w14:textId="77777777" w:rsidR="006A70B4" w:rsidRPr="00134836" w:rsidRDefault="006A70B4" w:rsidP="003D15C1">
            <w:pPr>
              <w:tabs>
                <w:tab w:val="left" w:pos="1885"/>
              </w:tabs>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републички ниво</w:t>
            </w:r>
          </w:p>
        </w:tc>
        <w:tc>
          <w:tcPr>
            <w:tcW w:w="1187" w:type="dxa"/>
          </w:tcPr>
          <w:p w14:paraId="6E5DBBCC" w14:textId="77777777" w:rsidR="006A70B4" w:rsidRPr="00A65679" w:rsidRDefault="006A70B4" w:rsidP="003D15C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5679">
              <w:rPr>
                <w:rFonts w:ascii="Times New Roman" w:hAnsi="Times New Roman" w:cs="Times New Roman"/>
                <w:color w:val="000000"/>
                <w:sz w:val="24"/>
                <w:szCs w:val="24"/>
              </w:rPr>
              <w:t>25.375</w:t>
            </w:r>
          </w:p>
        </w:tc>
        <w:tc>
          <w:tcPr>
            <w:tcW w:w="1829" w:type="dxa"/>
          </w:tcPr>
          <w:p w14:paraId="1CFA6657"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6</w:t>
            </w:r>
          </w:p>
        </w:tc>
        <w:tc>
          <w:tcPr>
            <w:tcW w:w="1843" w:type="dxa"/>
          </w:tcPr>
          <w:p w14:paraId="4D34DA5E"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63.178.854</w:t>
            </w:r>
          </w:p>
        </w:tc>
        <w:tc>
          <w:tcPr>
            <w:tcW w:w="1822" w:type="dxa"/>
          </w:tcPr>
          <w:p w14:paraId="7FAA1BEA"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42</w:t>
            </w:r>
          </w:p>
        </w:tc>
      </w:tr>
      <w:tr w:rsidR="006A70B4" w:rsidRPr="005E5329" w14:paraId="5F52965E" w14:textId="77777777" w:rsidTr="006A70B4">
        <w:trPr>
          <w:jc w:val="center"/>
        </w:trPr>
        <w:tc>
          <w:tcPr>
            <w:tcW w:w="2607" w:type="dxa"/>
          </w:tcPr>
          <w:p w14:paraId="15FC8474"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Јавна предузећа-локална самоуправа</w:t>
            </w:r>
          </w:p>
        </w:tc>
        <w:tc>
          <w:tcPr>
            <w:tcW w:w="1187" w:type="dxa"/>
          </w:tcPr>
          <w:p w14:paraId="13720CFE"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69.054</w:t>
            </w:r>
          </w:p>
        </w:tc>
        <w:tc>
          <w:tcPr>
            <w:tcW w:w="1829" w:type="dxa"/>
          </w:tcPr>
          <w:p w14:paraId="19691E41"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17</w:t>
            </w:r>
          </w:p>
        </w:tc>
        <w:tc>
          <w:tcPr>
            <w:tcW w:w="1843" w:type="dxa"/>
          </w:tcPr>
          <w:p w14:paraId="70BA5D01"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28.516.291</w:t>
            </w:r>
          </w:p>
        </w:tc>
        <w:tc>
          <w:tcPr>
            <w:tcW w:w="1822" w:type="dxa"/>
          </w:tcPr>
          <w:p w14:paraId="388EF4D0"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19</w:t>
            </w:r>
          </w:p>
        </w:tc>
      </w:tr>
      <w:tr w:rsidR="006A70B4" w:rsidRPr="005E5329" w14:paraId="1FC7AC05" w14:textId="77777777" w:rsidTr="006A70B4">
        <w:trPr>
          <w:jc w:val="center"/>
        </w:trPr>
        <w:tc>
          <w:tcPr>
            <w:tcW w:w="2607" w:type="dxa"/>
          </w:tcPr>
          <w:p w14:paraId="7E5F86EF"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Градска и општинска управа</w:t>
            </w:r>
          </w:p>
        </w:tc>
        <w:tc>
          <w:tcPr>
            <w:tcW w:w="1187" w:type="dxa"/>
          </w:tcPr>
          <w:p w14:paraId="31C88985"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37.813</w:t>
            </w:r>
          </w:p>
        </w:tc>
        <w:tc>
          <w:tcPr>
            <w:tcW w:w="1829" w:type="dxa"/>
          </w:tcPr>
          <w:p w14:paraId="75506F2E"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10</w:t>
            </w:r>
          </w:p>
        </w:tc>
        <w:tc>
          <w:tcPr>
            <w:tcW w:w="1843" w:type="dxa"/>
          </w:tcPr>
          <w:p w14:paraId="29C63CEF"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25.366.821</w:t>
            </w:r>
          </w:p>
        </w:tc>
        <w:tc>
          <w:tcPr>
            <w:tcW w:w="1822" w:type="dxa"/>
          </w:tcPr>
          <w:p w14:paraId="351C752A"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17</w:t>
            </w:r>
          </w:p>
        </w:tc>
      </w:tr>
      <w:tr w:rsidR="006A70B4" w:rsidRPr="005E5329" w14:paraId="2FAADCE4" w14:textId="77777777" w:rsidTr="006A70B4">
        <w:trPr>
          <w:jc w:val="center"/>
        </w:trPr>
        <w:tc>
          <w:tcPr>
            <w:tcW w:w="2607" w:type="dxa"/>
          </w:tcPr>
          <w:p w14:paraId="4A1EF489"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Удружења</w:t>
            </w:r>
          </w:p>
        </w:tc>
        <w:tc>
          <w:tcPr>
            <w:tcW w:w="1187" w:type="dxa"/>
          </w:tcPr>
          <w:p w14:paraId="209818DE"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6.077</w:t>
            </w:r>
          </w:p>
        </w:tc>
        <w:tc>
          <w:tcPr>
            <w:tcW w:w="1829" w:type="dxa"/>
          </w:tcPr>
          <w:p w14:paraId="05FEC21C"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2</w:t>
            </w:r>
          </w:p>
        </w:tc>
        <w:tc>
          <w:tcPr>
            <w:tcW w:w="1843" w:type="dxa"/>
          </w:tcPr>
          <w:p w14:paraId="19696E43"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343.654</w:t>
            </w:r>
          </w:p>
        </w:tc>
        <w:tc>
          <w:tcPr>
            <w:tcW w:w="1822" w:type="dxa"/>
          </w:tcPr>
          <w:p w14:paraId="7CB7BBC1"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0</w:t>
            </w:r>
          </w:p>
        </w:tc>
      </w:tr>
      <w:tr w:rsidR="006A70B4" w:rsidRPr="005E5329" w14:paraId="3B7D067A" w14:textId="77777777" w:rsidTr="006A70B4">
        <w:trPr>
          <w:jc w:val="center"/>
        </w:trPr>
        <w:tc>
          <w:tcPr>
            <w:tcW w:w="2607" w:type="dxa"/>
          </w:tcPr>
          <w:p w14:paraId="48E8E162" w14:textId="77777777" w:rsidR="006A70B4" w:rsidRPr="005E5329" w:rsidRDefault="006A70B4" w:rsidP="003D15C1">
            <w:pPr>
              <w:tabs>
                <w:tab w:val="left" w:pos="1885"/>
              </w:tabs>
              <w:jc w:val="center"/>
              <w:rPr>
                <w:rFonts w:ascii="Times New Roman" w:eastAsia="Times New Roman" w:hAnsi="Times New Roman" w:cs="Times New Roman"/>
                <w:b/>
                <w:sz w:val="24"/>
                <w:szCs w:val="24"/>
              </w:rPr>
            </w:pPr>
            <w:r w:rsidRPr="005E5329">
              <w:rPr>
                <w:rFonts w:ascii="Times New Roman" w:eastAsia="Times New Roman" w:hAnsi="Times New Roman" w:cs="Times New Roman"/>
                <w:b/>
                <w:sz w:val="24"/>
                <w:szCs w:val="24"/>
              </w:rPr>
              <w:t>Фондације и задужбине</w:t>
            </w:r>
          </w:p>
        </w:tc>
        <w:tc>
          <w:tcPr>
            <w:tcW w:w="1187" w:type="dxa"/>
          </w:tcPr>
          <w:p w14:paraId="291B3C2D"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179</w:t>
            </w:r>
          </w:p>
        </w:tc>
        <w:tc>
          <w:tcPr>
            <w:tcW w:w="1829" w:type="dxa"/>
          </w:tcPr>
          <w:p w14:paraId="14E06071"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0</w:t>
            </w:r>
          </w:p>
        </w:tc>
        <w:tc>
          <w:tcPr>
            <w:tcW w:w="1843" w:type="dxa"/>
          </w:tcPr>
          <w:p w14:paraId="7EE09D92"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51.901</w:t>
            </w:r>
          </w:p>
        </w:tc>
        <w:tc>
          <w:tcPr>
            <w:tcW w:w="1822" w:type="dxa"/>
          </w:tcPr>
          <w:p w14:paraId="0A09F808" w14:textId="77777777" w:rsidR="006A70B4" w:rsidRPr="00A65679" w:rsidRDefault="006A70B4" w:rsidP="003D15C1">
            <w:pPr>
              <w:jc w:val="center"/>
              <w:rPr>
                <w:rFonts w:ascii="Times New Roman" w:hAnsi="Times New Roman" w:cs="Times New Roman"/>
                <w:color w:val="000000"/>
                <w:sz w:val="24"/>
                <w:szCs w:val="24"/>
              </w:rPr>
            </w:pPr>
            <w:r w:rsidRPr="00A65679">
              <w:rPr>
                <w:rFonts w:ascii="Times New Roman" w:hAnsi="Times New Roman" w:cs="Times New Roman"/>
                <w:color w:val="000000"/>
                <w:sz w:val="24"/>
                <w:szCs w:val="24"/>
              </w:rPr>
              <w:t>0</w:t>
            </w:r>
          </w:p>
        </w:tc>
      </w:tr>
      <w:tr w:rsidR="006A70B4" w:rsidRPr="005E5329" w14:paraId="376290A6" w14:textId="77777777" w:rsidTr="006A70B4">
        <w:trPr>
          <w:jc w:val="center"/>
        </w:trPr>
        <w:tc>
          <w:tcPr>
            <w:tcW w:w="2607" w:type="dxa"/>
          </w:tcPr>
          <w:p w14:paraId="466E394E" w14:textId="77777777" w:rsidR="006A70B4" w:rsidRPr="00134836" w:rsidRDefault="006A70B4" w:rsidP="003D15C1">
            <w:pPr>
              <w:tabs>
                <w:tab w:val="left" w:pos="1885"/>
              </w:tabs>
              <w:jc w:val="center"/>
              <w:rPr>
                <w:rFonts w:ascii="Times New Roman" w:eastAsia="Times New Roman" w:hAnsi="Times New Roman" w:cs="Times New Roman"/>
                <w:b/>
                <w:sz w:val="24"/>
                <w:szCs w:val="24"/>
              </w:rPr>
            </w:pPr>
            <w:r w:rsidRPr="00134836">
              <w:rPr>
                <w:rFonts w:ascii="Times New Roman" w:eastAsia="Times New Roman" w:hAnsi="Times New Roman" w:cs="Times New Roman"/>
                <w:b/>
                <w:sz w:val="24"/>
                <w:szCs w:val="24"/>
              </w:rPr>
              <w:t>Укупно</w:t>
            </w:r>
          </w:p>
        </w:tc>
        <w:tc>
          <w:tcPr>
            <w:tcW w:w="1187" w:type="dxa"/>
          </w:tcPr>
          <w:p w14:paraId="0D994E04" w14:textId="77777777" w:rsidR="006A70B4" w:rsidRPr="00134836" w:rsidRDefault="006A70B4" w:rsidP="003D15C1">
            <w:pPr>
              <w:jc w:val="center"/>
              <w:rPr>
                <w:rFonts w:ascii="Times New Roman" w:hAnsi="Times New Roman" w:cs="Times New Roman"/>
                <w:b/>
                <w:color w:val="000000"/>
                <w:sz w:val="24"/>
                <w:szCs w:val="24"/>
              </w:rPr>
            </w:pPr>
            <w:r w:rsidRPr="00134836">
              <w:rPr>
                <w:rFonts w:ascii="Times New Roman" w:hAnsi="Times New Roman" w:cs="Times New Roman"/>
                <w:b/>
                <w:color w:val="000000"/>
                <w:sz w:val="24"/>
                <w:szCs w:val="24"/>
              </w:rPr>
              <w:t>395.973</w:t>
            </w:r>
          </w:p>
        </w:tc>
        <w:tc>
          <w:tcPr>
            <w:tcW w:w="1829" w:type="dxa"/>
          </w:tcPr>
          <w:p w14:paraId="4D52996A" w14:textId="77777777" w:rsidR="006A70B4" w:rsidRPr="00134836" w:rsidRDefault="006A70B4" w:rsidP="003D15C1">
            <w:pPr>
              <w:jc w:val="center"/>
              <w:rPr>
                <w:rFonts w:ascii="Times New Roman" w:hAnsi="Times New Roman" w:cs="Times New Roman"/>
                <w:b/>
                <w:color w:val="000000"/>
                <w:sz w:val="24"/>
                <w:szCs w:val="24"/>
              </w:rPr>
            </w:pPr>
            <w:r w:rsidRPr="00134836">
              <w:rPr>
                <w:rFonts w:ascii="Times New Roman" w:hAnsi="Times New Roman" w:cs="Times New Roman"/>
                <w:b/>
                <w:color w:val="000000"/>
                <w:sz w:val="24"/>
                <w:szCs w:val="24"/>
              </w:rPr>
              <w:t>100</w:t>
            </w:r>
          </w:p>
        </w:tc>
        <w:tc>
          <w:tcPr>
            <w:tcW w:w="1843" w:type="dxa"/>
          </w:tcPr>
          <w:p w14:paraId="74D4468E" w14:textId="77777777" w:rsidR="006A70B4" w:rsidRPr="00134836" w:rsidRDefault="006A70B4" w:rsidP="003D15C1">
            <w:pPr>
              <w:jc w:val="center"/>
              <w:rPr>
                <w:rFonts w:ascii="Times New Roman" w:hAnsi="Times New Roman" w:cs="Times New Roman"/>
                <w:b/>
                <w:color w:val="000000"/>
                <w:sz w:val="24"/>
                <w:szCs w:val="24"/>
              </w:rPr>
            </w:pPr>
            <w:r w:rsidRPr="00134836">
              <w:rPr>
                <w:rFonts w:ascii="Times New Roman" w:hAnsi="Times New Roman" w:cs="Times New Roman"/>
                <w:b/>
                <w:color w:val="000000"/>
                <w:sz w:val="24"/>
                <w:szCs w:val="24"/>
              </w:rPr>
              <w:t>150.426.771</w:t>
            </w:r>
          </w:p>
        </w:tc>
        <w:tc>
          <w:tcPr>
            <w:tcW w:w="1822" w:type="dxa"/>
          </w:tcPr>
          <w:p w14:paraId="0EA3A7A1" w14:textId="77777777" w:rsidR="006A70B4" w:rsidRPr="00134836" w:rsidRDefault="006A70B4" w:rsidP="003D15C1">
            <w:pPr>
              <w:jc w:val="center"/>
              <w:rPr>
                <w:rFonts w:ascii="Times New Roman" w:hAnsi="Times New Roman" w:cs="Times New Roman"/>
                <w:b/>
                <w:color w:val="000000"/>
                <w:sz w:val="24"/>
                <w:szCs w:val="24"/>
              </w:rPr>
            </w:pPr>
            <w:r w:rsidRPr="00134836">
              <w:rPr>
                <w:rFonts w:ascii="Times New Roman" w:hAnsi="Times New Roman" w:cs="Times New Roman"/>
                <w:b/>
                <w:color w:val="000000"/>
                <w:sz w:val="24"/>
                <w:szCs w:val="24"/>
              </w:rPr>
              <w:t>100</w:t>
            </w:r>
          </w:p>
        </w:tc>
      </w:tr>
    </w:tbl>
    <w:p w14:paraId="73187163" w14:textId="11C5FC93" w:rsidR="00B14673" w:rsidRPr="006174A1" w:rsidRDefault="00F168BB" w:rsidP="00A8762F">
      <w:pPr>
        <w:jc w:val="both"/>
        <w:rPr>
          <w:rFonts w:ascii="Times New Roman" w:hAnsi="Times New Roman" w:cs="Times New Roman"/>
        </w:rPr>
      </w:pPr>
      <w:r w:rsidRPr="00C847C1">
        <w:rPr>
          <w:rFonts w:ascii="Times New Roman" w:hAnsi="Times New Roman" w:cs="Times New Roman"/>
        </w:rPr>
        <w:t xml:space="preserve">             </w:t>
      </w:r>
      <w:r w:rsidR="00B92132">
        <w:rPr>
          <w:rFonts w:ascii="Times New Roman" w:hAnsi="Times New Roman" w:cs="Times New Roman"/>
        </w:rPr>
        <w:t>*В</w:t>
      </w:r>
      <w:r w:rsidRPr="00C847C1">
        <w:rPr>
          <w:rFonts w:ascii="Times New Roman" w:hAnsi="Times New Roman" w:cs="Times New Roman"/>
        </w:rPr>
        <w:t>редности су изражене у хиљадама динара</w:t>
      </w:r>
    </w:p>
    <w:p w14:paraId="64B79B0B" w14:textId="574FCA9B" w:rsidR="00A8762F" w:rsidRPr="00D96A95" w:rsidRDefault="00EB3E23" w:rsidP="00A8762F">
      <w:pPr>
        <w:jc w:val="both"/>
        <w:rPr>
          <w:color w:val="000000" w:themeColor="text1"/>
        </w:rPr>
      </w:pPr>
      <w:r>
        <w:rPr>
          <w:rFonts w:ascii="Times New Roman" w:hAnsi="Times New Roman" w:cs="Times New Roman"/>
          <w:color w:val="000000" w:themeColor="text1"/>
          <w:sz w:val="24"/>
          <w:szCs w:val="24"/>
        </w:rPr>
        <w:t>Јавна предузећа</w:t>
      </w:r>
      <w:r w:rsidR="00A67EE2">
        <w:rPr>
          <w:rFonts w:ascii="Times New Roman" w:hAnsi="Times New Roman" w:cs="Times New Roman"/>
          <w:color w:val="000000" w:themeColor="text1"/>
          <w:sz w:val="24"/>
          <w:szCs w:val="24"/>
          <w:lang w:val="sr-Cyrl-RS"/>
        </w:rPr>
        <w:t>/привредна друштва - републички ниво</w:t>
      </w:r>
      <w:r>
        <w:rPr>
          <w:rFonts w:ascii="Times New Roman" w:hAnsi="Times New Roman" w:cs="Times New Roman"/>
          <w:color w:val="000000" w:themeColor="text1"/>
          <w:sz w:val="24"/>
          <w:szCs w:val="24"/>
        </w:rPr>
        <w:t xml:space="preserve"> су </w:t>
      </w:r>
      <w:r w:rsidR="00A67EE2">
        <w:rPr>
          <w:rFonts w:ascii="Times New Roman" w:hAnsi="Times New Roman" w:cs="Times New Roman"/>
          <w:color w:val="000000" w:themeColor="text1"/>
          <w:sz w:val="24"/>
          <w:szCs w:val="24"/>
        </w:rPr>
        <w:t>78</w:t>
      </w:r>
      <w:r w:rsidR="00A8762F" w:rsidRPr="00BE7D6A">
        <w:rPr>
          <w:rFonts w:ascii="Times New Roman" w:hAnsi="Times New Roman" w:cs="Times New Roman"/>
          <w:color w:val="000000" w:themeColor="text1"/>
          <w:sz w:val="24"/>
          <w:szCs w:val="24"/>
        </w:rPr>
        <w:t>%</w:t>
      </w:r>
      <w:r w:rsidR="00A8762F" w:rsidRPr="00EB3E23">
        <w:rPr>
          <w:rFonts w:ascii="Times New Roman" w:hAnsi="Times New Roman" w:cs="Times New Roman"/>
          <w:color w:val="C0504D" w:themeColor="accent2"/>
          <w:sz w:val="24"/>
          <w:szCs w:val="24"/>
        </w:rPr>
        <w:t xml:space="preserve"> </w:t>
      </w:r>
      <w:r w:rsidR="00A8762F" w:rsidRPr="00D96A95">
        <w:rPr>
          <w:rFonts w:ascii="Times New Roman" w:hAnsi="Times New Roman" w:cs="Times New Roman"/>
          <w:color w:val="000000" w:themeColor="text1"/>
          <w:sz w:val="24"/>
          <w:szCs w:val="24"/>
        </w:rPr>
        <w:t xml:space="preserve">ових набавки спровела по </w:t>
      </w:r>
      <w:r w:rsidR="00395244" w:rsidRPr="00D96A95">
        <w:rPr>
          <w:rFonts w:ascii="Times New Roman" w:hAnsi="Times New Roman" w:cs="Times New Roman"/>
          <w:color w:val="000000" w:themeColor="text1"/>
          <w:sz w:val="24"/>
          <w:szCs w:val="24"/>
        </w:rPr>
        <w:t xml:space="preserve">следећа </w:t>
      </w:r>
      <w:r w:rsidR="0041593E" w:rsidRPr="00D96A95">
        <w:rPr>
          <w:rFonts w:ascii="Times New Roman" w:hAnsi="Times New Roman" w:cs="Times New Roman"/>
          <w:color w:val="000000" w:themeColor="text1"/>
          <w:sz w:val="24"/>
          <w:szCs w:val="24"/>
        </w:rPr>
        <w:t>че</w:t>
      </w:r>
      <w:r w:rsidR="00A8762F" w:rsidRPr="00D96A95">
        <w:rPr>
          <w:rFonts w:ascii="Times New Roman" w:hAnsi="Times New Roman" w:cs="Times New Roman"/>
          <w:color w:val="000000" w:themeColor="text1"/>
          <w:sz w:val="24"/>
          <w:szCs w:val="24"/>
        </w:rPr>
        <w:t>т</w:t>
      </w:r>
      <w:r w:rsidR="0041593E" w:rsidRPr="00D96A95">
        <w:rPr>
          <w:rFonts w:ascii="Times New Roman" w:hAnsi="Times New Roman" w:cs="Times New Roman"/>
          <w:color w:val="000000" w:themeColor="text1"/>
          <w:sz w:val="24"/>
          <w:szCs w:val="24"/>
        </w:rPr>
        <w:t>и</w:t>
      </w:r>
      <w:r w:rsidR="00A8762F" w:rsidRPr="00D96A95">
        <w:rPr>
          <w:rFonts w:ascii="Times New Roman" w:hAnsi="Times New Roman" w:cs="Times New Roman"/>
          <w:color w:val="000000" w:themeColor="text1"/>
          <w:sz w:val="24"/>
          <w:szCs w:val="24"/>
        </w:rPr>
        <w:t>ри основа:</w:t>
      </w:r>
      <w:r w:rsidR="00A8762F" w:rsidRPr="00D96A95">
        <w:rPr>
          <w:color w:val="000000" w:themeColor="text1"/>
        </w:rPr>
        <w:t xml:space="preserve"> </w:t>
      </w:r>
    </w:p>
    <w:p w14:paraId="27315659" w14:textId="36F99A96" w:rsidR="006119C0" w:rsidRPr="008335B1" w:rsidRDefault="006119C0" w:rsidP="00960A8C">
      <w:pPr>
        <w:pStyle w:val="ListParagraph"/>
        <w:numPr>
          <w:ilvl w:val="0"/>
          <w:numId w:val="3"/>
        </w:numPr>
        <w:jc w:val="both"/>
        <w:rPr>
          <w:color w:val="000000" w:themeColor="text1"/>
        </w:rPr>
      </w:pPr>
      <w:r w:rsidRPr="00EB3E23">
        <w:rPr>
          <w:rFonts w:ascii="Times New Roman" w:hAnsi="Times New Roman" w:cs="Times New Roman"/>
          <w:sz w:val="24"/>
          <w:szCs w:val="24"/>
        </w:rPr>
        <w:t>набавке</w:t>
      </w:r>
      <w:r w:rsidRPr="00EB3E23">
        <w:rPr>
          <w:rFonts w:ascii="Times New Roman" w:hAnsi="Times New Roman" w:cs="Times New Roman"/>
          <w:sz w:val="24"/>
          <w:szCs w:val="24"/>
          <w:lang w:val="en-US"/>
        </w:rPr>
        <w:t xml:space="preserve"> </w:t>
      </w:r>
      <w:r w:rsidRPr="00EB3E23">
        <w:rPr>
          <w:rFonts w:ascii="Times New Roman" w:hAnsi="Times New Roman" w:cs="Times New Roman"/>
          <w:sz w:val="24"/>
          <w:szCs w:val="24"/>
        </w:rPr>
        <w:t>по основу члана 122. став 1</w:t>
      </w:r>
      <w:r w:rsidR="00886F83" w:rsidRPr="00EB3E23">
        <w:rPr>
          <w:rFonts w:ascii="Times New Roman" w:hAnsi="Times New Roman" w:cs="Times New Roman"/>
          <w:sz w:val="24"/>
          <w:szCs w:val="24"/>
        </w:rPr>
        <w:t>.</w:t>
      </w:r>
      <w:r w:rsidRPr="00EB3E23">
        <w:rPr>
          <w:rFonts w:ascii="Times New Roman" w:hAnsi="Times New Roman" w:cs="Times New Roman"/>
          <w:sz w:val="24"/>
          <w:szCs w:val="24"/>
        </w:rPr>
        <w:t xml:space="preserve"> тачка 4) Закона, односно набавке енергије или горива за производњу енергије у области енергетике</w:t>
      </w:r>
      <w:r w:rsidR="00EB3E23" w:rsidRPr="00EB3E23">
        <w:rPr>
          <w:rFonts w:ascii="Times New Roman" w:hAnsi="Times New Roman" w:cs="Times New Roman"/>
          <w:sz w:val="24"/>
          <w:szCs w:val="24"/>
        </w:rPr>
        <w:t xml:space="preserve"> </w:t>
      </w:r>
      <w:r w:rsidR="00391555">
        <w:rPr>
          <w:rFonts w:ascii="Times New Roman" w:hAnsi="Times New Roman" w:cs="Times New Roman"/>
          <w:color w:val="000000" w:themeColor="text1"/>
          <w:sz w:val="24"/>
          <w:szCs w:val="24"/>
        </w:rPr>
        <w:t>(35</w:t>
      </w:r>
      <w:r w:rsidR="0041593E" w:rsidRPr="00BE7D6A">
        <w:rPr>
          <w:rFonts w:ascii="Times New Roman" w:hAnsi="Times New Roman" w:cs="Times New Roman"/>
          <w:color w:val="000000" w:themeColor="text1"/>
          <w:sz w:val="24"/>
          <w:szCs w:val="24"/>
        </w:rPr>
        <w:t>%</w:t>
      </w:r>
      <w:r w:rsidRPr="00BE7D6A">
        <w:rPr>
          <w:rFonts w:ascii="Times New Roman" w:hAnsi="Times New Roman" w:cs="Times New Roman"/>
          <w:color w:val="000000" w:themeColor="text1"/>
          <w:sz w:val="24"/>
          <w:szCs w:val="24"/>
        </w:rPr>
        <w:t>)</w:t>
      </w:r>
    </w:p>
    <w:p w14:paraId="08AA6B40" w14:textId="5D9B04FB" w:rsidR="008335B1" w:rsidRPr="00BE7D6A" w:rsidRDefault="008335B1" w:rsidP="00960A8C">
      <w:pPr>
        <w:pStyle w:val="ListParagraph"/>
        <w:numPr>
          <w:ilvl w:val="0"/>
          <w:numId w:val="3"/>
        </w:numPr>
        <w:jc w:val="both"/>
        <w:rPr>
          <w:color w:val="000000" w:themeColor="text1"/>
        </w:rPr>
      </w:pPr>
      <w:r w:rsidRPr="00EB3E23">
        <w:rPr>
          <w:rFonts w:ascii="Times New Roman" w:hAnsi="Times New Roman" w:cs="Times New Roman"/>
          <w:sz w:val="24"/>
          <w:szCs w:val="24"/>
        </w:rPr>
        <w:t>набавке</w:t>
      </w:r>
      <w:r w:rsidRPr="00EB3E23">
        <w:rPr>
          <w:rFonts w:ascii="Times New Roman" w:hAnsi="Times New Roman" w:cs="Times New Roman"/>
          <w:sz w:val="24"/>
          <w:szCs w:val="24"/>
          <w:lang w:val="en-US"/>
        </w:rPr>
        <w:t xml:space="preserve"> </w:t>
      </w:r>
      <w:r w:rsidRPr="00EB3E23">
        <w:rPr>
          <w:rFonts w:ascii="Times New Roman" w:hAnsi="Times New Roman" w:cs="Times New Roman"/>
          <w:sz w:val="24"/>
          <w:szCs w:val="24"/>
        </w:rPr>
        <w:t>по основу члана 122. став 1.</w:t>
      </w:r>
      <w:r>
        <w:rPr>
          <w:rFonts w:ascii="Times New Roman" w:hAnsi="Times New Roman" w:cs="Times New Roman"/>
          <w:sz w:val="24"/>
          <w:szCs w:val="24"/>
        </w:rPr>
        <w:t xml:space="preserve"> тачка 13</w:t>
      </w:r>
      <w:r w:rsidRPr="00EB3E23">
        <w:rPr>
          <w:rFonts w:ascii="Times New Roman" w:hAnsi="Times New Roman" w:cs="Times New Roman"/>
          <w:sz w:val="24"/>
          <w:szCs w:val="24"/>
        </w:rPr>
        <w:t>) Закона</w:t>
      </w:r>
      <w:r>
        <w:rPr>
          <w:rFonts w:ascii="Times New Roman" w:hAnsi="Times New Roman" w:cs="Times New Roman"/>
          <w:sz w:val="24"/>
          <w:szCs w:val="24"/>
          <w:lang w:val="sr-Cyrl-CS"/>
        </w:rPr>
        <w:t>, од</w:t>
      </w:r>
      <w:r w:rsidR="00391555">
        <w:rPr>
          <w:rFonts w:ascii="Times New Roman" w:hAnsi="Times New Roman" w:cs="Times New Roman"/>
          <w:sz w:val="24"/>
          <w:szCs w:val="24"/>
          <w:lang w:val="sr-Cyrl-CS"/>
        </w:rPr>
        <w:t>носно набавке услуге кредита (19</w:t>
      </w:r>
      <w:r>
        <w:rPr>
          <w:rFonts w:ascii="Times New Roman" w:hAnsi="Times New Roman" w:cs="Times New Roman"/>
          <w:sz w:val="24"/>
          <w:szCs w:val="24"/>
          <w:lang w:val="sr-Cyrl-CS"/>
        </w:rPr>
        <w:t>%)</w:t>
      </w:r>
    </w:p>
    <w:p w14:paraId="66453428" w14:textId="059372E4" w:rsidR="00391555" w:rsidRPr="00391555" w:rsidRDefault="00391555" w:rsidP="00960A8C">
      <w:pPr>
        <w:pStyle w:val="ListParagraph"/>
        <w:numPr>
          <w:ilvl w:val="0"/>
          <w:numId w:val="3"/>
        </w:numPr>
        <w:jc w:val="both"/>
        <w:rPr>
          <w:rFonts w:ascii="Times New Roman" w:hAnsi="Times New Roman" w:cs="Times New Roman"/>
          <w:sz w:val="24"/>
          <w:szCs w:val="24"/>
        </w:rPr>
      </w:pPr>
      <w:r w:rsidRPr="00EB3E23">
        <w:rPr>
          <w:rFonts w:ascii="Times New Roman" w:hAnsi="Times New Roman" w:cs="Times New Roman"/>
          <w:sz w:val="24"/>
          <w:szCs w:val="24"/>
        </w:rPr>
        <w:lastRenderedPageBreak/>
        <w:t>набавке</w:t>
      </w:r>
      <w:r w:rsidRPr="00EB3E23">
        <w:rPr>
          <w:rFonts w:ascii="Times New Roman" w:hAnsi="Times New Roman" w:cs="Times New Roman"/>
          <w:sz w:val="24"/>
          <w:szCs w:val="24"/>
          <w:lang w:val="en-US"/>
        </w:rPr>
        <w:t xml:space="preserve"> </w:t>
      </w:r>
      <w:r w:rsidRPr="00EB3E23">
        <w:rPr>
          <w:rFonts w:ascii="Times New Roman" w:hAnsi="Times New Roman" w:cs="Times New Roman"/>
          <w:sz w:val="24"/>
          <w:szCs w:val="24"/>
        </w:rPr>
        <w:t>по основу члана</w:t>
      </w:r>
      <w:r>
        <w:rPr>
          <w:rFonts w:ascii="Times New Roman" w:hAnsi="Times New Roman" w:cs="Times New Roman"/>
          <w:sz w:val="24"/>
          <w:szCs w:val="24"/>
          <w:lang w:val="sr-Cyrl-CS"/>
        </w:rPr>
        <w:t xml:space="preserve"> 7а. став 1, односно </w:t>
      </w:r>
      <w:r w:rsidRPr="00391555">
        <w:rPr>
          <w:rFonts w:ascii="Times New Roman" w:hAnsi="Times New Roman" w:cs="Times New Roman"/>
          <w:sz w:val="24"/>
          <w:szCs w:val="24"/>
        </w:rPr>
        <w:t>набавке када на</w:t>
      </w:r>
      <w:r w:rsidR="00564A3F">
        <w:rPr>
          <w:rFonts w:ascii="Times New Roman" w:hAnsi="Times New Roman" w:cs="Times New Roman"/>
          <w:sz w:val="24"/>
          <w:szCs w:val="24"/>
          <w:lang w:val="sr-Cyrl-RS"/>
        </w:rPr>
        <w:t>р</w:t>
      </w:r>
      <w:r w:rsidRPr="00391555">
        <w:rPr>
          <w:rFonts w:ascii="Times New Roman" w:hAnsi="Times New Roman" w:cs="Times New Roman"/>
          <w:sz w:val="24"/>
          <w:szCs w:val="24"/>
        </w:rPr>
        <w:t>училац закључује уговор са другим правним лицем ако над њим врши надзор, ако правно лице над којим наручилац врши надзор више од 80%</w:t>
      </w:r>
      <w:r>
        <w:rPr>
          <w:rFonts w:ascii="Times New Roman" w:hAnsi="Times New Roman" w:cs="Times New Roman"/>
          <w:color w:val="000000" w:themeColor="text1"/>
          <w:lang w:val="sr-Cyrl-CS"/>
        </w:rPr>
        <w:t xml:space="preserve"> </w:t>
      </w:r>
      <w:r w:rsidRPr="00391555">
        <w:rPr>
          <w:rFonts w:ascii="Times New Roman" w:hAnsi="Times New Roman" w:cs="Times New Roman"/>
          <w:sz w:val="24"/>
          <w:szCs w:val="24"/>
        </w:rPr>
        <w:t>послова врши у циљу обављања послова које му је наручилац поверио и ако у надзираном лицу нема учешћа приватног капитала</w:t>
      </w:r>
      <w:r>
        <w:rPr>
          <w:rFonts w:ascii="Times New Roman" w:hAnsi="Times New Roman" w:cs="Times New Roman"/>
          <w:sz w:val="24"/>
          <w:szCs w:val="24"/>
          <w:lang w:val="sr-Cyrl-CS"/>
        </w:rPr>
        <w:t xml:space="preserve"> (12%)</w:t>
      </w:r>
    </w:p>
    <w:p w14:paraId="2094BEE9" w14:textId="18F65E92" w:rsidR="0041593E" w:rsidRPr="00BE7D6A" w:rsidRDefault="0041593E" w:rsidP="00960A8C">
      <w:pPr>
        <w:pStyle w:val="ListParagraph"/>
        <w:numPr>
          <w:ilvl w:val="0"/>
          <w:numId w:val="3"/>
        </w:numPr>
        <w:jc w:val="both"/>
        <w:rPr>
          <w:color w:val="000000" w:themeColor="text1"/>
          <w:sz w:val="24"/>
          <w:szCs w:val="24"/>
        </w:rPr>
      </w:pPr>
      <w:r w:rsidRPr="00BE7D6A">
        <w:rPr>
          <w:rFonts w:ascii="Times New Roman" w:hAnsi="Times New Roman" w:cs="Times New Roman"/>
          <w:color w:val="000000" w:themeColor="text1"/>
          <w:sz w:val="24"/>
          <w:szCs w:val="24"/>
        </w:rPr>
        <w:t>набавке по основу члана</w:t>
      </w:r>
      <w:r w:rsidR="006174A1" w:rsidRPr="00BE7D6A">
        <w:rPr>
          <w:rFonts w:ascii="Times New Roman" w:hAnsi="Times New Roman" w:cs="Times New Roman"/>
          <w:color w:val="000000" w:themeColor="text1"/>
          <w:sz w:val="24"/>
          <w:szCs w:val="24"/>
        </w:rPr>
        <w:t xml:space="preserve"> 7. став 1. тач.</w:t>
      </w:r>
      <w:r w:rsidRPr="00BE7D6A">
        <w:rPr>
          <w:rFonts w:ascii="Times New Roman" w:hAnsi="Times New Roman" w:cs="Times New Roman"/>
          <w:color w:val="000000" w:themeColor="text1"/>
          <w:sz w:val="24"/>
          <w:szCs w:val="24"/>
        </w:rPr>
        <w:t xml:space="preserve"> 2) и 2а) Закона, односно </w:t>
      </w:r>
      <w:r w:rsidR="00E37EC7" w:rsidRPr="00BE7D6A">
        <w:rPr>
          <w:rFonts w:ascii="Times New Roman" w:hAnsi="Times New Roman" w:cs="Times New Roman"/>
          <w:color w:val="000000" w:themeColor="text1"/>
          <w:sz w:val="24"/>
          <w:szCs w:val="24"/>
        </w:rPr>
        <w:t>н</w:t>
      </w:r>
      <w:r w:rsidRPr="00BE7D6A">
        <w:rPr>
          <w:rFonts w:ascii="Times New Roman" w:hAnsi="Times New Roman" w:cs="Times New Roman"/>
          <w:color w:val="000000" w:themeColor="text1"/>
          <w:sz w:val="24"/>
          <w:szCs w:val="24"/>
        </w:rPr>
        <w:t>абавке из средстава страних кредита добијених од међународних организација и међународних финансијских институција, односно по о</w:t>
      </w:r>
      <w:r w:rsidR="009C10F5">
        <w:rPr>
          <w:rFonts w:ascii="Times New Roman" w:hAnsi="Times New Roman" w:cs="Times New Roman"/>
          <w:color w:val="000000" w:themeColor="text1"/>
          <w:sz w:val="24"/>
          <w:szCs w:val="24"/>
        </w:rPr>
        <w:t>снову међународних спора</w:t>
      </w:r>
      <w:r w:rsidR="008D4DD9">
        <w:rPr>
          <w:rFonts w:ascii="Times New Roman" w:hAnsi="Times New Roman" w:cs="Times New Roman"/>
          <w:color w:val="000000" w:themeColor="text1"/>
          <w:sz w:val="24"/>
          <w:szCs w:val="24"/>
        </w:rPr>
        <w:t>зума (12</w:t>
      </w:r>
      <w:r w:rsidRPr="00BE7D6A">
        <w:rPr>
          <w:rFonts w:ascii="Times New Roman" w:hAnsi="Times New Roman" w:cs="Times New Roman"/>
          <w:color w:val="000000" w:themeColor="text1"/>
          <w:sz w:val="24"/>
          <w:szCs w:val="24"/>
        </w:rPr>
        <w:t>%)</w:t>
      </w:r>
    </w:p>
    <w:p w14:paraId="137F8F1D" w14:textId="5D356F25" w:rsidR="00A67EE2" w:rsidRPr="000419A2" w:rsidRDefault="00A67EE2" w:rsidP="00A67EE2">
      <w:pPr>
        <w:jc w:val="both"/>
        <w:rPr>
          <w:rFonts w:ascii="Times New Roman" w:hAnsi="Times New Roman" w:cs="Times New Roman"/>
          <w:sz w:val="24"/>
          <w:szCs w:val="24"/>
          <w:lang w:val="sr-Cyrl-RS"/>
        </w:rPr>
      </w:pPr>
      <w:r w:rsidRPr="000419A2">
        <w:rPr>
          <w:rFonts w:ascii="Times New Roman" w:hAnsi="Times New Roman" w:cs="Times New Roman"/>
          <w:sz w:val="24"/>
          <w:szCs w:val="24"/>
          <w:lang w:val="sr-Cyrl-RS"/>
        </w:rPr>
        <w:t xml:space="preserve">Јавна предузећа-локална самоуправа су </w:t>
      </w:r>
      <w:r w:rsidR="00043054">
        <w:rPr>
          <w:rFonts w:ascii="Times New Roman" w:hAnsi="Times New Roman" w:cs="Times New Roman"/>
          <w:sz w:val="24"/>
          <w:szCs w:val="24"/>
          <w:lang w:val="sr-Cyrl-RS"/>
        </w:rPr>
        <w:t>91</w:t>
      </w:r>
      <w:r w:rsidRPr="000419A2">
        <w:rPr>
          <w:rFonts w:ascii="Times New Roman" w:hAnsi="Times New Roman" w:cs="Times New Roman"/>
          <w:sz w:val="24"/>
          <w:szCs w:val="24"/>
          <w:lang w:val="sr-Cyrl-RS"/>
        </w:rPr>
        <w:t>% вредности ових</w:t>
      </w:r>
      <w:r w:rsidR="00043054">
        <w:rPr>
          <w:rFonts w:ascii="Times New Roman" w:hAnsi="Times New Roman" w:cs="Times New Roman"/>
          <w:sz w:val="24"/>
          <w:szCs w:val="24"/>
          <w:lang w:val="sr-Cyrl-RS"/>
        </w:rPr>
        <w:t xml:space="preserve"> набавки спровели по следећа три</w:t>
      </w:r>
      <w:r w:rsidRPr="000419A2">
        <w:rPr>
          <w:rFonts w:ascii="Times New Roman" w:hAnsi="Times New Roman" w:cs="Times New Roman"/>
          <w:sz w:val="24"/>
          <w:szCs w:val="24"/>
          <w:lang w:val="sr-Cyrl-RS"/>
        </w:rPr>
        <w:t xml:space="preserve"> основа: </w:t>
      </w:r>
    </w:p>
    <w:p w14:paraId="1FA1FF3D" w14:textId="1FCC6BE1" w:rsidR="00A67EE2" w:rsidRPr="000419A2" w:rsidRDefault="00A67EE2" w:rsidP="00960A8C">
      <w:pPr>
        <w:pStyle w:val="ListParagraph"/>
        <w:numPr>
          <w:ilvl w:val="0"/>
          <w:numId w:val="6"/>
        </w:numPr>
        <w:jc w:val="both"/>
      </w:pPr>
      <w:r w:rsidRPr="000419A2">
        <w:rPr>
          <w:rFonts w:ascii="Times New Roman" w:hAnsi="Times New Roman" w:cs="Times New Roman"/>
          <w:sz w:val="24"/>
          <w:szCs w:val="24"/>
        </w:rPr>
        <w:t>набавке</w:t>
      </w:r>
      <w:r w:rsidRPr="000419A2">
        <w:rPr>
          <w:rFonts w:ascii="Times New Roman" w:hAnsi="Times New Roman" w:cs="Times New Roman"/>
          <w:sz w:val="24"/>
          <w:szCs w:val="24"/>
          <w:lang w:val="en-US"/>
        </w:rPr>
        <w:t xml:space="preserve"> </w:t>
      </w:r>
      <w:r w:rsidRPr="000419A2">
        <w:rPr>
          <w:rFonts w:ascii="Times New Roman" w:hAnsi="Times New Roman" w:cs="Times New Roman"/>
          <w:sz w:val="24"/>
          <w:szCs w:val="24"/>
        </w:rPr>
        <w:t>по основу</w:t>
      </w:r>
      <w:r w:rsidR="002F3484">
        <w:rPr>
          <w:rFonts w:ascii="Times New Roman" w:hAnsi="Times New Roman" w:cs="Times New Roman"/>
          <w:sz w:val="24"/>
          <w:szCs w:val="24"/>
        </w:rPr>
        <w:t xml:space="preserve"> члана 122. став 1. тачка 4) Закона</w:t>
      </w:r>
      <w:r w:rsidRPr="000419A2">
        <w:rPr>
          <w:rFonts w:ascii="Times New Roman" w:hAnsi="Times New Roman" w:cs="Times New Roman"/>
          <w:sz w:val="24"/>
          <w:szCs w:val="24"/>
        </w:rPr>
        <w:t>, односно у случају када наручилац који се бави делатношћу у области енергетике из члана 119.</w:t>
      </w:r>
      <w:r w:rsidR="002F3484">
        <w:rPr>
          <w:rFonts w:ascii="Times New Roman" w:hAnsi="Times New Roman" w:cs="Times New Roman"/>
          <w:sz w:val="24"/>
          <w:szCs w:val="24"/>
        </w:rPr>
        <w:t xml:space="preserve"> став 1. Закона</w:t>
      </w:r>
      <w:r w:rsidRPr="000419A2">
        <w:rPr>
          <w:rFonts w:ascii="Times New Roman" w:hAnsi="Times New Roman" w:cs="Times New Roman"/>
          <w:sz w:val="24"/>
          <w:szCs w:val="24"/>
        </w:rPr>
        <w:t>, набавља енергију или г</w:t>
      </w:r>
      <w:r>
        <w:rPr>
          <w:rFonts w:ascii="Times New Roman" w:hAnsi="Times New Roman" w:cs="Times New Roman"/>
          <w:sz w:val="24"/>
          <w:szCs w:val="24"/>
        </w:rPr>
        <w:t>ориво за производњу енергије (57</w:t>
      </w:r>
      <w:r w:rsidRPr="000419A2">
        <w:rPr>
          <w:rFonts w:ascii="Times New Roman" w:hAnsi="Times New Roman" w:cs="Times New Roman"/>
          <w:sz w:val="24"/>
          <w:szCs w:val="24"/>
        </w:rPr>
        <w:t xml:space="preserve">%); </w:t>
      </w:r>
    </w:p>
    <w:p w14:paraId="24C98760" w14:textId="7358E7EF" w:rsidR="00A67EE2" w:rsidRPr="000419A2" w:rsidRDefault="00A67EE2" w:rsidP="00960A8C">
      <w:pPr>
        <w:pStyle w:val="ListParagraph"/>
        <w:numPr>
          <w:ilvl w:val="0"/>
          <w:numId w:val="6"/>
        </w:numPr>
        <w:jc w:val="both"/>
        <w:rPr>
          <w:rFonts w:ascii="Times New Roman" w:hAnsi="Times New Roman" w:cs="Times New Roman"/>
          <w:sz w:val="24"/>
          <w:szCs w:val="24"/>
          <w:lang w:val="sr-Cyrl-RS"/>
        </w:rPr>
      </w:pPr>
      <w:r w:rsidRPr="000419A2">
        <w:rPr>
          <w:rFonts w:ascii="Times New Roman" w:hAnsi="Times New Roman" w:cs="Times New Roman"/>
          <w:sz w:val="24"/>
          <w:szCs w:val="24"/>
        </w:rPr>
        <w:t>набавке по основу члана 7. став 1. тачка 1)</w:t>
      </w:r>
      <w:r w:rsidR="002F3484">
        <w:rPr>
          <w:rFonts w:ascii="Times New Roman" w:hAnsi="Times New Roman" w:cs="Times New Roman"/>
          <w:sz w:val="24"/>
          <w:szCs w:val="24"/>
          <w:lang w:val="sr-Cyrl-CS"/>
        </w:rPr>
        <w:t xml:space="preserve"> Закона</w:t>
      </w:r>
      <w:r w:rsidRPr="000419A2">
        <w:rPr>
          <w:rFonts w:ascii="Times New Roman" w:hAnsi="Times New Roman" w:cs="Times New Roman"/>
          <w:sz w:val="24"/>
          <w:szCs w:val="24"/>
          <w:lang w:val="sr-Cyrl-RS"/>
        </w:rPr>
        <w:t>, у случају набавки од лица и организација које се у смислу овог закона сматрају наручиоцем и које су носиоци искључивог права на обављање делатн</w:t>
      </w:r>
      <w:r>
        <w:rPr>
          <w:rFonts w:ascii="Times New Roman" w:hAnsi="Times New Roman" w:cs="Times New Roman"/>
          <w:sz w:val="24"/>
          <w:szCs w:val="24"/>
          <w:lang w:val="sr-Cyrl-RS"/>
        </w:rPr>
        <w:t>ости која је предмет набавке (21</w:t>
      </w:r>
      <w:r w:rsidRPr="000419A2">
        <w:rPr>
          <w:rFonts w:ascii="Times New Roman" w:hAnsi="Times New Roman" w:cs="Times New Roman"/>
          <w:sz w:val="24"/>
          <w:szCs w:val="24"/>
          <w:lang w:val="sr-Cyrl-RS"/>
        </w:rPr>
        <w:t>%)</w:t>
      </w:r>
    </w:p>
    <w:p w14:paraId="625B3AE6" w14:textId="01A420E9" w:rsidR="00A67EE2" w:rsidRDefault="00A67EE2" w:rsidP="00960A8C">
      <w:pPr>
        <w:pStyle w:val="ListParagraph"/>
        <w:numPr>
          <w:ilvl w:val="0"/>
          <w:numId w:val="6"/>
        </w:numPr>
        <w:jc w:val="both"/>
        <w:rPr>
          <w:rFonts w:ascii="Times New Roman" w:hAnsi="Times New Roman" w:cs="Times New Roman"/>
          <w:sz w:val="24"/>
          <w:szCs w:val="24"/>
          <w:lang w:val="sr-Cyrl-RS"/>
        </w:rPr>
      </w:pPr>
      <w:r w:rsidRPr="000419A2">
        <w:rPr>
          <w:rFonts w:ascii="Times New Roman" w:hAnsi="Times New Roman" w:cs="Times New Roman"/>
          <w:sz w:val="24"/>
          <w:szCs w:val="24"/>
        </w:rPr>
        <w:t>набавке по основу члана</w:t>
      </w:r>
      <w:r w:rsidRPr="000419A2">
        <w:rPr>
          <w:rFonts w:ascii="Times New Roman" w:hAnsi="Times New Roman" w:cs="Times New Roman"/>
          <w:sz w:val="24"/>
          <w:szCs w:val="24"/>
          <w:lang w:val="sr-Cyrl-RS"/>
        </w:rPr>
        <w:t xml:space="preserve"> 39. став 2</w:t>
      </w:r>
      <w:r w:rsidR="002F3484">
        <w:rPr>
          <w:rFonts w:ascii="Times New Roman" w:hAnsi="Times New Roman" w:cs="Times New Roman"/>
          <w:sz w:val="24"/>
          <w:szCs w:val="24"/>
          <w:lang w:val="sr-Cyrl-RS"/>
        </w:rPr>
        <w:t xml:space="preserve"> Закона</w:t>
      </w:r>
      <w:r w:rsidRPr="000419A2">
        <w:rPr>
          <w:rFonts w:ascii="Times New Roman" w:hAnsi="Times New Roman" w:cs="Times New Roman"/>
          <w:sz w:val="24"/>
          <w:szCs w:val="24"/>
          <w:lang w:val="sr-Cyrl-RS"/>
        </w:rPr>
        <w:t>, у случају набавки чија вредност није већа од доњег лимита за</w:t>
      </w:r>
      <w:r>
        <w:rPr>
          <w:rFonts w:ascii="Times New Roman" w:hAnsi="Times New Roman" w:cs="Times New Roman"/>
          <w:sz w:val="24"/>
          <w:szCs w:val="24"/>
          <w:lang w:val="sr-Cyrl-RS"/>
        </w:rPr>
        <w:t xml:space="preserve"> јавне набавке мале вредности (13</w:t>
      </w:r>
      <w:r w:rsidRPr="000419A2">
        <w:rPr>
          <w:rFonts w:ascii="Times New Roman" w:hAnsi="Times New Roman" w:cs="Times New Roman"/>
          <w:sz w:val="24"/>
          <w:szCs w:val="24"/>
          <w:lang w:val="sr-Cyrl-RS"/>
        </w:rPr>
        <w:t>%)</w:t>
      </w:r>
    </w:p>
    <w:p w14:paraId="3825D525" w14:textId="72ED40C5" w:rsidR="00A67EE2" w:rsidRPr="000419A2" w:rsidRDefault="00A67EE2" w:rsidP="00A67EE2">
      <w:pPr>
        <w:jc w:val="both"/>
        <w:rPr>
          <w:rFonts w:ascii="Times New Roman" w:hAnsi="Times New Roman" w:cs="Times New Roman"/>
          <w:sz w:val="24"/>
          <w:szCs w:val="24"/>
          <w:lang w:val="en-GB"/>
        </w:rPr>
      </w:pPr>
      <w:r w:rsidRPr="000419A2">
        <w:rPr>
          <w:rFonts w:ascii="Times New Roman" w:hAnsi="Times New Roman" w:cs="Times New Roman"/>
          <w:sz w:val="24"/>
          <w:szCs w:val="24"/>
        </w:rPr>
        <w:t>Градска и општинска управа је</w:t>
      </w:r>
      <w:r w:rsidR="00C54663">
        <w:rPr>
          <w:rFonts w:ascii="Times New Roman" w:hAnsi="Times New Roman" w:cs="Times New Roman"/>
          <w:sz w:val="24"/>
          <w:szCs w:val="24"/>
        </w:rPr>
        <w:t xml:space="preserve"> 94</w:t>
      </w:r>
      <w:r w:rsidRPr="000419A2">
        <w:rPr>
          <w:rFonts w:ascii="Times New Roman" w:hAnsi="Times New Roman" w:cs="Times New Roman"/>
          <w:sz w:val="24"/>
          <w:szCs w:val="24"/>
        </w:rPr>
        <w:t xml:space="preserve">% вредности ових набавки спровела по следећа </w:t>
      </w:r>
      <w:r w:rsidRPr="000419A2">
        <w:rPr>
          <w:rFonts w:ascii="Times New Roman" w:hAnsi="Times New Roman" w:cs="Times New Roman"/>
          <w:sz w:val="24"/>
          <w:szCs w:val="24"/>
          <w:lang w:val="sr-Cyrl-CS"/>
        </w:rPr>
        <w:t>три</w:t>
      </w:r>
      <w:r w:rsidRPr="000419A2">
        <w:rPr>
          <w:rFonts w:ascii="Times New Roman" w:hAnsi="Times New Roman" w:cs="Times New Roman"/>
          <w:sz w:val="24"/>
          <w:szCs w:val="24"/>
        </w:rPr>
        <w:t xml:space="preserve"> основа:</w:t>
      </w:r>
    </w:p>
    <w:p w14:paraId="1E6EAE4E" w14:textId="54CA81E0" w:rsidR="00A67EE2" w:rsidRPr="000419A2" w:rsidRDefault="00A67EE2" w:rsidP="00960A8C">
      <w:pPr>
        <w:pStyle w:val="ListParagraph"/>
        <w:numPr>
          <w:ilvl w:val="0"/>
          <w:numId w:val="7"/>
        </w:numPr>
        <w:jc w:val="both"/>
        <w:rPr>
          <w:rFonts w:ascii="Times New Roman" w:hAnsi="Times New Roman" w:cs="Times New Roman"/>
          <w:sz w:val="24"/>
          <w:szCs w:val="24"/>
        </w:rPr>
      </w:pPr>
      <w:r w:rsidRPr="000419A2">
        <w:rPr>
          <w:rFonts w:ascii="Times New Roman" w:hAnsi="Times New Roman" w:cs="Times New Roman"/>
          <w:sz w:val="24"/>
          <w:szCs w:val="24"/>
        </w:rPr>
        <w:t>набавке по основу члана 7. став 1. тачка 1)</w:t>
      </w:r>
      <w:r w:rsidR="002F3484">
        <w:rPr>
          <w:rFonts w:ascii="Times New Roman" w:hAnsi="Times New Roman" w:cs="Times New Roman"/>
          <w:sz w:val="24"/>
          <w:szCs w:val="24"/>
          <w:lang w:val="sr-Cyrl-CS"/>
        </w:rPr>
        <w:t xml:space="preserve"> Закона</w:t>
      </w:r>
      <w:r w:rsidRPr="000419A2">
        <w:rPr>
          <w:rFonts w:ascii="Times New Roman" w:hAnsi="Times New Roman" w:cs="Times New Roman"/>
          <w:sz w:val="24"/>
          <w:szCs w:val="24"/>
          <w:lang w:val="sr-Cyrl-RS"/>
        </w:rPr>
        <w:t>, у случају набавки од лица и организација које се у смислу овог закона сматрају наручиоцем и које су носиоци искључивог права на обављање делатн</w:t>
      </w:r>
      <w:r w:rsidR="00C54663">
        <w:rPr>
          <w:rFonts w:ascii="Times New Roman" w:hAnsi="Times New Roman" w:cs="Times New Roman"/>
          <w:sz w:val="24"/>
          <w:szCs w:val="24"/>
          <w:lang w:val="sr-Cyrl-RS"/>
        </w:rPr>
        <w:t>ости која је предмет набавке (49</w:t>
      </w:r>
      <w:r w:rsidRPr="000419A2">
        <w:rPr>
          <w:rFonts w:ascii="Times New Roman" w:hAnsi="Times New Roman" w:cs="Times New Roman"/>
          <w:sz w:val="24"/>
          <w:szCs w:val="24"/>
          <w:lang w:val="sr-Cyrl-RS"/>
        </w:rPr>
        <w:t>%)</w:t>
      </w:r>
    </w:p>
    <w:p w14:paraId="1721B337" w14:textId="0523E7C0" w:rsidR="00A67EE2" w:rsidRPr="000419A2" w:rsidRDefault="00A67EE2" w:rsidP="00960A8C">
      <w:pPr>
        <w:pStyle w:val="ListParagraph"/>
        <w:numPr>
          <w:ilvl w:val="0"/>
          <w:numId w:val="7"/>
        </w:numPr>
        <w:jc w:val="both"/>
        <w:rPr>
          <w:rFonts w:ascii="Times New Roman" w:hAnsi="Times New Roman" w:cs="Times New Roman"/>
          <w:sz w:val="24"/>
          <w:szCs w:val="24"/>
        </w:rPr>
      </w:pPr>
      <w:r w:rsidRPr="000419A2">
        <w:rPr>
          <w:rFonts w:ascii="Times New Roman" w:hAnsi="Times New Roman" w:cs="Times New Roman"/>
          <w:sz w:val="24"/>
          <w:szCs w:val="24"/>
        </w:rPr>
        <w:t>набавке по основу члана</w:t>
      </w:r>
      <w:r w:rsidRPr="000419A2">
        <w:rPr>
          <w:rFonts w:ascii="Times New Roman" w:hAnsi="Times New Roman" w:cs="Times New Roman"/>
          <w:sz w:val="24"/>
          <w:szCs w:val="24"/>
          <w:lang w:val="sr-Cyrl-RS"/>
        </w:rPr>
        <w:t xml:space="preserve"> 39. став 2</w:t>
      </w:r>
      <w:r w:rsidR="002F3484">
        <w:rPr>
          <w:rFonts w:ascii="Times New Roman" w:hAnsi="Times New Roman" w:cs="Times New Roman"/>
          <w:sz w:val="24"/>
          <w:szCs w:val="24"/>
          <w:lang w:val="sr-Cyrl-RS"/>
        </w:rPr>
        <w:t xml:space="preserve"> Закона</w:t>
      </w:r>
      <w:r w:rsidRPr="000419A2">
        <w:rPr>
          <w:rFonts w:ascii="Times New Roman" w:hAnsi="Times New Roman" w:cs="Times New Roman"/>
          <w:sz w:val="24"/>
          <w:szCs w:val="24"/>
          <w:lang w:val="sr-Cyrl-RS"/>
        </w:rPr>
        <w:t>, у случају набавки чија вредност није већа од доњег лимита за јавне набавке мале вредности</w:t>
      </w:r>
      <w:r w:rsidR="00C54663">
        <w:rPr>
          <w:rFonts w:ascii="Times New Roman" w:hAnsi="Times New Roman" w:cs="Times New Roman"/>
          <w:sz w:val="24"/>
          <w:szCs w:val="24"/>
          <w:lang w:val="sr-Cyrl-RS"/>
        </w:rPr>
        <w:t xml:space="preserve"> (35</w:t>
      </w:r>
      <w:r w:rsidRPr="000419A2">
        <w:rPr>
          <w:rFonts w:ascii="Times New Roman" w:hAnsi="Times New Roman" w:cs="Times New Roman"/>
          <w:sz w:val="24"/>
          <w:szCs w:val="24"/>
          <w:lang w:val="sr-Cyrl-RS"/>
        </w:rPr>
        <w:t>%);</w:t>
      </w:r>
    </w:p>
    <w:p w14:paraId="60EF7F44" w14:textId="5FC4C614" w:rsidR="00A67EE2" w:rsidRPr="00A67EE2" w:rsidRDefault="00A67EE2" w:rsidP="00960A8C">
      <w:pPr>
        <w:pStyle w:val="ListParagraph"/>
        <w:numPr>
          <w:ilvl w:val="0"/>
          <w:numId w:val="7"/>
        </w:numPr>
        <w:jc w:val="both"/>
        <w:rPr>
          <w:rFonts w:ascii="Times New Roman" w:hAnsi="Times New Roman" w:cs="Times New Roman"/>
          <w:sz w:val="24"/>
          <w:szCs w:val="24"/>
        </w:rPr>
      </w:pPr>
      <w:r w:rsidRPr="000419A2">
        <w:rPr>
          <w:rFonts w:ascii="Times New Roman" w:hAnsi="Times New Roman" w:cs="Times New Roman"/>
          <w:sz w:val="24"/>
          <w:szCs w:val="24"/>
        </w:rPr>
        <w:t xml:space="preserve">набавке по основу члана 7. </w:t>
      </w:r>
      <w:r w:rsidR="002F3484">
        <w:rPr>
          <w:rFonts w:ascii="Times New Roman" w:hAnsi="Times New Roman" w:cs="Times New Roman"/>
          <w:sz w:val="24"/>
          <w:szCs w:val="24"/>
        </w:rPr>
        <w:t>став 1. тачка 2) подтачка 2) Закона</w:t>
      </w:r>
      <w:r w:rsidRPr="000419A2">
        <w:rPr>
          <w:rFonts w:ascii="Times New Roman" w:hAnsi="Times New Roman" w:cs="Times New Roman"/>
          <w:sz w:val="24"/>
          <w:szCs w:val="24"/>
        </w:rPr>
        <w:t xml:space="preserve">, у случају набавки, односно конкурса за дизајн које су наручиоци обавезни да спроведу у складу са поступцима набавки установљеним </w:t>
      </w:r>
      <w:r w:rsidRPr="000419A2">
        <w:rPr>
          <w:rFonts w:ascii="Times New Roman" w:hAnsi="Times New Roman" w:cs="Times New Roman"/>
          <w:sz w:val="24"/>
          <w:szCs w:val="24"/>
          <w:lang w:val="sr-Cyrl-RS"/>
        </w:rPr>
        <w:t>актом о донацији</w:t>
      </w:r>
      <w:r w:rsidR="00C54663">
        <w:rPr>
          <w:rFonts w:ascii="Times New Roman" w:hAnsi="Times New Roman" w:cs="Times New Roman"/>
          <w:sz w:val="24"/>
          <w:szCs w:val="24"/>
          <w:lang w:val="en-GB"/>
        </w:rPr>
        <w:t xml:space="preserve"> (10</w:t>
      </w:r>
      <w:r w:rsidRPr="000419A2">
        <w:rPr>
          <w:rFonts w:ascii="Times New Roman" w:hAnsi="Times New Roman" w:cs="Times New Roman"/>
          <w:sz w:val="24"/>
          <w:szCs w:val="24"/>
          <w:lang w:val="en-GB"/>
        </w:rPr>
        <w:t>%)</w:t>
      </w:r>
    </w:p>
    <w:p w14:paraId="76E208C9" w14:textId="2DA5EF37" w:rsidR="00A8762F" w:rsidRPr="002321BB" w:rsidRDefault="00A8762F" w:rsidP="00A8762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Остали изузеци од примене Закона, поје</w:t>
      </w:r>
      <w:r w:rsidR="00877880">
        <w:rPr>
          <w:rFonts w:ascii="Times New Roman" w:hAnsi="Times New Roman" w:cs="Times New Roman"/>
          <w:sz w:val="24"/>
          <w:szCs w:val="24"/>
        </w:rPr>
        <w:t xml:space="preserve">диначно узев, имали су </w:t>
      </w:r>
      <w:r w:rsidR="00877880">
        <w:rPr>
          <w:rFonts w:ascii="Times New Roman" w:hAnsi="Times New Roman" w:cs="Times New Roman"/>
          <w:sz w:val="24"/>
          <w:szCs w:val="24"/>
          <w:lang w:val="sr"/>
        </w:rPr>
        <w:t>ниско</w:t>
      </w:r>
      <w:r>
        <w:rPr>
          <w:rFonts w:ascii="Times New Roman" w:hAnsi="Times New Roman" w:cs="Times New Roman"/>
          <w:sz w:val="24"/>
          <w:szCs w:val="24"/>
        </w:rPr>
        <w:t xml:space="preserve"> учешће.</w:t>
      </w:r>
    </w:p>
    <w:p w14:paraId="04CC5FFF" w14:textId="7DE04940" w:rsidR="009B750B" w:rsidRDefault="009B750B" w:rsidP="00B137AC">
      <w:pPr>
        <w:jc w:val="both"/>
        <w:rPr>
          <w:rFonts w:ascii="Times New Roman" w:hAnsi="Times New Roman" w:cs="Times New Roman"/>
          <w:color w:val="FF0000"/>
          <w:sz w:val="24"/>
          <w:szCs w:val="24"/>
        </w:rPr>
      </w:pPr>
    </w:p>
    <w:p w14:paraId="20670560" w14:textId="5D233B08" w:rsidR="00C35CBB" w:rsidRDefault="00C35CBB" w:rsidP="00B137AC">
      <w:pPr>
        <w:jc w:val="both"/>
        <w:rPr>
          <w:rFonts w:ascii="Times New Roman" w:hAnsi="Times New Roman" w:cs="Times New Roman"/>
          <w:color w:val="FF0000"/>
          <w:sz w:val="24"/>
          <w:szCs w:val="24"/>
        </w:rPr>
      </w:pPr>
    </w:p>
    <w:p w14:paraId="2B9C8603" w14:textId="3855A577" w:rsidR="00A67EE2" w:rsidRDefault="00A67EE2" w:rsidP="00B137AC">
      <w:pPr>
        <w:jc w:val="both"/>
        <w:rPr>
          <w:rFonts w:ascii="Times New Roman" w:hAnsi="Times New Roman" w:cs="Times New Roman"/>
          <w:color w:val="FF0000"/>
          <w:sz w:val="24"/>
          <w:szCs w:val="24"/>
        </w:rPr>
      </w:pPr>
    </w:p>
    <w:p w14:paraId="48B9962E" w14:textId="25CC5558" w:rsidR="00A67EE2" w:rsidRDefault="00A67EE2" w:rsidP="00B137AC">
      <w:pPr>
        <w:jc w:val="both"/>
        <w:rPr>
          <w:rFonts w:ascii="Times New Roman" w:hAnsi="Times New Roman" w:cs="Times New Roman"/>
          <w:color w:val="FF0000"/>
          <w:sz w:val="24"/>
          <w:szCs w:val="24"/>
        </w:rPr>
      </w:pPr>
    </w:p>
    <w:p w14:paraId="2AF2DD8C" w14:textId="4A3FD778" w:rsidR="00A67EE2" w:rsidRDefault="00A67EE2" w:rsidP="00B137AC">
      <w:pPr>
        <w:jc w:val="both"/>
        <w:rPr>
          <w:rFonts w:ascii="Times New Roman" w:hAnsi="Times New Roman" w:cs="Times New Roman"/>
          <w:color w:val="FF0000"/>
          <w:sz w:val="24"/>
          <w:szCs w:val="24"/>
        </w:rPr>
      </w:pPr>
    </w:p>
    <w:p w14:paraId="0E3A01E5" w14:textId="577F892F" w:rsidR="00A67EE2" w:rsidRDefault="00A67EE2" w:rsidP="00B137AC">
      <w:pPr>
        <w:jc w:val="both"/>
        <w:rPr>
          <w:rFonts w:ascii="Times New Roman" w:hAnsi="Times New Roman" w:cs="Times New Roman"/>
          <w:color w:val="FF0000"/>
          <w:sz w:val="24"/>
          <w:szCs w:val="24"/>
        </w:rPr>
      </w:pPr>
    </w:p>
    <w:p w14:paraId="52BEA98A" w14:textId="3A813540" w:rsidR="00A67EE2" w:rsidRDefault="00A67EE2" w:rsidP="00B137AC">
      <w:pPr>
        <w:jc w:val="both"/>
        <w:rPr>
          <w:rFonts w:ascii="Times New Roman" w:hAnsi="Times New Roman" w:cs="Times New Roman"/>
          <w:color w:val="FF0000"/>
          <w:sz w:val="24"/>
          <w:szCs w:val="24"/>
        </w:rPr>
      </w:pPr>
    </w:p>
    <w:p w14:paraId="09E4BD1B" w14:textId="3EF11D0F" w:rsidR="00A67EE2" w:rsidRDefault="00A67EE2" w:rsidP="00B137AC">
      <w:pPr>
        <w:jc w:val="both"/>
        <w:rPr>
          <w:rFonts w:ascii="Times New Roman" w:hAnsi="Times New Roman" w:cs="Times New Roman"/>
          <w:color w:val="FF0000"/>
          <w:sz w:val="24"/>
          <w:szCs w:val="24"/>
        </w:rPr>
      </w:pPr>
    </w:p>
    <w:p w14:paraId="42F4ADFA" w14:textId="77777777" w:rsidR="00A67EE2" w:rsidRPr="009B750B" w:rsidRDefault="00A67EE2" w:rsidP="00B137AC">
      <w:pPr>
        <w:jc w:val="both"/>
        <w:rPr>
          <w:rFonts w:ascii="Times New Roman" w:hAnsi="Times New Roman" w:cs="Times New Roman"/>
          <w:color w:val="FF0000"/>
          <w:sz w:val="24"/>
          <w:szCs w:val="24"/>
        </w:rPr>
      </w:pPr>
    </w:p>
    <w:p w14:paraId="4F5C4589" w14:textId="77777777" w:rsidR="00C84858" w:rsidRPr="00B137AC" w:rsidRDefault="00C84858" w:rsidP="00960A8C">
      <w:pPr>
        <w:pStyle w:val="ListParagraph"/>
        <w:numPr>
          <w:ilvl w:val="0"/>
          <w:numId w:val="2"/>
        </w:numPr>
        <w:jc w:val="both"/>
        <w:rPr>
          <w:rFonts w:ascii="Times New Roman" w:hAnsi="Times New Roman" w:cs="Times New Roman"/>
          <w:b/>
          <w:sz w:val="24"/>
          <w:szCs w:val="24"/>
          <w:lang w:val="en-US"/>
        </w:rPr>
      </w:pPr>
      <w:r w:rsidRPr="00B137AC">
        <w:rPr>
          <w:rFonts w:ascii="Times New Roman" w:hAnsi="Times New Roman" w:cs="Times New Roman"/>
          <w:b/>
          <w:sz w:val="24"/>
          <w:szCs w:val="24"/>
        </w:rPr>
        <w:lastRenderedPageBreak/>
        <w:t>ОКВИРНИ СПОРАЗУМИ</w:t>
      </w:r>
    </w:p>
    <w:p w14:paraId="2A988CF4" w14:textId="77777777" w:rsidR="00B137AC" w:rsidRPr="00B137AC" w:rsidRDefault="00B137AC" w:rsidP="00B137AC">
      <w:pPr>
        <w:pStyle w:val="ListParagraph"/>
        <w:jc w:val="both"/>
        <w:rPr>
          <w:rFonts w:ascii="Times New Roman" w:hAnsi="Times New Roman" w:cs="Times New Roman"/>
          <w:b/>
          <w:sz w:val="24"/>
          <w:szCs w:val="24"/>
          <w:lang w:val="en-US"/>
        </w:rPr>
      </w:pPr>
    </w:p>
    <w:p w14:paraId="7E2C2B87" w14:textId="22CCAA09" w:rsidR="00B137AC" w:rsidRPr="00BE7D6A" w:rsidRDefault="002C4F52" w:rsidP="00F610A3">
      <w:pPr>
        <w:pStyle w:val="ListParagraph"/>
        <w:ind w:left="-142"/>
        <w:jc w:val="both"/>
        <w:rPr>
          <w:rFonts w:ascii="Times New Roman" w:hAnsi="Times New Roman" w:cs="Times New Roman"/>
          <w:color w:val="000000" w:themeColor="text1"/>
          <w:sz w:val="24"/>
          <w:szCs w:val="24"/>
        </w:rPr>
      </w:pPr>
      <w:r w:rsidRPr="00D96A95">
        <w:rPr>
          <w:rFonts w:ascii="Times New Roman" w:hAnsi="Times New Roman" w:cs="Times New Roman"/>
          <w:color w:val="000000" w:themeColor="text1"/>
          <w:sz w:val="24"/>
          <w:szCs w:val="24"/>
        </w:rPr>
        <w:t>У</w:t>
      </w:r>
      <w:r w:rsidR="00C84858" w:rsidRPr="00D96A95">
        <w:rPr>
          <w:rFonts w:ascii="Times New Roman" w:hAnsi="Times New Roman" w:cs="Times New Roman"/>
          <w:color w:val="000000" w:themeColor="text1"/>
          <w:sz w:val="24"/>
          <w:szCs w:val="24"/>
        </w:rPr>
        <w:t xml:space="preserve"> </w:t>
      </w:r>
      <w:r w:rsidR="00242912" w:rsidRPr="00D96A95">
        <w:rPr>
          <w:rFonts w:ascii="Times New Roman" w:hAnsi="Times New Roman" w:cs="Times New Roman"/>
          <w:color w:val="000000" w:themeColor="text1"/>
          <w:sz w:val="24"/>
          <w:szCs w:val="24"/>
        </w:rPr>
        <w:t>201</w:t>
      </w:r>
      <w:r w:rsidR="00C54663">
        <w:rPr>
          <w:rFonts w:ascii="Times New Roman" w:hAnsi="Times New Roman" w:cs="Times New Roman"/>
          <w:color w:val="000000" w:themeColor="text1"/>
          <w:sz w:val="24"/>
          <w:szCs w:val="24"/>
          <w:lang w:val="en-US"/>
        </w:rPr>
        <w:t>9</w:t>
      </w:r>
      <w:r w:rsidR="00C84858" w:rsidRPr="00D96A95">
        <w:rPr>
          <w:rFonts w:ascii="Times New Roman" w:hAnsi="Times New Roman" w:cs="Times New Roman"/>
          <w:color w:val="000000" w:themeColor="text1"/>
          <w:sz w:val="24"/>
          <w:szCs w:val="24"/>
        </w:rPr>
        <w:t>. години закључено</w:t>
      </w:r>
      <w:r w:rsidR="00AF5F7C" w:rsidRPr="00D96A95">
        <w:rPr>
          <w:rFonts w:ascii="Times New Roman" w:hAnsi="Times New Roman" w:cs="Times New Roman"/>
          <w:color w:val="000000" w:themeColor="text1"/>
          <w:sz w:val="24"/>
          <w:szCs w:val="24"/>
        </w:rPr>
        <w:t xml:space="preserve"> је</w:t>
      </w:r>
      <w:r w:rsidR="00C84858" w:rsidRPr="00D96A95">
        <w:rPr>
          <w:rFonts w:ascii="Times New Roman" w:hAnsi="Times New Roman" w:cs="Times New Roman"/>
          <w:color w:val="000000" w:themeColor="text1"/>
          <w:sz w:val="24"/>
          <w:szCs w:val="24"/>
        </w:rPr>
        <w:t xml:space="preserve"> укупно </w:t>
      </w:r>
      <w:r w:rsidR="00242912" w:rsidRPr="00D96A95">
        <w:rPr>
          <w:rFonts w:ascii="Times New Roman" w:hAnsi="Times New Roman" w:cs="Times New Roman"/>
          <w:color w:val="000000" w:themeColor="text1"/>
          <w:sz w:val="24"/>
          <w:szCs w:val="24"/>
          <w:lang w:val="en-US"/>
        </w:rPr>
        <w:t>2</w:t>
      </w:r>
      <w:r w:rsidR="000F73FA" w:rsidRPr="00D96A95">
        <w:rPr>
          <w:rFonts w:ascii="Times New Roman" w:hAnsi="Times New Roman" w:cs="Times New Roman"/>
          <w:color w:val="000000" w:themeColor="text1"/>
          <w:sz w:val="24"/>
          <w:szCs w:val="24"/>
        </w:rPr>
        <w:t>.</w:t>
      </w:r>
      <w:r w:rsidR="00C54663">
        <w:rPr>
          <w:rFonts w:ascii="Times New Roman" w:hAnsi="Times New Roman" w:cs="Times New Roman"/>
          <w:color w:val="000000" w:themeColor="text1"/>
          <w:sz w:val="24"/>
          <w:szCs w:val="24"/>
          <w:lang w:val="en-US"/>
        </w:rPr>
        <w:t>869</w:t>
      </w:r>
      <w:r w:rsidR="00242912" w:rsidRPr="00D96A95">
        <w:rPr>
          <w:rFonts w:ascii="Times New Roman" w:hAnsi="Times New Roman" w:cs="Times New Roman"/>
          <w:color w:val="000000" w:themeColor="text1"/>
          <w:sz w:val="24"/>
          <w:szCs w:val="24"/>
        </w:rPr>
        <w:t xml:space="preserve"> оквирних споразума </w:t>
      </w:r>
      <w:r w:rsidRPr="00D96A95">
        <w:rPr>
          <w:rFonts w:ascii="Times New Roman" w:hAnsi="Times New Roman" w:cs="Times New Roman"/>
          <w:color w:val="000000" w:themeColor="text1"/>
          <w:sz w:val="24"/>
          <w:szCs w:val="24"/>
        </w:rPr>
        <w:t xml:space="preserve">што је за </w:t>
      </w:r>
      <w:r w:rsidR="00C54663">
        <w:rPr>
          <w:rFonts w:ascii="Times New Roman" w:hAnsi="Times New Roman" w:cs="Times New Roman"/>
          <w:color w:val="000000" w:themeColor="text1"/>
          <w:sz w:val="24"/>
          <w:szCs w:val="24"/>
          <w:lang w:val="en-US"/>
        </w:rPr>
        <w:t>1</w:t>
      </w:r>
      <w:r w:rsidR="00A420C9">
        <w:rPr>
          <w:rFonts w:ascii="Times New Roman" w:hAnsi="Times New Roman" w:cs="Times New Roman"/>
          <w:color w:val="000000" w:themeColor="text1"/>
          <w:sz w:val="24"/>
          <w:szCs w:val="24"/>
          <w:lang w:val="en-US"/>
        </w:rPr>
        <w:t>3</w:t>
      </w:r>
      <w:r w:rsidR="000F73FA" w:rsidRPr="00D96A95">
        <w:rPr>
          <w:rFonts w:ascii="Times New Roman" w:hAnsi="Times New Roman" w:cs="Times New Roman"/>
          <w:color w:val="000000" w:themeColor="text1"/>
          <w:sz w:val="24"/>
          <w:szCs w:val="24"/>
        </w:rPr>
        <w:t xml:space="preserve">% </w:t>
      </w:r>
      <w:r w:rsidR="00A420C9">
        <w:rPr>
          <w:rFonts w:ascii="Times New Roman" w:hAnsi="Times New Roman" w:cs="Times New Roman"/>
          <w:color w:val="000000" w:themeColor="text1"/>
          <w:sz w:val="24"/>
          <w:szCs w:val="24"/>
        </w:rPr>
        <w:t>више</w:t>
      </w:r>
      <w:r w:rsidR="006D041D">
        <w:rPr>
          <w:rFonts w:ascii="Times New Roman" w:hAnsi="Times New Roman" w:cs="Times New Roman"/>
          <w:color w:val="000000" w:themeColor="text1"/>
          <w:sz w:val="24"/>
          <w:szCs w:val="24"/>
        </w:rPr>
        <w:t xml:space="preserve"> у односу на претходну годину </w:t>
      </w:r>
      <w:r w:rsidR="000F73FA" w:rsidRPr="00D96A95">
        <w:rPr>
          <w:rFonts w:ascii="Times New Roman" w:hAnsi="Times New Roman" w:cs="Times New Roman"/>
          <w:color w:val="000000" w:themeColor="text1"/>
          <w:sz w:val="24"/>
          <w:szCs w:val="24"/>
        </w:rPr>
        <w:t>(</w:t>
      </w:r>
      <w:r w:rsidR="00E92529" w:rsidRPr="00BE7D6A">
        <w:rPr>
          <w:rFonts w:ascii="Times New Roman" w:hAnsi="Times New Roman" w:cs="Times New Roman"/>
          <w:color w:val="000000" w:themeColor="text1"/>
          <w:sz w:val="24"/>
          <w:szCs w:val="24"/>
        </w:rPr>
        <w:t>Т</w:t>
      </w:r>
      <w:r w:rsidR="00877880" w:rsidRPr="00BE7D6A">
        <w:rPr>
          <w:rFonts w:ascii="Times New Roman" w:hAnsi="Times New Roman" w:cs="Times New Roman"/>
          <w:color w:val="000000" w:themeColor="text1"/>
          <w:sz w:val="24"/>
          <w:szCs w:val="24"/>
        </w:rPr>
        <w:t>абела 1</w:t>
      </w:r>
      <w:r w:rsidR="00A11E97">
        <w:rPr>
          <w:rFonts w:ascii="Times New Roman" w:hAnsi="Times New Roman" w:cs="Times New Roman"/>
          <w:color w:val="000000" w:themeColor="text1"/>
          <w:sz w:val="24"/>
          <w:szCs w:val="24"/>
        </w:rPr>
        <w:t>7</w:t>
      </w:r>
      <w:r w:rsidR="00B137AC" w:rsidRPr="00BE7D6A">
        <w:rPr>
          <w:rFonts w:ascii="Times New Roman" w:hAnsi="Times New Roman" w:cs="Times New Roman"/>
          <w:color w:val="000000" w:themeColor="text1"/>
          <w:sz w:val="24"/>
          <w:szCs w:val="24"/>
        </w:rPr>
        <w:t>).</w:t>
      </w:r>
      <w:r w:rsidR="00242912" w:rsidRPr="00BE7D6A">
        <w:rPr>
          <w:rFonts w:ascii="Times New Roman" w:hAnsi="Times New Roman" w:cs="Times New Roman"/>
          <w:color w:val="000000" w:themeColor="text1"/>
          <w:sz w:val="24"/>
          <w:szCs w:val="24"/>
        </w:rPr>
        <w:t xml:space="preserve"> </w:t>
      </w:r>
    </w:p>
    <w:p w14:paraId="275A28FF" w14:textId="77777777" w:rsidR="00B137AC" w:rsidRPr="00BE7D6A" w:rsidRDefault="00B137AC" w:rsidP="00B137AC">
      <w:pPr>
        <w:pStyle w:val="ListParagraph"/>
        <w:ind w:left="-142"/>
        <w:jc w:val="both"/>
        <w:rPr>
          <w:rFonts w:ascii="Times New Roman" w:hAnsi="Times New Roman" w:cs="Times New Roman"/>
          <w:color w:val="000000" w:themeColor="text1"/>
          <w:sz w:val="24"/>
          <w:szCs w:val="24"/>
        </w:rPr>
      </w:pPr>
    </w:p>
    <w:p w14:paraId="7BA55B9D" w14:textId="25F36067" w:rsidR="000F73FA" w:rsidRPr="005005C3" w:rsidRDefault="00A306B0" w:rsidP="00B137AC">
      <w:pPr>
        <w:pStyle w:val="ListParagraph"/>
        <w:ind w:left="-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11C14" w:rsidRPr="005005C3">
        <w:rPr>
          <w:rFonts w:ascii="Times New Roman" w:hAnsi="Times New Roman" w:cs="Times New Roman"/>
          <w:b/>
          <w:color w:val="000000" w:themeColor="text1"/>
          <w:sz w:val="24"/>
          <w:szCs w:val="24"/>
        </w:rPr>
        <w:t xml:space="preserve"> </w:t>
      </w:r>
      <w:r w:rsidR="00C631AB" w:rsidRPr="005005C3">
        <w:rPr>
          <w:rFonts w:ascii="Times New Roman" w:hAnsi="Times New Roman" w:cs="Times New Roman"/>
          <w:b/>
          <w:color w:val="000000" w:themeColor="text1"/>
          <w:sz w:val="24"/>
          <w:szCs w:val="24"/>
        </w:rPr>
        <w:t>Табела 1</w:t>
      </w:r>
      <w:r w:rsidR="00A11E97">
        <w:rPr>
          <w:rFonts w:ascii="Times New Roman" w:hAnsi="Times New Roman" w:cs="Times New Roman"/>
          <w:b/>
          <w:color w:val="000000" w:themeColor="text1"/>
          <w:sz w:val="24"/>
          <w:szCs w:val="24"/>
        </w:rPr>
        <w:t>7</w:t>
      </w:r>
    </w:p>
    <w:tbl>
      <w:tblPr>
        <w:tblStyle w:val="TableGrid"/>
        <w:tblW w:w="0" w:type="auto"/>
        <w:jc w:val="center"/>
        <w:tblLook w:val="04A0" w:firstRow="1" w:lastRow="0" w:firstColumn="1" w:lastColumn="0" w:noHBand="0" w:noVBand="1"/>
      </w:tblPr>
      <w:tblGrid>
        <w:gridCol w:w="2223"/>
        <w:gridCol w:w="1813"/>
        <w:gridCol w:w="1713"/>
        <w:gridCol w:w="1713"/>
        <w:gridCol w:w="1554"/>
      </w:tblGrid>
      <w:tr w:rsidR="00C54663" w:rsidRPr="00BE7D6A" w14:paraId="1D641DDC" w14:textId="77777777" w:rsidTr="00181965">
        <w:trPr>
          <w:jc w:val="center"/>
        </w:trPr>
        <w:tc>
          <w:tcPr>
            <w:tcW w:w="2223" w:type="dxa"/>
            <w:vMerge w:val="restart"/>
          </w:tcPr>
          <w:p w14:paraId="28DD33FB" w14:textId="77777777" w:rsidR="00C54663" w:rsidRPr="00BE7D6A" w:rsidRDefault="00C54663" w:rsidP="00181965">
            <w:pPr>
              <w:jc w:val="center"/>
              <w:rPr>
                <w:rFonts w:ascii="Times New Roman" w:hAnsi="Times New Roman" w:cs="Times New Roman"/>
                <w:b/>
                <w:color w:val="000000" w:themeColor="text1"/>
                <w:sz w:val="24"/>
                <w:szCs w:val="24"/>
              </w:rPr>
            </w:pPr>
            <w:r w:rsidRPr="00BE7D6A">
              <w:rPr>
                <w:rFonts w:ascii="Times New Roman" w:hAnsi="Times New Roman" w:cs="Times New Roman"/>
                <w:b/>
                <w:color w:val="000000" w:themeColor="text1"/>
                <w:sz w:val="24"/>
                <w:szCs w:val="24"/>
              </w:rPr>
              <w:t>Број закључених оквирних споразума</w:t>
            </w:r>
          </w:p>
        </w:tc>
        <w:tc>
          <w:tcPr>
            <w:tcW w:w="1813" w:type="dxa"/>
            <w:vAlign w:val="center"/>
          </w:tcPr>
          <w:p w14:paraId="491FDB8E" w14:textId="77777777" w:rsidR="00C54663" w:rsidRPr="00BE7D6A" w:rsidRDefault="00C54663" w:rsidP="00181965">
            <w:pPr>
              <w:jc w:val="center"/>
              <w:rPr>
                <w:rFonts w:ascii="Times New Roman" w:hAnsi="Times New Roman" w:cs="Times New Roman"/>
                <w:b/>
                <w:color w:val="000000" w:themeColor="text1"/>
                <w:sz w:val="24"/>
                <w:szCs w:val="24"/>
                <w:lang w:val="en-US"/>
              </w:rPr>
            </w:pPr>
            <w:r w:rsidRPr="00BE7D6A">
              <w:rPr>
                <w:rFonts w:ascii="Times New Roman" w:hAnsi="Times New Roman" w:cs="Times New Roman"/>
                <w:b/>
                <w:color w:val="000000" w:themeColor="text1"/>
                <w:sz w:val="24"/>
                <w:szCs w:val="24"/>
              </w:rPr>
              <w:t>201</w:t>
            </w:r>
            <w:r w:rsidRPr="00BE7D6A">
              <w:rPr>
                <w:rFonts w:ascii="Times New Roman" w:hAnsi="Times New Roman" w:cs="Times New Roman"/>
                <w:b/>
                <w:color w:val="000000" w:themeColor="text1"/>
                <w:sz w:val="24"/>
                <w:szCs w:val="24"/>
                <w:lang w:val="en-US"/>
              </w:rPr>
              <w:t>6</w:t>
            </w:r>
          </w:p>
        </w:tc>
        <w:tc>
          <w:tcPr>
            <w:tcW w:w="1713" w:type="dxa"/>
            <w:vAlign w:val="center"/>
          </w:tcPr>
          <w:p w14:paraId="6636B957" w14:textId="77777777" w:rsidR="00C54663" w:rsidRPr="00BE7D6A" w:rsidRDefault="00C54663" w:rsidP="00181965">
            <w:pPr>
              <w:jc w:val="center"/>
              <w:rPr>
                <w:rFonts w:ascii="Times New Roman" w:hAnsi="Times New Roman" w:cs="Times New Roman"/>
                <w:b/>
                <w:color w:val="000000" w:themeColor="text1"/>
                <w:sz w:val="24"/>
                <w:szCs w:val="24"/>
                <w:lang w:val="en-GB"/>
              </w:rPr>
            </w:pPr>
            <w:r w:rsidRPr="00BE7D6A">
              <w:rPr>
                <w:rFonts w:ascii="Times New Roman" w:hAnsi="Times New Roman" w:cs="Times New Roman"/>
                <w:b/>
                <w:color w:val="000000" w:themeColor="text1"/>
                <w:sz w:val="24"/>
                <w:szCs w:val="24"/>
                <w:lang w:val="en-GB"/>
              </w:rPr>
              <w:t>2017</w:t>
            </w:r>
          </w:p>
        </w:tc>
        <w:tc>
          <w:tcPr>
            <w:tcW w:w="1713" w:type="dxa"/>
            <w:vAlign w:val="center"/>
          </w:tcPr>
          <w:p w14:paraId="5C7127E1" w14:textId="77777777" w:rsidR="00C54663" w:rsidRPr="00A420C9" w:rsidRDefault="00C54663" w:rsidP="00181965">
            <w:pPr>
              <w:jc w:val="center"/>
              <w:rPr>
                <w:rFonts w:ascii="Times New Roman" w:hAnsi="Times New Roman" w:cs="Times New Roman"/>
                <w:b/>
                <w:color w:val="000000" w:themeColor="text1"/>
                <w:sz w:val="24"/>
                <w:szCs w:val="24"/>
                <w:lang w:val="sr-Cyrl-CS"/>
              </w:rPr>
            </w:pPr>
            <w:r>
              <w:rPr>
                <w:rFonts w:ascii="Times New Roman" w:hAnsi="Times New Roman" w:cs="Times New Roman"/>
                <w:b/>
                <w:color w:val="000000" w:themeColor="text1"/>
                <w:sz w:val="24"/>
                <w:szCs w:val="24"/>
                <w:lang w:val="sr-Cyrl-CS"/>
              </w:rPr>
              <w:t>2018</w:t>
            </w:r>
          </w:p>
        </w:tc>
        <w:tc>
          <w:tcPr>
            <w:tcW w:w="1554" w:type="dxa"/>
            <w:vAlign w:val="center"/>
          </w:tcPr>
          <w:p w14:paraId="7C13C471" w14:textId="77777777" w:rsidR="00C54663" w:rsidRDefault="00C54663" w:rsidP="00181965">
            <w:pPr>
              <w:jc w:val="center"/>
              <w:rPr>
                <w:rFonts w:ascii="Times New Roman" w:hAnsi="Times New Roman" w:cs="Times New Roman"/>
                <w:b/>
                <w:color w:val="000000" w:themeColor="text1"/>
                <w:sz w:val="24"/>
                <w:szCs w:val="24"/>
                <w:lang w:val="sr-Cyrl-CS"/>
              </w:rPr>
            </w:pPr>
            <w:r>
              <w:rPr>
                <w:rFonts w:ascii="Times New Roman" w:hAnsi="Times New Roman" w:cs="Times New Roman"/>
                <w:b/>
                <w:color w:val="000000" w:themeColor="text1"/>
                <w:sz w:val="24"/>
                <w:szCs w:val="24"/>
                <w:lang w:val="sr-Cyrl-CS"/>
              </w:rPr>
              <w:t>2019</w:t>
            </w:r>
          </w:p>
        </w:tc>
      </w:tr>
      <w:tr w:rsidR="00C54663" w:rsidRPr="00BE7D6A" w14:paraId="2E948161" w14:textId="77777777" w:rsidTr="00181965">
        <w:trPr>
          <w:jc w:val="center"/>
        </w:trPr>
        <w:tc>
          <w:tcPr>
            <w:tcW w:w="2223" w:type="dxa"/>
            <w:vMerge/>
          </w:tcPr>
          <w:p w14:paraId="24DA4FAC" w14:textId="77777777" w:rsidR="00C54663" w:rsidRPr="00BE7D6A" w:rsidRDefault="00C54663" w:rsidP="00181965">
            <w:pPr>
              <w:jc w:val="center"/>
              <w:rPr>
                <w:rFonts w:ascii="Times New Roman" w:hAnsi="Times New Roman" w:cs="Times New Roman"/>
                <w:b/>
                <w:color w:val="000000" w:themeColor="text1"/>
                <w:sz w:val="24"/>
                <w:szCs w:val="24"/>
              </w:rPr>
            </w:pPr>
          </w:p>
        </w:tc>
        <w:tc>
          <w:tcPr>
            <w:tcW w:w="1813" w:type="dxa"/>
            <w:vAlign w:val="center"/>
          </w:tcPr>
          <w:p w14:paraId="662F4FA6" w14:textId="77777777" w:rsidR="00C54663" w:rsidRPr="00BE7D6A" w:rsidRDefault="00C54663" w:rsidP="00181965">
            <w:pPr>
              <w:jc w:val="center"/>
              <w:rPr>
                <w:rFonts w:ascii="Times New Roman" w:hAnsi="Times New Roman" w:cs="Times New Roman"/>
                <w:color w:val="000000" w:themeColor="text1"/>
                <w:sz w:val="24"/>
                <w:szCs w:val="24"/>
                <w:lang w:val="en-US"/>
              </w:rPr>
            </w:pPr>
            <w:r w:rsidRPr="00BE7D6A">
              <w:rPr>
                <w:rFonts w:ascii="Times New Roman" w:hAnsi="Times New Roman" w:cs="Times New Roman"/>
                <w:color w:val="000000" w:themeColor="text1"/>
                <w:sz w:val="24"/>
                <w:szCs w:val="24"/>
                <w:lang w:val="en-US"/>
              </w:rPr>
              <w:t>2.199</w:t>
            </w:r>
          </w:p>
        </w:tc>
        <w:tc>
          <w:tcPr>
            <w:tcW w:w="1713" w:type="dxa"/>
            <w:vAlign w:val="center"/>
          </w:tcPr>
          <w:p w14:paraId="400F8F29" w14:textId="77777777" w:rsidR="00C54663" w:rsidRPr="00BE7D6A" w:rsidRDefault="00C54663" w:rsidP="00181965">
            <w:pPr>
              <w:jc w:val="center"/>
              <w:rPr>
                <w:rFonts w:ascii="Times New Roman" w:hAnsi="Times New Roman" w:cs="Times New Roman"/>
                <w:color w:val="000000" w:themeColor="text1"/>
                <w:sz w:val="24"/>
                <w:szCs w:val="24"/>
                <w:lang w:val="en-US"/>
              </w:rPr>
            </w:pPr>
            <w:r w:rsidRPr="00BE7D6A">
              <w:rPr>
                <w:rFonts w:ascii="Times New Roman" w:hAnsi="Times New Roman" w:cs="Times New Roman"/>
                <w:color w:val="000000" w:themeColor="text1"/>
                <w:sz w:val="24"/>
                <w:szCs w:val="24"/>
                <w:lang w:val="en-US"/>
              </w:rPr>
              <w:t>2.055</w:t>
            </w:r>
          </w:p>
        </w:tc>
        <w:tc>
          <w:tcPr>
            <w:tcW w:w="1713" w:type="dxa"/>
            <w:vAlign w:val="center"/>
          </w:tcPr>
          <w:p w14:paraId="2FF3FB67" w14:textId="77777777" w:rsidR="00C54663" w:rsidRPr="00A420C9" w:rsidRDefault="00C54663" w:rsidP="00181965">
            <w:pPr>
              <w:jc w:val="center"/>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2.530</w:t>
            </w:r>
          </w:p>
        </w:tc>
        <w:tc>
          <w:tcPr>
            <w:tcW w:w="1554" w:type="dxa"/>
            <w:vAlign w:val="center"/>
          </w:tcPr>
          <w:p w14:paraId="3E005A49" w14:textId="77777777" w:rsidR="00C54663" w:rsidRDefault="00C54663" w:rsidP="00181965">
            <w:pPr>
              <w:jc w:val="center"/>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2.869</w:t>
            </w:r>
          </w:p>
        </w:tc>
      </w:tr>
    </w:tbl>
    <w:p w14:paraId="51F6FB44" w14:textId="77777777" w:rsidR="009B750B" w:rsidRPr="00BE7D6A" w:rsidRDefault="009B750B" w:rsidP="00B137AC">
      <w:pPr>
        <w:jc w:val="both"/>
        <w:rPr>
          <w:rFonts w:ascii="Times New Roman" w:hAnsi="Times New Roman" w:cs="Times New Roman"/>
          <w:color w:val="000000" w:themeColor="text1"/>
          <w:sz w:val="24"/>
          <w:szCs w:val="24"/>
        </w:rPr>
      </w:pPr>
    </w:p>
    <w:p w14:paraId="3061994D" w14:textId="590B84C8" w:rsidR="00163E0C" w:rsidRPr="00BE7D6A" w:rsidRDefault="005005C3" w:rsidP="00B137AC">
      <w:pPr>
        <w:jc w:val="both"/>
        <w:rPr>
          <w:rFonts w:ascii="Times New Roman" w:hAnsi="Times New Roman" w:cs="Times New Roman"/>
          <w:color w:val="000000" w:themeColor="text1"/>
          <w:sz w:val="24"/>
          <w:szCs w:val="24"/>
          <w:lang w:val="sr"/>
        </w:rPr>
      </w:pPr>
      <w:r>
        <w:rPr>
          <w:rFonts w:ascii="Times New Roman" w:hAnsi="Times New Roman" w:cs="Times New Roman"/>
          <w:color w:val="000000" w:themeColor="text1"/>
          <w:sz w:val="24"/>
          <w:szCs w:val="24"/>
        </w:rPr>
        <w:t>Вредност</w:t>
      </w:r>
      <w:r w:rsidR="004F36AF" w:rsidRPr="00BE7D6A">
        <w:rPr>
          <w:rFonts w:ascii="Times New Roman" w:hAnsi="Times New Roman" w:cs="Times New Roman"/>
          <w:color w:val="000000" w:themeColor="text1"/>
          <w:sz w:val="24"/>
          <w:szCs w:val="24"/>
        </w:rPr>
        <w:t xml:space="preserve"> </w:t>
      </w:r>
      <w:r w:rsidRPr="00BE7D6A">
        <w:rPr>
          <w:rFonts w:ascii="Times New Roman" w:hAnsi="Times New Roman" w:cs="Times New Roman"/>
          <w:color w:val="000000" w:themeColor="text1"/>
          <w:sz w:val="24"/>
          <w:szCs w:val="24"/>
        </w:rPr>
        <w:t xml:space="preserve">уговора </w:t>
      </w:r>
      <w:r w:rsidR="004F36AF" w:rsidRPr="00BE7D6A">
        <w:rPr>
          <w:rFonts w:ascii="Times New Roman" w:hAnsi="Times New Roman" w:cs="Times New Roman"/>
          <w:color w:val="000000" w:themeColor="text1"/>
          <w:sz w:val="24"/>
          <w:szCs w:val="24"/>
        </w:rPr>
        <w:t xml:space="preserve">закључених </w:t>
      </w:r>
      <w:r>
        <w:rPr>
          <w:rFonts w:ascii="Times New Roman" w:hAnsi="Times New Roman" w:cs="Times New Roman"/>
          <w:color w:val="000000" w:themeColor="text1"/>
          <w:sz w:val="24"/>
          <w:szCs w:val="24"/>
        </w:rPr>
        <w:t xml:space="preserve">на основу оквирних споразума </w:t>
      </w:r>
      <w:r w:rsidR="004F36AF" w:rsidRPr="00BE7D6A">
        <w:rPr>
          <w:rFonts w:ascii="Times New Roman" w:hAnsi="Times New Roman" w:cs="Times New Roman"/>
          <w:color w:val="000000" w:themeColor="text1"/>
          <w:sz w:val="24"/>
          <w:szCs w:val="24"/>
        </w:rPr>
        <w:t>повећала</w:t>
      </w:r>
      <w:r w:rsidR="00C54663">
        <w:rPr>
          <w:rFonts w:ascii="Times New Roman" w:hAnsi="Times New Roman" w:cs="Times New Roman"/>
          <w:color w:val="000000" w:themeColor="text1"/>
          <w:sz w:val="24"/>
          <w:szCs w:val="24"/>
        </w:rPr>
        <w:t xml:space="preserve"> се у 2019. години у односу на 2018</w:t>
      </w:r>
      <w:r>
        <w:rPr>
          <w:rFonts w:ascii="Times New Roman" w:hAnsi="Times New Roman" w:cs="Times New Roman"/>
          <w:color w:val="000000" w:themeColor="text1"/>
          <w:sz w:val="24"/>
          <w:szCs w:val="24"/>
        </w:rPr>
        <w:t>.</w:t>
      </w:r>
      <w:r w:rsidR="006D041D" w:rsidRPr="00BE7D6A">
        <w:rPr>
          <w:rFonts w:ascii="Times New Roman" w:hAnsi="Times New Roman" w:cs="Times New Roman"/>
          <w:color w:val="000000" w:themeColor="text1"/>
          <w:sz w:val="24"/>
          <w:szCs w:val="24"/>
        </w:rPr>
        <w:t xml:space="preserve"> </w:t>
      </w:r>
      <w:r w:rsidR="004F36AF" w:rsidRPr="00BE7D6A">
        <w:rPr>
          <w:rFonts w:ascii="Times New Roman" w:hAnsi="Times New Roman" w:cs="Times New Roman"/>
          <w:color w:val="000000" w:themeColor="text1"/>
          <w:sz w:val="24"/>
          <w:szCs w:val="24"/>
        </w:rPr>
        <w:t>за</w:t>
      </w:r>
      <w:r w:rsidR="00C54663">
        <w:rPr>
          <w:rFonts w:ascii="Times New Roman" w:hAnsi="Times New Roman" w:cs="Times New Roman"/>
          <w:color w:val="000000" w:themeColor="text1"/>
          <w:sz w:val="24"/>
          <w:szCs w:val="24"/>
        </w:rPr>
        <w:t xml:space="preserve"> 8,9</w:t>
      </w:r>
      <w:r w:rsidR="00E92529" w:rsidRPr="00BE7D6A">
        <w:rPr>
          <w:rFonts w:ascii="Times New Roman" w:hAnsi="Times New Roman" w:cs="Times New Roman"/>
          <w:color w:val="000000" w:themeColor="text1"/>
          <w:sz w:val="24"/>
          <w:szCs w:val="24"/>
        </w:rPr>
        <w:t xml:space="preserve"> милијарди динара (Т</w:t>
      </w:r>
      <w:r w:rsidR="00C84858" w:rsidRPr="00BE7D6A">
        <w:rPr>
          <w:rFonts w:ascii="Times New Roman" w:hAnsi="Times New Roman" w:cs="Times New Roman"/>
          <w:color w:val="000000" w:themeColor="text1"/>
          <w:sz w:val="24"/>
          <w:szCs w:val="24"/>
        </w:rPr>
        <w:t>абела 1</w:t>
      </w:r>
      <w:r w:rsidR="00B21F7E">
        <w:rPr>
          <w:rFonts w:ascii="Times New Roman" w:hAnsi="Times New Roman" w:cs="Times New Roman"/>
          <w:color w:val="000000" w:themeColor="text1"/>
          <w:sz w:val="24"/>
          <w:szCs w:val="24"/>
        </w:rPr>
        <w:t>8</w:t>
      </w:r>
      <w:r w:rsidR="00C84858" w:rsidRPr="00BE7D6A">
        <w:rPr>
          <w:rFonts w:ascii="Times New Roman" w:hAnsi="Times New Roman" w:cs="Times New Roman"/>
          <w:color w:val="000000" w:themeColor="text1"/>
          <w:sz w:val="24"/>
          <w:szCs w:val="24"/>
        </w:rPr>
        <w:t>)</w:t>
      </w:r>
      <w:r w:rsidR="002C4F52" w:rsidRPr="00BE7D6A">
        <w:rPr>
          <w:rFonts w:ascii="Times New Roman" w:hAnsi="Times New Roman" w:cs="Times New Roman"/>
          <w:color w:val="000000" w:themeColor="text1"/>
          <w:sz w:val="24"/>
          <w:szCs w:val="24"/>
        </w:rPr>
        <w:t>.</w:t>
      </w:r>
      <w:r w:rsidR="00B137AC" w:rsidRPr="00BE7D6A">
        <w:rPr>
          <w:rFonts w:ascii="Times New Roman" w:hAnsi="Times New Roman" w:cs="Times New Roman"/>
          <w:color w:val="000000" w:themeColor="text1"/>
          <w:sz w:val="24"/>
          <w:szCs w:val="24"/>
        </w:rPr>
        <w:t xml:space="preserve"> </w:t>
      </w:r>
    </w:p>
    <w:p w14:paraId="70F5C1B5" w14:textId="23A35400" w:rsidR="00C84858" w:rsidRPr="005005C3" w:rsidRDefault="00C35CBB" w:rsidP="00B137A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6D579B">
        <w:rPr>
          <w:rFonts w:ascii="Times New Roman" w:hAnsi="Times New Roman" w:cs="Times New Roman"/>
          <w:b/>
          <w:color w:val="000000" w:themeColor="text1"/>
          <w:sz w:val="24"/>
          <w:szCs w:val="24"/>
          <w:lang w:val="sr-Cyrl-CS"/>
        </w:rPr>
        <w:t xml:space="preserve"> </w:t>
      </w:r>
      <w:r>
        <w:rPr>
          <w:rFonts w:ascii="Times New Roman" w:hAnsi="Times New Roman" w:cs="Times New Roman"/>
          <w:b/>
          <w:color w:val="000000" w:themeColor="text1"/>
          <w:sz w:val="24"/>
          <w:szCs w:val="24"/>
          <w:lang w:val="sr-Cyrl-CS"/>
        </w:rPr>
        <w:t xml:space="preserve">   </w:t>
      </w:r>
      <w:r w:rsidR="00B21F7E">
        <w:rPr>
          <w:rFonts w:ascii="Times New Roman" w:hAnsi="Times New Roman" w:cs="Times New Roman"/>
          <w:b/>
          <w:color w:val="000000" w:themeColor="text1"/>
          <w:sz w:val="24"/>
          <w:szCs w:val="24"/>
        </w:rPr>
        <w:t>Табела 18</w:t>
      </w:r>
    </w:p>
    <w:tbl>
      <w:tblPr>
        <w:tblW w:w="10349" w:type="dxa"/>
        <w:tblInd w:w="392" w:type="dxa"/>
        <w:tblCellMar>
          <w:left w:w="0" w:type="dxa"/>
          <w:right w:w="0" w:type="dxa"/>
        </w:tblCellMar>
        <w:tblLook w:val="04A0" w:firstRow="1" w:lastRow="0" w:firstColumn="1" w:lastColumn="0" w:noHBand="0" w:noVBand="1"/>
      </w:tblPr>
      <w:tblGrid>
        <w:gridCol w:w="1697"/>
        <w:gridCol w:w="713"/>
        <w:gridCol w:w="1559"/>
        <w:gridCol w:w="851"/>
        <w:gridCol w:w="1134"/>
        <w:gridCol w:w="851"/>
        <w:gridCol w:w="2126"/>
        <w:gridCol w:w="1418"/>
      </w:tblGrid>
      <w:tr w:rsidR="00C54663" w:rsidRPr="005E5329" w14:paraId="059BDDF1" w14:textId="77777777" w:rsidTr="00181965">
        <w:trPr>
          <w:trHeight w:val="658"/>
        </w:trPr>
        <w:tc>
          <w:tcPr>
            <w:tcW w:w="10349"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95BDB7"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b/>
                <w:bCs/>
                <w:sz w:val="24"/>
                <w:szCs w:val="24"/>
              </w:rPr>
            </w:pPr>
            <w:r w:rsidRPr="005E5329">
              <w:rPr>
                <w:rFonts w:ascii="Times New Roman" w:eastAsia="Times New Roman" w:hAnsi="Times New Roman" w:cs="Times New Roman"/>
                <w:b/>
                <w:bCs/>
                <w:sz w:val="24"/>
                <w:szCs w:val="24"/>
              </w:rPr>
              <w:t>Упоредни преглед закључених уговора на основу оквирних спор</w:t>
            </w:r>
            <w:r>
              <w:rPr>
                <w:rFonts w:ascii="Times New Roman" w:eastAsia="Times New Roman" w:hAnsi="Times New Roman" w:cs="Times New Roman"/>
                <w:b/>
                <w:bCs/>
                <w:sz w:val="24"/>
                <w:szCs w:val="24"/>
              </w:rPr>
              <w:t>азума у 201</w:t>
            </w:r>
            <w:r>
              <w:rPr>
                <w:rFonts w:ascii="Times New Roman" w:eastAsia="Times New Roman" w:hAnsi="Times New Roman" w:cs="Times New Roman"/>
                <w:b/>
                <w:bCs/>
                <w:sz w:val="24"/>
                <w:szCs w:val="24"/>
                <w:lang w:val="en-US"/>
              </w:rPr>
              <w:t>8</w:t>
            </w:r>
            <w:r>
              <w:rPr>
                <w:rFonts w:ascii="Times New Roman" w:eastAsia="Times New Roman" w:hAnsi="Times New Roman" w:cs="Times New Roman"/>
                <w:b/>
                <w:bCs/>
                <w:sz w:val="24"/>
                <w:szCs w:val="24"/>
              </w:rPr>
              <w:t>. и 201</w:t>
            </w:r>
            <w:r>
              <w:rPr>
                <w:rFonts w:ascii="Times New Roman" w:eastAsia="Times New Roman" w:hAnsi="Times New Roman" w:cs="Times New Roman"/>
                <w:b/>
                <w:bCs/>
                <w:sz w:val="24"/>
                <w:szCs w:val="24"/>
                <w:lang w:val="en-US"/>
              </w:rPr>
              <w:t>9</w:t>
            </w:r>
            <w:r w:rsidRPr="005E5329">
              <w:rPr>
                <w:rFonts w:ascii="Times New Roman" w:eastAsia="Times New Roman" w:hAnsi="Times New Roman" w:cs="Times New Roman"/>
                <w:b/>
                <w:bCs/>
                <w:sz w:val="24"/>
                <w:szCs w:val="24"/>
              </w:rPr>
              <w:t>. години и њихово учешће у укупном броју и вредности уговора о јавним набавкама</w:t>
            </w:r>
          </w:p>
        </w:tc>
      </w:tr>
      <w:tr w:rsidR="00C54663" w:rsidRPr="005E5329" w14:paraId="609E4929" w14:textId="77777777" w:rsidTr="00181965">
        <w:trPr>
          <w:trHeight w:val="232"/>
        </w:trPr>
        <w:tc>
          <w:tcPr>
            <w:tcW w:w="48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E0C77"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lang w:val="en-US"/>
              </w:rPr>
              <w:t>8</w:t>
            </w:r>
            <w:r w:rsidRPr="005E5329">
              <w:rPr>
                <w:rFonts w:ascii="Times New Roman" w:eastAsia="Times New Roman" w:hAnsi="Times New Roman" w:cs="Times New Roman"/>
                <w:b/>
                <w:bCs/>
                <w:sz w:val="24"/>
                <w:szCs w:val="24"/>
              </w:rPr>
              <w:t>. година</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107A0"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lang w:val="en-US"/>
              </w:rPr>
              <w:t>9</w:t>
            </w:r>
            <w:r w:rsidRPr="005E5329">
              <w:rPr>
                <w:rFonts w:ascii="Times New Roman" w:eastAsia="Times New Roman" w:hAnsi="Times New Roman" w:cs="Times New Roman"/>
                <w:b/>
                <w:bCs/>
                <w:sz w:val="24"/>
                <w:szCs w:val="24"/>
              </w:rPr>
              <w:t>. година</w:t>
            </w:r>
          </w:p>
        </w:tc>
      </w:tr>
      <w:tr w:rsidR="00C54663" w:rsidRPr="005E5329" w14:paraId="3644EF96" w14:textId="77777777" w:rsidTr="00181965">
        <w:trPr>
          <w:trHeight w:val="555"/>
        </w:trPr>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9810A"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Број уговора</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8199F"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BE36C"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Уговорена вредност без ПДВ-а*</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0670C"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E15C6"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Број уговора</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5FB4F"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6F03F"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Уговорена вредност без ПДВ-а*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B861E" w14:textId="77777777" w:rsidR="00C54663" w:rsidRPr="005E5329" w:rsidRDefault="00C54663"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r>
      <w:tr w:rsidR="00C54663" w:rsidRPr="005E5329" w14:paraId="4E64080F" w14:textId="77777777" w:rsidTr="00181965">
        <w:trPr>
          <w:trHeight w:val="999"/>
        </w:trPr>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A81A4C" w14:textId="77777777" w:rsidR="00C54663" w:rsidRPr="00D705ED"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35.862</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505900F" w14:textId="77777777" w:rsidR="00C54663" w:rsidRPr="00D705ED"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28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7436A3" w14:textId="77777777" w:rsidR="00C54663" w:rsidRPr="00BE7D6A"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D705ED">
              <w:rPr>
                <w:rFonts w:ascii="Times New Roman" w:eastAsia="Times New Roman" w:hAnsi="Times New Roman" w:cs="Times New Roman"/>
                <w:color w:val="000000" w:themeColor="text1"/>
                <w:sz w:val="24"/>
                <w:szCs w:val="24"/>
              </w:rPr>
              <w:t>75</w:t>
            </w:r>
            <w:r>
              <w:rPr>
                <w:rFonts w:ascii="Times New Roman" w:eastAsia="Times New Roman" w:hAnsi="Times New Roman" w:cs="Times New Roman"/>
                <w:color w:val="000000" w:themeColor="text1"/>
                <w:sz w:val="24"/>
                <w:szCs w:val="24"/>
                <w:lang w:val="en-GB"/>
              </w:rPr>
              <w:t>.</w:t>
            </w:r>
            <w:r w:rsidRPr="00D705ED">
              <w:rPr>
                <w:rFonts w:ascii="Times New Roman" w:eastAsia="Times New Roman" w:hAnsi="Times New Roman" w:cs="Times New Roman"/>
                <w:color w:val="000000" w:themeColor="text1"/>
                <w:sz w:val="24"/>
                <w:szCs w:val="24"/>
              </w:rPr>
              <w:t>175</w:t>
            </w:r>
            <w:r>
              <w:rPr>
                <w:rFonts w:ascii="Times New Roman" w:eastAsia="Times New Roman" w:hAnsi="Times New Roman" w:cs="Times New Roman"/>
                <w:color w:val="000000" w:themeColor="text1"/>
                <w:sz w:val="24"/>
                <w:szCs w:val="24"/>
                <w:lang w:val="en-GB"/>
              </w:rPr>
              <w:t>.</w:t>
            </w:r>
            <w:r w:rsidRPr="00D705ED">
              <w:rPr>
                <w:rFonts w:ascii="Times New Roman" w:eastAsia="Times New Roman" w:hAnsi="Times New Roman" w:cs="Times New Roman"/>
                <w:color w:val="000000" w:themeColor="text1"/>
                <w:sz w:val="24"/>
                <w:szCs w:val="24"/>
              </w:rPr>
              <w:t>191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60E4FB" w14:textId="77777777" w:rsidR="00C54663" w:rsidRPr="00BE7D6A"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
              </w:rPr>
            </w:pPr>
            <w:r>
              <w:rPr>
                <w:rFonts w:ascii="Times New Roman" w:eastAsia="Times New Roman" w:hAnsi="Times New Roman" w:cs="Times New Roman"/>
                <w:color w:val="000000" w:themeColor="text1"/>
                <w:sz w:val="24"/>
                <w:szCs w:val="24"/>
                <w:lang w:val="sr"/>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D3BE2" w14:textId="77777777" w:rsidR="00C54663" w:rsidRPr="00B62256"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sr-Cyrl-CS"/>
              </w:rPr>
              <w:t>37.149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2F50FA" w14:textId="77777777" w:rsidR="00C54663" w:rsidRPr="00D705ED"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30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254AC" w14:textId="77777777" w:rsidR="00C54663" w:rsidRPr="00BE7D6A"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84.158.880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B719C3" w14:textId="77777777" w:rsidR="00C54663" w:rsidRPr="00BE7D6A" w:rsidRDefault="00C54663"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
              </w:rPr>
            </w:pPr>
            <w:r>
              <w:rPr>
                <w:rFonts w:ascii="Times New Roman" w:eastAsia="Times New Roman" w:hAnsi="Times New Roman" w:cs="Times New Roman"/>
                <w:color w:val="000000" w:themeColor="text1"/>
                <w:sz w:val="24"/>
                <w:szCs w:val="24"/>
                <w:lang w:val="sr"/>
              </w:rPr>
              <w:t>19</w:t>
            </w:r>
          </w:p>
        </w:tc>
      </w:tr>
    </w:tbl>
    <w:p w14:paraId="07B7F2FA" w14:textId="4764BA56" w:rsidR="00895F6E" w:rsidRPr="009B750B" w:rsidRDefault="00C54663" w:rsidP="00B137AC">
      <w:pPr>
        <w:jc w:val="both"/>
        <w:rPr>
          <w:rFonts w:ascii="Times New Roman" w:hAnsi="Times New Roman" w:cs="Times New Roman"/>
        </w:rPr>
      </w:pPr>
      <w:r>
        <w:rPr>
          <w:rFonts w:ascii="Times New Roman" w:eastAsia="Times New Roman" w:hAnsi="Times New Roman" w:cs="Times New Roman"/>
          <w:b/>
          <w:bCs/>
          <w:lang w:val="sr-Cyrl-RS"/>
        </w:rPr>
        <w:t xml:space="preserve">  </w:t>
      </w:r>
      <w:r w:rsidR="00B137AC" w:rsidRPr="009B750B">
        <w:rPr>
          <w:rFonts w:ascii="Times New Roman" w:eastAsia="Times New Roman" w:hAnsi="Times New Roman" w:cs="Times New Roman"/>
          <w:b/>
          <w:bCs/>
        </w:rPr>
        <w:t xml:space="preserve">    </w:t>
      </w:r>
      <w:r w:rsidR="00C84858" w:rsidRPr="009B750B">
        <w:rPr>
          <w:rFonts w:ascii="Times New Roman" w:eastAsia="Times New Roman" w:hAnsi="Times New Roman" w:cs="Times New Roman"/>
          <w:b/>
          <w:bCs/>
        </w:rPr>
        <w:t>*</w:t>
      </w:r>
      <w:r w:rsidR="00895F6E" w:rsidRPr="009B750B">
        <w:rPr>
          <w:rFonts w:ascii="Times New Roman" w:hAnsi="Times New Roman" w:cs="Times New Roman"/>
        </w:rPr>
        <w:t xml:space="preserve">Вредности су </w:t>
      </w:r>
      <w:r w:rsidR="003B5DE7" w:rsidRPr="009B750B">
        <w:rPr>
          <w:rFonts w:ascii="Times New Roman" w:hAnsi="Times New Roman" w:cs="Times New Roman"/>
        </w:rPr>
        <w:t xml:space="preserve">изражене </w:t>
      </w:r>
      <w:r w:rsidR="00895F6E" w:rsidRPr="009B750B">
        <w:rPr>
          <w:rFonts w:ascii="Times New Roman" w:hAnsi="Times New Roman" w:cs="Times New Roman"/>
        </w:rPr>
        <w:t>у хиљадама динара</w:t>
      </w:r>
    </w:p>
    <w:p w14:paraId="4E123739" w14:textId="425D69BC" w:rsidR="000D0BF6" w:rsidRPr="00043054" w:rsidRDefault="00C84858" w:rsidP="00043054">
      <w:pPr>
        <w:pStyle w:val="ListParagraph"/>
        <w:ind w:left="0"/>
        <w:jc w:val="both"/>
        <w:rPr>
          <w:rFonts w:ascii="Times New Roman" w:hAnsi="Times New Roman" w:cs="Times New Roman"/>
          <w:sz w:val="24"/>
          <w:szCs w:val="24"/>
        </w:rPr>
      </w:pPr>
      <w:r w:rsidRPr="006A18BB">
        <w:rPr>
          <w:rFonts w:ascii="Times New Roman" w:hAnsi="Times New Roman" w:cs="Times New Roman"/>
          <w:sz w:val="24"/>
          <w:szCs w:val="24"/>
        </w:rPr>
        <w:t xml:space="preserve">Оквирни споразуми се </w:t>
      </w:r>
      <w:r w:rsidR="00AE3D74" w:rsidRPr="006A18BB">
        <w:rPr>
          <w:rFonts w:ascii="Times New Roman" w:hAnsi="Times New Roman" w:cs="Times New Roman"/>
          <w:sz w:val="24"/>
          <w:szCs w:val="24"/>
        </w:rPr>
        <w:t xml:space="preserve">најчешће закључују код поступака обједињених (централизованих) набавки. То, међутим, не значи да их </w:t>
      </w:r>
      <w:r w:rsidR="00DB78BF">
        <w:rPr>
          <w:rFonts w:ascii="Times New Roman" w:hAnsi="Times New Roman" w:cs="Times New Roman"/>
          <w:sz w:val="24"/>
          <w:szCs w:val="24"/>
        </w:rPr>
        <w:t xml:space="preserve">појединачни </w:t>
      </w:r>
      <w:r w:rsidR="00AE3D74" w:rsidRPr="006A18BB">
        <w:rPr>
          <w:rFonts w:ascii="Times New Roman" w:hAnsi="Times New Roman" w:cs="Times New Roman"/>
          <w:sz w:val="24"/>
          <w:szCs w:val="24"/>
        </w:rPr>
        <w:t xml:space="preserve">наручиоци не закључују и за само своје потребе. </w:t>
      </w:r>
      <w:r w:rsidR="000D0BF6" w:rsidRPr="00D96A95">
        <w:rPr>
          <w:rFonts w:ascii="Times New Roman" w:hAnsi="Times New Roman" w:cs="Times New Roman"/>
          <w:color w:val="000000" w:themeColor="text1"/>
          <w:sz w:val="24"/>
          <w:szCs w:val="24"/>
        </w:rPr>
        <w:t xml:space="preserve">Доминантно учешће у </w:t>
      </w:r>
      <w:r w:rsidR="000D0BF6">
        <w:rPr>
          <w:rFonts w:ascii="Times New Roman" w:hAnsi="Times New Roman" w:cs="Times New Roman"/>
          <w:color w:val="000000" w:themeColor="text1"/>
          <w:sz w:val="24"/>
          <w:szCs w:val="24"/>
          <w:lang w:val="sr-Cyrl-RS"/>
        </w:rPr>
        <w:t xml:space="preserve">оквирним </w:t>
      </w:r>
      <w:r w:rsidR="00306F8D">
        <w:rPr>
          <w:rFonts w:ascii="Times New Roman" w:hAnsi="Times New Roman" w:cs="Times New Roman"/>
          <w:color w:val="000000" w:themeColor="text1"/>
          <w:sz w:val="24"/>
          <w:szCs w:val="24"/>
          <w:lang w:val="sr-Cyrl-RS"/>
        </w:rPr>
        <w:t>споразумима</w:t>
      </w:r>
      <w:r w:rsidR="000D0BF6" w:rsidRPr="00D96A95">
        <w:rPr>
          <w:rFonts w:ascii="Times New Roman" w:hAnsi="Times New Roman" w:cs="Times New Roman"/>
          <w:color w:val="000000" w:themeColor="text1"/>
          <w:sz w:val="24"/>
          <w:szCs w:val="24"/>
        </w:rPr>
        <w:t>,</w:t>
      </w:r>
      <w:r w:rsidR="000D0BF6">
        <w:rPr>
          <w:rFonts w:ascii="Times New Roman" w:hAnsi="Times New Roman" w:cs="Times New Roman"/>
          <w:color w:val="000000" w:themeColor="text1"/>
          <w:sz w:val="24"/>
          <w:szCs w:val="24"/>
        </w:rPr>
        <w:t xml:space="preserve"> у 2019</w:t>
      </w:r>
      <w:r w:rsidR="000D0BF6" w:rsidRPr="00D96A95">
        <w:rPr>
          <w:rFonts w:ascii="Times New Roman" w:hAnsi="Times New Roman" w:cs="Times New Roman"/>
          <w:color w:val="000000" w:themeColor="text1"/>
          <w:sz w:val="24"/>
          <w:szCs w:val="24"/>
        </w:rPr>
        <w:t xml:space="preserve">. години, имали су </w:t>
      </w:r>
      <w:r w:rsidR="000D0BF6" w:rsidRPr="00D96A95">
        <w:rPr>
          <w:rFonts w:ascii="Times New Roman" w:eastAsia="Times New Roman" w:hAnsi="Times New Roman" w:cs="Times New Roman"/>
          <w:color w:val="000000" w:themeColor="text1"/>
          <w:sz w:val="24"/>
          <w:szCs w:val="24"/>
        </w:rPr>
        <w:t>медицинска опрема и фармацеутски производи</w:t>
      </w:r>
      <w:r w:rsidR="000D0BF6" w:rsidRPr="00D96A95">
        <w:rPr>
          <w:rFonts w:ascii="Times New Roman" w:hAnsi="Times New Roman" w:cs="Times New Roman"/>
          <w:color w:val="000000" w:themeColor="text1"/>
          <w:sz w:val="24"/>
          <w:szCs w:val="24"/>
        </w:rPr>
        <w:t xml:space="preserve"> (Т</w:t>
      </w:r>
      <w:r w:rsidR="000D0BF6">
        <w:rPr>
          <w:rFonts w:ascii="Times New Roman" w:hAnsi="Times New Roman" w:cs="Times New Roman"/>
          <w:color w:val="000000" w:themeColor="text1"/>
          <w:sz w:val="24"/>
          <w:szCs w:val="24"/>
        </w:rPr>
        <w:t>абела 19</w:t>
      </w:r>
      <w:r w:rsidR="000D0BF6" w:rsidRPr="00D96A95">
        <w:rPr>
          <w:rFonts w:ascii="Times New Roman" w:hAnsi="Times New Roman" w:cs="Times New Roman"/>
          <w:color w:val="000000" w:themeColor="text1"/>
          <w:sz w:val="24"/>
          <w:szCs w:val="24"/>
        </w:rPr>
        <w:t>).</w:t>
      </w:r>
    </w:p>
    <w:p w14:paraId="25900B02" w14:textId="35309ACB" w:rsidR="00AE3D74" w:rsidRDefault="000D0BF6" w:rsidP="005E5329">
      <w:pPr>
        <w:pStyle w:val="ListParagraph"/>
        <w:ind w:left="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          </w:t>
      </w:r>
    </w:p>
    <w:p w14:paraId="5239C630" w14:textId="4D1CF2FB" w:rsidR="000D0BF6" w:rsidRPr="00275D39" w:rsidRDefault="000D0BF6" w:rsidP="005E5329">
      <w:pPr>
        <w:pStyle w:val="ListParagraph"/>
        <w:ind w:left="0"/>
        <w:jc w:val="both"/>
        <w:rPr>
          <w:rFonts w:ascii="Times New Roman" w:hAnsi="Times New Roman" w:cs="Times New Roman"/>
          <w:b/>
          <w:color w:val="000000" w:themeColor="text1"/>
          <w:sz w:val="24"/>
          <w:szCs w:val="24"/>
          <w:lang w:val="sr-Cyrl-RS"/>
        </w:rPr>
      </w:pPr>
      <w:r>
        <w:rPr>
          <w:rFonts w:ascii="Times New Roman" w:hAnsi="Times New Roman" w:cs="Times New Roman"/>
          <w:color w:val="000000" w:themeColor="text1"/>
          <w:sz w:val="24"/>
          <w:szCs w:val="24"/>
          <w:lang w:val="sr-Cyrl-RS"/>
        </w:rPr>
        <w:t xml:space="preserve">       </w:t>
      </w:r>
      <w:r w:rsidR="006D579B">
        <w:rPr>
          <w:rFonts w:ascii="Times New Roman" w:hAnsi="Times New Roman" w:cs="Times New Roman"/>
          <w:color w:val="000000" w:themeColor="text1"/>
          <w:sz w:val="24"/>
          <w:szCs w:val="24"/>
          <w:lang w:val="sr-Cyrl-RS"/>
        </w:rPr>
        <w:t xml:space="preserve">  </w:t>
      </w:r>
      <w:r>
        <w:rPr>
          <w:rFonts w:ascii="Times New Roman" w:hAnsi="Times New Roman" w:cs="Times New Roman"/>
          <w:color w:val="000000" w:themeColor="text1"/>
          <w:sz w:val="24"/>
          <w:szCs w:val="24"/>
          <w:lang w:val="sr-Cyrl-RS"/>
        </w:rPr>
        <w:t xml:space="preserve">   </w:t>
      </w:r>
      <w:r w:rsidRPr="00275D39">
        <w:rPr>
          <w:rFonts w:ascii="Times New Roman" w:hAnsi="Times New Roman" w:cs="Times New Roman"/>
          <w:b/>
          <w:color w:val="000000" w:themeColor="text1"/>
          <w:sz w:val="24"/>
          <w:szCs w:val="24"/>
          <w:lang w:val="sr-Cyrl-RS"/>
        </w:rPr>
        <w:t>Табела 19</w:t>
      </w:r>
    </w:p>
    <w:tbl>
      <w:tblPr>
        <w:tblpPr w:leftFromText="180" w:rightFromText="180" w:vertAnchor="text" w:tblpX="641"/>
        <w:tblW w:w="10065" w:type="dxa"/>
        <w:tblCellMar>
          <w:left w:w="0" w:type="dxa"/>
          <w:right w:w="0" w:type="dxa"/>
        </w:tblCellMar>
        <w:tblLook w:val="04A0" w:firstRow="1" w:lastRow="0" w:firstColumn="1" w:lastColumn="0" w:noHBand="0" w:noVBand="1"/>
      </w:tblPr>
      <w:tblGrid>
        <w:gridCol w:w="6380"/>
        <w:gridCol w:w="1984"/>
        <w:gridCol w:w="1701"/>
      </w:tblGrid>
      <w:tr w:rsidR="000D0BF6" w:rsidRPr="005E5329" w14:paraId="697E0F68" w14:textId="77777777" w:rsidTr="00181965">
        <w:trPr>
          <w:trHeight w:val="310"/>
        </w:trPr>
        <w:tc>
          <w:tcPr>
            <w:tcW w:w="6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DE5375" w14:textId="3E151A9E" w:rsidR="000D0BF6" w:rsidRPr="00DF3192" w:rsidRDefault="000D0BF6" w:rsidP="00181965">
            <w:pPr>
              <w:spacing w:before="100" w:beforeAutospacing="1" w:after="100" w:afterAutospacing="1"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b/>
                <w:bCs/>
                <w:color w:val="000000"/>
                <w:sz w:val="24"/>
                <w:szCs w:val="24"/>
              </w:rPr>
              <w:t>Пет н</w:t>
            </w:r>
            <w:r w:rsidRPr="005E5329">
              <w:rPr>
                <w:rFonts w:ascii="Times New Roman" w:eastAsia="Times New Roman" w:hAnsi="Times New Roman" w:cs="Times New Roman"/>
                <w:b/>
                <w:bCs/>
                <w:color w:val="000000"/>
                <w:sz w:val="24"/>
                <w:szCs w:val="24"/>
              </w:rPr>
              <w:t>ајзаступљенији</w:t>
            </w:r>
            <w:r>
              <w:rPr>
                <w:rFonts w:ascii="Times New Roman" w:eastAsia="Times New Roman" w:hAnsi="Times New Roman" w:cs="Times New Roman"/>
                <w:b/>
                <w:bCs/>
                <w:color w:val="000000"/>
                <w:sz w:val="24"/>
                <w:szCs w:val="24"/>
              </w:rPr>
              <w:t>х предмета</w:t>
            </w:r>
            <w:r w:rsidRPr="005E5329">
              <w:rPr>
                <w:rFonts w:ascii="Times New Roman" w:eastAsia="Times New Roman" w:hAnsi="Times New Roman" w:cs="Times New Roman"/>
                <w:b/>
                <w:bCs/>
                <w:color w:val="000000"/>
                <w:sz w:val="24"/>
                <w:szCs w:val="24"/>
              </w:rPr>
              <w:t xml:space="preserve"> </w:t>
            </w:r>
            <w:r w:rsidR="00DF3192">
              <w:rPr>
                <w:rFonts w:ascii="Times New Roman" w:eastAsia="Times New Roman" w:hAnsi="Times New Roman" w:cs="Times New Roman"/>
                <w:b/>
                <w:bCs/>
                <w:color w:val="000000"/>
                <w:sz w:val="24"/>
                <w:szCs w:val="24"/>
              </w:rPr>
              <w:t xml:space="preserve">код </w:t>
            </w:r>
            <w:r w:rsidR="00DF3192">
              <w:rPr>
                <w:rFonts w:ascii="Times New Roman" w:eastAsia="Times New Roman" w:hAnsi="Times New Roman" w:cs="Times New Roman"/>
                <w:b/>
                <w:bCs/>
                <w:color w:val="000000"/>
                <w:sz w:val="24"/>
                <w:szCs w:val="24"/>
                <w:lang w:val="sr-Cyrl-RS"/>
              </w:rPr>
              <w:t>оквирних споразума</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3471BE" w14:textId="77777777" w:rsidR="000D0BF6" w:rsidRPr="005E5329" w:rsidRDefault="000D0BF6"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Уговорена вредност без ПДВ-а*</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FC4F62" w14:textId="77777777" w:rsidR="000D0BF6" w:rsidRPr="005E5329" w:rsidRDefault="000D0BF6"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color w:val="000000"/>
                <w:sz w:val="24"/>
                <w:szCs w:val="24"/>
              </w:rPr>
              <w:t>%</w:t>
            </w:r>
          </w:p>
        </w:tc>
      </w:tr>
      <w:tr w:rsidR="000D0BF6" w:rsidRPr="005E5329" w14:paraId="59BB812F" w14:textId="77777777" w:rsidTr="00181965">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21FA73" w14:textId="77777777" w:rsidR="000D0BF6" w:rsidRPr="007565AD" w:rsidRDefault="000D0BF6" w:rsidP="00181965">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Pr="005E5329">
              <w:rPr>
                <w:rFonts w:ascii="Times New Roman" w:eastAsia="Times New Roman" w:hAnsi="Times New Roman" w:cs="Times New Roman"/>
                <w:color w:val="000000"/>
                <w:sz w:val="24"/>
                <w:szCs w:val="24"/>
              </w:rPr>
              <w:t>едицинска опрема, фармацеутски производи, производи за личну негу</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91D64F" w14:textId="0AA506DC" w:rsidR="000D0BF6" w:rsidRPr="00470BD2" w:rsidRDefault="000D0BF6"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0D0BF6">
              <w:rPr>
                <w:rFonts w:ascii="Times New Roman" w:eastAsia="Times New Roman" w:hAnsi="Times New Roman" w:cs="Times New Roman"/>
                <w:color w:val="000000" w:themeColor="text1"/>
                <w:sz w:val="24"/>
                <w:szCs w:val="24"/>
                <w:lang w:val="en-GB"/>
              </w:rPr>
              <w:t>39.174.942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D767F1" w14:textId="68FB95EB" w:rsidR="000D0BF6" w:rsidRPr="00C71D60" w:rsidRDefault="000D0BF6"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sr-Cyrl-CS"/>
              </w:rPr>
              <w:t>47</w:t>
            </w:r>
          </w:p>
        </w:tc>
      </w:tr>
      <w:tr w:rsidR="000D0BF6" w:rsidRPr="005E5329" w14:paraId="499FA2FF" w14:textId="77777777" w:rsidTr="00275D39">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957D2DA" w14:textId="475B991D" w:rsidR="000D0BF6" w:rsidRPr="005E5329" w:rsidRDefault="000D0BF6" w:rsidP="000D0BF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Pr="005E5329">
              <w:rPr>
                <w:rFonts w:ascii="Times New Roman" w:eastAsia="Times New Roman" w:hAnsi="Times New Roman" w:cs="Times New Roman"/>
                <w:color w:val="000000"/>
                <w:sz w:val="24"/>
                <w:szCs w:val="24"/>
              </w:rPr>
              <w:t>рађевински радови</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40A275" w14:textId="777E4885" w:rsidR="000D0BF6" w:rsidRPr="00470BD2"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11.807.041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FA50AE5" w14:textId="63D77047" w:rsidR="000D0BF6" w:rsidRPr="00C71D60"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en-GB"/>
              </w:rPr>
              <w:t>14</w:t>
            </w:r>
          </w:p>
        </w:tc>
      </w:tr>
      <w:tr w:rsidR="000D0BF6" w:rsidRPr="00C71D60" w14:paraId="2DC5947A" w14:textId="77777777" w:rsidTr="00275D39">
        <w:trPr>
          <w:trHeight w:val="310"/>
        </w:trPr>
        <w:tc>
          <w:tcPr>
            <w:tcW w:w="6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13BC03" w14:textId="77777777" w:rsidR="000D0BF6" w:rsidRPr="005E5329" w:rsidRDefault="000D0BF6" w:rsidP="000D0BF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Pr="005E5329">
              <w:rPr>
                <w:rFonts w:ascii="Times New Roman" w:eastAsia="Times New Roman" w:hAnsi="Times New Roman" w:cs="Times New Roman"/>
                <w:color w:val="000000"/>
                <w:sz w:val="24"/>
                <w:szCs w:val="24"/>
              </w:rPr>
              <w:t>афтни деривати, гориво, електрична енергија</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20B7F3" w14:textId="237082DB" w:rsidR="000D0BF6" w:rsidRPr="00470BD2"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0D0BF6">
              <w:rPr>
                <w:rFonts w:ascii="Times New Roman" w:eastAsia="Times New Roman" w:hAnsi="Times New Roman" w:cs="Times New Roman"/>
                <w:color w:val="000000" w:themeColor="text1"/>
                <w:sz w:val="24"/>
                <w:szCs w:val="24"/>
                <w:lang w:val="en-GB"/>
              </w:rPr>
              <w:t>7.116.310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3DBE97" w14:textId="30AE218E" w:rsidR="000D0BF6" w:rsidRPr="00C71D60"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sr-Cyrl-CS"/>
              </w:rPr>
              <w:t>9</w:t>
            </w:r>
          </w:p>
        </w:tc>
      </w:tr>
      <w:tr w:rsidR="000D0BF6" w:rsidRPr="005E5329" w14:paraId="6C7DCB14" w14:textId="77777777" w:rsidTr="00275D39">
        <w:trPr>
          <w:trHeight w:val="310"/>
        </w:trPr>
        <w:tc>
          <w:tcPr>
            <w:tcW w:w="6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36C9EFE" w14:textId="5978552F" w:rsidR="000D0BF6" w:rsidRDefault="000D0BF6" w:rsidP="000D0BF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sr-Cyrl-CS"/>
              </w:rPr>
              <w:t>Храна и пиће</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1C70B4" w14:textId="5CB7E769" w:rsidR="000D0BF6"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0D0BF6">
              <w:rPr>
                <w:rFonts w:ascii="Times New Roman" w:eastAsia="Times New Roman" w:hAnsi="Times New Roman" w:cs="Times New Roman"/>
                <w:color w:val="000000" w:themeColor="text1"/>
                <w:sz w:val="24"/>
                <w:szCs w:val="24"/>
                <w:lang w:val="en-GB"/>
              </w:rPr>
              <w:t>3.582.579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1CA1F4" w14:textId="521E7978" w:rsidR="000D0BF6"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sr-Cyrl-CS"/>
              </w:rPr>
              <w:t>4</w:t>
            </w:r>
          </w:p>
        </w:tc>
      </w:tr>
      <w:tr w:rsidR="000D0BF6" w:rsidRPr="005E5329" w14:paraId="65D0F438" w14:textId="77777777" w:rsidTr="000D0BF6">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3CE622" w14:textId="1BBAD936" w:rsidR="000D0BF6" w:rsidRPr="000D0BF6" w:rsidRDefault="000D0BF6" w:rsidP="000D0BF6">
            <w:pPr>
              <w:spacing w:before="100" w:beforeAutospacing="1" w:after="100" w:afterAutospacing="1"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Услуге одржавања и поправки</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55637F" w14:textId="17BB8293" w:rsidR="000D0BF6" w:rsidRPr="00470BD2"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0D0BF6">
              <w:rPr>
                <w:rFonts w:ascii="Times New Roman" w:eastAsia="Times New Roman" w:hAnsi="Times New Roman" w:cs="Times New Roman"/>
                <w:color w:val="000000" w:themeColor="text1"/>
                <w:sz w:val="24"/>
                <w:szCs w:val="24"/>
                <w:lang w:val="en-GB"/>
              </w:rPr>
              <w:t>3.422.546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D6BB01" w14:textId="735CB1B3" w:rsidR="000D0BF6" w:rsidRPr="000D0BF6" w:rsidRDefault="000D0BF6" w:rsidP="000D0BF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4</w:t>
            </w:r>
          </w:p>
        </w:tc>
      </w:tr>
    </w:tbl>
    <w:p w14:paraId="298F3898" w14:textId="78B5E27F" w:rsidR="00C84858" w:rsidRPr="005E5329" w:rsidRDefault="00C84858" w:rsidP="005E5329">
      <w:pPr>
        <w:pStyle w:val="ListParagraph"/>
        <w:ind w:left="0"/>
        <w:jc w:val="both"/>
        <w:rPr>
          <w:rFonts w:ascii="Times New Roman" w:hAnsi="Times New Roman" w:cs="Times New Roman"/>
          <w:color w:val="000000" w:themeColor="text1"/>
          <w:sz w:val="24"/>
          <w:szCs w:val="24"/>
        </w:rPr>
      </w:pPr>
    </w:p>
    <w:p w14:paraId="31FD51ED" w14:textId="07305614" w:rsidR="00275D39" w:rsidRDefault="00043054" w:rsidP="00275D39">
      <w:pPr>
        <w:pStyle w:val="ListParagraph"/>
        <w:jc w:val="both"/>
        <w:rPr>
          <w:rFonts w:ascii="Times New Roman" w:hAnsi="Times New Roman" w:cs="Times New Roman"/>
          <w:b/>
          <w:sz w:val="24"/>
          <w:szCs w:val="24"/>
        </w:rPr>
      </w:pPr>
      <w:r w:rsidRPr="009B750B">
        <w:rPr>
          <w:rFonts w:ascii="Times New Roman" w:eastAsia="Times New Roman" w:hAnsi="Times New Roman" w:cs="Times New Roman"/>
          <w:b/>
          <w:bCs/>
        </w:rPr>
        <w:t>*</w:t>
      </w:r>
      <w:r w:rsidRPr="009B750B">
        <w:rPr>
          <w:rFonts w:ascii="Times New Roman" w:hAnsi="Times New Roman" w:cs="Times New Roman"/>
        </w:rPr>
        <w:t>Вредности су изражене у хиљадама динара</w:t>
      </w:r>
    </w:p>
    <w:p w14:paraId="5E508F41" w14:textId="77777777" w:rsidR="00275D39" w:rsidRPr="00275D39" w:rsidRDefault="00275D39" w:rsidP="00275D39">
      <w:pPr>
        <w:pStyle w:val="ListParagraph"/>
        <w:jc w:val="both"/>
        <w:rPr>
          <w:rFonts w:ascii="Times New Roman" w:hAnsi="Times New Roman" w:cs="Times New Roman"/>
          <w:b/>
          <w:sz w:val="24"/>
          <w:szCs w:val="24"/>
          <w:lang w:val="sr-Latn-RS"/>
        </w:rPr>
      </w:pPr>
    </w:p>
    <w:p w14:paraId="6216FB25" w14:textId="40199F34" w:rsidR="00C84858" w:rsidRPr="007565AD" w:rsidRDefault="00C84858" w:rsidP="00960A8C">
      <w:pPr>
        <w:pStyle w:val="ListParagraph"/>
        <w:numPr>
          <w:ilvl w:val="0"/>
          <w:numId w:val="2"/>
        </w:numPr>
        <w:jc w:val="both"/>
        <w:rPr>
          <w:rFonts w:ascii="Times New Roman" w:hAnsi="Times New Roman" w:cs="Times New Roman"/>
          <w:b/>
          <w:sz w:val="24"/>
          <w:szCs w:val="24"/>
        </w:rPr>
      </w:pPr>
      <w:r w:rsidRPr="007565AD">
        <w:rPr>
          <w:rFonts w:ascii="Times New Roman" w:hAnsi="Times New Roman" w:cs="Times New Roman"/>
          <w:b/>
          <w:sz w:val="24"/>
          <w:szCs w:val="24"/>
        </w:rPr>
        <w:lastRenderedPageBreak/>
        <w:t xml:space="preserve">ЦЕНТРАЛИЗОВАНЕ ЈАВНЕ НАБАВКЕ </w:t>
      </w:r>
    </w:p>
    <w:p w14:paraId="26AD957B" w14:textId="7F3F8EDA" w:rsidR="00C84858" w:rsidRPr="005E5329" w:rsidRDefault="00C84858" w:rsidP="005E5329">
      <w:pPr>
        <w:spacing w:after="0"/>
        <w:jc w:val="both"/>
        <w:rPr>
          <w:rFonts w:ascii="Times New Roman" w:hAnsi="Times New Roman" w:cs="Times New Roman"/>
          <w:color w:val="000000" w:themeColor="text1"/>
          <w:sz w:val="24"/>
          <w:szCs w:val="24"/>
        </w:rPr>
      </w:pPr>
      <w:r w:rsidRPr="005E5329">
        <w:rPr>
          <w:rFonts w:ascii="Times New Roman" w:hAnsi="Times New Roman" w:cs="Times New Roman"/>
          <w:color w:val="000000" w:themeColor="text1"/>
          <w:sz w:val="24"/>
          <w:szCs w:val="24"/>
        </w:rPr>
        <w:t>Центрaлизaцијa јaвних нaбaвки предста</w:t>
      </w:r>
      <w:r w:rsidR="00F41EC2">
        <w:rPr>
          <w:rFonts w:ascii="Times New Roman" w:hAnsi="Times New Roman" w:cs="Times New Roman"/>
          <w:color w:val="000000" w:themeColor="text1"/>
          <w:sz w:val="24"/>
          <w:szCs w:val="24"/>
        </w:rPr>
        <w:t>вља погодaн нaчин дa се остваре економичније набавке по</w:t>
      </w:r>
      <w:r w:rsidR="00DC6BFE">
        <w:rPr>
          <w:rFonts w:ascii="Times New Roman" w:hAnsi="Times New Roman" w:cs="Times New Roman"/>
          <w:color w:val="000000" w:themeColor="text1"/>
          <w:sz w:val="24"/>
          <w:szCs w:val="24"/>
        </w:rPr>
        <w:t xml:space="preserve"> осно</w:t>
      </w:r>
      <w:r w:rsidR="00F41EC2">
        <w:rPr>
          <w:rFonts w:ascii="Times New Roman" w:hAnsi="Times New Roman" w:cs="Times New Roman"/>
          <w:color w:val="000000" w:themeColor="text1"/>
          <w:sz w:val="24"/>
          <w:szCs w:val="24"/>
        </w:rPr>
        <w:t>ву постизања</w:t>
      </w:r>
      <w:r w:rsidRPr="005E5329">
        <w:rPr>
          <w:rFonts w:ascii="Times New Roman" w:hAnsi="Times New Roman" w:cs="Times New Roman"/>
          <w:color w:val="000000" w:themeColor="text1"/>
          <w:sz w:val="24"/>
          <w:szCs w:val="24"/>
        </w:rPr>
        <w:t xml:space="preserve"> </w:t>
      </w:r>
      <w:r w:rsidR="00DC6BFE">
        <w:rPr>
          <w:rFonts w:ascii="Times New Roman" w:hAnsi="Times New Roman" w:cs="Times New Roman"/>
          <w:color w:val="000000" w:themeColor="text1"/>
          <w:sz w:val="24"/>
          <w:szCs w:val="24"/>
        </w:rPr>
        <w:t xml:space="preserve">повољнијих </w:t>
      </w:r>
      <w:r w:rsidRPr="005E5329">
        <w:rPr>
          <w:rFonts w:ascii="Times New Roman" w:hAnsi="Times New Roman" w:cs="Times New Roman"/>
          <w:color w:val="000000" w:themeColor="text1"/>
          <w:sz w:val="24"/>
          <w:szCs w:val="24"/>
        </w:rPr>
        <w:t>нaбaвних ц</w:t>
      </w:r>
      <w:r w:rsidR="00DC6BFE">
        <w:rPr>
          <w:rFonts w:ascii="Times New Roman" w:hAnsi="Times New Roman" w:cs="Times New Roman"/>
          <w:color w:val="000000" w:themeColor="text1"/>
          <w:sz w:val="24"/>
          <w:szCs w:val="24"/>
        </w:rPr>
        <w:t>енa и о</w:t>
      </w:r>
      <w:r w:rsidR="00F41EC2">
        <w:rPr>
          <w:rFonts w:ascii="Times New Roman" w:hAnsi="Times New Roman" w:cs="Times New Roman"/>
          <w:color w:val="000000" w:themeColor="text1"/>
          <w:sz w:val="24"/>
          <w:szCs w:val="24"/>
        </w:rPr>
        <w:t>стaлих условa куповине захваљујући обједињавању</w:t>
      </w:r>
      <w:r w:rsidR="00DC6BFE">
        <w:rPr>
          <w:rFonts w:ascii="Times New Roman" w:hAnsi="Times New Roman" w:cs="Times New Roman"/>
          <w:color w:val="000000" w:themeColor="text1"/>
          <w:sz w:val="24"/>
          <w:szCs w:val="24"/>
        </w:rPr>
        <w:t xml:space="preserve"> </w:t>
      </w:r>
      <w:r w:rsidRPr="005E5329">
        <w:rPr>
          <w:rFonts w:ascii="Times New Roman" w:hAnsi="Times New Roman" w:cs="Times New Roman"/>
          <w:color w:val="000000" w:themeColor="text1"/>
          <w:sz w:val="24"/>
          <w:szCs w:val="24"/>
        </w:rPr>
        <w:t>нaбaв</w:t>
      </w:r>
      <w:r w:rsidR="00DC6BFE">
        <w:rPr>
          <w:rFonts w:ascii="Times New Roman" w:hAnsi="Times New Roman" w:cs="Times New Roman"/>
          <w:color w:val="000000" w:themeColor="text1"/>
          <w:sz w:val="24"/>
          <w:szCs w:val="24"/>
        </w:rPr>
        <w:t xml:space="preserve">ки добaрa и </w:t>
      </w:r>
      <w:r w:rsidRPr="005E5329">
        <w:rPr>
          <w:rFonts w:ascii="Times New Roman" w:hAnsi="Times New Roman" w:cs="Times New Roman"/>
          <w:color w:val="000000" w:themeColor="text1"/>
          <w:sz w:val="24"/>
          <w:szCs w:val="24"/>
        </w:rPr>
        <w:t>услугa</w:t>
      </w:r>
      <w:r w:rsidR="00DC6BFE">
        <w:rPr>
          <w:rFonts w:ascii="Times New Roman" w:hAnsi="Times New Roman" w:cs="Times New Roman"/>
          <w:color w:val="000000" w:themeColor="text1"/>
          <w:sz w:val="24"/>
          <w:szCs w:val="24"/>
        </w:rPr>
        <w:t xml:space="preserve">. </w:t>
      </w:r>
      <w:r w:rsidRPr="005E5329">
        <w:rPr>
          <w:rFonts w:ascii="Times New Roman" w:hAnsi="Times New Roman" w:cs="Times New Roman"/>
          <w:color w:val="000000" w:themeColor="text1"/>
          <w:sz w:val="24"/>
          <w:szCs w:val="24"/>
        </w:rPr>
        <w:t>Ц</w:t>
      </w:r>
      <w:r w:rsidR="007565AD">
        <w:rPr>
          <w:rFonts w:ascii="Times New Roman" w:hAnsi="Times New Roman" w:cs="Times New Roman"/>
          <w:color w:val="000000" w:themeColor="text1"/>
          <w:sz w:val="24"/>
          <w:szCs w:val="24"/>
        </w:rPr>
        <w:t xml:space="preserve">ентрализација </w:t>
      </w:r>
      <w:r w:rsidR="00F41EC2">
        <w:rPr>
          <w:rFonts w:ascii="Times New Roman" w:hAnsi="Times New Roman" w:cs="Times New Roman"/>
          <w:color w:val="000000" w:themeColor="text1"/>
          <w:sz w:val="24"/>
          <w:szCs w:val="24"/>
        </w:rPr>
        <w:t>јавних набавки може се реализовати</w:t>
      </w:r>
      <w:r w:rsidRPr="005E5329">
        <w:rPr>
          <w:rFonts w:ascii="Times New Roman" w:hAnsi="Times New Roman" w:cs="Times New Roman"/>
          <w:color w:val="000000" w:themeColor="text1"/>
          <w:sz w:val="24"/>
          <w:szCs w:val="24"/>
        </w:rPr>
        <w:t xml:space="preserve"> </w:t>
      </w:r>
      <w:r w:rsidR="00201868" w:rsidRPr="005E5329">
        <w:rPr>
          <w:rFonts w:ascii="Times New Roman" w:hAnsi="Times New Roman" w:cs="Times New Roman"/>
          <w:color w:val="000000" w:themeColor="text1"/>
          <w:sz w:val="24"/>
          <w:szCs w:val="24"/>
        </w:rPr>
        <w:t xml:space="preserve">обједињавањем </w:t>
      </w:r>
      <w:r w:rsidRPr="005E5329">
        <w:rPr>
          <w:rFonts w:ascii="Times New Roman" w:hAnsi="Times New Roman" w:cs="Times New Roman"/>
          <w:color w:val="000000" w:themeColor="text1"/>
          <w:sz w:val="24"/>
          <w:szCs w:val="24"/>
        </w:rPr>
        <w:t>нaбaвк</w:t>
      </w:r>
      <w:r w:rsidR="00201868" w:rsidRPr="005E5329">
        <w:rPr>
          <w:rFonts w:ascii="Times New Roman" w:hAnsi="Times New Roman" w:cs="Times New Roman"/>
          <w:color w:val="000000" w:themeColor="text1"/>
          <w:sz w:val="24"/>
          <w:szCs w:val="24"/>
        </w:rPr>
        <w:t>и</w:t>
      </w:r>
      <w:r w:rsidRPr="005E5329">
        <w:rPr>
          <w:rFonts w:ascii="Times New Roman" w:hAnsi="Times New Roman" w:cs="Times New Roman"/>
          <w:color w:val="000000" w:themeColor="text1"/>
          <w:sz w:val="24"/>
          <w:szCs w:val="24"/>
        </w:rPr>
        <w:t xml:space="preserve"> које се спроводе преко телa зa центрaлизовaне јaвне нaбaвке и </w:t>
      </w:r>
      <w:r w:rsidR="00187178" w:rsidRPr="005E5329">
        <w:rPr>
          <w:rFonts w:ascii="Times New Roman" w:hAnsi="Times New Roman" w:cs="Times New Roman"/>
          <w:color w:val="000000" w:themeColor="text1"/>
          <w:sz w:val="24"/>
          <w:szCs w:val="24"/>
        </w:rPr>
        <w:t xml:space="preserve">путем </w:t>
      </w:r>
      <w:r w:rsidRPr="005E5329">
        <w:rPr>
          <w:rFonts w:ascii="Times New Roman" w:hAnsi="Times New Roman" w:cs="Times New Roman"/>
          <w:color w:val="000000" w:themeColor="text1"/>
          <w:sz w:val="24"/>
          <w:szCs w:val="24"/>
        </w:rPr>
        <w:t>спровођењ</w:t>
      </w:r>
      <w:r w:rsidR="00187178" w:rsidRPr="005E5329">
        <w:rPr>
          <w:rFonts w:ascii="Times New Roman" w:hAnsi="Times New Roman" w:cs="Times New Roman"/>
          <w:color w:val="000000" w:themeColor="text1"/>
          <w:sz w:val="24"/>
          <w:szCs w:val="24"/>
        </w:rPr>
        <w:t>а</w:t>
      </w:r>
      <w:r w:rsidRPr="005E5329">
        <w:rPr>
          <w:rFonts w:ascii="Times New Roman" w:hAnsi="Times New Roman" w:cs="Times New Roman"/>
          <w:color w:val="000000" w:themeColor="text1"/>
          <w:sz w:val="24"/>
          <w:szCs w:val="24"/>
        </w:rPr>
        <w:t xml:space="preserve"> поступкa јaвне нaбaвке од стрaне више нaручилaцa</w:t>
      </w:r>
      <w:r w:rsidR="00187178" w:rsidRPr="005E5329">
        <w:rPr>
          <w:rFonts w:ascii="Times New Roman" w:hAnsi="Times New Roman" w:cs="Times New Roman"/>
          <w:color w:val="000000" w:themeColor="text1"/>
          <w:sz w:val="24"/>
          <w:szCs w:val="24"/>
        </w:rPr>
        <w:t xml:space="preserve"> (заједничка јавна набавка)</w:t>
      </w:r>
      <w:r w:rsidRPr="005E5329">
        <w:rPr>
          <w:rFonts w:ascii="Times New Roman" w:hAnsi="Times New Roman" w:cs="Times New Roman"/>
          <w:color w:val="000000" w:themeColor="text1"/>
          <w:sz w:val="24"/>
          <w:szCs w:val="24"/>
        </w:rPr>
        <w:t xml:space="preserve">. </w:t>
      </w:r>
    </w:p>
    <w:p w14:paraId="6C4C5DC2" w14:textId="77777777" w:rsidR="00C84858" w:rsidRPr="005E5329" w:rsidRDefault="00C84858" w:rsidP="005E5329">
      <w:pPr>
        <w:spacing w:after="0"/>
        <w:ind w:firstLine="708"/>
        <w:jc w:val="both"/>
        <w:rPr>
          <w:rFonts w:ascii="Times New Roman" w:hAnsi="Times New Roman" w:cs="Times New Roman"/>
          <w:color w:val="000000" w:themeColor="text1"/>
          <w:sz w:val="24"/>
          <w:szCs w:val="24"/>
        </w:rPr>
      </w:pPr>
    </w:p>
    <w:p w14:paraId="194155F4" w14:textId="6FE837DF" w:rsidR="00C84858" w:rsidRPr="00C71D60" w:rsidRDefault="009C6F5B" w:rsidP="005E5329">
      <w:pPr>
        <w:pStyle w:val="ListParagraph"/>
        <w:ind w:left="-7"/>
        <w:jc w:val="both"/>
        <w:rPr>
          <w:rFonts w:ascii="Times New Roman" w:hAnsi="Times New Roman" w:cs="Times New Roman"/>
          <w:color w:val="000000" w:themeColor="text1"/>
          <w:sz w:val="24"/>
          <w:szCs w:val="24"/>
        </w:rPr>
      </w:pPr>
      <w:r w:rsidRPr="00C71D60">
        <w:rPr>
          <w:rFonts w:ascii="Times New Roman" w:hAnsi="Times New Roman" w:cs="Times New Roman"/>
          <w:color w:val="000000" w:themeColor="text1"/>
          <w:sz w:val="24"/>
          <w:szCs w:val="24"/>
        </w:rPr>
        <w:t xml:space="preserve">Учешће уговора </w:t>
      </w:r>
      <w:r w:rsidR="00C71D60" w:rsidRPr="00C71D60">
        <w:rPr>
          <w:rFonts w:ascii="Times New Roman" w:hAnsi="Times New Roman" w:cs="Times New Roman"/>
          <w:color w:val="000000" w:themeColor="text1"/>
          <w:sz w:val="24"/>
          <w:szCs w:val="24"/>
        </w:rPr>
        <w:t>закључених у поступцима централизованих јавних набавки у ук</w:t>
      </w:r>
      <w:r w:rsidR="00171F84">
        <w:rPr>
          <w:rFonts w:ascii="Times New Roman" w:hAnsi="Times New Roman" w:cs="Times New Roman"/>
          <w:color w:val="000000" w:themeColor="text1"/>
          <w:sz w:val="24"/>
          <w:szCs w:val="24"/>
        </w:rPr>
        <w:t>упној вре</w:t>
      </w:r>
      <w:r w:rsidR="00275D39">
        <w:rPr>
          <w:rFonts w:ascii="Times New Roman" w:hAnsi="Times New Roman" w:cs="Times New Roman"/>
          <w:color w:val="000000" w:themeColor="text1"/>
          <w:sz w:val="24"/>
          <w:szCs w:val="24"/>
        </w:rPr>
        <w:t>дности уговора смањило се у 2019</w:t>
      </w:r>
      <w:r w:rsidR="00C71D60" w:rsidRPr="00C71D60">
        <w:rPr>
          <w:rFonts w:ascii="Times New Roman" w:hAnsi="Times New Roman" w:cs="Times New Roman"/>
          <w:color w:val="000000" w:themeColor="text1"/>
          <w:sz w:val="24"/>
          <w:szCs w:val="24"/>
        </w:rPr>
        <w:t>. години</w:t>
      </w:r>
      <w:r w:rsidRPr="00C71D60">
        <w:rPr>
          <w:rFonts w:ascii="Times New Roman" w:hAnsi="Times New Roman" w:cs="Times New Roman"/>
          <w:color w:val="000000" w:themeColor="text1"/>
          <w:sz w:val="24"/>
          <w:szCs w:val="24"/>
        </w:rPr>
        <w:t xml:space="preserve"> </w:t>
      </w:r>
      <w:r w:rsidR="00275D39">
        <w:rPr>
          <w:rFonts w:ascii="Times New Roman" w:hAnsi="Times New Roman" w:cs="Times New Roman"/>
          <w:color w:val="000000" w:themeColor="text1"/>
          <w:sz w:val="24"/>
          <w:szCs w:val="24"/>
        </w:rPr>
        <w:t>у односу на 2018. са 15</w:t>
      </w:r>
      <w:r w:rsidR="00C71D60" w:rsidRPr="00C71D60">
        <w:rPr>
          <w:rFonts w:ascii="Times New Roman" w:hAnsi="Times New Roman" w:cs="Times New Roman"/>
          <w:color w:val="000000" w:themeColor="text1"/>
          <w:sz w:val="24"/>
          <w:szCs w:val="24"/>
        </w:rPr>
        <w:t>%</w:t>
      </w:r>
      <w:r w:rsidR="00275D39">
        <w:rPr>
          <w:rFonts w:ascii="Times New Roman" w:hAnsi="Times New Roman" w:cs="Times New Roman"/>
          <w:color w:val="000000" w:themeColor="text1"/>
          <w:sz w:val="24"/>
          <w:szCs w:val="24"/>
        </w:rPr>
        <w:t xml:space="preserve"> на 12% (Табела 20</w:t>
      </w:r>
      <w:r w:rsidRPr="00C71D60">
        <w:rPr>
          <w:rFonts w:ascii="Times New Roman" w:hAnsi="Times New Roman" w:cs="Times New Roman"/>
          <w:color w:val="000000" w:themeColor="text1"/>
          <w:sz w:val="24"/>
          <w:szCs w:val="24"/>
        </w:rPr>
        <w:t>).</w:t>
      </w:r>
      <w:r w:rsidR="00C71D60" w:rsidRPr="00C71D60">
        <w:rPr>
          <w:rFonts w:ascii="Times New Roman" w:hAnsi="Times New Roman" w:cs="Times New Roman"/>
          <w:color w:val="000000" w:themeColor="text1"/>
          <w:sz w:val="24"/>
          <w:szCs w:val="24"/>
        </w:rPr>
        <w:t xml:space="preserve"> </w:t>
      </w:r>
    </w:p>
    <w:p w14:paraId="498E6561" w14:textId="756B2A57" w:rsidR="00C84858" w:rsidRPr="005005C3" w:rsidRDefault="004936E4" w:rsidP="00163E0C">
      <w:pPr>
        <w:jc w:val="both"/>
        <w:rPr>
          <w:rFonts w:ascii="Times New Roman" w:hAnsi="Times New Roman" w:cs="Times New Roman"/>
          <w:b/>
          <w:color w:val="000000" w:themeColor="text1"/>
          <w:sz w:val="24"/>
          <w:szCs w:val="24"/>
        </w:rPr>
      </w:pPr>
      <w:r w:rsidRPr="00C71D60">
        <w:rPr>
          <w:rFonts w:ascii="Times New Roman" w:hAnsi="Times New Roman" w:cs="Times New Roman"/>
          <w:b/>
          <w:color w:val="000000" w:themeColor="text1"/>
          <w:sz w:val="24"/>
          <w:szCs w:val="24"/>
        </w:rPr>
        <w:t xml:space="preserve">         </w:t>
      </w:r>
      <w:r w:rsidR="006D579B">
        <w:rPr>
          <w:rFonts w:ascii="Times New Roman" w:hAnsi="Times New Roman" w:cs="Times New Roman"/>
          <w:b/>
          <w:color w:val="000000" w:themeColor="text1"/>
          <w:sz w:val="24"/>
          <w:szCs w:val="24"/>
          <w:lang w:val="sr-Cyrl-RS"/>
        </w:rPr>
        <w:t xml:space="preserve">  </w:t>
      </w:r>
      <w:r w:rsidRPr="00C71D60">
        <w:rPr>
          <w:rFonts w:ascii="Times New Roman" w:hAnsi="Times New Roman" w:cs="Times New Roman"/>
          <w:b/>
          <w:color w:val="000000" w:themeColor="text1"/>
          <w:sz w:val="24"/>
          <w:szCs w:val="24"/>
        </w:rPr>
        <w:t xml:space="preserve"> </w:t>
      </w:r>
      <w:r w:rsidR="001D2A23">
        <w:rPr>
          <w:rFonts w:ascii="Times New Roman" w:hAnsi="Times New Roman" w:cs="Times New Roman"/>
          <w:b/>
          <w:color w:val="000000" w:themeColor="text1"/>
          <w:sz w:val="24"/>
          <w:szCs w:val="24"/>
          <w:lang w:val="sr-Cyrl-CS"/>
        </w:rPr>
        <w:t xml:space="preserve"> </w:t>
      </w:r>
      <w:r w:rsidRPr="00C71D60">
        <w:rPr>
          <w:rFonts w:ascii="Times New Roman" w:hAnsi="Times New Roman" w:cs="Times New Roman"/>
          <w:b/>
          <w:color w:val="000000" w:themeColor="text1"/>
          <w:sz w:val="24"/>
          <w:szCs w:val="24"/>
        </w:rPr>
        <w:t xml:space="preserve"> </w:t>
      </w:r>
      <w:r w:rsidR="00275D39">
        <w:rPr>
          <w:rFonts w:ascii="Times New Roman" w:hAnsi="Times New Roman" w:cs="Times New Roman"/>
          <w:b/>
          <w:color w:val="000000" w:themeColor="text1"/>
          <w:sz w:val="24"/>
          <w:szCs w:val="24"/>
        </w:rPr>
        <w:t>Табела 20</w:t>
      </w:r>
    </w:p>
    <w:tbl>
      <w:tblPr>
        <w:tblW w:w="9916" w:type="dxa"/>
        <w:tblInd w:w="824" w:type="dxa"/>
        <w:tblCellMar>
          <w:left w:w="0" w:type="dxa"/>
          <w:right w:w="0" w:type="dxa"/>
        </w:tblCellMar>
        <w:tblLook w:val="04A0" w:firstRow="1" w:lastRow="0" w:firstColumn="1" w:lastColumn="0" w:noHBand="0" w:noVBand="1"/>
      </w:tblPr>
      <w:tblGrid>
        <w:gridCol w:w="1070"/>
        <w:gridCol w:w="766"/>
        <w:gridCol w:w="1701"/>
        <w:gridCol w:w="1134"/>
        <w:gridCol w:w="1134"/>
        <w:gridCol w:w="850"/>
        <w:gridCol w:w="1843"/>
        <w:gridCol w:w="1418"/>
      </w:tblGrid>
      <w:tr w:rsidR="00275D39" w:rsidRPr="005E5329" w14:paraId="580FF099" w14:textId="77777777" w:rsidTr="00181965">
        <w:trPr>
          <w:trHeight w:val="661"/>
        </w:trPr>
        <w:tc>
          <w:tcPr>
            <w:tcW w:w="991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943C0" w14:textId="77777777" w:rsidR="00275D39" w:rsidRDefault="00275D39" w:rsidP="00181965">
            <w:pPr>
              <w:spacing w:after="0" w:line="240" w:lineRule="auto"/>
              <w:jc w:val="center"/>
              <w:rPr>
                <w:rFonts w:ascii="Times New Roman" w:eastAsia="Times New Roman" w:hAnsi="Times New Roman" w:cs="Times New Roman"/>
                <w:b/>
                <w:bCs/>
                <w:sz w:val="24"/>
                <w:szCs w:val="24"/>
              </w:rPr>
            </w:pPr>
            <w:r w:rsidRPr="005E5329">
              <w:rPr>
                <w:rFonts w:ascii="Times New Roman" w:eastAsia="Times New Roman" w:hAnsi="Times New Roman" w:cs="Times New Roman"/>
                <w:b/>
                <w:bCs/>
                <w:sz w:val="24"/>
                <w:szCs w:val="24"/>
              </w:rPr>
              <w:t>Упоредни преглед закључених уговора</w:t>
            </w:r>
          </w:p>
          <w:p w14:paraId="28B8E402" w14:textId="77777777" w:rsidR="00275D39" w:rsidRPr="005E5329" w:rsidRDefault="00275D39" w:rsidP="00181965">
            <w:pPr>
              <w:spacing w:after="0"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на основу</w:t>
            </w:r>
            <w:r>
              <w:rPr>
                <w:rFonts w:ascii="Times New Roman" w:eastAsia="Times New Roman" w:hAnsi="Times New Roman" w:cs="Times New Roman"/>
                <w:b/>
                <w:bCs/>
                <w:sz w:val="24"/>
                <w:szCs w:val="24"/>
              </w:rPr>
              <w:t xml:space="preserve"> централизованих јавних набавки у 201</w:t>
            </w:r>
            <w:r>
              <w:rPr>
                <w:rFonts w:ascii="Times New Roman" w:eastAsia="Times New Roman" w:hAnsi="Times New Roman" w:cs="Times New Roman"/>
                <w:b/>
                <w:bCs/>
                <w:sz w:val="24"/>
                <w:szCs w:val="24"/>
                <w:lang w:val="en-US"/>
              </w:rPr>
              <w:t>8</w:t>
            </w:r>
            <w:r>
              <w:rPr>
                <w:rFonts w:ascii="Times New Roman" w:eastAsia="Times New Roman" w:hAnsi="Times New Roman" w:cs="Times New Roman"/>
                <w:b/>
                <w:bCs/>
                <w:sz w:val="24"/>
                <w:szCs w:val="24"/>
              </w:rPr>
              <w:t>. и 201</w:t>
            </w:r>
            <w:r>
              <w:rPr>
                <w:rFonts w:ascii="Times New Roman" w:eastAsia="Times New Roman" w:hAnsi="Times New Roman" w:cs="Times New Roman"/>
                <w:b/>
                <w:bCs/>
                <w:sz w:val="24"/>
                <w:szCs w:val="24"/>
                <w:lang w:val="en-US"/>
              </w:rPr>
              <w:t>9</w:t>
            </w:r>
            <w:r w:rsidRPr="005E5329">
              <w:rPr>
                <w:rFonts w:ascii="Times New Roman" w:eastAsia="Times New Roman" w:hAnsi="Times New Roman" w:cs="Times New Roman"/>
                <w:b/>
                <w:bCs/>
                <w:sz w:val="24"/>
                <w:szCs w:val="24"/>
              </w:rPr>
              <w:t>. години</w:t>
            </w:r>
          </w:p>
        </w:tc>
      </w:tr>
      <w:tr w:rsidR="00275D39" w:rsidRPr="005E5329" w14:paraId="251BBD77" w14:textId="77777777" w:rsidTr="00181965">
        <w:tc>
          <w:tcPr>
            <w:tcW w:w="467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0F8C"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lang w:val="en-US"/>
              </w:rPr>
              <w:t>8</w:t>
            </w:r>
            <w:r w:rsidRPr="005E5329">
              <w:rPr>
                <w:rFonts w:ascii="Times New Roman" w:eastAsia="Times New Roman" w:hAnsi="Times New Roman" w:cs="Times New Roman"/>
                <w:b/>
                <w:bCs/>
                <w:sz w:val="24"/>
                <w:szCs w:val="24"/>
              </w:rPr>
              <w:t>. година</w:t>
            </w:r>
          </w:p>
        </w:tc>
        <w:tc>
          <w:tcPr>
            <w:tcW w:w="524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75243" w14:textId="2494C6CC"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C71D60">
              <w:rPr>
                <w:rFonts w:ascii="Times New Roman" w:eastAsia="Times New Roman" w:hAnsi="Times New Roman" w:cs="Times New Roman"/>
                <w:b/>
                <w:bCs/>
                <w:color w:val="000000" w:themeColor="text1"/>
                <w:sz w:val="24"/>
                <w:szCs w:val="24"/>
              </w:rPr>
              <w:t>201</w:t>
            </w:r>
            <w:r>
              <w:rPr>
                <w:rFonts w:ascii="Times New Roman" w:eastAsia="Times New Roman" w:hAnsi="Times New Roman" w:cs="Times New Roman"/>
                <w:b/>
                <w:bCs/>
                <w:color w:val="000000" w:themeColor="text1"/>
                <w:sz w:val="24"/>
                <w:szCs w:val="24"/>
                <w:lang w:val="en-US"/>
              </w:rPr>
              <w:t>9</w:t>
            </w:r>
            <w:r w:rsidRPr="00C71D60">
              <w:rPr>
                <w:rFonts w:ascii="Times New Roman" w:eastAsia="Times New Roman" w:hAnsi="Times New Roman" w:cs="Times New Roman"/>
                <w:b/>
                <w:bCs/>
                <w:color w:val="000000" w:themeColor="text1"/>
                <w:sz w:val="24"/>
                <w:szCs w:val="24"/>
              </w:rPr>
              <w:t>. година</w:t>
            </w:r>
          </w:p>
        </w:tc>
      </w:tr>
      <w:tr w:rsidR="00275D39" w:rsidRPr="005E5329" w14:paraId="2BAEA21F" w14:textId="77777777" w:rsidTr="00181965">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05200"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Број уговора</w:t>
            </w: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6A6B0"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57BDE"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Уговорена вредност без ПДВ-а*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DA388"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74E81"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Број уговора</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B8A40"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757E"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Уговорена вредност без ПДВ-а*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F3E1D" w14:textId="77777777" w:rsidR="00275D39" w:rsidRPr="005E5329" w:rsidRDefault="00275D39" w:rsidP="00181965">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w:t>
            </w:r>
          </w:p>
        </w:tc>
      </w:tr>
      <w:tr w:rsidR="00275D39" w:rsidRPr="005E5329" w14:paraId="3A07225B" w14:textId="77777777" w:rsidTr="00181965">
        <w:trPr>
          <w:trHeight w:val="931"/>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E52F4"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15.104</w:t>
            </w: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156B9"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38C941"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59.291.861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D987C"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1F86AB"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18.905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E1BBF"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B4F1E"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51.058.509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71ED8" w14:textId="77777777" w:rsidR="00275D39" w:rsidRPr="00C71D60" w:rsidRDefault="00275D39" w:rsidP="0018196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12</w:t>
            </w:r>
          </w:p>
        </w:tc>
      </w:tr>
    </w:tbl>
    <w:p w14:paraId="60FDC82A" w14:textId="569DD07E" w:rsidR="00C84858" w:rsidRPr="00CE3875" w:rsidRDefault="007565AD" w:rsidP="007565AD">
      <w:pPr>
        <w:jc w:val="both"/>
        <w:rPr>
          <w:rFonts w:ascii="Times New Roman" w:hAnsi="Times New Roman" w:cs="Times New Roman"/>
        </w:rPr>
      </w:pPr>
      <w:r w:rsidRPr="00CE3875">
        <w:rPr>
          <w:rFonts w:ascii="Times New Roman" w:eastAsia="Times New Roman" w:hAnsi="Times New Roman" w:cs="Times New Roman"/>
          <w:b/>
          <w:bCs/>
        </w:rPr>
        <w:t xml:space="preserve">         </w:t>
      </w:r>
      <w:r w:rsidR="00043054">
        <w:rPr>
          <w:rFonts w:ascii="Times New Roman" w:eastAsia="Times New Roman" w:hAnsi="Times New Roman" w:cs="Times New Roman"/>
          <w:b/>
          <w:bCs/>
          <w:lang w:val="sr-Cyrl-RS"/>
        </w:rPr>
        <w:t xml:space="preserve">   </w:t>
      </w:r>
      <w:r w:rsidRPr="00CE3875">
        <w:rPr>
          <w:rFonts w:ascii="Times New Roman" w:eastAsia="Times New Roman" w:hAnsi="Times New Roman" w:cs="Times New Roman"/>
          <w:b/>
          <w:bCs/>
        </w:rPr>
        <w:t xml:space="preserve">   </w:t>
      </w:r>
      <w:r w:rsidR="00C84858" w:rsidRPr="00CE3875">
        <w:rPr>
          <w:rFonts w:ascii="Times New Roman" w:eastAsia="Times New Roman" w:hAnsi="Times New Roman" w:cs="Times New Roman"/>
          <w:b/>
          <w:bCs/>
        </w:rPr>
        <w:t>*</w:t>
      </w:r>
      <w:r w:rsidR="00C84858" w:rsidRPr="00CE3875">
        <w:rPr>
          <w:rFonts w:ascii="Times New Roman" w:hAnsi="Times New Roman" w:cs="Times New Roman"/>
        </w:rPr>
        <w:t xml:space="preserve">Вредности су </w:t>
      </w:r>
      <w:r w:rsidR="003B5DE7">
        <w:rPr>
          <w:rFonts w:ascii="Times New Roman" w:hAnsi="Times New Roman" w:cs="Times New Roman"/>
        </w:rPr>
        <w:t xml:space="preserve">изражене </w:t>
      </w:r>
      <w:r w:rsidR="00C84858" w:rsidRPr="00CE3875">
        <w:rPr>
          <w:rFonts w:ascii="Times New Roman" w:hAnsi="Times New Roman" w:cs="Times New Roman"/>
        </w:rPr>
        <w:t>у хиљадама динара</w:t>
      </w:r>
    </w:p>
    <w:p w14:paraId="72C2F819" w14:textId="15192C81" w:rsidR="0068567F" w:rsidRPr="00D96A95" w:rsidRDefault="00F41EC2" w:rsidP="005E5329">
      <w:pPr>
        <w:spacing w:after="0"/>
        <w:jc w:val="both"/>
        <w:rPr>
          <w:rFonts w:ascii="Times New Roman" w:hAnsi="Times New Roman" w:cs="Times New Roman"/>
          <w:color w:val="000000" w:themeColor="text1"/>
          <w:sz w:val="24"/>
          <w:szCs w:val="24"/>
        </w:rPr>
      </w:pPr>
      <w:r w:rsidRPr="00D96A95">
        <w:rPr>
          <w:rFonts w:ascii="Times New Roman" w:hAnsi="Times New Roman" w:cs="Times New Roman"/>
          <w:color w:val="000000" w:themeColor="text1"/>
          <w:sz w:val="24"/>
          <w:szCs w:val="24"/>
        </w:rPr>
        <w:t>Доминантно учешће</w:t>
      </w:r>
      <w:r w:rsidR="00B954AE" w:rsidRPr="00D96A95">
        <w:rPr>
          <w:rFonts w:ascii="Times New Roman" w:hAnsi="Times New Roman" w:cs="Times New Roman"/>
          <w:color w:val="000000" w:themeColor="text1"/>
          <w:sz w:val="24"/>
          <w:szCs w:val="24"/>
        </w:rPr>
        <w:t xml:space="preserve"> у централизованим јавним набавкама</w:t>
      </w:r>
      <w:r w:rsidRPr="00D96A95">
        <w:rPr>
          <w:rFonts w:ascii="Times New Roman" w:hAnsi="Times New Roman" w:cs="Times New Roman"/>
          <w:color w:val="000000" w:themeColor="text1"/>
          <w:sz w:val="24"/>
          <w:szCs w:val="24"/>
        </w:rPr>
        <w:t>,</w:t>
      </w:r>
      <w:r w:rsidR="00B954AE" w:rsidRPr="00D96A95">
        <w:rPr>
          <w:rFonts w:ascii="Times New Roman" w:hAnsi="Times New Roman" w:cs="Times New Roman"/>
          <w:color w:val="000000" w:themeColor="text1"/>
          <w:sz w:val="24"/>
          <w:szCs w:val="24"/>
        </w:rPr>
        <w:t xml:space="preserve"> </w:t>
      </w:r>
      <w:r w:rsidR="00E67484">
        <w:rPr>
          <w:rFonts w:ascii="Times New Roman" w:hAnsi="Times New Roman" w:cs="Times New Roman"/>
          <w:color w:val="000000" w:themeColor="text1"/>
          <w:sz w:val="24"/>
          <w:szCs w:val="24"/>
        </w:rPr>
        <w:t>у 2019</w:t>
      </w:r>
      <w:r w:rsidR="006447E7" w:rsidRPr="00D96A95">
        <w:rPr>
          <w:rFonts w:ascii="Times New Roman" w:hAnsi="Times New Roman" w:cs="Times New Roman"/>
          <w:color w:val="000000" w:themeColor="text1"/>
          <w:sz w:val="24"/>
          <w:szCs w:val="24"/>
        </w:rPr>
        <w:t xml:space="preserve">. </w:t>
      </w:r>
      <w:r w:rsidRPr="00D96A95">
        <w:rPr>
          <w:rFonts w:ascii="Times New Roman" w:hAnsi="Times New Roman" w:cs="Times New Roman"/>
          <w:color w:val="000000" w:themeColor="text1"/>
          <w:sz w:val="24"/>
          <w:szCs w:val="24"/>
        </w:rPr>
        <w:t>г</w:t>
      </w:r>
      <w:r w:rsidR="006447E7" w:rsidRPr="00D96A95">
        <w:rPr>
          <w:rFonts w:ascii="Times New Roman" w:hAnsi="Times New Roman" w:cs="Times New Roman"/>
          <w:color w:val="000000" w:themeColor="text1"/>
          <w:sz w:val="24"/>
          <w:szCs w:val="24"/>
        </w:rPr>
        <w:t>одини</w:t>
      </w:r>
      <w:r w:rsidRPr="00D96A95">
        <w:rPr>
          <w:rFonts w:ascii="Times New Roman" w:hAnsi="Times New Roman" w:cs="Times New Roman"/>
          <w:color w:val="000000" w:themeColor="text1"/>
          <w:sz w:val="24"/>
          <w:szCs w:val="24"/>
        </w:rPr>
        <w:t>,</w:t>
      </w:r>
      <w:r w:rsidR="006447E7" w:rsidRPr="00D96A95">
        <w:rPr>
          <w:rFonts w:ascii="Times New Roman" w:hAnsi="Times New Roman" w:cs="Times New Roman"/>
          <w:color w:val="000000" w:themeColor="text1"/>
          <w:sz w:val="24"/>
          <w:szCs w:val="24"/>
        </w:rPr>
        <w:t xml:space="preserve"> имали су </w:t>
      </w:r>
      <w:r w:rsidR="00B954AE" w:rsidRPr="00D96A95">
        <w:rPr>
          <w:rFonts w:ascii="Times New Roman" w:eastAsia="Times New Roman" w:hAnsi="Times New Roman" w:cs="Times New Roman"/>
          <w:color w:val="000000" w:themeColor="text1"/>
          <w:sz w:val="24"/>
          <w:szCs w:val="24"/>
        </w:rPr>
        <w:t>медицинск</w:t>
      </w:r>
      <w:r w:rsidR="00E4072A" w:rsidRPr="00D96A95">
        <w:rPr>
          <w:rFonts w:ascii="Times New Roman" w:eastAsia="Times New Roman" w:hAnsi="Times New Roman" w:cs="Times New Roman"/>
          <w:color w:val="000000" w:themeColor="text1"/>
          <w:sz w:val="24"/>
          <w:szCs w:val="24"/>
        </w:rPr>
        <w:t>а</w:t>
      </w:r>
      <w:r w:rsidR="006447E7" w:rsidRPr="00D96A95">
        <w:rPr>
          <w:rFonts w:ascii="Times New Roman" w:eastAsia="Times New Roman" w:hAnsi="Times New Roman" w:cs="Times New Roman"/>
          <w:color w:val="000000" w:themeColor="text1"/>
          <w:sz w:val="24"/>
          <w:szCs w:val="24"/>
        </w:rPr>
        <w:t xml:space="preserve"> опрема и </w:t>
      </w:r>
      <w:r w:rsidR="00B954AE" w:rsidRPr="00D96A95">
        <w:rPr>
          <w:rFonts w:ascii="Times New Roman" w:eastAsia="Times New Roman" w:hAnsi="Times New Roman" w:cs="Times New Roman"/>
          <w:color w:val="000000" w:themeColor="text1"/>
          <w:sz w:val="24"/>
          <w:szCs w:val="24"/>
        </w:rPr>
        <w:t>фармацеутски производ</w:t>
      </w:r>
      <w:r w:rsidR="006447E7" w:rsidRPr="00D96A95">
        <w:rPr>
          <w:rFonts w:ascii="Times New Roman" w:eastAsia="Times New Roman" w:hAnsi="Times New Roman" w:cs="Times New Roman"/>
          <w:color w:val="000000" w:themeColor="text1"/>
          <w:sz w:val="24"/>
          <w:szCs w:val="24"/>
        </w:rPr>
        <w:t>и</w:t>
      </w:r>
      <w:r w:rsidRPr="00D96A95">
        <w:rPr>
          <w:rFonts w:ascii="Times New Roman" w:hAnsi="Times New Roman" w:cs="Times New Roman"/>
          <w:color w:val="000000" w:themeColor="text1"/>
          <w:sz w:val="24"/>
          <w:szCs w:val="24"/>
        </w:rPr>
        <w:t xml:space="preserve"> </w:t>
      </w:r>
      <w:r w:rsidR="000F73FA" w:rsidRPr="00D96A95">
        <w:rPr>
          <w:rFonts w:ascii="Times New Roman" w:hAnsi="Times New Roman" w:cs="Times New Roman"/>
          <w:color w:val="000000" w:themeColor="text1"/>
          <w:sz w:val="24"/>
          <w:szCs w:val="24"/>
        </w:rPr>
        <w:t>(</w:t>
      </w:r>
      <w:r w:rsidR="00E92529" w:rsidRPr="00D96A95">
        <w:rPr>
          <w:rFonts w:ascii="Times New Roman" w:hAnsi="Times New Roman" w:cs="Times New Roman"/>
          <w:color w:val="000000" w:themeColor="text1"/>
          <w:sz w:val="24"/>
          <w:szCs w:val="24"/>
        </w:rPr>
        <w:t>Т</w:t>
      </w:r>
      <w:r w:rsidR="00275D39">
        <w:rPr>
          <w:rFonts w:ascii="Times New Roman" w:hAnsi="Times New Roman" w:cs="Times New Roman"/>
          <w:color w:val="000000" w:themeColor="text1"/>
          <w:sz w:val="24"/>
          <w:szCs w:val="24"/>
        </w:rPr>
        <w:t>абела 21</w:t>
      </w:r>
      <w:r w:rsidR="000F73FA" w:rsidRPr="00D96A95">
        <w:rPr>
          <w:rFonts w:ascii="Times New Roman" w:hAnsi="Times New Roman" w:cs="Times New Roman"/>
          <w:color w:val="000000" w:themeColor="text1"/>
          <w:sz w:val="24"/>
          <w:szCs w:val="24"/>
        </w:rPr>
        <w:t>).</w:t>
      </w:r>
    </w:p>
    <w:p w14:paraId="3934A94E" w14:textId="77777777" w:rsidR="002321BB" w:rsidRPr="00D96A95" w:rsidRDefault="002321BB" w:rsidP="005E5329">
      <w:pPr>
        <w:pStyle w:val="ListParagraph"/>
        <w:ind w:left="0"/>
        <w:jc w:val="both"/>
        <w:rPr>
          <w:rFonts w:ascii="Times New Roman" w:hAnsi="Times New Roman" w:cs="Times New Roman"/>
          <w:b/>
          <w:color w:val="000000" w:themeColor="text1"/>
          <w:sz w:val="24"/>
          <w:szCs w:val="24"/>
        </w:rPr>
      </w:pPr>
    </w:p>
    <w:p w14:paraId="019D7AB3" w14:textId="51CC4B3F" w:rsidR="00187178" w:rsidRPr="005005C3" w:rsidRDefault="00A40BD9" w:rsidP="005E5329">
      <w:pPr>
        <w:pStyle w:val="ListParagraph"/>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sr-Cyrl-CS"/>
        </w:rPr>
        <w:t xml:space="preserve">         </w:t>
      </w:r>
      <w:r w:rsidR="00275D39">
        <w:rPr>
          <w:rFonts w:ascii="Times New Roman" w:hAnsi="Times New Roman" w:cs="Times New Roman"/>
          <w:b/>
          <w:color w:val="000000" w:themeColor="text1"/>
          <w:sz w:val="24"/>
          <w:szCs w:val="24"/>
        </w:rPr>
        <w:t>Табела 21</w:t>
      </w:r>
    </w:p>
    <w:tbl>
      <w:tblPr>
        <w:tblpPr w:leftFromText="180" w:rightFromText="180" w:vertAnchor="text" w:tblpX="641"/>
        <w:tblW w:w="10065" w:type="dxa"/>
        <w:tblCellMar>
          <w:left w:w="0" w:type="dxa"/>
          <w:right w:w="0" w:type="dxa"/>
        </w:tblCellMar>
        <w:tblLook w:val="04A0" w:firstRow="1" w:lastRow="0" w:firstColumn="1" w:lastColumn="0" w:noHBand="0" w:noVBand="1"/>
      </w:tblPr>
      <w:tblGrid>
        <w:gridCol w:w="6380"/>
        <w:gridCol w:w="1984"/>
        <w:gridCol w:w="1701"/>
      </w:tblGrid>
      <w:tr w:rsidR="00B954AE" w:rsidRPr="005E5329" w14:paraId="24F0D178" w14:textId="77777777" w:rsidTr="00FC59CD">
        <w:trPr>
          <w:trHeight w:val="310"/>
        </w:trPr>
        <w:tc>
          <w:tcPr>
            <w:tcW w:w="6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5315E3" w14:textId="76E0D943" w:rsidR="00187178" w:rsidRPr="00EC5371" w:rsidRDefault="005005C3" w:rsidP="00EC537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w:t>
            </w:r>
            <w:r w:rsidR="00EC5371">
              <w:rPr>
                <w:rFonts w:ascii="Times New Roman" w:eastAsia="Times New Roman" w:hAnsi="Times New Roman" w:cs="Times New Roman"/>
                <w:b/>
                <w:bCs/>
                <w:color w:val="000000"/>
                <w:sz w:val="24"/>
                <w:szCs w:val="24"/>
              </w:rPr>
              <w:t>ет н</w:t>
            </w:r>
            <w:r w:rsidR="00187178" w:rsidRPr="005E5329">
              <w:rPr>
                <w:rFonts w:ascii="Times New Roman" w:eastAsia="Times New Roman" w:hAnsi="Times New Roman" w:cs="Times New Roman"/>
                <w:b/>
                <w:bCs/>
                <w:color w:val="000000"/>
                <w:sz w:val="24"/>
                <w:szCs w:val="24"/>
              </w:rPr>
              <w:t>ајзаступљенији</w:t>
            </w:r>
            <w:r w:rsidR="00EC5371">
              <w:rPr>
                <w:rFonts w:ascii="Times New Roman" w:eastAsia="Times New Roman" w:hAnsi="Times New Roman" w:cs="Times New Roman"/>
                <w:b/>
                <w:bCs/>
                <w:color w:val="000000"/>
                <w:sz w:val="24"/>
                <w:szCs w:val="24"/>
              </w:rPr>
              <w:t>х</w:t>
            </w:r>
            <w:r w:rsidR="009C1DF1">
              <w:rPr>
                <w:rFonts w:ascii="Times New Roman" w:eastAsia="Times New Roman" w:hAnsi="Times New Roman" w:cs="Times New Roman"/>
                <w:b/>
                <w:bCs/>
                <w:color w:val="000000"/>
                <w:sz w:val="24"/>
                <w:szCs w:val="24"/>
              </w:rPr>
              <w:t xml:space="preserve"> предмета</w:t>
            </w:r>
            <w:r w:rsidR="00187178" w:rsidRPr="005E5329">
              <w:rPr>
                <w:rFonts w:ascii="Times New Roman" w:eastAsia="Times New Roman" w:hAnsi="Times New Roman" w:cs="Times New Roman"/>
                <w:b/>
                <w:bCs/>
                <w:color w:val="000000"/>
                <w:sz w:val="24"/>
                <w:szCs w:val="24"/>
              </w:rPr>
              <w:t xml:space="preserve"> </w:t>
            </w:r>
            <w:r w:rsidR="00EC5371">
              <w:rPr>
                <w:rFonts w:ascii="Times New Roman" w:eastAsia="Times New Roman" w:hAnsi="Times New Roman" w:cs="Times New Roman"/>
                <w:b/>
                <w:bCs/>
                <w:color w:val="000000"/>
                <w:sz w:val="24"/>
                <w:szCs w:val="24"/>
              </w:rPr>
              <w:t>код централизованих набавки</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37B4C5A" w14:textId="09ED2BEA" w:rsidR="00187178" w:rsidRPr="005E5329" w:rsidRDefault="0068567F" w:rsidP="00FC59CD">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sz w:val="24"/>
                <w:szCs w:val="24"/>
              </w:rPr>
              <w:t>Уговорена вредност без ПДВ-а*</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2CFCF3" w14:textId="77777777" w:rsidR="00187178" w:rsidRPr="005E5329" w:rsidRDefault="00187178" w:rsidP="00FC59CD">
            <w:pPr>
              <w:spacing w:before="100" w:beforeAutospacing="1" w:after="100" w:afterAutospacing="1" w:line="240" w:lineRule="auto"/>
              <w:jc w:val="center"/>
              <w:rPr>
                <w:rFonts w:ascii="Times New Roman" w:eastAsia="Times New Roman" w:hAnsi="Times New Roman" w:cs="Times New Roman"/>
                <w:sz w:val="24"/>
                <w:szCs w:val="24"/>
              </w:rPr>
            </w:pPr>
            <w:r w:rsidRPr="005E5329">
              <w:rPr>
                <w:rFonts w:ascii="Times New Roman" w:eastAsia="Times New Roman" w:hAnsi="Times New Roman" w:cs="Times New Roman"/>
                <w:b/>
                <w:bCs/>
                <w:color w:val="000000"/>
                <w:sz w:val="24"/>
                <w:szCs w:val="24"/>
              </w:rPr>
              <w:t>%</w:t>
            </w:r>
          </w:p>
        </w:tc>
      </w:tr>
      <w:tr w:rsidR="00E67484" w:rsidRPr="005E5329" w14:paraId="06B96DD6" w14:textId="77777777" w:rsidTr="00E67484">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A09E3E" w14:textId="540BCD52"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67484">
              <w:rPr>
                <w:rFonts w:ascii="Times New Roman" w:eastAsia="Times New Roman" w:hAnsi="Times New Roman" w:cs="Times New Roman"/>
                <w:color w:val="000000"/>
                <w:sz w:val="24"/>
                <w:szCs w:val="24"/>
              </w:rPr>
              <w:t>Медицинска опрема, фармацеутски производи, производи за личну негу</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DE38C76" w14:textId="2F29D518"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E67484">
              <w:rPr>
                <w:rFonts w:ascii="Times New Roman" w:hAnsi="Times New Roman" w:cs="Times New Roman"/>
                <w:sz w:val="24"/>
                <w:szCs w:val="24"/>
              </w:rPr>
              <w:t>42.170.121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905FD6" w14:textId="347ACB62"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Pr>
                <w:rFonts w:ascii="Times New Roman" w:hAnsi="Times New Roman" w:cs="Times New Roman"/>
                <w:sz w:val="24"/>
                <w:szCs w:val="24"/>
              </w:rPr>
              <w:t>83</w:t>
            </w:r>
          </w:p>
        </w:tc>
      </w:tr>
      <w:tr w:rsidR="00E67484" w:rsidRPr="005E5329" w14:paraId="0C0D1FA8" w14:textId="77777777" w:rsidTr="00E67484">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B75D19" w14:textId="14B85553"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sz w:val="24"/>
                <w:szCs w:val="24"/>
              </w:rPr>
            </w:pPr>
            <w:r w:rsidRPr="00E67484">
              <w:rPr>
                <w:rFonts w:ascii="Times New Roman" w:eastAsia="Times New Roman" w:hAnsi="Times New Roman" w:cs="Times New Roman"/>
                <w:color w:val="000000"/>
                <w:sz w:val="24"/>
                <w:szCs w:val="24"/>
              </w:rPr>
              <w:t>Нафтни деривати, гориво, електрична енергија</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7B3DF5" w14:textId="6AFFFF10"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E67484">
              <w:rPr>
                <w:rFonts w:ascii="Times New Roman" w:hAnsi="Times New Roman" w:cs="Times New Roman"/>
                <w:sz w:val="24"/>
                <w:szCs w:val="24"/>
              </w:rPr>
              <w:t>4.913.699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04AA7B" w14:textId="4E8E97DA"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Pr>
                <w:rFonts w:ascii="Times New Roman" w:hAnsi="Times New Roman" w:cs="Times New Roman"/>
                <w:sz w:val="24"/>
                <w:szCs w:val="24"/>
              </w:rPr>
              <w:t>10</w:t>
            </w:r>
          </w:p>
        </w:tc>
      </w:tr>
      <w:tr w:rsidR="00E67484" w:rsidRPr="005E5329" w14:paraId="2725EE07" w14:textId="77777777" w:rsidTr="00E67484">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8423E1" w14:textId="059FEF15"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sz w:val="24"/>
                <w:szCs w:val="24"/>
              </w:rPr>
            </w:pPr>
            <w:r w:rsidRPr="00E67484">
              <w:rPr>
                <w:rFonts w:ascii="Times New Roman" w:eastAsia="Times New Roman" w:hAnsi="Times New Roman" w:cs="Times New Roman"/>
                <w:color w:val="000000"/>
                <w:sz w:val="24"/>
                <w:szCs w:val="24"/>
              </w:rPr>
              <w:t>Канцеларијске и рачунарске машине, опрема и залихе осим намештаја и пакета програмске подршке</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616340" w14:textId="5B0B4103"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E67484">
              <w:rPr>
                <w:rFonts w:ascii="Times New Roman" w:hAnsi="Times New Roman" w:cs="Times New Roman"/>
                <w:sz w:val="24"/>
                <w:szCs w:val="24"/>
              </w:rPr>
              <w:t>714.564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297979" w14:textId="290433A4" w:rsidR="00E67484"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Pr>
                <w:rFonts w:ascii="Times New Roman" w:hAnsi="Times New Roman" w:cs="Times New Roman"/>
                <w:sz w:val="24"/>
                <w:szCs w:val="24"/>
              </w:rPr>
              <w:t>1</w:t>
            </w:r>
          </w:p>
        </w:tc>
      </w:tr>
      <w:tr w:rsidR="00B954AE" w:rsidRPr="005E5329" w14:paraId="0470D899" w14:textId="77777777" w:rsidTr="00E67484">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293890" w14:textId="46D5858A" w:rsidR="00187178" w:rsidRPr="00E67484" w:rsidRDefault="00E67484" w:rsidP="00A430D1">
            <w:pPr>
              <w:spacing w:before="100" w:beforeAutospacing="1" w:after="100" w:afterAutospacing="1" w:line="240" w:lineRule="auto"/>
              <w:jc w:val="center"/>
              <w:rPr>
                <w:rFonts w:ascii="Times New Roman" w:eastAsia="Times New Roman" w:hAnsi="Times New Roman" w:cs="Times New Roman"/>
                <w:sz w:val="24"/>
                <w:szCs w:val="24"/>
                <w:lang w:val="sr-Cyrl-CS"/>
              </w:rPr>
            </w:pPr>
            <w:r w:rsidRPr="00E67484">
              <w:rPr>
                <w:rFonts w:ascii="Times New Roman" w:eastAsia="Times New Roman" w:hAnsi="Times New Roman" w:cs="Times New Roman"/>
                <w:sz w:val="24"/>
                <w:szCs w:val="24"/>
                <w:lang w:val="sr-Cyrl-CS"/>
              </w:rPr>
              <w:t>Грађевински радови</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6BEB17" w14:textId="43BBCA9D" w:rsidR="00187178"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E67484">
              <w:rPr>
                <w:rFonts w:ascii="Times New Roman" w:eastAsia="Times New Roman" w:hAnsi="Times New Roman" w:cs="Times New Roman"/>
                <w:color w:val="000000" w:themeColor="text1"/>
                <w:sz w:val="24"/>
                <w:szCs w:val="24"/>
                <w:lang w:val="en-GB"/>
              </w:rPr>
              <w:t>693.835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26B815" w14:textId="3A0A402B" w:rsidR="00187178" w:rsidRPr="00E67484" w:rsidRDefault="00470BD2"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sidRPr="00E67484">
              <w:rPr>
                <w:rFonts w:ascii="Times New Roman" w:eastAsia="Times New Roman" w:hAnsi="Times New Roman" w:cs="Times New Roman"/>
                <w:color w:val="000000" w:themeColor="text1"/>
                <w:sz w:val="24"/>
                <w:szCs w:val="24"/>
                <w:lang w:val="sr-Cyrl-CS"/>
              </w:rPr>
              <w:t>1</w:t>
            </w:r>
          </w:p>
        </w:tc>
      </w:tr>
      <w:tr w:rsidR="00B954AE" w:rsidRPr="005E5329" w14:paraId="75921E33" w14:textId="77777777" w:rsidTr="00E67484">
        <w:trPr>
          <w:trHeight w:val="310"/>
        </w:trPr>
        <w:tc>
          <w:tcPr>
            <w:tcW w:w="6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320653" w14:textId="263588D6" w:rsidR="00187178" w:rsidRPr="00E67484" w:rsidRDefault="00E67484" w:rsidP="00E67484">
            <w:pPr>
              <w:spacing w:before="100" w:beforeAutospacing="1" w:after="100" w:afterAutospacing="1" w:line="240" w:lineRule="auto"/>
              <w:jc w:val="center"/>
              <w:rPr>
                <w:rFonts w:ascii="Times New Roman" w:eastAsia="Times New Roman" w:hAnsi="Times New Roman" w:cs="Times New Roman"/>
                <w:sz w:val="24"/>
                <w:szCs w:val="24"/>
                <w:lang w:val="sr-Cyrl-CS"/>
              </w:rPr>
            </w:pPr>
            <w:r w:rsidRPr="00E67484">
              <w:rPr>
                <w:rFonts w:ascii="Times New Roman" w:eastAsia="Times New Roman" w:hAnsi="Times New Roman" w:cs="Times New Roman"/>
                <w:sz w:val="24"/>
                <w:szCs w:val="24"/>
                <w:lang w:val="sr-Cyrl-CS"/>
              </w:rPr>
              <w:t>Пословне услуге</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298674" w14:textId="56CF6475" w:rsidR="00187178" w:rsidRPr="00E67484" w:rsidRDefault="00E67484"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rPr>
            </w:pPr>
            <w:r w:rsidRPr="00E67484">
              <w:rPr>
                <w:rFonts w:ascii="Times New Roman" w:eastAsia="Times New Roman" w:hAnsi="Times New Roman" w:cs="Times New Roman"/>
                <w:color w:val="000000" w:themeColor="text1"/>
                <w:sz w:val="24"/>
                <w:szCs w:val="24"/>
                <w:lang w:val="en-GB"/>
              </w:rPr>
              <w:t>637.650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7E3FB" w14:textId="5DA1A957" w:rsidR="00187178" w:rsidRPr="00E67484" w:rsidRDefault="00470BD2" w:rsidP="00E6748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sr-Cyrl-CS"/>
              </w:rPr>
            </w:pPr>
            <w:r w:rsidRPr="00E67484">
              <w:rPr>
                <w:rFonts w:ascii="Times New Roman" w:eastAsia="Times New Roman" w:hAnsi="Times New Roman" w:cs="Times New Roman"/>
                <w:color w:val="000000" w:themeColor="text1"/>
                <w:sz w:val="24"/>
                <w:szCs w:val="24"/>
                <w:lang w:val="sr-Cyrl-CS"/>
              </w:rPr>
              <w:t>1</w:t>
            </w:r>
          </w:p>
        </w:tc>
      </w:tr>
    </w:tbl>
    <w:p w14:paraId="70278C68" w14:textId="3D92B3D8" w:rsidR="00187178" w:rsidRPr="00CE3875" w:rsidRDefault="007565AD" w:rsidP="007565AD">
      <w:pPr>
        <w:jc w:val="both"/>
        <w:rPr>
          <w:rFonts w:ascii="Times New Roman" w:hAnsi="Times New Roman" w:cs="Times New Roman"/>
          <w:b/>
        </w:rPr>
      </w:pPr>
      <w:r w:rsidRPr="00CE3875">
        <w:rPr>
          <w:rFonts w:ascii="Times New Roman" w:hAnsi="Times New Roman" w:cs="Times New Roman"/>
        </w:rPr>
        <w:t xml:space="preserve">        </w:t>
      </w:r>
      <w:r w:rsidR="00E67484">
        <w:rPr>
          <w:rFonts w:ascii="Times New Roman" w:hAnsi="Times New Roman" w:cs="Times New Roman"/>
          <w:lang w:val="sr-Cyrl-CS"/>
        </w:rPr>
        <w:t xml:space="preserve">            </w:t>
      </w:r>
      <w:r w:rsidR="00A9153B">
        <w:rPr>
          <w:rFonts w:ascii="Times New Roman" w:hAnsi="Times New Roman" w:cs="Times New Roman"/>
          <w:lang w:val="sr-Cyrl-CS"/>
        </w:rPr>
        <w:t xml:space="preserve">                              </w:t>
      </w:r>
    </w:p>
    <w:p w14:paraId="4A8A9843" w14:textId="611F3BD5" w:rsidR="00E54658" w:rsidRDefault="00E54658" w:rsidP="00706D7E">
      <w:pPr>
        <w:jc w:val="both"/>
        <w:rPr>
          <w:rFonts w:ascii="Times New Roman" w:hAnsi="Times New Roman" w:cs="Times New Roman"/>
          <w:b/>
          <w:color w:val="000000" w:themeColor="text1"/>
          <w:sz w:val="24"/>
          <w:szCs w:val="24"/>
        </w:rPr>
      </w:pPr>
    </w:p>
    <w:p w14:paraId="0647380B" w14:textId="23542FD7" w:rsidR="00275D39" w:rsidRDefault="00275D39" w:rsidP="00706D7E">
      <w:pPr>
        <w:jc w:val="both"/>
        <w:rPr>
          <w:rFonts w:ascii="Times New Roman" w:hAnsi="Times New Roman" w:cs="Times New Roman"/>
          <w:b/>
          <w:color w:val="000000" w:themeColor="text1"/>
          <w:sz w:val="24"/>
          <w:szCs w:val="24"/>
        </w:rPr>
      </w:pPr>
    </w:p>
    <w:p w14:paraId="6FBC1847" w14:textId="5DA1AA92" w:rsidR="00275D39" w:rsidRDefault="00275D39" w:rsidP="00706D7E">
      <w:pPr>
        <w:jc w:val="both"/>
        <w:rPr>
          <w:rFonts w:ascii="Times New Roman" w:hAnsi="Times New Roman" w:cs="Times New Roman"/>
          <w:b/>
          <w:color w:val="000000" w:themeColor="text1"/>
          <w:sz w:val="24"/>
          <w:szCs w:val="24"/>
        </w:rPr>
      </w:pPr>
    </w:p>
    <w:p w14:paraId="1E19917C" w14:textId="77777777" w:rsidR="00275D39" w:rsidRPr="00E54658" w:rsidRDefault="00275D39" w:rsidP="00706D7E">
      <w:pPr>
        <w:jc w:val="both"/>
        <w:rPr>
          <w:rFonts w:ascii="Times New Roman" w:hAnsi="Times New Roman" w:cs="Times New Roman"/>
          <w:b/>
          <w:color w:val="000000" w:themeColor="text1"/>
          <w:sz w:val="24"/>
          <w:szCs w:val="24"/>
        </w:rPr>
      </w:pPr>
    </w:p>
    <w:p w14:paraId="281DEBE1" w14:textId="33E91B21" w:rsidR="00545106" w:rsidRPr="000765C8" w:rsidRDefault="00545106" w:rsidP="00545106">
      <w:pPr>
        <w:pStyle w:val="ListParagraph"/>
        <w:jc w:val="both"/>
        <w:rPr>
          <w:rFonts w:ascii="Times New Roman" w:hAnsi="Times New Roman" w:cs="Times New Roman"/>
          <w:b/>
          <w:sz w:val="24"/>
          <w:szCs w:val="24"/>
          <w:lang w:val="en-GB"/>
        </w:rPr>
      </w:pPr>
      <w:r w:rsidRPr="009B750B">
        <w:rPr>
          <w:rFonts w:ascii="Times New Roman" w:eastAsia="Times New Roman" w:hAnsi="Times New Roman" w:cs="Times New Roman"/>
          <w:b/>
          <w:bCs/>
        </w:rPr>
        <w:t>*</w:t>
      </w:r>
      <w:r w:rsidRPr="009B750B">
        <w:rPr>
          <w:rFonts w:ascii="Times New Roman" w:hAnsi="Times New Roman" w:cs="Times New Roman"/>
        </w:rPr>
        <w:t>Вредности су изражене у хиљадама динара</w:t>
      </w:r>
    </w:p>
    <w:p w14:paraId="16AB9CA8" w14:textId="2FE03CAE" w:rsidR="00545106" w:rsidRDefault="00545106" w:rsidP="00545106">
      <w:pPr>
        <w:jc w:val="both"/>
        <w:rPr>
          <w:rFonts w:ascii="Times New Roman" w:hAnsi="Times New Roman" w:cs="Times New Roman"/>
          <w:b/>
          <w:sz w:val="24"/>
          <w:szCs w:val="24"/>
        </w:rPr>
      </w:pPr>
    </w:p>
    <w:p w14:paraId="4884A545" w14:textId="54659124" w:rsidR="00545106" w:rsidRDefault="00545106" w:rsidP="00545106">
      <w:pPr>
        <w:jc w:val="both"/>
        <w:rPr>
          <w:rFonts w:ascii="Times New Roman" w:hAnsi="Times New Roman" w:cs="Times New Roman"/>
          <w:b/>
          <w:sz w:val="24"/>
          <w:szCs w:val="24"/>
        </w:rPr>
      </w:pPr>
    </w:p>
    <w:p w14:paraId="577E0744" w14:textId="77777777" w:rsidR="00AA0406" w:rsidRDefault="00AA0406" w:rsidP="00545106">
      <w:pPr>
        <w:jc w:val="both"/>
        <w:rPr>
          <w:rFonts w:ascii="Times New Roman" w:hAnsi="Times New Roman" w:cs="Times New Roman"/>
          <w:b/>
          <w:sz w:val="24"/>
          <w:szCs w:val="24"/>
        </w:rPr>
      </w:pPr>
    </w:p>
    <w:p w14:paraId="0C3B38A8" w14:textId="77777777" w:rsidR="00545106" w:rsidRPr="00545106" w:rsidRDefault="00545106" w:rsidP="00545106">
      <w:pPr>
        <w:jc w:val="both"/>
        <w:rPr>
          <w:rFonts w:ascii="Times New Roman" w:hAnsi="Times New Roman" w:cs="Times New Roman"/>
          <w:b/>
          <w:sz w:val="24"/>
          <w:szCs w:val="24"/>
        </w:rPr>
      </w:pPr>
    </w:p>
    <w:p w14:paraId="7A08CA38" w14:textId="539630D0" w:rsidR="00AA0406" w:rsidRPr="00AA0406" w:rsidRDefault="00AA0406" w:rsidP="00AA0406">
      <w:pPr>
        <w:pStyle w:val="ListParagraph"/>
        <w:numPr>
          <w:ilvl w:val="0"/>
          <w:numId w:val="2"/>
        </w:numPr>
        <w:jc w:val="both"/>
        <w:rPr>
          <w:rFonts w:ascii="Times New Roman" w:eastAsia="Times New Roman" w:hAnsi="Times New Roman" w:cs="Times New Roman"/>
          <w:b/>
          <w:sz w:val="24"/>
          <w:szCs w:val="24"/>
          <w:lang w:val="sr-Cyrl-RS"/>
        </w:rPr>
      </w:pPr>
      <w:r w:rsidRPr="00AA0406">
        <w:rPr>
          <w:rFonts w:ascii="Times New Roman" w:eastAsia="Times New Roman" w:hAnsi="Times New Roman" w:cs="Times New Roman"/>
          <w:b/>
          <w:sz w:val="24"/>
          <w:szCs w:val="24"/>
          <w:lang w:val="en-US"/>
        </w:rPr>
        <w:lastRenderedPageBreak/>
        <w:t xml:space="preserve"> </w:t>
      </w:r>
      <w:r w:rsidRPr="00AA0406">
        <w:rPr>
          <w:rFonts w:ascii="Times New Roman" w:eastAsia="Times New Roman" w:hAnsi="Times New Roman" w:cs="Times New Roman"/>
          <w:b/>
          <w:sz w:val="24"/>
          <w:szCs w:val="24"/>
          <w:lang w:val="sr-Cyrl-RS"/>
        </w:rPr>
        <w:t xml:space="preserve">РЕЗЕРВИСАНЕ ЈАВНЕ НАБАВКЕ </w:t>
      </w:r>
    </w:p>
    <w:p w14:paraId="3E42B816" w14:textId="77777777" w:rsidR="00AA0406" w:rsidRPr="00AA0406" w:rsidRDefault="00AA0406" w:rsidP="00AA0406">
      <w:pPr>
        <w:jc w:val="both"/>
        <w:rPr>
          <w:rFonts w:ascii="Times New Roman" w:eastAsia="Times New Roman" w:hAnsi="Times New Roman" w:cs="Times New Roman"/>
          <w:sz w:val="24"/>
          <w:szCs w:val="24"/>
          <w:lang w:val="sr-Cyrl-RS"/>
        </w:rPr>
      </w:pPr>
      <w:r w:rsidRPr="00AA0406">
        <w:rPr>
          <w:rFonts w:ascii="Times New Roman" w:eastAsia="Times New Roman" w:hAnsi="Times New Roman" w:cs="Times New Roman"/>
          <w:sz w:val="24"/>
          <w:szCs w:val="24"/>
          <w:lang w:val="sr-Cyrl-RS"/>
        </w:rPr>
        <w:t xml:space="preserve">У спровођење поступака јавних набавки све више се интегришу социјални критеријуми који узимају у обзир питања као што су могућности за запошљавање одређених категорија становништва (млади, незапослени дужи низ година и особе са инвалидитетом), усаглашеност са радним и социјалним правима, социјално укључивање и једнаке могућности, поштовање стандарда приступачности за све кориснике.  </w:t>
      </w:r>
    </w:p>
    <w:p w14:paraId="209CF3A5" w14:textId="11D96366" w:rsidR="00AA0406" w:rsidRPr="00AA0406" w:rsidRDefault="00AA0406" w:rsidP="00AA0406">
      <w:pPr>
        <w:jc w:val="both"/>
        <w:rPr>
          <w:rFonts w:ascii="Times New Roman" w:eastAsia="Calibri" w:hAnsi="Times New Roman" w:cs="Times New Roman"/>
          <w:sz w:val="24"/>
          <w:szCs w:val="24"/>
          <w:lang w:val="sr-Cyrl-RS"/>
        </w:rPr>
      </w:pPr>
      <w:r w:rsidRPr="00AA0406">
        <w:rPr>
          <w:rFonts w:ascii="Times New Roman" w:eastAsia="Calibri" w:hAnsi="Times New Roman" w:cs="Times New Roman"/>
          <w:sz w:val="24"/>
          <w:szCs w:val="24"/>
          <w:lang w:val="sr-Cyrl-RS"/>
        </w:rPr>
        <w:t xml:space="preserve">У циљу  укључивања организација и привредних субјеката који запошљавају особе са инвалидитетом, наручиоци могу,  у складу са </w:t>
      </w:r>
      <w:r w:rsidR="002F3484">
        <w:rPr>
          <w:rFonts w:ascii="Times New Roman" w:eastAsia="Calibri" w:hAnsi="Times New Roman" w:cs="Times New Roman"/>
          <w:sz w:val="24"/>
          <w:szCs w:val="24"/>
          <w:lang w:val="sr-Cyrl-RS"/>
        </w:rPr>
        <w:t>Законом</w:t>
      </w:r>
      <w:r w:rsidRPr="00AA0406">
        <w:rPr>
          <w:rFonts w:ascii="Times New Roman" w:eastAsia="Calibri" w:hAnsi="Times New Roman" w:cs="Times New Roman"/>
          <w:sz w:val="24"/>
          <w:szCs w:val="24"/>
          <w:lang w:val="sr-Cyrl-RS"/>
        </w:rPr>
        <w:t xml:space="preserve">, спроводити поступке јавних набавки у којима ће круг потенцијалних понуђача бити ограничен само на наведене субјекте (тзв. ,,резервисане набавке“).  Промоцијом и подстицањем социјалног аспекта јавних набавки даје се допринос развоју предузетништва, нарочито малих и средњих предузећа, као и социјалних предузећа а са друге стране, остварују се циљеви инклузивног развоја.  </w:t>
      </w:r>
    </w:p>
    <w:p w14:paraId="403BB7A4" w14:textId="14AE3BA0" w:rsidR="00AA0406" w:rsidRPr="00AA0406" w:rsidRDefault="00AA0406" w:rsidP="00AA0406">
      <w:pPr>
        <w:jc w:val="both"/>
        <w:rPr>
          <w:rFonts w:ascii="Times New Roman" w:eastAsia="Calibri" w:hAnsi="Times New Roman" w:cs="Times New Roman"/>
          <w:sz w:val="24"/>
          <w:szCs w:val="24"/>
          <w:lang w:val="sr-Cyrl-RS"/>
        </w:rPr>
      </w:pPr>
      <w:r w:rsidRPr="00AA0406">
        <w:rPr>
          <w:rFonts w:ascii="Times New Roman" w:eastAsia="Calibri" w:hAnsi="Times New Roman" w:cs="Times New Roman"/>
          <w:sz w:val="24"/>
          <w:szCs w:val="24"/>
          <w:lang w:val="sr-Cyrl-RS"/>
        </w:rPr>
        <w:t>Број и вредност резервисаних јавни</w:t>
      </w:r>
      <w:r w:rsidR="00B8577C">
        <w:rPr>
          <w:rFonts w:ascii="Times New Roman" w:eastAsia="Calibri" w:hAnsi="Times New Roman" w:cs="Times New Roman"/>
          <w:sz w:val="24"/>
          <w:szCs w:val="24"/>
          <w:lang w:val="sr-Cyrl-RS"/>
        </w:rPr>
        <w:t xml:space="preserve">х набавки у </w:t>
      </w:r>
      <w:r w:rsidRPr="00AA0406">
        <w:rPr>
          <w:rFonts w:ascii="Times New Roman" w:eastAsia="Calibri" w:hAnsi="Times New Roman" w:cs="Times New Roman"/>
          <w:sz w:val="24"/>
          <w:szCs w:val="24"/>
          <w:lang w:val="sr-Cyrl-RS"/>
        </w:rPr>
        <w:t>2019. и 2018. године приказан</w:t>
      </w:r>
      <w:r w:rsidR="00B8577C">
        <w:rPr>
          <w:rFonts w:ascii="Times New Roman" w:eastAsia="Calibri" w:hAnsi="Times New Roman" w:cs="Times New Roman"/>
          <w:sz w:val="24"/>
          <w:szCs w:val="24"/>
          <w:lang w:val="sr-Cyrl-RS"/>
        </w:rPr>
        <w:t>е су</w:t>
      </w:r>
      <w:r w:rsidRPr="00AA0406">
        <w:rPr>
          <w:rFonts w:ascii="Times New Roman" w:eastAsia="Calibri" w:hAnsi="Times New Roman" w:cs="Times New Roman"/>
          <w:sz w:val="24"/>
          <w:szCs w:val="24"/>
          <w:lang w:val="sr-Cyrl-RS"/>
        </w:rPr>
        <w:t xml:space="preserve"> у </w:t>
      </w:r>
      <w:r w:rsidR="00306F8D">
        <w:rPr>
          <w:rFonts w:ascii="Times New Roman" w:eastAsia="Calibri" w:hAnsi="Times New Roman" w:cs="Times New Roman"/>
          <w:sz w:val="24"/>
          <w:szCs w:val="24"/>
          <w:lang w:val="sr-Cyrl-RS"/>
        </w:rPr>
        <w:t>Т</w:t>
      </w:r>
      <w:r w:rsidR="00306F8D" w:rsidRPr="00AA0406">
        <w:rPr>
          <w:rFonts w:ascii="Times New Roman" w:eastAsia="Calibri" w:hAnsi="Times New Roman" w:cs="Times New Roman"/>
          <w:sz w:val="24"/>
          <w:szCs w:val="24"/>
          <w:lang w:val="sr-Cyrl-RS"/>
        </w:rPr>
        <w:t xml:space="preserve">абели </w:t>
      </w:r>
      <w:r w:rsidRPr="00AA0406">
        <w:rPr>
          <w:rFonts w:ascii="Times New Roman" w:eastAsia="Calibri" w:hAnsi="Times New Roman" w:cs="Times New Roman"/>
          <w:sz w:val="24"/>
          <w:szCs w:val="24"/>
          <w:lang w:val="sr-Cyrl-RS"/>
        </w:rPr>
        <w:t>2</w:t>
      </w:r>
      <w:r w:rsidR="00B8577C">
        <w:rPr>
          <w:rFonts w:ascii="Times New Roman" w:eastAsia="Calibri" w:hAnsi="Times New Roman" w:cs="Times New Roman"/>
          <w:sz w:val="24"/>
          <w:szCs w:val="24"/>
          <w:lang w:val="sr-Cyrl-RS"/>
        </w:rPr>
        <w:t xml:space="preserve">2, </w:t>
      </w:r>
      <w:r w:rsidRPr="00AA0406">
        <w:rPr>
          <w:rFonts w:ascii="Times New Roman" w:eastAsia="Calibri" w:hAnsi="Times New Roman" w:cs="Times New Roman"/>
          <w:sz w:val="24"/>
          <w:szCs w:val="24"/>
          <w:lang w:val="sr-Cyrl-RS"/>
        </w:rPr>
        <w:t xml:space="preserve">док је кретање броја и вредности резервисаних јавних набавки </w:t>
      </w:r>
      <w:r w:rsidRPr="00AA0406">
        <w:rPr>
          <w:rFonts w:ascii="Times New Roman" w:eastAsia="Calibri" w:hAnsi="Times New Roman" w:cs="Times New Roman"/>
          <w:sz w:val="24"/>
          <w:szCs w:val="24"/>
          <w:lang w:val="sr-Latn-RS"/>
        </w:rPr>
        <w:t xml:space="preserve">у претходним годинама </w:t>
      </w:r>
      <w:r w:rsidR="00B8577C">
        <w:rPr>
          <w:rFonts w:ascii="Times New Roman" w:eastAsia="Calibri" w:hAnsi="Times New Roman" w:cs="Times New Roman"/>
          <w:sz w:val="24"/>
          <w:szCs w:val="24"/>
          <w:lang w:val="sr-Cyrl-RS"/>
        </w:rPr>
        <w:t xml:space="preserve">приказано </w:t>
      </w:r>
      <w:r w:rsidRPr="00AA0406">
        <w:rPr>
          <w:rFonts w:ascii="Times New Roman" w:eastAsia="Calibri" w:hAnsi="Times New Roman" w:cs="Times New Roman"/>
          <w:sz w:val="24"/>
          <w:szCs w:val="24"/>
          <w:lang w:val="sr-Cyrl-RS"/>
        </w:rPr>
        <w:t xml:space="preserve"> у Табели </w:t>
      </w:r>
      <w:r w:rsidR="00B8577C">
        <w:rPr>
          <w:rFonts w:ascii="Times New Roman" w:eastAsia="Calibri" w:hAnsi="Times New Roman" w:cs="Times New Roman"/>
          <w:sz w:val="24"/>
          <w:szCs w:val="24"/>
          <w:lang w:val="sr-Cyrl-RS"/>
        </w:rPr>
        <w:t>23</w:t>
      </w:r>
      <w:r w:rsidRPr="00AA0406">
        <w:rPr>
          <w:rFonts w:ascii="Times New Roman" w:eastAsia="Calibri" w:hAnsi="Times New Roman" w:cs="Times New Roman"/>
          <w:sz w:val="24"/>
          <w:szCs w:val="24"/>
          <w:lang w:val="sr-Cyrl-RS"/>
        </w:rPr>
        <w:t>.</w:t>
      </w:r>
    </w:p>
    <w:p w14:paraId="4E00D8FB" w14:textId="77777777" w:rsidR="00AA0406" w:rsidRPr="00AA0406" w:rsidRDefault="00AA0406" w:rsidP="00AA0406">
      <w:pPr>
        <w:jc w:val="both"/>
        <w:rPr>
          <w:rFonts w:ascii="Times New Roman" w:eastAsia="Times New Roman" w:hAnsi="Times New Roman" w:cs="Times New Roman"/>
          <w:lang w:val="sr-Cyrl-RS"/>
        </w:rPr>
      </w:pPr>
      <w:r w:rsidRPr="00AA0406">
        <w:rPr>
          <w:rFonts w:ascii="Times New Roman" w:eastAsia="Times New Roman" w:hAnsi="Times New Roman" w:cs="Times New Roman"/>
          <w:lang w:val="sr-Cyrl-RS"/>
        </w:rPr>
        <w:t xml:space="preserve">                                  </w:t>
      </w:r>
    </w:p>
    <w:p w14:paraId="1190FD30" w14:textId="39413960" w:rsidR="00AA0406" w:rsidRPr="00AA0406" w:rsidRDefault="00B8577C" w:rsidP="00AA0406">
      <w:pPr>
        <w:jc w:val="both"/>
        <w:rPr>
          <w:rFonts w:ascii="Times New Roman" w:eastAsia="Times New Roman" w:hAnsi="Times New Roman" w:cs="Times New Roman"/>
          <w:b/>
          <w:sz w:val="24"/>
          <w:szCs w:val="24"/>
          <w:lang w:val="sr-Cyrl-RS"/>
        </w:rPr>
      </w:pPr>
      <w:r>
        <w:rPr>
          <w:rFonts w:ascii="Times New Roman" w:eastAsia="Times New Roman" w:hAnsi="Times New Roman" w:cs="Times New Roman"/>
          <w:lang w:val="sr-Cyrl-RS"/>
        </w:rPr>
        <w:t xml:space="preserve">                </w:t>
      </w:r>
      <w:r w:rsidR="00AA0406" w:rsidRPr="00AA0406">
        <w:rPr>
          <w:rFonts w:ascii="Times New Roman" w:eastAsia="Times New Roman" w:hAnsi="Times New Roman" w:cs="Times New Roman"/>
          <w:lang w:val="sr-Cyrl-RS"/>
        </w:rPr>
        <w:t xml:space="preserve"> </w:t>
      </w:r>
      <w:r w:rsidR="00AA0406" w:rsidRPr="00AA0406">
        <w:rPr>
          <w:rFonts w:ascii="Times New Roman" w:eastAsia="Times New Roman" w:hAnsi="Times New Roman" w:cs="Times New Roman"/>
          <w:b/>
          <w:sz w:val="24"/>
          <w:szCs w:val="24"/>
          <w:lang w:val="sr-Cyrl-RS"/>
        </w:rPr>
        <w:t>Табела 2</w:t>
      </w:r>
      <w:r>
        <w:rPr>
          <w:rFonts w:ascii="Times New Roman" w:eastAsia="Times New Roman" w:hAnsi="Times New Roman" w:cs="Times New Roman"/>
          <w:b/>
          <w:sz w:val="24"/>
          <w:szCs w:val="24"/>
          <w:lang w:val="sr-Cyrl-RS"/>
        </w:rPr>
        <w:t>2</w:t>
      </w:r>
    </w:p>
    <w:tbl>
      <w:tblPr>
        <w:tblStyle w:val="TableGrid31"/>
        <w:tblW w:w="0" w:type="auto"/>
        <w:jc w:val="center"/>
        <w:tblLook w:val="04A0" w:firstRow="1" w:lastRow="0" w:firstColumn="1" w:lastColumn="0" w:noHBand="0" w:noVBand="1"/>
      </w:tblPr>
      <w:tblGrid>
        <w:gridCol w:w="3382"/>
        <w:gridCol w:w="2191"/>
        <w:gridCol w:w="3437"/>
      </w:tblGrid>
      <w:tr w:rsidR="00AA0406" w:rsidRPr="00AA0406" w14:paraId="2207CD0B" w14:textId="77777777" w:rsidTr="0068438D">
        <w:trPr>
          <w:trHeight w:val="630"/>
          <w:jc w:val="center"/>
        </w:trPr>
        <w:tc>
          <w:tcPr>
            <w:tcW w:w="9010" w:type="dxa"/>
            <w:gridSpan w:val="3"/>
            <w:vAlign w:val="center"/>
          </w:tcPr>
          <w:p w14:paraId="7E8DD3EB" w14:textId="6CB8584A" w:rsidR="00AA0406" w:rsidRPr="00AA0406" w:rsidRDefault="00AA0406" w:rsidP="00DF3192">
            <w:pPr>
              <w:jc w:val="center"/>
              <w:rPr>
                <w:b/>
                <w:szCs w:val="24"/>
                <w:lang w:val="sr-Cyrl-CS"/>
              </w:rPr>
            </w:pPr>
            <w:r w:rsidRPr="00AA0406">
              <w:rPr>
                <w:b/>
                <w:szCs w:val="24"/>
                <w:lang w:val="sr-Cyrl-CS"/>
              </w:rPr>
              <w:t xml:space="preserve">Број и вредност резервисаних јавних набавки у </w:t>
            </w:r>
            <w:r w:rsidR="00DF3192">
              <w:rPr>
                <w:b/>
                <w:szCs w:val="24"/>
                <w:lang w:val="sr-Cyrl-CS"/>
              </w:rPr>
              <w:t>2018. и 2019. години</w:t>
            </w:r>
          </w:p>
        </w:tc>
      </w:tr>
      <w:tr w:rsidR="00AA0406" w:rsidRPr="00AA0406" w14:paraId="5CAD7B9D" w14:textId="77777777" w:rsidTr="00144DED">
        <w:trPr>
          <w:trHeight w:val="314"/>
          <w:jc w:val="center"/>
        </w:trPr>
        <w:tc>
          <w:tcPr>
            <w:tcW w:w="3382" w:type="dxa"/>
            <w:vAlign w:val="center"/>
          </w:tcPr>
          <w:p w14:paraId="2051F457" w14:textId="77777777" w:rsidR="00AA0406" w:rsidRPr="00AA0406" w:rsidRDefault="00AA0406">
            <w:pPr>
              <w:jc w:val="center"/>
            </w:pPr>
            <w:r w:rsidRPr="00AA0406">
              <w:t>Година</w:t>
            </w:r>
          </w:p>
        </w:tc>
        <w:tc>
          <w:tcPr>
            <w:tcW w:w="2191" w:type="dxa"/>
            <w:vAlign w:val="center"/>
          </w:tcPr>
          <w:p w14:paraId="0317832D" w14:textId="21FA2E3B" w:rsidR="00AA0406" w:rsidRPr="00AA0406" w:rsidRDefault="00B8577C" w:rsidP="00AA0406">
            <w:pPr>
              <w:jc w:val="center"/>
              <w:rPr>
                <w:b/>
                <w:lang w:val="sr-Cyrl-CS"/>
              </w:rPr>
            </w:pPr>
            <w:r>
              <w:rPr>
                <w:b/>
                <w:lang w:val="sr-Cyrl-CS"/>
              </w:rPr>
              <w:t xml:space="preserve">2018. </w:t>
            </w:r>
          </w:p>
        </w:tc>
        <w:tc>
          <w:tcPr>
            <w:tcW w:w="3437" w:type="dxa"/>
            <w:vAlign w:val="center"/>
          </w:tcPr>
          <w:p w14:paraId="38101975" w14:textId="2B5EF234" w:rsidR="00AA0406" w:rsidRPr="00AA0406" w:rsidRDefault="00B8577C" w:rsidP="00AA0406">
            <w:pPr>
              <w:jc w:val="center"/>
              <w:rPr>
                <w:b/>
                <w:lang w:val="sr-Cyrl-CS"/>
              </w:rPr>
            </w:pPr>
            <w:r>
              <w:rPr>
                <w:b/>
                <w:lang w:val="sr-Cyrl-CS"/>
              </w:rPr>
              <w:t xml:space="preserve">2019. </w:t>
            </w:r>
          </w:p>
        </w:tc>
      </w:tr>
      <w:tr w:rsidR="006D579B" w:rsidRPr="00AA0406" w14:paraId="5A4B47D3" w14:textId="77777777" w:rsidTr="00144DED">
        <w:trPr>
          <w:trHeight w:val="314"/>
          <w:jc w:val="center"/>
        </w:trPr>
        <w:tc>
          <w:tcPr>
            <w:tcW w:w="3382" w:type="dxa"/>
            <w:vAlign w:val="center"/>
          </w:tcPr>
          <w:p w14:paraId="066C2C47" w14:textId="6C9CCC57" w:rsidR="006D579B" w:rsidRPr="00AA0406" w:rsidRDefault="006D579B" w:rsidP="006D579B">
            <w:pPr>
              <w:jc w:val="center"/>
              <w:rPr>
                <w:lang w:val="sr-Cyrl-CS"/>
              </w:rPr>
            </w:pPr>
            <w:r w:rsidRPr="00AA0406">
              <w:rPr>
                <w:lang w:val="sr-Cyrl-CS"/>
              </w:rPr>
              <w:t>Број</w:t>
            </w:r>
          </w:p>
        </w:tc>
        <w:tc>
          <w:tcPr>
            <w:tcW w:w="2191" w:type="dxa"/>
            <w:vAlign w:val="center"/>
          </w:tcPr>
          <w:p w14:paraId="7EEB4507" w14:textId="27254B48" w:rsidR="006D579B" w:rsidRPr="00AA0406" w:rsidRDefault="006D579B" w:rsidP="006D579B">
            <w:pPr>
              <w:jc w:val="center"/>
              <w:rPr>
                <w:lang w:val="sr-Cyrl-CS"/>
              </w:rPr>
            </w:pPr>
            <w:r w:rsidRPr="00AA0406">
              <w:rPr>
                <w:lang w:val="sr-Cyrl-CS"/>
              </w:rPr>
              <w:t>84</w:t>
            </w:r>
          </w:p>
        </w:tc>
        <w:tc>
          <w:tcPr>
            <w:tcW w:w="3437" w:type="dxa"/>
            <w:vAlign w:val="center"/>
          </w:tcPr>
          <w:p w14:paraId="22C42850" w14:textId="2BD4F10A" w:rsidR="006D579B" w:rsidRPr="00AA0406" w:rsidRDefault="006D579B" w:rsidP="006D579B">
            <w:pPr>
              <w:jc w:val="center"/>
              <w:rPr>
                <w:lang w:val="sr-Cyrl-CS"/>
              </w:rPr>
            </w:pPr>
            <w:r>
              <w:rPr>
                <w:lang w:val="sr-Cyrl-CS"/>
              </w:rPr>
              <w:t>123</w:t>
            </w:r>
          </w:p>
        </w:tc>
      </w:tr>
      <w:tr w:rsidR="006D579B" w:rsidRPr="00AA0406" w14:paraId="29E89CA3" w14:textId="77777777" w:rsidTr="00144DED">
        <w:trPr>
          <w:trHeight w:val="314"/>
          <w:jc w:val="center"/>
        </w:trPr>
        <w:tc>
          <w:tcPr>
            <w:tcW w:w="3382" w:type="dxa"/>
            <w:vAlign w:val="center"/>
          </w:tcPr>
          <w:p w14:paraId="150F3D6D" w14:textId="77777777" w:rsidR="006D579B" w:rsidRPr="00AA0406" w:rsidRDefault="006D579B" w:rsidP="006D579B">
            <w:pPr>
              <w:jc w:val="center"/>
              <w:rPr>
                <w:lang w:val="sr-Cyrl-CS"/>
              </w:rPr>
            </w:pPr>
            <w:r w:rsidRPr="00AA0406">
              <w:rPr>
                <w:lang w:val="sr-Cyrl-CS"/>
              </w:rPr>
              <w:t>Вредност*</w:t>
            </w:r>
          </w:p>
        </w:tc>
        <w:tc>
          <w:tcPr>
            <w:tcW w:w="2191" w:type="dxa"/>
            <w:vAlign w:val="center"/>
          </w:tcPr>
          <w:p w14:paraId="04B434ED" w14:textId="2A1316D1" w:rsidR="006D579B" w:rsidRPr="00AA0406" w:rsidRDefault="006D579B" w:rsidP="006D579B">
            <w:pPr>
              <w:jc w:val="center"/>
              <w:rPr>
                <w:lang w:val="sr-Cyrl-CS"/>
              </w:rPr>
            </w:pPr>
            <w:r w:rsidRPr="00AA0406">
              <w:rPr>
                <w:lang w:val="sr-Cyrl-CS"/>
              </w:rPr>
              <w:t>663.103</w:t>
            </w:r>
          </w:p>
        </w:tc>
        <w:tc>
          <w:tcPr>
            <w:tcW w:w="3437" w:type="dxa"/>
            <w:vAlign w:val="center"/>
          </w:tcPr>
          <w:p w14:paraId="105F0FAA" w14:textId="609B6338" w:rsidR="006D579B" w:rsidRPr="00AA0406" w:rsidRDefault="006D579B" w:rsidP="006D579B">
            <w:pPr>
              <w:jc w:val="center"/>
              <w:rPr>
                <w:lang w:val="sr-Cyrl-CS"/>
              </w:rPr>
            </w:pPr>
            <w:r>
              <w:rPr>
                <w:lang w:val="sr-Cyrl-CS"/>
              </w:rPr>
              <w:t>780.678</w:t>
            </w:r>
          </w:p>
        </w:tc>
      </w:tr>
    </w:tbl>
    <w:p w14:paraId="5BCDF5AD" w14:textId="0DE8532E" w:rsidR="00AA0406" w:rsidRPr="00AA0406" w:rsidRDefault="005D3F8D" w:rsidP="00AA0406">
      <w:pPr>
        <w:jc w:val="both"/>
        <w:rPr>
          <w:rFonts w:ascii="Times New Roman" w:eastAsia="Times New Roman" w:hAnsi="Times New Roman" w:cs="Times New Roman"/>
        </w:rPr>
      </w:pPr>
      <w:r>
        <w:rPr>
          <w:rFonts w:ascii="Times New Roman" w:eastAsia="Times New Roman" w:hAnsi="Times New Roman" w:cs="Times New Roman"/>
          <w:lang w:val="sr-Cyrl-RS"/>
        </w:rPr>
        <w:t xml:space="preserve">               </w:t>
      </w:r>
      <w:r w:rsidR="00AA0406" w:rsidRPr="00AA0406">
        <w:rPr>
          <w:rFonts w:ascii="Times New Roman" w:eastAsia="Times New Roman" w:hAnsi="Times New Roman" w:cs="Times New Roman"/>
          <w:lang w:val="sr-Cyrl-RS"/>
        </w:rPr>
        <w:t>*</w:t>
      </w:r>
      <w:r w:rsidR="00AA0406" w:rsidRPr="00AA0406">
        <w:rPr>
          <w:rFonts w:ascii="Times New Roman" w:eastAsia="Times New Roman" w:hAnsi="Times New Roman" w:cs="Times New Roman"/>
        </w:rPr>
        <w:t>Вредности су изражене у хиљадама динара</w:t>
      </w:r>
    </w:p>
    <w:p w14:paraId="0756CD3C" w14:textId="568EF3D1" w:rsidR="00AA0406" w:rsidRPr="00AA0406" w:rsidRDefault="00AA0406" w:rsidP="00AA0406">
      <w:pPr>
        <w:jc w:val="both"/>
        <w:rPr>
          <w:rFonts w:ascii="Times New Roman" w:eastAsia="Calibri" w:hAnsi="Times New Roman" w:cs="Times New Roman"/>
          <w:b/>
          <w:sz w:val="24"/>
          <w:szCs w:val="24"/>
          <w:lang w:val="sr-Cyrl-RS"/>
        </w:rPr>
      </w:pPr>
      <w:r w:rsidRPr="00AA0406">
        <w:rPr>
          <w:rFonts w:ascii="Times New Roman" w:eastAsia="Calibri" w:hAnsi="Times New Roman" w:cs="Times New Roman"/>
          <w:b/>
          <w:sz w:val="24"/>
          <w:szCs w:val="24"/>
          <w:lang w:val="sr-Cyrl-RS"/>
        </w:rPr>
        <w:t xml:space="preserve">             </w:t>
      </w:r>
      <w:r w:rsidR="00216F69">
        <w:rPr>
          <w:rFonts w:ascii="Times New Roman" w:eastAsia="Calibri" w:hAnsi="Times New Roman" w:cs="Times New Roman"/>
          <w:b/>
          <w:sz w:val="24"/>
          <w:szCs w:val="24"/>
          <w:lang w:val="sr-Cyrl-RS"/>
        </w:rPr>
        <w:t xml:space="preserve">      </w:t>
      </w:r>
      <w:r w:rsidRPr="00AA0406">
        <w:rPr>
          <w:rFonts w:ascii="Times New Roman" w:eastAsia="Calibri" w:hAnsi="Times New Roman" w:cs="Times New Roman"/>
          <w:b/>
          <w:sz w:val="24"/>
          <w:szCs w:val="24"/>
          <w:lang w:val="sr-Cyrl-RS"/>
        </w:rPr>
        <w:t xml:space="preserve">   Табела </w:t>
      </w:r>
      <w:r w:rsidR="00216F69">
        <w:rPr>
          <w:rFonts w:ascii="Times New Roman" w:eastAsia="Calibri" w:hAnsi="Times New Roman" w:cs="Times New Roman"/>
          <w:b/>
          <w:sz w:val="24"/>
          <w:szCs w:val="24"/>
          <w:lang w:val="sr-Cyrl-RS"/>
        </w:rPr>
        <w:t>23</w:t>
      </w:r>
    </w:p>
    <w:tbl>
      <w:tblPr>
        <w:tblStyle w:val="TableGrid11"/>
        <w:tblW w:w="0" w:type="auto"/>
        <w:jc w:val="center"/>
        <w:tblLook w:val="04A0" w:firstRow="1" w:lastRow="0" w:firstColumn="1" w:lastColumn="0" w:noHBand="0" w:noVBand="1"/>
      </w:tblPr>
      <w:tblGrid>
        <w:gridCol w:w="1502"/>
        <w:gridCol w:w="1502"/>
        <w:gridCol w:w="1503"/>
        <w:gridCol w:w="1503"/>
        <w:gridCol w:w="1116"/>
        <w:gridCol w:w="1116"/>
      </w:tblGrid>
      <w:tr w:rsidR="00B8577C" w:rsidRPr="00AA0406" w14:paraId="10FFD10C" w14:textId="38C05B62" w:rsidTr="0068438D">
        <w:trPr>
          <w:jc w:val="center"/>
        </w:trPr>
        <w:tc>
          <w:tcPr>
            <w:tcW w:w="8242" w:type="dxa"/>
            <w:gridSpan w:val="6"/>
            <w:vAlign w:val="center"/>
          </w:tcPr>
          <w:p w14:paraId="35214808" w14:textId="77777777" w:rsidR="00DF3192" w:rsidRDefault="00B8577C" w:rsidP="00AA0406">
            <w:pPr>
              <w:jc w:val="center"/>
              <w:rPr>
                <w:b/>
                <w:lang w:val="sr-Cyrl-CS"/>
              </w:rPr>
            </w:pPr>
            <w:r w:rsidRPr="00AA0406">
              <w:rPr>
                <w:b/>
                <w:lang w:val="sr-Cyrl-CS"/>
              </w:rPr>
              <w:t>Број и вредност резервисаних јавних набавки</w:t>
            </w:r>
            <w:r w:rsidR="00DF3192">
              <w:rPr>
                <w:b/>
                <w:lang w:val="sr-Cyrl-CS"/>
              </w:rPr>
              <w:t xml:space="preserve"> у периоду</w:t>
            </w:r>
          </w:p>
          <w:p w14:paraId="4B4F0B18" w14:textId="23920D9F" w:rsidR="00B8577C" w:rsidRPr="00AA0406" w:rsidRDefault="00DF3192" w:rsidP="00AA0406">
            <w:pPr>
              <w:jc w:val="center"/>
              <w:rPr>
                <w:b/>
                <w:lang w:val="sr-Cyrl-CS"/>
              </w:rPr>
            </w:pPr>
            <w:r>
              <w:rPr>
                <w:b/>
                <w:lang w:val="sr-Cyrl-CS"/>
              </w:rPr>
              <w:t xml:space="preserve"> од 2015. до 2019. године</w:t>
            </w:r>
          </w:p>
          <w:p w14:paraId="467E7FA4" w14:textId="77777777" w:rsidR="00B8577C" w:rsidRPr="00AA0406" w:rsidRDefault="00B8577C" w:rsidP="00AA0406">
            <w:pPr>
              <w:jc w:val="center"/>
              <w:rPr>
                <w:b/>
                <w:lang w:val="sr-Cyrl-CS"/>
              </w:rPr>
            </w:pPr>
          </w:p>
        </w:tc>
      </w:tr>
      <w:tr w:rsidR="00B8577C" w:rsidRPr="00AA0406" w14:paraId="40F3F6AF" w14:textId="7DF38387" w:rsidTr="0068438D">
        <w:trPr>
          <w:jc w:val="center"/>
        </w:trPr>
        <w:tc>
          <w:tcPr>
            <w:tcW w:w="1502" w:type="dxa"/>
            <w:vAlign w:val="center"/>
          </w:tcPr>
          <w:p w14:paraId="410366D7" w14:textId="77777777" w:rsidR="00B8577C" w:rsidRPr="00AA0406" w:rsidRDefault="00B8577C" w:rsidP="00B8577C">
            <w:pPr>
              <w:jc w:val="center"/>
            </w:pPr>
            <w:r w:rsidRPr="00AA0406">
              <w:t>Година</w:t>
            </w:r>
          </w:p>
        </w:tc>
        <w:tc>
          <w:tcPr>
            <w:tcW w:w="1502" w:type="dxa"/>
            <w:vAlign w:val="center"/>
          </w:tcPr>
          <w:p w14:paraId="3A8D29C3" w14:textId="77777777" w:rsidR="00B8577C" w:rsidRPr="00AA0406" w:rsidRDefault="00B8577C" w:rsidP="00B8577C">
            <w:pPr>
              <w:jc w:val="center"/>
              <w:rPr>
                <w:b/>
                <w:lang w:val="sr-Cyrl-CS"/>
              </w:rPr>
            </w:pPr>
            <w:r w:rsidRPr="00AA0406">
              <w:rPr>
                <w:b/>
                <w:lang w:val="sr-Cyrl-CS"/>
              </w:rPr>
              <w:t>2015.</w:t>
            </w:r>
          </w:p>
        </w:tc>
        <w:tc>
          <w:tcPr>
            <w:tcW w:w="1503" w:type="dxa"/>
            <w:vAlign w:val="center"/>
          </w:tcPr>
          <w:p w14:paraId="5487E7A5" w14:textId="77777777" w:rsidR="00B8577C" w:rsidRPr="00AA0406" w:rsidRDefault="00B8577C" w:rsidP="00B8577C">
            <w:pPr>
              <w:jc w:val="center"/>
              <w:rPr>
                <w:b/>
                <w:lang w:val="sr-Cyrl-CS"/>
              </w:rPr>
            </w:pPr>
            <w:r w:rsidRPr="00AA0406">
              <w:rPr>
                <w:b/>
                <w:lang w:val="sr-Cyrl-CS"/>
              </w:rPr>
              <w:t>2016.</w:t>
            </w:r>
          </w:p>
        </w:tc>
        <w:tc>
          <w:tcPr>
            <w:tcW w:w="1503" w:type="dxa"/>
            <w:vAlign w:val="center"/>
          </w:tcPr>
          <w:p w14:paraId="7CCE7B8E" w14:textId="77777777" w:rsidR="00B8577C" w:rsidRPr="00AA0406" w:rsidRDefault="00B8577C" w:rsidP="00B8577C">
            <w:pPr>
              <w:jc w:val="center"/>
              <w:rPr>
                <w:b/>
                <w:lang w:val="sr-Cyrl-CS"/>
              </w:rPr>
            </w:pPr>
            <w:r w:rsidRPr="00AA0406">
              <w:rPr>
                <w:b/>
                <w:lang w:val="sr-Cyrl-CS"/>
              </w:rPr>
              <w:t>2017.</w:t>
            </w:r>
          </w:p>
        </w:tc>
        <w:tc>
          <w:tcPr>
            <w:tcW w:w="1116" w:type="dxa"/>
            <w:vAlign w:val="center"/>
          </w:tcPr>
          <w:p w14:paraId="1866F5E4" w14:textId="77777777" w:rsidR="00B8577C" w:rsidRPr="00AA0406" w:rsidRDefault="00B8577C" w:rsidP="00B8577C">
            <w:pPr>
              <w:jc w:val="center"/>
              <w:rPr>
                <w:b/>
                <w:lang w:val="sr-Cyrl-CS"/>
              </w:rPr>
            </w:pPr>
            <w:r w:rsidRPr="00AA0406">
              <w:rPr>
                <w:b/>
                <w:lang w:val="sr-Cyrl-CS"/>
              </w:rPr>
              <w:t>2018.</w:t>
            </w:r>
          </w:p>
        </w:tc>
        <w:tc>
          <w:tcPr>
            <w:tcW w:w="1116" w:type="dxa"/>
            <w:vAlign w:val="center"/>
          </w:tcPr>
          <w:p w14:paraId="0209C0CB" w14:textId="1007F852" w:rsidR="00B8577C" w:rsidRPr="00AA0406" w:rsidRDefault="00B8577C" w:rsidP="00B8577C">
            <w:pPr>
              <w:jc w:val="center"/>
              <w:rPr>
                <w:b/>
                <w:lang w:val="sr-Cyrl-CS"/>
              </w:rPr>
            </w:pPr>
            <w:r>
              <w:rPr>
                <w:b/>
                <w:lang w:val="sr-Cyrl-CS"/>
              </w:rPr>
              <w:t xml:space="preserve">2019. </w:t>
            </w:r>
          </w:p>
        </w:tc>
      </w:tr>
      <w:tr w:rsidR="00B8577C" w:rsidRPr="00AA0406" w14:paraId="55E3670D" w14:textId="4B35CAD7" w:rsidTr="0068438D">
        <w:trPr>
          <w:jc w:val="center"/>
        </w:trPr>
        <w:tc>
          <w:tcPr>
            <w:tcW w:w="1502" w:type="dxa"/>
            <w:vAlign w:val="center"/>
          </w:tcPr>
          <w:p w14:paraId="6A4B5CA8" w14:textId="77777777" w:rsidR="00B8577C" w:rsidRPr="00AA0406" w:rsidRDefault="00B8577C" w:rsidP="00B8577C">
            <w:pPr>
              <w:jc w:val="center"/>
              <w:rPr>
                <w:lang w:val="sr-Cyrl-CS"/>
              </w:rPr>
            </w:pPr>
            <w:r w:rsidRPr="00AA0406">
              <w:rPr>
                <w:lang w:val="sr-Cyrl-CS"/>
              </w:rPr>
              <w:t>Број</w:t>
            </w:r>
          </w:p>
        </w:tc>
        <w:tc>
          <w:tcPr>
            <w:tcW w:w="1502" w:type="dxa"/>
            <w:vAlign w:val="center"/>
          </w:tcPr>
          <w:p w14:paraId="682E8500" w14:textId="77777777" w:rsidR="00B8577C" w:rsidRPr="00AA0406" w:rsidRDefault="00B8577C" w:rsidP="00B8577C">
            <w:pPr>
              <w:jc w:val="center"/>
              <w:rPr>
                <w:lang w:val="sr-Cyrl-CS"/>
              </w:rPr>
            </w:pPr>
            <w:r w:rsidRPr="00AA0406">
              <w:rPr>
                <w:lang w:val="sr-Cyrl-CS"/>
              </w:rPr>
              <w:t>126</w:t>
            </w:r>
          </w:p>
        </w:tc>
        <w:tc>
          <w:tcPr>
            <w:tcW w:w="1503" w:type="dxa"/>
            <w:vAlign w:val="center"/>
          </w:tcPr>
          <w:p w14:paraId="5BB14763" w14:textId="77777777" w:rsidR="00B8577C" w:rsidRPr="00AA0406" w:rsidRDefault="00B8577C" w:rsidP="00B8577C">
            <w:pPr>
              <w:jc w:val="center"/>
              <w:rPr>
                <w:lang w:val="sr-Cyrl-CS"/>
              </w:rPr>
            </w:pPr>
            <w:r w:rsidRPr="00AA0406">
              <w:rPr>
                <w:lang w:val="sr-Cyrl-CS"/>
              </w:rPr>
              <w:t>105</w:t>
            </w:r>
          </w:p>
        </w:tc>
        <w:tc>
          <w:tcPr>
            <w:tcW w:w="1503" w:type="dxa"/>
            <w:vAlign w:val="center"/>
          </w:tcPr>
          <w:p w14:paraId="3B0C7A81" w14:textId="77777777" w:rsidR="00B8577C" w:rsidRPr="00AA0406" w:rsidRDefault="00B8577C" w:rsidP="00B8577C">
            <w:pPr>
              <w:jc w:val="center"/>
              <w:rPr>
                <w:lang w:val="sr-Cyrl-CS"/>
              </w:rPr>
            </w:pPr>
            <w:r w:rsidRPr="00AA0406">
              <w:rPr>
                <w:lang w:val="sr-Cyrl-CS"/>
              </w:rPr>
              <w:t>87</w:t>
            </w:r>
          </w:p>
        </w:tc>
        <w:tc>
          <w:tcPr>
            <w:tcW w:w="1116" w:type="dxa"/>
            <w:vAlign w:val="center"/>
          </w:tcPr>
          <w:p w14:paraId="68C48306" w14:textId="77777777" w:rsidR="00B8577C" w:rsidRPr="00AA0406" w:rsidRDefault="00B8577C" w:rsidP="00B8577C">
            <w:pPr>
              <w:jc w:val="center"/>
              <w:rPr>
                <w:lang w:val="sr-Cyrl-CS"/>
              </w:rPr>
            </w:pPr>
            <w:r w:rsidRPr="00AA0406">
              <w:rPr>
                <w:lang w:val="sr-Cyrl-CS"/>
              </w:rPr>
              <w:t>84</w:t>
            </w:r>
          </w:p>
        </w:tc>
        <w:tc>
          <w:tcPr>
            <w:tcW w:w="1116" w:type="dxa"/>
            <w:vAlign w:val="center"/>
          </w:tcPr>
          <w:p w14:paraId="69B3828E" w14:textId="1CCE1D0F" w:rsidR="00B8577C" w:rsidRPr="00AA0406" w:rsidRDefault="00B8577C" w:rsidP="00B8577C">
            <w:pPr>
              <w:jc w:val="center"/>
              <w:rPr>
                <w:lang w:val="sr-Cyrl-CS"/>
              </w:rPr>
            </w:pPr>
            <w:r>
              <w:rPr>
                <w:lang w:val="sr-Cyrl-CS"/>
              </w:rPr>
              <w:t>123</w:t>
            </w:r>
          </w:p>
        </w:tc>
      </w:tr>
      <w:tr w:rsidR="00B8577C" w:rsidRPr="00AA0406" w14:paraId="5AAC38C9" w14:textId="26A47A5F" w:rsidTr="0068438D">
        <w:trPr>
          <w:jc w:val="center"/>
        </w:trPr>
        <w:tc>
          <w:tcPr>
            <w:tcW w:w="1502" w:type="dxa"/>
            <w:vAlign w:val="center"/>
          </w:tcPr>
          <w:p w14:paraId="0FF550D1" w14:textId="77777777" w:rsidR="00B8577C" w:rsidRPr="00AA0406" w:rsidRDefault="00B8577C" w:rsidP="00B8577C">
            <w:pPr>
              <w:jc w:val="center"/>
              <w:rPr>
                <w:lang w:val="sr-Cyrl-CS"/>
              </w:rPr>
            </w:pPr>
            <w:r w:rsidRPr="00AA0406">
              <w:rPr>
                <w:lang w:val="sr-Cyrl-CS"/>
              </w:rPr>
              <w:t>Вредност*</w:t>
            </w:r>
          </w:p>
        </w:tc>
        <w:tc>
          <w:tcPr>
            <w:tcW w:w="1502" w:type="dxa"/>
            <w:vAlign w:val="center"/>
          </w:tcPr>
          <w:p w14:paraId="512A1567" w14:textId="77777777" w:rsidR="00B8577C" w:rsidRPr="00AA0406" w:rsidRDefault="00B8577C" w:rsidP="00B8577C">
            <w:pPr>
              <w:jc w:val="center"/>
              <w:rPr>
                <w:lang w:val="sr-Cyrl-CS"/>
              </w:rPr>
            </w:pPr>
            <w:r w:rsidRPr="00AA0406">
              <w:rPr>
                <w:lang w:val="sr-Cyrl-CS"/>
              </w:rPr>
              <w:t>634.966</w:t>
            </w:r>
          </w:p>
        </w:tc>
        <w:tc>
          <w:tcPr>
            <w:tcW w:w="1503" w:type="dxa"/>
            <w:vAlign w:val="center"/>
          </w:tcPr>
          <w:p w14:paraId="5683E217" w14:textId="77777777" w:rsidR="00B8577C" w:rsidRPr="00AA0406" w:rsidRDefault="00B8577C" w:rsidP="00B8577C">
            <w:pPr>
              <w:jc w:val="center"/>
              <w:rPr>
                <w:lang w:val="sr-Cyrl-CS"/>
              </w:rPr>
            </w:pPr>
            <w:r w:rsidRPr="00AA0406">
              <w:rPr>
                <w:lang w:val="sr-Cyrl-CS"/>
              </w:rPr>
              <w:t>743.695</w:t>
            </w:r>
          </w:p>
        </w:tc>
        <w:tc>
          <w:tcPr>
            <w:tcW w:w="1503" w:type="dxa"/>
            <w:vAlign w:val="center"/>
          </w:tcPr>
          <w:p w14:paraId="1C8565BF" w14:textId="77777777" w:rsidR="00B8577C" w:rsidRPr="00AA0406" w:rsidRDefault="00B8577C" w:rsidP="00B8577C">
            <w:pPr>
              <w:jc w:val="center"/>
              <w:rPr>
                <w:lang w:val="sr-Cyrl-CS"/>
              </w:rPr>
            </w:pPr>
            <w:r w:rsidRPr="00AA0406">
              <w:rPr>
                <w:lang w:val="sr-Cyrl-CS"/>
              </w:rPr>
              <w:t>544.752</w:t>
            </w:r>
          </w:p>
        </w:tc>
        <w:tc>
          <w:tcPr>
            <w:tcW w:w="1116" w:type="dxa"/>
            <w:vAlign w:val="center"/>
          </w:tcPr>
          <w:p w14:paraId="449D1E9D" w14:textId="77777777" w:rsidR="00B8577C" w:rsidRPr="00AA0406" w:rsidRDefault="00B8577C" w:rsidP="00B8577C">
            <w:pPr>
              <w:jc w:val="center"/>
              <w:rPr>
                <w:lang w:val="sr-Cyrl-CS"/>
              </w:rPr>
            </w:pPr>
            <w:r w:rsidRPr="00AA0406">
              <w:rPr>
                <w:lang w:val="sr-Cyrl-CS"/>
              </w:rPr>
              <w:t>663.103</w:t>
            </w:r>
          </w:p>
        </w:tc>
        <w:tc>
          <w:tcPr>
            <w:tcW w:w="1116" w:type="dxa"/>
            <w:vAlign w:val="center"/>
          </w:tcPr>
          <w:p w14:paraId="0EF760DC" w14:textId="2A3D95ED" w:rsidR="00B8577C" w:rsidRPr="00AA0406" w:rsidRDefault="00B8577C" w:rsidP="00B8577C">
            <w:pPr>
              <w:jc w:val="center"/>
              <w:rPr>
                <w:lang w:val="sr-Cyrl-CS"/>
              </w:rPr>
            </w:pPr>
            <w:r>
              <w:rPr>
                <w:lang w:val="sr-Cyrl-CS"/>
              </w:rPr>
              <w:t>780.678</w:t>
            </w:r>
          </w:p>
        </w:tc>
      </w:tr>
    </w:tbl>
    <w:p w14:paraId="1C0B695D" w14:textId="0AA44ED7" w:rsidR="00AA0406" w:rsidRPr="00AA0406" w:rsidRDefault="00AA0406" w:rsidP="00AA0406">
      <w:pPr>
        <w:rPr>
          <w:rFonts w:ascii="Times New Roman" w:eastAsia="Times New Roman" w:hAnsi="Times New Roman" w:cs="Times New Roman"/>
        </w:rPr>
      </w:pPr>
      <w:r w:rsidRPr="00AA0406">
        <w:rPr>
          <w:rFonts w:ascii="Times New Roman" w:eastAsia="Calibri" w:hAnsi="Times New Roman" w:cs="Times New Roman"/>
          <w:lang w:val="sr-Cyrl-RS"/>
        </w:rPr>
        <w:t xml:space="preserve">            </w:t>
      </w:r>
      <w:r w:rsidR="005D3F8D">
        <w:rPr>
          <w:rFonts w:ascii="Times New Roman" w:eastAsia="Calibri" w:hAnsi="Times New Roman" w:cs="Times New Roman"/>
          <w:lang w:val="sr-Cyrl-RS"/>
        </w:rPr>
        <w:t xml:space="preserve">      </w:t>
      </w:r>
      <w:r w:rsidR="00216F69">
        <w:rPr>
          <w:rFonts w:ascii="Times New Roman" w:eastAsia="Calibri" w:hAnsi="Times New Roman" w:cs="Times New Roman"/>
          <w:lang w:val="sr-Cyrl-RS"/>
        </w:rPr>
        <w:t xml:space="preserve"> </w:t>
      </w:r>
      <w:r w:rsidRPr="00AA0406">
        <w:rPr>
          <w:rFonts w:ascii="Times New Roman" w:eastAsia="Calibri" w:hAnsi="Times New Roman" w:cs="Times New Roman"/>
          <w:lang w:val="sr-Cyrl-RS"/>
        </w:rPr>
        <w:t xml:space="preserve">     *</w:t>
      </w:r>
      <w:r w:rsidRPr="00AA0406">
        <w:rPr>
          <w:rFonts w:ascii="Times New Roman" w:eastAsia="Times New Roman" w:hAnsi="Times New Roman" w:cs="Times New Roman"/>
        </w:rPr>
        <w:t xml:space="preserve"> Вредности су изражене у хиљадама динара</w:t>
      </w:r>
    </w:p>
    <w:p w14:paraId="66C6D05B" w14:textId="7000577A" w:rsidR="00AA0406" w:rsidRDefault="00AA0406" w:rsidP="00AA0406">
      <w:pPr>
        <w:jc w:val="both"/>
        <w:rPr>
          <w:rFonts w:ascii="Times New Roman" w:hAnsi="Times New Roman" w:cs="Times New Roman"/>
          <w:b/>
          <w:sz w:val="24"/>
          <w:szCs w:val="24"/>
        </w:rPr>
      </w:pPr>
    </w:p>
    <w:p w14:paraId="5828E133" w14:textId="5940D762" w:rsidR="007B543A" w:rsidRDefault="007B543A" w:rsidP="00AA0406">
      <w:pPr>
        <w:jc w:val="both"/>
        <w:rPr>
          <w:rFonts w:ascii="Times New Roman" w:hAnsi="Times New Roman" w:cs="Times New Roman"/>
          <w:b/>
          <w:sz w:val="24"/>
          <w:szCs w:val="24"/>
        </w:rPr>
      </w:pPr>
    </w:p>
    <w:p w14:paraId="2793BEBE" w14:textId="32A175C0" w:rsidR="007B543A" w:rsidRDefault="007B543A" w:rsidP="00AA0406">
      <w:pPr>
        <w:jc w:val="both"/>
        <w:rPr>
          <w:rFonts w:ascii="Times New Roman" w:hAnsi="Times New Roman" w:cs="Times New Roman"/>
          <w:b/>
          <w:sz w:val="24"/>
          <w:szCs w:val="24"/>
        </w:rPr>
      </w:pPr>
    </w:p>
    <w:p w14:paraId="772F2202" w14:textId="0AF60753" w:rsidR="007B543A" w:rsidRDefault="007B543A" w:rsidP="00AA0406">
      <w:pPr>
        <w:jc w:val="both"/>
        <w:rPr>
          <w:rFonts w:ascii="Times New Roman" w:hAnsi="Times New Roman" w:cs="Times New Roman"/>
          <w:b/>
          <w:sz w:val="24"/>
          <w:szCs w:val="24"/>
        </w:rPr>
      </w:pPr>
    </w:p>
    <w:p w14:paraId="1B83AAE2" w14:textId="77777777" w:rsidR="007B543A" w:rsidRPr="00AA0406" w:rsidRDefault="007B543A" w:rsidP="00AA0406">
      <w:pPr>
        <w:jc w:val="both"/>
        <w:rPr>
          <w:rFonts w:ascii="Times New Roman" w:hAnsi="Times New Roman" w:cs="Times New Roman"/>
          <w:b/>
          <w:sz w:val="24"/>
          <w:szCs w:val="24"/>
        </w:rPr>
      </w:pPr>
    </w:p>
    <w:p w14:paraId="4F28A57F" w14:textId="77777777" w:rsidR="00AA0406" w:rsidRPr="00AA0406" w:rsidRDefault="00AA0406" w:rsidP="00AA0406">
      <w:pPr>
        <w:pStyle w:val="ListParagraph"/>
        <w:jc w:val="both"/>
        <w:rPr>
          <w:rFonts w:ascii="Times New Roman" w:hAnsi="Times New Roman" w:cs="Times New Roman"/>
          <w:b/>
          <w:sz w:val="24"/>
          <w:szCs w:val="24"/>
        </w:rPr>
      </w:pPr>
    </w:p>
    <w:p w14:paraId="25D8958F" w14:textId="3172D709" w:rsidR="00136D4D" w:rsidRPr="00AA0406" w:rsidRDefault="0089601F" w:rsidP="00AA0406">
      <w:pPr>
        <w:pStyle w:val="ListParagraph"/>
        <w:numPr>
          <w:ilvl w:val="0"/>
          <w:numId w:val="2"/>
        </w:numPr>
        <w:jc w:val="both"/>
        <w:rPr>
          <w:rFonts w:ascii="Times New Roman" w:hAnsi="Times New Roman" w:cs="Times New Roman"/>
          <w:b/>
          <w:sz w:val="24"/>
          <w:szCs w:val="24"/>
        </w:rPr>
      </w:pPr>
      <w:r w:rsidRPr="00AA0406">
        <w:rPr>
          <w:rFonts w:ascii="Times New Roman" w:hAnsi="Times New Roman" w:cs="Times New Roman"/>
          <w:b/>
          <w:color w:val="000000" w:themeColor="text1"/>
          <w:sz w:val="24"/>
          <w:szCs w:val="24"/>
        </w:rPr>
        <w:lastRenderedPageBreak/>
        <w:t xml:space="preserve">ПРИМЕНА КРИТЕРИЈУМА ЗА ИЗБОР НАЈПОВОЉНИЈЕ ПОНУДЕ </w:t>
      </w:r>
    </w:p>
    <w:p w14:paraId="0F837EC3" w14:textId="77777777" w:rsidR="00AA0406" w:rsidRDefault="00AA0406" w:rsidP="007C71F3">
      <w:pPr>
        <w:jc w:val="both"/>
        <w:rPr>
          <w:rFonts w:ascii="Times New Roman" w:hAnsi="Times New Roman" w:cs="Times New Roman"/>
          <w:color w:val="000000" w:themeColor="text1"/>
          <w:sz w:val="24"/>
          <w:szCs w:val="24"/>
        </w:rPr>
      </w:pPr>
    </w:p>
    <w:p w14:paraId="71D8EC04" w14:textId="72D5CF6D" w:rsidR="0089601F" w:rsidRPr="001305FF" w:rsidRDefault="0089601F" w:rsidP="007C71F3">
      <w:pPr>
        <w:jc w:val="both"/>
        <w:rPr>
          <w:rFonts w:ascii="Times New Roman" w:hAnsi="Times New Roman" w:cs="Times New Roman"/>
          <w:color w:val="000000" w:themeColor="text1"/>
          <w:sz w:val="24"/>
          <w:szCs w:val="24"/>
        </w:rPr>
      </w:pPr>
      <w:r w:rsidRPr="001305FF">
        <w:rPr>
          <w:rFonts w:ascii="Times New Roman" w:hAnsi="Times New Roman" w:cs="Times New Roman"/>
          <w:color w:val="000000" w:themeColor="text1"/>
          <w:sz w:val="24"/>
          <w:szCs w:val="24"/>
        </w:rPr>
        <w:t xml:space="preserve">Закон предвиђа две врсте </w:t>
      </w:r>
      <w:r w:rsidR="00C83C5F">
        <w:rPr>
          <w:rFonts w:ascii="Times New Roman" w:hAnsi="Times New Roman" w:cs="Times New Roman"/>
          <w:color w:val="000000" w:themeColor="text1"/>
          <w:sz w:val="24"/>
          <w:szCs w:val="24"/>
        </w:rPr>
        <w:t>критеријума за оцењивање понуда:</w:t>
      </w:r>
      <w:r w:rsidRPr="001305FF">
        <w:rPr>
          <w:rFonts w:ascii="Times New Roman" w:hAnsi="Times New Roman" w:cs="Times New Roman"/>
          <w:color w:val="000000" w:themeColor="text1"/>
          <w:sz w:val="24"/>
          <w:szCs w:val="24"/>
        </w:rPr>
        <w:t xml:space="preserve"> </w:t>
      </w:r>
      <w:r w:rsidR="00C83C5F">
        <w:rPr>
          <w:rFonts w:ascii="Times New Roman" w:hAnsi="Times New Roman" w:cs="Times New Roman"/>
          <w:color w:val="000000" w:themeColor="text1"/>
          <w:sz w:val="24"/>
          <w:szCs w:val="24"/>
        </w:rPr>
        <w:t xml:space="preserve">а) </w:t>
      </w:r>
      <w:r w:rsidRPr="001305FF">
        <w:rPr>
          <w:rFonts w:ascii="Times New Roman" w:hAnsi="Times New Roman" w:cs="Times New Roman"/>
          <w:color w:val="000000" w:themeColor="text1"/>
          <w:sz w:val="24"/>
          <w:szCs w:val="24"/>
        </w:rPr>
        <w:t xml:space="preserve">критеријум економски најповољније понуде </w:t>
      </w:r>
      <w:r w:rsidR="00A825BA" w:rsidRPr="001305FF">
        <w:rPr>
          <w:rFonts w:ascii="Times New Roman" w:hAnsi="Times New Roman" w:cs="Times New Roman"/>
          <w:color w:val="000000" w:themeColor="text1"/>
          <w:sz w:val="24"/>
          <w:szCs w:val="24"/>
        </w:rPr>
        <w:t xml:space="preserve">(ЕНП) </w:t>
      </w:r>
      <w:r w:rsidRPr="001305FF">
        <w:rPr>
          <w:rFonts w:ascii="Times New Roman" w:hAnsi="Times New Roman" w:cs="Times New Roman"/>
          <w:color w:val="000000" w:themeColor="text1"/>
          <w:sz w:val="24"/>
          <w:szCs w:val="24"/>
        </w:rPr>
        <w:t xml:space="preserve">и </w:t>
      </w:r>
      <w:r w:rsidR="00C83C5F">
        <w:rPr>
          <w:rFonts w:ascii="Times New Roman" w:hAnsi="Times New Roman" w:cs="Times New Roman"/>
          <w:color w:val="000000" w:themeColor="text1"/>
          <w:sz w:val="24"/>
          <w:szCs w:val="24"/>
          <w:lang w:val="sr"/>
        </w:rPr>
        <w:t xml:space="preserve">б) </w:t>
      </w:r>
      <w:r w:rsidRPr="001305FF">
        <w:rPr>
          <w:rFonts w:ascii="Times New Roman" w:hAnsi="Times New Roman" w:cs="Times New Roman"/>
          <w:color w:val="000000" w:themeColor="text1"/>
          <w:sz w:val="24"/>
          <w:szCs w:val="24"/>
        </w:rPr>
        <w:t>критеријум најниже понуђене цене. Избор између критеријума најниже цене и</w:t>
      </w:r>
      <w:r w:rsidR="000D5724">
        <w:rPr>
          <w:rFonts w:ascii="Times New Roman" w:hAnsi="Times New Roman" w:cs="Times New Roman"/>
          <w:color w:val="000000" w:themeColor="text1"/>
          <w:sz w:val="24"/>
          <w:szCs w:val="24"/>
        </w:rPr>
        <w:t xml:space="preserve"> ЕНП</w:t>
      </w:r>
      <w:r w:rsidRPr="001305FF">
        <w:rPr>
          <w:rFonts w:ascii="Times New Roman" w:hAnsi="Times New Roman" w:cs="Times New Roman"/>
          <w:color w:val="000000" w:themeColor="text1"/>
          <w:sz w:val="24"/>
          <w:szCs w:val="24"/>
        </w:rPr>
        <w:t xml:space="preserve"> наручилац врши у зависности од предмета јавне набавке.</w:t>
      </w:r>
    </w:p>
    <w:p w14:paraId="35701E16" w14:textId="220B872C" w:rsidR="009160C1" w:rsidRDefault="000B5D8C" w:rsidP="007C71F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r-Cyrl-RS"/>
        </w:rPr>
        <w:t>Током последњих година</w:t>
      </w:r>
      <w:r w:rsidR="0089601F" w:rsidRPr="001305FF">
        <w:rPr>
          <w:rFonts w:ascii="Times New Roman" w:hAnsi="Times New Roman" w:cs="Times New Roman"/>
          <w:color w:val="000000" w:themeColor="text1"/>
          <w:sz w:val="24"/>
          <w:szCs w:val="24"/>
        </w:rPr>
        <w:t xml:space="preserve"> </w:t>
      </w:r>
      <w:r w:rsidR="009160C1">
        <w:rPr>
          <w:rFonts w:ascii="Times New Roman" w:hAnsi="Times New Roman" w:cs="Times New Roman"/>
          <w:color w:val="000000" w:themeColor="text1"/>
          <w:sz w:val="24"/>
          <w:szCs w:val="24"/>
        </w:rPr>
        <w:t>критеријум најниже цене постао је доминантан у односу на ЕНП</w:t>
      </w:r>
      <w:r>
        <w:rPr>
          <w:rFonts w:ascii="Times New Roman" w:hAnsi="Times New Roman" w:cs="Times New Roman"/>
          <w:color w:val="000000" w:themeColor="text1"/>
          <w:sz w:val="24"/>
          <w:szCs w:val="24"/>
          <w:lang w:val="sr-Cyrl-RS"/>
        </w:rPr>
        <w:t>.</w:t>
      </w:r>
      <w:r w:rsidR="009160C1">
        <w:rPr>
          <w:rFonts w:ascii="Times New Roman" w:hAnsi="Times New Roman" w:cs="Times New Roman"/>
          <w:color w:val="000000" w:themeColor="text1"/>
          <w:sz w:val="24"/>
          <w:szCs w:val="24"/>
        </w:rPr>
        <w:t xml:space="preserve"> </w:t>
      </w:r>
      <w:r w:rsidR="00D22D20">
        <w:rPr>
          <w:rFonts w:ascii="Times New Roman" w:hAnsi="Times New Roman" w:cs="Times New Roman"/>
          <w:color w:val="000000" w:themeColor="text1"/>
          <w:sz w:val="24"/>
          <w:szCs w:val="24"/>
        </w:rPr>
        <w:t>У Србији је ЕНП, у 2019</w:t>
      </w:r>
      <w:r w:rsidRPr="000B5D8C">
        <w:rPr>
          <w:rFonts w:ascii="Times New Roman" w:hAnsi="Times New Roman" w:cs="Times New Roman"/>
          <w:color w:val="000000" w:themeColor="text1"/>
          <w:sz w:val="24"/>
          <w:szCs w:val="24"/>
        </w:rPr>
        <w:t>. години, учествовао са 1</w:t>
      </w:r>
      <w:r w:rsidR="00D22D20">
        <w:rPr>
          <w:rFonts w:ascii="Times New Roman" w:hAnsi="Times New Roman" w:cs="Times New Roman"/>
          <w:color w:val="000000" w:themeColor="text1"/>
          <w:sz w:val="24"/>
          <w:szCs w:val="24"/>
          <w:lang w:val="en-GB"/>
        </w:rPr>
        <w:t>0</w:t>
      </w:r>
      <w:r w:rsidRPr="000B5D8C">
        <w:rPr>
          <w:rFonts w:ascii="Times New Roman" w:hAnsi="Times New Roman" w:cs="Times New Roman"/>
          <w:color w:val="000000" w:themeColor="text1"/>
          <w:sz w:val="24"/>
          <w:szCs w:val="24"/>
        </w:rPr>
        <w:t>%, што јасно указује да је неопходно извршити промен</w:t>
      </w:r>
      <w:r w:rsidR="007B543A">
        <w:rPr>
          <w:rFonts w:ascii="Times New Roman" w:hAnsi="Times New Roman" w:cs="Times New Roman"/>
          <w:color w:val="000000" w:themeColor="text1"/>
          <w:sz w:val="24"/>
          <w:szCs w:val="24"/>
        </w:rPr>
        <w:t>у негативне тенденције.(Слика 15</w:t>
      </w:r>
      <w:r w:rsidRPr="000B5D8C">
        <w:rPr>
          <w:rFonts w:ascii="Times New Roman" w:hAnsi="Times New Roman" w:cs="Times New Roman"/>
          <w:color w:val="000000" w:themeColor="text1"/>
          <w:sz w:val="24"/>
          <w:szCs w:val="24"/>
        </w:rPr>
        <w:t xml:space="preserve">). </w:t>
      </w:r>
      <w:r w:rsidR="009160C1" w:rsidRPr="00C71D60">
        <w:rPr>
          <w:rFonts w:ascii="Times New Roman" w:hAnsi="Times New Roman" w:cs="Times New Roman"/>
          <w:color w:val="000000" w:themeColor="text1"/>
          <w:sz w:val="24"/>
          <w:szCs w:val="24"/>
        </w:rPr>
        <w:t>Т</w:t>
      </w:r>
      <w:r w:rsidR="0089601F" w:rsidRPr="00C71D60">
        <w:rPr>
          <w:rFonts w:ascii="Times New Roman" w:hAnsi="Times New Roman" w:cs="Times New Roman"/>
          <w:color w:val="000000" w:themeColor="text1"/>
          <w:sz w:val="24"/>
          <w:szCs w:val="24"/>
        </w:rPr>
        <w:t xml:space="preserve">о </w:t>
      </w:r>
      <w:r w:rsidR="009160C1" w:rsidRPr="00C71D60">
        <w:rPr>
          <w:rFonts w:ascii="Times New Roman" w:hAnsi="Times New Roman" w:cs="Times New Roman"/>
          <w:color w:val="000000" w:themeColor="text1"/>
          <w:sz w:val="24"/>
          <w:szCs w:val="24"/>
        </w:rPr>
        <w:t xml:space="preserve">је </w:t>
      </w:r>
      <w:r w:rsidR="00B76D7D" w:rsidRPr="00C71D60">
        <w:rPr>
          <w:rFonts w:ascii="Times New Roman" w:hAnsi="Times New Roman" w:cs="Times New Roman"/>
          <w:color w:val="000000" w:themeColor="text1"/>
          <w:sz w:val="24"/>
          <w:szCs w:val="24"/>
        </w:rPr>
        <w:t>има</w:t>
      </w:r>
      <w:r w:rsidR="009160C1" w:rsidRPr="00C71D60">
        <w:rPr>
          <w:rFonts w:ascii="Times New Roman" w:hAnsi="Times New Roman" w:cs="Times New Roman"/>
          <w:color w:val="000000" w:themeColor="text1"/>
          <w:sz w:val="24"/>
          <w:szCs w:val="24"/>
        </w:rPr>
        <w:t>ло</w:t>
      </w:r>
      <w:r w:rsidR="00B76D7D" w:rsidRPr="00C71D60">
        <w:rPr>
          <w:rFonts w:ascii="Times New Roman" w:hAnsi="Times New Roman" w:cs="Times New Roman"/>
          <w:color w:val="000000" w:themeColor="text1"/>
          <w:sz w:val="24"/>
          <w:szCs w:val="24"/>
        </w:rPr>
        <w:t xml:space="preserve"> за последицу да се </w:t>
      </w:r>
      <w:r w:rsidR="004D4B56" w:rsidRPr="00C71D60">
        <w:rPr>
          <w:rFonts w:ascii="Times New Roman" w:hAnsi="Times New Roman" w:cs="Times New Roman"/>
          <w:color w:val="000000" w:themeColor="text1"/>
          <w:sz w:val="24"/>
          <w:szCs w:val="24"/>
        </w:rPr>
        <w:t xml:space="preserve">у пракси </w:t>
      </w:r>
      <w:r w:rsidR="007A4792" w:rsidRPr="00C71D60">
        <w:rPr>
          <w:rFonts w:ascii="Times New Roman" w:hAnsi="Times New Roman" w:cs="Times New Roman"/>
          <w:color w:val="000000" w:themeColor="text1"/>
          <w:sz w:val="24"/>
          <w:szCs w:val="24"/>
        </w:rPr>
        <w:t>често добијају само најјефтинија</w:t>
      </w:r>
      <w:r w:rsidR="009160C1" w:rsidRPr="00C71D60">
        <w:rPr>
          <w:rFonts w:ascii="Times New Roman" w:hAnsi="Times New Roman" w:cs="Times New Roman"/>
          <w:color w:val="000000" w:themeColor="text1"/>
          <w:sz w:val="24"/>
          <w:szCs w:val="24"/>
        </w:rPr>
        <w:t xml:space="preserve"> добра и услуге</w:t>
      </w:r>
      <w:r w:rsidR="004D4B56" w:rsidRPr="00C71D60">
        <w:rPr>
          <w:rFonts w:ascii="Times New Roman" w:hAnsi="Times New Roman" w:cs="Times New Roman"/>
          <w:color w:val="000000" w:themeColor="text1"/>
          <w:sz w:val="24"/>
          <w:szCs w:val="24"/>
        </w:rPr>
        <w:t xml:space="preserve"> али</w:t>
      </w:r>
      <w:r w:rsidR="004D4B56" w:rsidRPr="001305FF">
        <w:rPr>
          <w:rFonts w:ascii="Times New Roman" w:hAnsi="Times New Roman" w:cs="Times New Roman"/>
          <w:color w:val="000000" w:themeColor="text1"/>
          <w:sz w:val="24"/>
          <w:szCs w:val="24"/>
        </w:rPr>
        <w:t xml:space="preserve"> који</w:t>
      </w:r>
      <w:r w:rsidR="009160C1">
        <w:rPr>
          <w:rFonts w:ascii="Times New Roman" w:hAnsi="Times New Roman" w:cs="Times New Roman"/>
          <w:color w:val="000000" w:themeColor="text1"/>
          <w:sz w:val="24"/>
          <w:szCs w:val="24"/>
        </w:rPr>
        <w:t xml:space="preserve"> не задовољавају потребе наручила</w:t>
      </w:r>
      <w:r w:rsidR="004D4B56" w:rsidRPr="001305FF">
        <w:rPr>
          <w:rFonts w:ascii="Times New Roman" w:hAnsi="Times New Roman" w:cs="Times New Roman"/>
          <w:color w:val="000000" w:themeColor="text1"/>
          <w:sz w:val="24"/>
          <w:szCs w:val="24"/>
        </w:rPr>
        <w:t>ца у погледу својства</w:t>
      </w:r>
      <w:r w:rsidR="00C80B7F" w:rsidRPr="001305FF">
        <w:rPr>
          <w:rFonts w:ascii="Times New Roman" w:hAnsi="Times New Roman" w:cs="Times New Roman"/>
          <w:color w:val="000000" w:themeColor="text1"/>
          <w:sz w:val="24"/>
          <w:szCs w:val="24"/>
        </w:rPr>
        <w:t xml:space="preserve"> и</w:t>
      </w:r>
      <w:r w:rsidR="004D4B56" w:rsidRPr="001305FF">
        <w:rPr>
          <w:rFonts w:ascii="Times New Roman" w:hAnsi="Times New Roman" w:cs="Times New Roman"/>
          <w:color w:val="000000" w:themeColor="text1"/>
          <w:sz w:val="24"/>
          <w:szCs w:val="24"/>
        </w:rPr>
        <w:t xml:space="preserve"> квалитета. То значи да се не остварује основни циљ набавке, а то је да наручилац добије предмет набавке који ће </w:t>
      </w:r>
      <w:r w:rsidR="00C80B7F" w:rsidRPr="001305FF">
        <w:rPr>
          <w:rFonts w:ascii="Times New Roman" w:hAnsi="Times New Roman" w:cs="Times New Roman"/>
          <w:color w:val="000000" w:themeColor="text1"/>
          <w:sz w:val="24"/>
          <w:szCs w:val="24"/>
        </w:rPr>
        <w:t>у потпуности задов</w:t>
      </w:r>
      <w:r w:rsidR="005A5D13">
        <w:rPr>
          <w:rFonts w:ascii="Times New Roman" w:hAnsi="Times New Roman" w:cs="Times New Roman"/>
          <w:color w:val="000000" w:themeColor="text1"/>
          <w:sz w:val="24"/>
          <w:szCs w:val="24"/>
        </w:rPr>
        <w:t xml:space="preserve">ољити његову потребу. </w:t>
      </w:r>
    </w:p>
    <w:p w14:paraId="5C129015" w14:textId="593BDD3F" w:rsidR="00A825BA" w:rsidRDefault="005A5D13" w:rsidP="007C71F3">
      <w:pPr>
        <w:jc w:val="both"/>
        <w:rPr>
          <w:rFonts w:ascii="Times New Roman" w:hAnsi="Times New Roman" w:cs="Times New Roman"/>
          <w:color w:val="000000" w:themeColor="text1"/>
          <w:sz w:val="24"/>
          <w:szCs w:val="24"/>
          <w:lang w:val="sr-Cyrl-RS"/>
        </w:rPr>
      </w:pPr>
      <w:r w:rsidRPr="001A2260">
        <w:rPr>
          <w:rFonts w:ascii="Times New Roman" w:hAnsi="Times New Roman" w:cs="Times New Roman"/>
          <w:color w:val="000000" w:themeColor="text1"/>
          <w:sz w:val="24"/>
          <w:szCs w:val="24"/>
        </w:rPr>
        <w:t>Последица</w:t>
      </w:r>
      <w:r w:rsidR="004D4B56" w:rsidRPr="001A2260">
        <w:rPr>
          <w:rFonts w:ascii="Times New Roman" w:hAnsi="Times New Roman" w:cs="Times New Roman"/>
          <w:color w:val="000000" w:themeColor="text1"/>
          <w:sz w:val="24"/>
          <w:szCs w:val="24"/>
        </w:rPr>
        <w:t xml:space="preserve"> </w:t>
      </w:r>
      <w:r w:rsidR="00C80B7F" w:rsidRPr="001A2260">
        <w:rPr>
          <w:rFonts w:ascii="Times New Roman" w:hAnsi="Times New Roman" w:cs="Times New Roman"/>
          <w:color w:val="000000" w:themeColor="text1"/>
          <w:sz w:val="24"/>
          <w:szCs w:val="24"/>
        </w:rPr>
        <w:t>коришћења најниже цене као јединог критеријума за избор јесте да се купују предмети набавке који су иницијално најјефтинији, али су њихови трошкови експлоатације вис</w:t>
      </w:r>
      <w:r w:rsidR="009160C1" w:rsidRPr="001A2260">
        <w:rPr>
          <w:rFonts w:ascii="Times New Roman" w:hAnsi="Times New Roman" w:cs="Times New Roman"/>
          <w:color w:val="000000" w:themeColor="text1"/>
          <w:sz w:val="24"/>
          <w:szCs w:val="24"/>
        </w:rPr>
        <w:t>оки због честог кварења, већег</w:t>
      </w:r>
      <w:r w:rsidR="00C80B7F" w:rsidRPr="001A2260">
        <w:rPr>
          <w:rFonts w:ascii="Times New Roman" w:hAnsi="Times New Roman" w:cs="Times New Roman"/>
          <w:color w:val="000000" w:themeColor="text1"/>
          <w:sz w:val="24"/>
          <w:szCs w:val="24"/>
        </w:rPr>
        <w:t xml:space="preserve"> утрош</w:t>
      </w:r>
      <w:r w:rsidR="00E4072A" w:rsidRPr="001A2260">
        <w:rPr>
          <w:rFonts w:ascii="Times New Roman" w:hAnsi="Times New Roman" w:cs="Times New Roman"/>
          <w:color w:val="000000" w:themeColor="text1"/>
          <w:sz w:val="24"/>
          <w:szCs w:val="24"/>
        </w:rPr>
        <w:t xml:space="preserve">ка енергије итд. </w:t>
      </w:r>
      <w:r w:rsidR="001A2260" w:rsidRPr="001A2260">
        <w:rPr>
          <w:rFonts w:ascii="Times New Roman" w:hAnsi="Times New Roman" w:cs="Times New Roman"/>
          <w:color w:val="000000" w:themeColor="text1"/>
          <w:sz w:val="24"/>
          <w:szCs w:val="24"/>
          <w:lang w:val="sr-Cyrl-RS"/>
        </w:rPr>
        <w:t xml:space="preserve">На овај начин, трошкови које наручилац има су много већи од трошкова које би наручилац имао да </w:t>
      </w:r>
      <w:r w:rsidR="001A2260">
        <w:rPr>
          <w:rFonts w:ascii="Times New Roman" w:hAnsi="Times New Roman" w:cs="Times New Roman"/>
          <w:color w:val="000000" w:themeColor="text1"/>
          <w:sz w:val="24"/>
          <w:szCs w:val="24"/>
          <w:lang w:val="sr-Cyrl-RS"/>
        </w:rPr>
        <w:t xml:space="preserve">је </w:t>
      </w:r>
      <w:r w:rsidR="001A2260" w:rsidRPr="001A2260">
        <w:rPr>
          <w:rFonts w:ascii="Times New Roman" w:hAnsi="Times New Roman" w:cs="Times New Roman"/>
          <w:color w:val="000000" w:themeColor="text1"/>
          <w:sz w:val="24"/>
          <w:szCs w:val="24"/>
          <w:lang w:val="sr-Cyrl-RS"/>
        </w:rPr>
        <w:t xml:space="preserve">купио </w:t>
      </w:r>
      <w:r w:rsidR="001A2260">
        <w:rPr>
          <w:rFonts w:ascii="Times New Roman" w:hAnsi="Times New Roman" w:cs="Times New Roman"/>
          <w:color w:val="000000" w:themeColor="text1"/>
          <w:sz w:val="24"/>
          <w:szCs w:val="24"/>
          <w:lang w:val="sr-Cyrl-RS"/>
        </w:rPr>
        <w:t>предмет набавке</w:t>
      </w:r>
      <w:r w:rsidR="001A2260" w:rsidRPr="001A2260">
        <w:rPr>
          <w:rFonts w:ascii="Times New Roman" w:hAnsi="Times New Roman" w:cs="Times New Roman"/>
          <w:color w:val="000000" w:themeColor="text1"/>
          <w:sz w:val="24"/>
          <w:szCs w:val="24"/>
          <w:lang w:val="sr-Cyrl-RS"/>
        </w:rPr>
        <w:t xml:space="preserve"> применом критеријума економски најповољнија понуда. </w:t>
      </w:r>
    </w:p>
    <w:p w14:paraId="68A39E4A" w14:textId="77777777" w:rsidR="001A2260" w:rsidRPr="001305FF" w:rsidRDefault="001A2260" w:rsidP="007C71F3">
      <w:pPr>
        <w:jc w:val="both"/>
        <w:rPr>
          <w:rFonts w:ascii="Times New Roman" w:hAnsi="Times New Roman" w:cs="Times New Roman"/>
          <w:color w:val="000000" w:themeColor="text1"/>
          <w:sz w:val="24"/>
          <w:szCs w:val="24"/>
        </w:rPr>
      </w:pPr>
    </w:p>
    <w:p w14:paraId="6EECDE17" w14:textId="794F8EC1" w:rsidR="00220B79" w:rsidRPr="005005C3" w:rsidRDefault="005005C3" w:rsidP="00A825BA">
      <w:pPr>
        <w:jc w:val="both"/>
        <w:rPr>
          <w:rFonts w:ascii="Times New Roman" w:hAnsi="Times New Roman" w:cs="Times New Roman"/>
          <w:b/>
          <w:color w:val="000000" w:themeColor="text1"/>
          <w:sz w:val="24"/>
          <w:szCs w:val="24"/>
          <w:lang w:val="en-US"/>
        </w:rPr>
      </w:pPr>
      <w:r>
        <w:rPr>
          <w:rFonts w:ascii="Times New Roman" w:hAnsi="Times New Roman" w:cs="Times New Roman"/>
          <w:b/>
          <w:color w:val="FF0000"/>
          <w:sz w:val="24"/>
          <w:szCs w:val="24"/>
        </w:rPr>
        <w:t xml:space="preserve"> </w:t>
      </w:r>
      <w:r w:rsidR="00A01CB5">
        <w:rPr>
          <w:rFonts w:ascii="Times New Roman" w:hAnsi="Times New Roman" w:cs="Times New Roman"/>
          <w:b/>
          <w:color w:val="FF0000"/>
          <w:sz w:val="24"/>
          <w:szCs w:val="24"/>
          <w:lang w:val="en-GB"/>
        </w:rPr>
        <w:t xml:space="preserve">                   </w:t>
      </w:r>
      <w:r>
        <w:rPr>
          <w:rFonts w:ascii="Times New Roman" w:hAnsi="Times New Roman" w:cs="Times New Roman"/>
          <w:b/>
          <w:color w:val="FF0000"/>
          <w:sz w:val="24"/>
          <w:szCs w:val="24"/>
        </w:rPr>
        <w:t xml:space="preserve">    </w:t>
      </w:r>
      <w:r w:rsidRPr="005005C3">
        <w:rPr>
          <w:rFonts w:ascii="Times New Roman" w:hAnsi="Times New Roman" w:cs="Times New Roman"/>
          <w:b/>
          <w:color w:val="000000" w:themeColor="text1"/>
          <w:sz w:val="24"/>
          <w:szCs w:val="24"/>
        </w:rPr>
        <w:t>Сли</w:t>
      </w:r>
      <w:r w:rsidR="007B543A">
        <w:rPr>
          <w:rFonts w:ascii="Times New Roman" w:hAnsi="Times New Roman" w:cs="Times New Roman"/>
          <w:b/>
          <w:color w:val="000000" w:themeColor="text1"/>
          <w:sz w:val="24"/>
          <w:szCs w:val="24"/>
        </w:rPr>
        <w:t>ка 15</w:t>
      </w:r>
    </w:p>
    <w:p w14:paraId="6DBB8E54" w14:textId="4B506EF1" w:rsidR="00A825BA" w:rsidRPr="00943ACE" w:rsidRDefault="00A825BA" w:rsidP="00A825BA">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220B79">
        <w:rPr>
          <w:rFonts w:ascii="Times New Roman" w:hAnsi="Times New Roman" w:cs="Times New Roman"/>
          <w:color w:val="FF0000"/>
          <w:sz w:val="24"/>
          <w:szCs w:val="24"/>
          <w:lang w:val="en-US"/>
        </w:rPr>
        <w:t xml:space="preserve">                      </w:t>
      </w:r>
      <w:r w:rsidR="00D22D20">
        <w:rPr>
          <w:noProof/>
          <w:lang w:val="sr-Cyrl-RS" w:eastAsia="sr-Cyrl-RS"/>
        </w:rPr>
        <w:drawing>
          <wp:inline distT="0" distB="0" distL="0" distR="0" wp14:anchorId="67BCF687" wp14:editId="63983B0C">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CD4DA6" w14:textId="388E48E6" w:rsidR="00B233DA" w:rsidRDefault="00B233DA" w:rsidP="00BB0C53">
      <w:pPr>
        <w:ind w:left="720"/>
        <w:contextualSpacing/>
        <w:jc w:val="both"/>
        <w:rPr>
          <w:rFonts w:ascii="Times New Roman" w:eastAsia="Times New Roman" w:hAnsi="Times New Roman" w:cs="Times New Roman"/>
          <w:b/>
          <w:sz w:val="24"/>
          <w:szCs w:val="24"/>
        </w:rPr>
      </w:pPr>
    </w:p>
    <w:p w14:paraId="458F6756" w14:textId="461C09EB" w:rsidR="00D22D20" w:rsidRDefault="00D22D20" w:rsidP="00BB0C53">
      <w:pPr>
        <w:ind w:left="720"/>
        <w:contextualSpacing/>
        <w:jc w:val="both"/>
        <w:rPr>
          <w:rFonts w:ascii="Times New Roman" w:eastAsia="Times New Roman" w:hAnsi="Times New Roman" w:cs="Times New Roman"/>
          <w:b/>
          <w:sz w:val="24"/>
          <w:szCs w:val="24"/>
        </w:rPr>
      </w:pPr>
    </w:p>
    <w:p w14:paraId="3CB548A6" w14:textId="62A16163" w:rsidR="00D22D20" w:rsidRDefault="00D22D20" w:rsidP="00BB0C53">
      <w:pPr>
        <w:ind w:left="720"/>
        <w:contextualSpacing/>
        <w:jc w:val="both"/>
        <w:rPr>
          <w:rFonts w:ascii="Times New Roman" w:eastAsia="Times New Roman" w:hAnsi="Times New Roman" w:cs="Times New Roman"/>
          <w:b/>
          <w:sz w:val="24"/>
          <w:szCs w:val="24"/>
        </w:rPr>
      </w:pPr>
    </w:p>
    <w:p w14:paraId="6421EC6D" w14:textId="45E3C6DD" w:rsidR="00D22D20" w:rsidRDefault="00D22D20" w:rsidP="00BB0C53">
      <w:pPr>
        <w:ind w:left="720"/>
        <w:contextualSpacing/>
        <w:jc w:val="both"/>
        <w:rPr>
          <w:rFonts w:ascii="Times New Roman" w:eastAsia="Times New Roman" w:hAnsi="Times New Roman" w:cs="Times New Roman"/>
          <w:b/>
          <w:sz w:val="24"/>
          <w:szCs w:val="24"/>
        </w:rPr>
      </w:pPr>
    </w:p>
    <w:p w14:paraId="4E50DE8E" w14:textId="7AE39E33" w:rsidR="00D22D20" w:rsidRDefault="00D22D20" w:rsidP="00BB0C53">
      <w:pPr>
        <w:ind w:left="720"/>
        <w:contextualSpacing/>
        <w:jc w:val="both"/>
        <w:rPr>
          <w:rFonts w:ascii="Times New Roman" w:eastAsia="Times New Roman" w:hAnsi="Times New Roman" w:cs="Times New Roman"/>
          <w:b/>
          <w:sz w:val="24"/>
          <w:szCs w:val="24"/>
        </w:rPr>
      </w:pPr>
    </w:p>
    <w:p w14:paraId="0939020B" w14:textId="17BE6567" w:rsidR="00D22D20" w:rsidRDefault="00D22D20" w:rsidP="00BB0C53">
      <w:pPr>
        <w:ind w:left="720"/>
        <w:contextualSpacing/>
        <w:jc w:val="both"/>
        <w:rPr>
          <w:rFonts w:ascii="Times New Roman" w:eastAsia="Times New Roman" w:hAnsi="Times New Roman" w:cs="Times New Roman"/>
          <w:b/>
          <w:sz w:val="24"/>
          <w:szCs w:val="24"/>
        </w:rPr>
      </w:pPr>
    </w:p>
    <w:p w14:paraId="7E44DEAE" w14:textId="68B15A46" w:rsidR="00D22D20" w:rsidRDefault="00D22D20" w:rsidP="00BB0C53">
      <w:pPr>
        <w:ind w:left="720"/>
        <w:contextualSpacing/>
        <w:jc w:val="both"/>
        <w:rPr>
          <w:rFonts w:ascii="Times New Roman" w:eastAsia="Times New Roman" w:hAnsi="Times New Roman" w:cs="Times New Roman"/>
          <w:b/>
          <w:sz w:val="24"/>
          <w:szCs w:val="24"/>
        </w:rPr>
      </w:pPr>
    </w:p>
    <w:p w14:paraId="76E1170D" w14:textId="0058283A" w:rsidR="005D3F8D" w:rsidRDefault="005D3F8D" w:rsidP="00BB0C53">
      <w:pPr>
        <w:ind w:left="720"/>
        <w:contextualSpacing/>
        <w:jc w:val="both"/>
        <w:rPr>
          <w:rFonts w:ascii="Times New Roman" w:eastAsia="Times New Roman" w:hAnsi="Times New Roman" w:cs="Times New Roman"/>
          <w:b/>
          <w:sz w:val="24"/>
          <w:szCs w:val="24"/>
        </w:rPr>
      </w:pPr>
    </w:p>
    <w:p w14:paraId="0F9215C7" w14:textId="05F9DB55" w:rsidR="003904E7" w:rsidRPr="007122E6" w:rsidRDefault="00AA0406" w:rsidP="00960A8C">
      <w:pPr>
        <w:pStyle w:val="ListParagraph"/>
        <w:numPr>
          <w:ilvl w:val="0"/>
          <w:numId w:val="2"/>
        </w:numPr>
        <w:ind w:left="85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CS"/>
        </w:rPr>
        <w:lastRenderedPageBreak/>
        <w:t xml:space="preserve"> </w:t>
      </w:r>
      <w:r w:rsidR="000E318F" w:rsidRPr="007122E6">
        <w:rPr>
          <w:rFonts w:ascii="Times New Roman" w:eastAsia="Times New Roman" w:hAnsi="Times New Roman" w:cs="Times New Roman"/>
          <w:b/>
          <w:sz w:val="24"/>
          <w:szCs w:val="24"/>
          <w:lang w:val="sr-Cyrl-CS"/>
        </w:rPr>
        <w:t>АКТИВНОСТИ УПРАВЕ</w:t>
      </w:r>
      <w:r w:rsidR="0086456D" w:rsidRPr="007122E6">
        <w:rPr>
          <w:rFonts w:ascii="Times New Roman" w:eastAsia="Times New Roman" w:hAnsi="Times New Roman" w:cs="Times New Roman"/>
          <w:b/>
          <w:sz w:val="24"/>
          <w:szCs w:val="24"/>
          <w:lang w:val="sr-Cyrl-CS"/>
        </w:rPr>
        <w:t xml:space="preserve"> </w:t>
      </w:r>
    </w:p>
    <w:p w14:paraId="279059E3" w14:textId="77777777" w:rsidR="00BB7785" w:rsidRDefault="00BB7785" w:rsidP="00BB7785">
      <w:pPr>
        <w:jc w:val="both"/>
        <w:rPr>
          <w:rFonts w:ascii="Times New Roman" w:eastAsia="Times New Roman" w:hAnsi="Times New Roman" w:cs="Times New Roman"/>
          <w:b/>
          <w:sz w:val="24"/>
          <w:szCs w:val="24"/>
          <w:u w:val="single"/>
        </w:rPr>
      </w:pPr>
    </w:p>
    <w:p w14:paraId="5FE021D7" w14:textId="0AE6E282" w:rsidR="00BB7785" w:rsidRPr="00DC4DBD" w:rsidRDefault="003745BD" w:rsidP="00BB778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Процес придруживања ЕУ </w:t>
      </w:r>
    </w:p>
    <w:p w14:paraId="563DC9DA" w14:textId="7C2D167C" w:rsidR="006A700F" w:rsidRPr="00191988" w:rsidRDefault="006A700F" w:rsidP="006A700F">
      <w:pPr>
        <w:spacing w:after="0"/>
        <w:jc w:val="both"/>
        <w:rPr>
          <w:rFonts w:ascii="Times New Roman" w:hAnsi="Times New Roman"/>
          <w:sz w:val="24"/>
          <w:szCs w:val="24"/>
          <w:lang w:val="sr-Latn-RS"/>
        </w:rPr>
      </w:pPr>
      <w:r w:rsidRPr="00FF54AF">
        <w:rPr>
          <w:rFonts w:ascii="Times New Roman" w:hAnsi="Times New Roman"/>
          <w:sz w:val="24"/>
          <w:szCs w:val="24"/>
          <w:lang w:val="sr-Cyrl-RS"/>
        </w:rPr>
        <w:t>Стратегијом</w:t>
      </w:r>
      <w:r>
        <w:rPr>
          <w:rFonts w:ascii="Times New Roman" w:hAnsi="Times New Roman"/>
          <w:sz w:val="24"/>
          <w:szCs w:val="24"/>
          <w:lang w:val="sr-Cyrl-RS"/>
        </w:rPr>
        <w:t xml:space="preserve"> развоја јавних набавки</w:t>
      </w:r>
      <w:r w:rsidRPr="00FF54AF">
        <w:rPr>
          <w:rFonts w:ascii="Times New Roman" w:hAnsi="Times New Roman"/>
          <w:sz w:val="24"/>
          <w:szCs w:val="24"/>
          <w:lang w:val="sr-Cyrl-RS"/>
        </w:rPr>
        <w:t xml:space="preserve"> и годишњим акционим плановима су одређени планови, активности и временски оквир у којем Република Србија планира да потпуно усагласи </w:t>
      </w:r>
      <w:r>
        <w:rPr>
          <w:rFonts w:ascii="Times New Roman" w:hAnsi="Times New Roman"/>
          <w:sz w:val="24"/>
          <w:szCs w:val="24"/>
          <w:lang w:val="sr-Cyrl-RS"/>
        </w:rPr>
        <w:t xml:space="preserve">домаћу регулативу </w:t>
      </w:r>
      <w:r w:rsidRPr="00FF54AF">
        <w:rPr>
          <w:rFonts w:ascii="Times New Roman" w:hAnsi="Times New Roman"/>
          <w:sz w:val="24"/>
          <w:szCs w:val="24"/>
          <w:lang w:val="sr-Cyrl-RS"/>
        </w:rPr>
        <w:t xml:space="preserve">са захтевима из правних тековина ЕУ у области јавних набавки, што укључује правилан и потпун пренос правних тековина, те тако друга фаза процеса потпуног усклађивања обухвата доношење новог </w:t>
      </w:r>
      <w:r w:rsidR="002F3484">
        <w:rPr>
          <w:rFonts w:ascii="Times New Roman" w:hAnsi="Times New Roman"/>
          <w:sz w:val="24"/>
          <w:szCs w:val="24"/>
          <w:lang w:val="sr-Cyrl-RS"/>
        </w:rPr>
        <w:t>Закона</w:t>
      </w:r>
      <w:r w:rsidR="003B75D6">
        <w:rPr>
          <w:rFonts w:ascii="Times New Roman" w:hAnsi="Times New Roman"/>
          <w:sz w:val="24"/>
          <w:szCs w:val="24"/>
          <w:lang w:val="sr-Cyrl-RS"/>
        </w:rPr>
        <w:t xml:space="preserve"> и Закона о јавно-приватном партнерству и концесијама</w:t>
      </w:r>
      <w:r w:rsidRPr="00FF54AF">
        <w:rPr>
          <w:rFonts w:ascii="Times New Roman" w:hAnsi="Times New Roman"/>
          <w:sz w:val="24"/>
          <w:szCs w:val="24"/>
          <w:lang w:val="sr-Cyrl-RS"/>
        </w:rPr>
        <w:t xml:space="preserve">. С тим у вези, </w:t>
      </w:r>
      <w:r>
        <w:rPr>
          <w:rFonts w:ascii="Times New Roman" w:hAnsi="Times New Roman"/>
          <w:sz w:val="24"/>
          <w:szCs w:val="24"/>
          <w:lang w:val="sr-Cyrl-RS"/>
        </w:rPr>
        <w:t xml:space="preserve">након усклађивања са коментарима Европске комисије Влада РС је усвојила Предлог закона о јавним набавкама, док је </w:t>
      </w:r>
      <w:r w:rsidRPr="00EB264F">
        <w:rPr>
          <w:rFonts w:ascii="Times New Roman" w:hAnsi="Times New Roman"/>
          <w:sz w:val="24"/>
          <w:szCs w:val="24"/>
          <w:lang w:val="sr-Cyrl-RS"/>
        </w:rPr>
        <w:t xml:space="preserve">Народна скупштина </w:t>
      </w:r>
      <w:r>
        <w:rPr>
          <w:rFonts w:ascii="Times New Roman" w:hAnsi="Times New Roman"/>
          <w:sz w:val="24"/>
          <w:szCs w:val="24"/>
          <w:lang w:val="sr-Cyrl-RS"/>
        </w:rPr>
        <w:t xml:space="preserve">исти </w:t>
      </w:r>
      <w:r w:rsidRPr="00EB264F">
        <w:rPr>
          <w:rFonts w:ascii="Times New Roman" w:hAnsi="Times New Roman"/>
          <w:sz w:val="24"/>
          <w:szCs w:val="24"/>
          <w:lang w:val="sr-Cyrl-RS"/>
        </w:rPr>
        <w:t xml:space="preserve">усвојила у децембру 2019. године, те је </w:t>
      </w:r>
      <w:r w:rsidR="002F3484">
        <w:rPr>
          <w:rFonts w:ascii="Times New Roman" w:hAnsi="Times New Roman"/>
          <w:sz w:val="24"/>
          <w:szCs w:val="24"/>
          <w:lang w:val="sr-Cyrl-RS"/>
        </w:rPr>
        <w:t>Закон</w:t>
      </w:r>
      <w:r w:rsidRPr="00EB264F">
        <w:rPr>
          <w:rFonts w:ascii="Times New Roman" w:hAnsi="Times New Roman"/>
          <w:sz w:val="24"/>
          <w:szCs w:val="24"/>
          <w:lang w:val="sr-Cyrl-RS"/>
        </w:rPr>
        <w:t xml:space="preserve"> објављен у Службеном гласнику Републике Србије број 91/19 од 24. децем</w:t>
      </w:r>
      <w:r w:rsidR="002F3484">
        <w:rPr>
          <w:rFonts w:ascii="Times New Roman" w:hAnsi="Times New Roman"/>
          <w:sz w:val="24"/>
          <w:szCs w:val="24"/>
          <w:lang w:val="sr-Cyrl-RS"/>
        </w:rPr>
        <w:t>бра 2019. године. Нови Закон</w:t>
      </w:r>
      <w:r>
        <w:rPr>
          <w:rFonts w:ascii="Times New Roman" w:hAnsi="Times New Roman"/>
          <w:sz w:val="24"/>
          <w:szCs w:val="24"/>
          <w:lang w:val="sr-Cyrl-RS"/>
        </w:rPr>
        <w:t xml:space="preserve"> ступио је</w:t>
      </w:r>
      <w:r w:rsidRPr="00EB264F">
        <w:rPr>
          <w:rFonts w:ascii="Times New Roman" w:hAnsi="Times New Roman"/>
          <w:sz w:val="24"/>
          <w:szCs w:val="24"/>
          <w:lang w:val="sr-Cyrl-RS"/>
        </w:rPr>
        <w:t xml:space="preserve"> на снагу 8 дана од дана објављивања, </w:t>
      </w:r>
      <w:r>
        <w:rPr>
          <w:rFonts w:ascii="Times New Roman" w:hAnsi="Times New Roman"/>
          <w:sz w:val="24"/>
          <w:szCs w:val="24"/>
          <w:lang w:val="sr-Cyrl-RS"/>
        </w:rPr>
        <w:t>са одложеном применом</w:t>
      </w:r>
      <w:r w:rsidRPr="00EB264F">
        <w:rPr>
          <w:rFonts w:ascii="Times New Roman" w:hAnsi="Times New Roman"/>
          <w:sz w:val="24"/>
          <w:szCs w:val="24"/>
          <w:lang w:val="sr-Cyrl-RS"/>
        </w:rPr>
        <w:t xml:space="preserve"> од 1. јула 2020. године.</w:t>
      </w:r>
      <w:r>
        <w:rPr>
          <w:rFonts w:ascii="Times New Roman" w:hAnsi="Times New Roman"/>
          <w:sz w:val="24"/>
          <w:szCs w:val="24"/>
          <w:lang w:val="sr-Cyrl-RS"/>
        </w:rPr>
        <w:t xml:space="preserve"> </w:t>
      </w:r>
      <w:r>
        <w:rPr>
          <w:rFonts w:ascii="Times New Roman" w:hAnsi="Times New Roman"/>
          <w:sz w:val="24"/>
          <w:szCs w:val="24"/>
          <w:lang w:val="sr-Latn-RS"/>
        </w:rPr>
        <w:t xml:space="preserve"> </w:t>
      </w:r>
    </w:p>
    <w:p w14:paraId="1B7588FD" w14:textId="77777777" w:rsidR="006A700F" w:rsidRPr="00FF54AF" w:rsidRDefault="006A700F" w:rsidP="006A700F">
      <w:pPr>
        <w:spacing w:after="0"/>
        <w:jc w:val="both"/>
        <w:rPr>
          <w:rFonts w:ascii="Times New Roman" w:hAnsi="Times New Roman"/>
          <w:sz w:val="24"/>
          <w:szCs w:val="24"/>
          <w:lang w:val="sr-Cyrl-RS"/>
        </w:rPr>
      </w:pPr>
    </w:p>
    <w:p w14:paraId="07150EC1" w14:textId="56B557F7" w:rsidR="006A700F" w:rsidRDefault="006A700F" w:rsidP="006A700F">
      <w:pPr>
        <w:spacing w:after="0"/>
        <w:jc w:val="both"/>
        <w:rPr>
          <w:rFonts w:ascii="Times New Roman" w:hAnsi="Times New Roman"/>
          <w:sz w:val="24"/>
          <w:szCs w:val="24"/>
          <w:lang w:val="sr-Cyrl-RS"/>
        </w:rPr>
      </w:pPr>
      <w:r w:rsidRPr="00EB264F">
        <w:t xml:space="preserve"> </w:t>
      </w:r>
      <w:r w:rsidRPr="00EB264F">
        <w:rPr>
          <w:rFonts w:ascii="Times New Roman" w:hAnsi="Times New Roman"/>
          <w:sz w:val="24"/>
          <w:szCs w:val="24"/>
          <w:lang w:val="sr-Cyrl-RS"/>
        </w:rPr>
        <w:t xml:space="preserve">У 2018. </w:t>
      </w:r>
      <w:r w:rsidR="00A306B0" w:rsidRPr="00EB264F">
        <w:rPr>
          <w:rFonts w:ascii="Times New Roman" w:hAnsi="Times New Roman"/>
          <w:sz w:val="24"/>
          <w:szCs w:val="24"/>
          <w:lang w:val="sr-Cyrl-RS"/>
        </w:rPr>
        <w:t>годин</w:t>
      </w:r>
      <w:r w:rsidR="00A306B0">
        <w:rPr>
          <w:rFonts w:ascii="Times New Roman" w:hAnsi="Times New Roman"/>
          <w:sz w:val="24"/>
          <w:szCs w:val="24"/>
          <w:lang w:val="sr-Cyrl-RS"/>
        </w:rPr>
        <w:t>и</w:t>
      </w:r>
      <w:r w:rsidRPr="00EB264F">
        <w:rPr>
          <w:rFonts w:ascii="Times New Roman" w:hAnsi="Times New Roman"/>
          <w:sz w:val="24"/>
          <w:szCs w:val="24"/>
          <w:lang w:val="sr-Cyrl-RS"/>
        </w:rPr>
        <w:t>,</w:t>
      </w:r>
      <w:r w:rsidR="00DF3192">
        <w:rPr>
          <w:rFonts w:ascii="Times New Roman" w:hAnsi="Times New Roman"/>
          <w:sz w:val="24"/>
          <w:szCs w:val="24"/>
          <w:lang w:val="sr-Cyrl-RS"/>
        </w:rPr>
        <w:t xml:space="preserve"> Управа ј</w:t>
      </w:r>
      <w:r w:rsidRPr="00EB264F">
        <w:rPr>
          <w:rFonts w:ascii="Times New Roman" w:hAnsi="Times New Roman"/>
          <w:sz w:val="24"/>
          <w:szCs w:val="24"/>
          <w:lang w:val="sr-Cyrl-RS"/>
        </w:rPr>
        <w:t>е започела са израдом документа јавне политике за унапређење и развој јавних набавки у Републици Србији за период 2019 - 2023, у циљу дефинисања правца даљег развоја система јавних набавки и стварања модерног и ефикасног система јавних набавки. С тим у вези, 20. децембра 2018. године у Београду започете су консултације са заинтересованом јавношћу, а организована је и јавна расправа у периоду од 9. до 28. ј</w:t>
      </w:r>
      <w:r w:rsidR="00DF3192">
        <w:rPr>
          <w:rFonts w:ascii="Times New Roman" w:hAnsi="Times New Roman"/>
          <w:sz w:val="24"/>
          <w:szCs w:val="24"/>
          <w:lang w:val="sr-Cyrl-RS"/>
        </w:rPr>
        <w:t>ула 2019. године. На предлог Управе</w:t>
      </w:r>
      <w:r w:rsidRPr="00EB264F">
        <w:rPr>
          <w:rFonts w:ascii="Times New Roman" w:hAnsi="Times New Roman"/>
          <w:sz w:val="24"/>
          <w:szCs w:val="24"/>
          <w:lang w:val="sr-Cyrl-RS"/>
        </w:rPr>
        <w:t xml:space="preserve">, Влада је током новембра 2019. године усвојила овај плански документ у форми програма - Програм развоја јавних набавки у Републици Србији за период 2019 – 2023. </w:t>
      </w:r>
      <w:r w:rsidR="00A306B0" w:rsidRPr="00EB264F">
        <w:rPr>
          <w:rFonts w:ascii="Times New Roman" w:hAnsi="Times New Roman"/>
          <w:sz w:val="24"/>
          <w:szCs w:val="24"/>
          <w:lang w:val="sr-Cyrl-RS"/>
        </w:rPr>
        <w:t>годин</w:t>
      </w:r>
      <w:r w:rsidR="00A306B0">
        <w:rPr>
          <w:rFonts w:ascii="Times New Roman" w:hAnsi="Times New Roman"/>
          <w:sz w:val="24"/>
          <w:szCs w:val="24"/>
          <w:lang w:val="sr-Cyrl-RS"/>
        </w:rPr>
        <w:t>а</w:t>
      </w:r>
      <w:r w:rsidRPr="00EB264F">
        <w:rPr>
          <w:rFonts w:ascii="Times New Roman" w:hAnsi="Times New Roman"/>
          <w:sz w:val="24"/>
          <w:szCs w:val="24"/>
          <w:lang w:val="sr-Cyrl-RS"/>
        </w:rPr>
        <w:t>, са пратећим Акционим планом за 2019. и 2020. годину, у циљу дефинисања правца даљег развоја система јавних набавки и стварања модерног и ефикасног система јавних набавки у наредном петогодишњем периоду.</w:t>
      </w:r>
    </w:p>
    <w:p w14:paraId="3F2E28AE" w14:textId="77777777" w:rsidR="003954EA" w:rsidRDefault="003954EA" w:rsidP="006A700F">
      <w:pPr>
        <w:spacing w:after="0"/>
        <w:jc w:val="both"/>
        <w:rPr>
          <w:rFonts w:ascii="Times New Roman" w:hAnsi="Times New Roman"/>
          <w:sz w:val="24"/>
          <w:szCs w:val="24"/>
          <w:lang w:val="sr-Cyrl-RS"/>
        </w:rPr>
      </w:pPr>
    </w:p>
    <w:p w14:paraId="4DE3C878" w14:textId="05FC9053" w:rsidR="006A700F" w:rsidRPr="004A2062" w:rsidRDefault="00DF3192" w:rsidP="006A700F">
      <w:pPr>
        <w:spacing w:after="0"/>
        <w:jc w:val="both"/>
        <w:rPr>
          <w:rFonts w:ascii="Times New Roman" w:hAnsi="Times New Roman"/>
          <w:sz w:val="24"/>
          <w:szCs w:val="24"/>
        </w:rPr>
      </w:pPr>
      <w:r>
        <w:rPr>
          <w:rFonts w:ascii="Times New Roman" w:hAnsi="Times New Roman"/>
          <w:sz w:val="24"/>
          <w:szCs w:val="24"/>
          <w:lang w:val="sr-Cyrl-RS"/>
        </w:rPr>
        <w:t>Управа</w:t>
      </w:r>
      <w:r w:rsidR="006A700F" w:rsidRPr="00FF54AF">
        <w:rPr>
          <w:rFonts w:ascii="Times New Roman" w:hAnsi="Times New Roman"/>
          <w:sz w:val="24"/>
          <w:szCs w:val="24"/>
          <w:lang w:val="en-US"/>
        </w:rPr>
        <w:t xml:space="preserve"> је усвојила </w:t>
      </w:r>
      <w:r w:rsidR="006A700F" w:rsidRPr="00FF54AF">
        <w:rPr>
          <w:rFonts w:ascii="Times New Roman" w:hAnsi="Times New Roman"/>
          <w:sz w:val="24"/>
          <w:szCs w:val="24"/>
          <w:lang w:val="sr-Cyrl-RS"/>
        </w:rPr>
        <w:t xml:space="preserve">и </w:t>
      </w:r>
      <w:r w:rsidR="006A700F" w:rsidRPr="00FF54AF">
        <w:rPr>
          <w:rFonts w:ascii="Times New Roman" w:hAnsi="Times New Roman"/>
          <w:sz w:val="24"/>
          <w:szCs w:val="24"/>
          <w:lang w:val="en-US"/>
        </w:rPr>
        <w:t xml:space="preserve">нови Правилник о унутрашњем уређењу и систематизацији радних места у Управи </w:t>
      </w:r>
      <w:r w:rsidR="006A700F" w:rsidRPr="00FF54AF">
        <w:rPr>
          <w:rFonts w:ascii="Times New Roman" w:hAnsi="Times New Roman"/>
          <w:sz w:val="24"/>
          <w:szCs w:val="24"/>
          <w:lang w:val="sr-Cyrl-RS"/>
        </w:rPr>
        <w:t>за јавне набавке Број: 110-00-5/2019-1</w:t>
      </w:r>
      <w:r w:rsidR="006A700F" w:rsidRPr="00FF54AF">
        <w:rPr>
          <w:rFonts w:ascii="Times New Roman" w:hAnsi="Times New Roman"/>
          <w:sz w:val="24"/>
          <w:szCs w:val="24"/>
          <w:lang w:val="en-US"/>
        </w:rPr>
        <w:t xml:space="preserve"> </w:t>
      </w:r>
      <w:r w:rsidR="006A700F" w:rsidRPr="00FF54AF">
        <w:rPr>
          <w:rFonts w:ascii="Times New Roman" w:hAnsi="Times New Roman"/>
          <w:sz w:val="24"/>
          <w:szCs w:val="24"/>
          <w:lang w:val="sr-Cyrl-RS"/>
        </w:rPr>
        <w:t>од</w:t>
      </w:r>
      <w:r w:rsidR="006A700F" w:rsidRPr="00FF54AF">
        <w:rPr>
          <w:rFonts w:ascii="Times New Roman" w:hAnsi="Times New Roman"/>
          <w:sz w:val="24"/>
          <w:szCs w:val="24"/>
          <w:lang w:val="en-US"/>
        </w:rPr>
        <w:t xml:space="preserve"> </w:t>
      </w:r>
      <w:r w:rsidR="006A700F" w:rsidRPr="00FF54AF">
        <w:rPr>
          <w:rFonts w:ascii="Times New Roman" w:hAnsi="Times New Roman"/>
          <w:sz w:val="24"/>
          <w:szCs w:val="24"/>
          <w:lang w:val="sr-Cyrl-RS"/>
        </w:rPr>
        <w:t>20. марта</w:t>
      </w:r>
      <w:r w:rsidR="006A700F" w:rsidRPr="00FF54AF">
        <w:rPr>
          <w:rFonts w:ascii="Times New Roman" w:hAnsi="Times New Roman"/>
          <w:sz w:val="24"/>
          <w:szCs w:val="24"/>
          <w:lang w:val="en-US"/>
        </w:rPr>
        <w:t xml:space="preserve"> 2019. године</w:t>
      </w:r>
      <w:r w:rsidR="006A700F" w:rsidRPr="00FF54AF">
        <w:rPr>
          <w:rFonts w:ascii="Times New Roman" w:hAnsi="Times New Roman"/>
          <w:sz w:val="24"/>
          <w:szCs w:val="24"/>
          <w:lang w:val="sr-Cyrl-RS"/>
        </w:rPr>
        <w:t>, који је усклађен са новим прописима у области државних службеника и неопходним компетенција</w:t>
      </w:r>
      <w:r w:rsidR="006A700F">
        <w:rPr>
          <w:rFonts w:ascii="Times New Roman" w:hAnsi="Times New Roman"/>
          <w:sz w:val="24"/>
          <w:szCs w:val="24"/>
          <w:lang w:val="sr-Cyrl-RS"/>
        </w:rPr>
        <w:t>ма</w:t>
      </w:r>
      <w:r w:rsidR="006A700F" w:rsidRPr="00FF54AF">
        <w:rPr>
          <w:rFonts w:ascii="Times New Roman" w:hAnsi="Times New Roman"/>
          <w:sz w:val="24"/>
          <w:szCs w:val="24"/>
          <w:lang w:val="sr-Cyrl-RS"/>
        </w:rPr>
        <w:t xml:space="preserve"> државних службеника</w:t>
      </w:r>
      <w:r w:rsidR="006A700F" w:rsidRPr="00FF54AF">
        <w:rPr>
          <w:rFonts w:ascii="Times New Roman" w:hAnsi="Times New Roman"/>
          <w:sz w:val="24"/>
          <w:szCs w:val="24"/>
          <w:lang w:val="en-US"/>
        </w:rPr>
        <w:t xml:space="preserve">, </w:t>
      </w:r>
      <w:r w:rsidR="006A700F" w:rsidRPr="00FF54AF">
        <w:rPr>
          <w:rFonts w:ascii="Times New Roman" w:hAnsi="Times New Roman"/>
          <w:sz w:val="24"/>
          <w:szCs w:val="24"/>
          <w:lang w:val="sr-Cyrl-RS"/>
        </w:rPr>
        <w:t xml:space="preserve">али </w:t>
      </w:r>
      <w:r w:rsidR="006A700F" w:rsidRPr="00FF54AF">
        <w:rPr>
          <w:rFonts w:ascii="Times New Roman" w:hAnsi="Times New Roman"/>
          <w:sz w:val="24"/>
          <w:szCs w:val="24"/>
          <w:lang w:val="en-US"/>
        </w:rPr>
        <w:t xml:space="preserve">је повећана </w:t>
      </w:r>
      <w:r w:rsidR="006A700F" w:rsidRPr="00FF54AF">
        <w:rPr>
          <w:rFonts w:ascii="Times New Roman" w:hAnsi="Times New Roman"/>
          <w:sz w:val="24"/>
          <w:szCs w:val="24"/>
          <w:lang w:val="sr-Cyrl-RS"/>
        </w:rPr>
        <w:t xml:space="preserve">и </w:t>
      </w:r>
      <w:r w:rsidR="006A700F" w:rsidRPr="00FF54AF">
        <w:rPr>
          <w:rFonts w:ascii="Times New Roman" w:hAnsi="Times New Roman"/>
          <w:sz w:val="24"/>
          <w:szCs w:val="24"/>
          <w:lang w:val="en-US"/>
        </w:rPr>
        <w:t>могућност запослења</w:t>
      </w:r>
      <w:r w:rsidR="006A700F" w:rsidRPr="00FF54AF">
        <w:rPr>
          <w:rFonts w:ascii="Times New Roman" w:hAnsi="Times New Roman"/>
          <w:sz w:val="24"/>
          <w:szCs w:val="24"/>
          <w:lang w:val="sr-Cyrl-RS"/>
        </w:rPr>
        <w:t xml:space="preserve"> за још два државна службеника,</w:t>
      </w:r>
      <w:r w:rsidR="006A700F" w:rsidRPr="00FF54AF">
        <w:rPr>
          <w:rFonts w:ascii="Times New Roman" w:hAnsi="Times New Roman"/>
          <w:sz w:val="24"/>
          <w:szCs w:val="24"/>
          <w:lang w:val="en-US"/>
        </w:rPr>
        <w:t xml:space="preserve"> са 36 на 38 лица</w:t>
      </w:r>
      <w:r w:rsidR="006A700F" w:rsidRPr="00FF54AF">
        <w:rPr>
          <w:rFonts w:ascii="Times New Roman" w:hAnsi="Times New Roman"/>
          <w:sz w:val="24"/>
          <w:szCs w:val="24"/>
          <w:lang w:val="sr-Cyrl-RS"/>
        </w:rPr>
        <w:t>, што ће омогућити даље јачање капацитета Управе.</w:t>
      </w:r>
      <w:r w:rsidR="006A700F">
        <w:rPr>
          <w:rFonts w:ascii="Times New Roman" w:hAnsi="Times New Roman"/>
          <w:sz w:val="24"/>
          <w:szCs w:val="24"/>
          <w:lang w:val="sr-Cyrl-RS"/>
        </w:rPr>
        <w:t xml:space="preserve"> У току </w:t>
      </w:r>
      <w:r w:rsidR="006A700F">
        <w:rPr>
          <w:rFonts w:ascii="Times New Roman" w:hAnsi="Times New Roman"/>
          <w:sz w:val="24"/>
          <w:szCs w:val="24"/>
          <w:lang w:val="sr-Latn-RS"/>
        </w:rPr>
        <w:t xml:space="preserve">2019. </w:t>
      </w:r>
      <w:r w:rsidR="006A700F">
        <w:rPr>
          <w:rFonts w:ascii="Times New Roman" w:hAnsi="Times New Roman"/>
          <w:sz w:val="24"/>
          <w:szCs w:val="24"/>
          <w:lang w:val="sr-Cyrl-RS"/>
        </w:rPr>
        <w:t>године спроведен је конкурс за попуњавање седам радних места, за девет извршилаца</w:t>
      </w:r>
      <w:r w:rsidR="006A700F" w:rsidRPr="004A2062">
        <w:rPr>
          <w:rFonts w:ascii="Times New Roman" w:hAnsi="Times New Roman"/>
          <w:sz w:val="24"/>
          <w:szCs w:val="24"/>
          <w:lang w:val="sr-Cyrl-RS"/>
        </w:rPr>
        <w:t xml:space="preserve">. После окончаног јавног конкурса за попуњавање извршилачких радних места, попуњено је пет радних места. Од тога </w:t>
      </w:r>
      <w:r w:rsidR="00A306B0" w:rsidRPr="004A2062">
        <w:rPr>
          <w:rFonts w:ascii="Times New Roman" w:hAnsi="Times New Roman"/>
          <w:sz w:val="24"/>
          <w:szCs w:val="24"/>
          <w:lang w:val="sr-Cyrl-RS"/>
        </w:rPr>
        <w:t>прим</w:t>
      </w:r>
      <w:r w:rsidR="00A306B0">
        <w:rPr>
          <w:rFonts w:ascii="Times New Roman" w:hAnsi="Times New Roman"/>
          <w:sz w:val="24"/>
          <w:szCs w:val="24"/>
          <w:lang w:val="sr-Cyrl-RS"/>
        </w:rPr>
        <w:t>љ</w:t>
      </w:r>
      <w:r w:rsidR="00A306B0" w:rsidRPr="004A2062">
        <w:rPr>
          <w:rFonts w:ascii="Times New Roman" w:hAnsi="Times New Roman"/>
          <w:sz w:val="24"/>
          <w:szCs w:val="24"/>
          <w:lang w:val="sr-Cyrl-RS"/>
        </w:rPr>
        <w:t xml:space="preserve">ено </w:t>
      </w:r>
      <w:r w:rsidR="006A700F" w:rsidRPr="004A2062">
        <w:rPr>
          <w:rFonts w:ascii="Times New Roman" w:hAnsi="Times New Roman"/>
          <w:sz w:val="24"/>
          <w:szCs w:val="24"/>
          <w:lang w:val="sr-Cyrl-RS"/>
        </w:rPr>
        <w:t>је пет извршилаца док је један државни службеник премештен на ново радно</w:t>
      </w:r>
      <w:r w:rsidR="000E3D88">
        <w:rPr>
          <w:rFonts w:ascii="Times New Roman" w:hAnsi="Times New Roman"/>
          <w:sz w:val="24"/>
          <w:szCs w:val="24"/>
          <w:lang w:val="sr-Cyrl-RS"/>
        </w:rPr>
        <w:t xml:space="preserve"> место. У Управи</w:t>
      </w:r>
      <w:r w:rsidR="006A700F" w:rsidRPr="004A2062">
        <w:rPr>
          <w:rFonts w:ascii="Times New Roman" w:hAnsi="Times New Roman"/>
          <w:sz w:val="24"/>
          <w:szCs w:val="24"/>
          <w:lang w:val="sr-Cyrl-RS"/>
        </w:rPr>
        <w:t xml:space="preserve"> има 28 државних службеника од којих су два државна службеника на положају.</w:t>
      </w:r>
    </w:p>
    <w:p w14:paraId="347F311D" w14:textId="77777777" w:rsidR="00BB7785" w:rsidRPr="003B44DC" w:rsidRDefault="00BB7785" w:rsidP="00BB7785">
      <w:pPr>
        <w:spacing w:after="0" w:line="240" w:lineRule="auto"/>
        <w:jc w:val="both"/>
        <w:rPr>
          <w:rFonts w:ascii="Times New Roman" w:hAnsi="Times New Roman" w:cs="Times New Roman"/>
          <w:noProof/>
          <w:spacing w:val="-4"/>
          <w:sz w:val="24"/>
          <w:szCs w:val="24"/>
          <w:lang w:val="sr-Cyrl-CS"/>
        </w:rPr>
      </w:pPr>
    </w:p>
    <w:p w14:paraId="2DDF6E7B" w14:textId="77777777" w:rsidR="009175F0" w:rsidRDefault="009175F0"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3ED44B7E" w14:textId="2ABA31BB" w:rsidR="009175F0" w:rsidRDefault="009175F0"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4412A08F" w14:textId="23CBD9BB" w:rsidR="0043011E" w:rsidRDefault="0043011E"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5E6CADCE" w14:textId="2D1148A1" w:rsidR="0043011E" w:rsidRDefault="0043011E"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0B1C1D63" w14:textId="3DA1B247" w:rsidR="0043011E" w:rsidRDefault="0043011E"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7F411B0A" w14:textId="3623E4B1" w:rsidR="006A700F" w:rsidRDefault="006A700F"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1A093BA3" w14:textId="53EAA7D1" w:rsidR="006A700F" w:rsidRDefault="006A700F"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6C34EE97" w14:textId="77777777" w:rsidR="006A700F" w:rsidRDefault="006A700F"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Cyrl-RS"/>
        </w:rPr>
      </w:pPr>
    </w:p>
    <w:p w14:paraId="21526B40" w14:textId="77777777" w:rsidR="0043011E" w:rsidRPr="006314AD" w:rsidRDefault="0043011E" w:rsidP="005D6C6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709"/>
          <w:tab w:val="left" w:pos="4219"/>
          <w:tab w:val="left" w:pos="6582"/>
          <w:tab w:val="left" w:pos="8945"/>
          <w:tab w:val="left" w:pos="11308"/>
        </w:tabs>
        <w:spacing w:after="0"/>
        <w:jc w:val="both"/>
        <w:rPr>
          <w:rFonts w:ascii="Times New Roman" w:hAnsi="Times New Roman" w:cs="Times New Roman"/>
          <w:b/>
          <w:sz w:val="24"/>
          <w:lang w:val="sr-Latn-RS"/>
        </w:rPr>
      </w:pPr>
    </w:p>
    <w:p w14:paraId="3E585BA2" w14:textId="2B3DE425" w:rsidR="00BB7785" w:rsidRPr="00D80FF0" w:rsidRDefault="00C5433C" w:rsidP="00BB7785">
      <w:pPr>
        <w:spacing w:after="0"/>
        <w:jc w:val="both"/>
        <w:outlineLvl w:val="5"/>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rPr>
        <w:t>Упутства и</w:t>
      </w:r>
      <w:r w:rsidR="00BB7785" w:rsidRPr="00B96EFF">
        <w:rPr>
          <w:rFonts w:ascii="Times New Roman" w:eastAsia="Times New Roman" w:hAnsi="Times New Roman" w:cs="Times New Roman"/>
          <w:b/>
          <w:bCs/>
          <w:sz w:val="24"/>
          <w:szCs w:val="24"/>
        </w:rPr>
        <w:t xml:space="preserve"> модели</w:t>
      </w:r>
    </w:p>
    <w:p w14:paraId="5EC030D0" w14:textId="7FF2418D" w:rsidR="00BB7785" w:rsidRDefault="00BB7785" w:rsidP="00BB7785">
      <w:pPr>
        <w:spacing w:after="0"/>
        <w:jc w:val="both"/>
        <w:rPr>
          <w:rFonts w:ascii="Times New Roman" w:hAnsi="Times New Roman" w:cs="Times New Roman"/>
          <w:noProof/>
          <w:spacing w:val="-4"/>
          <w:sz w:val="24"/>
          <w:szCs w:val="24"/>
          <w:lang w:val="sr-Cyrl-CS"/>
        </w:rPr>
      </w:pPr>
    </w:p>
    <w:p w14:paraId="2944D401" w14:textId="6EBD798B" w:rsidR="006A700F" w:rsidRDefault="006A700F" w:rsidP="006A700F">
      <w:pPr>
        <w:spacing w:after="0"/>
        <w:jc w:val="both"/>
        <w:rPr>
          <w:rFonts w:ascii="Times New Roman" w:hAnsi="Times New Roman" w:cs="Times New Roman"/>
          <w:noProof/>
          <w:spacing w:val="-4"/>
          <w:sz w:val="24"/>
          <w:szCs w:val="24"/>
          <w:lang w:val="sr-Cyrl-RS"/>
        </w:rPr>
      </w:pPr>
      <w:r w:rsidRPr="00FF54AF">
        <w:rPr>
          <w:rFonts w:ascii="Times New Roman" w:hAnsi="Times New Roman" w:cs="Times New Roman"/>
          <w:noProof/>
          <w:spacing w:val="-4"/>
          <w:sz w:val="24"/>
          <w:szCs w:val="24"/>
          <w:lang w:val="sr-Cyrl-RS"/>
        </w:rPr>
        <w:t>У</w:t>
      </w:r>
      <w:r>
        <w:rPr>
          <w:rFonts w:ascii="Times New Roman" w:hAnsi="Times New Roman" w:cs="Times New Roman"/>
          <w:noProof/>
          <w:spacing w:val="-4"/>
          <w:sz w:val="24"/>
          <w:szCs w:val="24"/>
          <w:lang w:val="sr-Cyrl-RS"/>
        </w:rPr>
        <w:t xml:space="preserve"> току</w:t>
      </w:r>
      <w:r w:rsidRPr="00FF54AF">
        <w:rPr>
          <w:rFonts w:ascii="Times New Roman" w:hAnsi="Times New Roman" w:cs="Times New Roman"/>
          <w:noProof/>
          <w:spacing w:val="-4"/>
          <w:sz w:val="24"/>
          <w:szCs w:val="24"/>
          <w:lang w:val="sr-Cyrl-RS"/>
        </w:rPr>
        <w:t xml:space="preserve"> 2019. године израђени</w:t>
      </w:r>
      <w:r w:rsidRPr="00FF54AF">
        <w:rPr>
          <w:rFonts w:ascii="Times New Roman" w:hAnsi="Times New Roman" w:cs="Times New Roman"/>
          <w:noProof/>
          <w:spacing w:val="-4"/>
          <w:sz w:val="24"/>
          <w:szCs w:val="24"/>
          <w:lang w:val="sr-Latn-RS"/>
        </w:rPr>
        <w:t xml:space="preserve"> </w:t>
      </w:r>
      <w:r w:rsidRPr="00FF54AF">
        <w:rPr>
          <w:rFonts w:ascii="Times New Roman" w:hAnsi="Times New Roman" w:cs="Times New Roman"/>
          <w:noProof/>
          <w:spacing w:val="-4"/>
          <w:sz w:val="24"/>
          <w:szCs w:val="24"/>
          <w:lang w:val="sr-Cyrl-RS"/>
        </w:rPr>
        <w:t>су след</w:t>
      </w:r>
      <w:r>
        <w:rPr>
          <w:rFonts w:ascii="Times New Roman" w:hAnsi="Times New Roman" w:cs="Times New Roman"/>
          <w:noProof/>
          <w:spacing w:val="-4"/>
          <w:sz w:val="24"/>
          <w:szCs w:val="24"/>
          <w:lang w:val="sr-Cyrl-RS"/>
        </w:rPr>
        <w:t>е</w:t>
      </w:r>
      <w:r w:rsidRPr="00FF54AF">
        <w:rPr>
          <w:rFonts w:ascii="Times New Roman" w:hAnsi="Times New Roman" w:cs="Times New Roman"/>
          <w:noProof/>
          <w:spacing w:val="-4"/>
          <w:sz w:val="24"/>
          <w:szCs w:val="24"/>
          <w:lang w:val="sr-Cyrl-RS"/>
        </w:rPr>
        <w:t>ћи аналитички документи: 1) Анализа с</w:t>
      </w:r>
      <w:r w:rsidR="000E3D88">
        <w:rPr>
          <w:rFonts w:ascii="Times New Roman" w:hAnsi="Times New Roman" w:cs="Times New Roman"/>
          <w:noProof/>
          <w:spacing w:val="-4"/>
          <w:sz w:val="24"/>
          <w:szCs w:val="24"/>
          <w:lang w:val="sr-Cyrl-RS"/>
        </w:rPr>
        <w:t>а предлозима унапређења рада Управе</w:t>
      </w:r>
      <w:r w:rsidRPr="00FF54AF">
        <w:rPr>
          <w:rFonts w:ascii="Times New Roman" w:hAnsi="Times New Roman" w:cs="Times New Roman"/>
          <w:noProof/>
          <w:spacing w:val="-4"/>
          <w:sz w:val="24"/>
          <w:szCs w:val="24"/>
          <w:lang w:val="sr-Cyrl-RS"/>
        </w:rPr>
        <w:t xml:space="preserve"> везано за комуникацију са заинтересованом јавношћу и организационе структуре Управе за јавне набавке у погледу примене новог Закона о јавним набавкама; 2) Анализа тренутног стања неправилности у јавним набавкама са препорукама за унапређење мера за њихово еф</w:t>
      </w:r>
      <w:r>
        <w:rPr>
          <w:rFonts w:ascii="Times New Roman" w:hAnsi="Times New Roman" w:cs="Times New Roman"/>
          <w:noProof/>
          <w:spacing w:val="-4"/>
          <w:sz w:val="24"/>
          <w:szCs w:val="24"/>
          <w:lang w:val="sr-Cyrl-RS"/>
        </w:rPr>
        <w:t>икасно препознавање и кажњавање.</w:t>
      </w:r>
    </w:p>
    <w:p w14:paraId="5086003B" w14:textId="04D96DF1" w:rsidR="006A700F" w:rsidRDefault="006A700F" w:rsidP="006A700F">
      <w:pPr>
        <w:spacing w:after="0"/>
        <w:jc w:val="both"/>
        <w:rPr>
          <w:rFonts w:ascii="Times New Roman" w:hAnsi="Times New Roman" w:cs="Times New Roman"/>
          <w:noProof/>
          <w:spacing w:val="-4"/>
          <w:sz w:val="24"/>
          <w:szCs w:val="24"/>
          <w:lang w:val="sr-Cyrl-RS"/>
        </w:rPr>
      </w:pPr>
      <w:r>
        <w:rPr>
          <w:rFonts w:ascii="Times New Roman" w:hAnsi="Times New Roman" w:cs="Times New Roman"/>
          <w:noProof/>
          <w:spacing w:val="-4"/>
          <w:sz w:val="24"/>
          <w:szCs w:val="24"/>
          <w:lang w:val="sr-Cyrl-RS"/>
        </w:rPr>
        <w:t xml:space="preserve">Такође, извршено је унапређење </w:t>
      </w:r>
      <w:r w:rsidRPr="00FF54AF">
        <w:rPr>
          <w:rFonts w:ascii="Times New Roman" w:hAnsi="Times New Roman" w:cs="Times New Roman"/>
          <w:noProof/>
          <w:spacing w:val="-4"/>
          <w:sz w:val="24"/>
          <w:szCs w:val="24"/>
          <w:lang w:val="sr-Cyrl-RS"/>
        </w:rPr>
        <w:t>општег речника набавки</w:t>
      </w:r>
      <w:r>
        <w:rPr>
          <w:rFonts w:ascii="Times New Roman" w:hAnsi="Times New Roman" w:cs="Times New Roman"/>
          <w:noProof/>
          <w:spacing w:val="-4"/>
          <w:sz w:val="24"/>
          <w:szCs w:val="24"/>
          <w:lang w:val="sr-Cyrl-RS"/>
        </w:rPr>
        <w:t xml:space="preserve"> са циљем да се одређени изрази прилагоде корисницима. </w:t>
      </w:r>
    </w:p>
    <w:p w14:paraId="245B6AED" w14:textId="4327FE34" w:rsidR="006A700F" w:rsidRDefault="006A700F" w:rsidP="006A700F">
      <w:pPr>
        <w:spacing w:after="0"/>
        <w:jc w:val="both"/>
        <w:rPr>
          <w:rFonts w:ascii="Times New Roman" w:hAnsi="Times New Roman" w:cs="Times New Roman"/>
          <w:sz w:val="24"/>
          <w:szCs w:val="24"/>
        </w:rPr>
      </w:pPr>
      <w:r w:rsidRPr="00F71206">
        <w:rPr>
          <w:rFonts w:ascii="Times New Roman" w:hAnsi="Times New Roman" w:cs="Times New Roman"/>
          <w:noProof/>
          <w:spacing w:val="-4"/>
          <w:sz w:val="24"/>
          <w:szCs w:val="24"/>
          <w:lang w:val="sr-Cyrl-RS"/>
        </w:rPr>
        <w:t xml:space="preserve">У сарадњи </w:t>
      </w:r>
      <w:r w:rsidRPr="00F71206">
        <w:rPr>
          <w:rFonts w:ascii="Times New Roman" w:hAnsi="Times New Roman" w:cs="Times New Roman"/>
          <w:sz w:val="24"/>
          <w:szCs w:val="24"/>
        </w:rPr>
        <w:t>са ЕУ Пројектом подршкe даљем унапређивању система јавних набавки у Србији урађени су следећи докуме</w:t>
      </w:r>
      <w:r w:rsidR="00A306B0">
        <w:rPr>
          <w:rFonts w:ascii="Times New Roman" w:hAnsi="Times New Roman" w:cs="Times New Roman"/>
          <w:sz w:val="24"/>
          <w:szCs w:val="24"/>
          <w:lang w:val="sr-Cyrl-RS"/>
        </w:rPr>
        <w:t>н</w:t>
      </w:r>
      <w:r w:rsidRPr="00F71206">
        <w:rPr>
          <w:rFonts w:ascii="Times New Roman" w:hAnsi="Times New Roman" w:cs="Times New Roman"/>
          <w:sz w:val="24"/>
          <w:szCs w:val="24"/>
        </w:rPr>
        <w:t>ти:</w:t>
      </w:r>
    </w:p>
    <w:p w14:paraId="704FD7FF" w14:textId="77777777" w:rsidR="00550625" w:rsidRPr="00F71206" w:rsidRDefault="00550625" w:rsidP="006A700F">
      <w:pPr>
        <w:spacing w:after="0"/>
        <w:jc w:val="both"/>
        <w:rPr>
          <w:rFonts w:ascii="Times New Roman" w:hAnsi="Times New Roman" w:cs="Times New Roman"/>
          <w:sz w:val="24"/>
          <w:szCs w:val="24"/>
        </w:rPr>
      </w:pPr>
    </w:p>
    <w:p w14:paraId="09B223D0" w14:textId="69659067" w:rsidR="00550625" w:rsidRPr="00550625" w:rsidRDefault="00550625" w:rsidP="00550625">
      <w:pPr>
        <w:pStyle w:val="ListParagraph"/>
        <w:numPr>
          <w:ilvl w:val="0"/>
          <w:numId w:val="8"/>
        </w:numPr>
        <w:spacing w:after="0"/>
        <w:jc w:val="both"/>
        <w:rPr>
          <w:rFonts w:ascii="Times New Roman" w:hAnsi="Times New Roman" w:cs="Times New Roman"/>
          <w:noProof/>
          <w:spacing w:val="-4"/>
          <w:sz w:val="24"/>
          <w:szCs w:val="24"/>
          <w:lang w:val="sr-Cyrl-RS"/>
        </w:rPr>
      </w:pPr>
      <w:r w:rsidRPr="00550625">
        <w:rPr>
          <w:rFonts w:ascii="Times New Roman" w:hAnsi="Times New Roman" w:cs="Times New Roman"/>
          <w:noProof/>
          <w:spacing w:val="-4"/>
          <w:sz w:val="24"/>
          <w:szCs w:val="24"/>
          <w:lang w:val="sr-Cyrl-RS"/>
        </w:rPr>
        <w:t>Анализа садашњег стања и препоруке за унапређење система извештавања у јавним набавкама</w:t>
      </w:r>
    </w:p>
    <w:p w14:paraId="2528ED8B" w14:textId="7487681D" w:rsidR="006A700F" w:rsidRPr="006A700F" w:rsidRDefault="006A700F" w:rsidP="006A700F">
      <w:pPr>
        <w:pStyle w:val="ListParagraph"/>
        <w:numPr>
          <w:ilvl w:val="0"/>
          <w:numId w:val="8"/>
        </w:numPr>
        <w:spacing w:after="0"/>
        <w:jc w:val="both"/>
        <w:rPr>
          <w:rFonts w:ascii="Times New Roman" w:hAnsi="Times New Roman" w:cs="Times New Roman"/>
          <w:b/>
          <w:noProof/>
          <w:spacing w:val="-4"/>
          <w:sz w:val="24"/>
          <w:szCs w:val="24"/>
          <w:lang w:val="sr-Cyrl-RS"/>
        </w:rPr>
      </w:pPr>
      <w:r w:rsidRPr="006A700F">
        <w:rPr>
          <w:rFonts w:ascii="Times New Roman" w:hAnsi="Times New Roman" w:cs="Times New Roman"/>
          <w:noProof/>
          <w:spacing w:val="-4"/>
          <w:sz w:val="24"/>
          <w:szCs w:val="24"/>
          <w:lang w:val="sr-Cyrl-RS"/>
        </w:rPr>
        <w:t>Извештај „Како проценити и оправдати потребе за јавним набавкама – смернице за наручиоце”</w:t>
      </w:r>
    </w:p>
    <w:p w14:paraId="45210D9E" w14:textId="77777777" w:rsidR="00DB5A38" w:rsidRDefault="00DB5A38" w:rsidP="00A2685C">
      <w:pPr>
        <w:spacing w:after="0"/>
        <w:jc w:val="both"/>
        <w:rPr>
          <w:rFonts w:ascii="Times New Roman" w:hAnsi="Times New Roman" w:cs="Times New Roman"/>
          <w:noProof/>
          <w:spacing w:val="-4"/>
          <w:sz w:val="24"/>
          <w:szCs w:val="24"/>
          <w:lang w:val="sr-Cyrl-RS"/>
        </w:rPr>
      </w:pPr>
    </w:p>
    <w:p w14:paraId="1C83C2DA" w14:textId="15E133D9" w:rsidR="00BB7785" w:rsidRDefault="00BB7785" w:rsidP="00BB7785">
      <w:pPr>
        <w:spacing w:after="0"/>
        <w:jc w:val="both"/>
        <w:rPr>
          <w:rFonts w:ascii="Times New Roman" w:hAnsi="Times New Roman" w:cs="Times New Roman"/>
          <w:b/>
          <w:noProof/>
          <w:spacing w:val="-4"/>
          <w:sz w:val="24"/>
          <w:szCs w:val="24"/>
          <w:lang w:val="sr-Cyrl-CS"/>
        </w:rPr>
      </w:pPr>
    </w:p>
    <w:p w14:paraId="4AD61487" w14:textId="57B63916" w:rsidR="00BB7785" w:rsidRPr="0091136A" w:rsidRDefault="00BB7785" w:rsidP="00BB7785">
      <w:pPr>
        <w:spacing w:after="0"/>
        <w:jc w:val="both"/>
        <w:rPr>
          <w:rFonts w:ascii="Times New Roman" w:hAnsi="Times New Roman" w:cs="Times New Roman"/>
          <w:b/>
          <w:noProof/>
          <w:spacing w:val="-4"/>
          <w:sz w:val="24"/>
          <w:szCs w:val="24"/>
          <w:lang w:val="sr-Cyrl-CS"/>
        </w:rPr>
      </w:pPr>
      <w:r w:rsidRPr="0091136A">
        <w:rPr>
          <w:rFonts w:ascii="Times New Roman" w:hAnsi="Times New Roman" w:cs="Times New Roman"/>
          <w:b/>
          <w:noProof/>
          <w:spacing w:val="-4"/>
          <w:sz w:val="24"/>
          <w:szCs w:val="24"/>
          <w:lang w:val="sr-Cyrl-CS"/>
        </w:rPr>
        <w:t>Сертификација службеника за јавне набавке</w:t>
      </w:r>
    </w:p>
    <w:p w14:paraId="11DE4EB2" w14:textId="01CB8506" w:rsidR="00BB7785" w:rsidRDefault="00BB7785" w:rsidP="00BB7785">
      <w:pPr>
        <w:spacing w:after="0"/>
        <w:jc w:val="both"/>
        <w:rPr>
          <w:rFonts w:ascii="Times New Roman" w:hAnsi="Times New Roman" w:cs="Times New Roman"/>
          <w:b/>
          <w:noProof/>
          <w:spacing w:val="-4"/>
          <w:sz w:val="24"/>
          <w:szCs w:val="24"/>
          <w:lang w:val="sr-Cyrl-CS"/>
        </w:rPr>
      </w:pPr>
    </w:p>
    <w:p w14:paraId="3E44C2DD" w14:textId="3E21C8B7" w:rsidR="00F71206" w:rsidRPr="00FF54AF" w:rsidRDefault="00F71206" w:rsidP="00F71206">
      <w:pPr>
        <w:spacing w:after="0"/>
        <w:jc w:val="both"/>
        <w:rPr>
          <w:rFonts w:ascii="Times New Roman" w:hAnsi="Times New Roman" w:cs="Times New Roman"/>
          <w:noProof/>
          <w:spacing w:val="-4"/>
          <w:sz w:val="24"/>
          <w:szCs w:val="24"/>
          <w:lang w:val="en-US"/>
        </w:rPr>
      </w:pPr>
      <w:r>
        <w:rPr>
          <w:rFonts w:ascii="Times New Roman" w:hAnsi="Times New Roman" w:cs="Times New Roman"/>
          <w:noProof/>
          <w:spacing w:val="-4"/>
          <w:sz w:val="24"/>
          <w:szCs w:val="24"/>
          <w:lang w:val="sr-Cyrl-RS"/>
        </w:rPr>
        <w:t>Током</w:t>
      </w:r>
      <w:r w:rsidR="00DC6716">
        <w:rPr>
          <w:rFonts w:ascii="Times New Roman" w:hAnsi="Times New Roman" w:cs="Times New Roman"/>
          <w:noProof/>
          <w:spacing w:val="-4"/>
          <w:sz w:val="24"/>
          <w:szCs w:val="24"/>
          <w:lang w:val="sr-Cyrl-RS"/>
        </w:rPr>
        <w:t xml:space="preserve"> </w:t>
      </w:r>
      <w:r w:rsidRPr="00FF54AF">
        <w:rPr>
          <w:rFonts w:ascii="Times New Roman" w:hAnsi="Times New Roman" w:cs="Times New Roman"/>
          <w:noProof/>
          <w:spacing w:val="-4"/>
          <w:sz w:val="24"/>
          <w:szCs w:val="24"/>
          <w:lang w:val="en-US"/>
        </w:rPr>
        <w:t xml:space="preserve"> 2019. године, одржано је </w:t>
      </w:r>
      <w:r>
        <w:rPr>
          <w:rFonts w:ascii="Times New Roman" w:hAnsi="Times New Roman" w:cs="Times New Roman"/>
          <w:noProof/>
          <w:spacing w:val="-4"/>
          <w:sz w:val="24"/>
          <w:szCs w:val="24"/>
          <w:lang w:val="en-US"/>
        </w:rPr>
        <w:t>25</w:t>
      </w:r>
      <w:r w:rsidRPr="00FF54AF">
        <w:rPr>
          <w:rFonts w:ascii="Times New Roman" w:hAnsi="Times New Roman" w:cs="Times New Roman"/>
          <w:noProof/>
          <w:spacing w:val="-4"/>
          <w:sz w:val="24"/>
          <w:szCs w:val="24"/>
          <w:lang w:val="en-US"/>
        </w:rPr>
        <w:t xml:space="preserve"> испита за службеника за јавне набавке, на којима је полагало </w:t>
      </w:r>
      <w:r>
        <w:rPr>
          <w:rFonts w:ascii="Times New Roman" w:hAnsi="Times New Roman" w:cs="Times New Roman"/>
          <w:noProof/>
          <w:spacing w:val="-4"/>
          <w:sz w:val="24"/>
          <w:szCs w:val="24"/>
          <w:lang w:val="sr-Cyrl-RS"/>
        </w:rPr>
        <w:t>759</w:t>
      </w:r>
      <w:r w:rsidRPr="00FF54AF">
        <w:rPr>
          <w:rFonts w:ascii="Times New Roman" w:hAnsi="Times New Roman" w:cs="Times New Roman"/>
          <w:noProof/>
          <w:spacing w:val="-4"/>
          <w:sz w:val="24"/>
          <w:szCs w:val="24"/>
          <w:lang w:val="en-US"/>
        </w:rPr>
        <w:t xml:space="preserve"> кандидата, а положило </w:t>
      </w:r>
      <w:r>
        <w:rPr>
          <w:rFonts w:ascii="Times New Roman" w:hAnsi="Times New Roman" w:cs="Times New Roman"/>
          <w:noProof/>
          <w:spacing w:val="-4"/>
          <w:sz w:val="24"/>
          <w:szCs w:val="24"/>
          <w:lang w:val="sr-Cyrl-RS"/>
        </w:rPr>
        <w:t>481</w:t>
      </w:r>
      <w:r w:rsidRPr="00FF54AF">
        <w:rPr>
          <w:rFonts w:ascii="Times New Roman" w:hAnsi="Times New Roman" w:cs="Times New Roman"/>
          <w:noProof/>
          <w:spacing w:val="-4"/>
          <w:sz w:val="24"/>
          <w:szCs w:val="24"/>
          <w:lang w:val="en-US"/>
        </w:rPr>
        <w:t>. Испити су организовани сваког месеца, у сарадњи са Републичком комисијом за заштиту права у поступцима јавних набавки</w:t>
      </w:r>
      <w:r w:rsidRPr="00FF54AF">
        <w:rPr>
          <w:rFonts w:ascii="Times New Roman" w:hAnsi="Times New Roman" w:cs="Times New Roman"/>
          <w:noProof/>
          <w:spacing w:val="-4"/>
          <w:sz w:val="24"/>
          <w:szCs w:val="24"/>
        </w:rPr>
        <w:t xml:space="preserve"> (у даљем тексту: Републичка комисија)</w:t>
      </w:r>
      <w:r w:rsidRPr="00FF54AF">
        <w:rPr>
          <w:rFonts w:ascii="Times New Roman" w:hAnsi="Times New Roman" w:cs="Times New Roman"/>
          <w:noProof/>
          <w:spacing w:val="-4"/>
          <w:sz w:val="24"/>
          <w:szCs w:val="24"/>
          <w:lang w:val="en-US"/>
        </w:rPr>
        <w:t>, у складу са бројем пристиглих пријава.</w:t>
      </w:r>
    </w:p>
    <w:p w14:paraId="6EF47139" w14:textId="77777777" w:rsidR="00F71206" w:rsidRPr="00FF54AF" w:rsidRDefault="00F71206" w:rsidP="00F71206">
      <w:pPr>
        <w:spacing w:after="0"/>
        <w:jc w:val="both"/>
        <w:rPr>
          <w:rFonts w:ascii="Times New Roman" w:hAnsi="Times New Roman" w:cs="Times New Roman"/>
          <w:noProof/>
          <w:spacing w:val="-4"/>
          <w:sz w:val="24"/>
          <w:szCs w:val="24"/>
          <w:lang w:val="en-US"/>
        </w:rPr>
      </w:pPr>
      <w:r w:rsidRPr="00FF54AF">
        <w:rPr>
          <w:rFonts w:ascii="Times New Roman" w:hAnsi="Times New Roman" w:cs="Times New Roman"/>
          <w:noProof/>
          <w:spacing w:val="-4"/>
          <w:sz w:val="24"/>
          <w:szCs w:val="24"/>
          <w:lang w:val="en-US"/>
        </w:rPr>
        <w:t> </w:t>
      </w:r>
    </w:p>
    <w:p w14:paraId="32A888DA" w14:textId="77777777" w:rsidR="00F71206" w:rsidRPr="00FF54AF" w:rsidRDefault="00F71206" w:rsidP="00F71206">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en-US"/>
        </w:rPr>
        <w:t>Ако се погледају подаци од октобра 2014. године, када је започет други циклус сертификације службеника за јавне набавке, закључно са 2019. годин</w:t>
      </w:r>
      <w:r>
        <w:rPr>
          <w:rFonts w:ascii="Times New Roman" w:hAnsi="Times New Roman" w:cs="Times New Roman"/>
          <w:noProof/>
          <w:spacing w:val="-4"/>
          <w:sz w:val="24"/>
          <w:szCs w:val="24"/>
          <w:lang w:val="sr-Cyrl-RS"/>
        </w:rPr>
        <w:t>ом</w:t>
      </w:r>
      <w:r w:rsidRPr="00FF54AF">
        <w:rPr>
          <w:rFonts w:ascii="Times New Roman" w:hAnsi="Times New Roman" w:cs="Times New Roman"/>
          <w:noProof/>
          <w:spacing w:val="-4"/>
          <w:sz w:val="24"/>
          <w:szCs w:val="24"/>
          <w:lang w:val="en-US"/>
        </w:rPr>
        <w:t xml:space="preserve">, организовано је </w:t>
      </w:r>
      <w:r>
        <w:rPr>
          <w:rFonts w:ascii="Times New Roman" w:hAnsi="Times New Roman" w:cs="Times New Roman"/>
          <w:noProof/>
          <w:spacing w:val="-4"/>
          <w:sz w:val="24"/>
          <w:szCs w:val="24"/>
          <w:lang w:val="sr-Cyrl-RS"/>
        </w:rPr>
        <w:t>145</w:t>
      </w:r>
      <w:r w:rsidRPr="00FF54AF">
        <w:rPr>
          <w:rFonts w:ascii="Times New Roman" w:hAnsi="Times New Roman" w:cs="Times New Roman"/>
          <w:noProof/>
          <w:spacing w:val="-4"/>
          <w:sz w:val="24"/>
          <w:szCs w:val="24"/>
          <w:lang w:val="en-US"/>
        </w:rPr>
        <w:t xml:space="preserve"> испита, </w:t>
      </w:r>
      <w:r w:rsidRPr="00FF54AF">
        <w:rPr>
          <w:rFonts w:ascii="Times New Roman" w:hAnsi="Times New Roman" w:cs="Times New Roman"/>
          <w:noProof/>
          <w:spacing w:val="-4"/>
          <w:sz w:val="24"/>
          <w:szCs w:val="24"/>
          <w:lang w:val="sr-Cyrl-CS"/>
        </w:rPr>
        <w:t>на којима је укупно полагало 4.</w:t>
      </w:r>
      <w:r>
        <w:rPr>
          <w:rFonts w:ascii="Times New Roman" w:hAnsi="Times New Roman" w:cs="Times New Roman"/>
          <w:noProof/>
          <w:spacing w:val="-4"/>
          <w:sz w:val="24"/>
          <w:szCs w:val="24"/>
          <w:lang w:val="sr-Cyrl-CS"/>
        </w:rPr>
        <w:t>844</w:t>
      </w:r>
      <w:r w:rsidRPr="00FF54AF">
        <w:rPr>
          <w:rFonts w:ascii="Times New Roman" w:hAnsi="Times New Roman" w:cs="Times New Roman"/>
          <w:noProof/>
          <w:spacing w:val="-4"/>
          <w:sz w:val="24"/>
          <w:szCs w:val="24"/>
          <w:lang w:val="sr-Cyrl-CS"/>
        </w:rPr>
        <w:t xml:space="preserve"> кандидата, од којих је 2.</w:t>
      </w:r>
      <w:r>
        <w:rPr>
          <w:rFonts w:ascii="Times New Roman" w:hAnsi="Times New Roman" w:cs="Times New Roman"/>
          <w:noProof/>
          <w:spacing w:val="-4"/>
          <w:sz w:val="24"/>
          <w:szCs w:val="24"/>
          <w:lang w:val="sr-Cyrl-RS"/>
        </w:rPr>
        <w:t>917</w:t>
      </w:r>
      <w:r w:rsidRPr="00FF54AF">
        <w:rPr>
          <w:rFonts w:ascii="Times New Roman" w:hAnsi="Times New Roman" w:cs="Times New Roman"/>
          <w:noProof/>
          <w:spacing w:val="-4"/>
          <w:sz w:val="24"/>
          <w:szCs w:val="24"/>
        </w:rPr>
        <w:t xml:space="preserve"> </w:t>
      </w:r>
      <w:r w:rsidRPr="00FF54AF">
        <w:rPr>
          <w:rFonts w:ascii="Times New Roman" w:hAnsi="Times New Roman" w:cs="Times New Roman"/>
          <w:noProof/>
          <w:spacing w:val="-4"/>
          <w:sz w:val="24"/>
          <w:szCs w:val="24"/>
          <w:lang w:val="sr-Cyrl-CS"/>
        </w:rPr>
        <w:t>положило испит и стекло сертификат за службеника за јавне набавке.</w:t>
      </w:r>
    </w:p>
    <w:p w14:paraId="77BAF092" w14:textId="77777777" w:rsidR="00F71206" w:rsidRDefault="00F71206" w:rsidP="00BB7785">
      <w:pPr>
        <w:spacing w:after="0"/>
        <w:jc w:val="both"/>
        <w:rPr>
          <w:rFonts w:ascii="Times New Roman" w:hAnsi="Times New Roman" w:cs="Times New Roman"/>
          <w:b/>
          <w:noProof/>
          <w:spacing w:val="-4"/>
          <w:sz w:val="24"/>
          <w:szCs w:val="24"/>
          <w:lang w:val="sr-Cyrl-CS"/>
        </w:rPr>
      </w:pPr>
    </w:p>
    <w:p w14:paraId="2D1E9D01" w14:textId="77777777" w:rsidR="00DF3192" w:rsidRDefault="00DF3192" w:rsidP="00BB7785">
      <w:pPr>
        <w:spacing w:after="0"/>
        <w:jc w:val="both"/>
        <w:rPr>
          <w:rFonts w:ascii="Times New Roman" w:hAnsi="Times New Roman" w:cs="Times New Roman"/>
          <w:b/>
          <w:noProof/>
          <w:spacing w:val="-4"/>
          <w:sz w:val="24"/>
          <w:szCs w:val="24"/>
          <w:lang w:val="sr"/>
        </w:rPr>
      </w:pPr>
    </w:p>
    <w:p w14:paraId="7528212D" w14:textId="047F925D" w:rsidR="00BB7785" w:rsidRPr="000853E8" w:rsidRDefault="00BB7785" w:rsidP="00BB7785">
      <w:pPr>
        <w:spacing w:after="0"/>
        <w:jc w:val="both"/>
        <w:rPr>
          <w:rFonts w:ascii="Times New Roman" w:hAnsi="Times New Roman" w:cs="Times New Roman"/>
          <w:b/>
          <w:noProof/>
          <w:spacing w:val="-4"/>
          <w:sz w:val="24"/>
          <w:szCs w:val="24"/>
          <w:lang w:val="sr-Cyrl-CS"/>
        </w:rPr>
      </w:pPr>
      <w:r w:rsidRPr="0091136A">
        <w:rPr>
          <w:rFonts w:ascii="Times New Roman" w:hAnsi="Times New Roman" w:cs="Times New Roman"/>
          <w:b/>
          <w:noProof/>
          <w:spacing w:val="-4"/>
          <w:sz w:val="24"/>
          <w:szCs w:val="24"/>
          <w:lang w:val="sr"/>
        </w:rPr>
        <w:t>Обуке</w:t>
      </w:r>
    </w:p>
    <w:p w14:paraId="233CF5B9" w14:textId="77777777" w:rsidR="003954EA" w:rsidRDefault="003954EA" w:rsidP="003954EA">
      <w:pPr>
        <w:spacing w:after="0"/>
        <w:jc w:val="both"/>
        <w:rPr>
          <w:rFonts w:ascii="Times New Roman" w:hAnsi="Times New Roman" w:cs="Times New Roman"/>
          <w:noProof/>
          <w:spacing w:val="-4"/>
          <w:sz w:val="24"/>
          <w:szCs w:val="24"/>
          <w:lang w:val="sr-Cyrl-CS"/>
        </w:rPr>
      </w:pPr>
    </w:p>
    <w:p w14:paraId="76C277FC" w14:textId="52EE7CC9"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У оквиру пројекта „Подршка даљем унапређењу система јавних набавки у Србији</w:t>
      </w:r>
      <w:r w:rsidRPr="00FF54AF">
        <w:rPr>
          <w:rFonts w:ascii="Times New Roman" w:hAnsi="Times New Roman" w:cs="Times New Roman"/>
          <w:noProof/>
          <w:spacing w:val="-4"/>
          <w:sz w:val="24"/>
          <w:szCs w:val="24"/>
          <w:lang w:val="sr-Latn-RS"/>
        </w:rPr>
        <w:t>“</w:t>
      </w:r>
      <w:r w:rsidRPr="00FF54AF">
        <w:rPr>
          <w:rFonts w:ascii="Times New Roman" w:hAnsi="Times New Roman" w:cs="Times New Roman"/>
          <w:noProof/>
          <w:spacing w:val="-4"/>
          <w:sz w:val="24"/>
          <w:szCs w:val="24"/>
          <w:lang w:val="sr-Cyrl-CS"/>
        </w:rPr>
        <w:t xml:space="preserve"> ИПА 2013, </w:t>
      </w:r>
      <w:r w:rsidRPr="00FF54AF">
        <w:rPr>
          <w:rFonts w:ascii="Times New Roman" w:hAnsi="Times New Roman" w:cs="Times New Roman"/>
          <w:noProof/>
          <w:spacing w:val="-4"/>
          <w:sz w:val="24"/>
          <w:szCs w:val="24"/>
          <w:lang w:val="sr-Cyrl-RS"/>
        </w:rPr>
        <w:t xml:space="preserve">заједно </w:t>
      </w:r>
      <w:r w:rsidRPr="00FF54AF">
        <w:rPr>
          <w:rFonts w:ascii="Times New Roman" w:hAnsi="Times New Roman" w:cs="Times New Roman"/>
          <w:noProof/>
          <w:spacing w:val="-4"/>
          <w:sz w:val="24"/>
          <w:szCs w:val="24"/>
          <w:lang w:val="sr-Cyrl-CS"/>
        </w:rPr>
        <w:t>са СИГМА, заједничком иницијативом ОЕЦД-а и ЕУ, организована је  радионица под називом „Јавно-приватна партнерства и концесије у светлу одредби и праксе Европске уније“. Радионица је одржана у Београду, 24. јануара, а у њој</w:t>
      </w:r>
      <w:r w:rsidR="000E3D88">
        <w:rPr>
          <w:rFonts w:ascii="Times New Roman" w:hAnsi="Times New Roman" w:cs="Times New Roman"/>
          <w:noProof/>
          <w:spacing w:val="-4"/>
          <w:sz w:val="24"/>
          <w:szCs w:val="24"/>
          <w:lang w:val="sr-Cyrl-CS"/>
        </w:rPr>
        <w:t xml:space="preserve"> су учествовали представници Управе</w:t>
      </w:r>
      <w:r w:rsidRPr="00FF54AF">
        <w:rPr>
          <w:rFonts w:ascii="Times New Roman" w:hAnsi="Times New Roman" w:cs="Times New Roman"/>
          <w:noProof/>
          <w:spacing w:val="-4"/>
          <w:sz w:val="24"/>
          <w:szCs w:val="24"/>
          <w:lang w:val="sr-Cyrl-CS"/>
        </w:rPr>
        <w:t>, Комисије за јавно-приватно партнерство, Државне ревизорске институције, Привредне коморе Србије, наручилаца и давалаца концесије. Експерти су учесницима представили главне аспекте јавно-приватног партнерства - од преноса ризика на приватног партнера у области дизајнирања, управљања, финансирања и одржавања, до концепта сарадње, који је кључан за постојање овог облика партнерства између јавног и приватног сектора. Такође је било речи о јавно-приватном партнерству у Европској унији, случајевима Европског суда правде, а учесници су такође имали прилику чути о разликама између концесија и уговора о јавним набавкама.</w:t>
      </w:r>
    </w:p>
    <w:p w14:paraId="1D81F9A8"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1E5371D5" w14:textId="44D4586F"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lastRenderedPageBreak/>
        <w:t>У сарадњи са СИГМА, заједничком иницијативом ОЕЦД-а и ЕУ, у оквиру пројекта „Подршка даљем унапређењу система јавних набавки у Србији“ ИПА 2013, организована је радионица под називом „Поступци јавних набавки са посебним нагласком на конкуре</w:t>
      </w:r>
      <w:r w:rsidR="00A306B0">
        <w:rPr>
          <w:rFonts w:ascii="Times New Roman" w:hAnsi="Times New Roman" w:cs="Times New Roman"/>
          <w:noProof/>
          <w:spacing w:val="-4"/>
          <w:sz w:val="24"/>
          <w:szCs w:val="24"/>
          <w:lang w:val="sr-Cyrl-CS"/>
        </w:rPr>
        <w:t>н</w:t>
      </w:r>
      <w:r w:rsidRPr="00FF54AF">
        <w:rPr>
          <w:rFonts w:ascii="Times New Roman" w:hAnsi="Times New Roman" w:cs="Times New Roman"/>
          <w:noProof/>
          <w:spacing w:val="-4"/>
          <w:sz w:val="24"/>
          <w:szCs w:val="24"/>
          <w:lang w:val="sr-Cyrl-CS"/>
        </w:rPr>
        <w:t>тни дијалог са преговорима и иновационим партнерствима“, која је одржана у Београду, 25. јануара. Током радионице, која је настала као комбинација презентација и с</w:t>
      </w:r>
      <w:r w:rsidR="000E3D88">
        <w:rPr>
          <w:rFonts w:ascii="Times New Roman" w:hAnsi="Times New Roman" w:cs="Times New Roman"/>
          <w:noProof/>
          <w:spacing w:val="-4"/>
          <w:sz w:val="24"/>
          <w:szCs w:val="24"/>
          <w:lang w:val="sr-Cyrl-CS"/>
        </w:rPr>
        <w:t xml:space="preserve">тудија случаја, учесници из Управе </w:t>
      </w:r>
      <w:r w:rsidRPr="00FF54AF">
        <w:rPr>
          <w:rFonts w:ascii="Times New Roman" w:hAnsi="Times New Roman" w:cs="Times New Roman"/>
          <w:noProof/>
          <w:spacing w:val="-4"/>
          <w:sz w:val="24"/>
          <w:szCs w:val="24"/>
          <w:lang w:val="sr-Cyrl-CS"/>
        </w:rPr>
        <w:t>и других институција, као и представници наручилаца имали су прилику да се упознају са историјом јавних набавки у ЕУ, тренутним моделима и најновијом праксом за спровођење партнерских односа са иновацијама. Током радионице, учесници су</w:t>
      </w:r>
      <w:r w:rsidR="000F49D6">
        <w:rPr>
          <w:rFonts w:ascii="Times New Roman" w:hAnsi="Times New Roman" w:cs="Times New Roman"/>
          <w:noProof/>
          <w:spacing w:val="-4"/>
          <w:sz w:val="24"/>
          <w:szCs w:val="24"/>
          <w:lang w:val="sr-Cyrl-CS"/>
        </w:rPr>
        <w:t>,</w:t>
      </w:r>
      <w:r w:rsidRPr="00FF54AF">
        <w:rPr>
          <w:rFonts w:ascii="Times New Roman" w:hAnsi="Times New Roman" w:cs="Times New Roman"/>
          <w:noProof/>
          <w:spacing w:val="-4"/>
          <w:sz w:val="24"/>
          <w:szCs w:val="24"/>
          <w:lang w:val="sr-Cyrl-CS"/>
        </w:rPr>
        <w:t xml:space="preserve"> такође</w:t>
      </w:r>
      <w:r w:rsidR="000F49D6">
        <w:rPr>
          <w:rFonts w:ascii="Times New Roman" w:hAnsi="Times New Roman" w:cs="Times New Roman"/>
          <w:noProof/>
          <w:spacing w:val="-4"/>
          <w:sz w:val="24"/>
          <w:szCs w:val="24"/>
          <w:lang w:val="sr-Cyrl-CS"/>
        </w:rPr>
        <w:t>,</w:t>
      </w:r>
      <w:r w:rsidRPr="00FF54AF">
        <w:rPr>
          <w:rFonts w:ascii="Times New Roman" w:hAnsi="Times New Roman" w:cs="Times New Roman"/>
          <w:noProof/>
          <w:spacing w:val="-4"/>
          <w:sz w:val="24"/>
          <w:szCs w:val="24"/>
          <w:lang w:val="sr-Cyrl-CS"/>
        </w:rPr>
        <w:t xml:space="preserve"> имали прилику да виде практичне случајеве како се овај нови поступак спроводи и који су његови ефекти.</w:t>
      </w:r>
    </w:p>
    <w:p w14:paraId="0242BD04"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555A049D" w14:textId="363A5D68" w:rsidR="003954EA" w:rsidRPr="00FF54AF" w:rsidRDefault="000E3D88" w:rsidP="003954EA">
      <w:pPr>
        <w:spacing w:after="0"/>
        <w:jc w:val="both"/>
        <w:rPr>
          <w:rFonts w:ascii="Times New Roman" w:hAnsi="Times New Roman" w:cs="Times New Roman"/>
          <w:noProof/>
          <w:spacing w:val="-4"/>
          <w:sz w:val="24"/>
          <w:szCs w:val="24"/>
          <w:lang w:val="sr-Cyrl-CS"/>
        </w:rPr>
      </w:pPr>
      <w:r>
        <w:rPr>
          <w:rFonts w:ascii="Times New Roman" w:hAnsi="Times New Roman" w:cs="Times New Roman"/>
          <w:noProof/>
          <w:spacing w:val="-4"/>
          <w:sz w:val="24"/>
          <w:szCs w:val="24"/>
          <w:lang w:val="sr-Cyrl-CS"/>
        </w:rPr>
        <w:t>Представник Управе</w:t>
      </w:r>
      <w:r w:rsidR="003954EA" w:rsidRPr="00FF54AF">
        <w:rPr>
          <w:rFonts w:ascii="Times New Roman" w:hAnsi="Times New Roman" w:cs="Times New Roman"/>
          <w:noProof/>
          <w:spacing w:val="-4"/>
          <w:sz w:val="24"/>
          <w:szCs w:val="24"/>
          <w:lang w:val="sr-Cyrl-CS"/>
        </w:rPr>
        <w:t xml:space="preserve"> учествовао је на радионици под називом „Један сектор, једна прича“, коју је организовало Министарство за европске интеграције. Неке од тема биле су општа концепција стратешких оквира комуникације, акциони план и концепт интерактивних комуникацијских алата, а разговарано је и о појединим секторским стратешким оквирима. Радионица је одржана у Београду 28. јануара.</w:t>
      </w:r>
    </w:p>
    <w:p w14:paraId="796FE3C9"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54828450" w14:textId="2095B1AE" w:rsidR="003954EA" w:rsidRPr="00FF54AF" w:rsidRDefault="000E3D88" w:rsidP="003954EA">
      <w:pPr>
        <w:spacing w:after="0"/>
        <w:jc w:val="both"/>
        <w:rPr>
          <w:rFonts w:ascii="Times New Roman" w:hAnsi="Times New Roman" w:cs="Times New Roman"/>
          <w:noProof/>
          <w:spacing w:val="-4"/>
          <w:sz w:val="24"/>
          <w:szCs w:val="24"/>
          <w:lang w:val="sr-Cyrl-CS"/>
        </w:rPr>
      </w:pPr>
      <w:r>
        <w:rPr>
          <w:rFonts w:ascii="Times New Roman" w:hAnsi="Times New Roman" w:cs="Times New Roman"/>
          <w:noProof/>
          <w:spacing w:val="-4"/>
          <w:sz w:val="24"/>
          <w:szCs w:val="24"/>
          <w:lang w:val="sr-Cyrl-CS"/>
        </w:rPr>
        <w:t>Представник Управе</w:t>
      </w:r>
      <w:r w:rsidR="003954EA" w:rsidRPr="00FF54AF">
        <w:rPr>
          <w:rFonts w:ascii="Times New Roman" w:hAnsi="Times New Roman" w:cs="Times New Roman"/>
          <w:noProof/>
          <w:spacing w:val="-4"/>
          <w:sz w:val="24"/>
          <w:szCs w:val="24"/>
          <w:lang w:val="sr-Cyrl-CS"/>
        </w:rPr>
        <w:t xml:space="preserve"> учествовао је на радионици под називом „Обрада анализа и података - нацрт програма“, која је одржана у Београду од 6. до 7. фебруара. Главне теме биле су искуство „Транспарентности Србије“ у обради и анализи података путем снимања извештаја, методе прикупљања података и Ексел за анализу података.</w:t>
      </w:r>
    </w:p>
    <w:p w14:paraId="2E1AD94A"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570EB8C2" w14:textId="1DDE55E3"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На радионици: „Нацрти имплементираних прописа према нацрту новог Закона о јавним набавкама“, стручњаци који раде на пројекту „Подршка даљем унапређењу система јавних набавки у Срб</w:t>
      </w:r>
      <w:r w:rsidR="000E3D88">
        <w:rPr>
          <w:rFonts w:ascii="Times New Roman" w:hAnsi="Times New Roman" w:cs="Times New Roman"/>
          <w:noProof/>
          <w:spacing w:val="-4"/>
          <w:sz w:val="24"/>
          <w:szCs w:val="24"/>
          <w:lang w:val="sr-Cyrl-CS"/>
        </w:rPr>
        <w:t>ији“ ИПА 2013 и представници Управе</w:t>
      </w:r>
      <w:r w:rsidRPr="00FF54AF">
        <w:rPr>
          <w:rFonts w:ascii="Times New Roman" w:hAnsi="Times New Roman" w:cs="Times New Roman"/>
          <w:noProof/>
          <w:spacing w:val="-4"/>
          <w:sz w:val="24"/>
          <w:szCs w:val="24"/>
          <w:lang w:val="sr-Cyrl-CS"/>
        </w:rPr>
        <w:t xml:space="preserve"> говорили су о нацртима имплементираних прописа припремљених у вези с нацртом новог Закона о јавним набавкама. Радионица је одржана у Београду, 7. фебруара.</w:t>
      </w:r>
    </w:p>
    <w:p w14:paraId="6AD2D240"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34D8D10B" w14:textId="036AFCF2"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Пројекат „Подршка даљем унапређењу система јавних набавки у Србији“ ИПА 2013 организ</w:t>
      </w:r>
      <w:r w:rsidR="000E3D88">
        <w:rPr>
          <w:rFonts w:ascii="Times New Roman" w:hAnsi="Times New Roman" w:cs="Times New Roman"/>
          <w:noProof/>
          <w:spacing w:val="-4"/>
          <w:sz w:val="24"/>
          <w:szCs w:val="24"/>
          <w:lang w:val="sr-Cyrl-CS"/>
        </w:rPr>
        <w:t>овао је обуку за запослене у Управе</w:t>
      </w:r>
      <w:r w:rsidRPr="00FF54AF">
        <w:rPr>
          <w:rFonts w:ascii="Times New Roman" w:hAnsi="Times New Roman" w:cs="Times New Roman"/>
          <w:noProof/>
          <w:spacing w:val="-4"/>
          <w:sz w:val="24"/>
          <w:szCs w:val="24"/>
          <w:lang w:val="sr-Cyrl-CS"/>
        </w:rPr>
        <w:t>. Тема обу</w:t>
      </w:r>
      <w:r w:rsidR="000E3D88">
        <w:rPr>
          <w:rFonts w:ascii="Times New Roman" w:hAnsi="Times New Roman" w:cs="Times New Roman"/>
          <w:noProof/>
          <w:spacing w:val="-4"/>
          <w:sz w:val="24"/>
          <w:szCs w:val="24"/>
          <w:lang w:val="sr-Cyrl-CS"/>
        </w:rPr>
        <w:t>ке била је нова веб страница Управе</w:t>
      </w:r>
      <w:r w:rsidRPr="00FF54AF">
        <w:rPr>
          <w:rFonts w:ascii="Times New Roman" w:hAnsi="Times New Roman" w:cs="Times New Roman"/>
          <w:noProof/>
          <w:spacing w:val="-4"/>
          <w:sz w:val="24"/>
          <w:szCs w:val="24"/>
          <w:lang w:val="sr-Cyrl-CS"/>
        </w:rPr>
        <w:t xml:space="preserve">. Представљено је како да се управља елементима веб странице у вези са садржајем, дизајном, структуром веб локације и како се управља ажурирањем веб страница - вестима, документима, текстовима, чланцима, фотографијама итд. </w:t>
      </w:r>
      <w:r>
        <w:rPr>
          <w:rFonts w:ascii="Times New Roman" w:hAnsi="Times New Roman" w:cs="Times New Roman"/>
          <w:noProof/>
          <w:spacing w:val="-4"/>
          <w:sz w:val="24"/>
          <w:szCs w:val="24"/>
          <w:lang w:val="sr-Cyrl-CS"/>
        </w:rPr>
        <w:t xml:space="preserve">Обука </w:t>
      </w:r>
      <w:r w:rsidRPr="00FF54AF">
        <w:rPr>
          <w:rFonts w:ascii="Times New Roman" w:hAnsi="Times New Roman" w:cs="Times New Roman"/>
          <w:noProof/>
          <w:spacing w:val="-4"/>
          <w:sz w:val="24"/>
          <w:szCs w:val="24"/>
          <w:lang w:val="sr-Cyrl-CS"/>
        </w:rPr>
        <w:t xml:space="preserve"> је одржан</w:t>
      </w:r>
      <w:r>
        <w:rPr>
          <w:rFonts w:ascii="Times New Roman" w:hAnsi="Times New Roman" w:cs="Times New Roman"/>
          <w:noProof/>
          <w:spacing w:val="-4"/>
          <w:sz w:val="24"/>
          <w:szCs w:val="24"/>
          <w:lang w:val="sr-Cyrl-CS"/>
        </w:rPr>
        <w:t>а</w:t>
      </w:r>
      <w:r w:rsidRPr="00FF54AF">
        <w:rPr>
          <w:rFonts w:ascii="Times New Roman" w:hAnsi="Times New Roman" w:cs="Times New Roman"/>
          <w:noProof/>
          <w:spacing w:val="-4"/>
          <w:sz w:val="24"/>
          <w:szCs w:val="24"/>
          <w:lang w:val="sr-Cyrl-CS"/>
        </w:rPr>
        <w:t xml:space="preserve"> у Београду, 11. марта.</w:t>
      </w:r>
    </w:p>
    <w:p w14:paraId="7CD86D22"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15DF9EE6" w14:textId="18990149" w:rsidR="003954EA" w:rsidRPr="00FF54AF" w:rsidRDefault="000E3D88" w:rsidP="003954EA">
      <w:pPr>
        <w:spacing w:after="0"/>
        <w:jc w:val="both"/>
        <w:rPr>
          <w:rFonts w:ascii="Times New Roman" w:hAnsi="Times New Roman" w:cs="Times New Roman"/>
          <w:noProof/>
          <w:spacing w:val="-4"/>
          <w:sz w:val="24"/>
          <w:szCs w:val="24"/>
          <w:lang w:val="sr-Cyrl-CS"/>
        </w:rPr>
      </w:pPr>
      <w:r>
        <w:rPr>
          <w:rFonts w:ascii="Times New Roman" w:hAnsi="Times New Roman" w:cs="Times New Roman"/>
          <w:noProof/>
          <w:spacing w:val="-4"/>
          <w:sz w:val="24"/>
          <w:szCs w:val="24"/>
          <w:lang w:val="sr-Cyrl-CS"/>
        </w:rPr>
        <w:t>Представник Управе</w:t>
      </w:r>
      <w:r w:rsidR="003954EA" w:rsidRPr="00FF54AF">
        <w:rPr>
          <w:rFonts w:ascii="Times New Roman" w:hAnsi="Times New Roman" w:cs="Times New Roman"/>
          <w:noProof/>
          <w:spacing w:val="-4"/>
          <w:sz w:val="24"/>
          <w:szCs w:val="24"/>
          <w:lang w:val="sr-Cyrl-CS"/>
        </w:rPr>
        <w:t xml:space="preserve"> учествовао је у обуци за стицање вештина тренирања из области „Етика и интегритет у државној управи и локалној самоуправи“, која је одржана у Београду од 11. до 15. марта. Учесници су током практичног дела обуке научили како да препознају ризичне ситуације за појаву корупције и стратегију решавања проблема.</w:t>
      </w:r>
    </w:p>
    <w:p w14:paraId="3EDFA69C"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25078C56" w14:textId="58602BDD" w:rsidR="003954EA" w:rsidRPr="00FF54AF" w:rsidRDefault="003954EA" w:rsidP="003954EA">
      <w:pPr>
        <w:spacing w:after="0"/>
        <w:jc w:val="both"/>
        <w:rPr>
          <w:rFonts w:ascii="Times New Roman" w:hAnsi="Times New Roman" w:cs="Times New Roman"/>
          <w:noProof/>
          <w:spacing w:val="-4"/>
          <w:sz w:val="24"/>
          <w:szCs w:val="24"/>
          <w:lang w:val="sr-Cyrl-CS"/>
        </w:rPr>
      </w:pPr>
      <w:r>
        <w:rPr>
          <w:rFonts w:ascii="Times New Roman" w:hAnsi="Times New Roman" w:cs="Times New Roman"/>
          <w:noProof/>
          <w:spacing w:val="-4"/>
          <w:sz w:val="24"/>
          <w:szCs w:val="24"/>
          <w:lang w:val="sr-Cyrl-CS"/>
        </w:rPr>
        <w:t>Нови портал</w:t>
      </w:r>
      <w:r w:rsidRPr="00FF54AF">
        <w:rPr>
          <w:rFonts w:ascii="Times New Roman" w:hAnsi="Times New Roman" w:cs="Times New Roman"/>
          <w:noProof/>
          <w:spacing w:val="-4"/>
          <w:sz w:val="24"/>
          <w:szCs w:val="24"/>
          <w:lang w:val="sr-Cyrl-CS"/>
        </w:rPr>
        <w:t xml:space="preserve"> </w:t>
      </w:r>
      <w:r>
        <w:rPr>
          <w:rFonts w:ascii="Times New Roman" w:hAnsi="Times New Roman" w:cs="Times New Roman"/>
          <w:noProof/>
          <w:spacing w:val="-4"/>
          <w:sz w:val="24"/>
          <w:szCs w:val="24"/>
          <w:lang w:val="sr-Cyrl-CS"/>
        </w:rPr>
        <w:t>јавних набавки</w:t>
      </w:r>
      <w:r w:rsidR="000E3D88">
        <w:rPr>
          <w:rFonts w:ascii="Times New Roman" w:hAnsi="Times New Roman" w:cs="Times New Roman"/>
          <w:noProof/>
          <w:spacing w:val="-4"/>
          <w:sz w:val="24"/>
          <w:szCs w:val="24"/>
          <w:lang w:val="sr-Cyrl-CS"/>
        </w:rPr>
        <w:t xml:space="preserve"> којим управља Управа</w:t>
      </w:r>
      <w:r w:rsidRPr="00FF54AF">
        <w:rPr>
          <w:rFonts w:ascii="Times New Roman" w:hAnsi="Times New Roman" w:cs="Times New Roman"/>
          <w:noProof/>
          <w:spacing w:val="-4"/>
          <w:sz w:val="24"/>
          <w:szCs w:val="24"/>
          <w:lang w:val="sr-Cyrl-CS"/>
        </w:rPr>
        <w:t xml:space="preserve">, који ће модернизовати начин додељивања уговора, побољшаће </w:t>
      </w:r>
      <w:r w:rsidR="000F49D6">
        <w:rPr>
          <w:rFonts w:ascii="Times New Roman" w:hAnsi="Times New Roman" w:cs="Times New Roman"/>
          <w:noProof/>
          <w:spacing w:val="-4"/>
          <w:sz w:val="24"/>
          <w:szCs w:val="24"/>
          <w:lang w:val="sr-Cyrl-CS"/>
        </w:rPr>
        <w:t xml:space="preserve"> и </w:t>
      </w:r>
      <w:r w:rsidRPr="00FF54AF">
        <w:rPr>
          <w:rFonts w:ascii="Times New Roman" w:hAnsi="Times New Roman" w:cs="Times New Roman"/>
          <w:noProof/>
          <w:spacing w:val="-4"/>
          <w:sz w:val="24"/>
          <w:szCs w:val="24"/>
          <w:lang w:val="sr-Cyrl-CS"/>
        </w:rPr>
        <w:t>т</w:t>
      </w:r>
      <w:r>
        <w:rPr>
          <w:rFonts w:ascii="Times New Roman" w:hAnsi="Times New Roman" w:cs="Times New Roman"/>
          <w:noProof/>
          <w:spacing w:val="-4"/>
          <w:sz w:val="24"/>
          <w:szCs w:val="24"/>
          <w:lang w:val="sr-Cyrl-CS"/>
        </w:rPr>
        <w:t xml:space="preserve">ранспарентност јавних набавки, </w:t>
      </w:r>
      <w:r w:rsidRPr="00FF54AF">
        <w:rPr>
          <w:rFonts w:ascii="Times New Roman" w:hAnsi="Times New Roman" w:cs="Times New Roman"/>
          <w:noProof/>
          <w:spacing w:val="-4"/>
          <w:sz w:val="24"/>
          <w:szCs w:val="24"/>
          <w:lang w:val="sr-Cyrl-CS"/>
        </w:rPr>
        <w:t>повећат</w:t>
      </w:r>
      <w:r>
        <w:rPr>
          <w:rFonts w:ascii="Times New Roman" w:hAnsi="Times New Roman" w:cs="Times New Roman"/>
          <w:noProof/>
          <w:spacing w:val="-4"/>
          <w:sz w:val="24"/>
          <w:szCs w:val="24"/>
          <w:lang w:val="sr-Cyrl-CS"/>
        </w:rPr>
        <w:t xml:space="preserve">и конкуренцију </w:t>
      </w:r>
      <w:r w:rsidRPr="00FF54AF">
        <w:rPr>
          <w:rFonts w:ascii="Times New Roman" w:hAnsi="Times New Roman" w:cs="Times New Roman"/>
          <w:noProof/>
          <w:spacing w:val="-4"/>
          <w:sz w:val="24"/>
          <w:szCs w:val="24"/>
          <w:lang w:val="sr-Cyrl-CS"/>
        </w:rPr>
        <w:t>и смањити трошкове учешћа у поступцима јавних набавки, биће покренут средином 2020. године. Развој новог Портала</w:t>
      </w:r>
      <w:r>
        <w:rPr>
          <w:rFonts w:ascii="Times New Roman" w:hAnsi="Times New Roman" w:cs="Times New Roman"/>
          <w:noProof/>
          <w:spacing w:val="-4"/>
          <w:sz w:val="24"/>
          <w:szCs w:val="24"/>
          <w:lang w:val="sr-Cyrl-CS"/>
        </w:rPr>
        <w:t xml:space="preserve"> омогућен је уз помоћ</w:t>
      </w:r>
      <w:r w:rsidRPr="00FF54AF">
        <w:rPr>
          <w:rFonts w:ascii="Times New Roman" w:hAnsi="Times New Roman" w:cs="Times New Roman"/>
          <w:noProof/>
          <w:spacing w:val="-4"/>
          <w:sz w:val="24"/>
          <w:szCs w:val="24"/>
          <w:lang w:val="sr-Cyrl-CS"/>
        </w:rPr>
        <w:t xml:space="preserve"> Пројекта „Подршка даљем унапређењу система јавних набавки у Србији“ ИПА 2013. Д</w:t>
      </w:r>
      <w:r w:rsidR="000E3D88">
        <w:rPr>
          <w:rFonts w:ascii="Times New Roman" w:hAnsi="Times New Roman" w:cs="Times New Roman"/>
          <w:noProof/>
          <w:spacing w:val="-4"/>
          <w:sz w:val="24"/>
          <w:szCs w:val="24"/>
          <w:lang w:val="sr-Cyrl-CS"/>
        </w:rPr>
        <w:t xml:space="preserve">а би се побољшали капацитети </w:t>
      </w:r>
      <w:r w:rsidR="000F49D6">
        <w:rPr>
          <w:rFonts w:ascii="Times New Roman" w:hAnsi="Times New Roman" w:cs="Times New Roman"/>
          <w:noProof/>
          <w:spacing w:val="-4"/>
          <w:sz w:val="24"/>
          <w:szCs w:val="24"/>
          <w:lang w:val="sr-Cyrl-CS"/>
        </w:rPr>
        <w:t xml:space="preserve">Управе </w:t>
      </w:r>
      <w:r w:rsidRPr="00FF54AF">
        <w:rPr>
          <w:rFonts w:ascii="Times New Roman" w:hAnsi="Times New Roman" w:cs="Times New Roman"/>
          <w:noProof/>
          <w:spacing w:val="-4"/>
          <w:sz w:val="24"/>
          <w:szCs w:val="24"/>
          <w:lang w:val="sr-Cyrl-CS"/>
        </w:rPr>
        <w:t>за управљање новим порталом, пројекат је 20. и 21. марта организовао радионице под називом „Електронска јавна набавка: Нови портал јавних набавки и његове функције“. Радиониц</w:t>
      </w:r>
      <w:r w:rsidR="000E3D88">
        <w:rPr>
          <w:rFonts w:ascii="Times New Roman" w:hAnsi="Times New Roman" w:cs="Times New Roman"/>
          <w:noProof/>
          <w:spacing w:val="-4"/>
          <w:sz w:val="24"/>
          <w:szCs w:val="24"/>
          <w:lang w:val="sr-Cyrl-CS"/>
        </w:rPr>
        <w:t xml:space="preserve">е су помогле представницима Управе </w:t>
      </w:r>
      <w:r w:rsidRPr="00FF54AF">
        <w:rPr>
          <w:rFonts w:ascii="Times New Roman" w:hAnsi="Times New Roman" w:cs="Times New Roman"/>
          <w:noProof/>
          <w:spacing w:val="-4"/>
          <w:sz w:val="24"/>
          <w:szCs w:val="24"/>
          <w:lang w:val="sr-Cyrl-CS"/>
        </w:rPr>
        <w:t xml:space="preserve">да упознају нови портал, његове функционалности и динамику његовог представљања. Ово је био први од четири модула практичних радионица организованих за Управу за јавне </w:t>
      </w:r>
      <w:r w:rsidRPr="00FF54AF">
        <w:rPr>
          <w:rFonts w:ascii="Times New Roman" w:hAnsi="Times New Roman" w:cs="Times New Roman"/>
          <w:noProof/>
          <w:spacing w:val="-4"/>
          <w:sz w:val="24"/>
          <w:szCs w:val="24"/>
          <w:lang w:val="sr-Cyrl-CS"/>
        </w:rPr>
        <w:lastRenderedPageBreak/>
        <w:t>набавке, а сваки је обухватио различит аспект Портала јавних набавки. И</w:t>
      </w:r>
      <w:r>
        <w:rPr>
          <w:rFonts w:ascii="Times New Roman" w:hAnsi="Times New Roman" w:cs="Times New Roman"/>
          <w:noProof/>
          <w:spacing w:val="-4"/>
          <w:sz w:val="24"/>
          <w:szCs w:val="24"/>
          <w:lang w:val="sr-Cyrl-CS"/>
        </w:rPr>
        <w:t>деја ових радионица је и обука запослених</w:t>
      </w:r>
      <w:r w:rsidR="000E3D88">
        <w:rPr>
          <w:rFonts w:ascii="Times New Roman" w:hAnsi="Times New Roman" w:cs="Times New Roman"/>
          <w:noProof/>
          <w:spacing w:val="-4"/>
          <w:sz w:val="24"/>
          <w:szCs w:val="24"/>
          <w:lang w:val="sr-Cyrl-CS"/>
        </w:rPr>
        <w:t xml:space="preserve"> у Управи, јер ће Управа</w:t>
      </w:r>
      <w:r w:rsidRPr="00FF54AF">
        <w:rPr>
          <w:rFonts w:ascii="Times New Roman" w:hAnsi="Times New Roman" w:cs="Times New Roman"/>
          <w:noProof/>
          <w:spacing w:val="-4"/>
          <w:sz w:val="24"/>
          <w:szCs w:val="24"/>
          <w:lang w:val="sr-Cyrl-CS"/>
        </w:rPr>
        <w:t xml:space="preserve"> бити задужена за пружање континуиране подршке крајњим корисницима новог </w:t>
      </w:r>
      <w:r w:rsidR="000F49D6">
        <w:rPr>
          <w:rFonts w:ascii="Times New Roman" w:hAnsi="Times New Roman" w:cs="Times New Roman"/>
          <w:noProof/>
          <w:spacing w:val="-4"/>
          <w:sz w:val="24"/>
          <w:szCs w:val="24"/>
          <w:lang w:val="sr-Cyrl-CS"/>
        </w:rPr>
        <w:t>п</w:t>
      </w:r>
      <w:r w:rsidR="000F49D6" w:rsidRPr="00FF54AF">
        <w:rPr>
          <w:rFonts w:ascii="Times New Roman" w:hAnsi="Times New Roman" w:cs="Times New Roman"/>
          <w:noProof/>
          <w:spacing w:val="-4"/>
          <w:sz w:val="24"/>
          <w:szCs w:val="24"/>
          <w:lang w:val="sr-Cyrl-CS"/>
        </w:rPr>
        <w:t xml:space="preserve">ортала </w:t>
      </w:r>
      <w:r w:rsidRPr="00FF54AF">
        <w:rPr>
          <w:rFonts w:ascii="Times New Roman" w:hAnsi="Times New Roman" w:cs="Times New Roman"/>
          <w:noProof/>
          <w:spacing w:val="-4"/>
          <w:sz w:val="24"/>
          <w:szCs w:val="24"/>
          <w:lang w:val="sr-Cyrl-CS"/>
        </w:rPr>
        <w:t>јавних набавки.</w:t>
      </w:r>
    </w:p>
    <w:p w14:paraId="2D9F74AB"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594B8B27" w14:textId="2F5FCC81"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Такође, уз подршку пројекта „Подршка даљем унапређењу система јавних набавки у Србији“ ИПА 2013, у Београду је 4. априла одржана радионица под називом „Упутства за оквирне споразуме и моделе тендерске документације“, на којој су дискутоване и финализоване нове смернице за закључивање оквирних</w:t>
      </w:r>
      <w:r w:rsidR="000E3D88">
        <w:rPr>
          <w:rFonts w:ascii="Times New Roman" w:hAnsi="Times New Roman" w:cs="Times New Roman"/>
          <w:noProof/>
          <w:spacing w:val="-4"/>
          <w:sz w:val="24"/>
          <w:szCs w:val="24"/>
          <w:lang w:val="sr-Cyrl-CS"/>
        </w:rPr>
        <w:t xml:space="preserve"> споразума са представницима Управе</w:t>
      </w:r>
      <w:r w:rsidRPr="00FF54AF">
        <w:rPr>
          <w:rFonts w:ascii="Times New Roman" w:hAnsi="Times New Roman" w:cs="Times New Roman"/>
          <w:noProof/>
          <w:spacing w:val="-4"/>
          <w:sz w:val="24"/>
          <w:szCs w:val="24"/>
          <w:lang w:val="sr-Cyrl-CS"/>
        </w:rPr>
        <w:t xml:space="preserve">. Поред тога, разговарано је о моделима </w:t>
      </w:r>
      <w:r>
        <w:rPr>
          <w:rFonts w:ascii="Times New Roman" w:hAnsi="Times New Roman" w:cs="Times New Roman"/>
          <w:noProof/>
          <w:spacing w:val="-4"/>
          <w:sz w:val="24"/>
          <w:szCs w:val="24"/>
          <w:lang w:val="sr-Cyrl-CS"/>
        </w:rPr>
        <w:t>конкурсне</w:t>
      </w:r>
      <w:r w:rsidRPr="00FF54AF">
        <w:rPr>
          <w:rFonts w:ascii="Times New Roman" w:hAnsi="Times New Roman" w:cs="Times New Roman"/>
          <w:noProof/>
          <w:spacing w:val="-4"/>
          <w:sz w:val="24"/>
          <w:szCs w:val="24"/>
          <w:lang w:val="sr-Cyrl-CS"/>
        </w:rPr>
        <w:t xml:space="preserve"> документације. </w:t>
      </w:r>
    </w:p>
    <w:p w14:paraId="42263880"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4F525E77" w14:textId="29A5728B" w:rsidR="003954EA" w:rsidRPr="00FF54AF" w:rsidRDefault="000E3D88" w:rsidP="003954EA">
      <w:pPr>
        <w:spacing w:after="0"/>
        <w:jc w:val="both"/>
        <w:rPr>
          <w:rFonts w:ascii="Times New Roman" w:hAnsi="Times New Roman" w:cs="Times New Roman"/>
          <w:noProof/>
          <w:spacing w:val="-4"/>
          <w:sz w:val="24"/>
          <w:szCs w:val="24"/>
          <w:lang w:val="sr-Cyrl-CS"/>
        </w:rPr>
      </w:pPr>
      <w:r>
        <w:rPr>
          <w:rFonts w:ascii="Times New Roman" w:hAnsi="Times New Roman" w:cs="Times New Roman"/>
          <w:noProof/>
          <w:spacing w:val="-4"/>
          <w:sz w:val="24"/>
          <w:szCs w:val="24"/>
          <w:lang w:val="sr-Cyrl-CS"/>
        </w:rPr>
        <w:t>Представник Управе</w:t>
      </w:r>
      <w:r w:rsidR="003954EA" w:rsidRPr="00FF54AF">
        <w:rPr>
          <w:rFonts w:ascii="Times New Roman" w:hAnsi="Times New Roman" w:cs="Times New Roman"/>
          <w:noProof/>
          <w:spacing w:val="-4"/>
          <w:sz w:val="24"/>
          <w:szCs w:val="24"/>
          <w:lang w:val="sr-Cyrl-CS"/>
        </w:rPr>
        <w:t xml:space="preserve"> учествовао је на радионици „Стварање замаха у екосистемима отворених података“. Циљ радионице био је повећање свести о вредности отворених података за пружање услуга, пословање и иновације у Србији међу потенцијалним корисницима и релевантним агенцијама. Такође је уведено неколико практичних метода за постизање успеха са отвореним подацима и изазовима да учесници размишљају о будућим могућностима отворених података у Србији. Радионица је одржана у Београду, 9. априла.</w:t>
      </w:r>
    </w:p>
    <w:p w14:paraId="25FEDE83"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3DAB14EB" w14:textId="5D6F3C9C"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Представници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учествовали су на радионици под називом „Оквирни споразуми у светлу одредби и праксе Европске уније“ коју је организовао Пројекат „Подршка даљем унапређењу система јавних набавки у Србији“ ИПА 2013 у сарадњи са СИГМА, заједничком иницијативом ОЕЦД-а и ЕУ, која је одржана у Београду 11. априла. На радионици је наглашено колико је важно да се државни службеници у Републици Србији упознају са европским процедурама, посебно због новог Закона о јавним набавкама, који је израђен по највишим стандардима у овој области. Представници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су имали прилику да размене искуства са експертом за јавне набавке из Пољске, који је говорио о приступу ЕУ директивама о јавним набавкама које се тичу оквирних споразума, њиховом концепту, странама у процесу, планирању, организацији и спровођењу, к</w:t>
      </w:r>
      <w:r>
        <w:rPr>
          <w:rFonts w:ascii="Times New Roman" w:hAnsi="Times New Roman" w:cs="Times New Roman"/>
          <w:noProof/>
          <w:spacing w:val="-4"/>
          <w:sz w:val="24"/>
          <w:szCs w:val="24"/>
          <w:lang w:val="sr-Cyrl-CS"/>
        </w:rPr>
        <w:t>ао и неким примерима из праксе</w:t>
      </w:r>
      <w:r w:rsidRPr="00FF54AF">
        <w:rPr>
          <w:rFonts w:ascii="Times New Roman" w:hAnsi="Times New Roman" w:cs="Times New Roman"/>
          <w:noProof/>
          <w:spacing w:val="-4"/>
          <w:sz w:val="24"/>
          <w:szCs w:val="24"/>
          <w:lang w:val="sr-Cyrl-CS"/>
        </w:rPr>
        <w:t>.</w:t>
      </w:r>
    </w:p>
    <w:p w14:paraId="674E403A"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4002EE80" w14:textId="302D80E8"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Након прве практичне радионице о новом Порталу јавних набавки, пројекат „Подршка даљем унапређењу система јавних набавки у Србији“ ИПА 2013 је организовао још две радионице, на којима су запослени у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обучени како да користе нови Портал са аспекта економских оператера, е-подношења и отварања понуда и употребу е-каталог</w:t>
      </w:r>
      <w:r w:rsidR="009D7F19">
        <w:rPr>
          <w:rFonts w:ascii="Times New Roman" w:hAnsi="Times New Roman" w:cs="Times New Roman"/>
          <w:noProof/>
          <w:spacing w:val="-4"/>
          <w:sz w:val="24"/>
          <w:szCs w:val="24"/>
          <w:lang w:val="sr-Cyrl-CS"/>
        </w:rPr>
        <w:t>а</w:t>
      </w:r>
      <w:r w:rsidRPr="00FF54AF">
        <w:rPr>
          <w:rFonts w:ascii="Times New Roman" w:hAnsi="Times New Roman" w:cs="Times New Roman"/>
          <w:noProof/>
          <w:spacing w:val="-4"/>
          <w:sz w:val="24"/>
          <w:szCs w:val="24"/>
          <w:lang w:val="sr-Cyrl-CS"/>
        </w:rPr>
        <w:t xml:space="preserve">. Током дводневне радионице, 13 запослених у </w:t>
      </w:r>
      <w:r w:rsidR="009D7F19">
        <w:rPr>
          <w:rFonts w:ascii="Times New Roman" w:hAnsi="Times New Roman" w:cs="Times New Roman"/>
          <w:noProof/>
          <w:spacing w:val="-4"/>
          <w:sz w:val="24"/>
          <w:szCs w:val="24"/>
          <w:lang w:val="sr-Cyrl-CS"/>
        </w:rPr>
        <w:t>Управи</w:t>
      </w:r>
      <w:r w:rsidR="009D7F19" w:rsidRPr="00FF54AF">
        <w:rPr>
          <w:rFonts w:ascii="Times New Roman" w:hAnsi="Times New Roman" w:cs="Times New Roman"/>
          <w:noProof/>
          <w:spacing w:val="-4"/>
          <w:sz w:val="24"/>
          <w:szCs w:val="24"/>
          <w:lang w:val="sr-Cyrl-CS"/>
        </w:rPr>
        <w:t xml:space="preserve"> </w:t>
      </w:r>
      <w:r w:rsidRPr="00FF54AF">
        <w:rPr>
          <w:rFonts w:ascii="Times New Roman" w:hAnsi="Times New Roman" w:cs="Times New Roman"/>
          <w:noProof/>
          <w:spacing w:val="-4"/>
          <w:sz w:val="24"/>
          <w:szCs w:val="24"/>
          <w:lang w:val="sr-Cyrl-CS"/>
        </w:rPr>
        <w:t xml:space="preserve">имало је прилику да испроба девет корисних вежби. Учесници су имали прилику </w:t>
      </w:r>
      <w:r w:rsidR="009D7F19">
        <w:rPr>
          <w:rFonts w:ascii="Times New Roman" w:hAnsi="Times New Roman" w:cs="Times New Roman"/>
          <w:noProof/>
          <w:spacing w:val="-4"/>
          <w:sz w:val="24"/>
          <w:szCs w:val="24"/>
          <w:lang w:val="sr-Cyrl-CS"/>
        </w:rPr>
        <w:t>да науче</w:t>
      </w:r>
      <w:r w:rsidR="009D7F19" w:rsidRPr="00FF54AF">
        <w:rPr>
          <w:rFonts w:ascii="Times New Roman" w:hAnsi="Times New Roman" w:cs="Times New Roman"/>
          <w:noProof/>
          <w:spacing w:val="-4"/>
          <w:sz w:val="24"/>
          <w:szCs w:val="24"/>
          <w:lang w:val="sr-Cyrl-CS"/>
        </w:rPr>
        <w:t xml:space="preserve"> </w:t>
      </w:r>
      <w:r w:rsidRPr="00FF54AF">
        <w:rPr>
          <w:rFonts w:ascii="Times New Roman" w:hAnsi="Times New Roman" w:cs="Times New Roman"/>
          <w:noProof/>
          <w:spacing w:val="-4"/>
          <w:sz w:val="24"/>
          <w:szCs w:val="24"/>
          <w:lang w:val="sr-Cyrl-CS"/>
        </w:rPr>
        <w:t>како се региструју наручиоци, како се претражују планови јавних набавки и како се може претплатити на примање информација о процесу, како би благовремено информисали понуђаче. Радионица је одржана у Ечки, од 18. до 19. априла.</w:t>
      </w:r>
    </w:p>
    <w:p w14:paraId="4B8480E3"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35515CE2" w14:textId="638536E3"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Представник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учествовао је на радионици под називом „Кохезиона политика Европске уније у новој финансијској перспективи 2021-2027“, одржаној у Београду 23. априла. Циљ радионице био је упознавање учесника са перспективама кохезионе политике након 2020. године (на стратешком и оперативном нивоу), унапређење разумевања кохезионе политике, посебно из угла Републике Србије и презентација лекција научених од других земље у односу на теме о којима се разговарало.</w:t>
      </w:r>
    </w:p>
    <w:p w14:paraId="0D650A78"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784F5231" w14:textId="77777777"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Чланови Радне групе за припрему новог Закона о јавним набавкама упознати су са новим Порталом јавних набавки и његовим функцијама током дводневне радионице, коју је организовао пројекат „Подршка даљем унапређењу система јавних набавки у Србији“ ИПА 2013, а која је одржана у Новом Саду од 23. до 24. априла. Експерт за е-набавку представили су учесницима општи преглед новог Портала, као и како се регистровати </w:t>
      </w:r>
      <w:r w:rsidRPr="00FF54AF">
        <w:rPr>
          <w:rFonts w:ascii="Times New Roman" w:hAnsi="Times New Roman" w:cs="Times New Roman"/>
          <w:noProof/>
          <w:spacing w:val="-4"/>
          <w:sz w:val="24"/>
          <w:szCs w:val="24"/>
          <w:lang w:val="sr-Cyrl-CS"/>
        </w:rPr>
        <w:lastRenderedPageBreak/>
        <w:t>на Порталу и управљати корисничким налозима. Учесници су се такође упознали са специфичним аспектима Портала јавних набавки (планирање, покретање поступка јавних набвки, подношење електронских понуда, објављивање одлуке о додели уговора у поступцима јавних набавки).</w:t>
      </w:r>
    </w:p>
    <w:p w14:paraId="16110F46"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2783B271" w14:textId="7409B4D0"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Представник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учествовао је у радионици о проактивном развоју случајева корупције, случајевима финансијских превара и привредног криминала, заједно са представницима тужилаштва и полицијских инспектора. Ову радионицу су организовали Министарство правде САД и ОЕЦД, у сарадњи са Министарством правде Републике Србије, Правосудном академијом Републике Србије и Тужилаштвом, у Врњачкој Бањи од 19. до 21. јуна 2019. године. Главни циљеви ове радионице били су развој вештина критичког размишљања и решавања проблема повезаних са анализом случајева и доказима, развијање вештина спровођења истрага, финансијских и тужилачких вештина, развијање вештина у групама за утицај и вештинама управљања случајем, укључујући вештине потребне за надзор, управљање и координирају истраге развијајући основно разумевање проблема везаних за истраге и кривично гоњење случајева злоупотребе у вези с јавним набавкама.</w:t>
      </w:r>
    </w:p>
    <w:p w14:paraId="026173DE"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6FA6C4D1" w14:textId="4D272328"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Представници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учестовали су на радионици о систему јавних набавки у Републици Србији, одржаној у Шапцу од 20. до 21. јуна 2019. Главне теме биле су везане за примену Закона о јавним набавкама и подзаконских аката, најчешћи облици неправилности у јавним набавкама, како спречити неправилности у јавним набавкама и како побољшати комуникацију и координацију између Управе за јавне набавке, Државне ревизорске институције, Републичке комисије за заштиту права у поступцима јавних набавки и Министарства Финансије – Одељења буџетске инспекције, у области јавних набавки.</w:t>
      </w:r>
    </w:p>
    <w:p w14:paraId="6BD97678"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10A2C3C5" w14:textId="1A25B87D"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Представници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учествовали су на радионици под називом „Учешће микро, малих и средњих предузећа (МСМЕ) у јавним набавкама“ која је одржана у Београду 28. јуна 2019. године у просторијама Палате Србија. Циљ обуке био је да пружи подршку запосленима у јавним набавкама и одговорним лицима код наручилаца како би се привукла мала и средња предузећа да учествују у поступцима јавних набавки у Републици Србији, посебно у вези са микро предузећима, кроз представљање препрека за учешће МСП у јавним набавкама, као и, посебно, давањем препорука за повећање учешћа ММСП у јавним набавкама.</w:t>
      </w:r>
    </w:p>
    <w:p w14:paraId="4F3D1EE1" w14:textId="77777777" w:rsidR="003954EA" w:rsidRPr="00FF54AF" w:rsidRDefault="003954EA" w:rsidP="003954EA">
      <w:pPr>
        <w:spacing w:after="0"/>
        <w:jc w:val="both"/>
        <w:rPr>
          <w:rFonts w:ascii="Times New Roman" w:hAnsi="Times New Roman" w:cs="Times New Roman"/>
          <w:noProof/>
          <w:spacing w:val="-4"/>
          <w:sz w:val="24"/>
          <w:szCs w:val="24"/>
          <w:lang w:val="sr-Cyrl-CS"/>
        </w:rPr>
      </w:pPr>
    </w:p>
    <w:p w14:paraId="76D66E0F" w14:textId="4D3F2258" w:rsidR="003954EA" w:rsidRPr="00FF54AF" w:rsidRDefault="003954EA" w:rsidP="003954EA">
      <w:pPr>
        <w:spacing w:after="0"/>
        <w:jc w:val="both"/>
        <w:rPr>
          <w:rFonts w:ascii="Times New Roman" w:hAnsi="Times New Roman" w:cs="Times New Roman"/>
          <w:noProof/>
          <w:spacing w:val="-4"/>
          <w:sz w:val="24"/>
          <w:szCs w:val="24"/>
          <w:lang w:val="sr-Cyrl-CS"/>
        </w:rPr>
      </w:pPr>
      <w:r w:rsidRPr="00FF54AF">
        <w:rPr>
          <w:rFonts w:ascii="Times New Roman" w:hAnsi="Times New Roman" w:cs="Times New Roman"/>
          <w:noProof/>
          <w:spacing w:val="-4"/>
          <w:sz w:val="24"/>
          <w:szCs w:val="24"/>
          <w:lang w:val="sr-Cyrl-CS"/>
        </w:rPr>
        <w:t xml:space="preserve">Представници </w:t>
      </w:r>
      <w:r w:rsidR="000E3D88">
        <w:rPr>
          <w:rFonts w:ascii="Times New Roman" w:hAnsi="Times New Roman" w:cs="Times New Roman"/>
          <w:noProof/>
          <w:spacing w:val="-4"/>
          <w:sz w:val="24"/>
          <w:szCs w:val="24"/>
          <w:lang w:val="sr-Cyrl-CS"/>
        </w:rPr>
        <w:t>Управе</w:t>
      </w:r>
      <w:r w:rsidRPr="00FF54AF">
        <w:rPr>
          <w:rFonts w:ascii="Times New Roman" w:hAnsi="Times New Roman" w:cs="Times New Roman"/>
          <w:noProof/>
          <w:spacing w:val="-4"/>
          <w:sz w:val="24"/>
          <w:szCs w:val="24"/>
          <w:lang w:val="sr-Cyrl-CS"/>
        </w:rPr>
        <w:t xml:space="preserve"> учестовали су на радионици под називом „Метарегистар и попис службених евиденција“ 26. јуна 2019. године у просторијама Националне академије за јавну управу. Циљ радионице је успостављање једноставне и ауторизоване размене података у складу са законом где је неопходно пописати све службене евиденције које су установљене законом или другим прописом, а којима се организовано региструју подаци или чињенице за одређене намене, односно за потребе вођења управних поступака.</w:t>
      </w:r>
    </w:p>
    <w:p w14:paraId="1B492ADD" w14:textId="77777777" w:rsidR="003954EA" w:rsidRDefault="003954EA" w:rsidP="003954EA">
      <w:pPr>
        <w:spacing w:after="0"/>
        <w:jc w:val="both"/>
        <w:rPr>
          <w:rFonts w:ascii="Times New Roman" w:hAnsi="Times New Roman" w:cs="Times New Roman"/>
          <w:noProof/>
          <w:spacing w:val="-4"/>
          <w:sz w:val="24"/>
          <w:szCs w:val="24"/>
          <w:lang w:val="sr-Cyrl-CS"/>
        </w:rPr>
      </w:pPr>
    </w:p>
    <w:p w14:paraId="60FE2C09" w14:textId="14CA8E70"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Представник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присуствовао је обуци под називом„Анализа описа послова радног места и одређивање компетенција за рад државних службеника“ која је одржана 8. јула 2019. године у Националној академији за јавну управу. Тема обуке било је упознавање државних службеника са новим понашајним и фукнционалним компетенцијама приликом спровођења конкурса за нова радна места, као и упознавање полазника обуке са изменама прописа који ближе уређују наведену тему. </w:t>
      </w:r>
    </w:p>
    <w:p w14:paraId="11EC479D"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30840C8E" w14:textId="5CB71162"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Представник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је 29. августа 2019. године у просторијама Националне академије за јавну управу присуствовао обуци под називом „Хоризонтална питања за носиоце хоризонталних </w:t>
      </w:r>
      <w:r w:rsidR="00DF52D6" w:rsidRPr="003954EA">
        <w:rPr>
          <w:rFonts w:ascii="Times New Roman" w:hAnsi="Times New Roman" w:cs="Times New Roman"/>
          <w:noProof/>
          <w:spacing w:val="-4"/>
          <w:sz w:val="24"/>
          <w:szCs w:val="24"/>
          <w:lang w:val="sr-Cyrl-CS"/>
        </w:rPr>
        <w:t>функциј</w:t>
      </w:r>
      <w:r w:rsidR="00DF52D6">
        <w:rPr>
          <w:rFonts w:ascii="Times New Roman" w:hAnsi="Times New Roman" w:cs="Times New Roman"/>
          <w:noProof/>
          <w:spacing w:val="-4"/>
          <w:sz w:val="24"/>
          <w:szCs w:val="24"/>
          <w:lang w:val="sr-Cyrl-CS"/>
        </w:rPr>
        <w:t>а</w:t>
      </w:r>
      <w:r w:rsidRPr="003954EA">
        <w:rPr>
          <w:rFonts w:ascii="Times New Roman" w:hAnsi="Times New Roman" w:cs="Times New Roman"/>
          <w:noProof/>
          <w:spacing w:val="-4"/>
          <w:sz w:val="24"/>
          <w:szCs w:val="24"/>
          <w:lang w:val="sr-Cyrl-CS"/>
        </w:rPr>
        <w:t xml:space="preserve">“. Циљ обуке </w:t>
      </w:r>
      <w:r w:rsidRPr="003954EA">
        <w:rPr>
          <w:rFonts w:ascii="Times New Roman" w:hAnsi="Times New Roman" w:cs="Times New Roman"/>
          <w:noProof/>
          <w:spacing w:val="-4"/>
          <w:sz w:val="24"/>
          <w:szCs w:val="24"/>
          <w:lang w:val="sr-Cyrl-CS"/>
        </w:rPr>
        <w:lastRenderedPageBreak/>
        <w:t xml:space="preserve">била је израда тј. давање сугестија и размена искустава у вези са припремљеним анализама обима посла (WLA). </w:t>
      </w:r>
    </w:p>
    <w:p w14:paraId="54E2781B"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0F267974" w14:textId="7622B2EA" w:rsidR="003954EA" w:rsidRPr="003954EA" w:rsidRDefault="000E3D88" w:rsidP="003954EA">
      <w:pPr>
        <w:spacing w:after="0"/>
        <w:jc w:val="both"/>
        <w:rPr>
          <w:rFonts w:ascii="Times New Roman" w:hAnsi="Times New Roman" w:cs="Times New Roman"/>
          <w:noProof/>
          <w:spacing w:val="-4"/>
          <w:sz w:val="24"/>
          <w:szCs w:val="24"/>
          <w:lang w:val="sr-Cyrl-CS"/>
        </w:rPr>
      </w:pPr>
      <w:r>
        <w:rPr>
          <w:rFonts w:ascii="Times New Roman" w:hAnsi="Times New Roman" w:cs="Times New Roman"/>
          <w:noProof/>
          <w:spacing w:val="-4"/>
          <w:sz w:val="24"/>
          <w:szCs w:val="24"/>
          <w:lang w:val="sr-Cyrl-CS"/>
        </w:rPr>
        <w:t>Представници Управе</w:t>
      </w:r>
      <w:r w:rsidR="003954EA" w:rsidRPr="003954EA">
        <w:rPr>
          <w:rFonts w:ascii="Times New Roman" w:hAnsi="Times New Roman" w:cs="Times New Roman"/>
          <w:noProof/>
          <w:spacing w:val="-4"/>
          <w:sz w:val="24"/>
          <w:szCs w:val="24"/>
          <w:lang w:val="sr-Cyrl-CS"/>
        </w:rPr>
        <w:t xml:space="preserve"> присуствовали су обуци под називом „Финансијско управљање плаћање уговарачима“, </w:t>
      </w:r>
      <w:r w:rsidR="00DF52D6" w:rsidRPr="003954EA">
        <w:rPr>
          <w:rFonts w:ascii="Times New Roman" w:hAnsi="Times New Roman" w:cs="Times New Roman"/>
          <w:noProof/>
          <w:spacing w:val="-4"/>
          <w:sz w:val="24"/>
          <w:szCs w:val="24"/>
          <w:lang w:val="sr-Cyrl-CS"/>
        </w:rPr>
        <w:t>одржан</w:t>
      </w:r>
      <w:r w:rsidR="00DF52D6">
        <w:rPr>
          <w:rFonts w:ascii="Times New Roman" w:hAnsi="Times New Roman" w:cs="Times New Roman"/>
          <w:noProof/>
          <w:spacing w:val="-4"/>
          <w:sz w:val="24"/>
          <w:szCs w:val="24"/>
          <w:lang w:val="sr-Cyrl-CS"/>
        </w:rPr>
        <w:t xml:space="preserve">ој </w:t>
      </w:r>
      <w:r w:rsidR="003954EA" w:rsidRPr="003954EA">
        <w:rPr>
          <w:rFonts w:ascii="Times New Roman" w:hAnsi="Times New Roman" w:cs="Times New Roman"/>
          <w:noProof/>
          <w:spacing w:val="-4"/>
          <w:sz w:val="24"/>
          <w:szCs w:val="24"/>
          <w:lang w:val="sr-Cyrl-CS"/>
        </w:rPr>
        <w:t>4. и 5. септембра 2019. године у просторијама Националне академије за јавну управу. Полазници обуке су се упознали са начинима финансирања и плаћања за поједине врсте уговора (уговоре о услугама, уговоре о радовима, грантовима...) и кроз практичне примере су се упознали са значајем правилног управљања новцем из европских фондова, значају кофинансирања и суфинансирања пројеката, као и финалним резултатима пројеката.</w:t>
      </w:r>
    </w:p>
    <w:p w14:paraId="520E2238"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03439856" w14:textId="2C36C4CD"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Представници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су присустовали обуци под називом „Унапређење извештавања о спровођењу Акционог плана за Поглавље 23“ у организацији Министарства правде, уз подршку пројекта „ЕУ за правду – подршка поглављу 23“ која је организована 24. и 25. септембра 2019. године у Клубу посланика у Београду. Тема обуке </w:t>
      </w:r>
      <w:r w:rsidR="00DF52D6" w:rsidRPr="003954EA">
        <w:rPr>
          <w:rFonts w:ascii="Times New Roman" w:hAnsi="Times New Roman" w:cs="Times New Roman"/>
          <w:noProof/>
          <w:spacing w:val="-4"/>
          <w:sz w:val="24"/>
          <w:szCs w:val="24"/>
          <w:lang w:val="sr-Cyrl-CS"/>
        </w:rPr>
        <w:t>бил</w:t>
      </w:r>
      <w:r w:rsidR="00DF52D6">
        <w:rPr>
          <w:rFonts w:ascii="Times New Roman" w:hAnsi="Times New Roman" w:cs="Times New Roman"/>
          <w:noProof/>
          <w:spacing w:val="-4"/>
          <w:sz w:val="24"/>
          <w:szCs w:val="24"/>
          <w:lang w:val="sr-Cyrl-CS"/>
        </w:rPr>
        <w:t>а</w:t>
      </w:r>
      <w:r w:rsidR="00DF52D6" w:rsidRPr="003954EA">
        <w:rPr>
          <w:rFonts w:ascii="Times New Roman" w:hAnsi="Times New Roman" w:cs="Times New Roman"/>
          <w:noProof/>
          <w:spacing w:val="-4"/>
          <w:sz w:val="24"/>
          <w:szCs w:val="24"/>
          <w:lang w:val="sr-Cyrl-CS"/>
        </w:rPr>
        <w:t xml:space="preserve"> </w:t>
      </w:r>
      <w:r w:rsidRPr="003954EA">
        <w:rPr>
          <w:rFonts w:ascii="Times New Roman" w:hAnsi="Times New Roman" w:cs="Times New Roman"/>
          <w:noProof/>
          <w:spacing w:val="-4"/>
          <w:sz w:val="24"/>
          <w:szCs w:val="24"/>
          <w:lang w:val="sr-Cyrl-CS"/>
        </w:rPr>
        <w:t xml:space="preserve">је представљање новог механизма за праћење спровођења АП за Поглавље 23. Такође, експерти ангажовани на пројекту су представили учесницима нови начин извештавања и обавезе контакт особа у складу са новим методолошким оквиром за извештавање према Нацрту ревидираног АП23, нови начин праћења и извештавања у стратешком оквиру, специфичности извештавања о повезаним стратешким документима по потпоглављима АП за Поглавље 23, као и искустава у досадашњем процесу извештавања о спровођењу АП23. </w:t>
      </w:r>
    </w:p>
    <w:p w14:paraId="5337D47D"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1FDF9090" w14:textId="4C28C7CF"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Запослени у </w:t>
      </w:r>
      <w:r w:rsidR="000E3D88">
        <w:rPr>
          <w:rFonts w:ascii="Times New Roman" w:hAnsi="Times New Roman" w:cs="Times New Roman"/>
          <w:noProof/>
          <w:spacing w:val="-4"/>
          <w:sz w:val="24"/>
          <w:szCs w:val="24"/>
          <w:lang w:val="sr-Cyrl-CS"/>
        </w:rPr>
        <w:t>Управи</w:t>
      </w:r>
      <w:r w:rsidRPr="003954EA">
        <w:rPr>
          <w:rFonts w:ascii="Times New Roman" w:hAnsi="Times New Roman" w:cs="Times New Roman"/>
          <w:noProof/>
          <w:spacing w:val="-4"/>
          <w:sz w:val="24"/>
          <w:szCs w:val="24"/>
          <w:lang w:val="sr-Cyrl-CS"/>
        </w:rPr>
        <w:t xml:space="preserve"> су у организацији пројекта „Подршка даљем унапређењу јавних набавки у Републици Србији“ ИПА 2013, учестовали на радионици под називом „Електронске јавне набавке – нови Портал јавних набавки и функционалности Портала“ у оквиру Модула 4: Спровођење поступка са више фаза, оквирни споразуми, системи динамичне набавке, е-захтев за заштиту права, која је одржана у 27. септембра 2019. године у Београду. Запослени у </w:t>
      </w:r>
      <w:r w:rsidR="000E3D88">
        <w:rPr>
          <w:rFonts w:ascii="Times New Roman" w:hAnsi="Times New Roman" w:cs="Times New Roman"/>
          <w:noProof/>
          <w:spacing w:val="-4"/>
          <w:sz w:val="24"/>
          <w:szCs w:val="24"/>
          <w:lang w:val="sr-Cyrl-CS"/>
        </w:rPr>
        <w:t>Управи</w:t>
      </w:r>
      <w:r w:rsidRPr="003954EA">
        <w:rPr>
          <w:rFonts w:ascii="Times New Roman" w:hAnsi="Times New Roman" w:cs="Times New Roman"/>
          <w:noProof/>
          <w:spacing w:val="-4"/>
          <w:sz w:val="24"/>
          <w:szCs w:val="24"/>
          <w:lang w:val="sr-Cyrl-CS"/>
        </w:rPr>
        <w:t xml:space="preserve"> су имали прилику да се упознају са новим и унапређеним опцијама које нови Портал пружа, као што су демонстрација рестриктивног поступка јавне набавке, поновно отварање конкуренције у оквирном споразуму са више понуђача, као и многе друге.  </w:t>
      </w:r>
    </w:p>
    <w:p w14:paraId="5EB9A3ED"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12D29D1B" w14:textId="0B1FA67C"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Представници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присуст</w:t>
      </w:r>
      <w:r w:rsidR="00DF52D6">
        <w:rPr>
          <w:rFonts w:ascii="Times New Roman" w:hAnsi="Times New Roman" w:cs="Times New Roman"/>
          <w:noProof/>
          <w:spacing w:val="-4"/>
          <w:sz w:val="24"/>
          <w:szCs w:val="24"/>
          <w:lang w:val="sr-Cyrl-CS"/>
        </w:rPr>
        <w:t>в</w:t>
      </w:r>
      <w:r w:rsidRPr="003954EA">
        <w:rPr>
          <w:rFonts w:ascii="Times New Roman" w:hAnsi="Times New Roman" w:cs="Times New Roman"/>
          <w:noProof/>
          <w:spacing w:val="-4"/>
          <w:sz w:val="24"/>
          <w:szCs w:val="24"/>
          <w:lang w:val="sr-Cyrl-CS"/>
        </w:rPr>
        <w:t xml:space="preserve">овали су дводневној обуци под називом: „Основе јавних набавки и управљање уговорима (ПРАГ)“ 1. и 2. октобра 2019. године у просторијама Националне академија за јавну управу. На обуци су се полазници упознали са основним карактеристике ИПА фондова и системом спровођења ИПА, Приручник о процедурама (садржај, намена, структура), Врстама уговора по ПРАГ правилима (уговори о услугама, оквирни уговори, уговори о набавци робе, уговори о радовима, уговори о грантовима, твининг уговори), и на практичан начин се упознали са фазама набавке као што су припрема тендерске документације, поступак оцењивања понуде, уговарање, спровођење... </w:t>
      </w:r>
    </w:p>
    <w:p w14:paraId="34E1DEC4"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582BC364" w14:textId="3B412ED7"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Представник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похађао је обуку под називом „Јавни наступ и вештине презентације“ која је одржана 8. октобра у оквиру Националне академије за јавну управу.</w:t>
      </w:r>
    </w:p>
    <w:p w14:paraId="21F3CA64"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23EC6485" w14:textId="1A36B5C4"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Представни</w:t>
      </w:r>
      <w:r w:rsidR="000E3D88">
        <w:rPr>
          <w:rFonts w:ascii="Times New Roman" w:hAnsi="Times New Roman" w:cs="Times New Roman"/>
          <w:noProof/>
          <w:spacing w:val="-4"/>
          <w:sz w:val="24"/>
          <w:szCs w:val="24"/>
          <w:lang w:val="sr-Cyrl-CS"/>
        </w:rPr>
        <w:t>к Управе</w:t>
      </w:r>
      <w:r w:rsidRPr="003954EA">
        <w:rPr>
          <w:rFonts w:ascii="Times New Roman" w:hAnsi="Times New Roman" w:cs="Times New Roman"/>
          <w:noProof/>
          <w:spacing w:val="-4"/>
          <w:sz w:val="24"/>
          <w:szCs w:val="24"/>
          <w:lang w:val="sr-Cyrl-CS"/>
        </w:rPr>
        <w:t xml:space="preserve"> похађао је обуку на тему „Решавање конфликата и превазилажење стреса“ која је организована 17. октобра од стране Националне академије за јавну управу.</w:t>
      </w:r>
    </w:p>
    <w:p w14:paraId="3ED915DD" w14:textId="77777777"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 </w:t>
      </w:r>
    </w:p>
    <w:p w14:paraId="29288711" w14:textId="7BD2B22D"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lastRenderedPageBreak/>
        <w:t xml:space="preserve">Представник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присуствовао је дводневној обуци под називом „Вредновање радне успешности“, одржане 31. октобра и 1. новембра 2019. године у просторијама Националне академије за јавну управу. Полазници обуке су се, кроз теорију и практичан рад, упознали са основним принципима у вредновању радне успешности, поступком утврђивања годишњих циљева организационих јединица, мерилима радне успешности и начинима вредновања, припремом извештаја о вредновању радне успешности, као и о последицама вредновања радне успешности.</w:t>
      </w:r>
    </w:p>
    <w:p w14:paraId="12D27178"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2E57B75A" w14:textId="780733AE"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Представници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су присустовали обуци под називом „Радионица на тему примене критеријума економски најповољније понуде у спровођењу поступака јавних набавки“ у организацији УНДП-а, која је организована 21. и 22. октобра 2019. године у Врднику. Тема обуке било је представљање критеријума за доделу уговора према предлогу новог Закона о јавним набавкама. </w:t>
      </w:r>
    </w:p>
    <w:p w14:paraId="7621B85B"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06AA71E6" w14:textId="6EFEBF34"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Представник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је присуствовао обуци под називом „Извештавање о спровођењу Акционог плана за Поглавље 23“ која је одржана 29. октобра 2019. године у Клубу посланика у Београду, у организацији Министарства правде и уз подршку ИПА пројекта „ЕУ за правду“.  Ова обука била је наставак  обуке о унапређењу извештавања о спровођењу Акционог плана за Поглавље 23 која је одржана од 24. до 25. септембра 2019. Фокус ове обуке јесте додатно унапређење  знања и вештина за које су утврђене потребе након прве обуке. На обуци је било речи о развоју догађаја у вези са Акционим планом 23, као и у вези са механизмом координације. Још један специфични циљ ове обуке био је да се учесници упознају са Нацртом Приручника за праћење и извештавање о спровођењу АП 23, а била је ово и прилика за учеснике да разговарају и укажу на могућа питања везана за надзор и извештавање, у складу са показатељима резултата и утицаја.</w:t>
      </w:r>
    </w:p>
    <w:p w14:paraId="53E03B54"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5C50D6E3" w14:textId="3AABA724"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Током октобра и новембра, одржано је осам практичних радионица о коришћењу новог Портала јавних набавки у</w:t>
      </w:r>
      <w:r w:rsidRPr="003954EA">
        <w:t xml:space="preserve"> </w:t>
      </w:r>
      <w:r w:rsidRPr="003954EA">
        <w:rPr>
          <w:rFonts w:ascii="Times New Roman" w:hAnsi="Times New Roman" w:cs="Times New Roman"/>
          <w:noProof/>
          <w:spacing w:val="-4"/>
          <w:sz w:val="24"/>
          <w:szCs w:val="24"/>
          <w:lang w:val="sr-Cyrl-CS"/>
        </w:rPr>
        <w:t xml:space="preserve">Београду, Пожаревцу, Новом Саду, Суботици, Нишу, Лесковцу, Краљеву и Крагујевцу у организацији </w:t>
      </w:r>
      <w:r w:rsidR="000E3D88">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и у сарадњи са Привредном комором Србије. Наведене радионице широм Србије одржане су уз подршку Пројекта „Подршка даљем унапређењу система јавних набавки у РС“. Радионице су окупиле велики број понуђача и наручиоца. На свакој од обука, представници Управе за јавне набавке су предочили најзначајније новине Предлога Закона о јавним набавкама, док су више о Порталу учесницима представили представници Пројекта и Управе. Радионице су укључиле основне функционалности нужне за припрему за коришћење Портала – како изгледа Портал, како се региструје корисник, како се припремају, објављују, прегледају и анализирају планови јавних набавки. Поред тога, учесници су радити практичне вежбе на Порталу и упознати се са детаљима спровођења отвореног поступка јавних набавки, начином објављивања јавног позива и конкурсне документације, појашњењима, изменама конкурсне документације, подношењем и отварањем понуда, као и доделом уговора и подношењем захтева за заштиту права.</w:t>
      </w:r>
    </w:p>
    <w:p w14:paraId="2450A659"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450A5CAE" w14:textId="53863A26"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Други и трећи по реду Форуми јавних набавки одржани су 27. и 28. новембра у Палати Србије, са циљем да се учесницима представе најзначаније новости тренутне реформе с</w:t>
      </w:r>
      <w:r w:rsidR="00FA2A15">
        <w:rPr>
          <w:rFonts w:ascii="Times New Roman" w:hAnsi="Times New Roman" w:cs="Times New Roman"/>
          <w:noProof/>
          <w:spacing w:val="-4"/>
          <w:sz w:val="24"/>
          <w:szCs w:val="24"/>
          <w:lang w:val="sr-Cyrl-CS"/>
        </w:rPr>
        <w:t>истема јавних набавки у Србији.. Догађај је организовала Управа</w:t>
      </w:r>
      <w:r w:rsidRPr="003954EA">
        <w:rPr>
          <w:rFonts w:ascii="Times New Roman" w:hAnsi="Times New Roman" w:cs="Times New Roman"/>
          <w:noProof/>
          <w:spacing w:val="-4"/>
          <w:sz w:val="24"/>
          <w:szCs w:val="24"/>
          <w:lang w:val="sr-Cyrl-CS"/>
        </w:rPr>
        <w:t xml:space="preserve"> уз подршку пројекта „Подршка даљем унапређењу система јавних набавки у Србији“ ИПА 2013. Наручиоци из централних државних органа су на форуму, у форми једнодневних обука, имали прилике да дискутују о Предлогу новог Законa о јавним набавкама који треба да крене са применом 1. јула 2020. године. Поред представљања Закона, учесници су прошли кроз показне вежбе и практични део рада на новом Порталу јавних набавки, где су имали прилике да се упознају са најважнијим функционалностима </w:t>
      </w:r>
      <w:r w:rsidRPr="003954EA">
        <w:rPr>
          <w:rFonts w:ascii="Times New Roman" w:hAnsi="Times New Roman" w:cs="Times New Roman"/>
          <w:noProof/>
          <w:spacing w:val="-4"/>
          <w:sz w:val="24"/>
          <w:szCs w:val="24"/>
          <w:lang w:val="sr-Cyrl-CS"/>
        </w:rPr>
        <w:lastRenderedPageBreak/>
        <w:t>новог Портала. Овај догађај представља веома корисну платформу за експерте у области јавних набавки за размену инфомација, ставова и мишљења у погледу најновијих решења у области јавних набавки. Подсетимо, први Форум јавних набавки, одржан у мају прошле године, окупио је око 60 учесника на дводневној конференцији, на коме су домаћи и страни експерти имали прилике да поделе своја искуства.</w:t>
      </w:r>
    </w:p>
    <w:p w14:paraId="39924977"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3C19344B" w14:textId="3E3B22B0"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Представник </w:t>
      </w:r>
      <w:r w:rsidR="00FA2A15">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учествовао је на обуци на тему „</w:t>
      </w:r>
      <w:r w:rsidRPr="00B869DA">
        <w:rPr>
          <w:rFonts w:ascii="Times New Roman" w:hAnsi="Times New Roman" w:cs="Times New Roman"/>
          <w:noProof/>
          <w:spacing w:val="-4"/>
          <w:sz w:val="24"/>
          <w:szCs w:val="24"/>
          <w:lang w:val="sr-Cyrl-CS"/>
        </w:rPr>
        <w:t>Радно законодавство“ које организовано од стране Националне академије за јавну управу 6. децембра  2019. године.</w:t>
      </w:r>
    </w:p>
    <w:p w14:paraId="2DF807D3"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1F50F6AE" w14:textId="281BC894" w:rsidR="003954EA" w:rsidRP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Представник </w:t>
      </w:r>
      <w:r w:rsidR="00FA2A15">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присуствовао је семинару под називом: „Економска дипломатија: ми-ЕУ-свет“ који је одржан у просторијама Министарства за европске интеграције 12. децембра 2019. године. Током семинара, учесници су се, између осталог, упознали са концептом, садржаје и значајем економске дипломатије, односом економске дипломатије у свету и Републици Србији, економском дипломатијом у Бриселу и економском дипломатијом ЕУ у свету, као и значају лобирање у ЕУ.</w:t>
      </w:r>
    </w:p>
    <w:p w14:paraId="00144090" w14:textId="77777777" w:rsidR="003954EA" w:rsidRPr="003954EA" w:rsidRDefault="003954EA" w:rsidP="003954EA">
      <w:pPr>
        <w:spacing w:after="0"/>
        <w:jc w:val="both"/>
        <w:rPr>
          <w:rFonts w:ascii="Times New Roman" w:hAnsi="Times New Roman" w:cs="Times New Roman"/>
          <w:noProof/>
          <w:spacing w:val="-4"/>
          <w:sz w:val="24"/>
          <w:szCs w:val="24"/>
          <w:lang w:val="sr-Cyrl-CS"/>
        </w:rPr>
      </w:pPr>
    </w:p>
    <w:p w14:paraId="23FD9581" w14:textId="738B5B67" w:rsidR="003954EA" w:rsidRDefault="003954EA" w:rsidP="003954EA">
      <w:pPr>
        <w:spacing w:after="0"/>
        <w:jc w:val="both"/>
        <w:rPr>
          <w:rFonts w:ascii="Times New Roman" w:hAnsi="Times New Roman" w:cs="Times New Roman"/>
          <w:noProof/>
          <w:spacing w:val="-4"/>
          <w:sz w:val="24"/>
          <w:szCs w:val="24"/>
          <w:lang w:val="sr-Cyrl-CS"/>
        </w:rPr>
      </w:pPr>
      <w:r w:rsidRPr="003954EA">
        <w:rPr>
          <w:rFonts w:ascii="Times New Roman" w:hAnsi="Times New Roman" w:cs="Times New Roman"/>
          <w:noProof/>
          <w:spacing w:val="-4"/>
          <w:sz w:val="24"/>
          <w:szCs w:val="24"/>
          <w:lang w:val="sr-Cyrl-CS"/>
        </w:rPr>
        <w:t xml:space="preserve">Представник </w:t>
      </w:r>
      <w:r w:rsidR="00FA2A15">
        <w:rPr>
          <w:rFonts w:ascii="Times New Roman" w:hAnsi="Times New Roman" w:cs="Times New Roman"/>
          <w:noProof/>
          <w:spacing w:val="-4"/>
          <w:sz w:val="24"/>
          <w:szCs w:val="24"/>
          <w:lang w:val="sr-Cyrl-CS"/>
        </w:rPr>
        <w:t>Управе</w:t>
      </w:r>
      <w:r w:rsidRPr="003954EA">
        <w:rPr>
          <w:rFonts w:ascii="Times New Roman" w:hAnsi="Times New Roman" w:cs="Times New Roman"/>
          <w:noProof/>
          <w:spacing w:val="-4"/>
          <w:sz w:val="24"/>
          <w:szCs w:val="24"/>
          <w:lang w:val="sr-Cyrl-CS"/>
        </w:rPr>
        <w:t xml:space="preserve"> учестовао је у радионици на којој је представљен нови интернет интерфејс/алат за видљивост пројеката који се финансирају из средстава ЕУ који ће бити примењен на садашње и будуће пројекте. Радионица је организована 23. децембра 2019. године у Српско-Корејско информационом приступном центру (СКИП центру) од стране Делегације ЕУ у Београду у сарадњи са Министарством за европске интеграције и Министарством финансија – CFCU. Главни циљ радионице био је да се представи корак по корак ново комуникацијско средство - веб платформа ЕУ пројеката. Овај алат ће бити јединствен извор информација који ће објединити све пројекте на једном месту, доступан широј јавности. Све активности које финансира ЕУ биће представљене на једном порталу у циљу постизања кохерентније и ефикасније комуникације о пројектима и секторима.</w:t>
      </w:r>
    </w:p>
    <w:p w14:paraId="36EA827F" w14:textId="7C870184" w:rsidR="00BB7785" w:rsidRDefault="00BB7785" w:rsidP="00BB7785">
      <w:pPr>
        <w:spacing w:after="0"/>
        <w:jc w:val="both"/>
        <w:rPr>
          <w:rFonts w:ascii="Times New Roman" w:hAnsi="Times New Roman" w:cs="Times New Roman"/>
          <w:noProof/>
          <w:spacing w:val="-4"/>
          <w:sz w:val="24"/>
          <w:szCs w:val="24"/>
          <w:lang w:val="sr-Cyrl-CS"/>
        </w:rPr>
      </w:pPr>
    </w:p>
    <w:p w14:paraId="7BCBE581" w14:textId="20DC2A54" w:rsidR="00BB7785" w:rsidRPr="00096476" w:rsidRDefault="00BB7785" w:rsidP="00096476">
      <w:pPr>
        <w:spacing w:after="0"/>
        <w:outlineLvl w:val="5"/>
        <w:rPr>
          <w:rFonts w:ascii="Times New Roman" w:eastAsia="Times New Roman" w:hAnsi="Times New Roman" w:cs="Times New Roman"/>
          <w:b/>
          <w:sz w:val="24"/>
          <w:szCs w:val="24"/>
          <w:lang w:val="sr-Cyrl-CS" w:eastAsia="en-US"/>
        </w:rPr>
      </w:pPr>
      <w:r w:rsidRPr="00096476">
        <w:rPr>
          <w:rFonts w:ascii="Times New Roman" w:eastAsia="Times New Roman" w:hAnsi="Times New Roman" w:cs="Times New Roman"/>
          <w:b/>
          <w:sz w:val="24"/>
          <w:szCs w:val="24"/>
          <w:lang w:eastAsia="en-US"/>
        </w:rPr>
        <w:t>Мишљења и тумачења</w:t>
      </w:r>
    </w:p>
    <w:p w14:paraId="63265DBF" w14:textId="77777777" w:rsidR="00BB7785" w:rsidRPr="00364984" w:rsidRDefault="00BB7785" w:rsidP="00BB7785">
      <w:pPr>
        <w:spacing w:after="0"/>
        <w:jc w:val="both"/>
        <w:outlineLvl w:val="5"/>
        <w:rPr>
          <w:rFonts w:ascii="Times New Roman" w:eastAsia="Times New Roman" w:hAnsi="Times New Roman" w:cs="Times New Roman"/>
          <w:b/>
          <w:sz w:val="24"/>
          <w:szCs w:val="24"/>
          <w:u w:val="single"/>
          <w:lang w:eastAsia="en-US"/>
        </w:rPr>
      </w:pPr>
    </w:p>
    <w:p w14:paraId="58308145" w14:textId="7FF57921" w:rsidR="00BB7785" w:rsidRPr="001A7236" w:rsidRDefault="008D0137" w:rsidP="00BB7785">
      <w:pPr>
        <w:spacing w:after="0"/>
        <w:jc w:val="both"/>
        <w:outlineLvl w:val="5"/>
        <w:rPr>
          <w:rFonts w:ascii="Times New Roman" w:eastAsia="Times New Roman" w:hAnsi="Times New Roman" w:cs="Times New Roman"/>
          <w:sz w:val="24"/>
          <w:szCs w:val="24"/>
          <w:lang w:eastAsia="en-US"/>
        </w:rPr>
      </w:pPr>
      <w:r w:rsidRPr="00364984">
        <w:rPr>
          <w:rFonts w:ascii="Times New Roman" w:eastAsia="Times New Roman" w:hAnsi="Times New Roman" w:cs="Times New Roman"/>
          <w:sz w:val="24"/>
          <w:szCs w:val="24"/>
          <w:lang w:eastAsia="en-US"/>
        </w:rPr>
        <w:t>У скла</w:t>
      </w:r>
      <w:r w:rsidR="00092A7A">
        <w:rPr>
          <w:rFonts w:ascii="Times New Roman" w:eastAsia="Times New Roman" w:hAnsi="Times New Roman" w:cs="Times New Roman"/>
          <w:sz w:val="24"/>
          <w:szCs w:val="24"/>
          <w:lang w:eastAsia="en-US"/>
        </w:rPr>
        <w:t>ду са чланом 136. Закона, у 2019</w:t>
      </w:r>
      <w:r w:rsidRPr="00364984">
        <w:rPr>
          <w:rFonts w:ascii="Times New Roman" w:eastAsia="Times New Roman" w:hAnsi="Times New Roman" w:cs="Times New Roman"/>
          <w:sz w:val="24"/>
          <w:szCs w:val="24"/>
          <w:lang w:eastAsia="en-US"/>
        </w:rPr>
        <w:t>. години, Управа</w:t>
      </w:r>
      <w:r w:rsidR="00BB7785" w:rsidRPr="00364984">
        <w:rPr>
          <w:rFonts w:ascii="Times New Roman" w:eastAsia="Times New Roman" w:hAnsi="Times New Roman" w:cs="Times New Roman"/>
          <w:sz w:val="24"/>
          <w:szCs w:val="24"/>
          <w:lang w:eastAsia="en-US"/>
        </w:rPr>
        <w:t xml:space="preserve"> је дала</w:t>
      </w:r>
      <w:r w:rsidR="00BB7785" w:rsidRPr="00364984">
        <w:rPr>
          <w:rFonts w:ascii="Times New Roman" w:eastAsia="Times New Roman" w:hAnsi="Times New Roman" w:cs="Times New Roman"/>
          <w:bCs/>
          <w:sz w:val="24"/>
          <w:szCs w:val="24"/>
        </w:rPr>
        <w:t xml:space="preserve"> </w:t>
      </w:r>
      <w:r w:rsidR="00096476">
        <w:rPr>
          <w:rFonts w:ascii="Times New Roman" w:eastAsia="Times New Roman" w:hAnsi="Times New Roman" w:cs="Times New Roman"/>
          <w:sz w:val="24"/>
          <w:szCs w:val="24"/>
          <w:lang w:eastAsia="en-US"/>
        </w:rPr>
        <w:t>197</w:t>
      </w:r>
      <w:r w:rsidR="00BB7785" w:rsidRPr="00364984">
        <w:rPr>
          <w:rFonts w:ascii="Times New Roman" w:eastAsia="Times New Roman" w:hAnsi="Times New Roman" w:cs="Times New Roman"/>
          <w:sz w:val="24"/>
          <w:szCs w:val="24"/>
          <w:lang w:eastAsia="en-US"/>
        </w:rPr>
        <w:t xml:space="preserve"> мишљења о</w:t>
      </w:r>
      <w:r w:rsidRPr="00364984">
        <w:rPr>
          <w:rFonts w:ascii="Times New Roman" w:eastAsia="Times New Roman" w:hAnsi="Times New Roman" w:cs="Times New Roman"/>
          <w:sz w:val="24"/>
          <w:szCs w:val="24"/>
          <w:lang w:eastAsia="en-US"/>
        </w:rPr>
        <w:t xml:space="preserve"> тумачењу и примени одредаба Закон</w:t>
      </w:r>
      <w:r w:rsidR="002E0EC4">
        <w:rPr>
          <w:rFonts w:ascii="Times New Roman" w:eastAsia="Times New Roman" w:hAnsi="Times New Roman" w:cs="Times New Roman"/>
          <w:sz w:val="24"/>
          <w:szCs w:val="24"/>
          <w:lang w:eastAsia="en-US"/>
        </w:rPr>
        <w:t>а.</w:t>
      </w:r>
      <w:r w:rsidR="00F920E3" w:rsidRPr="00364984">
        <w:rPr>
          <w:rFonts w:ascii="Times New Roman" w:eastAsia="Times New Roman" w:hAnsi="Times New Roman" w:cs="Times New Roman"/>
          <w:sz w:val="24"/>
          <w:szCs w:val="24"/>
          <w:lang w:eastAsia="en-US"/>
        </w:rPr>
        <w:t xml:space="preserve"> У истом периоду Управа</w:t>
      </w:r>
      <w:r w:rsidR="00BB7785" w:rsidRPr="00364984">
        <w:rPr>
          <w:rFonts w:ascii="Times New Roman" w:eastAsia="Times New Roman" w:hAnsi="Times New Roman" w:cs="Times New Roman"/>
          <w:sz w:val="24"/>
          <w:szCs w:val="24"/>
          <w:lang w:eastAsia="en-US"/>
        </w:rPr>
        <w:t xml:space="preserve"> је дала и </w:t>
      </w:r>
      <w:r w:rsidR="00096476">
        <w:rPr>
          <w:rFonts w:ascii="Times New Roman" w:hAnsi="Times New Roman" w:cs="Times New Roman"/>
          <w:sz w:val="24"/>
          <w:szCs w:val="24"/>
          <w:lang w:val="sr-Latn-RS"/>
        </w:rPr>
        <w:t>2.017</w:t>
      </w:r>
      <w:r w:rsidR="00BB7785" w:rsidRPr="00364984">
        <w:rPr>
          <w:rFonts w:ascii="Times New Roman" w:hAnsi="Times New Roman" w:cs="Times New Roman"/>
          <w:sz w:val="24"/>
          <w:szCs w:val="24"/>
        </w:rPr>
        <w:t xml:space="preserve"> м</w:t>
      </w:r>
      <w:r w:rsidR="001A7236">
        <w:rPr>
          <w:rFonts w:ascii="Times New Roman" w:eastAsia="Times New Roman" w:hAnsi="Times New Roman" w:cs="Times New Roman"/>
          <w:sz w:val="24"/>
          <w:szCs w:val="24"/>
          <w:lang w:eastAsia="en-US"/>
        </w:rPr>
        <w:t>ишљења</w:t>
      </w:r>
      <w:r w:rsidR="00BB7785" w:rsidRPr="00364984">
        <w:rPr>
          <w:rFonts w:ascii="Times New Roman" w:eastAsia="Times New Roman" w:hAnsi="Times New Roman" w:cs="Times New Roman"/>
          <w:sz w:val="24"/>
          <w:szCs w:val="24"/>
          <w:lang w:eastAsia="en-US"/>
        </w:rPr>
        <w:t xml:space="preserve"> о основаности примене преговарачког поступка без објављивања позива за подношење понуда, из </w:t>
      </w:r>
      <w:r w:rsidR="006A1904" w:rsidRPr="00364984">
        <w:rPr>
          <w:rFonts w:ascii="Times New Roman" w:eastAsia="Times New Roman" w:hAnsi="Times New Roman" w:cs="Times New Roman"/>
          <w:sz w:val="24"/>
          <w:szCs w:val="24"/>
          <w:lang w:eastAsia="en-US"/>
        </w:rPr>
        <w:t>члана 36. став 1. тач. 2)-6) Закона</w:t>
      </w:r>
      <w:r w:rsidR="00096476">
        <w:rPr>
          <w:rFonts w:ascii="Times New Roman" w:eastAsia="Times New Roman" w:hAnsi="Times New Roman" w:cs="Times New Roman"/>
          <w:sz w:val="24"/>
          <w:szCs w:val="24"/>
          <w:lang w:eastAsia="en-US"/>
        </w:rPr>
        <w:t>, од тога 1.948 позитивна, 69</w:t>
      </w:r>
      <w:r w:rsidR="001A7236">
        <w:rPr>
          <w:rFonts w:ascii="Times New Roman" w:eastAsia="Times New Roman" w:hAnsi="Times New Roman" w:cs="Times New Roman"/>
          <w:sz w:val="24"/>
          <w:szCs w:val="24"/>
          <w:lang w:eastAsia="en-US"/>
        </w:rPr>
        <w:t xml:space="preserve"> негативних, док је </w:t>
      </w:r>
      <w:r w:rsidR="001A7236" w:rsidRPr="008B74AE">
        <w:rPr>
          <w:rFonts w:ascii="Times New Roman" w:eastAsia="Times New Roman" w:hAnsi="Times New Roman" w:cs="Times New Roman"/>
          <w:sz w:val="24"/>
          <w:szCs w:val="24"/>
          <w:lang w:eastAsia="en-US"/>
        </w:rPr>
        <w:t xml:space="preserve">у </w:t>
      </w:r>
      <w:r w:rsidR="008B74AE" w:rsidRPr="008B74AE">
        <w:rPr>
          <w:rFonts w:ascii="Times New Roman" w:eastAsia="Times New Roman" w:hAnsi="Times New Roman" w:cs="Times New Roman"/>
          <w:sz w:val="24"/>
          <w:szCs w:val="24"/>
          <w:lang w:val="sr-Cyrl-CS" w:eastAsia="en-US"/>
        </w:rPr>
        <w:t xml:space="preserve">355 </w:t>
      </w:r>
      <w:r w:rsidR="00BB7785" w:rsidRPr="008B74AE">
        <w:rPr>
          <w:rFonts w:ascii="Times New Roman" w:eastAsia="Times New Roman" w:hAnsi="Times New Roman" w:cs="Times New Roman"/>
          <w:sz w:val="24"/>
          <w:szCs w:val="24"/>
          <w:lang w:eastAsia="en-US"/>
        </w:rPr>
        <w:t>захтева тражено</w:t>
      </w:r>
      <w:r w:rsidR="00BB7785" w:rsidRPr="00364984">
        <w:rPr>
          <w:rFonts w:ascii="Times New Roman" w:eastAsia="Times New Roman" w:hAnsi="Times New Roman" w:cs="Times New Roman"/>
          <w:sz w:val="24"/>
          <w:szCs w:val="24"/>
          <w:lang w:eastAsia="en-US"/>
        </w:rPr>
        <w:t xml:space="preserve"> уређење. </w:t>
      </w:r>
    </w:p>
    <w:p w14:paraId="57DC1433" w14:textId="77777777" w:rsidR="00BB7785" w:rsidRPr="00364984" w:rsidRDefault="00BB7785" w:rsidP="00BB7785">
      <w:pPr>
        <w:spacing w:after="0"/>
        <w:jc w:val="both"/>
        <w:outlineLvl w:val="5"/>
        <w:rPr>
          <w:rFonts w:ascii="Times New Roman" w:eastAsia="Times New Roman" w:hAnsi="Times New Roman" w:cs="Times New Roman"/>
          <w:sz w:val="24"/>
          <w:szCs w:val="24"/>
          <w:lang w:eastAsia="en-US"/>
        </w:rPr>
      </w:pPr>
    </w:p>
    <w:p w14:paraId="30FFC417" w14:textId="47BA9B09" w:rsidR="00BB7785" w:rsidRPr="00364984" w:rsidRDefault="00BB7785" w:rsidP="0061749D">
      <w:pPr>
        <w:spacing w:after="240"/>
        <w:jc w:val="both"/>
        <w:outlineLvl w:val="5"/>
        <w:rPr>
          <w:rFonts w:ascii="Times New Roman" w:eastAsia="Times New Roman" w:hAnsi="Times New Roman" w:cs="Times New Roman"/>
          <w:sz w:val="24"/>
          <w:szCs w:val="24"/>
          <w:lang w:eastAsia="en-US"/>
        </w:rPr>
      </w:pPr>
      <w:r w:rsidRPr="00364984">
        <w:rPr>
          <w:rFonts w:ascii="Times New Roman" w:eastAsia="Times New Roman" w:hAnsi="Times New Roman" w:cs="Times New Roman"/>
          <w:sz w:val="24"/>
          <w:szCs w:val="24"/>
          <w:lang w:eastAsia="en-US"/>
        </w:rPr>
        <w:t>Сва мишљења, позитивна и негативна, д</w:t>
      </w:r>
      <w:r w:rsidR="006A1904" w:rsidRPr="00364984">
        <w:rPr>
          <w:rFonts w:ascii="Times New Roman" w:eastAsia="Times New Roman" w:hAnsi="Times New Roman" w:cs="Times New Roman"/>
          <w:sz w:val="24"/>
          <w:szCs w:val="24"/>
          <w:lang w:eastAsia="en-US"/>
        </w:rPr>
        <w:t>ата у вези примене члана 36. Закона, Управа</w:t>
      </w:r>
      <w:r w:rsidRPr="00364984">
        <w:rPr>
          <w:rFonts w:ascii="Times New Roman" w:eastAsia="Times New Roman" w:hAnsi="Times New Roman" w:cs="Times New Roman"/>
          <w:sz w:val="24"/>
          <w:szCs w:val="24"/>
          <w:lang w:eastAsia="en-US"/>
        </w:rPr>
        <w:t xml:space="preserve"> је објавила на Порталу</w:t>
      </w:r>
      <w:r w:rsidR="006A1904" w:rsidRPr="00364984">
        <w:rPr>
          <w:rFonts w:ascii="Times New Roman" w:eastAsia="Times New Roman" w:hAnsi="Times New Roman" w:cs="Times New Roman"/>
          <w:sz w:val="24"/>
          <w:szCs w:val="24"/>
          <w:lang w:eastAsia="en-US"/>
        </w:rPr>
        <w:t xml:space="preserve"> јавних набавки. Поред тога, Управа</w:t>
      </w:r>
      <w:r w:rsidRPr="00364984">
        <w:rPr>
          <w:rFonts w:ascii="Times New Roman" w:eastAsia="Times New Roman" w:hAnsi="Times New Roman" w:cs="Times New Roman"/>
          <w:sz w:val="24"/>
          <w:szCs w:val="24"/>
          <w:lang w:eastAsia="en-US"/>
        </w:rPr>
        <w:t xml:space="preserve"> објављује на својој интернет страници о</w:t>
      </w:r>
      <w:r w:rsidRPr="00364984">
        <w:rPr>
          <w:rFonts w:ascii="Times New Roman" w:hAnsi="Times New Roman" w:cs="Times New Roman"/>
          <w:sz w:val="24"/>
          <w:szCs w:val="24"/>
          <w:lang w:eastAsia="en-US"/>
        </w:rPr>
        <w:t>дговоре на најчешћа питања постављена при захтевима за тумачењем.</w:t>
      </w:r>
    </w:p>
    <w:p w14:paraId="63991229" w14:textId="7C7F8C4A" w:rsidR="00BB7785" w:rsidRPr="00307D51" w:rsidRDefault="00BB7785" w:rsidP="00BB7785">
      <w:pPr>
        <w:jc w:val="both"/>
        <w:rPr>
          <w:rFonts w:ascii="Times New Roman" w:eastAsia="Times New Roman" w:hAnsi="Times New Roman" w:cs="Times New Roman"/>
          <w:b/>
          <w:sz w:val="24"/>
          <w:szCs w:val="24"/>
          <w:lang w:val="sr-Cyrl-CS" w:eastAsia="en-US"/>
        </w:rPr>
      </w:pPr>
      <w:r w:rsidRPr="0091136A">
        <w:rPr>
          <w:rFonts w:ascii="Times New Roman" w:eastAsia="Times New Roman" w:hAnsi="Times New Roman" w:cs="Times New Roman"/>
          <w:b/>
          <w:sz w:val="24"/>
          <w:szCs w:val="24"/>
          <w:lang w:eastAsia="en-US"/>
        </w:rPr>
        <w:t>Стручна помоћ наручиоцима и понуђачима</w:t>
      </w:r>
    </w:p>
    <w:p w14:paraId="7CFD7E42" w14:textId="5F71977F" w:rsidR="00266D1C" w:rsidRDefault="00266D1C" w:rsidP="00266D1C">
      <w:pPr>
        <w:jc w:val="both"/>
        <w:rPr>
          <w:rFonts w:ascii="Times New Roman" w:hAnsi="Times New Roman"/>
          <w:sz w:val="24"/>
          <w:szCs w:val="24"/>
          <w:lang w:eastAsia="en-US"/>
        </w:rPr>
      </w:pPr>
      <w:r>
        <w:rPr>
          <w:rFonts w:ascii="Times New Roman" w:eastAsia="Times New Roman" w:hAnsi="Times New Roman"/>
          <w:sz w:val="24"/>
          <w:szCs w:val="24"/>
          <w:lang w:eastAsia="en-US"/>
        </w:rPr>
        <w:t xml:space="preserve">Поред давања мишљења и тумачења, </w:t>
      </w:r>
      <w:r w:rsidR="00C5433C">
        <w:rPr>
          <w:rFonts w:ascii="Times New Roman" w:eastAsia="Times New Roman" w:hAnsi="Times New Roman"/>
          <w:sz w:val="24"/>
          <w:szCs w:val="24"/>
          <w:lang w:eastAsia="en-US"/>
        </w:rPr>
        <w:t>Управа</w:t>
      </w:r>
      <w:r>
        <w:rPr>
          <w:rFonts w:ascii="Times New Roman" w:eastAsia="Times New Roman" w:hAnsi="Times New Roman"/>
          <w:sz w:val="24"/>
          <w:szCs w:val="24"/>
          <w:lang w:eastAsia="en-US"/>
        </w:rPr>
        <w:t xml:space="preserve"> је, у 201</w:t>
      </w:r>
      <w:r w:rsidR="00F71206">
        <w:rPr>
          <w:rFonts w:ascii="Times New Roman" w:eastAsia="Times New Roman" w:hAnsi="Times New Roman"/>
          <w:sz w:val="24"/>
          <w:szCs w:val="24"/>
          <w:lang w:val="sr-Latn-ME" w:eastAsia="en-US"/>
        </w:rPr>
        <w:t>9</w:t>
      </w:r>
      <w:r>
        <w:rPr>
          <w:rFonts w:ascii="Times New Roman" w:eastAsia="Times New Roman" w:hAnsi="Times New Roman"/>
          <w:sz w:val="24"/>
          <w:szCs w:val="24"/>
          <w:lang w:eastAsia="en-US"/>
        </w:rPr>
        <w:t>. години, сваког радног дана пружала стручну помоћ наручиоцима и понуђачима путем консултација и то: правних консултација, п</w:t>
      </w:r>
      <w:r w:rsidR="00F71206">
        <w:rPr>
          <w:rFonts w:ascii="Times New Roman" w:eastAsia="Times New Roman" w:hAnsi="Times New Roman"/>
          <w:sz w:val="24"/>
          <w:szCs w:val="24"/>
          <w:lang w:eastAsia="en-US"/>
        </w:rPr>
        <w:t>утем телефона, у периоду од 9-11</w:t>
      </w:r>
      <w:r>
        <w:rPr>
          <w:rFonts w:ascii="Times New Roman" w:eastAsia="Times New Roman" w:hAnsi="Times New Roman"/>
          <w:sz w:val="24"/>
          <w:szCs w:val="24"/>
          <w:lang w:eastAsia="en-US"/>
        </w:rPr>
        <w:t xml:space="preserve"> часова (у просеку око 20-25 консултација дневно), као и консултација у вези са</w:t>
      </w:r>
      <w:r>
        <w:rPr>
          <w:rFonts w:ascii="Times New Roman" w:hAnsi="Times New Roman"/>
          <w:sz w:val="24"/>
          <w:szCs w:val="24"/>
          <w:lang w:eastAsia="en-US"/>
        </w:rPr>
        <w:t xml:space="preserve"> пословима планирања јавних набавки и кварталног извештавања, као и Портала, сваког радног дана, у периоду од 9-14 часова (у просеку 20 телефонских консултација дневно и око 10 консултација путем е</w:t>
      </w:r>
      <w:r w:rsidR="00DF52D6">
        <w:rPr>
          <w:rFonts w:ascii="Times New Roman" w:hAnsi="Times New Roman"/>
          <w:sz w:val="24"/>
          <w:szCs w:val="24"/>
          <w:lang w:val="sr-Cyrl-RS" w:eastAsia="en-US"/>
        </w:rPr>
        <w:t>лектронске поште</w:t>
      </w:r>
      <w:r>
        <w:rPr>
          <w:rFonts w:ascii="Times New Roman" w:hAnsi="Times New Roman"/>
          <w:sz w:val="24"/>
          <w:szCs w:val="24"/>
          <w:lang w:eastAsia="en-US"/>
        </w:rPr>
        <w:t xml:space="preserve">). </w:t>
      </w:r>
    </w:p>
    <w:p w14:paraId="23E1B3D9" w14:textId="52800895" w:rsidR="00266D1C" w:rsidRDefault="00266D1C" w:rsidP="00266D1C">
      <w:pPr>
        <w:jc w:val="both"/>
        <w:rPr>
          <w:rFonts w:ascii="Times New Roman" w:hAnsi="Times New Roman"/>
          <w:sz w:val="24"/>
          <w:szCs w:val="24"/>
          <w:lang w:eastAsia="en-US"/>
        </w:rPr>
      </w:pPr>
      <w:r>
        <w:rPr>
          <w:rFonts w:ascii="Times New Roman" w:hAnsi="Times New Roman"/>
          <w:sz w:val="24"/>
          <w:szCs w:val="24"/>
          <w:lang w:eastAsia="en-US"/>
        </w:rPr>
        <w:lastRenderedPageBreak/>
        <w:t xml:space="preserve">Поред тога, </w:t>
      </w:r>
      <w:r w:rsidR="00C5433C">
        <w:rPr>
          <w:rFonts w:ascii="Times New Roman" w:hAnsi="Times New Roman"/>
          <w:sz w:val="24"/>
          <w:szCs w:val="24"/>
          <w:lang w:eastAsia="en-US"/>
        </w:rPr>
        <w:t>Управа</w:t>
      </w:r>
      <w:r>
        <w:rPr>
          <w:rFonts w:ascii="Times New Roman" w:hAnsi="Times New Roman"/>
          <w:sz w:val="24"/>
          <w:szCs w:val="24"/>
          <w:lang w:eastAsia="en-US"/>
        </w:rPr>
        <w:t xml:space="preserve"> је одржавала, у просеку, два састанка дневно са представницима различититх институција и министарстава, као и других наручилаца. </w:t>
      </w:r>
    </w:p>
    <w:p w14:paraId="372C14FE" w14:textId="77777777" w:rsidR="003279AA" w:rsidRPr="0091136A" w:rsidRDefault="003279AA" w:rsidP="00BB7785">
      <w:pPr>
        <w:jc w:val="both"/>
        <w:rPr>
          <w:rFonts w:ascii="Times New Roman" w:eastAsia="Times New Roman" w:hAnsi="Times New Roman" w:cs="Times New Roman"/>
          <w:b/>
          <w:sz w:val="24"/>
          <w:szCs w:val="24"/>
          <w:lang w:eastAsia="en-US"/>
        </w:rPr>
      </w:pPr>
    </w:p>
    <w:p w14:paraId="50CE4C35" w14:textId="75B5E21F" w:rsidR="00BB7785" w:rsidRPr="00DC4A41" w:rsidRDefault="00BB7785" w:rsidP="00BB7785">
      <w:pPr>
        <w:spacing w:after="0"/>
        <w:jc w:val="both"/>
        <w:rPr>
          <w:rFonts w:ascii="Times New Roman" w:hAnsi="Times New Roman" w:cs="Times New Roman"/>
          <w:b/>
          <w:sz w:val="24"/>
          <w:szCs w:val="24"/>
          <w:lang w:val="sr-Cyrl-CS" w:eastAsia="en-US"/>
        </w:rPr>
      </w:pPr>
      <w:r w:rsidRPr="002F3484">
        <w:rPr>
          <w:rFonts w:ascii="Times New Roman" w:hAnsi="Times New Roman" w:cs="Times New Roman"/>
          <w:b/>
          <w:sz w:val="24"/>
          <w:szCs w:val="24"/>
          <w:lang w:eastAsia="en-US"/>
        </w:rPr>
        <w:t>Надзор</w:t>
      </w:r>
    </w:p>
    <w:p w14:paraId="154E6320" w14:textId="07210BBE" w:rsidR="00BB7785" w:rsidRDefault="00BB7785" w:rsidP="00BB7785">
      <w:pPr>
        <w:spacing w:after="0"/>
        <w:jc w:val="both"/>
        <w:rPr>
          <w:rFonts w:ascii="Times New Roman" w:hAnsi="Times New Roman" w:cs="Times New Roman"/>
          <w:b/>
          <w:sz w:val="24"/>
          <w:szCs w:val="24"/>
          <w:lang w:eastAsia="en-US"/>
        </w:rPr>
      </w:pPr>
    </w:p>
    <w:p w14:paraId="5BF5F8EE" w14:textId="23CDDF38" w:rsidR="002F3484" w:rsidRDefault="002F3484" w:rsidP="002F3484">
      <w:pPr>
        <w:jc w:val="both"/>
        <w:rPr>
          <w:rFonts w:ascii="Times New Roman" w:eastAsia="Calibri" w:hAnsi="Times New Roman" w:cs="Calibri"/>
          <w:sz w:val="24"/>
          <w:szCs w:val="24"/>
        </w:rPr>
      </w:pPr>
      <w:r>
        <w:rPr>
          <w:rFonts w:ascii="Times New Roman" w:eastAsia="Calibri" w:hAnsi="Times New Roman" w:cs="Calibri"/>
          <w:sz w:val="24"/>
          <w:szCs w:val="24"/>
        </w:rPr>
        <w:t>Управа</w:t>
      </w:r>
      <w:r>
        <w:rPr>
          <w:rFonts w:ascii="Times New Roman" w:eastAsia="Calibri" w:hAnsi="Times New Roman" w:cs="Calibri"/>
          <w:sz w:val="24"/>
          <w:szCs w:val="24"/>
          <w:lang w:val="sr-Cyrl-RS"/>
        </w:rPr>
        <w:t xml:space="preserve"> за јавне набавке</w:t>
      </w:r>
      <w:r>
        <w:rPr>
          <w:rFonts w:ascii="Times New Roman" w:eastAsia="Calibri" w:hAnsi="Times New Roman" w:cs="Calibri"/>
          <w:sz w:val="24"/>
          <w:szCs w:val="24"/>
        </w:rPr>
        <w:t xml:space="preserve"> је Влади</w:t>
      </w:r>
      <w:r>
        <w:rPr>
          <w:rFonts w:ascii="Times New Roman" w:eastAsia="Calibri" w:hAnsi="Times New Roman" w:cs="Calibri"/>
          <w:sz w:val="24"/>
          <w:szCs w:val="24"/>
          <w:lang w:val="sr-Cyrl-RS"/>
        </w:rPr>
        <w:t xml:space="preserve"> Републике Србије</w:t>
      </w:r>
      <w:r>
        <w:rPr>
          <w:rFonts w:ascii="Times New Roman" w:eastAsia="Calibri" w:hAnsi="Times New Roman" w:cs="Calibri"/>
          <w:sz w:val="24"/>
          <w:szCs w:val="24"/>
        </w:rPr>
        <w:t xml:space="preserve"> и одбору </w:t>
      </w:r>
      <w:r>
        <w:rPr>
          <w:rFonts w:ascii="Times New Roman" w:eastAsia="Calibri" w:hAnsi="Times New Roman" w:cs="Calibri"/>
          <w:sz w:val="24"/>
          <w:szCs w:val="24"/>
          <w:lang w:val="sr-Cyrl-CS"/>
        </w:rPr>
        <w:t>Народне скупштине надле</w:t>
      </w:r>
      <w:r>
        <w:rPr>
          <w:rFonts w:ascii="Times New Roman" w:eastAsia="Calibri" w:hAnsi="Times New Roman" w:cs="Calibri"/>
          <w:sz w:val="24"/>
          <w:szCs w:val="24"/>
        </w:rPr>
        <w:t xml:space="preserve">жном за послове финансија  у складу са одредбама Закона, поднела Извештај о спроведеном надзору за </w:t>
      </w:r>
      <w:r>
        <w:rPr>
          <w:rFonts w:ascii="Times New Roman" w:eastAsia="Calibri" w:hAnsi="Times New Roman" w:cs="Calibri"/>
          <w:sz w:val="24"/>
          <w:szCs w:val="24"/>
          <w:lang w:val="sr-Cyrl-CS"/>
        </w:rPr>
        <w:t xml:space="preserve">2018. </w:t>
      </w:r>
      <w:r>
        <w:rPr>
          <w:rFonts w:ascii="Times New Roman" w:eastAsia="Calibri" w:hAnsi="Times New Roman" w:cs="Calibri"/>
          <w:sz w:val="24"/>
          <w:szCs w:val="24"/>
        </w:rPr>
        <w:t>годину</w:t>
      </w:r>
      <w:r>
        <w:rPr>
          <w:rFonts w:ascii="Times New Roman" w:eastAsia="Calibri" w:hAnsi="Times New Roman" w:cs="Calibri"/>
          <w:sz w:val="24"/>
          <w:szCs w:val="24"/>
          <w:lang w:val="sr-Latn-RS"/>
        </w:rPr>
        <w:t xml:space="preserve"> а</w:t>
      </w:r>
      <w:r>
        <w:rPr>
          <w:rFonts w:ascii="Times New Roman" w:eastAsia="Calibri" w:hAnsi="Times New Roman" w:cs="Calibri"/>
          <w:sz w:val="24"/>
          <w:szCs w:val="24"/>
          <w:lang w:val="sr-Cyrl-CS"/>
        </w:rPr>
        <w:t xml:space="preserve"> у току је израда Извештаја о спроведеном надзору за 2019. годину који ће у складу са законском </w:t>
      </w:r>
      <w:r w:rsidR="00DF52D6">
        <w:rPr>
          <w:rFonts w:ascii="Times New Roman" w:eastAsia="Calibri" w:hAnsi="Times New Roman" w:cs="Calibri"/>
          <w:sz w:val="24"/>
          <w:szCs w:val="24"/>
          <w:lang w:val="sr-Cyrl-CS"/>
        </w:rPr>
        <w:t>обавезом</w:t>
      </w:r>
      <w:r>
        <w:rPr>
          <w:rFonts w:ascii="Times New Roman" w:eastAsia="Calibri" w:hAnsi="Times New Roman" w:cs="Calibri"/>
          <w:sz w:val="24"/>
          <w:szCs w:val="24"/>
          <w:lang w:val="sr-Cyrl-CS"/>
        </w:rPr>
        <w:t xml:space="preserve">, Управа предати најкасније до дана 30. априла 2020. године. </w:t>
      </w:r>
      <w:r>
        <w:rPr>
          <w:rFonts w:ascii="Times New Roman" w:eastAsia="Calibri" w:hAnsi="Times New Roman" w:cs="Calibri"/>
          <w:sz w:val="24"/>
          <w:szCs w:val="24"/>
        </w:rPr>
        <w:t xml:space="preserve">У извештају </w:t>
      </w:r>
      <w:r>
        <w:rPr>
          <w:rFonts w:ascii="Times New Roman" w:eastAsia="Calibri" w:hAnsi="Times New Roman" w:cs="Calibri"/>
          <w:sz w:val="24"/>
          <w:szCs w:val="24"/>
          <w:lang w:val="sr-Cyrl-RS"/>
        </w:rPr>
        <w:t xml:space="preserve">ће бити дати  </w:t>
      </w:r>
      <w:r>
        <w:rPr>
          <w:rFonts w:ascii="Times New Roman" w:eastAsia="Calibri" w:hAnsi="Times New Roman" w:cs="Calibri"/>
          <w:sz w:val="24"/>
          <w:szCs w:val="24"/>
        </w:rPr>
        <w:t xml:space="preserve">предлози могућих унапређења </w:t>
      </w:r>
      <w:r>
        <w:rPr>
          <w:rFonts w:ascii="Times New Roman" w:eastAsia="Calibri" w:hAnsi="Times New Roman" w:cs="Calibri"/>
          <w:sz w:val="24"/>
          <w:szCs w:val="24"/>
          <w:lang w:val="sr-Cyrl-RS"/>
        </w:rPr>
        <w:t xml:space="preserve">како кроз примену </w:t>
      </w:r>
      <w:r>
        <w:rPr>
          <w:rFonts w:ascii="Times New Roman" w:eastAsia="Calibri" w:hAnsi="Times New Roman" w:cs="Calibri"/>
          <w:sz w:val="24"/>
          <w:szCs w:val="24"/>
        </w:rPr>
        <w:t>новог Закона о јавним набавкама</w:t>
      </w:r>
      <w:r>
        <w:rPr>
          <w:rFonts w:ascii="Times New Roman" w:eastAsia="Calibri" w:hAnsi="Times New Roman" w:cs="Calibri"/>
          <w:sz w:val="24"/>
          <w:szCs w:val="24"/>
          <w:lang w:val="sr-Cyrl-RS"/>
        </w:rPr>
        <w:t xml:space="preserve"> (,,СГ РС“ број 91/19)</w:t>
      </w:r>
      <w:r>
        <w:rPr>
          <w:rFonts w:ascii="Times New Roman" w:eastAsia="Calibri" w:hAnsi="Times New Roman" w:cs="Calibri"/>
          <w:sz w:val="24"/>
          <w:szCs w:val="24"/>
        </w:rPr>
        <w:t xml:space="preserve">, тако и </w:t>
      </w:r>
      <w:r>
        <w:rPr>
          <w:rFonts w:ascii="Times New Roman" w:eastAsia="Calibri" w:hAnsi="Times New Roman" w:cs="Calibri"/>
          <w:sz w:val="24"/>
          <w:szCs w:val="24"/>
          <w:lang w:val="sr-Cyrl-RS"/>
        </w:rPr>
        <w:t xml:space="preserve">када је реч о </w:t>
      </w:r>
      <w:r>
        <w:rPr>
          <w:rFonts w:ascii="Times New Roman" w:eastAsia="Calibri" w:hAnsi="Times New Roman" w:cs="Calibri"/>
          <w:sz w:val="24"/>
          <w:szCs w:val="24"/>
        </w:rPr>
        <w:t>спровођењу контроле и надзора над применом Закона укључујући све релевантне институције, њихове улоге и надлежности.</w:t>
      </w:r>
    </w:p>
    <w:p w14:paraId="065B975C" w14:textId="77777777" w:rsidR="002F3484" w:rsidRDefault="002F3484" w:rsidP="002F3484">
      <w:pPr>
        <w:spacing w:after="120"/>
        <w:jc w:val="both"/>
        <w:rPr>
          <w:rFonts w:ascii="Times New Roman" w:eastAsia="Calibri" w:hAnsi="Times New Roman" w:cs="Calibri"/>
          <w:sz w:val="24"/>
          <w:szCs w:val="24"/>
        </w:rPr>
      </w:pPr>
      <w:r>
        <w:rPr>
          <w:rFonts w:ascii="Times New Roman" w:eastAsia="Calibri" w:hAnsi="Times New Roman" w:cs="Calibri"/>
          <w:sz w:val="24"/>
          <w:szCs w:val="24"/>
          <w:lang w:val="sr-Cyrl-RS"/>
        </w:rPr>
        <w:t xml:space="preserve">У Извештају о спроведеном надзору за претходну годину је истакнут значај </w:t>
      </w:r>
      <w:r>
        <w:rPr>
          <w:rFonts w:ascii="Times New Roman" w:eastAsia="Calibri" w:hAnsi="Times New Roman" w:cs="Calibri"/>
          <w:sz w:val="24"/>
          <w:szCs w:val="24"/>
        </w:rPr>
        <w:t>испуњавањ</w:t>
      </w:r>
      <w:r>
        <w:rPr>
          <w:rFonts w:ascii="Times New Roman" w:eastAsia="Calibri" w:hAnsi="Times New Roman" w:cs="Calibri"/>
          <w:sz w:val="24"/>
          <w:szCs w:val="24"/>
          <w:lang w:val="sr-Cyrl-RS"/>
        </w:rPr>
        <w:t>а</w:t>
      </w:r>
      <w:r>
        <w:rPr>
          <w:rFonts w:ascii="Times New Roman" w:eastAsia="Calibri" w:hAnsi="Times New Roman" w:cs="Calibri"/>
          <w:sz w:val="24"/>
          <w:szCs w:val="24"/>
        </w:rPr>
        <w:t xml:space="preserve"> мерила за затварање поглавља 5 – Јавне набавке</w:t>
      </w:r>
      <w:r>
        <w:rPr>
          <w:rFonts w:ascii="Times New Roman" w:eastAsia="Calibri" w:hAnsi="Times New Roman" w:cs="Calibri"/>
          <w:sz w:val="24"/>
          <w:szCs w:val="24"/>
          <w:lang w:val="sr-Cyrl-RS"/>
        </w:rPr>
        <w:t>, те наглашена п</w:t>
      </w:r>
      <w:r>
        <w:rPr>
          <w:rFonts w:ascii="Times New Roman" w:eastAsia="Calibri" w:hAnsi="Times New Roman" w:cs="Calibri"/>
          <w:sz w:val="24"/>
          <w:szCs w:val="24"/>
        </w:rPr>
        <w:t>отреб</w:t>
      </w:r>
      <w:r>
        <w:rPr>
          <w:rFonts w:ascii="Times New Roman" w:eastAsia="Calibri" w:hAnsi="Times New Roman" w:cs="Calibri"/>
          <w:sz w:val="24"/>
          <w:szCs w:val="24"/>
          <w:lang w:val="sr-Cyrl-RS"/>
        </w:rPr>
        <w:t>а</w:t>
      </w:r>
      <w:r>
        <w:rPr>
          <w:rFonts w:ascii="Times New Roman" w:eastAsia="Calibri" w:hAnsi="Times New Roman" w:cs="Calibri"/>
          <w:sz w:val="24"/>
          <w:szCs w:val="24"/>
        </w:rPr>
        <w:t xml:space="preserve"> препозна</w:t>
      </w:r>
      <w:r>
        <w:rPr>
          <w:rFonts w:ascii="Times New Roman" w:eastAsia="Calibri" w:hAnsi="Times New Roman" w:cs="Calibri"/>
          <w:sz w:val="24"/>
          <w:szCs w:val="24"/>
          <w:lang w:val="sr-Cyrl-RS"/>
        </w:rPr>
        <w:t>вања</w:t>
      </w:r>
      <w:r>
        <w:rPr>
          <w:rFonts w:ascii="Times New Roman" w:eastAsia="Calibri" w:hAnsi="Times New Roman" w:cs="Calibri"/>
          <w:sz w:val="24"/>
          <w:szCs w:val="24"/>
        </w:rPr>
        <w:t xml:space="preserve"> св</w:t>
      </w:r>
      <w:r>
        <w:rPr>
          <w:rFonts w:ascii="Times New Roman" w:eastAsia="Calibri" w:hAnsi="Times New Roman" w:cs="Calibri"/>
          <w:sz w:val="24"/>
          <w:szCs w:val="24"/>
          <w:lang w:val="sr-Cyrl-RS"/>
        </w:rPr>
        <w:t>их</w:t>
      </w:r>
      <w:r>
        <w:rPr>
          <w:rFonts w:ascii="Times New Roman" w:eastAsia="Calibri" w:hAnsi="Times New Roman" w:cs="Calibri"/>
          <w:sz w:val="24"/>
          <w:szCs w:val="24"/>
        </w:rPr>
        <w:t xml:space="preserve"> захтев</w:t>
      </w:r>
      <w:r>
        <w:rPr>
          <w:rFonts w:ascii="Times New Roman" w:eastAsia="Calibri" w:hAnsi="Times New Roman" w:cs="Calibri"/>
          <w:sz w:val="24"/>
          <w:szCs w:val="24"/>
          <w:lang w:val="sr-Cyrl-RS"/>
        </w:rPr>
        <w:t>а</w:t>
      </w:r>
      <w:r>
        <w:rPr>
          <w:rFonts w:ascii="Times New Roman" w:eastAsia="Calibri" w:hAnsi="Times New Roman" w:cs="Calibri"/>
          <w:sz w:val="24"/>
          <w:szCs w:val="24"/>
        </w:rPr>
        <w:t>, мер</w:t>
      </w:r>
      <w:r>
        <w:rPr>
          <w:rFonts w:ascii="Times New Roman" w:eastAsia="Calibri" w:hAnsi="Times New Roman" w:cs="Calibri"/>
          <w:sz w:val="24"/>
          <w:szCs w:val="24"/>
          <w:lang w:val="sr-Cyrl-RS"/>
        </w:rPr>
        <w:t>а</w:t>
      </w:r>
      <w:r>
        <w:rPr>
          <w:rFonts w:ascii="Times New Roman" w:eastAsia="Calibri" w:hAnsi="Times New Roman" w:cs="Calibri"/>
          <w:sz w:val="24"/>
          <w:szCs w:val="24"/>
        </w:rPr>
        <w:t xml:space="preserve"> и активности којима се захтеви реализују, </w:t>
      </w:r>
      <w:r>
        <w:rPr>
          <w:rFonts w:ascii="Times New Roman" w:eastAsia="Calibri" w:hAnsi="Times New Roman" w:cs="Calibri"/>
          <w:sz w:val="24"/>
          <w:szCs w:val="24"/>
          <w:lang w:val="sr-Cyrl-RS"/>
        </w:rPr>
        <w:t>и</w:t>
      </w:r>
      <w:r>
        <w:rPr>
          <w:rFonts w:ascii="Times New Roman" w:eastAsia="Calibri" w:hAnsi="Times New Roman" w:cs="Calibri"/>
          <w:sz w:val="24"/>
          <w:szCs w:val="24"/>
        </w:rPr>
        <w:t xml:space="preserve"> извештавања кој</w:t>
      </w:r>
      <w:r>
        <w:rPr>
          <w:rFonts w:ascii="Times New Roman" w:eastAsia="Calibri" w:hAnsi="Times New Roman" w:cs="Calibri"/>
          <w:sz w:val="24"/>
          <w:szCs w:val="24"/>
          <w:lang w:val="sr-Cyrl-RS"/>
        </w:rPr>
        <w:t>е</w:t>
      </w:r>
      <w:r>
        <w:rPr>
          <w:rFonts w:ascii="Times New Roman" w:eastAsia="Calibri" w:hAnsi="Times New Roman" w:cs="Calibri"/>
          <w:sz w:val="24"/>
          <w:szCs w:val="24"/>
        </w:rPr>
        <w:t xml:space="preserve"> ће подразумевати размену и прибављање података од различитих институција, по различитим мерама и показатељима.</w:t>
      </w:r>
    </w:p>
    <w:p w14:paraId="02CA502F" w14:textId="76F0F400" w:rsidR="002F3484" w:rsidRDefault="002F3484" w:rsidP="002F3484">
      <w:pPr>
        <w:spacing w:after="1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 xml:space="preserve">У вршењу надзора над применом Закона, УЈН је у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2019</w:t>
      </w:r>
      <w:r>
        <w:rPr>
          <w:rFonts w:ascii="Times New Roman" w:eastAsia="Calibri" w:hAnsi="Times New Roman" w:cs="Times New Roman"/>
          <w:sz w:val="24"/>
          <w:szCs w:val="24"/>
          <w:lang w:val="sr-Cyrl-RS"/>
        </w:rPr>
        <w:t>.</w:t>
      </w:r>
      <w:r>
        <w:rPr>
          <w:rFonts w:ascii="Times New Roman" w:eastAsia="Calibri" w:hAnsi="Times New Roman" w:cs="Times New Roman"/>
          <w:sz w:val="24"/>
          <w:szCs w:val="24"/>
        </w:rPr>
        <w:t xml:space="preserve"> годин</w:t>
      </w:r>
      <w:r>
        <w:rPr>
          <w:rFonts w:ascii="Times New Roman" w:eastAsia="Calibri" w:hAnsi="Times New Roman" w:cs="Times New Roman"/>
          <w:sz w:val="24"/>
          <w:szCs w:val="24"/>
          <w:lang w:val="sr-Cyrl-RS"/>
        </w:rPr>
        <w:t xml:space="preserve">и </w:t>
      </w:r>
      <w:r>
        <w:rPr>
          <w:rFonts w:ascii="Times New Roman" w:eastAsia="Calibri" w:hAnsi="Times New Roman" w:cs="Times New Roman"/>
          <w:sz w:val="24"/>
          <w:szCs w:val="24"/>
        </w:rPr>
        <w:t>поступала</w:t>
      </w:r>
      <w:r>
        <w:rPr>
          <w:rFonts w:ascii="Times New Roman" w:eastAsia="Calibri" w:hAnsi="Times New Roman" w:cs="Times New Roman"/>
          <w:sz w:val="24"/>
          <w:szCs w:val="24"/>
          <w:lang w:val="sr-Cyrl-RS"/>
        </w:rPr>
        <w:t xml:space="preserve"> по основу 78 захтева достављених од стране овлашћених субјеката. </w:t>
      </w:r>
    </w:p>
    <w:p w14:paraId="2672D18D" w14:textId="551A970F" w:rsidR="002F3484" w:rsidRDefault="002F3484" w:rsidP="002F3484">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Од наведеног броја, УЈН је поступала </w:t>
      </w:r>
      <w:r>
        <w:rPr>
          <w:rFonts w:ascii="Times New Roman" w:eastAsia="Calibri" w:hAnsi="Times New Roman" w:cs="Times New Roman"/>
          <w:sz w:val="24"/>
          <w:szCs w:val="24"/>
        </w:rPr>
        <w:t xml:space="preserve">по основу </w:t>
      </w:r>
      <w:r>
        <w:rPr>
          <w:rFonts w:ascii="Times New Roman" w:eastAsia="Calibri" w:hAnsi="Times New Roman" w:cs="Times New Roman"/>
          <w:sz w:val="24"/>
          <w:szCs w:val="24"/>
          <w:lang w:val="sr-Cyrl-RS"/>
        </w:rPr>
        <w:t>28</w:t>
      </w:r>
      <w:r>
        <w:rPr>
          <w:rFonts w:ascii="Times New Roman" w:eastAsia="Calibri" w:hAnsi="Times New Roman" w:cs="Times New Roman"/>
          <w:sz w:val="24"/>
          <w:szCs w:val="24"/>
        </w:rPr>
        <w:t xml:space="preserve"> захтева достављених од стране надлежних тужилаштава. </w:t>
      </w:r>
      <w:r>
        <w:rPr>
          <w:rFonts w:ascii="Times New Roman" w:eastAsia="Calibri" w:hAnsi="Times New Roman" w:cs="Times New Roman"/>
          <w:sz w:val="24"/>
          <w:szCs w:val="24"/>
          <w:lang w:val="sr-Cyrl-RS"/>
        </w:rPr>
        <w:t>Такође, у наведеном периоду</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оставарена је сарадња</w:t>
      </w:r>
      <w:r>
        <w:rPr>
          <w:rFonts w:ascii="Times New Roman" w:eastAsia="Calibri" w:hAnsi="Times New Roman" w:cs="Times New Roman"/>
          <w:sz w:val="24"/>
          <w:szCs w:val="24"/>
        </w:rPr>
        <w:t xml:space="preserve"> са полицијским управама широм Србије и </w:t>
      </w:r>
      <w:r>
        <w:rPr>
          <w:rFonts w:ascii="Times New Roman" w:eastAsia="Calibri" w:hAnsi="Times New Roman" w:cs="Times New Roman"/>
          <w:sz w:val="24"/>
          <w:szCs w:val="24"/>
          <w:lang w:val="sr-Cyrl-RS"/>
        </w:rPr>
        <w:t>по њиховим захтевима су достављени захтевани извештаји у укупно 10</w:t>
      </w:r>
      <w:r>
        <w:rPr>
          <w:rFonts w:ascii="Times New Roman" w:eastAsia="Calibri" w:hAnsi="Times New Roman" w:cs="Times New Roman"/>
          <w:sz w:val="24"/>
          <w:szCs w:val="24"/>
        </w:rPr>
        <w:t xml:space="preserve"> предмета. Као и код захтева тужилаштва, и полицијске управе су превасходно тражиле стручну помоћ УЈН при разматрању и разјашњењу конкретних питања из области јавних набавки, као и правилности поступања одређених наручилаца при спровођењу једне или више набавки. Захтеви су се претежно односили на поступање наручилаца, како по </w:t>
      </w:r>
      <w:r>
        <w:rPr>
          <w:rFonts w:ascii="Times New Roman" w:eastAsia="Calibri" w:hAnsi="Times New Roman" w:cs="Times New Roman"/>
          <w:sz w:val="24"/>
          <w:szCs w:val="24"/>
          <w:lang w:val="sr-Cyrl-RS"/>
        </w:rPr>
        <w:t xml:space="preserve">тренутно </w:t>
      </w:r>
      <w:r>
        <w:rPr>
          <w:rFonts w:ascii="Times New Roman" w:eastAsia="Calibri" w:hAnsi="Times New Roman" w:cs="Times New Roman"/>
          <w:sz w:val="24"/>
          <w:szCs w:val="24"/>
        </w:rPr>
        <w:t>важећем Закона, тако и по ЗЈН/2008.</w:t>
      </w:r>
    </w:p>
    <w:p w14:paraId="1DDDC3BA" w14:textId="77777777" w:rsidR="002F3484" w:rsidRDefault="002F3484" w:rsidP="002F34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Такође, у 2019. години</w:t>
      </w:r>
      <w:r>
        <w:rPr>
          <w:rFonts w:ascii="Times New Roman" w:eastAsia="Calibri" w:hAnsi="Times New Roman" w:cs="Times New Roman"/>
          <w:sz w:val="24"/>
          <w:szCs w:val="24"/>
        </w:rPr>
        <w:t xml:space="preserve">, УЈН је поступала у </w:t>
      </w:r>
      <w:r>
        <w:rPr>
          <w:rFonts w:ascii="Times New Roman" w:eastAsia="Calibri" w:hAnsi="Times New Roman" w:cs="Times New Roman"/>
          <w:sz w:val="24"/>
          <w:szCs w:val="24"/>
          <w:lang w:val="sr-Cyrl-RS"/>
        </w:rPr>
        <w:t>9</w:t>
      </w:r>
      <w:r>
        <w:rPr>
          <w:rFonts w:ascii="Times New Roman" w:eastAsia="Calibri" w:hAnsi="Times New Roman" w:cs="Times New Roman"/>
          <w:sz w:val="24"/>
          <w:szCs w:val="24"/>
        </w:rPr>
        <w:t xml:space="preserve"> захтева достављена од </w:t>
      </w:r>
      <w:r>
        <w:rPr>
          <w:rFonts w:ascii="Times New Roman" w:eastAsia="Calibri" w:hAnsi="Times New Roman" w:cs="Times New Roman"/>
          <w:sz w:val="24"/>
          <w:szCs w:val="24"/>
          <w:lang w:val="sr-Cyrl-RS"/>
        </w:rPr>
        <w:t xml:space="preserve">стране </w:t>
      </w:r>
      <w:r>
        <w:rPr>
          <w:rFonts w:ascii="Times New Roman" w:eastAsia="Calibri" w:hAnsi="Times New Roman" w:cs="Times New Roman"/>
          <w:sz w:val="24"/>
          <w:szCs w:val="24"/>
        </w:rPr>
        <w:t xml:space="preserve">Агенције за борбу против корупције, као и </w:t>
      </w:r>
      <w:r>
        <w:rPr>
          <w:rFonts w:ascii="Times New Roman" w:eastAsia="Calibri" w:hAnsi="Times New Roman" w:cs="Times New Roman"/>
          <w:sz w:val="24"/>
          <w:szCs w:val="24"/>
          <w:lang w:val="sr-Cyrl-RS"/>
        </w:rPr>
        <w:t>по једном захтеву поднетом од стране надлежног суда.</w:t>
      </w:r>
    </w:p>
    <w:p w14:paraId="5FAA7535" w14:textId="77777777" w:rsidR="002F3484" w:rsidRDefault="002F3484" w:rsidP="002F3484">
      <w:pPr>
        <w:spacing w:after="0"/>
        <w:jc w:val="both"/>
        <w:rPr>
          <w:rFonts w:ascii="Times New Roman" w:eastAsia="Calibri" w:hAnsi="Times New Roman" w:cs="Times New Roman"/>
          <w:sz w:val="24"/>
          <w:szCs w:val="24"/>
        </w:rPr>
      </w:pPr>
    </w:p>
    <w:p w14:paraId="295F6CC3" w14:textId="77777777" w:rsidR="002F3484" w:rsidRDefault="002F3484" w:rsidP="002F3484">
      <w:pPr>
        <w:jc w:val="both"/>
        <w:rPr>
          <w:rFonts w:ascii="Times New Roman" w:eastAsia="Calibri" w:hAnsi="Times New Roman" w:cs="Calibri"/>
          <w:sz w:val="24"/>
          <w:szCs w:val="24"/>
          <w:lang w:val="sr-Cyrl-RS"/>
        </w:rPr>
      </w:pPr>
      <w:r>
        <w:rPr>
          <w:rFonts w:ascii="Times New Roman" w:eastAsia="Calibri" w:hAnsi="Times New Roman" w:cs="Times New Roman"/>
          <w:sz w:val="24"/>
          <w:szCs w:val="24"/>
        </w:rPr>
        <w:t xml:space="preserve">Изузев наведеног </w:t>
      </w:r>
      <w:r>
        <w:rPr>
          <w:rFonts w:ascii="Times New Roman" w:eastAsia="Calibri" w:hAnsi="Times New Roman" w:cs="Times New Roman"/>
          <w:sz w:val="24"/>
          <w:szCs w:val="24"/>
          <w:lang w:val="sr-Cyrl-RS"/>
        </w:rPr>
        <w:t>48</w:t>
      </w:r>
      <w:r>
        <w:rPr>
          <w:rFonts w:ascii="Times New Roman" w:eastAsia="Calibri" w:hAnsi="Times New Roman" w:cs="Times New Roman"/>
          <w:sz w:val="24"/>
          <w:szCs w:val="24"/>
        </w:rPr>
        <w:t xml:space="preserve"> предмета у којима је поступано по захтевима наведених органа, УЈН је у</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2019. години поступала и у </w:t>
      </w:r>
      <w:r>
        <w:rPr>
          <w:rFonts w:ascii="Times New Roman" w:eastAsia="Calibri" w:hAnsi="Times New Roman" w:cs="Times New Roman"/>
          <w:sz w:val="24"/>
          <w:szCs w:val="24"/>
          <w:lang w:val="sr-Cyrl-RS"/>
        </w:rPr>
        <w:t>30</w:t>
      </w:r>
      <w:r>
        <w:rPr>
          <w:rFonts w:ascii="Times New Roman" w:eastAsia="Calibri" w:hAnsi="Times New Roman" w:cs="Times New Roman"/>
          <w:sz w:val="24"/>
          <w:szCs w:val="24"/>
        </w:rPr>
        <w:t xml:space="preserve"> случајева вршења надзора по пријављеним неправилностима од стране других заинтересованих субјеката тј. наручилаца,</w:t>
      </w:r>
      <w:r>
        <w:rPr>
          <w:rFonts w:ascii="Times New Roman" w:eastAsia="Calibri" w:hAnsi="Times New Roman" w:cs="Times New Roman"/>
          <w:sz w:val="24"/>
          <w:szCs w:val="24"/>
          <w:lang w:val="sr-Cyrl-RS"/>
        </w:rPr>
        <w:t xml:space="preserve"> понуђача и др. </w:t>
      </w:r>
    </w:p>
    <w:p w14:paraId="4CDC4E01" w14:textId="77777777" w:rsidR="002F3484" w:rsidRDefault="002F3484" w:rsidP="002F3484">
      <w:pPr>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 xml:space="preserve">За поступке јавних набавки процењене вредности преко милијарду динара, Управа је у </w:t>
      </w:r>
      <w:r>
        <w:rPr>
          <w:rFonts w:ascii="Times New Roman" w:eastAsia="Times New Roman" w:hAnsi="Times New Roman" w:cs="Calibri"/>
          <w:sz w:val="24"/>
          <w:szCs w:val="24"/>
          <w:lang w:val="sr-Cyrl-RS" w:eastAsia="en-US"/>
        </w:rPr>
        <w:t>2019</w:t>
      </w:r>
      <w:r>
        <w:rPr>
          <w:rFonts w:ascii="Times New Roman" w:eastAsia="Times New Roman" w:hAnsi="Times New Roman" w:cs="Calibri"/>
          <w:sz w:val="24"/>
          <w:szCs w:val="24"/>
          <w:lang w:eastAsia="en-US"/>
        </w:rPr>
        <w:t xml:space="preserve">. години, именовала грађанске надзорнике у </w:t>
      </w:r>
      <w:r>
        <w:rPr>
          <w:rFonts w:ascii="Times New Roman" w:eastAsia="Times New Roman" w:hAnsi="Times New Roman" w:cs="Calibri"/>
          <w:sz w:val="24"/>
          <w:szCs w:val="24"/>
          <w:lang w:val="sr-Cyrl-CS" w:eastAsia="en-US"/>
        </w:rPr>
        <w:t xml:space="preserve">укупно </w:t>
      </w:r>
      <w:r>
        <w:rPr>
          <w:rFonts w:ascii="Times New Roman" w:eastAsia="Times New Roman" w:hAnsi="Times New Roman" w:cs="Calibri"/>
          <w:sz w:val="24"/>
          <w:szCs w:val="24"/>
          <w:lang w:val="sr-Cyrl-RS" w:eastAsia="en-US"/>
        </w:rPr>
        <w:t>72</w:t>
      </w:r>
      <w:r>
        <w:rPr>
          <w:rFonts w:ascii="Times New Roman" w:eastAsia="Times New Roman" w:hAnsi="Times New Roman" w:cs="Calibri"/>
          <w:sz w:val="24"/>
          <w:szCs w:val="24"/>
          <w:lang w:eastAsia="en-US"/>
        </w:rPr>
        <w:t xml:space="preserve"> поступка јавних набавки. </w:t>
      </w:r>
    </w:p>
    <w:p w14:paraId="57ADE32C" w14:textId="77777777" w:rsidR="002F3484" w:rsidRDefault="002F3484" w:rsidP="002F34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Pr>
          <w:rFonts w:ascii="Times New Roman" w:eastAsia="Calibri" w:hAnsi="Times New Roman" w:cs="Times New Roman"/>
          <w:sz w:val="24"/>
          <w:szCs w:val="24"/>
          <w:lang w:val="sr-Cyrl-RS"/>
        </w:rPr>
        <w:t>права</w:t>
      </w:r>
      <w:r>
        <w:rPr>
          <w:rFonts w:ascii="Times New Roman" w:eastAsia="Calibri" w:hAnsi="Times New Roman" w:cs="Times New Roman"/>
          <w:sz w:val="24"/>
          <w:szCs w:val="24"/>
        </w:rPr>
        <w:t xml:space="preserve"> је у 2019. години поднела </w:t>
      </w:r>
      <w:r>
        <w:rPr>
          <w:rFonts w:ascii="Times New Roman" w:eastAsia="Calibri" w:hAnsi="Times New Roman" w:cs="Times New Roman"/>
          <w:sz w:val="24"/>
          <w:szCs w:val="24"/>
          <w:lang w:val="sr-Cyrl-RS"/>
        </w:rPr>
        <w:t>четири</w:t>
      </w:r>
      <w:r>
        <w:rPr>
          <w:rFonts w:ascii="Times New Roman" w:eastAsia="Calibri" w:hAnsi="Times New Roman" w:cs="Times New Roman"/>
          <w:sz w:val="24"/>
          <w:szCs w:val="24"/>
        </w:rPr>
        <w:t xml:space="preserve"> захтева за покретање прекршајног поступка, и то против наручиоца од којих се </w:t>
      </w:r>
      <w:r>
        <w:rPr>
          <w:rFonts w:ascii="Times New Roman" w:eastAsia="Calibri" w:hAnsi="Times New Roman" w:cs="Times New Roman"/>
          <w:sz w:val="24"/>
          <w:szCs w:val="24"/>
          <w:lang w:val="sr-Cyrl-RS"/>
        </w:rPr>
        <w:t xml:space="preserve">два односе </w:t>
      </w:r>
      <w:r>
        <w:rPr>
          <w:rFonts w:ascii="Times New Roman" w:eastAsia="Calibri" w:hAnsi="Times New Roman" w:cs="Times New Roman"/>
          <w:sz w:val="24"/>
          <w:szCs w:val="24"/>
        </w:rPr>
        <w:t xml:space="preserve">на категорију наручиоца који припадају јавним предузећима, </w:t>
      </w:r>
      <w:r>
        <w:rPr>
          <w:rFonts w:ascii="Times New Roman" w:eastAsia="Calibri" w:hAnsi="Times New Roman" w:cs="Times New Roman"/>
          <w:sz w:val="24"/>
          <w:szCs w:val="24"/>
          <w:lang w:val="sr-Cyrl-RS"/>
        </w:rPr>
        <w:t xml:space="preserve">док преостала два се односе на пословање образовне  и установе здравствене заштите. </w:t>
      </w:r>
      <w:r>
        <w:rPr>
          <w:rFonts w:ascii="Times New Roman" w:eastAsia="Calibri" w:hAnsi="Times New Roman" w:cs="Times New Roman"/>
          <w:sz w:val="24"/>
          <w:szCs w:val="24"/>
        </w:rPr>
        <w:t>При томе, сви поднети захтеви су резултат поступања УЈН по поднетим пријавама.</w:t>
      </w:r>
    </w:p>
    <w:p w14:paraId="19CC2AC1" w14:textId="77777777" w:rsidR="00B663C8" w:rsidRPr="003B44DC" w:rsidRDefault="00B663C8" w:rsidP="00BB7785">
      <w:pPr>
        <w:spacing w:after="0"/>
        <w:jc w:val="both"/>
        <w:rPr>
          <w:rFonts w:ascii="Times New Roman" w:hAnsi="Times New Roman" w:cs="Times New Roman"/>
          <w:b/>
          <w:sz w:val="24"/>
          <w:szCs w:val="24"/>
          <w:lang w:eastAsia="en-US"/>
        </w:rPr>
      </w:pPr>
    </w:p>
    <w:p w14:paraId="6D7CD8A6" w14:textId="77777777" w:rsidR="00BB7785" w:rsidRPr="003B44DC" w:rsidRDefault="00BB7785" w:rsidP="00BB7785">
      <w:pPr>
        <w:spacing w:after="0"/>
        <w:jc w:val="both"/>
        <w:rPr>
          <w:rFonts w:ascii="Times New Roman" w:hAnsi="Times New Roman" w:cs="Times New Roman"/>
          <w:b/>
          <w:sz w:val="24"/>
          <w:szCs w:val="24"/>
          <w:lang w:eastAsia="en-US"/>
        </w:rPr>
      </w:pPr>
    </w:p>
    <w:p w14:paraId="73A56A14" w14:textId="77777777" w:rsidR="00676FE8" w:rsidRDefault="00676FE8" w:rsidP="00BB7785">
      <w:pPr>
        <w:spacing w:after="0"/>
        <w:jc w:val="both"/>
        <w:rPr>
          <w:rFonts w:ascii="Times New Roman" w:hAnsi="Times New Roman" w:cs="Times New Roman"/>
          <w:b/>
          <w:sz w:val="24"/>
          <w:szCs w:val="24"/>
          <w:lang w:eastAsia="en-US"/>
        </w:rPr>
      </w:pPr>
    </w:p>
    <w:p w14:paraId="612F74D7" w14:textId="77777777" w:rsidR="00676FE8" w:rsidRDefault="00676FE8" w:rsidP="00BB7785">
      <w:pPr>
        <w:spacing w:after="0"/>
        <w:jc w:val="both"/>
        <w:rPr>
          <w:rFonts w:ascii="Times New Roman" w:hAnsi="Times New Roman" w:cs="Times New Roman"/>
          <w:b/>
          <w:sz w:val="24"/>
          <w:szCs w:val="24"/>
          <w:lang w:eastAsia="en-US"/>
        </w:rPr>
      </w:pPr>
    </w:p>
    <w:p w14:paraId="69904B78" w14:textId="0DCF34F6" w:rsidR="00BB7785" w:rsidRPr="003745BD" w:rsidRDefault="00BB7785" w:rsidP="00BB7785">
      <w:pPr>
        <w:spacing w:after="0"/>
        <w:jc w:val="both"/>
        <w:rPr>
          <w:rFonts w:ascii="Times New Roman" w:hAnsi="Times New Roman" w:cs="Times New Roman"/>
          <w:b/>
          <w:sz w:val="24"/>
          <w:szCs w:val="24"/>
          <w:lang w:val="sr-Cyrl-CS" w:eastAsia="en-US"/>
        </w:rPr>
      </w:pPr>
      <w:r w:rsidRPr="003745BD">
        <w:rPr>
          <w:rFonts w:ascii="Times New Roman" w:hAnsi="Times New Roman" w:cs="Times New Roman"/>
          <w:b/>
          <w:sz w:val="24"/>
          <w:szCs w:val="24"/>
          <w:lang w:eastAsia="en-US"/>
        </w:rPr>
        <w:t>Извештаји о јавним набавкама у РС</w:t>
      </w:r>
    </w:p>
    <w:p w14:paraId="5FAC1B79" w14:textId="77777777" w:rsidR="00BB7785" w:rsidRPr="003B44DC" w:rsidRDefault="00BB7785" w:rsidP="00BB7785">
      <w:pPr>
        <w:spacing w:after="0"/>
        <w:jc w:val="both"/>
        <w:rPr>
          <w:rFonts w:ascii="Times New Roman" w:hAnsi="Times New Roman" w:cs="Times New Roman"/>
          <w:sz w:val="24"/>
          <w:szCs w:val="24"/>
          <w:lang w:eastAsia="en-US"/>
        </w:rPr>
      </w:pPr>
    </w:p>
    <w:p w14:paraId="68A6EBD6" w14:textId="311C840E" w:rsidR="00BB7785" w:rsidRDefault="006D6473" w:rsidP="00BB7785">
      <w:pPr>
        <w:spacing w:after="0"/>
        <w:jc w:val="both"/>
        <w:rPr>
          <w:rFonts w:ascii="Times New Roman" w:hAnsi="Times New Roman" w:cs="Times New Roman"/>
          <w:sz w:val="24"/>
          <w:szCs w:val="24"/>
          <w:lang w:val="sr-Cyrl-CS" w:eastAsia="en-US"/>
        </w:rPr>
      </w:pPr>
      <w:r>
        <w:rPr>
          <w:rFonts w:ascii="Times New Roman" w:hAnsi="Times New Roman" w:cs="Times New Roman"/>
          <w:sz w:val="24"/>
          <w:szCs w:val="24"/>
          <w:lang w:eastAsia="en-US"/>
        </w:rPr>
        <w:t>Чланом 133. Закона прописано је да је Управа</w:t>
      </w:r>
      <w:r w:rsidR="00BB7785" w:rsidRPr="003B44DC">
        <w:rPr>
          <w:rFonts w:ascii="Times New Roman" w:hAnsi="Times New Roman" w:cs="Times New Roman"/>
          <w:sz w:val="24"/>
          <w:szCs w:val="24"/>
          <w:lang w:eastAsia="en-US"/>
        </w:rPr>
        <w:t xml:space="preserve"> дужна да на основу појединачних тромесечних извештаја наручилаца припреми полугодишњи и годишњи извештај о јавним набавкама у РС, да га достави Влади и објави на својој интернет страници. На основу тромесечних извештаја н</w:t>
      </w:r>
      <w:r w:rsidR="00BB7785">
        <w:rPr>
          <w:rFonts w:ascii="Times New Roman" w:hAnsi="Times New Roman" w:cs="Times New Roman"/>
          <w:sz w:val="24"/>
          <w:szCs w:val="24"/>
          <w:lang w:eastAsia="en-US"/>
        </w:rPr>
        <w:t xml:space="preserve">аручилаца </w:t>
      </w:r>
      <w:r w:rsidR="00BB7785" w:rsidRPr="003B44DC">
        <w:rPr>
          <w:rFonts w:ascii="Times New Roman" w:hAnsi="Times New Roman" w:cs="Times New Roman"/>
          <w:sz w:val="24"/>
          <w:szCs w:val="24"/>
          <w:lang w:eastAsia="en-US"/>
        </w:rPr>
        <w:t>урађен</w:t>
      </w:r>
      <w:r w:rsidR="00BB7785">
        <w:rPr>
          <w:rFonts w:ascii="Times New Roman" w:hAnsi="Times New Roman" w:cs="Times New Roman"/>
          <w:sz w:val="24"/>
          <w:szCs w:val="24"/>
          <w:lang w:val="sr-Cyrl-CS" w:eastAsia="en-US"/>
        </w:rPr>
        <w:t>и</w:t>
      </w:r>
      <w:r w:rsidR="00BB7785">
        <w:rPr>
          <w:rFonts w:ascii="Times New Roman" w:hAnsi="Times New Roman" w:cs="Times New Roman"/>
          <w:sz w:val="24"/>
          <w:szCs w:val="24"/>
          <w:lang w:eastAsia="en-US"/>
        </w:rPr>
        <w:t xml:space="preserve"> су</w:t>
      </w:r>
      <w:r w:rsidR="00BB7785" w:rsidRPr="003B44DC">
        <w:rPr>
          <w:rFonts w:ascii="Times New Roman" w:hAnsi="Times New Roman" w:cs="Times New Roman"/>
          <w:sz w:val="24"/>
          <w:szCs w:val="24"/>
          <w:lang w:eastAsia="en-US"/>
        </w:rPr>
        <w:t xml:space="preserve"> и достављен</w:t>
      </w:r>
      <w:r w:rsidR="00BB7785">
        <w:rPr>
          <w:rFonts w:ascii="Times New Roman" w:hAnsi="Times New Roman" w:cs="Times New Roman"/>
          <w:sz w:val="24"/>
          <w:szCs w:val="24"/>
          <w:lang w:val="sr-Cyrl-CS" w:eastAsia="en-US"/>
        </w:rPr>
        <w:t>и</w:t>
      </w:r>
      <w:r w:rsidR="00BB7785" w:rsidRPr="003B44DC">
        <w:rPr>
          <w:rFonts w:ascii="Times New Roman" w:hAnsi="Times New Roman" w:cs="Times New Roman"/>
          <w:sz w:val="24"/>
          <w:szCs w:val="24"/>
          <w:lang w:eastAsia="en-US"/>
        </w:rPr>
        <w:t xml:space="preserve"> Влади ради информисања</w:t>
      </w:r>
      <w:r w:rsidR="00BB7785">
        <w:rPr>
          <w:rFonts w:ascii="Times New Roman" w:hAnsi="Times New Roman" w:cs="Times New Roman"/>
          <w:sz w:val="24"/>
          <w:szCs w:val="24"/>
          <w:lang w:val="sr-Cyrl-CS" w:eastAsia="en-US"/>
        </w:rPr>
        <w:t>:</w:t>
      </w:r>
    </w:p>
    <w:p w14:paraId="66B26CBF" w14:textId="77777777" w:rsidR="00BB7785" w:rsidRPr="0091136A" w:rsidRDefault="00BB7785" w:rsidP="00BB7785">
      <w:pPr>
        <w:spacing w:after="0"/>
        <w:jc w:val="both"/>
        <w:rPr>
          <w:rFonts w:ascii="Times New Roman" w:hAnsi="Times New Roman" w:cs="Times New Roman"/>
          <w:sz w:val="24"/>
          <w:szCs w:val="24"/>
          <w:lang w:val="sr-Cyrl-CS" w:eastAsia="en-US"/>
        </w:rPr>
      </w:pPr>
    </w:p>
    <w:p w14:paraId="6602CCD3" w14:textId="4089BD2C" w:rsidR="00BB7785" w:rsidRPr="0091136A" w:rsidRDefault="00BB7785" w:rsidP="00960A8C">
      <w:pPr>
        <w:pStyle w:val="ListParagraph"/>
        <w:numPr>
          <w:ilvl w:val="0"/>
          <w:numId w:val="4"/>
        </w:numPr>
        <w:spacing w:after="0"/>
        <w:jc w:val="both"/>
        <w:rPr>
          <w:lang w:val="sr-Cyrl-CS"/>
        </w:rPr>
      </w:pPr>
      <w:r w:rsidRPr="0091136A">
        <w:rPr>
          <w:rFonts w:ascii="Times New Roman" w:hAnsi="Times New Roman" w:cs="Times New Roman"/>
          <w:sz w:val="24"/>
          <w:szCs w:val="24"/>
          <w:lang w:eastAsia="en-US"/>
        </w:rPr>
        <w:t>Извештај</w:t>
      </w:r>
      <w:r w:rsidR="00DD30C4">
        <w:rPr>
          <w:rFonts w:ascii="Times New Roman" w:hAnsi="Times New Roman" w:cs="Times New Roman"/>
          <w:sz w:val="24"/>
          <w:szCs w:val="24"/>
          <w:lang w:eastAsia="en-US"/>
        </w:rPr>
        <w:t xml:space="preserve"> о јавним набавкама у РС за 201</w:t>
      </w:r>
      <w:r w:rsidR="00092A7A">
        <w:rPr>
          <w:rFonts w:ascii="Times New Roman" w:hAnsi="Times New Roman" w:cs="Times New Roman"/>
          <w:sz w:val="24"/>
          <w:szCs w:val="24"/>
          <w:lang w:val="sr-Cyrl-CS" w:eastAsia="en-US"/>
        </w:rPr>
        <w:t>8</w:t>
      </w:r>
      <w:r w:rsidRPr="0091136A">
        <w:rPr>
          <w:rFonts w:ascii="Times New Roman" w:hAnsi="Times New Roman" w:cs="Times New Roman"/>
          <w:sz w:val="24"/>
          <w:szCs w:val="24"/>
          <w:lang w:eastAsia="en-US"/>
        </w:rPr>
        <w:t>. годину, са предлогом мера за унапређење система јавних набавки;</w:t>
      </w:r>
    </w:p>
    <w:p w14:paraId="1478BB02" w14:textId="70275132" w:rsidR="00BB7785" w:rsidRPr="0091136A" w:rsidRDefault="00BB7785" w:rsidP="00960A8C">
      <w:pPr>
        <w:pStyle w:val="ListParagraph"/>
        <w:numPr>
          <w:ilvl w:val="0"/>
          <w:numId w:val="4"/>
        </w:numPr>
        <w:spacing w:after="0"/>
        <w:jc w:val="both"/>
        <w:rPr>
          <w:lang w:val="sr-Cyrl-CS"/>
        </w:rPr>
      </w:pPr>
      <w:r w:rsidRPr="0091136A">
        <w:rPr>
          <w:rFonts w:ascii="Times New Roman" w:hAnsi="Times New Roman" w:cs="Times New Roman"/>
          <w:sz w:val="24"/>
          <w:szCs w:val="24"/>
          <w:lang w:eastAsia="en-US"/>
        </w:rPr>
        <w:t>Извештај о јавним набавкама у РС за</w:t>
      </w:r>
      <w:r w:rsidR="00092A7A">
        <w:rPr>
          <w:rFonts w:ascii="Times New Roman" w:hAnsi="Times New Roman" w:cs="Times New Roman"/>
          <w:sz w:val="24"/>
          <w:szCs w:val="24"/>
          <w:lang w:val="sr-Cyrl-CS" w:eastAsia="en-US"/>
        </w:rPr>
        <w:t xml:space="preserve"> прво полугодиште 2019</w:t>
      </w:r>
      <w:r w:rsidRPr="0091136A">
        <w:rPr>
          <w:rFonts w:ascii="Times New Roman" w:hAnsi="Times New Roman" w:cs="Times New Roman"/>
          <w:sz w:val="24"/>
          <w:szCs w:val="24"/>
          <w:lang w:val="sr-Cyrl-CS" w:eastAsia="en-US"/>
        </w:rPr>
        <w:t xml:space="preserve">. године, </w:t>
      </w:r>
      <w:r w:rsidRPr="0091136A">
        <w:rPr>
          <w:rFonts w:ascii="Times New Roman" w:hAnsi="Times New Roman" w:cs="Times New Roman"/>
          <w:sz w:val="24"/>
          <w:szCs w:val="24"/>
          <w:lang w:eastAsia="en-US"/>
        </w:rPr>
        <w:t>са предлогом мера за унапређење система јавних набавки.</w:t>
      </w:r>
    </w:p>
    <w:p w14:paraId="1784C59B" w14:textId="45C21407" w:rsidR="00BB7785" w:rsidRDefault="00BB7785" w:rsidP="00BB7785"/>
    <w:p w14:paraId="5B9D9A5B" w14:textId="02D096C2" w:rsidR="00BB7785" w:rsidRPr="003745BD" w:rsidRDefault="00BB7785" w:rsidP="00BB7785">
      <w:pPr>
        <w:spacing w:after="0"/>
        <w:jc w:val="both"/>
        <w:rPr>
          <w:rFonts w:ascii="Times New Roman" w:hAnsi="Times New Roman" w:cs="Times New Roman"/>
          <w:b/>
          <w:sz w:val="24"/>
          <w:szCs w:val="24"/>
          <w:lang w:val="sr-Cyrl-CS" w:eastAsia="en-US"/>
        </w:rPr>
      </w:pPr>
      <w:r w:rsidRPr="003745BD">
        <w:rPr>
          <w:rFonts w:ascii="Times New Roman" w:hAnsi="Times New Roman" w:cs="Times New Roman"/>
          <w:b/>
          <w:sz w:val="24"/>
          <w:szCs w:val="24"/>
          <w:lang w:eastAsia="en-US"/>
        </w:rPr>
        <w:t xml:space="preserve">Међуинституционална сарадња </w:t>
      </w:r>
    </w:p>
    <w:p w14:paraId="48378719" w14:textId="77777777" w:rsidR="00BB7785" w:rsidRPr="003B44DC" w:rsidRDefault="00BB7785" w:rsidP="00BB7785">
      <w:pPr>
        <w:spacing w:after="0"/>
        <w:jc w:val="both"/>
        <w:rPr>
          <w:rFonts w:ascii="Times New Roman" w:hAnsi="Times New Roman" w:cs="Times New Roman"/>
          <w:b/>
          <w:sz w:val="24"/>
          <w:szCs w:val="24"/>
          <w:lang w:eastAsia="en-US"/>
        </w:rPr>
      </w:pPr>
    </w:p>
    <w:p w14:paraId="67DB331D" w14:textId="758889A3" w:rsidR="001E4D7B" w:rsidRDefault="001E4D7B" w:rsidP="001E4D7B">
      <w:pPr>
        <w:spacing w:after="0"/>
        <w:jc w:val="both"/>
        <w:rPr>
          <w:rFonts w:ascii="Times New Roman" w:hAnsi="Times New Roman" w:cs="Times New Roman"/>
          <w:sz w:val="24"/>
          <w:szCs w:val="24"/>
          <w:lang w:val="sr-Cyrl-RS"/>
        </w:rPr>
      </w:pPr>
      <w:r w:rsidRPr="00FF54AF">
        <w:rPr>
          <w:rFonts w:ascii="Times New Roman" w:hAnsi="Times New Roman" w:cs="Times New Roman"/>
          <w:sz w:val="24"/>
          <w:szCs w:val="24"/>
          <w:lang w:val="sr-Cyrl-RS"/>
        </w:rPr>
        <w:t>Састанак Радне групе за отворене податке одржан је у Београду 4. марта. На састанку су представљени досадашњи резултати будућим члановима ове радне групе, а представљено је и спровођење Акционог плана иницијативе за отворено партнерство 2018-2020. године.</w:t>
      </w:r>
    </w:p>
    <w:p w14:paraId="12151F77" w14:textId="77777777" w:rsidR="001534DB" w:rsidRPr="00FF54AF" w:rsidRDefault="001534DB" w:rsidP="001E4D7B">
      <w:pPr>
        <w:spacing w:after="0"/>
        <w:jc w:val="both"/>
        <w:rPr>
          <w:rFonts w:ascii="Times New Roman" w:hAnsi="Times New Roman" w:cs="Times New Roman"/>
          <w:b/>
          <w:sz w:val="24"/>
          <w:szCs w:val="24"/>
          <w:lang w:eastAsia="en-US"/>
        </w:rPr>
      </w:pPr>
    </w:p>
    <w:p w14:paraId="5F44CEE1" w14:textId="551DBBAC" w:rsidR="001E4D7B" w:rsidRDefault="001E4D7B" w:rsidP="001E4D7B">
      <w:pPr>
        <w:jc w:val="both"/>
        <w:rPr>
          <w:rFonts w:ascii="Times New Roman" w:hAnsi="Times New Roman" w:cs="Times New Roman"/>
          <w:sz w:val="24"/>
          <w:szCs w:val="24"/>
          <w:lang w:val="sr-Cyrl-RS"/>
        </w:rPr>
      </w:pPr>
      <w:r w:rsidRPr="00FF54AF">
        <w:rPr>
          <w:rFonts w:ascii="Times New Roman" w:hAnsi="Times New Roman" w:cs="Times New Roman"/>
          <w:sz w:val="24"/>
          <w:szCs w:val="24"/>
          <w:lang w:val="sr-Cyrl-RS"/>
        </w:rPr>
        <w:t xml:space="preserve">Представник </w:t>
      </w:r>
      <w:r w:rsidR="00FA2A15">
        <w:rPr>
          <w:rFonts w:ascii="Times New Roman" w:hAnsi="Times New Roman" w:cs="Times New Roman"/>
          <w:sz w:val="24"/>
          <w:szCs w:val="24"/>
          <w:lang w:val="sr-Cyrl-RS"/>
        </w:rPr>
        <w:t>Управе</w:t>
      </w:r>
      <w:r w:rsidRPr="00FF54AF">
        <w:rPr>
          <w:rFonts w:ascii="Times New Roman" w:hAnsi="Times New Roman" w:cs="Times New Roman"/>
          <w:sz w:val="24"/>
          <w:szCs w:val="24"/>
          <w:lang w:val="sr-Cyrl-RS"/>
        </w:rPr>
        <w:t xml:space="preserve"> учествовао је на састанку Међуминистарске пројектне групе за реформу јавне управе који је одржан у Шапцу од 4-5. јуна уз подршку Европске уније, СИГМА и ОЕЦД-а. Учесници су разговарали о предложеном Закључку о усвајању годишњег извештаја за 2018. годину о спровођењу Акционог плана за спровођење Стратегије реформе јавне управе за период 2018.-2020. године, резултатима Извештаја о спољној оцени резултата Стратегија реформе јавне управе, (р)еволуцији мониторинга Извештаја о реформи јавне управе, креирајући идеалан извештај о надзору.</w:t>
      </w:r>
    </w:p>
    <w:p w14:paraId="6DC1646E" w14:textId="77F54287" w:rsidR="001E4D7B" w:rsidRPr="001E4D7B" w:rsidRDefault="001E4D7B" w:rsidP="001E4D7B">
      <w:pPr>
        <w:jc w:val="both"/>
        <w:rPr>
          <w:rFonts w:ascii="Times New Roman" w:hAnsi="Times New Roman" w:cs="Times New Roman"/>
          <w:sz w:val="24"/>
          <w:szCs w:val="24"/>
          <w:lang w:val="sr-Cyrl-RS"/>
        </w:rPr>
      </w:pPr>
      <w:r w:rsidRPr="001E4D7B">
        <w:rPr>
          <w:rFonts w:ascii="Times New Roman" w:hAnsi="Times New Roman" w:cs="Times New Roman"/>
          <w:sz w:val="24"/>
          <w:szCs w:val="24"/>
          <w:lang w:val="sr-Cyrl-RS"/>
        </w:rPr>
        <w:t xml:space="preserve">Комисија за заштиту конкуренције и тело за заштиту конкуренције Републике Италије као партнери у реализацији Твининг пројекта „Даљи развој заштите конкуренције у Србији“, у периоду од 14. до 18. октобра 2019. године, организовали су петодневни семинар „Конкуренција и јавне набавке“ на којем су активно учествовали, поред представника Одбора за финансије, републички буџет и контролу трошења јавних средстава Народне скупштине Републике Србије, председника Комисије за заштиту конкуренције, заменика директора Агенције за борбу против корупције и представници </w:t>
      </w:r>
      <w:r w:rsidR="00FA2A15">
        <w:rPr>
          <w:rFonts w:ascii="Times New Roman" w:hAnsi="Times New Roman" w:cs="Times New Roman"/>
          <w:sz w:val="24"/>
          <w:szCs w:val="24"/>
          <w:lang w:val="sr-Cyrl-RS"/>
        </w:rPr>
        <w:t>Управе</w:t>
      </w:r>
      <w:r w:rsidRPr="001E4D7B">
        <w:rPr>
          <w:rFonts w:ascii="Times New Roman" w:hAnsi="Times New Roman" w:cs="Times New Roman"/>
          <w:sz w:val="24"/>
          <w:szCs w:val="24"/>
          <w:lang w:val="sr-Cyrl-RS"/>
        </w:rPr>
        <w:t xml:space="preserve">. Једна од тема су били и доношење новог Закона о јавним набавкама и успостављање новог Портала јавних набавки. </w:t>
      </w:r>
    </w:p>
    <w:p w14:paraId="2F36AFDF" w14:textId="2BF93964" w:rsidR="001E4D7B" w:rsidRPr="001E4D7B" w:rsidRDefault="001E4D7B" w:rsidP="001E4D7B">
      <w:pPr>
        <w:jc w:val="both"/>
        <w:rPr>
          <w:rFonts w:ascii="Times New Roman" w:hAnsi="Times New Roman" w:cs="Times New Roman"/>
          <w:sz w:val="24"/>
          <w:szCs w:val="24"/>
          <w:lang w:val="sr-Cyrl-RS"/>
        </w:rPr>
      </w:pPr>
      <w:r w:rsidRPr="001E4D7B">
        <w:rPr>
          <w:rFonts w:ascii="Times New Roman" w:hAnsi="Times New Roman" w:cs="Times New Roman"/>
          <w:sz w:val="24"/>
          <w:szCs w:val="24"/>
          <w:lang w:val="sr-Cyrl-RS"/>
        </w:rPr>
        <w:t xml:space="preserve">Представници </w:t>
      </w:r>
      <w:r w:rsidR="00FA2A15">
        <w:rPr>
          <w:rFonts w:ascii="Times New Roman" w:hAnsi="Times New Roman" w:cs="Times New Roman"/>
          <w:sz w:val="24"/>
          <w:szCs w:val="24"/>
          <w:lang w:val="sr-Cyrl-RS"/>
        </w:rPr>
        <w:t>Управе</w:t>
      </w:r>
      <w:r w:rsidRPr="001E4D7B">
        <w:rPr>
          <w:rFonts w:ascii="Times New Roman" w:hAnsi="Times New Roman" w:cs="Times New Roman"/>
          <w:sz w:val="24"/>
          <w:szCs w:val="24"/>
          <w:lang w:val="sr-Cyrl-RS"/>
        </w:rPr>
        <w:t>, заједно са представницима Министарства финансија, Државне ревизорске институције и Републичке комисије за заштиту права у поступцима јавних набавки, учествовали су на састанку посвећеном систему јавних набавки који је одржан у организацији Организације за европску безбедност и сарадњу (ОЕБС) 16. и 17. децембра 2019. године у Вршцу. На састанку је било речи о примени Закона о јавним набавкама и подзаконским актима, како спречити неправилности у јавним набавкама, шта учинити у циљу побољшања комуникације и координације између институција чији представници су узели учешће на састанку.</w:t>
      </w:r>
    </w:p>
    <w:p w14:paraId="6005C4AB" w14:textId="221E6926" w:rsidR="001E4D7B" w:rsidRPr="001E4D7B" w:rsidRDefault="001E4D7B" w:rsidP="001E4D7B">
      <w:pPr>
        <w:jc w:val="both"/>
        <w:rPr>
          <w:rFonts w:ascii="Times New Roman" w:hAnsi="Times New Roman" w:cs="Times New Roman"/>
          <w:sz w:val="24"/>
          <w:szCs w:val="24"/>
          <w:lang w:val="sr-Cyrl-RS"/>
        </w:rPr>
      </w:pPr>
      <w:r w:rsidRPr="001E4D7B">
        <w:rPr>
          <w:rFonts w:ascii="Times New Roman" w:hAnsi="Times New Roman" w:cs="Times New Roman"/>
          <w:sz w:val="24"/>
          <w:szCs w:val="24"/>
          <w:lang w:val="sr-Cyrl-RS"/>
        </w:rPr>
        <w:lastRenderedPageBreak/>
        <w:t xml:space="preserve">Представник </w:t>
      </w:r>
      <w:r w:rsidR="00FA2A15">
        <w:rPr>
          <w:rFonts w:ascii="Times New Roman" w:hAnsi="Times New Roman" w:cs="Times New Roman"/>
          <w:sz w:val="24"/>
          <w:szCs w:val="24"/>
          <w:lang w:val="sr-Cyrl-RS"/>
        </w:rPr>
        <w:t>Управе</w:t>
      </w:r>
      <w:r w:rsidRPr="001E4D7B">
        <w:rPr>
          <w:rFonts w:ascii="Times New Roman" w:hAnsi="Times New Roman" w:cs="Times New Roman"/>
          <w:sz w:val="24"/>
          <w:szCs w:val="24"/>
          <w:lang w:val="sr-Cyrl-RS"/>
        </w:rPr>
        <w:t xml:space="preserve"> присуствовао је међународној конференцији на високом нивоу о борби против корупције под називом „Борба против корупције за напредак Југоисточне Европе“ која је одржана у Београду од 3. до 5. новембра 2019. године у организацији Министарства правде Републике Србије и пројекта „Превенција и борба против корупције“ који се финансира из ИПА фондова. Циљ конференције био је да се ојачају капацитети, дефинишу надлежности иуспостави јака сарадња између бораца против корупције, на државном и регионалном нивоу. </w:t>
      </w:r>
      <w:r w:rsidR="001F06EC" w:rsidRPr="001E4D7B">
        <w:rPr>
          <w:rFonts w:ascii="Times New Roman" w:hAnsi="Times New Roman" w:cs="Times New Roman"/>
          <w:sz w:val="24"/>
          <w:szCs w:val="24"/>
          <w:lang w:val="sr-Cyrl-RS"/>
        </w:rPr>
        <w:t>Конференциј</w:t>
      </w:r>
      <w:r w:rsidR="001F06EC">
        <w:rPr>
          <w:rFonts w:ascii="Times New Roman" w:hAnsi="Times New Roman" w:cs="Times New Roman"/>
          <w:sz w:val="24"/>
          <w:szCs w:val="24"/>
          <w:lang w:val="sr-Cyrl-RS"/>
        </w:rPr>
        <w:t>а</w:t>
      </w:r>
      <w:r w:rsidR="001F06EC" w:rsidRPr="001E4D7B">
        <w:rPr>
          <w:rFonts w:ascii="Times New Roman" w:hAnsi="Times New Roman" w:cs="Times New Roman"/>
          <w:sz w:val="24"/>
          <w:szCs w:val="24"/>
          <w:lang w:val="sr-Cyrl-RS"/>
        </w:rPr>
        <w:t xml:space="preserve"> </w:t>
      </w:r>
      <w:r w:rsidRPr="001E4D7B">
        <w:rPr>
          <w:rFonts w:ascii="Times New Roman" w:hAnsi="Times New Roman" w:cs="Times New Roman"/>
          <w:sz w:val="24"/>
          <w:szCs w:val="24"/>
          <w:lang w:val="sr-Cyrl-RS"/>
        </w:rPr>
        <w:t>је била усмерена на унапређење сарадње и синергију између релевантних тела и служби за борбу против корупције у Републици Србији, као и у другим државама Југоисточне Европе.</w:t>
      </w:r>
    </w:p>
    <w:p w14:paraId="5856B8F9" w14:textId="55A20934" w:rsidR="001E4D7B" w:rsidRPr="00FF54AF" w:rsidRDefault="001E4D7B" w:rsidP="001E4D7B">
      <w:pPr>
        <w:jc w:val="both"/>
        <w:rPr>
          <w:rFonts w:ascii="Times New Roman" w:hAnsi="Times New Roman" w:cs="Times New Roman"/>
          <w:sz w:val="24"/>
          <w:szCs w:val="24"/>
          <w:lang w:val="sr-Cyrl-RS"/>
        </w:rPr>
      </w:pPr>
      <w:r w:rsidRPr="001E4D7B">
        <w:rPr>
          <w:rFonts w:ascii="Times New Roman" w:hAnsi="Times New Roman" w:cs="Times New Roman"/>
          <w:sz w:val="24"/>
          <w:szCs w:val="24"/>
          <w:lang w:val="sr-Cyrl-RS"/>
        </w:rPr>
        <w:t>Пре</w:t>
      </w:r>
      <w:r w:rsidR="001F06EC">
        <w:rPr>
          <w:rFonts w:ascii="Times New Roman" w:hAnsi="Times New Roman" w:cs="Times New Roman"/>
          <w:sz w:val="24"/>
          <w:szCs w:val="24"/>
          <w:lang w:val="sr-Cyrl-RS"/>
        </w:rPr>
        <w:t>д</w:t>
      </w:r>
      <w:r w:rsidRPr="001E4D7B">
        <w:rPr>
          <w:rFonts w:ascii="Times New Roman" w:hAnsi="Times New Roman" w:cs="Times New Roman"/>
          <w:sz w:val="24"/>
          <w:szCs w:val="24"/>
          <w:lang w:val="sr-Cyrl-RS"/>
        </w:rPr>
        <w:t xml:space="preserve">ставник Управе за јавне набавке присуствовао је састанку радне групе за отворене податке који је одржан 17. децембра 2019. године у Београду, а који је организован од стране Канцеларије за ИТ и е-Управу, у партнерству са World Bank, </w:t>
      </w:r>
      <w:r w:rsidRPr="001E4D7B">
        <w:rPr>
          <w:rFonts w:ascii="Times New Roman" w:hAnsi="Times New Roman" w:cs="Times New Roman"/>
          <w:sz w:val="24"/>
          <w:szCs w:val="24"/>
          <w:lang w:val="sr-Latn-RS"/>
        </w:rPr>
        <w:t>USAID</w:t>
      </w:r>
      <w:r w:rsidRPr="001E4D7B">
        <w:rPr>
          <w:rFonts w:ascii="Times New Roman" w:hAnsi="Times New Roman" w:cs="Times New Roman"/>
          <w:sz w:val="24"/>
          <w:szCs w:val="24"/>
          <w:lang w:val="sr-Cyrl-RS"/>
        </w:rPr>
        <w:t xml:space="preserve">, </w:t>
      </w:r>
      <w:r w:rsidRPr="001E4D7B">
        <w:rPr>
          <w:rFonts w:ascii="Times New Roman" w:hAnsi="Times New Roman" w:cs="Times New Roman"/>
          <w:sz w:val="24"/>
          <w:szCs w:val="24"/>
          <w:lang w:val="sr-Latn-RS"/>
        </w:rPr>
        <w:t>UNDP</w:t>
      </w:r>
      <w:r w:rsidRPr="001E4D7B">
        <w:rPr>
          <w:rFonts w:ascii="Times New Roman" w:hAnsi="Times New Roman" w:cs="Times New Roman"/>
          <w:sz w:val="24"/>
          <w:szCs w:val="24"/>
          <w:lang w:val="sr-Cyrl-RS"/>
        </w:rPr>
        <w:t xml:space="preserve"> и Британске амбасаде у Београду. Тема састанка било је представљање досадашњих резултата иницијативе за отварање података и представљање плана активности до завршетка пројекта.</w:t>
      </w:r>
    </w:p>
    <w:p w14:paraId="43A583D9" w14:textId="77777777" w:rsidR="00BB7785" w:rsidRPr="003B44DC" w:rsidRDefault="00BB7785" w:rsidP="00BB7785">
      <w:pPr>
        <w:spacing w:after="0"/>
        <w:jc w:val="both"/>
        <w:rPr>
          <w:rFonts w:ascii="Times New Roman" w:hAnsi="Times New Roman" w:cs="Times New Roman"/>
          <w:sz w:val="24"/>
          <w:szCs w:val="24"/>
          <w:lang w:eastAsia="en-US"/>
        </w:rPr>
      </w:pPr>
    </w:p>
    <w:p w14:paraId="3FBFE869" w14:textId="2377B884" w:rsidR="00BB7785" w:rsidRPr="003745BD" w:rsidRDefault="00BB7785" w:rsidP="00BB7785">
      <w:pPr>
        <w:spacing w:after="0"/>
        <w:jc w:val="both"/>
        <w:rPr>
          <w:rFonts w:ascii="Times New Roman" w:hAnsi="Times New Roman" w:cs="Times New Roman"/>
          <w:b/>
          <w:sz w:val="24"/>
          <w:szCs w:val="24"/>
          <w:lang w:val="sr-Cyrl-CS" w:eastAsia="en-US"/>
        </w:rPr>
      </w:pPr>
      <w:r w:rsidRPr="003745BD">
        <w:rPr>
          <w:rFonts w:ascii="Times New Roman" w:hAnsi="Times New Roman" w:cs="Times New Roman"/>
          <w:b/>
          <w:sz w:val="24"/>
          <w:szCs w:val="24"/>
          <w:lang w:eastAsia="en-US"/>
        </w:rPr>
        <w:t>Међународна сарадња</w:t>
      </w:r>
      <w:r w:rsidR="003745BD">
        <w:rPr>
          <w:rFonts w:ascii="Times New Roman" w:hAnsi="Times New Roman" w:cs="Times New Roman"/>
          <w:b/>
          <w:sz w:val="24"/>
          <w:szCs w:val="24"/>
          <w:lang w:val="sr-Cyrl-CS" w:eastAsia="en-US"/>
        </w:rPr>
        <w:t xml:space="preserve"> </w:t>
      </w:r>
    </w:p>
    <w:p w14:paraId="4043D00C" w14:textId="77777777" w:rsidR="00BB7785" w:rsidRPr="003B44DC" w:rsidRDefault="00BB7785" w:rsidP="00BB7785">
      <w:pPr>
        <w:spacing w:after="0"/>
        <w:jc w:val="both"/>
        <w:rPr>
          <w:rFonts w:ascii="Times New Roman" w:hAnsi="Times New Roman" w:cs="Times New Roman"/>
          <w:sz w:val="24"/>
          <w:szCs w:val="24"/>
          <w:lang w:eastAsia="en-US"/>
        </w:rPr>
      </w:pPr>
    </w:p>
    <w:p w14:paraId="5B7F621F" w14:textId="239D6525" w:rsidR="001534DB" w:rsidRPr="001534DB" w:rsidRDefault="001534DB" w:rsidP="001534D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Представник Управе</w:t>
      </w:r>
      <w:r w:rsidRPr="001534DB">
        <w:rPr>
          <w:rFonts w:ascii="Times New Roman" w:hAnsi="Times New Roman" w:cs="Times New Roman"/>
          <w:sz w:val="24"/>
          <w:szCs w:val="24"/>
          <w:lang w:val="sr-Cyrl-RS"/>
        </w:rPr>
        <w:t xml:space="preserve"> учествовао је на регионалној радионици под називом „Превенција трговине људима у ланцима снабдевања путем владиних пракси и мера“. Циљ Регионалне конференције био је да се окупе релевантни актери (корпорације, невладине организације и влада) како би се разговарало о најбољим праксама државних институција, како националних тако и локалних, компанија из приватног сектора и цивилног друштва како би се осигурало да се набављене робе и услуге уговорене од стране централних и локалних власти не производе и испоручују искориштавањем жртава трговине људима. Догађај је одржан у Атини у Грчкој од 30. до 31. јануара.</w:t>
      </w:r>
    </w:p>
    <w:p w14:paraId="40E4301B" w14:textId="77777777" w:rsidR="001534DB" w:rsidRPr="001534DB" w:rsidRDefault="001534DB" w:rsidP="001534DB">
      <w:pPr>
        <w:jc w:val="both"/>
        <w:rPr>
          <w:rFonts w:ascii="Times New Roman" w:hAnsi="Times New Roman" w:cs="Times New Roman"/>
          <w:sz w:val="24"/>
          <w:szCs w:val="24"/>
          <w:lang w:val="sr-Cyrl-RS"/>
        </w:rPr>
      </w:pPr>
      <w:r w:rsidRPr="001534DB">
        <w:rPr>
          <w:rFonts w:ascii="Times New Roman" w:hAnsi="Times New Roman" w:cs="Times New Roman"/>
          <w:sz w:val="24"/>
          <w:szCs w:val="24"/>
          <w:lang w:val="sr-Cyrl-RS"/>
        </w:rPr>
        <w:t>Пројекат „Подршка даљем унапређењу система јавних набавки у Србији“ ИПА 2013 је организовао студијску посету Португалији од 19. до 22. фебруара, за представнике органа државне управе Републике Србије који су надлежни за област јавнх набавки, пре свега у контексту е-набавке (Управа за јавне набавке, Канцеларија за информационе технологије и електронску управу и Министарство финансија) са идејом да упознају искуства Португала у е-набавци. Заједничка служба јавне управе Португалије (еСПап) примила је српску делегацију са којом је поделила своје искуство у е-набавкама, посебно у вези са централизованом набавком. Представници органа државне управе Републике Србије сазнали су да се обавезна јавна набавка у Португалу врши на приватним електронским платформама, које лиценцира Влада, што обезбеђује поштовање законских захтева вршећи редовну ревизију платформи и њихових оператера.</w:t>
      </w:r>
    </w:p>
    <w:p w14:paraId="0D16446B" w14:textId="18C101C9" w:rsidR="001534DB" w:rsidRPr="001534DB" w:rsidRDefault="001534DB" w:rsidP="001534DB">
      <w:pPr>
        <w:jc w:val="both"/>
        <w:rPr>
          <w:rFonts w:ascii="Times New Roman" w:hAnsi="Times New Roman" w:cs="Times New Roman"/>
          <w:sz w:val="24"/>
          <w:szCs w:val="24"/>
          <w:lang w:val="sr-Cyrl-RS"/>
        </w:rPr>
      </w:pPr>
      <w:r w:rsidRPr="001534DB">
        <w:rPr>
          <w:rFonts w:ascii="Times New Roman" w:hAnsi="Times New Roman" w:cs="Times New Roman"/>
          <w:sz w:val="24"/>
          <w:szCs w:val="24"/>
          <w:lang w:val="sr-Cyrl-RS"/>
        </w:rPr>
        <w:t>Представници У</w:t>
      </w:r>
      <w:r>
        <w:rPr>
          <w:rFonts w:ascii="Times New Roman" w:hAnsi="Times New Roman" w:cs="Times New Roman"/>
          <w:sz w:val="24"/>
          <w:szCs w:val="24"/>
          <w:lang w:val="sr-Cyrl-RS"/>
        </w:rPr>
        <w:t>праве</w:t>
      </w:r>
      <w:r w:rsidRPr="001534DB">
        <w:rPr>
          <w:rFonts w:ascii="Times New Roman" w:hAnsi="Times New Roman" w:cs="Times New Roman"/>
          <w:sz w:val="24"/>
          <w:szCs w:val="24"/>
          <w:lang w:val="sr-Cyrl-RS"/>
        </w:rPr>
        <w:t xml:space="preserve"> учествовали су у раду другог Дигиталног самита Западног Балкана у склопу панел дискусије: „Beyond digital procurement: Open contracting”. Сврха панела била је фокус на конкретне случајеве у којима су отворени подаци коришћени и њихова даља улога у унапређењу слике о јавним набавкама.  Представник Управе за јавне на</w:t>
      </w:r>
      <w:r w:rsidR="00BC54CB">
        <w:rPr>
          <w:rFonts w:ascii="Times New Roman" w:hAnsi="Times New Roman" w:cs="Times New Roman"/>
          <w:sz w:val="24"/>
          <w:szCs w:val="24"/>
          <w:lang w:val="sr-Cyrl-RS"/>
        </w:rPr>
        <w:t>бавке нагласио је да би нови Закон</w:t>
      </w:r>
      <w:r w:rsidRPr="001534DB">
        <w:rPr>
          <w:rFonts w:ascii="Times New Roman" w:hAnsi="Times New Roman" w:cs="Times New Roman"/>
          <w:sz w:val="24"/>
          <w:szCs w:val="24"/>
          <w:lang w:val="sr-Cyrl-RS"/>
        </w:rPr>
        <w:t xml:space="preserve"> и нови</w:t>
      </w:r>
      <w:r w:rsidR="00BC54CB">
        <w:rPr>
          <w:rFonts w:ascii="Times New Roman" w:hAnsi="Times New Roman" w:cs="Times New Roman"/>
          <w:sz w:val="24"/>
          <w:szCs w:val="24"/>
          <w:lang w:val="sr-Cyrl-RS"/>
        </w:rPr>
        <w:t xml:space="preserve"> </w:t>
      </w:r>
      <w:r w:rsidRPr="001534DB">
        <w:rPr>
          <w:rFonts w:ascii="Times New Roman" w:hAnsi="Times New Roman" w:cs="Times New Roman"/>
          <w:sz w:val="24"/>
          <w:szCs w:val="24"/>
          <w:lang w:val="sr-Cyrl-RS"/>
        </w:rPr>
        <w:t xml:space="preserve"> Портал јавних набавки требало да укључују опцију за имплементацију стандарда отворених података.</w:t>
      </w:r>
    </w:p>
    <w:p w14:paraId="2A4B70B9" w14:textId="0261B1E7" w:rsidR="001534DB" w:rsidRPr="001534DB" w:rsidRDefault="001534DB" w:rsidP="001534D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Представници Управе</w:t>
      </w:r>
      <w:r w:rsidRPr="001534DB">
        <w:rPr>
          <w:rFonts w:ascii="Times New Roman" w:hAnsi="Times New Roman" w:cs="Times New Roman"/>
          <w:sz w:val="24"/>
          <w:szCs w:val="24"/>
          <w:lang w:val="sr-Cyrl-RS"/>
        </w:rPr>
        <w:t xml:space="preserve"> учествовали су на 15. ПРИМО форуму који је одржан у Ташкенту у Уз</w:t>
      </w:r>
      <w:r>
        <w:rPr>
          <w:rFonts w:ascii="Times New Roman" w:hAnsi="Times New Roman" w:cs="Times New Roman"/>
          <w:sz w:val="24"/>
          <w:szCs w:val="24"/>
          <w:lang w:val="sr-Cyrl-RS"/>
        </w:rPr>
        <w:t xml:space="preserve">бекистану од 10. до 12. априла. </w:t>
      </w:r>
      <w:r w:rsidRPr="001534DB">
        <w:rPr>
          <w:rFonts w:ascii="Times New Roman" w:hAnsi="Times New Roman" w:cs="Times New Roman"/>
          <w:sz w:val="24"/>
          <w:szCs w:val="24"/>
          <w:lang w:val="sr-Cyrl-RS"/>
        </w:rPr>
        <w:t xml:space="preserve">Тема ПРИМО форума била је набавка и имплементација у инвестиционим </w:t>
      </w:r>
      <w:r w:rsidRPr="001534DB">
        <w:rPr>
          <w:rFonts w:ascii="Times New Roman" w:hAnsi="Times New Roman" w:cs="Times New Roman"/>
          <w:sz w:val="24"/>
          <w:szCs w:val="24"/>
          <w:lang w:val="sr-Cyrl-RS"/>
        </w:rPr>
        <w:lastRenderedPageBreak/>
        <w:t xml:space="preserve">пројектима. Циљеви су били пружање прилика агенцијама за јавне набавке и другим кључним актерима земаља учесница да размене своја искуства и праксе у области реформе јавних набавки, са посебним фокусом на управљање набавкама и спровођење у инвестиционим пројектима, и да промовишу, подстакну регионалну и глобалну сарадњу и умрежавање у јавним набавкама и управљање уговорима ради побољшања квалитета резултата инвестиционих пројеката ради бољег пружања услуга грађанима. Представници </w:t>
      </w:r>
      <w:r>
        <w:rPr>
          <w:rFonts w:ascii="Times New Roman" w:hAnsi="Times New Roman" w:cs="Times New Roman"/>
          <w:sz w:val="24"/>
          <w:szCs w:val="24"/>
          <w:lang w:val="sr-Cyrl-RS"/>
        </w:rPr>
        <w:t>Управе</w:t>
      </w:r>
      <w:r w:rsidRPr="001534DB">
        <w:rPr>
          <w:rFonts w:ascii="Times New Roman" w:hAnsi="Times New Roman" w:cs="Times New Roman"/>
          <w:sz w:val="24"/>
          <w:szCs w:val="24"/>
          <w:lang w:val="sr-Cyrl-RS"/>
        </w:rPr>
        <w:t xml:space="preserve"> учествовали су на овој радионици и у панел дискусији под називом „Управљање јавним инвестицијама и јавно-приватна партнерства“. </w:t>
      </w:r>
    </w:p>
    <w:p w14:paraId="2B30375C" w14:textId="5ABD5C9E" w:rsidR="001534DB" w:rsidRPr="001534DB" w:rsidRDefault="001534DB" w:rsidP="001534DB">
      <w:pPr>
        <w:jc w:val="both"/>
        <w:rPr>
          <w:rFonts w:ascii="Times New Roman" w:hAnsi="Times New Roman" w:cs="Times New Roman"/>
          <w:sz w:val="24"/>
          <w:szCs w:val="24"/>
          <w:lang w:val="sr-Cyrl-RS"/>
        </w:rPr>
      </w:pPr>
      <w:r w:rsidRPr="001534DB">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Управе</w:t>
      </w:r>
      <w:r w:rsidRPr="001534DB">
        <w:rPr>
          <w:rFonts w:ascii="Times New Roman" w:hAnsi="Times New Roman" w:cs="Times New Roman"/>
          <w:sz w:val="24"/>
          <w:szCs w:val="24"/>
          <w:lang w:val="sr-Cyrl-RS"/>
        </w:rPr>
        <w:t xml:space="preserve"> учествовао је на конференцији "Искуства Румуније и других држава чланица у усвајању правне тековине Европске уније у области јавних набавки - научене лекције", одржаној у Букурешту 21. маја 2019. у организацији Националне Агенција за јавне набавке (АНАП), у контексту румунског председавања ЕУ. Сврха конференције била је размена искустава и пружање подршке земљама Западног Балкана у процесу законодавних и институционалних реформи у области јавних набавки. Представници кључних институција у области јавних набавки Румуније, Пољске, Бугарске, Србије, Босне и Херцеговине и Албаније, као и представници различитих међународних институција - Европске комисије, Светске банке, СИГМА, ОЕЦД и Европске инвестиционе банке, учествовали су на конференцији.</w:t>
      </w:r>
    </w:p>
    <w:p w14:paraId="73C88934" w14:textId="493434D9" w:rsidR="001534DB" w:rsidRPr="001534DB" w:rsidRDefault="001534DB" w:rsidP="001534DB">
      <w:pPr>
        <w:jc w:val="both"/>
        <w:rPr>
          <w:rFonts w:ascii="Times New Roman" w:hAnsi="Times New Roman" w:cs="Times New Roman"/>
          <w:sz w:val="24"/>
          <w:szCs w:val="24"/>
          <w:lang w:val="sr-Cyrl-RS"/>
        </w:rPr>
      </w:pPr>
      <w:r w:rsidRPr="001534DB">
        <w:rPr>
          <w:rFonts w:ascii="Times New Roman" w:hAnsi="Times New Roman" w:cs="Times New Roman"/>
          <w:sz w:val="24"/>
          <w:szCs w:val="24"/>
          <w:lang w:val="sr-Cyrl-RS"/>
        </w:rPr>
        <w:t xml:space="preserve">Представници </w:t>
      </w:r>
      <w:r>
        <w:rPr>
          <w:rFonts w:ascii="Times New Roman" w:hAnsi="Times New Roman" w:cs="Times New Roman"/>
          <w:sz w:val="24"/>
          <w:szCs w:val="24"/>
          <w:lang w:val="sr-Cyrl-RS"/>
        </w:rPr>
        <w:t>Управе</w:t>
      </w:r>
      <w:r w:rsidRPr="001534DB">
        <w:rPr>
          <w:rFonts w:ascii="Times New Roman" w:hAnsi="Times New Roman" w:cs="Times New Roman"/>
          <w:sz w:val="24"/>
          <w:szCs w:val="24"/>
          <w:lang w:val="sr-Cyrl-RS"/>
        </w:rPr>
        <w:t xml:space="preserve"> учествовали су на седници Пододбора за унутрашње тржиште и конкуренцију, одржаном у Бриселу 4. јуна 2019. године. На Пододбору за унутрашње тржиште и конкуренцију, представници надлежних органа државне управе представили су Европској комисији прилоге припремљене о следећим темама: 1) Заштита и спровођење закона о интелектуалној, индустријској и комерцијалној својини; 2) јавне набавке; 3) слобода пружања услуга; 4) банкарске, осигуравајуће и друге финансијске услуге; 5) право привредних друштава, рачуноводство и ревизија; 6) јавно здравље и заштита потрошача; 7) политика конкуренције. Представници Управе за јавне набавке активно су учествовали као излагачи везано за тему која се односи на јавне набавке, где су говорили о напретку Републике Србије у испуњавању критеријума за затварање Поглавља 5 - Јавне набавке, попут: усклађивања прописа са директивама ЕУ у области јавних набавки и јачања административних капацитета. Током са</w:t>
      </w:r>
      <w:r>
        <w:rPr>
          <w:rFonts w:ascii="Times New Roman" w:hAnsi="Times New Roman" w:cs="Times New Roman"/>
          <w:sz w:val="24"/>
          <w:szCs w:val="24"/>
          <w:lang w:val="sr-Cyrl-RS"/>
        </w:rPr>
        <w:t xml:space="preserve">станка, Управа је представила </w:t>
      </w:r>
      <w:r w:rsidRPr="001534DB">
        <w:rPr>
          <w:rFonts w:ascii="Times New Roman" w:hAnsi="Times New Roman" w:cs="Times New Roman"/>
          <w:sz w:val="24"/>
          <w:szCs w:val="24"/>
          <w:lang w:val="sr-Cyrl-RS"/>
        </w:rPr>
        <w:t>најновије информације о Нацрту закона о јавним набавкама и коментаре Европске комисије на Нацрт закона, најновије информације о новој Стратегији развоја јавних набавки за период 2019-2023 и информације о планираним и спроведеним мерама за јачање механизама за контролу јавн</w:t>
      </w:r>
      <w:r>
        <w:rPr>
          <w:rFonts w:ascii="Times New Roman" w:hAnsi="Times New Roman" w:cs="Times New Roman"/>
          <w:sz w:val="24"/>
          <w:szCs w:val="24"/>
          <w:lang w:val="sr-Cyrl-RS"/>
        </w:rPr>
        <w:t>их набавки, као и способност Управе</w:t>
      </w:r>
      <w:r w:rsidRPr="001534DB">
        <w:rPr>
          <w:rFonts w:ascii="Times New Roman" w:hAnsi="Times New Roman" w:cs="Times New Roman"/>
          <w:sz w:val="24"/>
          <w:szCs w:val="24"/>
          <w:lang w:val="sr-Cyrl-RS"/>
        </w:rPr>
        <w:t xml:space="preserve"> за спречавање и сузбијање корупције на централном и локалном нивоу власти и конкретне мере предузете за борбу против корупције.</w:t>
      </w:r>
    </w:p>
    <w:p w14:paraId="6F44865A" w14:textId="6063CD95" w:rsidR="001534DB" w:rsidRPr="001534DB" w:rsidRDefault="001534DB" w:rsidP="001534D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Представници Управе</w:t>
      </w:r>
      <w:r w:rsidRPr="001534DB">
        <w:rPr>
          <w:rFonts w:ascii="Times New Roman" w:hAnsi="Times New Roman" w:cs="Times New Roman"/>
          <w:sz w:val="24"/>
          <w:szCs w:val="24"/>
          <w:lang w:val="sr-Cyrl-RS"/>
        </w:rPr>
        <w:t xml:space="preserve"> учествовали су у раду седнице Одбора за стабилизацију и придруживање која је одржана 6. новембра 2019. године у Бриселу. На самом Одбору разговарало се о политичким и економским критеријумима које Република Србија треба да испуни у току процеса приступања Е</w:t>
      </w:r>
      <w:r>
        <w:rPr>
          <w:rFonts w:ascii="Times New Roman" w:hAnsi="Times New Roman" w:cs="Times New Roman"/>
          <w:sz w:val="24"/>
          <w:szCs w:val="24"/>
          <w:lang w:val="sr-Cyrl-RS"/>
        </w:rPr>
        <w:t>вропској унији. Представници Управе</w:t>
      </w:r>
      <w:r w:rsidRPr="001534DB">
        <w:rPr>
          <w:rFonts w:ascii="Times New Roman" w:hAnsi="Times New Roman" w:cs="Times New Roman"/>
          <w:sz w:val="24"/>
          <w:szCs w:val="24"/>
          <w:lang w:val="sr-Cyrl-RS"/>
        </w:rPr>
        <w:t xml:space="preserve"> говорили су у делу који се односи на економске критеријуме и област „Унутрашње тржиште и конкуренција“. У том делу изнете су новине и динамика у вези са усвајањем новог Закона о јавним набавкама који је усвојен на седници Владе од 23. септембра 2019. године, затим су изнети подаци о капацитетима и планираном динамиком попуњавања радних места у 2019. и 2020. години, као и подаци о броју сертификованих службеника за јавне набавке до сада.</w:t>
      </w:r>
    </w:p>
    <w:p w14:paraId="32E30B47" w14:textId="10C494FE" w:rsidR="001534DB" w:rsidRPr="001534DB" w:rsidRDefault="001534DB" w:rsidP="001534D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Представници Управе</w:t>
      </w:r>
      <w:r w:rsidRPr="001534DB">
        <w:rPr>
          <w:rFonts w:ascii="Times New Roman" w:hAnsi="Times New Roman" w:cs="Times New Roman"/>
          <w:sz w:val="24"/>
          <w:szCs w:val="24"/>
          <w:lang w:val="sr-Cyrl-RS"/>
        </w:rPr>
        <w:t xml:space="preserve"> учестовали су на радионици под називом „Радни састанак на тему примене критеријума економски најповољније понуде и искустава у примени директива ЕУ“ која је одржана у </w:t>
      </w:r>
      <w:r w:rsidRPr="001534DB">
        <w:rPr>
          <w:rFonts w:ascii="Times New Roman" w:hAnsi="Times New Roman" w:cs="Times New Roman"/>
          <w:sz w:val="24"/>
          <w:szCs w:val="24"/>
          <w:lang w:val="sr-Cyrl-RS"/>
        </w:rPr>
        <w:lastRenderedPageBreak/>
        <w:t>периоду од 25. до 27. новембра 2019. године у Љубљани, Република Словенија, у организацији УНДП пројекта. Током радионице, представници Дирекције за јавне набавке Републике Словеније су говорили о примени критеријума економски најповољније понуде, искуствима у примени одређених одредби директива ЕУ, а било је речи о практичним примерима  примене критеријума економски најповољније понуде.</w:t>
      </w:r>
    </w:p>
    <w:p w14:paraId="4B3481E0" w14:textId="48DEF30D" w:rsidR="001534DB" w:rsidRPr="001534DB" w:rsidRDefault="001534DB" w:rsidP="001534DB">
      <w:pPr>
        <w:jc w:val="both"/>
        <w:rPr>
          <w:rFonts w:ascii="Times New Roman" w:hAnsi="Times New Roman" w:cs="Times New Roman"/>
          <w:sz w:val="24"/>
          <w:szCs w:val="24"/>
          <w:lang w:val="sr-Cyrl-RS"/>
        </w:rPr>
      </w:pPr>
      <w:r w:rsidRPr="001534DB">
        <w:rPr>
          <w:rFonts w:ascii="Times New Roman" w:hAnsi="Times New Roman" w:cs="Times New Roman"/>
          <w:sz w:val="24"/>
          <w:szCs w:val="24"/>
          <w:lang w:val="sr-Cyrl-RS"/>
        </w:rPr>
        <w:t>Представ</w:t>
      </w:r>
      <w:r>
        <w:rPr>
          <w:rFonts w:ascii="Times New Roman" w:hAnsi="Times New Roman" w:cs="Times New Roman"/>
          <w:sz w:val="24"/>
          <w:szCs w:val="24"/>
          <w:lang w:val="sr-Cyrl-RS"/>
        </w:rPr>
        <w:t>ник Управе</w:t>
      </w:r>
      <w:r w:rsidRPr="001534DB">
        <w:rPr>
          <w:rFonts w:ascii="Times New Roman" w:hAnsi="Times New Roman" w:cs="Times New Roman"/>
          <w:sz w:val="24"/>
          <w:szCs w:val="24"/>
          <w:lang w:val="sr-Cyrl-RS"/>
        </w:rPr>
        <w:t xml:space="preserve"> учествовао је у МАТРА програму владавине права – компонента јавне набавке, који је одржан у Лајдену и Хагу, Краљевина Холандија, у периоду од 6. до 15. новембра 2019. године, у организацији Лајден универзитета, Хашке академије за локалну самоуправу, Холандског хелсиншког комитета и Министарства спољних послова Холандије. Током трајања програма, учесници су се упознали са основним принципима Европске Уније у области јавних набавки, ЕУ директивама из области јавних набавки, правним лековима у области јавних набавки, случајевима пред Европским судом правде у области јавних набавки, иновацијама, укључивањем малим и средњих предузећа, критеријумима доделе уговора, електронским јавним набавкама, борби против корупције у јавним набавкама, а програм је укључивао и неколико студијских посета Ротердаму и Палати Мира у Хагу.</w:t>
      </w:r>
    </w:p>
    <w:p w14:paraId="2D13C7C4" w14:textId="33C39D83" w:rsidR="003745BD" w:rsidRDefault="001534DB" w:rsidP="001534D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Представник Управе</w:t>
      </w:r>
      <w:r w:rsidRPr="001534DB">
        <w:rPr>
          <w:rFonts w:ascii="Times New Roman" w:hAnsi="Times New Roman" w:cs="Times New Roman"/>
          <w:sz w:val="24"/>
          <w:szCs w:val="24"/>
          <w:lang w:val="sr-Cyrl-RS"/>
        </w:rPr>
        <w:t xml:space="preserve"> учествовао је на осмом заседању Конференције држава уговорница УН Конвенције против корупције (UNCAC), која се одржавала у Абу Дабију од 16. до 20. децембра 2019. године. Поред пленарног заседања, одржан је и низ тематских панел дискусија. Представник Управе за јавне набавке учествовао је у панел дискусији под називом: „Будућност антикоруптивне борбе и како иновативна технолошка решења помажу у превенцији и детекцији корупције“. Представљен је нови Портал јавних набавки који ће бити у употреби од 1. јула 2020. године, са посебним освртом на дигитализацију процеса јавних набавки и планирану имплементацију стандарда отворених података са циљем повећања транспарентности поступака јавних набавки.</w:t>
      </w:r>
    </w:p>
    <w:p w14:paraId="727E8447" w14:textId="77777777" w:rsidR="001534DB" w:rsidRDefault="001534DB" w:rsidP="001534DB">
      <w:pPr>
        <w:jc w:val="both"/>
        <w:rPr>
          <w:rFonts w:ascii="Times New Roman" w:hAnsi="Times New Roman" w:cs="Times New Roman"/>
          <w:sz w:val="24"/>
          <w:szCs w:val="24"/>
          <w:lang w:val="sr-Cyrl-RS"/>
        </w:rPr>
      </w:pPr>
    </w:p>
    <w:p w14:paraId="54666A87" w14:textId="566E1323" w:rsidR="008D2455" w:rsidRPr="008D2455" w:rsidRDefault="00494521" w:rsidP="00960A8C">
      <w:pPr>
        <w:pStyle w:val="ListParagraph"/>
        <w:numPr>
          <w:ilvl w:val="0"/>
          <w:numId w:val="2"/>
        </w:numPr>
        <w:ind w:hanging="153"/>
        <w:jc w:val="both"/>
        <w:rPr>
          <w:rFonts w:ascii="Times New Roman" w:hAnsi="Times New Roman" w:cs="Times New Roman"/>
          <w:b/>
          <w:color w:val="FF0000"/>
          <w:sz w:val="24"/>
          <w:szCs w:val="24"/>
        </w:rPr>
      </w:pPr>
      <w:r>
        <w:rPr>
          <w:rFonts w:ascii="Times New Roman" w:eastAsiaTheme="minorHAnsi" w:hAnsi="Times New Roman" w:cs="Times New Roman"/>
          <w:b/>
          <w:sz w:val="24"/>
          <w:szCs w:val="24"/>
          <w:lang w:val="en-US" w:eastAsia="en-US"/>
        </w:rPr>
        <w:t xml:space="preserve">   </w:t>
      </w:r>
      <w:r w:rsidR="003B6D2B" w:rsidRPr="00494521">
        <w:rPr>
          <w:rFonts w:ascii="Times New Roman" w:eastAsiaTheme="minorHAnsi" w:hAnsi="Times New Roman" w:cs="Times New Roman"/>
          <w:b/>
          <w:sz w:val="24"/>
          <w:szCs w:val="24"/>
          <w:lang w:eastAsia="en-US"/>
        </w:rPr>
        <w:t>ЗАКЉУЧЦИ И ПРЕПОРУКЕ</w:t>
      </w:r>
      <w:r w:rsidR="00E439FD" w:rsidRPr="00494521">
        <w:rPr>
          <w:rFonts w:ascii="Times New Roman" w:eastAsiaTheme="minorHAnsi" w:hAnsi="Times New Roman" w:cs="Times New Roman"/>
          <w:b/>
          <w:sz w:val="24"/>
          <w:szCs w:val="24"/>
          <w:lang w:eastAsia="en-US"/>
        </w:rPr>
        <w:t xml:space="preserve"> </w:t>
      </w:r>
    </w:p>
    <w:p w14:paraId="57E1004D" w14:textId="77777777" w:rsidR="008D2455" w:rsidRPr="008D2455" w:rsidRDefault="008D2455" w:rsidP="008D2455">
      <w:pPr>
        <w:pStyle w:val="ListParagraph"/>
        <w:jc w:val="both"/>
        <w:rPr>
          <w:rFonts w:ascii="Times New Roman" w:hAnsi="Times New Roman" w:cs="Times New Roman"/>
          <w:b/>
          <w:color w:val="FF0000"/>
          <w:sz w:val="24"/>
          <w:szCs w:val="24"/>
        </w:rPr>
      </w:pPr>
    </w:p>
    <w:p w14:paraId="4F422568" w14:textId="121C483C" w:rsidR="008D2455" w:rsidRPr="0003627A" w:rsidRDefault="008D2455" w:rsidP="008D2455">
      <w:pPr>
        <w:ind w:left="-142"/>
        <w:jc w:val="both"/>
        <w:rPr>
          <w:rFonts w:ascii="Times New Roman" w:eastAsia="Times New Roman" w:hAnsi="Times New Roman" w:cs="Times New Roman"/>
          <w:sz w:val="24"/>
          <w:szCs w:val="24"/>
          <w:lang w:val="en-US"/>
        </w:rPr>
      </w:pPr>
      <w:r w:rsidRPr="0003627A">
        <w:rPr>
          <w:rFonts w:ascii="Times New Roman" w:eastAsia="Times New Roman" w:hAnsi="Times New Roman" w:cs="Times New Roman"/>
          <w:sz w:val="24"/>
          <w:szCs w:val="24"/>
        </w:rPr>
        <w:t>На основу анализе података о јавним набавкама у 201</w:t>
      </w:r>
      <w:r w:rsidR="00B869DA" w:rsidRPr="0003627A">
        <w:rPr>
          <w:rFonts w:ascii="Times New Roman" w:eastAsia="Times New Roman" w:hAnsi="Times New Roman" w:cs="Times New Roman"/>
          <w:sz w:val="24"/>
          <w:szCs w:val="24"/>
          <w:lang w:val="sr-Cyrl-RS"/>
        </w:rPr>
        <w:t>9</w:t>
      </w:r>
      <w:r w:rsidR="00C5433C" w:rsidRPr="0003627A">
        <w:rPr>
          <w:rFonts w:ascii="Times New Roman" w:eastAsia="Times New Roman" w:hAnsi="Times New Roman" w:cs="Times New Roman"/>
          <w:sz w:val="24"/>
          <w:szCs w:val="24"/>
        </w:rPr>
        <w:t>. години</w:t>
      </w:r>
      <w:r w:rsidRPr="0003627A">
        <w:rPr>
          <w:rFonts w:ascii="Times New Roman" w:eastAsia="Times New Roman" w:hAnsi="Times New Roman" w:cs="Times New Roman"/>
          <w:sz w:val="24"/>
          <w:szCs w:val="24"/>
        </w:rPr>
        <w:t xml:space="preserve"> могу се извући следећи закључци: </w:t>
      </w:r>
    </w:p>
    <w:p w14:paraId="37A1DD06" w14:textId="18123BC4" w:rsidR="008D2455" w:rsidRPr="0003627A" w:rsidRDefault="008D2455" w:rsidP="008D2455">
      <w:pPr>
        <w:ind w:left="-142"/>
        <w:jc w:val="both"/>
        <w:rPr>
          <w:rFonts w:ascii="Times New Roman" w:eastAsia="Times New Roman" w:hAnsi="Times New Roman" w:cs="Times New Roman"/>
          <w:sz w:val="24"/>
          <w:szCs w:val="24"/>
          <w:lang w:val="en-US"/>
        </w:rPr>
      </w:pPr>
      <w:r w:rsidRPr="0003627A">
        <w:rPr>
          <w:rFonts w:ascii="Times New Roman" w:eastAsia="Times New Roman" w:hAnsi="Times New Roman" w:cs="Times New Roman"/>
          <w:sz w:val="24"/>
          <w:szCs w:val="24"/>
        </w:rPr>
        <w:t>У</w:t>
      </w:r>
      <w:r w:rsidRPr="0003627A">
        <w:rPr>
          <w:rFonts w:ascii="Times New Roman" w:eastAsia="Times New Roman" w:hAnsi="Times New Roman" w:cs="Times New Roman"/>
          <w:b/>
          <w:sz w:val="24"/>
          <w:szCs w:val="24"/>
        </w:rPr>
        <w:t xml:space="preserve"> </w:t>
      </w:r>
      <w:r w:rsidRPr="0003627A">
        <w:rPr>
          <w:rFonts w:ascii="Times New Roman" w:eastAsia="Times New Roman" w:hAnsi="Times New Roman" w:cs="Times New Roman"/>
          <w:sz w:val="24"/>
          <w:szCs w:val="24"/>
        </w:rPr>
        <w:t xml:space="preserve">посматраном периоду </w:t>
      </w:r>
      <w:r w:rsidRPr="0003627A">
        <w:rPr>
          <w:rFonts w:ascii="Times New Roman" w:eastAsia="Times New Roman" w:hAnsi="Times New Roman" w:cs="Times New Roman"/>
          <w:sz w:val="24"/>
          <w:szCs w:val="24"/>
          <w:lang w:val="sr-Cyrl-RS"/>
        </w:rPr>
        <w:t>настављен је тренд</w:t>
      </w:r>
      <w:r w:rsidRPr="0003627A">
        <w:rPr>
          <w:rFonts w:ascii="Times New Roman" w:eastAsia="Times New Roman" w:hAnsi="Times New Roman" w:cs="Times New Roman"/>
          <w:sz w:val="24"/>
          <w:szCs w:val="24"/>
        </w:rPr>
        <w:t xml:space="preserve"> скраћења дужине трајања поступ</w:t>
      </w:r>
      <w:r w:rsidRPr="0003627A">
        <w:rPr>
          <w:rFonts w:ascii="Times New Roman" w:eastAsia="Times New Roman" w:hAnsi="Times New Roman" w:cs="Times New Roman"/>
          <w:sz w:val="24"/>
          <w:szCs w:val="24"/>
          <w:lang w:val="sr-Cyrl-RS"/>
        </w:rPr>
        <w:t>а</w:t>
      </w:r>
      <w:r w:rsidRPr="0003627A">
        <w:rPr>
          <w:rFonts w:ascii="Times New Roman" w:eastAsia="Times New Roman" w:hAnsi="Times New Roman" w:cs="Times New Roman"/>
          <w:sz w:val="24"/>
          <w:szCs w:val="24"/>
        </w:rPr>
        <w:t>ка</w:t>
      </w:r>
      <w:r w:rsidRPr="0003627A">
        <w:rPr>
          <w:rFonts w:ascii="Times New Roman" w:eastAsia="Times New Roman" w:hAnsi="Times New Roman" w:cs="Times New Roman"/>
          <w:sz w:val="24"/>
          <w:szCs w:val="24"/>
          <w:lang w:val="sr-Cyrl-RS"/>
        </w:rPr>
        <w:t xml:space="preserve"> јавних набавки. У исто време </w:t>
      </w:r>
      <w:r w:rsidR="00B869DA" w:rsidRPr="0003627A">
        <w:rPr>
          <w:rFonts w:ascii="Times New Roman" w:eastAsia="Times New Roman" w:hAnsi="Times New Roman" w:cs="Times New Roman"/>
          <w:sz w:val="24"/>
          <w:szCs w:val="24"/>
          <w:lang w:val="sr-Cyrl-RS"/>
        </w:rPr>
        <w:t>број</w:t>
      </w:r>
      <w:r w:rsidRPr="0003627A">
        <w:rPr>
          <w:rFonts w:ascii="Times New Roman" w:eastAsia="Times New Roman" w:hAnsi="Times New Roman" w:cs="Times New Roman"/>
          <w:sz w:val="24"/>
          <w:szCs w:val="24"/>
        </w:rPr>
        <w:t xml:space="preserve"> обустављених поступака </w:t>
      </w:r>
      <w:r w:rsidR="00B869DA" w:rsidRPr="0003627A">
        <w:rPr>
          <w:rFonts w:ascii="Times New Roman" w:eastAsia="Times New Roman" w:hAnsi="Times New Roman" w:cs="Times New Roman"/>
          <w:sz w:val="24"/>
          <w:szCs w:val="24"/>
          <w:lang w:val="sr-Cyrl-RS"/>
        </w:rPr>
        <w:t>је исти као и претходне године.</w:t>
      </w:r>
      <w:r w:rsidRPr="0003627A">
        <w:rPr>
          <w:rFonts w:ascii="Times New Roman" w:eastAsia="Times New Roman" w:hAnsi="Times New Roman" w:cs="Times New Roman"/>
          <w:sz w:val="24"/>
          <w:szCs w:val="24"/>
        </w:rPr>
        <w:t xml:space="preserve"> </w:t>
      </w:r>
    </w:p>
    <w:p w14:paraId="57A90BA4" w14:textId="40A764EA" w:rsidR="008D2455" w:rsidRPr="0003627A" w:rsidRDefault="00BD6A04" w:rsidP="005C2356">
      <w:pPr>
        <w:ind w:left="-142"/>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Интензитет конкуренције се задржао у 2019. години</w:t>
      </w:r>
      <w:r>
        <w:rPr>
          <w:rFonts w:ascii="Times New Roman" w:eastAsia="Times New Roman" w:hAnsi="Times New Roman" w:cs="Times New Roman"/>
          <w:sz w:val="24"/>
          <w:szCs w:val="24"/>
          <w:lang w:val="sr-Cyrl-RS"/>
        </w:rPr>
        <w:t xml:space="preserve"> на нивоу од</w:t>
      </w:r>
      <w:r w:rsidR="00D42A9F" w:rsidRPr="0003627A">
        <w:rPr>
          <w:rFonts w:ascii="Times New Roman" w:eastAsia="Times New Roman" w:hAnsi="Times New Roman" w:cs="Times New Roman"/>
          <w:sz w:val="24"/>
          <w:szCs w:val="24"/>
          <w:lang w:val="sr-Cyrl-RS"/>
        </w:rPr>
        <w:t xml:space="preserve"> </w:t>
      </w:r>
      <w:r w:rsidR="008D2455" w:rsidRPr="0003627A">
        <w:rPr>
          <w:rFonts w:ascii="Times New Roman" w:eastAsia="Times New Roman" w:hAnsi="Times New Roman" w:cs="Times New Roman"/>
          <w:sz w:val="24"/>
          <w:szCs w:val="24"/>
        </w:rPr>
        <w:t>2,5 пону</w:t>
      </w:r>
      <w:r w:rsidR="00D42A9F" w:rsidRPr="0003627A">
        <w:rPr>
          <w:rFonts w:ascii="Times New Roman" w:eastAsia="Times New Roman" w:hAnsi="Times New Roman" w:cs="Times New Roman"/>
          <w:sz w:val="24"/>
          <w:szCs w:val="24"/>
          <w:lang w:val="sr-Cyrl-RS"/>
        </w:rPr>
        <w:t>да</w:t>
      </w:r>
      <w:r w:rsidR="008D2455" w:rsidRPr="0003627A">
        <w:rPr>
          <w:rFonts w:ascii="Times New Roman" w:eastAsia="Times New Roman" w:hAnsi="Times New Roman" w:cs="Times New Roman"/>
          <w:sz w:val="24"/>
          <w:szCs w:val="24"/>
        </w:rPr>
        <w:t xml:space="preserve"> по поступку</w:t>
      </w:r>
      <w:r>
        <w:rPr>
          <w:rFonts w:ascii="Times New Roman" w:eastAsia="Times New Roman" w:hAnsi="Times New Roman" w:cs="Times New Roman"/>
          <w:sz w:val="24"/>
          <w:szCs w:val="24"/>
          <w:lang w:val="sr-Cyrl-RS"/>
        </w:rPr>
        <w:t xml:space="preserve"> колико је износио и у 2018. години</w:t>
      </w:r>
      <w:r w:rsidR="00E24BE3">
        <w:rPr>
          <w:rFonts w:ascii="Times New Roman" w:eastAsia="Times New Roman" w:hAnsi="Times New Roman" w:cs="Times New Roman"/>
          <w:sz w:val="24"/>
          <w:szCs w:val="24"/>
        </w:rPr>
        <w:t xml:space="preserve">. </w:t>
      </w:r>
      <w:r w:rsidR="00E24BE3">
        <w:rPr>
          <w:rFonts w:ascii="Times New Roman" w:eastAsia="Times New Roman" w:hAnsi="Times New Roman" w:cs="Times New Roman"/>
          <w:sz w:val="24"/>
          <w:szCs w:val="24"/>
          <w:lang w:val="sr-Cyrl-RS"/>
        </w:rPr>
        <w:t xml:space="preserve">У </w:t>
      </w:r>
      <w:r w:rsidR="008D2455" w:rsidRPr="0003627A">
        <w:rPr>
          <w:rFonts w:ascii="Times New Roman" w:eastAsia="Times New Roman" w:hAnsi="Times New Roman" w:cs="Times New Roman"/>
          <w:sz w:val="24"/>
          <w:szCs w:val="24"/>
          <w:lang w:val="sr-Cyrl-RS"/>
        </w:rPr>
        <w:t xml:space="preserve">наредном периоду биће предузете мере ка отклањању административних и других препрека које дестимулишу понуђаче да учествују у поступцима јавних набавки. </w:t>
      </w:r>
      <w:r w:rsidR="005C2356" w:rsidRPr="0003627A">
        <w:rPr>
          <w:rFonts w:ascii="Times New Roman" w:eastAsia="Times New Roman" w:hAnsi="Times New Roman" w:cs="Times New Roman"/>
          <w:sz w:val="24"/>
          <w:szCs w:val="24"/>
          <w:lang w:val="sr-Cyrl-RS"/>
        </w:rPr>
        <w:t xml:space="preserve">Овоме ће свакако допринети нова решења предвиђена новим Законом о јавним набавкама, који ће бити у примени од 1. јула 2020. године, а која ће олакшати понуђачима подношење понуда. </w:t>
      </w:r>
      <w:r w:rsidR="008D2455" w:rsidRPr="0003627A">
        <w:rPr>
          <w:rFonts w:ascii="Times New Roman" w:eastAsia="Times New Roman" w:hAnsi="Times New Roman" w:cs="Times New Roman"/>
          <w:sz w:val="24"/>
          <w:szCs w:val="24"/>
          <w:lang w:val="sr-Cyrl-RS"/>
        </w:rPr>
        <w:t xml:space="preserve">Као један од фактора који делује ограничавајуће на повећање интензитета конкуренције идентификовано је недовољно истраживање тржишта од стране наручилаца. У појединим случајевима наручиоци, услед недовољног познавања стања на тржишту, одређивањем услова за учешће у поступку и сачињавањем техничких спецификација предмета јавне набавке, сужавају круг потенцијалних понуђача. </w:t>
      </w:r>
    </w:p>
    <w:p w14:paraId="0B3071F7" w14:textId="52B9B1B5" w:rsidR="008D2455" w:rsidRPr="0003627A" w:rsidRDefault="008D2455" w:rsidP="008D2455">
      <w:pPr>
        <w:ind w:left="-142"/>
        <w:jc w:val="both"/>
        <w:rPr>
          <w:rFonts w:ascii="Times New Roman" w:eastAsia="Times New Roman" w:hAnsi="Times New Roman" w:cs="Times New Roman"/>
          <w:sz w:val="24"/>
          <w:szCs w:val="24"/>
          <w:lang w:val="sr-Cyrl-RS"/>
        </w:rPr>
      </w:pPr>
      <w:r w:rsidRPr="0003627A">
        <w:rPr>
          <w:rFonts w:ascii="Times New Roman" w:hAnsi="Times New Roman" w:cs="Times New Roman"/>
          <w:sz w:val="24"/>
          <w:szCs w:val="24"/>
        </w:rPr>
        <w:lastRenderedPageBreak/>
        <w:t xml:space="preserve">Број посета Порталу јавних набавки задржао се на високом нивоу што јасно указује на његов значај за наручиоце и понуђаче. </w:t>
      </w:r>
      <w:r w:rsidRPr="0003627A">
        <w:rPr>
          <w:rFonts w:ascii="Times New Roman" w:hAnsi="Times New Roman" w:cs="Times New Roman"/>
          <w:sz w:val="24"/>
          <w:szCs w:val="24"/>
          <w:lang w:val="sr-Cyrl-RS"/>
        </w:rPr>
        <w:t xml:space="preserve">И у посматраном периоду, </w:t>
      </w:r>
      <w:r w:rsidR="00225866" w:rsidRPr="0003627A">
        <w:rPr>
          <w:rFonts w:ascii="Times New Roman" w:eastAsia="Times New Roman" w:hAnsi="Times New Roman" w:cs="Times New Roman"/>
          <w:sz w:val="24"/>
          <w:szCs w:val="24"/>
        </w:rPr>
        <w:t>Управа</w:t>
      </w:r>
      <w:r w:rsidRPr="0003627A">
        <w:rPr>
          <w:rFonts w:ascii="Times New Roman" w:eastAsia="Times New Roman" w:hAnsi="Times New Roman" w:cs="Times New Roman"/>
          <w:sz w:val="24"/>
          <w:szCs w:val="24"/>
          <w:lang w:val="sr-Cyrl-RS"/>
        </w:rPr>
        <w:t xml:space="preserve"> је</w:t>
      </w:r>
      <w:r w:rsidRPr="0003627A">
        <w:rPr>
          <w:rFonts w:ascii="Times New Roman" w:eastAsia="Times New Roman" w:hAnsi="Times New Roman" w:cs="Times New Roman"/>
          <w:sz w:val="24"/>
          <w:szCs w:val="24"/>
        </w:rPr>
        <w:t xml:space="preserve"> заједно са </w:t>
      </w:r>
      <w:r w:rsidRPr="0003627A">
        <w:rPr>
          <w:rFonts w:ascii="Times New Roman" w:eastAsia="Times New Roman" w:hAnsi="Times New Roman" w:cs="Times New Roman"/>
          <w:color w:val="FF0000"/>
          <w:sz w:val="24"/>
          <w:szCs w:val="24"/>
          <w:lang w:val="sr-Cyrl-RS"/>
        </w:rPr>
        <w:t xml:space="preserve"> </w:t>
      </w:r>
      <w:r w:rsidRPr="0003627A">
        <w:rPr>
          <w:rFonts w:ascii="Times New Roman" w:eastAsia="Times New Roman" w:hAnsi="Times New Roman" w:cs="Times New Roman"/>
          <w:sz w:val="24"/>
          <w:szCs w:val="24"/>
          <w:lang w:val="sr-Cyrl-RS"/>
        </w:rPr>
        <w:t>другим институцијама наставила у</w:t>
      </w:r>
      <w:r w:rsidRPr="0003627A">
        <w:rPr>
          <w:rFonts w:ascii="Times New Roman" w:eastAsia="Times New Roman" w:hAnsi="Times New Roman" w:cs="Times New Roman"/>
          <w:sz w:val="24"/>
          <w:szCs w:val="24"/>
        </w:rPr>
        <w:t>че</w:t>
      </w:r>
      <w:r w:rsidRPr="0003627A">
        <w:rPr>
          <w:rFonts w:ascii="Times New Roman" w:eastAsia="Times New Roman" w:hAnsi="Times New Roman" w:cs="Times New Roman"/>
          <w:sz w:val="24"/>
          <w:szCs w:val="24"/>
          <w:lang w:val="sr-Cyrl-RS"/>
        </w:rPr>
        <w:t>шће</w:t>
      </w:r>
      <w:r w:rsidRPr="0003627A">
        <w:rPr>
          <w:rFonts w:ascii="Times New Roman" w:eastAsia="Times New Roman" w:hAnsi="Times New Roman" w:cs="Times New Roman"/>
          <w:sz w:val="24"/>
          <w:szCs w:val="24"/>
        </w:rPr>
        <w:t xml:space="preserve"> у реализацији пројекта “</w:t>
      </w:r>
      <w:r w:rsidRPr="0003627A">
        <w:rPr>
          <w:rFonts w:ascii="Times New Roman" w:eastAsia="Times New Roman" w:hAnsi="Times New Roman" w:cs="Times New Roman"/>
          <w:sz w:val="24"/>
          <w:szCs w:val="24"/>
          <w:lang w:val="en-US"/>
        </w:rPr>
        <w:t>Open data</w:t>
      </w:r>
      <w:r w:rsidRPr="0003627A">
        <w:rPr>
          <w:rFonts w:ascii="Times New Roman" w:eastAsia="Times New Roman" w:hAnsi="Times New Roman" w:cs="Times New Roman"/>
          <w:sz w:val="24"/>
          <w:szCs w:val="24"/>
        </w:rPr>
        <w:t xml:space="preserve">”. </w:t>
      </w:r>
      <w:r w:rsidR="00225866" w:rsidRPr="0003627A">
        <w:rPr>
          <w:rFonts w:ascii="Times New Roman" w:eastAsia="Times New Roman" w:hAnsi="Times New Roman" w:cs="Times New Roman"/>
          <w:sz w:val="24"/>
          <w:szCs w:val="24"/>
        </w:rPr>
        <w:t>Управа</w:t>
      </w:r>
      <w:r w:rsidRPr="0003627A">
        <w:rPr>
          <w:rFonts w:ascii="Times New Roman" w:eastAsia="Times New Roman" w:hAnsi="Times New Roman" w:cs="Times New Roman"/>
          <w:sz w:val="24"/>
          <w:szCs w:val="24"/>
        </w:rPr>
        <w:t xml:space="preserve"> је приступила пројекту са циљем да јавности омогући приступ подацима којима располаже у формату који је информатички читљив и обрадив. То значи да лица која су заинтересована за податке </w:t>
      </w:r>
      <w:r w:rsidR="00225866" w:rsidRPr="0003627A">
        <w:rPr>
          <w:rFonts w:ascii="Times New Roman" w:eastAsia="Times New Roman" w:hAnsi="Times New Roman" w:cs="Times New Roman"/>
          <w:sz w:val="24"/>
          <w:szCs w:val="24"/>
        </w:rPr>
        <w:t>Управе</w:t>
      </w:r>
      <w:r w:rsidRPr="0003627A">
        <w:rPr>
          <w:rFonts w:ascii="Times New Roman" w:eastAsia="Times New Roman" w:hAnsi="Times New Roman" w:cs="Times New Roman"/>
          <w:sz w:val="24"/>
          <w:szCs w:val="24"/>
        </w:rPr>
        <w:t xml:space="preserve"> могу да их користе уз минимум информатичког знања. Подаци се налазе у CSV формату и објављују се на Порталу јавних набавки на дневном нивоу.</w:t>
      </w:r>
      <w:r w:rsidRPr="0003627A">
        <w:rPr>
          <w:rFonts w:ascii="Times New Roman" w:eastAsia="Times New Roman" w:hAnsi="Times New Roman" w:cs="Times New Roman"/>
          <w:sz w:val="24"/>
          <w:szCs w:val="24"/>
          <w:lang w:val="sr-Cyrl-RS"/>
        </w:rPr>
        <w:t xml:space="preserve"> </w:t>
      </w:r>
    </w:p>
    <w:p w14:paraId="2C875548" w14:textId="77777777" w:rsidR="00D42A9F" w:rsidRPr="0003627A" w:rsidRDefault="008D2455" w:rsidP="008D2455">
      <w:pPr>
        <w:ind w:left="-142"/>
        <w:jc w:val="both"/>
        <w:rPr>
          <w:rFonts w:ascii="Times New Roman" w:eastAsia="Times New Roman" w:hAnsi="Times New Roman" w:cs="Times New Roman"/>
          <w:sz w:val="24"/>
          <w:szCs w:val="24"/>
        </w:rPr>
      </w:pPr>
      <w:r w:rsidRPr="0003627A">
        <w:rPr>
          <w:rFonts w:ascii="Times New Roman" w:eastAsia="Times New Roman" w:hAnsi="Times New Roman" w:cs="Times New Roman"/>
          <w:sz w:val="24"/>
          <w:szCs w:val="24"/>
        </w:rPr>
        <w:t xml:space="preserve">Учешће преговарачког поступка без објављивања позива за подношење понуда износило је </w:t>
      </w:r>
      <w:r w:rsidR="00D42A9F" w:rsidRPr="0003627A">
        <w:rPr>
          <w:rFonts w:ascii="Times New Roman" w:eastAsia="Times New Roman" w:hAnsi="Times New Roman" w:cs="Times New Roman"/>
          <w:sz w:val="24"/>
          <w:szCs w:val="24"/>
          <w:lang w:val="sr-Cyrl-RS"/>
        </w:rPr>
        <w:t>4</w:t>
      </w:r>
      <w:r w:rsidRPr="0003627A">
        <w:rPr>
          <w:rFonts w:ascii="Times New Roman" w:eastAsia="Times New Roman" w:hAnsi="Times New Roman" w:cs="Times New Roman"/>
          <w:sz w:val="24"/>
          <w:szCs w:val="24"/>
        </w:rPr>
        <w:t xml:space="preserve">% </w:t>
      </w:r>
      <w:r w:rsidR="00D42A9F" w:rsidRPr="0003627A">
        <w:rPr>
          <w:rFonts w:ascii="Times New Roman" w:eastAsia="Times New Roman" w:hAnsi="Times New Roman" w:cs="Times New Roman"/>
          <w:sz w:val="24"/>
          <w:szCs w:val="24"/>
        </w:rPr>
        <w:t xml:space="preserve">што је на нивоу који се кретао у претходних 5 година. </w:t>
      </w:r>
    </w:p>
    <w:p w14:paraId="3A1447CC" w14:textId="19A252EF" w:rsidR="008D2455" w:rsidRPr="0003627A" w:rsidRDefault="008D2455" w:rsidP="008D2455">
      <w:pPr>
        <w:ind w:left="-142"/>
        <w:jc w:val="both"/>
        <w:rPr>
          <w:rFonts w:ascii="Times New Roman" w:hAnsi="Times New Roman" w:cs="Times New Roman"/>
          <w:color w:val="FF0000"/>
          <w:sz w:val="24"/>
          <w:szCs w:val="24"/>
        </w:rPr>
      </w:pPr>
      <w:r w:rsidRPr="0003627A">
        <w:rPr>
          <w:rFonts w:ascii="Times New Roman" w:eastAsia="Times New Roman" w:hAnsi="Times New Roman" w:cs="Times New Roman"/>
          <w:color w:val="000000" w:themeColor="text1"/>
          <w:sz w:val="24"/>
          <w:szCs w:val="24"/>
        </w:rPr>
        <w:t>У 201</w:t>
      </w:r>
      <w:r w:rsidR="00D42A9F" w:rsidRPr="0003627A">
        <w:rPr>
          <w:rFonts w:ascii="Times New Roman" w:eastAsia="Times New Roman" w:hAnsi="Times New Roman" w:cs="Times New Roman"/>
          <w:color w:val="000000" w:themeColor="text1"/>
          <w:sz w:val="24"/>
          <w:szCs w:val="24"/>
          <w:lang w:val="sr-Cyrl-RS"/>
        </w:rPr>
        <w:t>9</w:t>
      </w:r>
      <w:r w:rsidRPr="0003627A">
        <w:rPr>
          <w:rFonts w:ascii="Times New Roman" w:eastAsia="Times New Roman" w:hAnsi="Times New Roman" w:cs="Times New Roman"/>
          <w:color w:val="000000" w:themeColor="text1"/>
          <w:sz w:val="24"/>
          <w:szCs w:val="24"/>
        </w:rPr>
        <w:t xml:space="preserve">. години </w:t>
      </w:r>
      <w:r w:rsidR="00225866" w:rsidRPr="0003627A">
        <w:rPr>
          <w:rFonts w:ascii="Times New Roman" w:eastAsia="Times New Roman" w:hAnsi="Times New Roman" w:cs="Times New Roman"/>
          <w:color w:val="000000" w:themeColor="text1"/>
          <w:sz w:val="24"/>
          <w:szCs w:val="24"/>
        </w:rPr>
        <w:t xml:space="preserve">Управа </w:t>
      </w:r>
      <w:r w:rsidRPr="0003627A">
        <w:rPr>
          <w:rFonts w:ascii="Times New Roman" w:eastAsia="Times New Roman" w:hAnsi="Times New Roman" w:cs="Times New Roman"/>
          <w:color w:val="000000" w:themeColor="text1"/>
          <w:sz w:val="24"/>
          <w:szCs w:val="24"/>
        </w:rPr>
        <w:t xml:space="preserve">је дала </w:t>
      </w:r>
      <w:r w:rsidR="00D42A9F" w:rsidRPr="0003627A">
        <w:rPr>
          <w:rFonts w:ascii="Times New Roman" w:eastAsia="Times New Roman" w:hAnsi="Times New Roman" w:cs="Times New Roman"/>
          <w:color w:val="000000" w:themeColor="text1"/>
          <w:sz w:val="24"/>
          <w:szCs w:val="24"/>
          <w:lang w:val="en-US"/>
        </w:rPr>
        <w:t xml:space="preserve">1.948 позитивних и 69 </w:t>
      </w:r>
      <w:r w:rsidRPr="0003627A">
        <w:rPr>
          <w:rFonts w:ascii="Times New Roman" w:eastAsia="Times New Roman" w:hAnsi="Times New Roman" w:cs="Times New Roman"/>
          <w:color w:val="000000" w:themeColor="text1"/>
          <w:sz w:val="24"/>
          <w:szCs w:val="24"/>
        </w:rPr>
        <w:t>негативн</w:t>
      </w:r>
      <w:r w:rsidR="00D42A9F" w:rsidRPr="0003627A">
        <w:rPr>
          <w:rFonts w:ascii="Times New Roman" w:eastAsia="Times New Roman" w:hAnsi="Times New Roman" w:cs="Times New Roman"/>
          <w:color w:val="000000" w:themeColor="text1"/>
          <w:sz w:val="24"/>
          <w:szCs w:val="24"/>
          <w:lang w:val="sr-Cyrl-RS"/>
        </w:rPr>
        <w:t>их</w:t>
      </w:r>
      <w:r w:rsidRPr="0003627A">
        <w:rPr>
          <w:rFonts w:ascii="Times New Roman" w:eastAsia="Times New Roman" w:hAnsi="Times New Roman" w:cs="Times New Roman"/>
          <w:color w:val="000000" w:themeColor="text1"/>
          <w:sz w:val="24"/>
          <w:szCs w:val="24"/>
        </w:rPr>
        <w:t xml:space="preserve"> мишљења за преговарачки поступак без објављивања позива за подношење понуда</w:t>
      </w:r>
      <w:r w:rsidRPr="0003627A">
        <w:rPr>
          <w:rFonts w:ascii="Times New Roman" w:eastAsia="Times New Roman" w:hAnsi="Times New Roman" w:cs="Times New Roman"/>
          <w:sz w:val="24"/>
          <w:szCs w:val="24"/>
        </w:rPr>
        <w:t xml:space="preserve">. </w:t>
      </w:r>
    </w:p>
    <w:p w14:paraId="371320B2" w14:textId="19871D95" w:rsidR="008D2455" w:rsidRPr="0003627A" w:rsidRDefault="002F3484" w:rsidP="008D2455">
      <w:pPr>
        <w:ind w:left="-142"/>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Набавке на које се Закон</w:t>
      </w:r>
      <w:r w:rsidR="008D2455" w:rsidRPr="0003627A">
        <w:rPr>
          <w:rFonts w:ascii="Times New Roman" w:hAnsi="Times New Roman" w:cs="Times New Roman"/>
          <w:b/>
          <w:color w:val="000000" w:themeColor="text1"/>
          <w:sz w:val="24"/>
          <w:szCs w:val="24"/>
        </w:rPr>
        <w:t xml:space="preserve"> </w:t>
      </w:r>
      <w:r w:rsidR="008D2455" w:rsidRPr="0003627A">
        <w:rPr>
          <w:rFonts w:ascii="Times New Roman" w:hAnsi="Times New Roman" w:cs="Times New Roman"/>
          <w:color w:val="000000" w:themeColor="text1"/>
          <w:sz w:val="24"/>
          <w:szCs w:val="24"/>
        </w:rPr>
        <w:t xml:space="preserve">није примењивао </w:t>
      </w:r>
      <w:r w:rsidR="008D2455" w:rsidRPr="0003627A">
        <w:rPr>
          <w:rFonts w:ascii="Times New Roman" w:hAnsi="Times New Roman" w:cs="Times New Roman"/>
          <w:color w:val="000000" w:themeColor="text1"/>
          <w:sz w:val="24"/>
          <w:szCs w:val="24"/>
          <w:lang w:val="sr"/>
        </w:rPr>
        <w:t>учествовале су</w:t>
      </w:r>
      <w:r w:rsidR="008D2455" w:rsidRPr="0003627A">
        <w:rPr>
          <w:rFonts w:ascii="Times New Roman" w:hAnsi="Times New Roman" w:cs="Times New Roman"/>
          <w:color w:val="000000" w:themeColor="text1"/>
          <w:sz w:val="24"/>
          <w:szCs w:val="24"/>
        </w:rPr>
        <w:t xml:space="preserve"> у укупној уговореној вредности са 2</w:t>
      </w:r>
      <w:r w:rsidR="00D42A9F" w:rsidRPr="0003627A">
        <w:rPr>
          <w:rFonts w:ascii="Times New Roman" w:hAnsi="Times New Roman" w:cs="Times New Roman"/>
          <w:color w:val="000000" w:themeColor="text1"/>
          <w:sz w:val="24"/>
          <w:szCs w:val="24"/>
          <w:lang w:val="sr-Cyrl-RS"/>
        </w:rPr>
        <w:t>5</w:t>
      </w:r>
      <w:r w:rsidR="008D2455" w:rsidRPr="0003627A">
        <w:rPr>
          <w:rFonts w:ascii="Times New Roman" w:hAnsi="Times New Roman" w:cs="Times New Roman"/>
          <w:color w:val="000000" w:themeColor="text1"/>
          <w:sz w:val="24"/>
          <w:szCs w:val="24"/>
        </w:rPr>
        <w:t>%</w:t>
      </w:r>
      <w:r w:rsidR="008D2455" w:rsidRPr="0003627A">
        <w:rPr>
          <w:rFonts w:ascii="Times New Roman" w:hAnsi="Times New Roman" w:cs="Times New Roman"/>
          <w:color w:val="000000" w:themeColor="text1"/>
          <w:sz w:val="24"/>
          <w:szCs w:val="24"/>
          <w:lang w:val="sr-Cyrl-RS"/>
        </w:rPr>
        <w:t>,</w:t>
      </w:r>
      <w:r w:rsidR="008D2455" w:rsidRPr="0003627A">
        <w:rPr>
          <w:rFonts w:ascii="Times New Roman" w:hAnsi="Times New Roman" w:cs="Times New Roman"/>
          <w:color w:val="000000" w:themeColor="text1"/>
          <w:sz w:val="24"/>
          <w:szCs w:val="24"/>
        </w:rPr>
        <w:t xml:space="preserve"> што </w:t>
      </w:r>
      <w:r w:rsidR="008D2455" w:rsidRPr="0003627A">
        <w:rPr>
          <w:rFonts w:ascii="Times New Roman" w:hAnsi="Times New Roman" w:cs="Times New Roman"/>
          <w:color w:val="000000" w:themeColor="text1"/>
          <w:sz w:val="24"/>
          <w:szCs w:val="24"/>
          <w:lang w:val="sr-Cyrl-RS"/>
        </w:rPr>
        <w:t xml:space="preserve">представља смањење у односу на </w:t>
      </w:r>
      <w:r w:rsidR="008D2455" w:rsidRPr="0003627A">
        <w:rPr>
          <w:rFonts w:ascii="Times New Roman" w:hAnsi="Times New Roman" w:cs="Times New Roman"/>
          <w:color w:val="000000" w:themeColor="text1"/>
          <w:sz w:val="24"/>
          <w:szCs w:val="24"/>
        </w:rPr>
        <w:t xml:space="preserve">ниво из претходне године. </w:t>
      </w:r>
      <w:r w:rsidR="00225866" w:rsidRPr="0003627A">
        <w:rPr>
          <w:rFonts w:ascii="Times New Roman" w:eastAsia="Times New Roman" w:hAnsi="Times New Roman" w:cs="Times New Roman"/>
          <w:sz w:val="24"/>
          <w:szCs w:val="24"/>
        </w:rPr>
        <w:t>Управа</w:t>
      </w:r>
      <w:r w:rsidR="008D2455" w:rsidRPr="0003627A">
        <w:rPr>
          <w:rFonts w:ascii="Times New Roman" w:eastAsia="Times New Roman" w:hAnsi="Times New Roman" w:cs="Times New Roman"/>
          <w:sz w:val="24"/>
          <w:szCs w:val="24"/>
        </w:rPr>
        <w:t xml:space="preserve"> ће </w:t>
      </w:r>
      <w:r w:rsidR="008D2455" w:rsidRPr="0003627A">
        <w:rPr>
          <w:rFonts w:ascii="Times New Roman" w:eastAsia="Times New Roman" w:hAnsi="Times New Roman" w:cs="Times New Roman"/>
          <w:sz w:val="24"/>
          <w:szCs w:val="24"/>
          <w:lang w:val="sr-Cyrl-RS"/>
        </w:rPr>
        <w:t>и у</w:t>
      </w:r>
      <w:r w:rsidR="008D2455" w:rsidRPr="0003627A">
        <w:rPr>
          <w:rFonts w:ascii="Times New Roman" w:eastAsia="Times New Roman" w:hAnsi="Times New Roman" w:cs="Times New Roman"/>
          <w:sz w:val="24"/>
          <w:szCs w:val="24"/>
        </w:rPr>
        <w:t xml:space="preserve"> наредном периоду наставити да прати основаност примене изузетака</w:t>
      </w:r>
      <w:r w:rsidR="008D2455" w:rsidRPr="0003627A">
        <w:rPr>
          <w:rFonts w:ascii="Times New Roman" w:eastAsia="Times New Roman" w:hAnsi="Times New Roman" w:cs="Times New Roman"/>
          <w:sz w:val="24"/>
          <w:szCs w:val="24"/>
          <w:lang w:val="sr-Cyrl-RS"/>
        </w:rPr>
        <w:t>. Како и код ових</w:t>
      </w:r>
      <w:r w:rsidR="008D2455" w:rsidRPr="0003627A">
        <w:rPr>
          <w:rFonts w:ascii="Times New Roman" w:eastAsia="Times New Roman" w:hAnsi="Times New Roman" w:cs="Times New Roman"/>
          <w:sz w:val="24"/>
          <w:szCs w:val="24"/>
        </w:rPr>
        <w:t xml:space="preserve"> набавки</w:t>
      </w:r>
      <w:r w:rsidR="008D2455" w:rsidRPr="0003627A">
        <w:rPr>
          <w:rFonts w:ascii="Times New Roman" w:eastAsia="Times New Roman" w:hAnsi="Times New Roman" w:cs="Times New Roman"/>
          <w:sz w:val="24"/>
          <w:szCs w:val="24"/>
          <w:lang w:val="sr-Cyrl-RS"/>
        </w:rPr>
        <w:t xml:space="preserve"> наручиоци имају обавезу да</w:t>
      </w:r>
      <w:r w:rsidR="008D2455" w:rsidRPr="0003627A">
        <w:rPr>
          <w:rFonts w:ascii="Times New Roman" w:eastAsia="Times New Roman" w:hAnsi="Times New Roman" w:cs="Times New Roman"/>
          <w:sz w:val="24"/>
          <w:szCs w:val="24"/>
        </w:rPr>
        <w:t xml:space="preserve"> обезбеде примену основних начела јавних набавки</w:t>
      </w:r>
      <w:r w:rsidR="008D2455" w:rsidRPr="0003627A">
        <w:rPr>
          <w:rFonts w:ascii="Times New Roman" w:eastAsia="Times New Roman" w:hAnsi="Times New Roman" w:cs="Times New Roman"/>
          <w:sz w:val="24"/>
          <w:szCs w:val="24"/>
          <w:lang w:val="sr-Cyrl-RS"/>
        </w:rPr>
        <w:t xml:space="preserve">, потребно је обезбедити ефикасну контролу њиховог спровођења, у коју ће бити </w:t>
      </w:r>
      <w:r w:rsidR="008D2455" w:rsidRPr="0003627A">
        <w:rPr>
          <w:rFonts w:ascii="Times New Roman" w:eastAsia="Times New Roman" w:hAnsi="Times New Roman" w:cs="Times New Roman"/>
          <w:sz w:val="24"/>
          <w:szCs w:val="24"/>
        </w:rPr>
        <w:t>укључ</w:t>
      </w:r>
      <w:r w:rsidR="008D2455" w:rsidRPr="0003627A">
        <w:rPr>
          <w:rFonts w:ascii="Times New Roman" w:eastAsia="Times New Roman" w:hAnsi="Times New Roman" w:cs="Times New Roman"/>
          <w:sz w:val="24"/>
          <w:szCs w:val="24"/>
          <w:lang w:val="sr-Cyrl-RS"/>
        </w:rPr>
        <w:t>ене</w:t>
      </w:r>
      <w:r w:rsidR="008D2455" w:rsidRPr="0003627A">
        <w:rPr>
          <w:rFonts w:ascii="Times New Roman" w:eastAsia="Times New Roman" w:hAnsi="Times New Roman" w:cs="Times New Roman"/>
          <w:sz w:val="24"/>
          <w:szCs w:val="24"/>
        </w:rPr>
        <w:t xml:space="preserve"> и остале надлежне институције. </w:t>
      </w:r>
    </w:p>
    <w:p w14:paraId="73DA205B" w14:textId="69541B78" w:rsidR="008D2455" w:rsidRPr="0003627A" w:rsidRDefault="008D2455" w:rsidP="008D2455">
      <w:pPr>
        <w:ind w:left="-142"/>
        <w:jc w:val="both"/>
        <w:rPr>
          <w:rFonts w:ascii="Times New Roman" w:eastAsia="Times New Roman" w:hAnsi="Times New Roman" w:cs="Times New Roman"/>
          <w:color w:val="000000" w:themeColor="text1"/>
          <w:sz w:val="24"/>
          <w:szCs w:val="24"/>
        </w:rPr>
      </w:pPr>
      <w:r w:rsidRPr="0003627A">
        <w:rPr>
          <w:rFonts w:ascii="Times New Roman" w:eastAsia="Times New Roman" w:hAnsi="Times New Roman" w:cs="Times New Roman"/>
          <w:color w:val="000000" w:themeColor="text1"/>
          <w:sz w:val="24"/>
          <w:szCs w:val="24"/>
        </w:rPr>
        <w:t xml:space="preserve">У </w:t>
      </w:r>
      <w:r w:rsidRPr="0003627A">
        <w:rPr>
          <w:rFonts w:ascii="Times New Roman" w:eastAsia="Times New Roman" w:hAnsi="Times New Roman" w:cs="Times New Roman"/>
          <w:color w:val="000000" w:themeColor="text1"/>
          <w:sz w:val="24"/>
          <w:szCs w:val="24"/>
          <w:lang w:val="sr-Cyrl-RS"/>
        </w:rPr>
        <w:t xml:space="preserve">посматраном периоду </w:t>
      </w:r>
      <w:r w:rsidRPr="0003627A">
        <w:rPr>
          <w:rFonts w:ascii="Times New Roman" w:eastAsia="Times New Roman" w:hAnsi="Times New Roman" w:cs="Times New Roman"/>
          <w:color w:val="000000" w:themeColor="text1"/>
          <w:sz w:val="24"/>
          <w:szCs w:val="24"/>
        </w:rPr>
        <w:t xml:space="preserve">настављен је </w:t>
      </w:r>
      <w:r w:rsidRPr="0003627A">
        <w:rPr>
          <w:rFonts w:ascii="Times New Roman" w:eastAsia="Times New Roman" w:hAnsi="Times New Roman" w:cs="Times New Roman"/>
          <w:color w:val="000000" w:themeColor="text1"/>
          <w:sz w:val="24"/>
          <w:szCs w:val="24"/>
          <w:lang w:val="sr-Cyrl-RS"/>
        </w:rPr>
        <w:t xml:space="preserve">тренд </w:t>
      </w:r>
      <w:r w:rsidRPr="0003627A">
        <w:rPr>
          <w:rFonts w:ascii="Times New Roman" w:eastAsia="Times New Roman" w:hAnsi="Times New Roman" w:cs="Times New Roman"/>
          <w:color w:val="000000" w:themeColor="text1"/>
          <w:sz w:val="24"/>
          <w:szCs w:val="24"/>
        </w:rPr>
        <w:t>раст</w:t>
      </w:r>
      <w:r w:rsidRPr="0003627A">
        <w:rPr>
          <w:rFonts w:ascii="Times New Roman" w:eastAsia="Times New Roman" w:hAnsi="Times New Roman" w:cs="Times New Roman"/>
          <w:color w:val="000000" w:themeColor="text1"/>
          <w:sz w:val="24"/>
          <w:szCs w:val="24"/>
          <w:lang w:val="sr-Cyrl-RS"/>
        </w:rPr>
        <w:t>а</w:t>
      </w:r>
      <w:r w:rsidRPr="0003627A">
        <w:rPr>
          <w:rFonts w:ascii="Times New Roman" w:eastAsia="Times New Roman" w:hAnsi="Times New Roman" w:cs="Times New Roman"/>
          <w:color w:val="000000" w:themeColor="text1"/>
          <w:sz w:val="24"/>
          <w:szCs w:val="24"/>
        </w:rPr>
        <w:t xml:space="preserve"> примене оквирних споразума. </w:t>
      </w:r>
      <w:r w:rsidR="0006781F" w:rsidRPr="0003627A">
        <w:rPr>
          <w:rFonts w:ascii="Times New Roman" w:eastAsia="Times New Roman" w:hAnsi="Times New Roman" w:cs="Times New Roman"/>
          <w:color w:val="000000" w:themeColor="text1"/>
          <w:sz w:val="24"/>
          <w:szCs w:val="24"/>
          <w:lang w:val="sr-Cyrl-RS"/>
        </w:rPr>
        <w:t>У току</w:t>
      </w:r>
      <w:r w:rsidRPr="0003627A">
        <w:rPr>
          <w:rFonts w:ascii="Times New Roman" w:eastAsia="Times New Roman" w:hAnsi="Times New Roman" w:cs="Times New Roman"/>
          <w:color w:val="000000" w:themeColor="text1"/>
          <w:sz w:val="24"/>
          <w:szCs w:val="24"/>
          <w:lang w:val="sr-Cyrl-RS"/>
        </w:rPr>
        <w:t xml:space="preserve"> 201</w:t>
      </w:r>
      <w:r w:rsidR="00D42A9F" w:rsidRPr="0003627A">
        <w:rPr>
          <w:rFonts w:ascii="Times New Roman" w:eastAsia="Times New Roman" w:hAnsi="Times New Roman" w:cs="Times New Roman"/>
          <w:color w:val="000000" w:themeColor="text1"/>
          <w:sz w:val="24"/>
          <w:szCs w:val="24"/>
          <w:lang w:val="sr-Cyrl-RS"/>
        </w:rPr>
        <w:t>9</w:t>
      </w:r>
      <w:r w:rsidRPr="0003627A">
        <w:rPr>
          <w:rFonts w:ascii="Times New Roman" w:eastAsia="Times New Roman" w:hAnsi="Times New Roman" w:cs="Times New Roman"/>
          <w:color w:val="000000" w:themeColor="text1"/>
          <w:sz w:val="24"/>
          <w:szCs w:val="24"/>
          <w:lang w:val="sr-Cyrl-RS"/>
        </w:rPr>
        <w:t xml:space="preserve">. године </w:t>
      </w:r>
      <w:r w:rsidRPr="0003627A">
        <w:rPr>
          <w:rFonts w:ascii="Times New Roman" w:eastAsia="Times New Roman" w:hAnsi="Times New Roman" w:cs="Times New Roman"/>
          <w:sz w:val="24"/>
          <w:szCs w:val="24"/>
          <w:lang w:val="sr-Cyrl-RS"/>
        </w:rPr>
        <w:t>н</w:t>
      </w:r>
      <w:r w:rsidRPr="0003627A">
        <w:rPr>
          <w:rFonts w:ascii="Times New Roman" w:eastAsia="Times New Roman" w:hAnsi="Times New Roman" w:cs="Times New Roman"/>
          <w:sz w:val="24"/>
          <w:szCs w:val="24"/>
        </w:rPr>
        <w:t>а основу оквирних споразума закључено је</w:t>
      </w:r>
      <w:r w:rsidRPr="0003627A">
        <w:rPr>
          <w:rFonts w:ascii="Times New Roman" w:eastAsia="Times New Roman" w:hAnsi="Times New Roman" w:cs="Times New Roman"/>
          <w:b/>
          <w:sz w:val="24"/>
          <w:szCs w:val="24"/>
        </w:rPr>
        <w:t xml:space="preserve"> </w:t>
      </w:r>
      <w:r w:rsidR="00D42A9F" w:rsidRPr="0003627A">
        <w:rPr>
          <w:rFonts w:ascii="Times New Roman" w:eastAsia="Times New Roman" w:hAnsi="Times New Roman" w:cs="Times New Roman"/>
          <w:sz w:val="24"/>
          <w:szCs w:val="24"/>
        </w:rPr>
        <w:t>37.149</w:t>
      </w:r>
      <w:r w:rsidR="00D42A9F" w:rsidRPr="0003627A">
        <w:rPr>
          <w:rFonts w:ascii="Times New Roman" w:eastAsia="Times New Roman" w:hAnsi="Times New Roman" w:cs="Times New Roman"/>
          <w:sz w:val="24"/>
          <w:szCs w:val="24"/>
          <w:lang w:val="sr-Cyrl-RS"/>
        </w:rPr>
        <w:t xml:space="preserve"> </w:t>
      </w:r>
      <w:r w:rsidRPr="0003627A">
        <w:rPr>
          <w:rFonts w:ascii="Times New Roman" w:eastAsia="Times New Roman" w:hAnsi="Times New Roman" w:cs="Times New Roman"/>
          <w:sz w:val="24"/>
          <w:szCs w:val="24"/>
        </w:rPr>
        <w:t>хиљада уговора</w:t>
      </w:r>
      <w:r w:rsidRPr="0003627A">
        <w:rPr>
          <w:rFonts w:ascii="Times New Roman" w:eastAsia="Times New Roman" w:hAnsi="Times New Roman" w:cs="Times New Roman"/>
          <w:sz w:val="24"/>
          <w:szCs w:val="24"/>
          <w:lang w:val="sr-Cyrl-RS"/>
        </w:rPr>
        <w:t xml:space="preserve">. Вредност ових уговора је </w:t>
      </w:r>
      <w:r w:rsidR="00D42A9F" w:rsidRPr="0003627A">
        <w:rPr>
          <w:rFonts w:ascii="Times New Roman" w:eastAsia="Times New Roman" w:hAnsi="Times New Roman" w:cs="Times New Roman"/>
          <w:sz w:val="24"/>
          <w:szCs w:val="24"/>
          <w:lang w:val="sr-Cyrl-RS"/>
        </w:rPr>
        <w:t>незнатно</w:t>
      </w:r>
      <w:r w:rsidRPr="0003627A">
        <w:rPr>
          <w:rFonts w:ascii="Times New Roman" w:eastAsia="Times New Roman" w:hAnsi="Times New Roman" w:cs="Times New Roman"/>
          <w:sz w:val="24"/>
          <w:szCs w:val="24"/>
        </w:rPr>
        <w:t xml:space="preserve"> већа </w:t>
      </w:r>
      <w:r w:rsidRPr="0003627A">
        <w:rPr>
          <w:rFonts w:ascii="Times New Roman" w:eastAsia="Times New Roman" w:hAnsi="Times New Roman" w:cs="Times New Roman"/>
          <w:sz w:val="24"/>
          <w:szCs w:val="24"/>
          <w:lang w:val="sr-Cyrl-RS"/>
        </w:rPr>
        <w:t>у односу на вредност уговора закључених претходне године.</w:t>
      </w:r>
      <w:r w:rsidRPr="0003627A">
        <w:rPr>
          <w:rFonts w:ascii="Times New Roman" w:eastAsia="Times New Roman" w:hAnsi="Times New Roman" w:cs="Times New Roman"/>
          <w:sz w:val="24"/>
          <w:szCs w:val="24"/>
        </w:rPr>
        <w:t xml:space="preserve"> </w:t>
      </w:r>
      <w:r w:rsidRPr="0003627A">
        <w:rPr>
          <w:rFonts w:ascii="Times New Roman" w:eastAsia="Times New Roman" w:hAnsi="Times New Roman" w:cs="Times New Roman"/>
          <w:sz w:val="24"/>
          <w:szCs w:val="24"/>
          <w:lang w:val="sr-Cyrl-RS"/>
        </w:rPr>
        <w:t xml:space="preserve">Томе је свакако допринело промовисање употребе оквирних споразума и модела конкурсних документација израђених за поједине предмете јавних набавки. Као и у претходном периоду </w:t>
      </w:r>
      <w:r w:rsidRPr="0003627A">
        <w:rPr>
          <w:rFonts w:ascii="Times New Roman" w:eastAsia="Times New Roman" w:hAnsi="Times New Roman" w:cs="Times New Roman"/>
          <w:sz w:val="24"/>
          <w:szCs w:val="24"/>
        </w:rPr>
        <w:t xml:space="preserve">најзаступљенији предмети </w:t>
      </w:r>
      <w:r w:rsidRPr="0003627A">
        <w:rPr>
          <w:rFonts w:ascii="Times New Roman" w:eastAsia="Times New Roman" w:hAnsi="Times New Roman" w:cs="Times New Roman"/>
          <w:sz w:val="24"/>
          <w:szCs w:val="24"/>
          <w:lang w:val="sr-Cyrl-RS"/>
        </w:rPr>
        <w:t xml:space="preserve">јавних </w:t>
      </w:r>
      <w:r w:rsidRPr="0003627A">
        <w:rPr>
          <w:rFonts w:ascii="Times New Roman" w:eastAsia="Times New Roman" w:hAnsi="Times New Roman" w:cs="Times New Roman"/>
          <w:sz w:val="24"/>
          <w:szCs w:val="24"/>
        </w:rPr>
        <w:t xml:space="preserve">набавки </w:t>
      </w:r>
      <w:r w:rsidRPr="0003627A">
        <w:rPr>
          <w:rFonts w:ascii="Times New Roman" w:eastAsia="Times New Roman" w:hAnsi="Times New Roman" w:cs="Times New Roman"/>
          <w:sz w:val="24"/>
          <w:szCs w:val="24"/>
          <w:lang w:val="sr-Cyrl-RS"/>
        </w:rPr>
        <w:t xml:space="preserve">за које су закључени </w:t>
      </w:r>
      <w:r w:rsidRPr="0003627A">
        <w:rPr>
          <w:rFonts w:ascii="Times New Roman" w:eastAsia="Times New Roman" w:hAnsi="Times New Roman" w:cs="Times New Roman"/>
          <w:sz w:val="24"/>
          <w:szCs w:val="24"/>
        </w:rPr>
        <w:t xml:space="preserve">оквирни споразуми били су: медицинска опрема, фармацеутски производи и производи за личну негу. </w:t>
      </w:r>
    </w:p>
    <w:p w14:paraId="12183F25" w14:textId="39F91273" w:rsidR="008D2455" w:rsidRPr="0003627A" w:rsidRDefault="008D2455" w:rsidP="008D2455">
      <w:pPr>
        <w:ind w:left="-142"/>
        <w:jc w:val="both"/>
        <w:rPr>
          <w:rFonts w:ascii="Times New Roman" w:eastAsia="Times New Roman" w:hAnsi="Times New Roman" w:cs="Times New Roman"/>
          <w:color w:val="000000" w:themeColor="text1"/>
          <w:sz w:val="24"/>
          <w:szCs w:val="24"/>
        </w:rPr>
      </w:pPr>
      <w:r w:rsidRPr="0003627A">
        <w:rPr>
          <w:rFonts w:ascii="Times New Roman" w:eastAsia="Times New Roman" w:hAnsi="Times New Roman" w:cs="Times New Roman"/>
          <w:sz w:val="24"/>
          <w:szCs w:val="24"/>
          <w:lang w:val="sr-Cyrl-RS"/>
        </w:rPr>
        <w:t>Имајући у виду да о</w:t>
      </w:r>
      <w:r w:rsidRPr="0003627A">
        <w:rPr>
          <w:rFonts w:ascii="Times New Roman" w:eastAsia="Times New Roman" w:hAnsi="Times New Roman" w:cs="Times New Roman"/>
          <w:sz w:val="24"/>
          <w:szCs w:val="24"/>
        </w:rPr>
        <w:t>квирни споразуми имају низ потенцијалних позитивних ефеката</w:t>
      </w:r>
      <w:r w:rsidRPr="0003627A">
        <w:rPr>
          <w:rFonts w:ascii="Times New Roman" w:eastAsia="Times New Roman" w:hAnsi="Times New Roman" w:cs="Times New Roman"/>
          <w:sz w:val="24"/>
          <w:szCs w:val="24"/>
          <w:lang w:val="sr-Cyrl-RS"/>
        </w:rPr>
        <w:t>,</w:t>
      </w:r>
      <w:r w:rsidRPr="0003627A">
        <w:rPr>
          <w:rFonts w:ascii="Times New Roman" w:eastAsia="Times New Roman" w:hAnsi="Times New Roman" w:cs="Times New Roman"/>
          <w:sz w:val="24"/>
          <w:szCs w:val="24"/>
        </w:rPr>
        <w:t xml:space="preserve"> </w:t>
      </w:r>
      <w:r w:rsidR="00225866" w:rsidRPr="0003627A">
        <w:rPr>
          <w:rFonts w:ascii="Times New Roman" w:eastAsia="Times New Roman" w:hAnsi="Times New Roman" w:cs="Times New Roman"/>
          <w:sz w:val="24"/>
          <w:szCs w:val="24"/>
        </w:rPr>
        <w:t>Управа</w:t>
      </w:r>
      <w:r w:rsidRPr="0003627A">
        <w:rPr>
          <w:rFonts w:ascii="Times New Roman" w:eastAsia="Times New Roman" w:hAnsi="Times New Roman" w:cs="Times New Roman"/>
          <w:sz w:val="24"/>
          <w:szCs w:val="24"/>
          <w:lang w:val="sr-Cyrl-RS"/>
        </w:rPr>
        <w:t xml:space="preserve"> ће и</w:t>
      </w:r>
      <w:r w:rsidRPr="0003627A">
        <w:rPr>
          <w:rFonts w:ascii="Times New Roman" w:eastAsia="Times New Roman" w:hAnsi="Times New Roman" w:cs="Times New Roman"/>
          <w:sz w:val="24"/>
          <w:szCs w:val="24"/>
        </w:rPr>
        <w:t xml:space="preserve"> у 20</w:t>
      </w:r>
      <w:r w:rsidR="00D42A9F" w:rsidRPr="0003627A">
        <w:rPr>
          <w:rFonts w:ascii="Times New Roman" w:eastAsia="Times New Roman" w:hAnsi="Times New Roman" w:cs="Times New Roman"/>
          <w:sz w:val="24"/>
          <w:szCs w:val="24"/>
          <w:lang w:val="sr-Cyrl-RS"/>
        </w:rPr>
        <w:t>20</w:t>
      </w:r>
      <w:r w:rsidRPr="0003627A">
        <w:rPr>
          <w:rFonts w:ascii="Times New Roman" w:eastAsia="Times New Roman" w:hAnsi="Times New Roman" w:cs="Times New Roman"/>
          <w:sz w:val="24"/>
          <w:szCs w:val="24"/>
        </w:rPr>
        <w:t xml:space="preserve">. години </w:t>
      </w:r>
      <w:r w:rsidRPr="0003627A">
        <w:rPr>
          <w:rFonts w:ascii="Times New Roman" w:eastAsia="Times New Roman" w:hAnsi="Times New Roman" w:cs="Times New Roman"/>
          <w:sz w:val="24"/>
          <w:szCs w:val="24"/>
          <w:lang w:val="sr-Cyrl-RS"/>
        </w:rPr>
        <w:t>предузимати активности у циљу свеобухватнијег упознавања наручилаца са могућностима примене оквирних споразума</w:t>
      </w:r>
      <w:r w:rsidRPr="0003627A">
        <w:rPr>
          <w:rFonts w:ascii="Times New Roman" w:eastAsia="Times New Roman" w:hAnsi="Times New Roman" w:cs="Times New Roman"/>
          <w:sz w:val="24"/>
          <w:szCs w:val="24"/>
        </w:rPr>
        <w:t xml:space="preserve">. </w:t>
      </w:r>
      <w:r w:rsidRPr="0003627A">
        <w:rPr>
          <w:rFonts w:ascii="Times New Roman" w:eastAsia="Times New Roman" w:hAnsi="Times New Roman" w:cs="Times New Roman"/>
          <w:sz w:val="24"/>
          <w:szCs w:val="24"/>
          <w:lang w:val="sr-Cyrl-RS"/>
        </w:rPr>
        <w:t xml:space="preserve">На обукама које </w:t>
      </w:r>
      <w:r w:rsidR="00225866" w:rsidRPr="0003627A">
        <w:rPr>
          <w:rFonts w:ascii="Times New Roman" w:eastAsia="Times New Roman" w:hAnsi="Times New Roman" w:cs="Times New Roman"/>
          <w:sz w:val="24"/>
          <w:szCs w:val="24"/>
          <w:lang w:val="sr-Cyrl-RS"/>
        </w:rPr>
        <w:t>Управа</w:t>
      </w:r>
      <w:r w:rsidRPr="0003627A">
        <w:rPr>
          <w:rFonts w:ascii="Times New Roman" w:eastAsia="Times New Roman" w:hAnsi="Times New Roman" w:cs="Times New Roman"/>
          <w:sz w:val="24"/>
          <w:szCs w:val="24"/>
          <w:lang w:val="sr-Cyrl-RS"/>
        </w:rPr>
        <w:t xml:space="preserve"> буде организовала биће обухваћена и питања која се тичу унапређења праксе примене оквирних споразума. </w:t>
      </w:r>
    </w:p>
    <w:p w14:paraId="473B1A20" w14:textId="4EAF6D25" w:rsidR="008D2455" w:rsidRPr="0003627A" w:rsidRDefault="008D2455" w:rsidP="008D2455">
      <w:pPr>
        <w:spacing w:after="0"/>
        <w:ind w:left="-142"/>
        <w:jc w:val="both"/>
        <w:rPr>
          <w:rFonts w:ascii="Times New Roman" w:eastAsia="Times New Roman" w:hAnsi="Times New Roman" w:cs="Times New Roman"/>
          <w:color w:val="000000" w:themeColor="text1"/>
          <w:sz w:val="24"/>
          <w:szCs w:val="24"/>
          <w:lang w:val="sr"/>
        </w:rPr>
      </w:pPr>
      <w:r w:rsidRPr="0003627A">
        <w:rPr>
          <w:rFonts w:ascii="Times New Roman" w:eastAsia="Times New Roman" w:hAnsi="Times New Roman" w:cs="Times New Roman"/>
          <w:sz w:val="24"/>
          <w:szCs w:val="24"/>
          <w:lang w:val="sr-Cyrl-RS"/>
        </w:rPr>
        <w:t xml:space="preserve">Примена критеријума </w:t>
      </w:r>
      <w:r w:rsidRPr="0003627A">
        <w:rPr>
          <w:rFonts w:ascii="Times New Roman" w:eastAsia="Times New Roman" w:hAnsi="Times New Roman" w:cs="Times New Roman"/>
          <w:sz w:val="24"/>
          <w:szCs w:val="24"/>
        </w:rPr>
        <w:t>економски најповољније понуде (ЕНП)</w:t>
      </w:r>
      <w:r w:rsidRPr="0003627A">
        <w:rPr>
          <w:rFonts w:ascii="Times New Roman" w:eastAsia="Times New Roman" w:hAnsi="Times New Roman" w:cs="Times New Roman"/>
          <w:sz w:val="24"/>
          <w:szCs w:val="24"/>
          <w:lang w:val="sr-Cyrl-RS"/>
        </w:rPr>
        <w:t xml:space="preserve"> </w:t>
      </w:r>
      <w:r w:rsidR="00C56617" w:rsidRPr="0003627A">
        <w:rPr>
          <w:rFonts w:ascii="Times New Roman" w:eastAsia="Times New Roman" w:hAnsi="Times New Roman" w:cs="Times New Roman"/>
          <w:sz w:val="24"/>
          <w:szCs w:val="24"/>
          <w:lang w:val="sr-Cyrl-RS"/>
        </w:rPr>
        <w:t xml:space="preserve">задржала се на ниском нивоу као и </w:t>
      </w:r>
      <w:r w:rsidRPr="0003627A">
        <w:rPr>
          <w:rFonts w:ascii="Times New Roman" w:eastAsia="Times New Roman" w:hAnsi="Times New Roman" w:cs="Times New Roman"/>
          <w:sz w:val="24"/>
          <w:szCs w:val="24"/>
          <w:lang w:val="sr-Cyrl-RS"/>
        </w:rPr>
        <w:t>претхо</w:t>
      </w:r>
      <w:r w:rsidR="00C56617" w:rsidRPr="0003627A">
        <w:rPr>
          <w:rFonts w:ascii="Times New Roman" w:eastAsia="Times New Roman" w:hAnsi="Times New Roman" w:cs="Times New Roman"/>
          <w:sz w:val="24"/>
          <w:szCs w:val="24"/>
          <w:lang w:val="sr-Cyrl-RS"/>
        </w:rPr>
        <w:t>дне године. У 201</w:t>
      </w:r>
      <w:r w:rsidR="005C2356" w:rsidRPr="0003627A">
        <w:rPr>
          <w:rFonts w:ascii="Times New Roman" w:eastAsia="Times New Roman" w:hAnsi="Times New Roman" w:cs="Times New Roman"/>
          <w:sz w:val="24"/>
          <w:szCs w:val="24"/>
          <w:lang w:val="sr-Cyrl-RS"/>
        </w:rPr>
        <w:t>9</w:t>
      </w:r>
      <w:r w:rsidR="00C56617" w:rsidRPr="0003627A">
        <w:rPr>
          <w:rFonts w:ascii="Times New Roman" w:eastAsia="Times New Roman" w:hAnsi="Times New Roman" w:cs="Times New Roman"/>
          <w:sz w:val="24"/>
          <w:szCs w:val="24"/>
          <w:lang w:val="sr-Cyrl-RS"/>
        </w:rPr>
        <w:t>. години</w:t>
      </w:r>
      <w:r w:rsidRPr="0003627A">
        <w:rPr>
          <w:rFonts w:ascii="Times New Roman" w:eastAsia="Times New Roman" w:hAnsi="Times New Roman" w:cs="Times New Roman"/>
          <w:sz w:val="24"/>
          <w:szCs w:val="24"/>
          <w:lang w:val="sr-Cyrl-RS"/>
        </w:rPr>
        <w:t xml:space="preserve"> овај критеријум коришћен је у </w:t>
      </w:r>
      <w:r w:rsidR="005C2356" w:rsidRPr="0003627A">
        <w:rPr>
          <w:rFonts w:ascii="Times New Roman" w:eastAsia="Times New Roman" w:hAnsi="Times New Roman" w:cs="Times New Roman"/>
          <w:sz w:val="24"/>
          <w:szCs w:val="24"/>
          <w:lang w:val="sr-Cyrl-RS"/>
        </w:rPr>
        <w:t>10</w:t>
      </w:r>
      <w:r w:rsidRPr="0003627A">
        <w:rPr>
          <w:rFonts w:ascii="Times New Roman" w:eastAsia="Times New Roman" w:hAnsi="Times New Roman" w:cs="Times New Roman"/>
          <w:sz w:val="24"/>
          <w:szCs w:val="24"/>
        </w:rPr>
        <w:t>% јавних набавки</w:t>
      </w:r>
      <w:r w:rsidRPr="0003627A">
        <w:rPr>
          <w:rFonts w:ascii="Times New Roman" w:eastAsia="Times New Roman" w:hAnsi="Times New Roman" w:cs="Times New Roman"/>
          <w:sz w:val="24"/>
          <w:szCs w:val="24"/>
          <w:lang w:val="sr"/>
        </w:rPr>
        <w:t xml:space="preserve">. </w:t>
      </w:r>
      <w:r w:rsidRPr="0003627A">
        <w:rPr>
          <w:rFonts w:ascii="Times New Roman" w:eastAsia="Times New Roman" w:hAnsi="Times New Roman" w:cs="Times New Roman"/>
          <w:sz w:val="24"/>
          <w:szCs w:val="24"/>
          <w:lang w:val="sr-Cyrl-RS"/>
        </w:rPr>
        <w:t xml:space="preserve">Како је досадашња пракса показала да је критеријум економски најповољније понуде погоднији код сложенијих набавки, као и код набавки код којих је неопходно узети у обзир и квалитативне карактеристике предмета набавке, </w:t>
      </w:r>
      <w:r w:rsidR="00225866" w:rsidRPr="0003627A">
        <w:rPr>
          <w:rFonts w:ascii="Times New Roman" w:eastAsia="Times New Roman" w:hAnsi="Times New Roman" w:cs="Times New Roman"/>
          <w:sz w:val="24"/>
          <w:szCs w:val="24"/>
          <w:lang w:val="sr-Cyrl-RS"/>
        </w:rPr>
        <w:t xml:space="preserve">Управа </w:t>
      </w:r>
      <w:r w:rsidRPr="0003627A">
        <w:rPr>
          <w:rFonts w:ascii="Times New Roman" w:eastAsia="Times New Roman" w:hAnsi="Times New Roman" w:cs="Times New Roman"/>
          <w:sz w:val="24"/>
          <w:szCs w:val="24"/>
          <w:lang w:val="sr-Cyrl-RS"/>
        </w:rPr>
        <w:t xml:space="preserve">ће у наредном периоду наставити са промовисањем израђених модела конкурсних документација у којима се користи критеријум ЕНП. </w:t>
      </w:r>
    </w:p>
    <w:p w14:paraId="4166137E" w14:textId="77777777" w:rsidR="008D2455" w:rsidRPr="0003627A" w:rsidRDefault="008D2455" w:rsidP="008D2455">
      <w:pPr>
        <w:spacing w:after="0"/>
        <w:jc w:val="both"/>
        <w:rPr>
          <w:rFonts w:ascii="Times New Roman" w:eastAsia="Times New Roman" w:hAnsi="Times New Roman" w:cs="Times New Roman"/>
          <w:sz w:val="24"/>
          <w:szCs w:val="24"/>
        </w:rPr>
      </w:pPr>
    </w:p>
    <w:p w14:paraId="0406A8C3" w14:textId="46BC91E0" w:rsidR="008D2455" w:rsidRPr="0003627A" w:rsidRDefault="008D2455" w:rsidP="008D2455">
      <w:pPr>
        <w:spacing w:after="0"/>
        <w:ind w:left="-142"/>
        <w:jc w:val="both"/>
        <w:rPr>
          <w:rFonts w:ascii="Times New Roman" w:eastAsia="Times New Roman" w:hAnsi="Times New Roman" w:cs="Times New Roman"/>
          <w:sz w:val="24"/>
          <w:szCs w:val="24"/>
          <w:lang w:val="sr-Cyrl-RS"/>
        </w:rPr>
      </w:pPr>
      <w:r w:rsidRPr="0003627A">
        <w:rPr>
          <w:rFonts w:ascii="Times New Roman" w:eastAsia="Times New Roman" w:hAnsi="Times New Roman" w:cs="Times New Roman"/>
          <w:sz w:val="24"/>
          <w:szCs w:val="24"/>
          <w:lang w:val="sr-Cyrl-RS"/>
        </w:rPr>
        <w:t xml:space="preserve">У предстојећем периоду </w:t>
      </w:r>
      <w:r w:rsidRPr="0003627A">
        <w:rPr>
          <w:rFonts w:ascii="Times New Roman" w:eastAsia="Times New Roman" w:hAnsi="Times New Roman" w:cs="Times New Roman"/>
          <w:sz w:val="24"/>
          <w:szCs w:val="24"/>
          <w:lang w:val="sr"/>
        </w:rPr>
        <w:t xml:space="preserve">пажња </w:t>
      </w:r>
      <w:r w:rsidRPr="0003627A">
        <w:rPr>
          <w:rFonts w:ascii="Times New Roman" w:eastAsia="Times New Roman" w:hAnsi="Times New Roman" w:cs="Times New Roman"/>
          <w:sz w:val="24"/>
          <w:szCs w:val="24"/>
          <w:lang w:val="sr-Cyrl-RS"/>
        </w:rPr>
        <w:t>ће бити усмерена и на промовисање тзв.</w:t>
      </w:r>
      <w:r w:rsidRPr="0003627A">
        <w:rPr>
          <w:rFonts w:ascii="Times New Roman" w:eastAsia="Times New Roman" w:hAnsi="Times New Roman" w:cs="Times New Roman"/>
          <w:sz w:val="24"/>
          <w:szCs w:val="24"/>
          <w:lang w:val="sr"/>
        </w:rPr>
        <w:t xml:space="preserve"> „</w:t>
      </w:r>
      <w:r w:rsidRPr="0003627A">
        <w:rPr>
          <w:rFonts w:ascii="Times New Roman" w:eastAsia="Times New Roman" w:hAnsi="Times New Roman" w:cs="Times New Roman"/>
          <w:sz w:val="24"/>
          <w:szCs w:val="24"/>
          <w:lang w:val="sr-Cyrl-RS"/>
        </w:rPr>
        <w:t>зелених набавки“</w:t>
      </w:r>
      <w:r w:rsidRPr="0003627A">
        <w:rPr>
          <w:rFonts w:ascii="Times New Roman" w:eastAsia="Times New Roman" w:hAnsi="Times New Roman" w:cs="Times New Roman"/>
          <w:sz w:val="24"/>
          <w:szCs w:val="24"/>
          <w:lang w:val="sr"/>
        </w:rPr>
        <w:t xml:space="preserve"> које у обзир узимају </w:t>
      </w:r>
      <w:r w:rsidRPr="0003627A">
        <w:rPr>
          <w:rFonts w:ascii="Times New Roman" w:eastAsia="Times New Roman" w:hAnsi="Times New Roman" w:cs="Times New Roman"/>
          <w:sz w:val="24"/>
          <w:szCs w:val="24"/>
          <w:lang w:val="sr-Cyrl-RS"/>
        </w:rPr>
        <w:t xml:space="preserve">еколошке аспекте набавки и које посматрано на дужи рок, узимају у обзир и трошкове које </w:t>
      </w:r>
      <w:r w:rsidRPr="0003627A">
        <w:rPr>
          <w:rFonts w:ascii="Times New Roman" w:eastAsia="Times New Roman" w:hAnsi="Times New Roman" w:cs="Times New Roman"/>
          <w:sz w:val="24"/>
          <w:szCs w:val="24"/>
          <w:lang w:val="sr"/>
        </w:rPr>
        <w:t>по том основу сноси друштво</w:t>
      </w:r>
      <w:r w:rsidRPr="0003627A">
        <w:rPr>
          <w:rFonts w:ascii="Times New Roman" w:eastAsia="Times New Roman" w:hAnsi="Times New Roman" w:cs="Times New Roman"/>
          <w:sz w:val="24"/>
          <w:szCs w:val="24"/>
          <w:lang w:val="sr-Cyrl-RS"/>
        </w:rPr>
        <w:t xml:space="preserve"> у целини</w:t>
      </w:r>
      <w:r w:rsidRPr="0003627A">
        <w:rPr>
          <w:rFonts w:ascii="Times New Roman" w:eastAsia="Times New Roman" w:hAnsi="Times New Roman" w:cs="Times New Roman"/>
          <w:sz w:val="24"/>
          <w:szCs w:val="24"/>
          <w:lang w:val="sr"/>
        </w:rPr>
        <w:t xml:space="preserve">. </w:t>
      </w:r>
      <w:r w:rsidRPr="0003627A">
        <w:rPr>
          <w:rFonts w:ascii="Times New Roman" w:eastAsia="Times New Roman" w:hAnsi="Times New Roman" w:cs="Times New Roman"/>
          <w:sz w:val="24"/>
          <w:szCs w:val="24"/>
          <w:lang w:val="sr-Cyrl-RS"/>
        </w:rPr>
        <w:t>Такође, предузеће се активности у циљу промовисања употребе „иновативних набавки“</w:t>
      </w:r>
      <w:r w:rsidRPr="0003627A">
        <w:rPr>
          <w:rFonts w:ascii="Times New Roman" w:eastAsia="Times New Roman" w:hAnsi="Times New Roman" w:cs="Times New Roman"/>
          <w:sz w:val="24"/>
          <w:szCs w:val="24"/>
          <w:lang w:val="sr"/>
        </w:rPr>
        <w:t xml:space="preserve"> </w:t>
      </w:r>
      <w:r w:rsidRPr="0003627A">
        <w:rPr>
          <w:rFonts w:ascii="Times New Roman" w:eastAsia="Times New Roman" w:hAnsi="Times New Roman" w:cs="Times New Roman"/>
          <w:sz w:val="24"/>
          <w:szCs w:val="24"/>
          <w:lang w:val="sr-Cyrl-RS"/>
        </w:rPr>
        <w:t>као једног од инструмената</w:t>
      </w:r>
      <w:r w:rsidRPr="0003627A">
        <w:rPr>
          <w:rFonts w:ascii="Times New Roman" w:eastAsia="Times New Roman" w:hAnsi="Times New Roman" w:cs="Times New Roman"/>
          <w:b/>
          <w:sz w:val="24"/>
          <w:szCs w:val="24"/>
          <w:lang w:val="sr-Cyrl-RS"/>
        </w:rPr>
        <w:t xml:space="preserve"> </w:t>
      </w:r>
      <w:r w:rsidRPr="0003627A">
        <w:rPr>
          <w:rFonts w:ascii="Times New Roman" w:eastAsia="Times New Roman" w:hAnsi="Times New Roman" w:cs="Times New Roman"/>
          <w:sz w:val="24"/>
          <w:szCs w:val="24"/>
          <w:lang w:val="sr"/>
        </w:rPr>
        <w:t xml:space="preserve"> кој</w:t>
      </w:r>
      <w:r w:rsidRPr="0003627A">
        <w:rPr>
          <w:rFonts w:ascii="Times New Roman" w:eastAsia="Times New Roman" w:hAnsi="Times New Roman" w:cs="Times New Roman"/>
          <w:sz w:val="24"/>
          <w:szCs w:val="24"/>
          <w:lang w:val="sr-Cyrl-RS"/>
        </w:rPr>
        <w:t>и</w:t>
      </w:r>
      <w:r w:rsidRPr="0003627A">
        <w:rPr>
          <w:rFonts w:ascii="Times New Roman" w:eastAsia="Times New Roman" w:hAnsi="Times New Roman" w:cs="Times New Roman"/>
          <w:sz w:val="24"/>
          <w:szCs w:val="24"/>
          <w:lang w:val="sr"/>
        </w:rPr>
        <w:t xml:space="preserve"> подстичу иновације </w:t>
      </w:r>
      <w:r w:rsidRPr="0003627A">
        <w:rPr>
          <w:rFonts w:ascii="Times New Roman" w:eastAsia="Times New Roman" w:hAnsi="Times New Roman" w:cs="Times New Roman"/>
          <w:sz w:val="24"/>
          <w:szCs w:val="24"/>
          <w:lang w:val="sr-Cyrl-RS"/>
        </w:rPr>
        <w:t xml:space="preserve">и </w:t>
      </w:r>
      <w:r w:rsidRPr="0003627A">
        <w:rPr>
          <w:rFonts w:ascii="Times New Roman" w:eastAsia="Times New Roman" w:hAnsi="Times New Roman" w:cs="Times New Roman"/>
          <w:sz w:val="24"/>
          <w:szCs w:val="24"/>
          <w:lang w:val="sr"/>
        </w:rPr>
        <w:t>до</w:t>
      </w:r>
      <w:r w:rsidRPr="0003627A">
        <w:rPr>
          <w:rFonts w:ascii="Times New Roman" w:eastAsia="Times New Roman" w:hAnsi="Times New Roman" w:cs="Times New Roman"/>
          <w:sz w:val="24"/>
          <w:szCs w:val="24"/>
          <w:lang w:val="sr-Cyrl-RS"/>
        </w:rPr>
        <w:t>приносе развоју читаве заједнице</w:t>
      </w:r>
      <w:r w:rsidR="0003627A" w:rsidRPr="0003627A">
        <w:rPr>
          <w:rFonts w:ascii="Times New Roman" w:eastAsia="Times New Roman" w:hAnsi="Times New Roman" w:cs="Times New Roman"/>
          <w:sz w:val="24"/>
          <w:szCs w:val="24"/>
          <w:lang w:val="sr-Cyrl-RS"/>
        </w:rPr>
        <w:t>, а све у складу са одредбама новог Закона о јавнм набавкама.</w:t>
      </w:r>
      <w:r w:rsidR="0003627A">
        <w:rPr>
          <w:rFonts w:ascii="Times New Roman" w:eastAsia="Times New Roman" w:hAnsi="Times New Roman" w:cs="Times New Roman"/>
          <w:sz w:val="24"/>
          <w:szCs w:val="24"/>
          <w:lang w:val="sr-Cyrl-RS"/>
        </w:rPr>
        <w:t xml:space="preserve"> </w:t>
      </w:r>
    </w:p>
    <w:p w14:paraId="2A6B692B" w14:textId="77777777" w:rsidR="008D2455" w:rsidRPr="008D2455" w:rsidRDefault="008D2455" w:rsidP="008D2455">
      <w:pPr>
        <w:jc w:val="both"/>
        <w:rPr>
          <w:rFonts w:ascii="Times New Roman" w:hAnsi="Times New Roman" w:cs="Times New Roman"/>
          <w:color w:val="FF0000"/>
          <w:sz w:val="24"/>
          <w:szCs w:val="24"/>
        </w:rPr>
      </w:pPr>
    </w:p>
    <w:sectPr w:rsidR="008D2455" w:rsidRPr="008D2455" w:rsidSect="00397ADD">
      <w:pgSz w:w="12240" w:h="15840"/>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C76F" w16cex:dateUtc="2020-03-30T17:30:00Z"/>
  <w16cex:commentExtensible w16cex:durableId="222CC849" w16cex:dateUtc="2020-03-30T17:34:00Z"/>
  <w16cex:commentExtensible w16cex:durableId="222CCB20" w16cex:dateUtc="2020-03-30T17:46:00Z"/>
  <w16cex:commentExtensible w16cex:durableId="222CCB83" w16cex:dateUtc="2020-03-30T17:48:00Z"/>
  <w16cex:commentExtensible w16cex:durableId="222CCBA5" w16cex:dateUtc="2020-03-30T17:48:00Z"/>
  <w16cex:commentExtensible w16cex:durableId="222CCC7A" w16cex:dateUtc="2020-03-30T17:52:00Z"/>
  <w16cex:commentExtensible w16cex:durableId="222CCCFD" w16cex:dateUtc="2020-03-30T17:54:00Z"/>
  <w16cex:commentExtensible w16cex:durableId="222CCDB4" w16cex:dateUtc="2020-03-30T17:57:00Z"/>
  <w16cex:commentExtensible w16cex:durableId="222CCDE4" w16cex:dateUtc="2020-03-30T17:58:00Z"/>
  <w16cex:commentExtensible w16cex:durableId="222CCEE9" w16cex:dateUtc="2020-03-30T18:02:00Z"/>
  <w16cex:commentExtensible w16cex:durableId="222CDA2C" w16cex:dateUtc="2020-03-30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59C616" w16cid:durableId="222CC76F"/>
  <w16cid:commentId w16cid:paraId="7B9C02F9" w16cid:durableId="222CC849"/>
  <w16cid:commentId w16cid:paraId="310921CC" w16cid:durableId="222CCB20"/>
  <w16cid:commentId w16cid:paraId="0A289DAF" w16cid:durableId="222CCB83"/>
  <w16cid:commentId w16cid:paraId="21535A30" w16cid:durableId="222CCBA5"/>
  <w16cid:commentId w16cid:paraId="3FB81367" w16cid:durableId="222CCC7A"/>
  <w16cid:commentId w16cid:paraId="16A7D7E2" w16cid:durableId="222CC46E"/>
  <w16cid:commentId w16cid:paraId="7E82E683" w16cid:durableId="222CCCFD"/>
  <w16cid:commentId w16cid:paraId="775E4658" w16cid:durableId="222CCDB4"/>
  <w16cid:commentId w16cid:paraId="0D7AFAD0" w16cid:durableId="222CCDE4"/>
  <w16cid:commentId w16cid:paraId="4C7C2C4F" w16cid:durableId="222CCEE9"/>
  <w16cid:commentId w16cid:paraId="00BC85D5" w16cid:durableId="222CDA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3F2B" w14:textId="77777777" w:rsidR="00B862DB" w:rsidRDefault="00B862DB" w:rsidP="00AA1254">
      <w:pPr>
        <w:spacing w:after="0" w:line="240" w:lineRule="auto"/>
      </w:pPr>
      <w:r>
        <w:separator/>
      </w:r>
    </w:p>
  </w:endnote>
  <w:endnote w:type="continuationSeparator" w:id="0">
    <w:p w14:paraId="03A1E5BB" w14:textId="77777777" w:rsidR="00B862DB" w:rsidRDefault="00B862DB" w:rsidP="00AA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576383"/>
      <w:docPartObj>
        <w:docPartGallery w:val="Page Numbers (Bottom of Page)"/>
        <w:docPartUnique/>
      </w:docPartObj>
    </w:sdtPr>
    <w:sdtEndPr>
      <w:rPr>
        <w:noProof/>
      </w:rPr>
    </w:sdtEndPr>
    <w:sdtContent>
      <w:p w14:paraId="62BC21E7" w14:textId="1AED8DD7" w:rsidR="00C421EE" w:rsidRDefault="00C421EE">
        <w:pPr>
          <w:pStyle w:val="Footer"/>
          <w:jc w:val="right"/>
        </w:pPr>
        <w:r>
          <w:fldChar w:fldCharType="begin"/>
        </w:r>
        <w:r>
          <w:instrText xml:space="preserve"> PAGE   \* MERGEFORMAT </w:instrText>
        </w:r>
        <w:r>
          <w:fldChar w:fldCharType="separate"/>
        </w:r>
        <w:r w:rsidR="00AD5F85">
          <w:rPr>
            <w:noProof/>
          </w:rPr>
          <w:t>2</w:t>
        </w:r>
        <w:r>
          <w:rPr>
            <w:noProof/>
          </w:rPr>
          <w:fldChar w:fldCharType="end"/>
        </w:r>
      </w:p>
    </w:sdtContent>
  </w:sdt>
  <w:p w14:paraId="666D908E" w14:textId="77777777" w:rsidR="00C421EE" w:rsidRDefault="00C4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71564"/>
      <w:docPartObj>
        <w:docPartGallery w:val="Page Numbers (Bottom of Page)"/>
        <w:docPartUnique/>
      </w:docPartObj>
    </w:sdtPr>
    <w:sdtEndPr>
      <w:rPr>
        <w:noProof/>
      </w:rPr>
    </w:sdtEndPr>
    <w:sdtContent>
      <w:p w14:paraId="2BF514F9" w14:textId="3C415F43" w:rsidR="00C421EE" w:rsidRDefault="00C421EE">
        <w:pPr>
          <w:pStyle w:val="Footer"/>
          <w:jc w:val="right"/>
        </w:pPr>
        <w:r>
          <w:fldChar w:fldCharType="begin"/>
        </w:r>
        <w:r>
          <w:instrText xml:space="preserve"> PAGE   \* MERGEFORMAT </w:instrText>
        </w:r>
        <w:r>
          <w:fldChar w:fldCharType="separate"/>
        </w:r>
        <w:r w:rsidR="00AD5F85">
          <w:rPr>
            <w:noProof/>
          </w:rPr>
          <w:t>20</w:t>
        </w:r>
        <w:r>
          <w:rPr>
            <w:noProof/>
          </w:rPr>
          <w:fldChar w:fldCharType="end"/>
        </w:r>
      </w:p>
    </w:sdtContent>
  </w:sdt>
  <w:p w14:paraId="315AFDE1" w14:textId="77777777" w:rsidR="00C421EE" w:rsidRDefault="00C4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219EB" w14:textId="77777777" w:rsidR="00B862DB" w:rsidRDefault="00B862DB" w:rsidP="00AA1254">
      <w:pPr>
        <w:spacing w:after="0" w:line="240" w:lineRule="auto"/>
      </w:pPr>
      <w:r>
        <w:separator/>
      </w:r>
    </w:p>
  </w:footnote>
  <w:footnote w:type="continuationSeparator" w:id="0">
    <w:p w14:paraId="2E4FF77E" w14:textId="77777777" w:rsidR="00B862DB" w:rsidRDefault="00B862DB" w:rsidP="00AA1254">
      <w:pPr>
        <w:spacing w:after="0" w:line="240" w:lineRule="auto"/>
      </w:pPr>
      <w:r>
        <w:continuationSeparator/>
      </w:r>
    </w:p>
  </w:footnote>
  <w:footnote w:id="1">
    <w:p w14:paraId="75D39AA6" w14:textId="77777777" w:rsidR="00C421EE" w:rsidRPr="002A7537" w:rsidRDefault="00C421EE" w:rsidP="000D076B">
      <w:pPr>
        <w:pStyle w:val="FootnoteText"/>
        <w:rPr>
          <w:rFonts w:ascii="Times New Roman" w:hAnsi="Times New Roman" w:cs="Times New Roman"/>
          <w:lang w:val="sr-Cyrl-CS"/>
        </w:rPr>
      </w:pPr>
      <w:r>
        <w:rPr>
          <w:rStyle w:val="FootnoteReference"/>
        </w:rPr>
        <w:footnoteRef/>
      </w:r>
      <w:r>
        <w:t xml:space="preserve"> </w:t>
      </w:r>
      <w:r>
        <w:rPr>
          <w:rFonts w:ascii="Times New Roman" w:hAnsi="Times New Roman" w:cs="Times New Roman"/>
          <w:lang w:val="sr-Cyrl-CS"/>
        </w:rPr>
        <w:t>Процена Републичког завода застатистику</w:t>
      </w:r>
    </w:p>
  </w:footnote>
  <w:footnote w:id="2">
    <w:p w14:paraId="594E2181" w14:textId="4975D156" w:rsidR="00C421EE" w:rsidRPr="00563775" w:rsidRDefault="00C421EE">
      <w:pPr>
        <w:pStyle w:val="FootnoteText"/>
        <w:rPr>
          <w:lang w:val="sr-Cyrl-RS"/>
        </w:rPr>
      </w:pPr>
      <w:r>
        <w:rPr>
          <w:rStyle w:val="FootnoteReference"/>
        </w:rPr>
        <w:footnoteRef/>
      </w:r>
      <w:r>
        <w:t xml:space="preserve"> </w:t>
      </w:r>
      <w:r w:rsidRPr="00563775">
        <w:rPr>
          <w:rFonts w:ascii="Times New Roman" w:hAnsi="Times New Roman" w:cs="Times New Roman"/>
          <w:lang w:val="sr-Cyrl-RS"/>
        </w:rPr>
        <w:t>Подела је урађена према општем речнику набавки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28E"/>
    <w:multiLevelType w:val="hybridMultilevel"/>
    <w:tmpl w:val="F04E8BF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086548B4"/>
    <w:multiLevelType w:val="hybridMultilevel"/>
    <w:tmpl w:val="E1169744"/>
    <w:lvl w:ilvl="0" w:tplc="7FF683AC">
      <w:start w:val="1"/>
      <w:numFmt w:val="decimal"/>
      <w:lvlText w:val="%1)"/>
      <w:lvlJc w:val="left"/>
      <w:pPr>
        <w:ind w:left="720" w:hanging="360"/>
      </w:pPr>
      <w:rPr>
        <w:rFonts w:ascii="Times New Roman" w:hAnsi="Times New Roman" w:cs="Times New Roman" w:hint="default"/>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DC3797A"/>
    <w:multiLevelType w:val="hybridMultilevel"/>
    <w:tmpl w:val="4D307E9E"/>
    <w:lvl w:ilvl="0" w:tplc="08ECAC7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E7B56"/>
    <w:multiLevelType w:val="hybridMultilevel"/>
    <w:tmpl w:val="06A08E30"/>
    <w:lvl w:ilvl="0" w:tplc="606A3266">
      <w:start w:val="1"/>
      <w:numFmt w:val="upperRoman"/>
      <w:lvlText w:val="%1."/>
      <w:lvlJc w:val="right"/>
      <w:pPr>
        <w:ind w:left="720" w:hanging="360"/>
      </w:pPr>
      <w:rPr>
        <w:b/>
        <w:color w:val="auto"/>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15B45F1"/>
    <w:multiLevelType w:val="hybridMultilevel"/>
    <w:tmpl w:val="E66A1D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03A52"/>
    <w:multiLevelType w:val="hybridMultilevel"/>
    <w:tmpl w:val="4208AC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B7D054D"/>
    <w:multiLevelType w:val="hybridMultilevel"/>
    <w:tmpl w:val="F0A0C156"/>
    <w:lvl w:ilvl="0" w:tplc="2290388E">
      <w:numFmt w:val="bullet"/>
      <w:lvlText w:val=""/>
      <w:lvlJc w:val="left"/>
      <w:pPr>
        <w:ind w:left="1140" w:hanging="360"/>
      </w:pPr>
      <w:rPr>
        <w:rFonts w:ascii="Symbol" w:eastAsiaTheme="minorEastAsia" w:hAnsi="Symbol" w:cs="Times New Roman" w:hint="default"/>
      </w:rPr>
    </w:lvl>
    <w:lvl w:ilvl="1" w:tplc="281A0003" w:tentative="1">
      <w:start w:val="1"/>
      <w:numFmt w:val="bullet"/>
      <w:lvlText w:val="o"/>
      <w:lvlJc w:val="left"/>
      <w:pPr>
        <w:ind w:left="1860" w:hanging="360"/>
      </w:pPr>
      <w:rPr>
        <w:rFonts w:ascii="Courier New" w:hAnsi="Courier New" w:cs="Courier New" w:hint="default"/>
      </w:rPr>
    </w:lvl>
    <w:lvl w:ilvl="2" w:tplc="281A0005" w:tentative="1">
      <w:start w:val="1"/>
      <w:numFmt w:val="bullet"/>
      <w:lvlText w:val=""/>
      <w:lvlJc w:val="left"/>
      <w:pPr>
        <w:ind w:left="2580" w:hanging="360"/>
      </w:pPr>
      <w:rPr>
        <w:rFonts w:ascii="Wingdings" w:hAnsi="Wingdings" w:hint="default"/>
      </w:rPr>
    </w:lvl>
    <w:lvl w:ilvl="3" w:tplc="281A0001" w:tentative="1">
      <w:start w:val="1"/>
      <w:numFmt w:val="bullet"/>
      <w:lvlText w:val=""/>
      <w:lvlJc w:val="left"/>
      <w:pPr>
        <w:ind w:left="3300" w:hanging="360"/>
      </w:pPr>
      <w:rPr>
        <w:rFonts w:ascii="Symbol" w:hAnsi="Symbol" w:hint="default"/>
      </w:rPr>
    </w:lvl>
    <w:lvl w:ilvl="4" w:tplc="281A0003" w:tentative="1">
      <w:start w:val="1"/>
      <w:numFmt w:val="bullet"/>
      <w:lvlText w:val="o"/>
      <w:lvlJc w:val="left"/>
      <w:pPr>
        <w:ind w:left="4020" w:hanging="360"/>
      </w:pPr>
      <w:rPr>
        <w:rFonts w:ascii="Courier New" w:hAnsi="Courier New" w:cs="Courier New" w:hint="default"/>
      </w:rPr>
    </w:lvl>
    <w:lvl w:ilvl="5" w:tplc="281A0005" w:tentative="1">
      <w:start w:val="1"/>
      <w:numFmt w:val="bullet"/>
      <w:lvlText w:val=""/>
      <w:lvlJc w:val="left"/>
      <w:pPr>
        <w:ind w:left="4740" w:hanging="360"/>
      </w:pPr>
      <w:rPr>
        <w:rFonts w:ascii="Wingdings" w:hAnsi="Wingdings" w:hint="default"/>
      </w:rPr>
    </w:lvl>
    <w:lvl w:ilvl="6" w:tplc="281A0001" w:tentative="1">
      <w:start w:val="1"/>
      <w:numFmt w:val="bullet"/>
      <w:lvlText w:val=""/>
      <w:lvlJc w:val="left"/>
      <w:pPr>
        <w:ind w:left="5460" w:hanging="360"/>
      </w:pPr>
      <w:rPr>
        <w:rFonts w:ascii="Symbol" w:hAnsi="Symbol" w:hint="default"/>
      </w:rPr>
    </w:lvl>
    <w:lvl w:ilvl="7" w:tplc="281A0003" w:tentative="1">
      <w:start w:val="1"/>
      <w:numFmt w:val="bullet"/>
      <w:lvlText w:val="o"/>
      <w:lvlJc w:val="left"/>
      <w:pPr>
        <w:ind w:left="6180" w:hanging="360"/>
      </w:pPr>
      <w:rPr>
        <w:rFonts w:ascii="Courier New" w:hAnsi="Courier New" w:cs="Courier New" w:hint="default"/>
      </w:rPr>
    </w:lvl>
    <w:lvl w:ilvl="8" w:tplc="281A0005" w:tentative="1">
      <w:start w:val="1"/>
      <w:numFmt w:val="bullet"/>
      <w:lvlText w:val=""/>
      <w:lvlJc w:val="left"/>
      <w:pPr>
        <w:ind w:left="6900" w:hanging="360"/>
      </w:pPr>
      <w:rPr>
        <w:rFonts w:ascii="Wingdings" w:hAnsi="Wingdings" w:hint="default"/>
      </w:rPr>
    </w:lvl>
  </w:abstractNum>
  <w:abstractNum w:abstractNumId="7" w15:restartNumberingAfterBreak="0">
    <w:nsid w:val="70BC36BC"/>
    <w:multiLevelType w:val="hybridMultilevel"/>
    <w:tmpl w:val="394EC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92423"/>
    <w:multiLevelType w:val="hybridMultilevel"/>
    <w:tmpl w:val="C7A49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5"/>
  </w:num>
  <w:num w:numId="5">
    <w:abstractNumId w:val="7"/>
  </w:num>
  <w:num w:numId="6">
    <w:abstractNumId w:val="2"/>
  </w:num>
  <w:num w:numId="7">
    <w:abstractNumId w:val="4"/>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16"/>
    <w:rsid w:val="00000094"/>
    <w:rsid w:val="0000012F"/>
    <w:rsid w:val="000004F0"/>
    <w:rsid w:val="000019FE"/>
    <w:rsid w:val="00002595"/>
    <w:rsid w:val="00002620"/>
    <w:rsid w:val="00002DBF"/>
    <w:rsid w:val="00003717"/>
    <w:rsid w:val="0000398D"/>
    <w:rsid w:val="000040B6"/>
    <w:rsid w:val="0000410D"/>
    <w:rsid w:val="00004217"/>
    <w:rsid w:val="00004743"/>
    <w:rsid w:val="00004AEE"/>
    <w:rsid w:val="00004FE7"/>
    <w:rsid w:val="00005222"/>
    <w:rsid w:val="000057F4"/>
    <w:rsid w:val="00005BFB"/>
    <w:rsid w:val="00006613"/>
    <w:rsid w:val="00006692"/>
    <w:rsid w:val="00006754"/>
    <w:rsid w:val="00006967"/>
    <w:rsid w:val="00006B75"/>
    <w:rsid w:val="0000737D"/>
    <w:rsid w:val="00007433"/>
    <w:rsid w:val="00007EEA"/>
    <w:rsid w:val="00010632"/>
    <w:rsid w:val="00010688"/>
    <w:rsid w:val="00010990"/>
    <w:rsid w:val="00010D15"/>
    <w:rsid w:val="000111E2"/>
    <w:rsid w:val="00011AB2"/>
    <w:rsid w:val="00011DFE"/>
    <w:rsid w:val="000125A8"/>
    <w:rsid w:val="000127D0"/>
    <w:rsid w:val="000133AF"/>
    <w:rsid w:val="00014561"/>
    <w:rsid w:val="000145AE"/>
    <w:rsid w:val="00014917"/>
    <w:rsid w:val="00015855"/>
    <w:rsid w:val="00016502"/>
    <w:rsid w:val="00016550"/>
    <w:rsid w:val="00016552"/>
    <w:rsid w:val="00016E0F"/>
    <w:rsid w:val="0001712E"/>
    <w:rsid w:val="00017BA0"/>
    <w:rsid w:val="000206B9"/>
    <w:rsid w:val="00021F94"/>
    <w:rsid w:val="00022187"/>
    <w:rsid w:val="000225AC"/>
    <w:rsid w:val="00022653"/>
    <w:rsid w:val="000229D1"/>
    <w:rsid w:val="00023266"/>
    <w:rsid w:val="000233E2"/>
    <w:rsid w:val="00023490"/>
    <w:rsid w:val="00023953"/>
    <w:rsid w:val="00023ACB"/>
    <w:rsid w:val="00023C24"/>
    <w:rsid w:val="00023EBB"/>
    <w:rsid w:val="0002432C"/>
    <w:rsid w:val="0002495E"/>
    <w:rsid w:val="00025497"/>
    <w:rsid w:val="000259E0"/>
    <w:rsid w:val="00025C3A"/>
    <w:rsid w:val="00026139"/>
    <w:rsid w:val="000261E5"/>
    <w:rsid w:val="000305FA"/>
    <w:rsid w:val="00030BFE"/>
    <w:rsid w:val="00030C15"/>
    <w:rsid w:val="000322F9"/>
    <w:rsid w:val="000329EE"/>
    <w:rsid w:val="000348F2"/>
    <w:rsid w:val="00036207"/>
    <w:rsid w:val="0003627A"/>
    <w:rsid w:val="0003663C"/>
    <w:rsid w:val="00037DEC"/>
    <w:rsid w:val="000402D1"/>
    <w:rsid w:val="00041F05"/>
    <w:rsid w:val="00041FB0"/>
    <w:rsid w:val="00042423"/>
    <w:rsid w:val="00042DC4"/>
    <w:rsid w:val="00043054"/>
    <w:rsid w:val="00043616"/>
    <w:rsid w:val="00043702"/>
    <w:rsid w:val="00043A99"/>
    <w:rsid w:val="00043D7C"/>
    <w:rsid w:val="000440CC"/>
    <w:rsid w:val="000443CD"/>
    <w:rsid w:val="000453D6"/>
    <w:rsid w:val="00045D75"/>
    <w:rsid w:val="0004715E"/>
    <w:rsid w:val="00047DDB"/>
    <w:rsid w:val="00050EE1"/>
    <w:rsid w:val="000512E4"/>
    <w:rsid w:val="000519AF"/>
    <w:rsid w:val="00051D27"/>
    <w:rsid w:val="000549B7"/>
    <w:rsid w:val="000551D5"/>
    <w:rsid w:val="00055498"/>
    <w:rsid w:val="00055727"/>
    <w:rsid w:val="00055CB3"/>
    <w:rsid w:val="00055CC1"/>
    <w:rsid w:val="00055EA7"/>
    <w:rsid w:val="00055F01"/>
    <w:rsid w:val="0005655C"/>
    <w:rsid w:val="000570BF"/>
    <w:rsid w:val="000602B7"/>
    <w:rsid w:val="00060772"/>
    <w:rsid w:val="00061455"/>
    <w:rsid w:val="00061785"/>
    <w:rsid w:val="00061843"/>
    <w:rsid w:val="0006225C"/>
    <w:rsid w:val="0006226F"/>
    <w:rsid w:val="00062ABE"/>
    <w:rsid w:val="00062C44"/>
    <w:rsid w:val="00062F5B"/>
    <w:rsid w:val="00063103"/>
    <w:rsid w:val="00063307"/>
    <w:rsid w:val="0006417F"/>
    <w:rsid w:val="00064181"/>
    <w:rsid w:val="000643E0"/>
    <w:rsid w:val="0006447D"/>
    <w:rsid w:val="0006532A"/>
    <w:rsid w:val="000665FD"/>
    <w:rsid w:val="0006699D"/>
    <w:rsid w:val="00066B3E"/>
    <w:rsid w:val="00066D83"/>
    <w:rsid w:val="00067382"/>
    <w:rsid w:val="0006781F"/>
    <w:rsid w:val="00067F31"/>
    <w:rsid w:val="000702A2"/>
    <w:rsid w:val="000706BF"/>
    <w:rsid w:val="00070C23"/>
    <w:rsid w:val="00070E1D"/>
    <w:rsid w:val="00071D1A"/>
    <w:rsid w:val="00071E5E"/>
    <w:rsid w:val="000723A3"/>
    <w:rsid w:val="000725E8"/>
    <w:rsid w:val="00072DBF"/>
    <w:rsid w:val="0007333C"/>
    <w:rsid w:val="00073859"/>
    <w:rsid w:val="00074207"/>
    <w:rsid w:val="00074962"/>
    <w:rsid w:val="00075960"/>
    <w:rsid w:val="00075F6B"/>
    <w:rsid w:val="00076125"/>
    <w:rsid w:val="00076197"/>
    <w:rsid w:val="00076491"/>
    <w:rsid w:val="000765C8"/>
    <w:rsid w:val="0007674F"/>
    <w:rsid w:val="000767DD"/>
    <w:rsid w:val="00076944"/>
    <w:rsid w:val="00076B05"/>
    <w:rsid w:val="00076B59"/>
    <w:rsid w:val="00077CCB"/>
    <w:rsid w:val="000800D3"/>
    <w:rsid w:val="0008070A"/>
    <w:rsid w:val="00083E4A"/>
    <w:rsid w:val="000848C9"/>
    <w:rsid w:val="00085054"/>
    <w:rsid w:val="000853E8"/>
    <w:rsid w:val="00085881"/>
    <w:rsid w:val="000864A3"/>
    <w:rsid w:val="000871E9"/>
    <w:rsid w:val="00090EC4"/>
    <w:rsid w:val="00091369"/>
    <w:rsid w:val="00092841"/>
    <w:rsid w:val="00092A1D"/>
    <w:rsid w:val="00092A7A"/>
    <w:rsid w:val="00092EBD"/>
    <w:rsid w:val="00094444"/>
    <w:rsid w:val="0009495F"/>
    <w:rsid w:val="000956EA"/>
    <w:rsid w:val="0009577C"/>
    <w:rsid w:val="00095BCE"/>
    <w:rsid w:val="00096476"/>
    <w:rsid w:val="000A0732"/>
    <w:rsid w:val="000A1E11"/>
    <w:rsid w:val="000A277D"/>
    <w:rsid w:val="000A2849"/>
    <w:rsid w:val="000A3876"/>
    <w:rsid w:val="000A42BD"/>
    <w:rsid w:val="000A52B7"/>
    <w:rsid w:val="000A5330"/>
    <w:rsid w:val="000A535A"/>
    <w:rsid w:val="000A5445"/>
    <w:rsid w:val="000A648B"/>
    <w:rsid w:val="000B08F0"/>
    <w:rsid w:val="000B0E15"/>
    <w:rsid w:val="000B1315"/>
    <w:rsid w:val="000B194B"/>
    <w:rsid w:val="000B1C13"/>
    <w:rsid w:val="000B29FB"/>
    <w:rsid w:val="000B2BC1"/>
    <w:rsid w:val="000B375B"/>
    <w:rsid w:val="000B3C80"/>
    <w:rsid w:val="000B3F57"/>
    <w:rsid w:val="000B4148"/>
    <w:rsid w:val="000B44F1"/>
    <w:rsid w:val="000B4B53"/>
    <w:rsid w:val="000B4ED8"/>
    <w:rsid w:val="000B51D7"/>
    <w:rsid w:val="000B53ED"/>
    <w:rsid w:val="000B5D8C"/>
    <w:rsid w:val="000B663E"/>
    <w:rsid w:val="000B7085"/>
    <w:rsid w:val="000B7F63"/>
    <w:rsid w:val="000B7FC6"/>
    <w:rsid w:val="000C1119"/>
    <w:rsid w:val="000C129C"/>
    <w:rsid w:val="000C13C7"/>
    <w:rsid w:val="000C22C9"/>
    <w:rsid w:val="000C286A"/>
    <w:rsid w:val="000C3D61"/>
    <w:rsid w:val="000C40A1"/>
    <w:rsid w:val="000C42DD"/>
    <w:rsid w:val="000C4350"/>
    <w:rsid w:val="000C4D92"/>
    <w:rsid w:val="000C52E5"/>
    <w:rsid w:val="000C5B8C"/>
    <w:rsid w:val="000C69A8"/>
    <w:rsid w:val="000C6B34"/>
    <w:rsid w:val="000D04EB"/>
    <w:rsid w:val="000D076B"/>
    <w:rsid w:val="000D08F6"/>
    <w:rsid w:val="000D0BF6"/>
    <w:rsid w:val="000D1E9F"/>
    <w:rsid w:val="000D2095"/>
    <w:rsid w:val="000D22E7"/>
    <w:rsid w:val="000D2386"/>
    <w:rsid w:val="000D2B50"/>
    <w:rsid w:val="000D36D5"/>
    <w:rsid w:val="000D5724"/>
    <w:rsid w:val="000D5AAF"/>
    <w:rsid w:val="000D5C44"/>
    <w:rsid w:val="000D5EF5"/>
    <w:rsid w:val="000E04B2"/>
    <w:rsid w:val="000E07C7"/>
    <w:rsid w:val="000E090E"/>
    <w:rsid w:val="000E0B86"/>
    <w:rsid w:val="000E1569"/>
    <w:rsid w:val="000E1864"/>
    <w:rsid w:val="000E18BB"/>
    <w:rsid w:val="000E205A"/>
    <w:rsid w:val="000E22AD"/>
    <w:rsid w:val="000E318F"/>
    <w:rsid w:val="000E3D88"/>
    <w:rsid w:val="000E3F0A"/>
    <w:rsid w:val="000E4D09"/>
    <w:rsid w:val="000E513C"/>
    <w:rsid w:val="000E5435"/>
    <w:rsid w:val="000E5C5A"/>
    <w:rsid w:val="000E6412"/>
    <w:rsid w:val="000E64F2"/>
    <w:rsid w:val="000E6811"/>
    <w:rsid w:val="000E71B2"/>
    <w:rsid w:val="000E7300"/>
    <w:rsid w:val="000E763E"/>
    <w:rsid w:val="000E766A"/>
    <w:rsid w:val="000E79F3"/>
    <w:rsid w:val="000E7E0D"/>
    <w:rsid w:val="000E7E8D"/>
    <w:rsid w:val="000E7EEB"/>
    <w:rsid w:val="000F0296"/>
    <w:rsid w:val="000F07F9"/>
    <w:rsid w:val="000F0BAB"/>
    <w:rsid w:val="000F0E12"/>
    <w:rsid w:val="000F11AC"/>
    <w:rsid w:val="000F13A5"/>
    <w:rsid w:val="000F1447"/>
    <w:rsid w:val="000F3249"/>
    <w:rsid w:val="000F33F7"/>
    <w:rsid w:val="000F48EB"/>
    <w:rsid w:val="000F49D6"/>
    <w:rsid w:val="000F5D7F"/>
    <w:rsid w:val="000F66AB"/>
    <w:rsid w:val="000F6A66"/>
    <w:rsid w:val="000F6B98"/>
    <w:rsid w:val="000F73FA"/>
    <w:rsid w:val="000F7956"/>
    <w:rsid w:val="00100669"/>
    <w:rsid w:val="00100C57"/>
    <w:rsid w:val="00100D12"/>
    <w:rsid w:val="00100DB7"/>
    <w:rsid w:val="00102D41"/>
    <w:rsid w:val="00102DFF"/>
    <w:rsid w:val="00103A4B"/>
    <w:rsid w:val="00103C36"/>
    <w:rsid w:val="00104151"/>
    <w:rsid w:val="00104C9B"/>
    <w:rsid w:val="0010541B"/>
    <w:rsid w:val="00105A73"/>
    <w:rsid w:val="00105CEE"/>
    <w:rsid w:val="00106438"/>
    <w:rsid w:val="001066C7"/>
    <w:rsid w:val="001068BD"/>
    <w:rsid w:val="00106D24"/>
    <w:rsid w:val="00106E5F"/>
    <w:rsid w:val="00107999"/>
    <w:rsid w:val="00107DE6"/>
    <w:rsid w:val="0011013E"/>
    <w:rsid w:val="001106B1"/>
    <w:rsid w:val="00110BC0"/>
    <w:rsid w:val="001110CC"/>
    <w:rsid w:val="0011118B"/>
    <w:rsid w:val="001112D5"/>
    <w:rsid w:val="00111754"/>
    <w:rsid w:val="0011194E"/>
    <w:rsid w:val="001124FC"/>
    <w:rsid w:val="00112DB7"/>
    <w:rsid w:val="00113822"/>
    <w:rsid w:val="001139B8"/>
    <w:rsid w:val="00113B83"/>
    <w:rsid w:val="0011590A"/>
    <w:rsid w:val="00116B99"/>
    <w:rsid w:val="0011705B"/>
    <w:rsid w:val="00117AE0"/>
    <w:rsid w:val="0012068D"/>
    <w:rsid w:val="001208DC"/>
    <w:rsid w:val="00120C2B"/>
    <w:rsid w:val="001217FB"/>
    <w:rsid w:val="00121889"/>
    <w:rsid w:val="001218EF"/>
    <w:rsid w:val="00121D82"/>
    <w:rsid w:val="00121E4F"/>
    <w:rsid w:val="00121ED9"/>
    <w:rsid w:val="001223BA"/>
    <w:rsid w:val="00123568"/>
    <w:rsid w:val="00123B92"/>
    <w:rsid w:val="00124460"/>
    <w:rsid w:val="00124CCF"/>
    <w:rsid w:val="001252D1"/>
    <w:rsid w:val="00126332"/>
    <w:rsid w:val="00126F16"/>
    <w:rsid w:val="001275D0"/>
    <w:rsid w:val="001305FF"/>
    <w:rsid w:val="00130625"/>
    <w:rsid w:val="0013074C"/>
    <w:rsid w:val="00131509"/>
    <w:rsid w:val="00131666"/>
    <w:rsid w:val="00134B57"/>
    <w:rsid w:val="00134BC4"/>
    <w:rsid w:val="001359AF"/>
    <w:rsid w:val="00136D4D"/>
    <w:rsid w:val="00136E6C"/>
    <w:rsid w:val="001374B8"/>
    <w:rsid w:val="00137BF9"/>
    <w:rsid w:val="00142240"/>
    <w:rsid w:val="00142489"/>
    <w:rsid w:val="00142C48"/>
    <w:rsid w:val="0014307A"/>
    <w:rsid w:val="001440AD"/>
    <w:rsid w:val="001444EC"/>
    <w:rsid w:val="00144DED"/>
    <w:rsid w:val="00144FA7"/>
    <w:rsid w:val="00144FB2"/>
    <w:rsid w:val="001452F0"/>
    <w:rsid w:val="001453FB"/>
    <w:rsid w:val="00146853"/>
    <w:rsid w:val="001472B9"/>
    <w:rsid w:val="00150555"/>
    <w:rsid w:val="00150901"/>
    <w:rsid w:val="00150DBA"/>
    <w:rsid w:val="00151143"/>
    <w:rsid w:val="001513BE"/>
    <w:rsid w:val="00151461"/>
    <w:rsid w:val="00151C94"/>
    <w:rsid w:val="0015266C"/>
    <w:rsid w:val="0015312A"/>
    <w:rsid w:val="001534DB"/>
    <w:rsid w:val="001536AF"/>
    <w:rsid w:val="00153A40"/>
    <w:rsid w:val="00154849"/>
    <w:rsid w:val="00154AE3"/>
    <w:rsid w:val="0015583D"/>
    <w:rsid w:val="00155C87"/>
    <w:rsid w:val="0015623B"/>
    <w:rsid w:val="001569E1"/>
    <w:rsid w:val="001574B0"/>
    <w:rsid w:val="00157969"/>
    <w:rsid w:val="00157B11"/>
    <w:rsid w:val="00160E72"/>
    <w:rsid w:val="00161F1F"/>
    <w:rsid w:val="00163151"/>
    <w:rsid w:val="001635E6"/>
    <w:rsid w:val="00163C11"/>
    <w:rsid w:val="00163E0C"/>
    <w:rsid w:val="001646A1"/>
    <w:rsid w:val="001648C1"/>
    <w:rsid w:val="0016561A"/>
    <w:rsid w:val="00166F49"/>
    <w:rsid w:val="0016760F"/>
    <w:rsid w:val="00170C59"/>
    <w:rsid w:val="001713F7"/>
    <w:rsid w:val="00171D8F"/>
    <w:rsid w:val="00171F84"/>
    <w:rsid w:val="00172360"/>
    <w:rsid w:val="0017276A"/>
    <w:rsid w:val="00172B71"/>
    <w:rsid w:val="00172BC7"/>
    <w:rsid w:val="00172DAB"/>
    <w:rsid w:val="001749F2"/>
    <w:rsid w:val="00174F35"/>
    <w:rsid w:val="00175132"/>
    <w:rsid w:val="001754B9"/>
    <w:rsid w:val="00175F3A"/>
    <w:rsid w:val="00176BE7"/>
    <w:rsid w:val="0017726F"/>
    <w:rsid w:val="0017767B"/>
    <w:rsid w:val="00177B9E"/>
    <w:rsid w:val="00177FF6"/>
    <w:rsid w:val="00181494"/>
    <w:rsid w:val="001818B6"/>
    <w:rsid w:val="00181940"/>
    <w:rsid w:val="00181965"/>
    <w:rsid w:val="001839F5"/>
    <w:rsid w:val="00184B35"/>
    <w:rsid w:val="00184FB6"/>
    <w:rsid w:val="0018536B"/>
    <w:rsid w:val="001858A5"/>
    <w:rsid w:val="00185A51"/>
    <w:rsid w:val="001861CF"/>
    <w:rsid w:val="0018637A"/>
    <w:rsid w:val="00186EE1"/>
    <w:rsid w:val="00187178"/>
    <w:rsid w:val="001878AB"/>
    <w:rsid w:val="00187BAE"/>
    <w:rsid w:val="00191758"/>
    <w:rsid w:val="00191A27"/>
    <w:rsid w:val="001923D1"/>
    <w:rsid w:val="00192624"/>
    <w:rsid w:val="00193596"/>
    <w:rsid w:val="00194941"/>
    <w:rsid w:val="00194A36"/>
    <w:rsid w:val="00195172"/>
    <w:rsid w:val="00195190"/>
    <w:rsid w:val="00195BEA"/>
    <w:rsid w:val="00196AC2"/>
    <w:rsid w:val="00197EC6"/>
    <w:rsid w:val="00197F61"/>
    <w:rsid w:val="001A014D"/>
    <w:rsid w:val="001A19E7"/>
    <w:rsid w:val="001A2260"/>
    <w:rsid w:val="001A244A"/>
    <w:rsid w:val="001A373D"/>
    <w:rsid w:val="001A4A57"/>
    <w:rsid w:val="001A53E2"/>
    <w:rsid w:val="001A588E"/>
    <w:rsid w:val="001A5AE4"/>
    <w:rsid w:val="001A5C4F"/>
    <w:rsid w:val="001A5F06"/>
    <w:rsid w:val="001A6E5B"/>
    <w:rsid w:val="001A6F9C"/>
    <w:rsid w:val="001A7236"/>
    <w:rsid w:val="001A7366"/>
    <w:rsid w:val="001A74A8"/>
    <w:rsid w:val="001A76C1"/>
    <w:rsid w:val="001A7A3C"/>
    <w:rsid w:val="001A7E9B"/>
    <w:rsid w:val="001B03AA"/>
    <w:rsid w:val="001B0459"/>
    <w:rsid w:val="001B087D"/>
    <w:rsid w:val="001B0A0E"/>
    <w:rsid w:val="001B0DAD"/>
    <w:rsid w:val="001B10E9"/>
    <w:rsid w:val="001B11F7"/>
    <w:rsid w:val="001B1CC8"/>
    <w:rsid w:val="001B1D08"/>
    <w:rsid w:val="001B245E"/>
    <w:rsid w:val="001B257E"/>
    <w:rsid w:val="001B3091"/>
    <w:rsid w:val="001B30C0"/>
    <w:rsid w:val="001B35D8"/>
    <w:rsid w:val="001B3B8E"/>
    <w:rsid w:val="001B3CD9"/>
    <w:rsid w:val="001B3CE1"/>
    <w:rsid w:val="001B454E"/>
    <w:rsid w:val="001B47DB"/>
    <w:rsid w:val="001B5AB2"/>
    <w:rsid w:val="001B6466"/>
    <w:rsid w:val="001B6A47"/>
    <w:rsid w:val="001B6E57"/>
    <w:rsid w:val="001C000C"/>
    <w:rsid w:val="001C0FDB"/>
    <w:rsid w:val="001C18F4"/>
    <w:rsid w:val="001C2D19"/>
    <w:rsid w:val="001C39E6"/>
    <w:rsid w:val="001C39F2"/>
    <w:rsid w:val="001C3F95"/>
    <w:rsid w:val="001C4431"/>
    <w:rsid w:val="001C4CC4"/>
    <w:rsid w:val="001C5C87"/>
    <w:rsid w:val="001C5DEA"/>
    <w:rsid w:val="001C62AD"/>
    <w:rsid w:val="001C7626"/>
    <w:rsid w:val="001C7AE9"/>
    <w:rsid w:val="001D03C0"/>
    <w:rsid w:val="001D0816"/>
    <w:rsid w:val="001D11EB"/>
    <w:rsid w:val="001D1740"/>
    <w:rsid w:val="001D240C"/>
    <w:rsid w:val="001D284F"/>
    <w:rsid w:val="001D2A23"/>
    <w:rsid w:val="001D3AA4"/>
    <w:rsid w:val="001D41D0"/>
    <w:rsid w:val="001D45F3"/>
    <w:rsid w:val="001D4798"/>
    <w:rsid w:val="001D47E7"/>
    <w:rsid w:val="001D4A9B"/>
    <w:rsid w:val="001D4F11"/>
    <w:rsid w:val="001D4F1B"/>
    <w:rsid w:val="001D5DEF"/>
    <w:rsid w:val="001D5EC8"/>
    <w:rsid w:val="001D6D15"/>
    <w:rsid w:val="001D6E7A"/>
    <w:rsid w:val="001D703D"/>
    <w:rsid w:val="001D7527"/>
    <w:rsid w:val="001E03F0"/>
    <w:rsid w:val="001E0481"/>
    <w:rsid w:val="001E0ABE"/>
    <w:rsid w:val="001E0BF0"/>
    <w:rsid w:val="001E1048"/>
    <w:rsid w:val="001E1269"/>
    <w:rsid w:val="001E17FF"/>
    <w:rsid w:val="001E1F62"/>
    <w:rsid w:val="001E21D6"/>
    <w:rsid w:val="001E22A5"/>
    <w:rsid w:val="001E2AC5"/>
    <w:rsid w:val="001E2BD6"/>
    <w:rsid w:val="001E300B"/>
    <w:rsid w:val="001E32B7"/>
    <w:rsid w:val="001E3FD0"/>
    <w:rsid w:val="001E426A"/>
    <w:rsid w:val="001E4473"/>
    <w:rsid w:val="001E4D7B"/>
    <w:rsid w:val="001E5796"/>
    <w:rsid w:val="001E5F24"/>
    <w:rsid w:val="001E6353"/>
    <w:rsid w:val="001E711F"/>
    <w:rsid w:val="001E77F9"/>
    <w:rsid w:val="001F06EC"/>
    <w:rsid w:val="001F1190"/>
    <w:rsid w:val="001F17D8"/>
    <w:rsid w:val="001F2DCC"/>
    <w:rsid w:val="001F32F4"/>
    <w:rsid w:val="001F57CE"/>
    <w:rsid w:val="001F6316"/>
    <w:rsid w:val="001F73CC"/>
    <w:rsid w:val="00200050"/>
    <w:rsid w:val="002016A0"/>
    <w:rsid w:val="00201868"/>
    <w:rsid w:val="0020201A"/>
    <w:rsid w:val="00202D69"/>
    <w:rsid w:val="00204521"/>
    <w:rsid w:val="0020470F"/>
    <w:rsid w:val="0020503B"/>
    <w:rsid w:val="002057A3"/>
    <w:rsid w:val="00205DF7"/>
    <w:rsid w:val="00205EA7"/>
    <w:rsid w:val="00205ECA"/>
    <w:rsid w:val="0020609A"/>
    <w:rsid w:val="0020626B"/>
    <w:rsid w:val="00206753"/>
    <w:rsid w:val="00206CEF"/>
    <w:rsid w:val="002070CA"/>
    <w:rsid w:val="00210DC6"/>
    <w:rsid w:val="002116F0"/>
    <w:rsid w:val="00211A49"/>
    <w:rsid w:val="0021226E"/>
    <w:rsid w:val="00212752"/>
    <w:rsid w:val="002127AB"/>
    <w:rsid w:val="002128FE"/>
    <w:rsid w:val="00212E75"/>
    <w:rsid w:val="00213757"/>
    <w:rsid w:val="00213AEB"/>
    <w:rsid w:val="00214267"/>
    <w:rsid w:val="00214BFA"/>
    <w:rsid w:val="00214E51"/>
    <w:rsid w:val="00215061"/>
    <w:rsid w:val="002157BD"/>
    <w:rsid w:val="00215954"/>
    <w:rsid w:val="00216380"/>
    <w:rsid w:val="0021654F"/>
    <w:rsid w:val="00216C8E"/>
    <w:rsid w:val="00216F69"/>
    <w:rsid w:val="00217060"/>
    <w:rsid w:val="002200A2"/>
    <w:rsid w:val="0022081D"/>
    <w:rsid w:val="00220B04"/>
    <w:rsid w:val="00220B79"/>
    <w:rsid w:val="00220C95"/>
    <w:rsid w:val="00221039"/>
    <w:rsid w:val="0022140B"/>
    <w:rsid w:val="002215F9"/>
    <w:rsid w:val="002219A6"/>
    <w:rsid w:val="00221A36"/>
    <w:rsid w:val="00221F95"/>
    <w:rsid w:val="0022262F"/>
    <w:rsid w:val="00222C41"/>
    <w:rsid w:val="00223068"/>
    <w:rsid w:val="00223571"/>
    <w:rsid w:val="00223811"/>
    <w:rsid w:val="00225866"/>
    <w:rsid w:val="0022593B"/>
    <w:rsid w:val="00225D45"/>
    <w:rsid w:val="00225FFD"/>
    <w:rsid w:val="00227F73"/>
    <w:rsid w:val="00230198"/>
    <w:rsid w:val="002314BF"/>
    <w:rsid w:val="00231666"/>
    <w:rsid w:val="00231C40"/>
    <w:rsid w:val="002321BB"/>
    <w:rsid w:val="0023285A"/>
    <w:rsid w:val="00232B6E"/>
    <w:rsid w:val="00233128"/>
    <w:rsid w:val="00233A2E"/>
    <w:rsid w:val="00233CF8"/>
    <w:rsid w:val="0023475E"/>
    <w:rsid w:val="00234FEC"/>
    <w:rsid w:val="002355D5"/>
    <w:rsid w:val="00235706"/>
    <w:rsid w:val="00235935"/>
    <w:rsid w:val="00235B15"/>
    <w:rsid w:val="00236705"/>
    <w:rsid w:val="002367F3"/>
    <w:rsid w:val="002369A3"/>
    <w:rsid w:val="00236AD5"/>
    <w:rsid w:val="00236C35"/>
    <w:rsid w:val="00236C4C"/>
    <w:rsid w:val="00237916"/>
    <w:rsid w:val="00237A85"/>
    <w:rsid w:val="00237D96"/>
    <w:rsid w:val="002405DC"/>
    <w:rsid w:val="00241453"/>
    <w:rsid w:val="002415F4"/>
    <w:rsid w:val="0024268A"/>
    <w:rsid w:val="002428FB"/>
    <w:rsid w:val="00242912"/>
    <w:rsid w:val="00242CB0"/>
    <w:rsid w:val="00242D3E"/>
    <w:rsid w:val="002437F1"/>
    <w:rsid w:val="0024436F"/>
    <w:rsid w:val="0024444B"/>
    <w:rsid w:val="0024524E"/>
    <w:rsid w:val="00245533"/>
    <w:rsid w:val="0024609E"/>
    <w:rsid w:val="0024627B"/>
    <w:rsid w:val="00246664"/>
    <w:rsid w:val="00246B1A"/>
    <w:rsid w:val="00247569"/>
    <w:rsid w:val="00247CFB"/>
    <w:rsid w:val="00250396"/>
    <w:rsid w:val="0025101D"/>
    <w:rsid w:val="00251296"/>
    <w:rsid w:val="00252D71"/>
    <w:rsid w:val="00253F71"/>
    <w:rsid w:val="00254B23"/>
    <w:rsid w:val="00254B50"/>
    <w:rsid w:val="00254B6B"/>
    <w:rsid w:val="00255F23"/>
    <w:rsid w:val="0025673D"/>
    <w:rsid w:val="0025722E"/>
    <w:rsid w:val="0026092A"/>
    <w:rsid w:val="00260CEA"/>
    <w:rsid w:val="00260F71"/>
    <w:rsid w:val="00261188"/>
    <w:rsid w:val="00261373"/>
    <w:rsid w:val="00263B08"/>
    <w:rsid w:val="00263DD7"/>
    <w:rsid w:val="00265D9F"/>
    <w:rsid w:val="0026615B"/>
    <w:rsid w:val="0026660C"/>
    <w:rsid w:val="002666CC"/>
    <w:rsid w:val="00266D1C"/>
    <w:rsid w:val="00267139"/>
    <w:rsid w:val="00270A02"/>
    <w:rsid w:val="00270C1C"/>
    <w:rsid w:val="00270E0A"/>
    <w:rsid w:val="00270E8F"/>
    <w:rsid w:val="00271313"/>
    <w:rsid w:val="002719F7"/>
    <w:rsid w:val="00273128"/>
    <w:rsid w:val="00273313"/>
    <w:rsid w:val="00273866"/>
    <w:rsid w:val="0027449F"/>
    <w:rsid w:val="0027450B"/>
    <w:rsid w:val="00274BE6"/>
    <w:rsid w:val="002759CB"/>
    <w:rsid w:val="00275D39"/>
    <w:rsid w:val="002778F7"/>
    <w:rsid w:val="00277A65"/>
    <w:rsid w:val="00277E96"/>
    <w:rsid w:val="00280F6B"/>
    <w:rsid w:val="00281068"/>
    <w:rsid w:val="00281764"/>
    <w:rsid w:val="002820D8"/>
    <w:rsid w:val="00282CB7"/>
    <w:rsid w:val="002831EA"/>
    <w:rsid w:val="002835AE"/>
    <w:rsid w:val="0028388A"/>
    <w:rsid w:val="00283AB6"/>
    <w:rsid w:val="00283EA7"/>
    <w:rsid w:val="002840BF"/>
    <w:rsid w:val="00284A93"/>
    <w:rsid w:val="002854AD"/>
    <w:rsid w:val="00285512"/>
    <w:rsid w:val="00285C22"/>
    <w:rsid w:val="0028619F"/>
    <w:rsid w:val="00286504"/>
    <w:rsid w:val="00286F50"/>
    <w:rsid w:val="002876D6"/>
    <w:rsid w:val="002878F2"/>
    <w:rsid w:val="00287B60"/>
    <w:rsid w:val="00290BA3"/>
    <w:rsid w:val="002910F7"/>
    <w:rsid w:val="00291C91"/>
    <w:rsid w:val="00293007"/>
    <w:rsid w:val="00293586"/>
    <w:rsid w:val="00293B02"/>
    <w:rsid w:val="00293EC6"/>
    <w:rsid w:val="00294262"/>
    <w:rsid w:val="0029465D"/>
    <w:rsid w:val="00295207"/>
    <w:rsid w:val="0029678C"/>
    <w:rsid w:val="00296EFE"/>
    <w:rsid w:val="00296FC9"/>
    <w:rsid w:val="002970F4"/>
    <w:rsid w:val="002975D7"/>
    <w:rsid w:val="002A0DA9"/>
    <w:rsid w:val="002A1010"/>
    <w:rsid w:val="002A1964"/>
    <w:rsid w:val="002A24AC"/>
    <w:rsid w:val="002A308B"/>
    <w:rsid w:val="002A3090"/>
    <w:rsid w:val="002A327B"/>
    <w:rsid w:val="002A32F6"/>
    <w:rsid w:val="002A4357"/>
    <w:rsid w:val="002A45BA"/>
    <w:rsid w:val="002A46ED"/>
    <w:rsid w:val="002A51D4"/>
    <w:rsid w:val="002A52EE"/>
    <w:rsid w:val="002A5576"/>
    <w:rsid w:val="002A6366"/>
    <w:rsid w:val="002A6BBC"/>
    <w:rsid w:val="002A7537"/>
    <w:rsid w:val="002A792E"/>
    <w:rsid w:val="002A7ECF"/>
    <w:rsid w:val="002B0F96"/>
    <w:rsid w:val="002B1273"/>
    <w:rsid w:val="002B183B"/>
    <w:rsid w:val="002B1851"/>
    <w:rsid w:val="002B21E1"/>
    <w:rsid w:val="002B2CAF"/>
    <w:rsid w:val="002B389D"/>
    <w:rsid w:val="002B428A"/>
    <w:rsid w:val="002B4A7C"/>
    <w:rsid w:val="002B53DE"/>
    <w:rsid w:val="002B6DCA"/>
    <w:rsid w:val="002B761F"/>
    <w:rsid w:val="002B7E0F"/>
    <w:rsid w:val="002C0066"/>
    <w:rsid w:val="002C0672"/>
    <w:rsid w:val="002C0C35"/>
    <w:rsid w:val="002C1559"/>
    <w:rsid w:val="002C17E2"/>
    <w:rsid w:val="002C1979"/>
    <w:rsid w:val="002C2101"/>
    <w:rsid w:val="002C2339"/>
    <w:rsid w:val="002C234C"/>
    <w:rsid w:val="002C2777"/>
    <w:rsid w:val="002C2918"/>
    <w:rsid w:val="002C2C54"/>
    <w:rsid w:val="002C32DB"/>
    <w:rsid w:val="002C47F0"/>
    <w:rsid w:val="002C4F52"/>
    <w:rsid w:val="002C5091"/>
    <w:rsid w:val="002C51E3"/>
    <w:rsid w:val="002C5890"/>
    <w:rsid w:val="002C6128"/>
    <w:rsid w:val="002C623D"/>
    <w:rsid w:val="002C71F6"/>
    <w:rsid w:val="002C7D82"/>
    <w:rsid w:val="002D1A89"/>
    <w:rsid w:val="002D1B5E"/>
    <w:rsid w:val="002D1D49"/>
    <w:rsid w:val="002D20CE"/>
    <w:rsid w:val="002D2B3A"/>
    <w:rsid w:val="002D2DF5"/>
    <w:rsid w:val="002D3290"/>
    <w:rsid w:val="002D3306"/>
    <w:rsid w:val="002D3646"/>
    <w:rsid w:val="002D4127"/>
    <w:rsid w:val="002D496E"/>
    <w:rsid w:val="002D4AA4"/>
    <w:rsid w:val="002D4DA7"/>
    <w:rsid w:val="002D4FB7"/>
    <w:rsid w:val="002D5079"/>
    <w:rsid w:val="002D57B5"/>
    <w:rsid w:val="002D5809"/>
    <w:rsid w:val="002D5D2D"/>
    <w:rsid w:val="002D62A8"/>
    <w:rsid w:val="002D6D89"/>
    <w:rsid w:val="002D7005"/>
    <w:rsid w:val="002D7A88"/>
    <w:rsid w:val="002E036E"/>
    <w:rsid w:val="002E0A84"/>
    <w:rsid w:val="002E0EC4"/>
    <w:rsid w:val="002E2064"/>
    <w:rsid w:val="002E231B"/>
    <w:rsid w:val="002E234F"/>
    <w:rsid w:val="002E23B7"/>
    <w:rsid w:val="002E286B"/>
    <w:rsid w:val="002E28CE"/>
    <w:rsid w:val="002E3318"/>
    <w:rsid w:val="002E3F47"/>
    <w:rsid w:val="002E414F"/>
    <w:rsid w:val="002E5E01"/>
    <w:rsid w:val="002F00AD"/>
    <w:rsid w:val="002F0FF5"/>
    <w:rsid w:val="002F19E2"/>
    <w:rsid w:val="002F2612"/>
    <w:rsid w:val="002F2DBD"/>
    <w:rsid w:val="002F2F7D"/>
    <w:rsid w:val="002F32C1"/>
    <w:rsid w:val="002F3389"/>
    <w:rsid w:val="002F3484"/>
    <w:rsid w:val="002F35A8"/>
    <w:rsid w:val="002F3A5D"/>
    <w:rsid w:val="002F45D6"/>
    <w:rsid w:val="002F4C79"/>
    <w:rsid w:val="002F4E4E"/>
    <w:rsid w:val="002F61C4"/>
    <w:rsid w:val="002F6602"/>
    <w:rsid w:val="002F7384"/>
    <w:rsid w:val="003005B6"/>
    <w:rsid w:val="00300606"/>
    <w:rsid w:val="00300FD4"/>
    <w:rsid w:val="0030219E"/>
    <w:rsid w:val="00302214"/>
    <w:rsid w:val="003023FC"/>
    <w:rsid w:val="00302BCE"/>
    <w:rsid w:val="00302F5A"/>
    <w:rsid w:val="0030398A"/>
    <w:rsid w:val="003052AC"/>
    <w:rsid w:val="0030552D"/>
    <w:rsid w:val="00305610"/>
    <w:rsid w:val="00305690"/>
    <w:rsid w:val="00305E90"/>
    <w:rsid w:val="0030688A"/>
    <w:rsid w:val="00306DA8"/>
    <w:rsid w:val="00306F8D"/>
    <w:rsid w:val="00307033"/>
    <w:rsid w:val="00307D51"/>
    <w:rsid w:val="003110BF"/>
    <w:rsid w:val="00311B1D"/>
    <w:rsid w:val="0031212A"/>
    <w:rsid w:val="00312227"/>
    <w:rsid w:val="003124ED"/>
    <w:rsid w:val="00312510"/>
    <w:rsid w:val="00312A51"/>
    <w:rsid w:val="00312CCB"/>
    <w:rsid w:val="00312EA1"/>
    <w:rsid w:val="0031317F"/>
    <w:rsid w:val="00314D1E"/>
    <w:rsid w:val="003153E8"/>
    <w:rsid w:val="0031609A"/>
    <w:rsid w:val="00316B89"/>
    <w:rsid w:val="00316E91"/>
    <w:rsid w:val="00316ECF"/>
    <w:rsid w:val="00317DF7"/>
    <w:rsid w:val="00320715"/>
    <w:rsid w:val="003210D3"/>
    <w:rsid w:val="0032145B"/>
    <w:rsid w:val="00321870"/>
    <w:rsid w:val="00321C6B"/>
    <w:rsid w:val="00321E80"/>
    <w:rsid w:val="003226D1"/>
    <w:rsid w:val="003236AC"/>
    <w:rsid w:val="00323F36"/>
    <w:rsid w:val="00324462"/>
    <w:rsid w:val="00324F2B"/>
    <w:rsid w:val="00324FCB"/>
    <w:rsid w:val="00325229"/>
    <w:rsid w:val="00325623"/>
    <w:rsid w:val="00325681"/>
    <w:rsid w:val="0032571A"/>
    <w:rsid w:val="003258BC"/>
    <w:rsid w:val="00326BC8"/>
    <w:rsid w:val="00326D82"/>
    <w:rsid w:val="00326EDA"/>
    <w:rsid w:val="0032753A"/>
    <w:rsid w:val="003279AA"/>
    <w:rsid w:val="00327D06"/>
    <w:rsid w:val="0033041C"/>
    <w:rsid w:val="003305E1"/>
    <w:rsid w:val="003312BB"/>
    <w:rsid w:val="00332AC0"/>
    <w:rsid w:val="00332DC2"/>
    <w:rsid w:val="003333A5"/>
    <w:rsid w:val="00333F61"/>
    <w:rsid w:val="00334015"/>
    <w:rsid w:val="00334771"/>
    <w:rsid w:val="00334A22"/>
    <w:rsid w:val="00335545"/>
    <w:rsid w:val="00336544"/>
    <w:rsid w:val="003367FF"/>
    <w:rsid w:val="00337FF9"/>
    <w:rsid w:val="0034116D"/>
    <w:rsid w:val="0034224D"/>
    <w:rsid w:val="00342D08"/>
    <w:rsid w:val="0034355D"/>
    <w:rsid w:val="0034416C"/>
    <w:rsid w:val="00344EEA"/>
    <w:rsid w:val="00344EEE"/>
    <w:rsid w:val="0034536F"/>
    <w:rsid w:val="003455C5"/>
    <w:rsid w:val="0034561F"/>
    <w:rsid w:val="00345AA6"/>
    <w:rsid w:val="00345FD7"/>
    <w:rsid w:val="0034631E"/>
    <w:rsid w:val="00347040"/>
    <w:rsid w:val="00347612"/>
    <w:rsid w:val="00347662"/>
    <w:rsid w:val="00347C25"/>
    <w:rsid w:val="00350CED"/>
    <w:rsid w:val="00351F0D"/>
    <w:rsid w:val="00351F82"/>
    <w:rsid w:val="003537DE"/>
    <w:rsid w:val="003539E3"/>
    <w:rsid w:val="003540A3"/>
    <w:rsid w:val="003542A1"/>
    <w:rsid w:val="003547A5"/>
    <w:rsid w:val="00354F27"/>
    <w:rsid w:val="00355D60"/>
    <w:rsid w:val="00355DAF"/>
    <w:rsid w:val="00355E1C"/>
    <w:rsid w:val="003569C1"/>
    <w:rsid w:val="00356C69"/>
    <w:rsid w:val="00356CDF"/>
    <w:rsid w:val="00357F04"/>
    <w:rsid w:val="003606E1"/>
    <w:rsid w:val="00361B75"/>
    <w:rsid w:val="003624D9"/>
    <w:rsid w:val="00363354"/>
    <w:rsid w:val="003634E7"/>
    <w:rsid w:val="003643CD"/>
    <w:rsid w:val="00364984"/>
    <w:rsid w:val="00365102"/>
    <w:rsid w:val="00365C64"/>
    <w:rsid w:val="00365FDC"/>
    <w:rsid w:val="00366E89"/>
    <w:rsid w:val="003670E4"/>
    <w:rsid w:val="00367D99"/>
    <w:rsid w:val="00367F37"/>
    <w:rsid w:val="0037002B"/>
    <w:rsid w:val="0037097C"/>
    <w:rsid w:val="00370A94"/>
    <w:rsid w:val="00370E91"/>
    <w:rsid w:val="00371803"/>
    <w:rsid w:val="0037183D"/>
    <w:rsid w:val="00371BB7"/>
    <w:rsid w:val="003722B3"/>
    <w:rsid w:val="00372B35"/>
    <w:rsid w:val="00372F90"/>
    <w:rsid w:val="00373313"/>
    <w:rsid w:val="00373BF2"/>
    <w:rsid w:val="00374051"/>
    <w:rsid w:val="00374597"/>
    <w:rsid w:val="003745BD"/>
    <w:rsid w:val="00374908"/>
    <w:rsid w:val="00374926"/>
    <w:rsid w:val="00374C5E"/>
    <w:rsid w:val="00376436"/>
    <w:rsid w:val="00377252"/>
    <w:rsid w:val="00377CB4"/>
    <w:rsid w:val="0038040F"/>
    <w:rsid w:val="00380986"/>
    <w:rsid w:val="0038259F"/>
    <w:rsid w:val="00382805"/>
    <w:rsid w:val="00382D83"/>
    <w:rsid w:val="0038336A"/>
    <w:rsid w:val="00383652"/>
    <w:rsid w:val="00383777"/>
    <w:rsid w:val="003837F0"/>
    <w:rsid w:val="00383A68"/>
    <w:rsid w:val="0038499A"/>
    <w:rsid w:val="00384FE1"/>
    <w:rsid w:val="00385201"/>
    <w:rsid w:val="003853B4"/>
    <w:rsid w:val="003857AA"/>
    <w:rsid w:val="00385AAD"/>
    <w:rsid w:val="00385C74"/>
    <w:rsid w:val="00386143"/>
    <w:rsid w:val="003861B5"/>
    <w:rsid w:val="00386217"/>
    <w:rsid w:val="0038728C"/>
    <w:rsid w:val="0038763B"/>
    <w:rsid w:val="00387851"/>
    <w:rsid w:val="003904E7"/>
    <w:rsid w:val="00390A04"/>
    <w:rsid w:val="00390B46"/>
    <w:rsid w:val="00391555"/>
    <w:rsid w:val="0039379B"/>
    <w:rsid w:val="00393CEC"/>
    <w:rsid w:val="00393EB0"/>
    <w:rsid w:val="003947D6"/>
    <w:rsid w:val="00394EFF"/>
    <w:rsid w:val="00395244"/>
    <w:rsid w:val="003954EA"/>
    <w:rsid w:val="00395884"/>
    <w:rsid w:val="0039590B"/>
    <w:rsid w:val="00395D3C"/>
    <w:rsid w:val="003962FD"/>
    <w:rsid w:val="00396ED8"/>
    <w:rsid w:val="0039736F"/>
    <w:rsid w:val="0039762D"/>
    <w:rsid w:val="00397ADD"/>
    <w:rsid w:val="00397E64"/>
    <w:rsid w:val="003A04AC"/>
    <w:rsid w:val="003A0CB5"/>
    <w:rsid w:val="003A128A"/>
    <w:rsid w:val="003A1A57"/>
    <w:rsid w:val="003A2015"/>
    <w:rsid w:val="003A2051"/>
    <w:rsid w:val="003A268D"/>
    <w:rsid w:val="003A26B8"/>
    <w:rsid w:val="003A28EC"/>
    <w:rsid w:val="003A2EA4"/>
    <w:rsid w:val="003A3D13"/>
    <w:rsid w:val="003A569D"/>
    <w:rsid w:val="003A7619"/>
    <w:rsid w:val="003A7AF0"/>
    <w:rsid w:val="003A7B9C"/>
    <w:rsid w:val="003B0012"/>
    <w:rsid w:val="003B1095"/>
    <w:rsid w:val="003B1498"/>
    <w:rsid w:val="003B1779"/>
    <w:rsid w:val="003B1AD8"/>
    <w:rsid w:val="003B1E07"/>
    <w:rsid w:val="003B2EB5"/>
    <w:rsid w:val="003B365F"/>
    <w:rsid w:val="003B4104"/>
    <w:rsid w:val="003B4846"/>
    <w:rsid w:val="003B5AD5"/>
    <w:rsid w:val="003B5DE7"/>
    <w:rsid w:val="003B6D2B"/>
    <w:rsid w:val="003B6D37"/>
    <w:rsid w:val="003B75D6"/>
    <w:rsid w:val="003B768C"/>
    <w:rsid w:val="003B76A7"/>
    <w:rsid w:val="003B7C7F"/>
    <w:rsid w:val="003C0338"/>
    <w:rsid w:val="003C21AE"/>
    <w:rsid w:val="003C26EC"/>
    <w:rsid w:val="003C2998"/>
    <w:rsid w:val="003C313A"/>
    <w:rsid w:val="003C3288"/>
    <w:rsid w:val="003C3468"/>
    <w:rsid w:val="003C3BC0"/>
    <w:rsid w:val="003C44F7"/>
    <w:rsid w:val="003C4E88"/>
    <w:rsid w:val="003C500A"/>
    <w:rsid w:val="003C54F7"/>
    <w:rsid w:val="003C5505"/>
    <w:rsid w:val="003C68FC"/>
    <w:rsid w:val="003C6BE1"/>
    <w:rsid w:val="003C72FD"/>
    <w:rsid w:val="003C7670"/>
    <w:rsid w:val="003D0488"/>
    <w:rsid w:val="003D1020"/>
    <w:rsid w:val="003D15C1"/>
    <w:rsid w:val="003D2AA5"/>
    <w:rsid w:val="003D2F70"/>
    <w:rsid w:val="003D318B"/>
    <w:rsid w:val="003D3BFD"/>
    <w:rsid w:val="003D4030"/>
    <w:rsid w:val="003D40E6"/>
    <w:rsid w:val="003D54CA"/>
    <w:rsid w:val="003D65E1"/>
    <w:rsid w:val="003D6C43"/>
    <w:rsid w:val="003D7C2C"/>
    <w:rsid w:val="003D7D56"/>
    <w:rsid w:val="003E0F28"/>
    <w:rsid w:val="003E12CB"/>
    <w:rsid w:val="003E1839"/>
    <w:rsid w:val="003E1ACF"/>
    <w:rsid w:val="003E1B59"/>
    <w:rsid w:val="003E1C26"/>
    <w:rsid w:val="003E1ECE"/>
    <w:rsid w:val="003E30CB"/>
    <w:rsid w:val="003E33AD"/>
    <w:rsid w:val="003E37FB"/>
    <w:rsid w:val="003E4038"/>
    <w:rsid w:val="003E4CA8"/>
    <w:rsid w:val="003E56D3"/>
    <w:rsid w:val="003E5B3B"/>
    <w:rsid w:val="003E5D27"/>
    <w:rsid w:val="003E6054"/>
    <w:rsid w:val="003E6074"/>
    <w:rsid w:val="003E73F8"/>
    <w:rsid w:val="003E775D"/>
    <w:rsid w:val="003E7B35"/>
    <w:rsid w:val="003F0A58"/>
    <w:rsid w:val="003F0C38"/>
    <w:rsid w:val="003F0DC2"/>
    <w:rsid w:val="003F1ED0"/>
    <w:rsid w:val="003F24BD"/>
    <w:rsid w:val="003F2CA1"/>
    <w:rsid w:val="003F4D18"/>
    <w:rsid w:val="003F4DFD"/>
    <w:rsid w:val="003F5218"/>
    <w:rsid w:val="003F5451"/>
    <w:rsid w:val="003F6C91"/>
    <w:rsid w:val="003F73F4"/>
    <w:rsid w:val="003F7449"/>
    <w:rsid w:val="003F7760"/>
    <w:rsid w:val="003F778B"/>
    <w:rsid w:val="003F79E8"/>
    <w:rsid w:val="003F7A4A"/>
    <w:rsid w:val="00400176"/>
    <w:rsid w:val="0040090D"/>
    <w:rsid w:val="00401E53"/>
    <w:rsid w:val="004024A5"/>
    <w:rsid w:val="00402B95"/>
    <w:rsid w:val="004033AD"/>
    <w:rsid w:val="00403778"/>
    <w:rsid w:val="00404477"/>
    <w:rsid w:val="004045B5"/>
    <w:rsid w:val="004045F9"/>
    <w:rsid w:val="0040486F"/>
    <w:rsid w:val="004061D6"/>
    <w:rsid w:val="0040691D"/>
    <w:rsid w:val="00406A71"/>
    <w:rsid w:val="00407740"/>
    <w:rsid w:val="00407878"/>
    <w:rsid w:val="00407B75"/>
    <w:rsid w:val="00407F4B"/>
    <w:rsid w:val="00410041"/>
    <w:rsid w:val="0041137A"/>
    <w:rsid w:val="004117C7"/>
    <w:rsid w:val="00411DF3"/>
    <w:rsid w:val="00412BE9"/>
    <w:rsid w:val="00412DB8"/>
    <w:rsid w:val="00412FC5"/>
    <w:rsid w:val="0041407F"/>
    <w:rsid w:val="00414867"/>
    <w:rsid w:val="00414B6F"/>
    <w:rsid w:val="004153ED"/>
    <w:rsid w:val="0041593E"/>
    <w:rsid w:val="00415BF2"/>
    <w:rsid w:val="0041611A"/>
    <w:rsid w:val="004169ED"/>
    <w:rsid w:val="00420FE0"/>
    <w:rsid w:val="004214E4"/>
    <w:rsid w:val="00421BE2"/>
    <w:rsid w:val="0042231E"/>
    <w:rsid w:val="00422428"/>
    <w:rsid w:val="004225E6"/>
    <w:rsid w:val="00422B4F"/>
    <w:rsid w:val="00423371"/>
    <w:rsid w:val="00423963"/>
    <w:rsid w:val="00423EE2"/>
    <w:rsid w:val="004241F1"/>
    <w:rsid w:val="00424A49"/>
    <w:rsid w:val="00424AC8"/>
    <w:rsid w:val="00424F44"/>
    <w:rsid w:val="00425113"/>
    <w:rsid w:val="00425747"/>
    <w:rsid w:val="00425A09"/>
    <w:rsid w:val="00425B38"/>
    <w:rsid w:val="00425E8B"/>
    <w:rsid w:val="00426199"/>
    <w:rsid w:val="00426ACB"/>
    <w:rsid w:val="004271E9"/>
    <w:rsid w:val="00427F86"/>
    <w:rsid w:val="0043011E"/>
    <w:rsid w:val="004309F1"/>
    <w:rsid w:val="00431C7C"/>
    <w:rsid w:val="00431D4D"/>
    <w:rsid w:val="00432386"/>
    <w:rsid w:val="00432B7F"/>
    <w:rsid w:val="00432FC5"/>
    <w:rsid w:val="004337BF"/>
    <w:rsid w:val="00435174"/>
    <w:rsid w:val="004352CA"/>
    <w:rsid w:val="0043579D"/>
    <w:rsid w:val="00435B2C"/>
    <w:rsid w:val="00435EC6"/>
    <w:rsid w:val="00435F36"/>
    <w:rsid w:val="00437FAB"/>
    <w:rsid w:val="0044034F"/>
    <w:rsid w:val="00440547"/>
    <w:rsid w:val="00440909"/>
    <w:rsid w:val="00440CC3"/>
    <w:rsid w:val="0044109F"/>
    <w:rsid w:val="004411EB"/>
    <w:rsid w:val="00441219"/>
    <w:rsid w:val="004416AF"/>
    <w:rsid w:val="00441BE9"/>
    <w:rsid w:val="0044200F"/>
    <w:rsid w:val="00442194"/>
    <w:rsid w:val="004426D5"/>
    <w:rsid w:val="004427D7"/>
    <w:rsid w:val="004429AA"/>
    <w:rsid w:val="00442EBC"/>
    <w:rsid w:val="004432A7"/>
    <w:rsid w:val="00443412"/>
    <w:rsid w:val="0044349B"/>
    <w:rsid w:val="00443990"/>
    <w:rsid w:val="00443A88"/>
    <w:rsid w:val="004440F7"/>
    <w:rsid w:val="004457C9"/>
    <w:rsid w:val="00445800"/>
    <w:rsid w:val="0044645B"/>
    <w:rsid w:val="004465D3"/>
    <w:rsid w:val="004468FE"/>
    <w:rsid w:val="00446FC4"/>
    <w:rsid w:val="00447479"/>
    <w:rsid w:val="0044796B"/>
    <w:rsid w:val="00447F8A"/>
    <w:rsid w:val="00450593"/>
    <w:rsid w:val="0045067B"/>
    <w:rsid w:val="00450A30"/>
    <w:rsid w:val="0045262F"/>
    <w:rsid w:val="00453342"/>
    <w:rsid w:val="004535AF"/>
    <w:rsid w:val="004535D2"/>
    <w:rsid w:val="004538B1"/>
    <w:rsid w:val="00453999"/>
    <w:rsid w:val="00453AEC"/>
    <w:rsid w:val="00453CC2"/>
    <w:rsid w:val="00454026"/>
    <w:rsid w:val="004540B0"/>
    <w:rsid w:val="004540D1"/>
    <w:rsid w:val="004541F9"/>
    <w:rsid w:val="0045430D"/>
    <w:rsid w:val="004549EA"/>
    <w:rsid w:val="00454A00"/>
    <w:rsid w:val="00454F67"/>
    <w:rsid w:val="00455021"/>
    <w:rsid w:val="00455481"/>
    <w:rsid w:val="004557DC"/>
    <w:rsid w:val="004561B3"/>
    <w:rsid w:val="00457563"/>
    <w:rsid w:val="0045793A"/>
    <w:rsid w:val="00457CC4"/>
    <w:rsid w:val="00457E45"/>
    <w:rsid w:val="00460042"/>
    <w:rsid w:val="004618C1"/>
    <w:rsid w:val="00463B25"/>
    <w:rsid w:val="00464288"/>
    <w:rsid w:val="0046464A"/>
    <w:rsid w:val="00464665"/>
    <w:rsid w:val="00464666"/>
    <w:rsid w:val="0046469F"/>
    <w:rsid w:val="00464B40"/>
    <w:rsid w:val="00464F05"/>
    <w:rsid w:val="00464FDD"/>
    <w:rsid w:val="00465356"/>
    <w:rsid w:val="00465CD9"/>
    <w:rsid w:val="00465F78"/>
    <w:rsid w:val="004665BB"/>
    <w:rsid w:val="004669C6"/>
    <w:rsid w:val="00466D87"/>
    <w:rsid w:val="00467231"/>
    <w:rsid w:val="00467D58"/>
    <w:rsid w:val="00470BD2"/>
    <w:rsid w:val="00471ACE"/>
    <w:rsid w:val="00471F7E"/>
    <w:rsid w:val="00474096"/>
    <w:rsid w:val="004742B8"/>
    <w:rsid w:val="00474753"/>
    <w:rsid w:val="00474942"/>
    <w:rsid w:val="00474CDD"/>
    <w:rsid w:val="00475267"/>
    <w:rsid w:val="0047587D"/>
    <w:rsid w:val="004758B5"/>
    <w:rsid w:val="00475B6D"/>
    <w:rsid w:val="00477B03"/>
    <w:rsid w:val="00480061"/>
    <w:rsid w:val="00480309"/>
    <w:rsid w:val="00481B19"/>
    <w:rsid w:val="00482558"/>
    <w:rsid w:val="00482623"/>
    <w:rsid w:val="0048271F"/>
    <w:rsid w:val="004828CD"/>
    <w:rsid w:val="00482BC8"/>
    <w:rsid w:val="00482E19"/>
    <w:rsid w:val="0048366A"/>
    <w:rsid w:val="00483D26"/>
    <w:rsid w:val="00483FBC"/>
    <w:rsid w:val="00484105"/>
    <w:rsid w:val="0048463F"/>
    <w:rsid w:val="004865D4"/>
    <w:rsid w:val="00487A38"/>
    <w:rsid w:val="00487E1F"/>
    <w:rsid w:val="00487E37"/>
    <w:rsid w:val="00490837"/>
    <w:rsid w:val="00490AC5"/>
    <w:rsid w:val="00490E7F"/>
    <w:rsid w:val="004913EF"/>
    <w:rsid w:val="00491A59"/>
    <w:rsid w:val="0049222C"/>
    <w:rsid w:val="0049248C"/>
    <w:rsid w:val="00492723"/>
    <w:rsid w:val="00492D36"/>
    <w:rsid w:val="00493232"/>
    <w:rsid w:val="00493581"/>
    <w:rsid w:val="004936E4"/>
    <w:rsid w:val="00493943"/>
    <w:rsid w:val="00493F3C"/>
    <w:rsid w:val="004941BE"/>
    <w:rsid w:val="00494521"/>
    <w:rsid w:val="0049562A"/>
    <w:rsid w:val="00495BE8"/>
    <w:rsid w:val="00495DC2"/>
    <w:rsid w:val="00496D59"/>
    <w:rsid w:val="00497051"/>
    <w:rsid w:val="0049723D"/>
    <w:rsid w:val="004A0CB2"/>
    <w:rsid w:val="004A1464"/>
    <w:rsid w:val="004A1802"/>
    <w:rsid w:val="004A2062"/>
    <w:rsid w:val="004A2642"/>
    <w:rsid w:val="004A2966"/>
    <w:rsid w:val="004A3701"/>
    <w:rsid w:val="004A52A0"/>
    <w:rsid w:val="004A667A"/>
    <w:rsid w:val="004A69FF"/>
    <w:rsid w:val="004B1B6A"/>
    <w:rsid w:val="004B2037"/>
    <w:rsid w:val="004B26F5"/>
    <w:rsid w:val="004B2EE2"/>
    <w:rsid w:val="004B360E"/>
    <w:rsid w:val="004B4CB3"/>
    <w:rsid w:val="004B5273"/>
    <w:rsid w:val="004B5767"/>
    <w:rsid w:val="004B577C"/>
    <w:rsid w:val="004B5967"/>
    <w:rsid w:val="004B60D4"/>
    <w:rsid w:val="004B7282"/>
    <w:rsid w:val="004C04DF"/>
    <w:rsid w:val="004C059D"/>
    <w:rsid w:val="004C067C"/>
    <w:rsid w:val="004C07A2"/>
    <w:rsid w:val="004C11A2"/>
    <w:rsid w:val="004C3167"/>
    <w:rsid w:val="004C39D6"/>
    <w:rsid w:val="004C4150"/>
    <w:rsid w:val="004C425E"/>
    <w:rsid w:val="004C45C3"/>
    <w:rsid w:val="004C56E8"/>
    <w:rsid w:val="004C67D0"/>
    <w:rsid w:val="004C6E30"/>
    <w:rsid w:val="004C70CA"/>
    <w:rsid w:val="004C7564"/>
    <w:rsid w:val="004C7642"/>
    <w:rsid w:val="004C7DAC"/>
    <w:rsid w:val="004D0471"/>
    <w:rsid w:val="004D2A35"/>
    <w:rsid w:val="004D3A16"/>
    <w:rsid w:val="004D3C64"/>
    <w:rsid w:val="004D4B56"/>
    <w:rsid w:val="004D4CD1"/>
    <w:rsid w:val="004D4D39"/>
    <w:rsid w:val="004D575E"/>
    <w:rsid w:val="004D6542"/>
    <w:rsid w:val="004D6BC1"/>
    <w:rsid w:val="004D758B"/>
    <w:rsid w:val="004E03E9"/>
    <w:rsid w:val="004E06A7"/>
    <w:rsid w:val="004E18DB"/>
    <w:rsid w:val="004E294A"/>
    <w:rsid w:val="004E5018"/>
    <w:rsid w:val="004E5BA6"/>
    <w:rsid w:val="004E5DDB"/>
    <w:rsid w:val="004E6386"/>
    <w:rsid w:val="004E7248"/>
    <w:rsid w:val="004E7816"/>
    <w:rsid w:val="004F009C"/>
    <w:rsid w:val="004F05FF"/>
    <w:rsid w:val="004F198D"/>
    <w:rsid w:val="004F21A0"/>
    <w:rsid w:val="004F24A4"/>
    <w:rsid w:val="004F26B2"/>
    <w:rsid w:val="004F2D0E"/>
    <w:rsid w:val="004F36AF"/>
    <w:rsid w:val="004F3B0F"/>
    <w:rsid w:val="004F408A"/>
    <w:rsid w:val="004F48CF"/>
    <w:rsid w:val="004F53CF"/>
    <w:rsid w:val="004F615A"/>
    <w:rsid w:val="004F6684"/>
    <w:rsid w:val="004F687D"/>
    <w:rsid w:val="004F7502"/>
    <w:rsid w:val="004F7BF6"/>
    <w:rsid w:val="0050001A"/>
    <w:rsid w:val="0050029F"/>
    <w:rsid w:val="005005C3"/>
    <w:rsid w:val="005007B7"/>
    <w:rsid w:val="005019DB"/>
    <w:rsid w:val="00501E1D"/>
    <w:rsid w:val="005022A9"/>
    <w:rsid w:val="00503ED3"/>
    <w:rsid w:val="0050401B"/>
    <w:rsid w:val="005047A3"/>
    <w:rsid w:val="00504964"/>
    <w:rsid w:val="00504988"/>
    <w:rsid w:val="00504F55"/>
    <w:rsid w:val="00505532"/>
    <w:rsid w:val="00505B1E"/>
    <w:rsid w:val="00505BD3"/>
    <w:rsid w:val="005069AF"/>
    <w:rsid w:val="00507231"/>
    <w:rsid w:val="00507D9C"/>
    <w:rsid w:val="0051073D"/>
    <w:rsid w:val="00510F89"/>
    <w:rsid w:val="0051166C"/>
    <w:rsid w:val="00511C14"/>
    <w:rsid w:val="00511F8B"/>
    <w:rsid w:val="005120EC"/>
    <w:rsid w:val="005127FC"/>
    <w:rsid w:val="0051352C"/>
    <w:rsid w:val="00513CC8"/>
    <w:rsid w:val="00516EFB"/>
    <w:rsid w:val="00516F4C"/>
    <w:rsid w:val="00517032"/>
    <w:rsid w:val="00517258"/>
    <w:rsid w:val="00517D6B"/>
    <w:rsid w:val="005203EB"/>
    <w:rsid w:val="00520BF5"/>
    <w:rsid w:val="0052211D"/>
    <w:rsid w:val="0052230B"/>
    <w:rsid w:val="005223DD"/>
    <w:rsid w:val="00522966"/>
    <w:rsid w:val="00522C2B"/>
    <w:rsid w:val="005234D4"/>
    <w:rsid w:val="00523745"/>
    <w:rsid w:val="00523A8B"/>
    <w:rsid w:val="00523BED"/>
    <w:rsid w:val="00524A03"/>
    <w:rsid w:val="00526F41"/>
    <w:rsid w:val="005274BB"/>
    <w:rsid w:val="00527B97"/>
    <w:rsid w:val="00530EB3"/>
    <w:rsid w:val="00530F4E"/>
    <w:rsid w:val="005312EB"/>
    <w:rsid w:val="00531F44"/>
    <w:rsid w:val="00532022"/>
    <w:rsid w:val="0053269D"/>
    <w:rsid w:val="00532A9E"/>
    <w:rsid w:val="00533161"/>
    <w:rsid w:val="00533592"/>
    <w:rsid w:val="00533752"/>
    <w:rsid w:val="00533EBC"/>
    <w:rsid w:val="005353C3"/>
    <w:rsid w:val="00536CC0"/>
    <w:rsid w:val="00536F6E"/>
    <w:rsid w:val="00537282"/>
    <w:rsid w:val="005402B8"/>
    <w:rsid w:val="005405A0"/>
    <w:rsid w:val="00540D2E"/>
    <w:rsid w:val="0054112A"/>
    <w:rsid w:val="00541B73"/>
    <w:rsid w:val="005426BE"/>
    <w:rsid w:val="00542972"/>
    <w:rsid w:val="00542F9A"/>
    <w:rsid w:val="00543245"/>
    <w:rsid w:val="005434D6"/>
    <w:rsid w:val="00543A5E"/>
    <w:rsid w:val="005440C4"/>
    <w:rsid w:val="00544301"/>
    <w:rsid w:val="00544D37"/>
    <w:rsid w:val="00544FF3"/>
    <w:rsid w:val="00545106"/>
    <w:rsid w:val="00546E57"/>
    <w:rsid w:val="00547D59"/>
    <w:rsid w:val="00547D9E"/>
    <w:rsid w:val="005504EF"/>
    <w:rsid w:val="00550625"/>
    <w:rsid w:val="005510BF"/>
    <w:rsid w:val="00551ADE"/>
    <w:rsid w:val="00552157"/>
    <w:rsid w:val="00552758"/>
    <w:rsid w:val="005535A4"/>
    <w:rsid w:val="005539FA"/>
    <w:rsid w:val="00553F17"/>
    <w:rsid w:val="00553FEE"/>
    <w:rsid w:val="005543BE"/>
    <w:rsid w:val="00554563"/>
    <w:rsid w:val="005545EC"/>
    <w:rsid w:val="00554E48"/>
    <w:rsid w:val="0055513A"/>
    <w:rsid w:val="005554E7"/>
    <w:rsid w:val="005558CD"/>
    <w:rsid w:val="00555D0D"/>
    <w:rsid w:val="005576E7"/>
    <w:rsid w:val="005577A1"/>
    <w:rsid w:val="0055792A"/>
    <w:rsid w:val="00560F54"/>
    <w:rsid w:val="00561099"/>
    <w:rsid w:val="00561134"/>
    <w:rsid w:val="00561F5E"/>
    <w:rsid w:val="00562510"/>
    <w:rsid w:val="00563775"/>
    <w:rsid w:val="00563A49"/>
    <w:rsid w:val="00563B85"/>
    <w:rsid w:val="00564A3F"/>
    <w:rsid w:val="00565324"/>
    <w:rsid w:val="0056537D"/>
    <w:rsid w:val="00565D23"/>
    <w:rsid w:val="00566A8D"/>
    <w:rsid w:val="00566B8F"/>
    <w:rsid w:val="005676A2"/>
    <w:rsid w:val="00567EFD"/>
    <w:rsid w:val="005705AD"/>
    <w:rsid w:val="005708B5"/>
    <w:rsid w:val="005715E5"/>
    <w:rsid w:val="0057197D"/>
    <w:rsid w:val="00571B51"/>
    <w:rsid w:val="00571B72"/>
    <w:rsid w:val="00572540"/>
    <w:rsid w:val="0057324A"/>
    <w:rsid w:val="005736F0"/>
    <w:rsid w:val="005740C7"/>
    <w:rsid w:val="00574187"/>
    <w:rsid w:val="005745B7"/>
    <w:rsid w:val="0057520D"/>
    <w:rsid w:val="00575264"/>
    <w:rsid w:val="00576FA1"/>
    <w:rsid w:val="00577F1A"/>
    <w:rsid w:val="00580202"/>
    <w:rsid w:val="00580221"/>
    <w:rsid w:val="005802C4"/>
    <w:rsid w:val="00580AE7"/>
    <w:rsid w:val="005814D5"/>
    <w:rsid w:val="00581A36"/>
    <w:rsid w:val="00583278"/>
    <w:rsid w:val="005843D1"/>
    <w:rsid w:val="00584C6C"/>
    <w:rsid w:val="00584F24"/>
    <w:rsid w:val="00585510"/>
    <w:rsid w:val="00585EA5"/>
    <w:rsid w:val="005861FE"/>
    <w:rsid w:val="005868CA"/>
    <w:rsid w:val="00586A24"/>
    <w:rsid w:val="00587386"/>
    <w:rsid w:val="00587396"/>
    <w:rsid w:val="0059131C"/>
    <w:rsid w:val="00591554"/>
    <w:rsid w:val="00591591"/>
    <w:rsid w:val="005925DE"/>
    <w:rsid w:val="00592B6F"/>
    <w:rsid w:val="0059324E"/>
    <w:rsid w:val="00593881"/>
    <w:rsid w:val="00594254"/>
    <w:rsid w:val="005948EB"/>
    <w:rsid w:val="00594C35"/>
    <w:rsid w:val="00595FBA"/>
    <w:rsid w:val="0059734E"/>
    <w:rsid w:val="005975D9"/>
    <w:rsid w:val="005977B5"/>
    <w:rsid w:val="005A096F"/>
    <w:rsid w:val="005A0FF8"/>
    <w:rsid w:val="005A17A9"/>
    <w:rsid w:val="005A1A4A"/>
    <w:rsid w:val="005A1D02"/>
    <w:rsid w:val="005A27A8"/>
    <w:rsid w:val="005A3464"/>
    <w:rsid w:val="005A5570"/>
    <w:rsid w:val="005A5B85"/>
    <w:rsid w:val="005A5C47"/>
    <w:rsid w:val="005A5D13"/>
    <w:rsid w:val="005A6B10"/>
    <w:rsid w:val="005A7E22"/>
    <w:rsid w:val="005B0D1D"/>
    <w:rsid w:val="005B16D1"/>
    <w:rsid w:val="005B17B7"/>
    <w:rsid w:val="005B1D42"/>
    <w:rsid w:val="005B1D4A"/>
    <w:rsid w:val="005B1F16"/>
    <w:rsid w:val="005B31CE"/>
    <w:rsid w:val="005B44CE"/>
    <w:rsid w:val="005B478B"/>
    <w:rsid w:val="005B48DC"/>
    <w:rsid w:val="005B4C10"/>
    <w:rsid w:val="005B4E9B"/>
    <w:rsid w:val="005B5B64"/>
    <w:rsid w:val="005B5EC3"/>
    <w:rsid w:val="005C090B"/>
    <w:rsid w:val="005C09B9"/>
    <w:rsid w:val="005C0AB5"/>
    <w:rsid w:val="005C0C10"/>
    <w:rsid w:val="005C1A71"/>
    <w:rsid w:val="005C1F0A"/>
    <w:rsid w:val="005C207B"/>
    <w:rsid w:val="005C2356"/>
    <w:rsid w:val="005C2A3D"/>
    <w:rsid w:val="005C4294"/>
    <w:rsid w:val="005C4624"/>
    <w:rsid w:val="005C4AFD"/>
    <w:rsid w:val="005C4F1F"/>
    <w:rsid w:val="005C55CF"/>
    <w:rsid w:val="005C764C"/>
    <w:rsid w:val="005C7C1C"/>
    <w:rsid w:val="005D000B"/>
    <w:rsid w:val="005D05D2"/>
    <w:rsid w:val="005D0B49"/>
    <w:rsid w:val="005D155E"/>
    <w:rsid w:val="005D21E0"/>
    <w:rsid w:val="005D23CB"/>
    <w:rsid w:val="005D3904"/>
    <w:rsid w:val="005D3F8D"/>
    <w:rsid w:val="005D4C68"/>
    <w:rsid w:val="005D59FF"/>
    <w:rsid w:val="005D6C62"/>
    <w:rsid w:val="005D6F3E"/>
    <w:rsid w:val="005D74BD"/>
    <w:rsid w:val="005D792A"/>
    <w:rsid w:val="005D7B21"/>
    <w:rsid w:val="005D7E18"/>
    <w:rsid w:val="005E0533"/>
    <w:rsid w:val="005E154C"/>
    <w:rsid w:val="005E1BB2"/>
    <w:rsid w:val="005E270D"/>
    <w:rsid w:val="005E351E"/>
    <w:rsid w:val="005E3B2A"/>
    <w:rsid w:val="005E4320"/>
    <w:rsid w:val="005E5329"/>
    <w:rsid w:val="005E57CA"/>
    <w:rsid w:val="005E5CCE"/>
    <w:rsid w:val="005F10EF"/>
    <w:rsid w:val="005F12BD"/>
    <w:rsid w:val="005F16BC"/>
    <w:rsid w:val="005F2CE7"/>
    <w:rsid w:val="005F2D4F"/>
    <w:rsid w:val="005F33A8"/>
    <w:rsid w:val="005F33D6"/>
    <w:rsid w:val="005F47AD"/>
    <w:rsid w:val="005F4E8C"/>
    <w:rsid w:val="005F5974"/>
    <w:rsid w:val="005F59A4"/>
    <w:rsid w:val="005F6BED"/>
    <w:rsid w:val="0060043B"/>
    <w:rsid w:val="0060085A"/>
    <w:rsid w:val="00601F15"/>
    <w:rsid w:val="006024A3"/>
    <w:rsid w:val="0060326C"/>
    <w:rsid w:val="00603466"/>
    <w:rsid w:val="00603A1E"/>
    <w:rsid w:val="006040DE"/>
    <w:rsid w:val="00604ACE"/>
    <w:rsid w:val="00604B61"/>
    <w:rsid w:val="00605717"/>
    <w:rsid w:val="00605814"/>
    <w:rsid w:val="00606639"/>
    <w:rsid w:val="00606825"/>
    <w:rsid w:val="00606980"/>
    <w:rsid w:val="00607BCE"/>
    <w:rsid w:val="00607EF6"/>
    <w:rsid w:val="00607EFC"/>
    <w:rsid w:val="006102B6"/>
    <w:rsid w:val="00611352"/>
    <w:rsid w:val="00611386"/>
    <w:rsid w:val="006116A9"/>
    <w:rsid w:val="006116FC"/>
    <w:rsid w:val="006119C0"/>
    <w:rsid w:val="00611FE5"/>
    <w:rsid w:val="0061219E"/>
    <w:rsid w:val="00612D8D"/>
    <w:rsid w:val="00612FB9"/>
    <w:rsid w:val="00612FF5"/>
    <w:rsid w:val="006134B1"/>
    <w:rsid w:val="0061483C"/>
    <w:rsid w:val="006149F0"/>
    <w:rsid w:val="00614ACD"/>
    <w:rsid w:val="00615C52"/>
    <w:rsid w:val="0061643C"/>
    <w:rsid w:val="00616EC2"/>
    <w:rsid w:val="0061749D"/>
    <w:rsid w:val="006174A1"/>
    <w:rsid w:val="006201BC"/>
    <w:rsid w:val="00620992"/>
    <w:rsid w:val="00621B64"/>
    <w:rsid w:val="00621E4F"/>
    <w:rsid w:val="006228F3"/>
    <w:rsid w:val="00622AF9"/>
    <w:rsid w:val="00622F21"/>
    <w:rsid w:val="00623138"/>
    <w:rsid w:val="00623F98"/>
    <w:rsid w:val="006243C3"/>
    <w:rsid w:val="00625762"/>
    <w:rsid w:val="0062582A"/>
    <w:rsid w:val="00625B21"/>
    <w:rsid w:val="006260DD"/>
    <w:rsid w:val="00626C8F"/>
    <w:rsid w:val="006271DB"/>
    <w:rsid w:val="0062748C"/>
    <w:rsid w:val="00630842"/>
    <w:rsid w:val="00630B7F"/>
    <w:rsid w:val="006310A6"/>
    <w:rsid w:val="006314AD"/>
    <w:rsid w:val="006322C4"/>
    <w:rsid w:val="006323A5"/>
    <w:rsid w:val="006323F1"/>
    <w:rsid w:val="006325A7"/>
    <w:rsid w:val="00632F38"/>
    <w:rsid w:val="0063364F"/>
    <w:rsid w:val="00633A73"/>
    <w:rsid w:val="00635E82"/>
    <w:rsid w:val="0063626C"/>
    <w:rsid w:val="00636AB7"/>
    <w:rsid w:val="00637BC6"/>
    <w:rsid w:val="00637E21"/>
    <w:rsid w:val="006408E7"/>
    <w:rsid w:val="006415C4"/>
    <w:rsid w:val="00641672"/>
    <w:rsid w:val="00641698"/>
    <w:rsid w:val="00641CC8"/>
    <w:rsid w:val="0064205B"/>
    <w:rsid w:val="00642C4A"/>
    <w:rsid w:val="0064410C"/>
    <w:rsid w:val="006447E7"/>
    <w:rsid w:val="006447EC"/>
    <w:rsid w:val="00644F3D"/>
    <w:rsid w:val="00645020"/>
    <w:rsid w:val="00645209"/>
    <w:rsid w:val="0064608D"/>
    <w:rsid w:val="00646365"/>
    <w:rsid w:val="006463F1"/>
    <w:rsid w:val="00646862"/>
    <w:rsid w:val="00646D16"/>
    <w:rsid w:val="00647DEF"/>
    <w:rsid w:val="00650260"/>
    <w:rsid w:val="00650297"/>
    <w:rsid w:val="00650529"/>
    <w:rsid w:val="006509A2"/>
    <w:rsid w:val="006510F9"/>
    <w:rsid w:val="0065134E"/>
    <w:rsid w:val="00651B5A"/>
    <w:rsid w:val="00651EB8"/>
    <w:rsid w:val="00651F8D"/>
    <w:rsid w:val="00651F91"/>
    <w:rsid w:val="0065485F"/>
    <w:rsid w:val="00654CC9"/>
    <w:rsid w:val="006556B5"/>
    <w:rsid w:val="00657FC1"/>
    <w:rsid w:val="006617F1"/>
    <w:rsid w:val="00661F86"/>
    <w:rsid w:val="006630D7"/>
    <w:rsid w:val="006630F7"/>
    <w:rsid w:val="00663291"/>
    <w:rsid w:val="0066332C"/>
    <w:rsid w:val="00664866"/>
    <w:rsid w:val="00664E86"/>
    <w:rsid w:val="00665000"/>
    <w:rsid w:val="006659B3"/>
    <w:rsid w:val="00665C35"/>
    <w:rsid w:val="00665C9B"/>
    <w:rsid w:val="00665D6C"/>
    <w:rsid w:val="006661E1"/>
    <w:rsid w:val="0066638B"/>
    <w:rsid w:val="00666EEE"/>
    <w:rsid w:val="0066734B"/>
    <w:rsid w:val="006678EB"/>
    <w:rsid w:val="00670EA2"/>
    <w:rsid w:val="00671509"/>
    <w:rsid w:val="00671B1F"/>
    <w:rsid w:val="00671EA6"/>
    <w:rsid w:val="00672AD7"/>
    <w:rsid w:val="006731F0"/>
    <w:rsid w:val="0067375D"/>
    <w:rsid w:val="00673B8F"/>
    <w:rsid w:val="006745E9"/>
    <w:rsid w:val="00674D91"/>
    <w:rsid w:val="006750FF"/>
    <w:rsid w:val="00675350"/>
    <w:rsid w:val="006753A3"/>
    <w:rsid w:val="006755A9"/>
    <w:rsid w:val="0067595D"/>
    <w:rsid w:val="00676299"/>
    <w:rsid w:val="00676F49"/>
    <w:rsid w:val="00676FE8"/>
    <w:rsid w:val="006770F2"/>
    <w:rsid w:val="00677104"/>
    <w:rsid w:val="00677303"/>
    <w:rsid w:val="00677550"/>
    <w:rsid w:val="00677DD3"/>
    <w:rsid w:val="006804D1"/>
    <w:rsid w:val="006811D6"/>
    <w:rsid w:val="006817F6"/>
    <w:rsid w:val="00681B4C"/>
    <w:rsid w:val="00681BEB"/>
    <w:rsid w:val="006827EF"/>
    <w:rsid w:val="006833D8"/>
    <w:rsid w:val="0068369F"/>
    <w:rsid w:val="0068438D"/>
    <w:rsid w:val="006845D5"/>
    <w:rsid w:val="006847E4"/>
    <w:rsid w:val="0068567F"/>
    <w:rsid w:val="00685C11"/>
    <w:rsid w:val="00686527"/>
    <w:rsid w:val="00686B5D"/>
    <w:rsid w:val="00686C28"/>
    <w:rsid w:val="00686E6B"/>
    <w:rsid w:val="00687D79"/>
    <w:rsid w:val="00690E86"/>
    <w:rsid w:val="00691EC0"/>
    <w:rsid w:val="0069262C"/>
    <w:rsid w:val="006927F3"/>
    <w:rsid w:val="00692B9E"/>
    <w:rsid w:val="006932F1"/>
    <w:rsid w:val="00693CEC"/>
    <w:rsid w:val="006955DE"/>
    <w:rsid w:val="00696246"/>
    <w:rsid w:val="00696571"/>
    <w:rsid w:val="00696CCB"/>
    <w:rsid w:val="00696FC9"/>
    <w:rsid w:val="00697005"/>
    <w:rsid w:val="006974C5"/>
    <w:rsid w:val="006976CC"/>
    <w:rsid w:val="00697808"/>
    <w:rsid w:val="00697A86"/>
    <w:rsid w:val="00697E66"/>
    <w:rsid w:val="006A0AF1"/>
    <w:rsid w:val="006A0DC9"/>
    <w:rsid w:val="006A10D8"/>
    <w:rsid w:val="006A1497"/>
    <w:rsid w:val="006A1736"/>
    <w:rsid w:val="006A18BB"/>
    <w:rsid w:val="006A1904"/>
    <w:rsid w:val="006A2990"/>
    <w:rsid w:val="006A30F9"/>
    <w:rsid w:val="006A31AF"/>
    <w:rsid w:val="006A3FBD"/>
    <w:rsid w:val="006A4457"/>
    <w:rsid w:val="006A449A"/>
    <w:rsid w:val="006A4CEA"/>
    <w:rsid w:val="006A5981"/>
    <w:rsid w:val="006A5E11"/>
    <w:rsid w:val="006A6363"/>
    <w:rsid w:val="006A6BF8"/>
    <w:rsid w:val="006A6F56"/>
    <w:rsid w:val="006A700F"/>
    <w:rsid w:val="006A70B4"/>
    <w:rsid w:val="006A7D55"/>
    <w:rsid w:val="006A7E33"/>
    <w:rsid w:val="006A7E44"/>
    <w:rsid w:val="006B04BB"/>
    <w:rsid w:val="006B0D56"/>
    <w:rsid w:val="006B10EA"/>
    <w:rsid w:val="006B2886"/>
    <w:rsid w:val="006B2FA2"/>
    <w:rsid w:val="006B33A3"/>
    <w:rsid w:val="006B46AC"/>
    <w:rsid w:val="006B4A9B"/>
    <w:rsid w:val="006B537D"/>
    <w:rsid w:val="006B5B21"/>
    <w:rsid w:val="006C00BE"/>
    <w:rsid w:val="006C1BA5"/>
    <w:rsid w:val="006C1DFE"/>
    <w:rsid w:val="006C1F84"/>
    <w:rsid w:val="006C217A"/>
    <w:rsid w:val="006C23FE"/>
    <w:rsid w:val="006C34DB"/>
    <w:rsid w:val="006C397A"/>
    <w:rsid w:val="006C3C7D"/>
    <w:rsid w:val="006C41C3"/>
    <w:rsid w:val="006C43E5"/>
    <w:rsid w:val="006C4513"/>
    <w:rsid w:val="006C4D70"/>
    <w:rsid w:val="006C5272"/>
    <w:rsid w:val="006C57AE"/>
    <w:rsid w:val="006C63FF"/>
    <w:rsid w:val="006C649B"/>
    <w:rsid w:val="006C6923"/>
    <w:rsid w:val="006C6DE9"/>
    <w:rsid w:val="006C701B"/>
    <w:rsid w:val="006C7089"/>
    <w:rsid w:val="006C716E"/>
    <w:rsid w:val="006C74F1"/>
    <w:rsid w:val="006C7810"/>
    <w:rsid w:val="006C7F3F"/>
    <w:rsid w:val="006D041D"/>
    <w:rsid w:val="006D0D06"/>
    <w:rsid w:val="006D0D53"/>
    <w:rsid w:val="006D14D1"/>
    <w:rsid w:val="006D16E2"/>
    <w:rsid w:val="006D211F"/>
    <w:rsid w:val="006D2242"/>
    <w:rsid w:val="006D2873"/>
    <w:rsid w:val="006D42F5"/>
    <w:rsid w:val="006D4B67"/>
    <w:rsid w:val="006D5090"/>
    <w:rsid w:val="006D579B"/>
    <w:rsid w:val="006D5918"/>
    <w:rsid w:val="006D6473"/>
    <w:rsid w:val="006D796B"/>
    <w:rsid w:val="006D79F5"/>
    <w:rsid w:val="006E087E"/>
    <w:rsid w:val="006E0CC8"/>
    <w:rsid w:val="006E0EB3"/>
    <w:rsid w:val="006E1E17"/>
    <w:rsid w:val="006E21BA"/>
    <w:rsid w:val="006E2296"/>
    <w:rsid w:val="006E3308"/>
    <w:rsid w:val="006E384C"/>
    <w:rsid w:val="006E3B7A"/>
    <w:rsid w:val="006E4399"/>
    <w:rsid w:val="006E44C5"/>
    <w:rsid w:val="006E4662"/>
    <w:rsid w:val="006E4C09"/>
    <w:rsid w:val="006E5E2C"/>
    <w:rsid w:val="006E5EE2"/>
    <w:rsid w:val="006E6370"/>
    <w:rsid w:val="006E6441"/>
    <w:rsid w:val="006E6E5E"/>
    <w:rsid w:val="006E7A66"/>
    <w:rsid w:val="006F0111"/>
    <w:rsid w:val="006F045C"/>
    <w:rsid w:val="006F0466"/>
    <w:rsid w:val="006F0B0B"/>
    <w:rsid w:val="006F0E62"/>
    <w:rsid w:val="006F0FE4"/>
    <w:rsid w:val="006F13C2"/>
    <w:rsid w:val="006F16B5"/>
    <w:rsid w:val="006F1F57"/>
    <w:rsid w:val="006F2957"/>
    <w:rsid w:val="006F2A88"/>
    <w:rsid w:val="006F2AD4"/>
    <w:rsid w:val="006F3203"/>
    <w:rsid w:val="006F3AAD"/>
    <w:rsid w:val="006F3CC6"/>
    <w:rsid w:val="006F3E60"/>
    <w:rsid w:val="006F4A6A"/>
    <w:rsid w:val="006F4B14"/>
    <w:rsid w:val="006F55F8"/>
    <w:rsid w:val="006F5DA9"/>
    <w:rsid w:val="006F64FE"/>
    <w:rsid w:val="006F6E84"/>
    <w:rsid w:val="006F77C5"/>
    <w:rsid w:val="006F7F1A"/>
    <w:rsid w:val="0070004F"/>
    <w:rsid w:val="0070037F"/>
    <w:rsid w:val="00700497"/>
    <w:rsid w:val="00700F19"/>
    <w:rsid w:val="007012AB"/>
    <w:rsid w:val="0070160A"/>
    <w:rsid w:val="00702410"/>
    <w:rsid w:val="0070332B"/>
    <w:rsid w:val="00704FA2"/>
    <w:rsid w:val="00705520"/>
    <w:rsid w:val="00706295"/>
    <w:rsid w:val="00706D7E"/>
    <w:rsid w:val="00707351"/>
    <w:rsid w:val="007075B3"/>
    <w:rsid w:val="00707946"/>
    <w:rsid w:val="00710098"/>
    <w:rsid w:val="007100BF"/>
    <w:rsid w:val="00710F0F"/>
    <w:rsid w:val="007122E6"/>
    <w:rsid w:val="0071230F"/>
    <w:rsid w:val="00712996"/>
    <w:rsid w:val="00712AA5"/>
    <w:rsid w:val="00713145"/>
    <w:rsid w:val="00713189"/>
    <w:rsid w:val="00713B81"/>
    <w:rsid w:val="00713E39"/>
    <w:rsid w:val="00713E4D"/>
    <w:rsid w:val="00713FBA"/>
    <w:rsid w:val="00714169"/>
    <w:rsid w:val="0071446D"/>
    <w:rsid w:val="007144DA"/>
    <w:rsid w:val="00714B2E"/>
    <w:rsid w:val="00715056"/>
    <w:rsid w:val="0071592E"/>
    <w:rsid w:val="00715BFC"/>
    <w:rsid w:val="00715E6B"/>
    <w:rsid w:val="00716B32"/>
    <w:rsid w:val="00717150"/>
    <w:rsid w:val="00717E18"/>
    <w:rsid w:val="00717F48"/>
    <w:rsid w:val="00720A1A"/>
    <w:rsid w:val="00721DAD"/>
    <w:rsid w:val="00721DFB"/>
    <w:rsid w:val="007230B0"/>
    <w:rsid w:val="00723355"/>
    <w:rsid w:val="00724EB5"/>
    <w:rsid w:val="00725059"/>
    <w:rsid w:val="007259B7"/>
    <w:rsid w:val="00726208"/>
    <w:rsid w:val="00726490"/>
    <w:rsid w:val="00726F0B"/>
    <w:rsid w:val="00727067"/>
    <w:rsid w:val="0072724B"/>
    <w:rsid w:val="00730020"/>
    <w:rsid w:val="0073057C"/>
    <w:rsid w:val="00730875"/>
    <w:rsid w:val="007312E2"/>
    <w:rsid w:val="00731461"/>
    <w:rsid w:val="00731931"/>
    <w:rsid w:val="0073238F"/>
    <w:rsid w:val="007339A4"/>
    <w:rsid w:val="0073413F"/>
    <w:rsid w:val="007345E3"/>
    <w:rsid w:val="007346AD"/>
    <w:rsid w:val="007347DC"/>
    <w:rsid w:val="00735170"/>
    <w:rsid w:val="007367CB"/>
    <w:rsid w:val="00737C2C"/>
    <w:rsid w:val="00737FE2"/>
    <w:rsid w:val="00740737"/>
    <w:rsid w:val="00740798"/>
    <w:rsid w:val="00740B7E"/>
    <w:rsid w:val="00741527"/>
    <w:rsid w:val="0074170D"/>
    <w:rsid w:val="00741EA2"/>
    <w:rsid w:val="00742372"/>
    <w:rsid w:val="00742E3E"/>
    <w:rsid w:val="0074358D"/>
    <w:rsid w:val="007442A6"/>
    <w:rsid w:val="0074480E"/>
    <w:rsid w:val="00744FF8"/>
    <w:rsid w:val="0074663E"/>
    <w:rsid w:val="00746A40"/>
    <w:rsid w:val="007508D7"/>
    <w:rsid w:val="00750E4B"/>
    <w:rsid w:val="007513B8"/>
    <w:rsid w:val="00751D47"/>
    <w:rsid w:val="00752CA8"/>
    <w:rsid w:val="007534E3"/>
    <w:rsid w:val="007534E6"/>
    <w:rsid w:val="007537A0"/>
    <w:rsid w:val="00753F20"/>
    <w:rsid w:val="007551AC"/>
    <w:rsid w:val="00755654"/>
    <w:rsid w:val="007565AD"/>
    <w:rsid w:val="00756A8F"/>
    <w:rsid w:val="00756AED"/>
    <w:rsid w:val="00757ADD"/>
    <w:rsid w:val="00760333"/>
    <w:rsid w:val="00760D8F"/>
    <w:rsid w:val="007622B9"/>
    <w:rsid w:val="007626DD"/>
    <w:rsid w:val="0076276D"/>
    <w:rsid w:val="00762789"/>
    <w:rsid w:val="00763663"/>
    <w:rsid w:val="00763F47"/>
    <w:rsid w:val="00764BCB"/>
    <w:rsid w:val="00764BE0"/>
    <w:rsid w:val="007652C6"/>
    <w:rsid w:val="00765397"/>
    <w:rsid w:val="007655FB"/>
    <w:rsid w:val="00765BBF"/>
    <w:rsid w:val="00765EB8"/>
    <w:rsid w:val="00766964"/>
    <w:rsid w:val="00766C54"/>
    <w:rsid w:val="007675F4"/>
    <w:rsid w:val="0076789C"/>
    <w:rsid w:val="00767B33"/>
    <w:rsid w:val="007709E5"/>
    <w:rsid w:val="00771D63"/>
    <w:rsid w:val="00772214"/>
    <w:rsid w:val="007723D1"/>
    <w:rsid w:val="007730B5"/>
    <w:rsid w:val="00773401"/>
    <w:rsid w:val="00773429"/>
    <w:rsid w:val="007734EF"/>
    <w:rsid w:val="007736FA"/>
    <w:rsid w:val="00773AA0"/>
    <w:rsid w:val="00776271"/>
    <w:rsid w:val="00776673"/>
    <w:rsid w:val="00776B90"/>
    <w:rsid w:val="00776DF5"/>
    <w:rsid w:val="0078045B"/>
    <w:rsid w:val="0078086F"/>
    <w:rsid w:val="0078093B"/>
    <w:rsid w:val="007809C6"/>
    <w:rsid w:val="00780AAF"/>
    <w:rsid w:val="00781048"/>
    <w:rsid w:val="007811A8"/>
    <w:rsid w:val="007814C9"/>
    <w:rsid w:val="00781661"/>
    <w:rsid w:val="00782396"/>
    <w:rsid w:val="00782C66"/>
    <w:rsid w:val="00782CF4"/>
    <w:rsid w:val="007830F4"/>
    <w:rsid w:val="00783450"/>
    <w:rsid w:val="00783486"/>
    <w:rsid w:val="0078377D"/>
    <w:rsid w:val="0078520C"/>
    <w:rsid w:val="0078545F"/>
    <w:rsid w:val="00785CF6"/>
    <w:rsid w:val="0078638D"/>
    <w:rsid w:val="00786677"/>
    <w:rsid w:val="00786876"/>
    <w:rsid w:val="00786A0E"/>
    <w:rsid w:val="00786C64"/>
    <w:rsid w:val="00787261"/>
    <w:rsid w:val="007872A9"/>
    <w:rsid w:val="00787DE8"/>
    <w:rsid w:val="007908BE"/>
    <w:rsid w:val="00790C28"/>
    <w:rsid w:val="00791BFE"/>
    <w:rsid w:val="00791E74"/>
    <w:rsid w:val="00791EE0"/>
    <w:rsid w:val="00791F66"/>
    <w:rsid w:val="007922D3"/>
    <w:rsid w:val="00792488"/>
    <w:rsid w:val="00794103"/>
    <w:rsid w:val="007945D9"/>
    <w:rsid w:val="00794A94"/>
    <w:rsid w:val="00795A5C"/>
    <w:rsid w:val="00797B1A"/>
    <w:rsid w:val="007A00D3"/>
    <w:rsid w:val="007A07B3"/>
    <w:rsid w:val="007A0C3B"/>
    <w:rsid w:val="007A1480"/>
    <w:rsid w:val="007A169F"/>
    <w:rsid w:val="007A24AC"/>
    <w:rsid w:val="007A29AF"/>
    <w:rsid w:val="007A39AD"/>
    <w:rsid w:val="007A3DDF"/>
    <w:rsid w:val="007A4792"/>
    <w:rsid w:val="007A4FC1"/>
    <w:rsid w:val="007A5119"/>
    <w:rsid w:val="007A5F17"/>
    <w:rsid w:val="007A675B"/>
    <w:rsid w:val="007A7126"/>
    <w:rsid w:val="007A7B12"/>
    <w:rsid w:val="007A7D71"/>
    <w:rsid w:val="007B00C2"/>
    <w:rsid w:val="007B016B"/>
    <w:rsid w:val="007B0228"/>
    <w:rsid w:val="007B02B9"/>
    <w:rsid w:val="007B02DA"/>
    <w:rsid w:val="007B0B53"/>
    <w:rsid w:val="007B0F6B"/>
    <w:rsid w:val="007B1D88"/>
    <w:rsid w:val="007B20D6"/>
    <w:rsid w:val="007B21B0"/>
    <w:rsid w:val="007B26D5"/>
    <w:rsid w:val="007B4037"/>
    <w:rsid w:val="007B4801"/>
    <w:rsid w:val="007B4B66"/>
    <w:rsid w:val="007B4C8F"/>
    <w:rsid w:val="007B543A"/>
    <w:rsid w:val="007B5DB7"/>
    <w:rsid w:val="007B5E47"/>
    <w:rsid w:val="007B6170"/>
    <w:rsid w:val="007B660B"/>
    <w:rsid w:val="007B68EB"/>
    <w:rsid w:val="007B6C69"/>
    <w:rsid w:val="007B712B"/>
    <w:rsid w:val="007B73B9"/>
    <w:rsid w:val="007B77BC"/>
    <w:rsid w:val="007C03BC"/>
    <w:rsid w:val="007C138C"/>
    <w:rsid w:val="007C209E"/>
    <w:rsid w:val="007C26F3"/>
    <w:rsid w:val="007C2888"/>
    <w:rsid w:val="007C30D6"/>
    <w:rsid w:val="007C3BC3"/>
    <w:rsid w:val="007C4246"/>
    <w:rsid w:val="007C4321"/>
    <w:rsid w:val="007C5943"/>
    <w:rsid w:val="007C5E5F"/>
    <w:rsid w:val="007C636A"/>
    <w:rsid w:val="007C6A6E"/>
    <w:rsid w:val="007C71F3"/>
    <w:rsid w:val="007C7B67"/>
    <w:rsid w:val="007D0F38"/>
    <w:rsid w:val="007D123A"/>
    <w:rsid w:val="007D22C2"/>
    <w:rsid w:val="007D2412"/>
    <w:rsid w:val="007D2B3B"/>
    <w:rsid w:val="007D3710"/>
    <w:rsid w:val="007D37D6"/>
    <w:rsid w:val="007D5D1A"/>
    <w:rsid w:val="007D5F26"/>
    <w:rsid w:val="007D6047"/>
    <w:rsid w:val="007D7091"/>
    <w:rsid w:val="007D74CE"/>
    <w:rsid w:val="007D7A11"/>
    <w:rsid w:val="007E08FB"/>
    <w:rsid w:val="007E1AA0"/>
    <w:rsid w:val="007E1FAD"/>
    <w:rsid w:val="007E21AE"/>
    <w:rsid w:val="007E27C5"/>
    <w:rsid w:val="007E3575"/>
    <w:rsid w:val="007E42E0"/>
    <w:rsid w:val="007E44B4"/>
    <w:rsid w:val="007E4511"/>
    <w:rsid w:val="007E52FE"/>
    <w:rsid w:val="007E63F0"/>
    <w:rsid w:val="007E7400"/>
    <w:rsid w:val="007E7BA6"/>
    <w:rsid w:val="007F01A2"/>
    <w:rsid w:val="007F05C7"/>
    <w:rsid w:val="007F2355"/>
    <w:rsid w:val="007F35A2"/>
    <w:rsid w:val="007F36A3"/>
    <w:rsid w:val="007F3F11"/>
    <w:rsid w:val="007F4192"/>
    <w:rsid w:val="007F50EE"/>
    <w:rsid w:val="007F576F"/>
    <w:rsid w:val="007F65D6"/>
    <w:rsid w:val="007F6615"/>
    <w:rsid w:val="007F69F0"/>
    <w:rsid w:val="008008E2"/>
    <w:rsid w:val="0080099D"/>
    <w:rsid w:val="00800A0F"/>
    <w:rsid w:val="00800FB5"/>
    <w:rsid w:val="0080142B"/>
    <w:rsid w:val="00803B5D"/>
    <w:rsid w:val="008042DF"/>
    <w:rsid w:val="00804343"/>
    <w:rsid w:val="00804FD2"/>
    <w:rsid w:val="0080559C"/>
    <w:rsid w:val="00805641"/>
    <w:rsid w:val="00805A77"/>
    <w:rsid w:val="00805B37"/>
    <w:rsid w:val="00806778"/>
    <w:rsid w:val="00807CEB"/>
    <w:rsid w:val="00810AFF"/>
    <w:rsid w:val="00811018"/>
    <w:rsid w:val="00811AC2"/>
    <w:rsid w:val="00811B1A"/>
    <w:rsid w:val="00812A39"/>
    <w:rsid w:val="00813CF9"/>
    <w:rsid w:val="00814DAB"/>
    <w:rsid w:val="0081508B"/>
    <w:rsid w:val="00815189"/>
    <w:rsid w:val="00815A17"/>
    <w:rsid w:val="00815A57"/>
    <w:rsid w:val="00816103"/>
    <w:rsid w:val="00816CB4"/>
    <w:rsid w:val="00817703"/>
    <w:rsid w:val="00817F6A"/>
    <w:rsid w:val="0082151A"/>
    <w:rsid w:val="008216AC"/>
    <w:rsid w:val="00821C61"/>
    <w:rsid w:val="00822C3A"/>
    <w:rsid w:val="00822C5A"/>
    <w:rsid w:val="00823974"/>
    <w:rsid w:val="0082440D"/>
    <w:rsid w:val="00824EF2"/>
    <w:rsid w:val="00824F97"/>
    <w:rsid w:val="00825FAC"/>
    <w:rsid w:val="00826FA6"/>
    <w:rsid w:val="0082724D"/>
    <w:rsid w:val="00827261"/>
    <w:rsid w:val="008276FC"/>
    <w:rsid w:val="0082797E"/>
    <w:rsid w:val="008279B1"/>
    <w:rsid w:val="00830DCC"/>
    <w:rsid w:val="00830FC5"/>
    <w:rsid w:val="00831576"/>
    <w:rsid w:val="00831919"/>
    <w:rsid w:val="00831D8C"/>
    <w:rsid w:val="008320FD"/>
    <w:rsid w:val="00832FF8"/>
    <w:rsid w:val="008333DA"/>
    <w:rsid w:val="008335B1"/>
    <w:rsid w:val="008335B2"/>
    <w:rsid w:val="008339B1"/>
    <w:rsid w:val="00833E9B"/>
    <w:rsid w:val="00833FA8"/>
    <w:rsid w:val="0083472D"/>
    <w:rsid w:val="008348A8"/>
    <w:rsid w:val="00834904"/>
    <w:rsid w:val="00834FCC"/>
    <w:rsid w:val="00835A8C"/>
    <w:rsid w:val="00836A7B"/>
    <w:rsid w:val="00836C5E"/>
    <w:rsid w:val="00836D21"/>
    <w:rsid w:val="00836F35"/>
    <w:rsid w:val="00837E88"/>
    <w:rsid w:val="00837EA8"/>
    <w:rsid w:val="00837F22"/>
    <w:rsid w:val="00840540"/>
    <w:rsid w:val="00840853"/>
    <w:rsid w:val="00841473"/>
    <w:rsid w:val="0084161C"/>
    <w:rsid w:val="0084206F"/>
    <w:rsid w:val="00842780"/>
    <w:rsid w:val="008428D0"/>
    <w:rsid w:val="00842958"/>
    <w:rsid w:val="00842F47"/>
    <w:rsid w:val="008434C9"/>
    <w:rsid w:val="008434D1"/>
    <w:rsid w:val="00843661"/>
    <w:rsid w:val="00843D62"/>
    <w:rsid w:val="00844734"/>
    <w:rsid w:val="008448FB"/>
    <w:rsid w:val="008449E3"/>
    <w:rsid w:val="00844E74"/>
    <w:rsid w:val="00845178"/>
    <w:rsid w:val="008454FE"/>
    <w:rsid w:val="0084562F"/>
    <w:rsid w:val="00845C45"/>
    <w:rsid w:val="008460C7"/>
    <w:rsid w:val="00846B41"/>
    <w:rsid w:val="00847076"/>
    <w:rsid w:val="008471E3"/>
    <w:rsid w:val="0084730F"/>
    <w:rsid w:val="00847FA8"/>
    <w:rsid w:val="008503F4"/>
    <w:rsid w:val="00850891"/>
    <w:rsid w:val="00850AA5"/>
    <w:rsid w:val="00851274"/>
    <w:rsid w:val="008518E7"/>
    <w:rsid w:val="00851D36"/>
    <w:rsid w:val="00852037"/>
    <w:rsid w:val="008520B4"/>
    <w:rsid w:val="00852674"/>
    <w:rsid w:val="00852F8F"/>
    <w:rsid w:val="00852FC3"/>
    <w:rsid w:val="00853179"/>
    <w:rsid w:val="008532A0"/>
    <w:rsid w:val="00853C0B"/>
    <w:rsid w:val="008545E4"/>
    <w:rsid w:val="00855540"/>
    <w:rsid w:val="00855C94"/>
    <w:rsid w:val="008563CB"/>
    <w:rsid w:val="00856978"/>
    <w:rsid w:val="00856F65"/>
    <w:rsid w:val="00857600"/>
    <w:rsid w:val="00860FAB"/>
    <w:rsid w:val="00862807"/>
    <w:rsid w:val="00863280"/>
    <w:rsid w:val="00863435"/>
    <w:rsid w:val="0086456D"/>
    <w:rsid w:val="00865318"/>
    <w:rsid w:val="00865EBD"/>
    <w:rsid w:val="0086625B"/>
    <w:rsid w:val="008666EB"/>
    <w:rsid w:val="00866D6D"/>
    <w:rsid w:val="00867110"/>
    <w:rsid w:val="00870128"/>
    <w:rsid w:val="00870647"/>
    <w:rsid w:val="00871FE8"/>
    <w:rsid w:val="008726FC"/>
    <w:rsid w:val="008727EF"/>
    <w:rsid w:val="008732BB"/>
    <w:rsid w:val="00873962"/>
    <w:rsid w:val="0087581E"/>
    <w:rsid w:val="0087602C"/>
    <w:rsid w:val="008762D1"/>
    <w:rsid w:val="008764DC"/>
    <w:rsid w:val="00877003"/>
    <w:rsid w:val="00877059"/>
    <w:rsid w:val="0087718E"/>
    <w:rsid w:val="008771B9"/>
    <w:rsid w:val="008777DA"/>
    <w:rsid w:val="00877880"/>
    <w:rsid w:val="00877B76"/>
    <w:rsid w:val="00881559"/>
    <w:rsid w:val="00881A0C"/>
    <w:rsid w:val="00881C4A"/>
    <w:rsid w:val="0088294E"/>
    <w:rsid w:val="00882CB3"/>
    <w:rsid w:val="00883220"/>
    <w:rsid w:val="008844FD"/>
    <w:rsid w:val="00884CB7"/>
    <w:rsid w:val="00885363"/>
    <w:rsid w:val="008867F4"/>
    <w:rsid w:val="008868A1"/>
    <w:rsid w:val="00886F83"/>
    <w:rsid w:val="0088752A"/>
    <w:rsid w:val="008879A5"/>
    <w:rsid w:val="008902A6"/>
    <w:rsid w:val="0089151B"/>
    <w:rsid w:val="008917CE"/>
    <w:rsid w:val="00892329"/>
    <w:rsid w:val="0089272E"/>
    <w:rsid w:val="00892FFC"/>
    <w:rsid w:val="00893227"/>
    <w:rsid w:val="0089348E"/>
    <w:rsid w:val="00893533"/>
    <w:rsid w:val="00894CD0"/>
    <w:rsid w:val="00894EF2"/>
    <w:rsid w:val="00895033"/>
    <w:rsid w:val="008952C2"/>
    <w:rsid w:val="00895F6E"/>
    <w:rsid w:val="0089601F"/>
    <w:rsid w:val="008962B0"/>
    <w:rsid w:val="0089637B"/>
    <w:rsid w:val="00896911"/>
    <w:rsid w:val="00896FAE"/>
    <w:rsid w:val="00897149"/>
    <w:rsid w:val="00897396"/>
    <w:rsid w:val="00897839"/>
    <w:rsid w:val="008A1507"/>
    <w:rsid w:val="008A17C5"/>
    <w:rsid w:val="008A1B4F"/>
    <w:rsid w:val="008A1EE8"/>
    <w:rsid w:val="008A208D"/>
    <w:rsid w:val="008A2FC8"/>
    <w:rsid w:val="008A3DFF"/>
    <w:rsid w:val="008A3E0F"/>
    <w:rsid w:val="008A5A10"/>
    <w:rsid w:val="008B02B1"/>
    <w:rsid w:val="008B048C"/>
    <w:rsid w:val="008B0AC4"/>
    <w:rsid w:val="008B0EEE"/>
    <w:rsid w:val="008B1816"/>
    <w:rsid w:val="008B2D94"/>
    <w:rsid w:val="008B304C"/>
    <w:rsid w:val="008B3444"/>
    <w:rsid w:val="008B3678"/>
    <w:rsid w:val="008B45A9"/>
    <w:rsid w:val="008B473A"/>
    <w:rsid w:val="008B47BC"/>
    <w:rsid w:val="008B51A1"/>
    <w:rsid w:val="008B5457"/>
    <w:rsid w:val="008B5716"/>
    <w:rsid w:val="008B5C9C"/>
    <w:rsid w:val="008B5F1C"/>
    <w:rsid w:val="008B5F2F"/>
    <w:rsid w:val="008B5F4E"/>
    <w:rsid w:val="008B6197"/>
    <w:rsid w:val="008B6B0F"/>
    <w:rsid w:val="008B6C63"/>
    <w:rsid w:val="008B74AE"/>
    <w:rsid w:val="008B7AE5"/>
    <w:rsid w:val="008C0981"/>
    <w:rsid w:val="008C1A43"/>
    <w:rsid w:val="008C2783"/>
    <w:rsid w:val="008C2A39"/>
    <w:rsid w:val="008C3130"/>
    <w:rsid w:val="008C4248"/>
    <w:rsid w:val="008C44A9"/>
    <w:rsid w:val="008C52D9"/>
    <w:rsid w:val="008C5AE4"/>
    <w:rsid w:val="008C5BF6"/>
    <w:rsid w:val="008C60AC"/>
    <w:rsid w:val="008C615A"/>
    <w:rsid w:val="008C7E90"/>
    <w:rsid w:val="008D0137"/>
    <w:rsid w:val="008D04C0"/>
    <w:rsid w:val="008D0832"/>
    <w:rsid w:val="008D1C20"/>
    <w:rsid w:val="008D1F00"/>
    <w:rsid w:val="008D2455"/>
    <w:rsid w:val="008D30CA"/>
    <w:rsid w:val="008D3410"/>
    <w:rsid w:val="008D3805"/>
    <w:rsid w:val="008D4CB3"/>
    <w:rsid w:val="008D4DD9"/>
    <w:rsid w:val="008D4FB2"/>
    <w:rsid w:val="008D5132"/>
    <w:rsid w:val="008D6DD1"/>
    <w:rsid w:val="008D7B6E"/>
    <w:rsid w:val="008E0865"/>
    <w:rsid w:val="008E18A8"/>
    <w:rsid w:val="008E1974"/>
    <w:rsid w:val="008E19C4"/>
    <w:rsid w:val="008E2E56"/>
    <w:rsid w:val="008E372F"/>
    <w:rsid w:val="008E3E1D"/>
    <w:rsid w:val="008E494F"/>
    <w:rsid w:val="008E57DA"/>
    <w:rsid w:val="008E5975"/>
    <w:rsid w:val="008E719E"/>
    <w:rsid w:val="008E787C"/>
    <w:rsid w:val="008F0573"/>
    <w:rsid w:val="008F0BD5"/>
    <w:rsid w:val="008F22F9"/>
    <w:rsid w:val="008F2897"/>
    <w:rsid w:val="008F344B"/>
    <w:rsid w:val="008F4769"/>
    <w:rsid w:val="008F6182"/>
    <w:rsid w:val="008F6228"/>
    <w:rsid w:val="008F6F54"/>
    <w:rsid w:val="008F74F3"/>
    <w:rsid w:val="008F77CA"/>
    <w:rsid w:val="009002BB"/>
    <w:rsid w:val="009006D0"/>
    <w:rsid w:val="00900D7E"/>
    <w:rsid w:val="0090117B"/>
    <w:rsid w:val="009015A4"/>
    <w:rsid w:val="0090197A"/>
    <w:rsid w:val="00901D9B"/>
    <w:rsid w:val="00901E3A"/>
    <w:rsid w:val="00902111"/>
    <w:rsid w:val="009022BE"/>
    <w:rsid w:val="009025E9"/>
    <w:rsid w:val="00902677"/>
    <w:rsid w:val="0090341B"/>
    <w:rsid w:val="009037BE"/>
    <w:rsid w:val="0090382C"/>
    <w:rsid w:val="00904257"/>
    <w:rsid w:val="00904A10"/>
    <w:rsid w:val="0090530A"/>
    <w:rsid w:val="00905FD2"/>
    <w:rsid w:val="0090623C"/>
    <w:rsid w:val="00906841"/>
    <w:rsid w:val="0090714D"/>
    <w:rsid w:val="0091033E"/>
    <w:rsid w:val="009106C4"/>
    <w:rsid w:val="00910A8A"/>
    <w:rsid w:val="00910B1E"/>
    <w:rsid w:val="00910B60"/>
    <w:rsid w:val="00910FBA"/>
    <w:rsid w:val="009111B2"/>
    <w:rsid w:val="0091123D"/>
    <w:rsid w:val="0091136A"/>
    <w:rsid w:val="00911F6A"/>
    <w:rsid w:val="00912314"/>
    <w:rsid w:val="00912C52"/>
    <w:rsid w:val="00913C71"/>
    <w:rsid w:val="00914BE2"/>
    <w:rsid w:val="00915411"/>
    <w:rsid w:val="009160C1"/>
    <w:rsid w:val="00916207"/>
    <w:rsid w:val="0091627A"/>
    <w:rsid w:val="00916364"/>
    <w:rsid w:val="0091653F"/>
    <w:rsid w:val="00916FF4"/>
    <w:rsid w:val="0091734F"/>
    <w:rsid w:val="009175F0"/>
    <w:rsid w:val="00917F6C"/>
    <w:rsid w:val="0092182F"/>
    <w:rsid w:val="00921996"/>
    <w:rsid w:val="00921B52"/>
    <w:rsid w:val="00922366"/>
    <w:rsid w:val="00922A83"/>
    <w:rsid w:val="00922BC9"/>
    <w:rsid w:val="009234CB"/>
    <w:rsid w:val="0092419D"/>
    <w:rsid w:val="0092428A"/>
    <w:rsid w:val="0092552E"/>
    <w:rsid w:val="00925DB7"/>
    <w:rsid w:val="00925E8C"/>
    <w:rsid w:val="009260CC"/>
    <w:rsid w:val="009267C5"/>
    <w:rsid w:val="00926E1C"/>
    <w:rsid w:val="00930737"/>
    <w:rsid w:val="00930F09"/>
    <w:rsid w:val="00931520"/>
    <w:rsid w:val="009321C7"/>
    <w:rsid w:val="00932E79"/>
    <w:rsid w:val="00934022"/>
    <w:rsid w:val="009347E3"/>
    <w:rsid w:val="00935EB6"/>
    <w:rsid w:val="00936160"/>
    <w:rsid w:val="00936362"/>
    <w:rsid w:val="00936542"/>
    <w:rsid w:val="00936A59"/>
    <w:rsid w:val="00936D4F"/>
    <w:rsid w:val="00940E48"/>
    <w:rsid w:val="009410D9"/>
    <w:rsid w:val="00941278"/>
    <w:rsid w:val="00941980"/>
    <w:rsid w:val="009428AD"/>
    <w:rsid w:val="009428EA"/>
    <w:rsid w:val="00942B32"/>
    <w:rsid w:val="00943ACE"/>
    <w:rsid w:val="00944051"/>
    <w:rsid w:val="009440E9"/>
    <w:rsid w:val="00944134"/>
    <w:rsid w:val="0094422B"/>
    <w:rsid w:val="00944398"/>
    <w:rsid w:val="00944467"/>
    <w:rsid w:val="00944CB0"/>
    <w:rsid w:val="00944F6C"/>
    <w:rsid w:val="00944FCA"/>
    <w:rsid w:val="0094612A"/>
    <w:rsid w:val="009467C5"/>
    <w:rsid w:val="00946D3E"/>
    <w:rsid w:val="00946ED6"/>
    <w:rsid w:val="009470C1"/>
    <w:rsid w:val="009473AF"/>
    <w:rsid w:val="00950451"/>
    <w:rsid w:val="00951613"/>
    <w:rsid w:val="00953133"/>
    <w:rsid w:val="0095326C"/>
    <w:rsid w:val="009532CD"/>
    <w:rsid w:val="009536DE"/>
    <w:rsid w:val="0095389B"/>
    <w:rsid w:val="00954507"/>
    <w:rsid w:val="00954B6F"/>
    <w:rsid w:val="00955A24"/>
    <w:rsid w:val="00955D06"/>
    <w:rsid w:val="00957347"/>
    <w:rsid w:val="00957A11"/>
    <w:rsid w:val="00960A8C"/>
    <w:rsid w:val="0096120F"/>
    <w:rsid w:val="00961289"/>
    <w:rsid w:val="00963A31"/>
    <w:rsid w:val="00964786"/>
    <w:rsid w:val="00964A52"/>
    <w:rsid w:val="00964F05"/>
    <w:rsid w:val="00964FB1"/>
    <w:rsid w:val="009651CE"/>
    <w:rsid w:val="009676EA"/>
    <w:rsid w:val="00967D83"/>
    <w:rsid w:val="00970271"/>
    <w:rsid w:val="0097138B"/>
    <w:rsid w:val="009721AF"/>
    <w:rsid w:val="009737C1"/>
    <w:rsid w:val="009739D0"/>
    <w:rsid w:val="00973D66"/>
    <w:rsid w:val="00974287"/>
    <w:rsid w:val="00974B38"/>
    <w:rsid w:val="009755DD"/>
    <w:rsid w:val="00976A53"/>
    <w:rsid w:val="00977359"/>
    <w:rsid w:val="0097739E"/>
    <w:rsid w:val="00977CA6"/>
    <w:rsid w:val="0098078A"/>
    <w:rsid w:val="00980FB7"/>
    <w:rsid w:val="00980FBB"/>
    <w:rsid w:val="0098187B"/>
    <w:rsid w:val="00981C0E"/>
    <w:rsid w:val="00981FDB"/>
    <w:rsid w:val="00982334"/>
    <w:rsid w:val="00982C18"/>
    <w:rsid w:val="00982E18"/>
    <w:rsid w:val="0098379D"/>
    <w:rsid w:val="00983942"/>
    <w:rsid w:val="00984A61"/>
    <w:rsid w:val="00985197"/>
    <w:rsid w:val="009852BE"/>
    <w:rsid w:val="00985729"/>
    <w:rsid w:val="00985774"/>
    <w:rsid w:val="009860FF"/>
    <w:rsid w:val="00986835"/>
    <w:rsid w:val="00986843"/>
    <w:rsid w:val="0098735A"/>
    <w:rsid w:val="0098767C"/>
    <w:rsid w:val="009911D7"/>
    <w:rsid w:val="009914C4"/>
    <w:rsid w:val="009915A6"/>
    <w:rsid w:val="00991EB8"/>
    <w:rsid w:val="0099228D"/>
    <w:rsid w:val="00992858"/>
    <w:rsid w:val="00992AA4"/>
    <w:rsid w:val="009948EA"/>
    <w:rsid w:val="00995560"/>
    <w:rsid w:val="009955E2"/>
    <w:rsid w:val="00995A13"/>
    <w:rsid w:val="009965E9"/>
    <w:rsid w:val="009970DC"/>
    <w:rsid w:val="00997EDF"/>
    <w:rsid w:val="009A3E80"/>
    <w:rsid w:val="009A4443"/>
    <w:rsid w:val="009A466C"/>
    <w:rsid w:val="009A4AA1"/>
    <w:rsid w:val="009A4D1F"/>
    <w:rsid w:val="009A5241"/>
    <w:rsid w:val="009A59B8"/>
    <w:rsid w:val="009A6064"/>
    <w:rsid w:val="009A6666"/>
    <w:rsid w:val="009A68A2"/>
    <w:rsid w:val="009A6973"/>
    <w:rsid w:val="009A6BA3"/>
    <w:rsid w:val="009A6DD2"/>
    <w:rsid w:val="009A7959"/>
    <w:rsid w:val="009A7A7F"/>
    <w:rsid w:val="009A7B37"/>
    <w:rsid w:val="009B04CA"/>
    <w:rsid w:val="009B0813"/>
    <w:rsid w:val="009B16A1"/>
    <w:rsid w:val="009B28CC"/>
    <w:rsid w:val="009B2CB0"/>
    <w:rsid w:val="009B3038"/>
    <w:rsid w:val="009B3AAF"/>
    <w:rsid w:val="009B3E9B"/>
    <w:rsid w:val="009B4531"/>
    <w:rsid w:val="009B4DA4"/>
    <w:rsid w:val="009B4F8C"/>
    <w:rsid w:val="009B55CF"/>
    <w:rsid w:val="009B5C52"/>
    <w:rsid w:val="009B623E"/>
    <w:rsid w:val="009B6761"/>
    <w:rsid w:val="009B6DB4"/>
    <w:rsid w:val="009B750B"/>
    <w:rsid w:val="009B7F5D"/>
    <w:rsid w:val="009C0C7B"/>
    <w:rsid w:val="009C0EA3"/>
    <w:rsid w:val="009C10F5"/>
    <w:rsid w:val="009C1D7F"/>
    <w:rsid w:val="009C1DF1"/>
    <w:rsid w:val="009C227C"/>
    <w:rsid w:val="009C255B"/>
    <w:rsid w:val="009C26C0"/>
    <w:rsid w:val="009C2AF1"/>
    <w:rsid w:val="009C2D63"/>
    <w:rsid w:val="009C34BC"/>
    <w:rsid w:val="009C3A3B"/>
    <w:rsid w:val="009C466D"/>
    <w:rsid w:val="009C5489"/>
    <w:rsid w:val="009C58DD"/>
    <w:rsid w:val="009C6695"/>
    <w:rsid w:val="009C677F"/>
    <w:rsid w:val="009C694A"/>
    <w:rsid w:val="009C6C57"/>
    <w:rsid w:val="009C6C7C"/>
    <w:rsid w:val="009C6F5B"/>
    <w:rsid w:val="009C6F68"/>
    <w:rsid w:val="009D0480"/>
    <w:rsid w:val="009D0486"/>
    <w:rsid w:val="009D06E8"/>
    <w:rsid w:val="009D0B7D"/>
    <w:rsid w:val="009D0EE3"/>
    <w:rsid w:val="009D1BE2"/>
    <w:rsid w:val="009D2636"/>
    <w:rsid w:val="009D279B"/>
    <w:rsid w:val="009D3079"/>
    <w:rsid w:val="009D48A4"/>
    <w:rsid w:val="009D4AE2"/>
    <w:rsid w:val="009D5FA5"/>
    <w:rsid w:val="009D6089"/>
    <w:rsid w:val="009D6781"/>
    <w:rsid w:val="009D78DC"/>
    <w:rsid w:val="009D7B1C"/>
    <w:rsid w:val="009D7B2C"/>
    <w:rsid w:val="009D7B49"/>
    <w:rsid w:val="009D7F19"/>
    <w:rsid w:val="009E05EE"/>
    <w:rsid w:val="009E0B20"/>
    <w:rsid w:val="009E0C0A"/>
    <w:rsid w:val="009E11CE"/>
    <w:rsid w:val="009E1C28"/>
    <w:rsid w:val="009E20D4"/>
    <w:rsid w:val="009E28FA"/>
    <w:rsid w:val="009E2907"/>
    <w:rsid w:val="009E2C73"/>
    <w:rsid w:val="009E30D1"/>
    <w:rsid w:val="009E37C0"/>
    <w:rsid w:val="009E3DCF"/>
    <w:rsid w:val="009E44EC"/>
    <w:rsid w:val="009E4BA2"/>
    <w:rsid w:val="009E59BB"/>
    <w:rsid w:val="009E5DAB"/>
    <w:rsid w:val="009E661A"/>
    <w:rsid w:val="009E6689"/>
    <w:rsid w:val="009E6EBA"/>
    <w:rsid w:val="009E7177"/>
    <w:rsid w:val="009E78BC"/>
    <w:rsid w:val="009F0921"/>
    <w:rsid w:val="009F1064"/>
    <w:rsid w:val="009F1264"/>
    <w:rsid w:val="009F187C"/>
    <w:rsid w:val="009F1A4C"/>
    <w:rsid w:val="009F3C49"/>
    <w:rsid w:val="009F5A36"/>
    <w:rsid w:val="009F6A17"/>
    <w:rsid w:val="009F6A97"/>
    <w:rsid w:val="009F6B49"/>
    <w:rsid w:val="009F75B6"/>
    <w:rsid w:val="009F7B21"/>
    <w:rsid w:val="009F7C5D"/>
    <w:rsid w:val="00A00208"/>
    <w:rsid w:val="00A0105B"/>
    <w:rsid w:val="00A011B0"/>
    <w:rsid w:val="00A012EE"/>
    <w:rsid w:val="00A01502"/>
    <w:rsid w:val="00A01819"/>
    <w:rsid w:val="00A01C4F"/>
    <w:rsid w:val="00A01CB5"/>
    <w:rsid w:val="00A02879"/>
    <w:rsid w:val="00A02A9F"/>
    <w:rsid w:val="00A04B1B"/>
    <w:rsid w:val="00A04BF0"/>
    <w:rsid w:val="00A05305"/>
    <w:rsid w:val="00A05CB8"/>
    <w:rsid w:val="00A074A4"/>
    <w:rsid w:val="00A0778C"/>
    <w:rsid w:val="00A07C6D"/>
    <w:rsid w:val="00A07EAF"/>
    <w:rsid w:val="00A07ECD"/>
    <w:rsid w:val="00A10391"/>
    <w:rsid w:val="00A108C9"/>
    <w:rsid w:val="00A119C7"/>
    <w:rsid w:val="00A11C2B"/>
    <w:rsid w:val="00A11E97"/>
    <w:rsid w:val="00A147B7"/>
    <w:rsid w:val="00A14A0C"/>
    <w:rsid w:val="00A14ECB"/>
    <w:rsid w:val="00A153A7"/>
    <w:rsid w:val="00A1549A"/>
    <w:rsid w:val="00A154D7"/>
    <w:rsid w:val="00A1575B"/>
    <w:rsid w:val="00A15768"/>
    <w:rsid w:val="00A166AC"/>
    <w:rsid w:val="00A170EB"/>
    <w:rsid w:val="00A1749B"/>
    <w:rsid w:val="00A20355"/>
    <w:rsid w:val="00A209E7"/>
    <w:rsid w:val="00A20B00"/>
    <w:rsid w:val="00A20EB2"/>
    <w:rsid w:val="00A217DB"/>
    <w:rsid w:val="00A22877"/>
    <w:rsid w:val="00A22D02"/>
    <w:rsid w:val="00A2309F"/>
    <w:rsid w:val="00A23626"/>
    <w:rsid w:val="00A2363B"/>
    <w:rsid w:val="00A236E8"/>
    <w:rsid w:val="00A23754"/>
    <w:rsid w:val="00A244C7"/>
    <w:rsid w:val="00A24DA8"/>
    <w:rsid w:val="00A25B77"/>
    <w:rsid w:val="00A26735"/>
    <w:rsid w:val="00A2685C"/>
    <w:rsid w:val="00A26979"/>
    <w:rsid w:val="00A26A95"/>
    <w:rsid w:val="00A26E9A"/>
    <w:rsid w:val="00A300BE"/>
    <w:rsid w:val="00A306B0"/>
    <w:rsid w:val="00A30D73"/>
    <w:rsid w:val="00A30F34"/>
    <w:rsid w:val="00A3133D"/>
    <w:rsid w:val="00A3195D"/>
    <w:rsid w:val="00A330BA"/>
    <w:rsid w:val="00A3373C"/>
    <w:rsid w:val="00A34158"/>
    <w:rsid w:val="00A35D6A"/>
    <w:rsid w:val="00A37F33"/>
    <w:rsid w:val="00A37F46"/>
    <w:rsid w:val="00A40BD9"/>
    <w:rsid w:val="00A40C0D"/>
    <w:rsid w:val="00A417E5"/>
    <w:rsid w:val="00A419C2"/>
    <w:rsid w:val="00A420C9"/>
    <w:rsid w:val="00A43061"/>
    <w:rsid w:val="00A43072"/>
    <w:rsid w:val="00A430D1"/>
    <w:rsid w:val="00A43B51"/>
    <w:rsid w:val="00A447B5"/>
    <w:rsid w:val="00A44E45"/>
    <w:rsid w:val="00A451EE"/>
    <w:rsid w:val="00A46C5A"/>
    <w:rsid w:val="00A46E09"/>
    <w:rsid w:val="00A47058"/>
    <w:rsid w:val="00A471F4"/>
    <w:rsid w:val="00A47EA4"/>
    <w:rsid w:val="00A50234"/>
    <w:rsid w:val="00A515B0"/>
    <w:rsid w:val="00A51BF6"/>
    <w:rsid w:val="00A51D44"/>
    <w:rsid w:val="00A53317"/>
    <w:rsid w:val="00A5464E"/>
    <w:rsid w:val="00A54EB8"/>
    <w:rsid w:val="00A5747B"/>
    <w:rsid w:val="00A574D1"/>
    <w:rsid w:val="00A57B1F"/>
    <w:rsid w:val="00A62079"/>
    <w:rsid w:val="00A622D9"/>
    <w:rsid w:val="00A62D74"/>
    <w:rsid w:val="00A6392C"/>
    <w:rsid w:val="00A63E5C"/>
    <w:rsid w:val="00A63F0C"/>
    <w:rsid w:val="00A648D1"/>
    <w:rsid w:val="00A65326"/>
    <w:rsid w:val="00A65B34"/>
    <w:rsid w:val="00A65D58"/>
    <w:rsid w:val="00A65EEE"/>
    <w:rsid w:val="00A65F9E"/>
    <w:rsid w:val="00A66016"/>
    <w:rsid w:val="00A667B2"/>
    <w:rsid w:val="00A67E3E"/>
    <w:rsid w:val="00A67EE2"/>
    <w:rsid w:val="00A702C1"/>
    <w:rsid w:val="00A70DA5"/>
    <w:rsid w:val="00A71BD1"/>
    <w:rsid w:val="00A72098"/>
    <w:rsid w:val="00A7262E"/>
    <w:rsid w:val="00A7275A"/>
    <w:rsid w:val="00A7330C"/>
    <w:rsid w:val="00A734C3"/>
    <w:rsid w:val="00A73C25"/>
    <w:rsid w:val="00A73DD2"/>
    <w:rsid w:val="00A746F2"/>
    <w:rsid w:val="00A74D00"/>
    <w:rsid w:val="00A75067"/>
    <w:rsid w:val="00A75651"/>
    <w:rsid w:val="00A757AA"/>
    <w:rsid w:val="00A75FC0"/>
    <w:rsid w:val="00A76642"/>
    <w:rsid w:val="00A76FD5"/>
    <w:rsid w:val="00A77B0E"/>
    <w:rsid w:val="00A80795"/>
    <w:rsid w:val="00A80CAB"/>
    <w:rsid w:val="00A812F5"/>
    <w:rsid w:val="00A820AE"/>
    <w:rsid w:val="00A825BA"/>
    <w:rsid w:val="00A8305F"/>
    <w:rsid w:val="00A833B2"/>
    <w:rsid w:val="00A836DE"/>
    <w:rsid w:val="00A83FB5"/>
    <w:rsid w:val="00A8404D"/>
    <w:rsid w:val="00A841DF"/>
    <w:rsid w:val="00A84286"/>
    <w:rsid w:val="00A84629"/>
    <w:rsid w:val="00A84F7E"/>
    <w:rsid w:val="00A854B9"/>
    <w:rsid w:val="00A85685"/>
    <w:rsid w:val="00A85965"/>
    <w:rsid w:val="00A85B04"/>
    <w:rsid w:val="00A85F16"/>
    <w:rsid w:val="00A8682D"/>
    <w:rsid w:val="00A8762F"/>
    <w:rsid w:val="00A90A57"/>
    <w:rsid w:val="00A90D86"/>
    <w:rsid w:val="00A9153B"/>
    <w:rsid w:val="00A916F6"/>
    <w:rsid w:val="00A9170F"/>
    <w:rsid w:val="00A92087"/>
    <w:rsid w:val="00A93681"/>
    <w:rsid w:val="00A9371F"/>
    <w:rsid w:val="00A95462"/>
    <w:rsid w:val="00A95C5E"/>
    <w:rsid w:val="00A9660E"/>
    <w:rsid w:val="00A96758"/>
    <w:rsid w:val="00A96D63"/>
    <w:rsid w:val="00A974D4"/>
    <w:rsid w:val="00A975F4"/>
    <w:rsid w:val="00A97A31"/>
    <w:rsid w:val="00A97C6F"/>
    <w:rsid w:val="00AA0304"/>
    <w:rsid w:val="00AA0406"/>
    <w:rsid w:val="00AA0D55"/>
    <w:rsid w:val="00AA0EE7"/>
    <w:rsid w:val="00AA11E2"/>
    <w:rsid w:val="00AA1254"/>
    <w:rsid w:val="00AA174D"/>
    <w:rsid w:val="00AA1975"/>
    <w:rsid w:val="00AA240D"/>
    <w:rsid w:val="00AA5994"/>
    <w:rsid w:val="00AA676F"/>
    <w:rsid w:val="00AA6F0E"/>
    <w:rsid w:val="00AA7DBD"/>
    <w:rsid w:val="00AB02CD"/>
    <w:rsid w:val="00AB11ED"/>
    <w:rsid w:val="00AB12D4"/>
    <w:rsid w:val="00AB1B37"/>
    <w:rsid w:val="00AB1BC7"/>
    <w:rsid w:val="00AB218E"/>
    <w:rsid w:val="00AB238E"/>
    <w:rsid w:val="00AB38CE"/>
    <w:rsid w:val="00AB39D2"/>
    <w:rsid w:val="00AB464B"/>
    <w:rsid w:val="00AB4ED6"/>
    <w:rsid w:val="00AB5A06"/>
    <w:rsid w:val="00AB7535"/>
    <w:rsid w:val="00AC0477"/>
    <w:rsid w:val="00AC06FC"/>
    <w:rsid w:val="00AC0DD0"/>
    <w:rsid w:val="00AC151B"/>
    <w:rsid w:val="00AC1F3C"/>
    <w:rsid w:val="00AC2079"/>
    <w:rsid w:val="00AC2B4F"/>
    <w:rsid w:val="00AC2D21"/>
    <w:rsid w:val="00AC33A4"/>
    <w:rsid w:val="00AC3551"/>
    <w:rsid w:val="00AC4222"/>
    <w:rsid w:val="00AC484D"/>
    <w:rsid w:val="00AC49B6"/>
    <w:rsid w:val="00AC4A84"/>
    <w:rsid w:val="00AC575A"/>
    <w:rsid w:val="00AC5C2F"/>
    <w:rsid w:val="00AC6B21"/>
    <w:rsid w:val="00AC7158"/>
    <w:rsid w:val="00AC74BE"/>
    <w:rsid w:val="00AC76C6"/>
    <w:rsid w:val="00AC7F64"/>
    <w:rsid w:val="00AD0F62"/>
    <w:rsid w:val="00AD195A"/>
    <w:rsid w:val="00AD1B7F"/>
    <w:rsid w:val="00AD1F1E"/>
    <w:rsid w:val="00AD2121"/>
    <w:rsid w:val="00AD254D"/>
    <w:rsid w:val="00AD2EA3"/>
    <w:rsid w:val="00AD3464"/>
    <w:rsid w:val="00AD3D08"/>
    <w:rsid w:val="00AD4097"/>
    <w:rsid w:val="00AD4B56"/>
    <w:rsid w:val="00AD55DD"/>
    <w:rsid w:val="00AD5600"/>
    <w:rsid w:val="00AD5F85"/>
    <w:rsid w:val="00AD6D9B"/>
    <w:rsid w:val="00AD709F"/>
    <w:rsid w:val="00AD748A"/>
    <w:rsid w:val="00AD7F9C"/>
    <w:rsid w:val="00AE0219"/>
    <w:rsid w:val="00AE054F"/>
    <w:rsid w:val="00AE10E7"/>
    <w:rsid w:val="00AE1769"/>
    <w:rsid w:val="00AE2587"/>
    <w:rsid w:val="00AE2E4A"/>
    <w:rsid w:val="00AE3D25"/>
    <w:rsid w:val="00AE3D74"/>
    <w:rsid w:val="00AE448B"/>
    <w:rsid w:val="00AE5066"/>
    <w:rsid w:val="00AE5AAC"/>
    <w:rsid w:val="00AE6025"/>
    <w:rsid w:val="00AE6F34"/>
    <w:rsid w:val="00AE7038"/>
    <w:rsid w:val="00AE7B81"/>
    <w:rsid w:val="00AF0D3B"/>
    <w:rsid w:val="00AF0E61"/>
    <w:rsid w:val="00AF2124"/>
    <w:rsid w:val="00AF33BE"/>
    <w:rsid w:val="00AF4810"/>
    <w:rsid w:val="00AF4AF3"/>
    <w:rsid w:val="00AF5B65"/>
    <w:rsid w:val="00AF5B83"/>
    <w:rsid w:val="00AF5F7C"/>
    <w:rsid w:val="00AF7A1A"/>
    <w:rsid w:val="00B001A4"/>
    <w:rsid w:val="00B004CE"/>
    <w:rsid w:val="00B00DD0"/>
    <w:rsid w:val="00B02C16"/>
    <w:rsid w:val="00B0351C"/>
    <w:rsid w:val="00B043A9"/>
    <w:rsid w:val="00B043C1"/>
    <w:rsid w:val="00B047BD"/>
    <w:rsid w:val="00B04906"/>
    <w:rsid w:val="00B055F7"/>
    <w:rsid w:val="00B05E23"/>
    <w:rsid w:val="00B0617D"/>
    <w:rsid w:val="00B06290"/>
    <w:rsid w:val="00B062A7"/>
    <w:rsid w:val="00B06C5C"/>
    <w:rsid w:val="00B06E83"/>
    <w:rsid w:val="00B07203"/>
    <w:rsid w:val="00B07705"/>
    <w:rsid w:val="00B07DE5"/>
    <w:rsid w:val="00B1140C"/>
    <w:rsid w:val="00B1189C"/>
    <w:rsid w:val="00B12B86"/>
    <w:rsid w:val="00B12BAB"/>
    <w:rsid w:val="00B12E9D"/>
    <w:rsid w:val="00B13236"/>
    <w:rsid w:val="00B136FE"/>
    <w:rsid w:val="00B137AC"/>
    <w:rsid w:val="00B13DA1"/>
    <w:rsid w:val="00B14673"/>
    <w:rsid w:val="00B152F5"/>
    <w:rsid w:val="00B15BAA"/>
    <w:rsid w:val="00B1600D"/>
    <w:rsid w:val="00B1661D"/>
    <w:rsid w:val="00B1711B"/>
    <w:rsid w:val="00B17E07"/>
    <w:rsid w:val="00B21F7E"/>
    <w:rsid w:val="00B221A4"/>
    <w:rsid w:val="00B22F0A"/>
    <w:rsid w:val="00B22FFA"/>
    <w:rsid w:val="00B23311"/>
    <w:rsid w:val="00B233DA"/>
    <w:rsid w:val="00B2350F"/>
    <w:rsid w:val="00B24274"/>
    <w:rsid w:val="00B24434"/>
    <w:rsid w:val="00B24F70"/>
    <w:rsid w:val="00B25836"/>
    <w:rsid w:val="00B25B33"/>
    <w:rsid w:val="00B26AAA"/>
    <w:rsid w:val="00B27120"/>
    <w:rsid w:val="00B30C16"/>
    <w:rsid w:val="00B31710"/>
    <w:rsid w:val="00B339DF"/>
    <w:rsid w:val="00B34500"/>
    <w:rsid w:val="00B34ED0"/>
    <w:rsid w:val="00B36110"/>
    <w:rsid w:val="00B3679C"/>
    <w:rsid w:val="00B37445"/>
    <w:rsid w:val="00B37D45"/>
    <w:rsid w:val="00B37E62"/>
    <w:rsid w:val="00B40D4A"/>
    <w:rsid w:val="00B40DA2"/>
    <w:rsid w:val="00B41C90"/>
    <w:rsid w:val="00B41F32"/>
    <w:rsid w:val="00B41FFC"/>
    <w:rsid w:val="00B4214A"/>
    <w:rsid w:val="00B42324"/>
    <w:rsid w:val="00B43E94"/>
    <w:rsid w:val="00B43F51"/>
    <w:rsid w:val="00B45187"/>
    <w:rsid w:val="00B45619"/>
    <w:rsid w:val="00B4563B"/>
    <w:rsid w:val="00B45911"/>
    <w:rsid w:val="00B4616B"/>
    <w:rsid w:val="00B46DAC"/>
    <w:rsid w:val="00B46DD9"/>
    <w:rsid w:val="00B47C20"/>
    <w:rsid w:val="00B47D02"/>
    <w:rsid w:val="00B47D83"/>
    <w:rsid w:val="00B47EE4"/>
    <w:rsid w:val="00B50CAD"/>
    <w:rsid w:val="00B52404"/>
    <w:rsid w:val="00B527EE"/>
    <w:rsid w:val="00B52C7D"/>
    <w:rsid w:val="00B5351A"/>
    <w:rsid w:val="00B5426E"/>
    <w:rsid w:val="00B5454C"/>
    <w:rsid w:val="00B550C4"/>
    <w:rsid w:val="00B55269"/>
    <w:rsid w:val="00B55ABC"/>
    <w:rsid w:val="00B55E4A"/>
    <w:rsid w:val="00B55F55"/>
    <w:rsid w:val="00B56910"/>
    <w:rsid w:val="00B56D22"/>
    <w:rsid w:val="00B5717C"/>
    <w:rsid w:val="00B57399"/>
    <w:rsid w:val="00B6079F"/>
    <w:rsid w:val="00B61477"/>
    <w:rsid w:val="00B6186D"/>
    <w:rsid w:val="00B6211E"/>
    <w:rsid w:val="00B62A45"/>
    <w:rsid w:val="00B62C58"/>
    <w:rsid w:val="00B63848"/>
    <w:rsid w:val="00B63A8C"/>
    <w:rsid w:val="00B63F36"/>
    <w:rsid w:val="00B646A4"/>
    <w:rsid w:val="00B65D58"/>
    <w:rsid w:val="00B663C8"/>
    <w:rsid w:val="00B66F1A"/>
    <w:rsid w:val="00B6736B"/>
    <w:rsid w:val="00B67AE2"/>
    <w:rsid w:val="00B67C3A"/>
    <w:rsid w:val="00B700F7"/>
    <w:rsid w:val="00B7062D"/>
    <w:rsid w:val="00B7077F"/>
    <w:rsid w:val="00B70782"/>
    <w:rsid w:val="00B71124"/>
    <w:rsid w:val="00B71CA1"/>
    <w:rsid w:val="00B736A5"/>
    <w:rsid w:val="00B73F71"/>
    <w:rsid w:val="00B74490"/>
    <w:rsid w:val="00B74900"/>
    <w:rsid w:val="00B74E3E"/>
    <w:rsid w:val="00B74FB0"/>
    <w:rsid w:val="00B75166"/>
    <w:rsid w:val="00B75BD3"/>
    <w:rsid w:val="00B76317"/>
    <w:rsid w:val="00B76D7D"/>
    <w:rsid w:val="00B7722C"/>
    <w:rsid w:val="00B7757F"/>
    <w:rsid w:val="00B80540"/>
    <w:rsid w:val="00B80C1F"/>
    <w:rsid w:val="00B81DCF"/>
    <w:rsid w:val="00B83EB3"/>
    <w:rsid w:val="00B83FE0"/>
    <w:rsid w:val="00B844CD"/>
    <w:rsid w:val="00B84850"/>
    <w:rsid w:val="00B8577C"/>
    <w:rsid w:val="00B85C6D"/>
    <w:rsid w:val="00B8611F"/>
    <w:rsid w:val="00B862DB"/>
    <w:rsid w:val="00B8656D"/>
    <w:rsid w:val="00B86704"/>
    <w:rsid w:val="00B869DA"/>
    <w:rsid w:val="00B87E3E"/>
    <w:rsid w:val="00B87FCF"/>
    <w:rsid w:val="00B903C9"/>
    <w:rsid w:val="00B90A32"/>
    <w:rsid w:val="00B91DA0"/>
    <w:rsid w:val="00B92132"/>
    <w:rsid w:val="00B922AD"/>
    <w:rsid w:val="00B92456"/>
    <w:rsid w:val="00B92895"/>
    <w:rsid w:val="00B92EF5"/>
    <w:rsid w:val="00B932AA"/>
    <w:rsid w:val="00B93598"/>
    <w:rsid w:val="00B93A1F"/>
    <w:rsid w:val="00B9408D"/>
    <w:rsid w:val="00B944F4"/>
    <w:rsid w:val="00B94678"/>
    <w:rsid w:val="00B94990"/>
    <w:rsid w:val="00B954AE"/>
    <w:rsid w:val="00B95801"/>
    <w:rsid w:val="00B96B3D"/>
    <w:rsid w:val="00B96C1C"/>
    <w:rsid w:val="00B96FE7"/>
    <w:rsid w:val="00B97DE5"/>
    <w:rsid w:val="00BA0BE8"/>
    <w:rsid w:val="00BA0EC9"/>
    <w:rsid w:val="00BA1370"/>
    <w:rsid w:val="00BA15AE"/>
    <w:rsid w:val="00BA1A59"/>
    <w:rsid w:val="00BA1B08"/>
    <w:rsid w:val="00BA1C10"/>
    <w:rsid w:val="00BA2673"/>
    <w:rsid w:val="00BA2DC6"/>
    <w:rsid w:val="00BA347F"/>
    <w:rsid w:val="00BA35BE"/>
    <w:rsid w:val="00BA3915"/>
    <w:rsid w:val="00BA394F"/>
    <w:rsid w:val="00BA3B82"/>
    <w:rsid w:val="00BA40AE"/>
    <w:rsid w:val="00BA41A6"/>
    <w:rsid w:val="00BA430D"/>
    <w:rsid w:val="00BA4C07"/>
    <w:rsid w:val="00BA4C08"/>
    <w:rsid w:val="00BA4C88"/>
    <w:rsid w:val="00BA5995"/>
    <w:rsid w:val="00BA5C8D"/>
    <w:rsid w:val="00BA6DFF"/>
    <w:rsid w:val="00BA7622"/>
    <w:rsid w:val="00BA798F"/>
    <w:rsid w:val="00BA7D20"/>
    <w:rsid w:val="00BB0139"/>
    <w:rsid w:val="00BB0B53"/>
    <w:rsid w:val="00BB0B9A"/>
    <w:rsid w:val="00BB0BBE"/>
    <w:rsid w:val="00BB0C53"/>
    <w:rsid w:val="00BB26B3"/>
    <w:rsid w:val="00BB2A40"/>
    <w:rsid w:val="00BB493A"/>
    <w:rsid w:val="00BB55E8"/>
    <w:rsid w:val="00BB5822"/>
    <w:rsid w:val="00BB64E7"/>
    <w:rsid w:val="00BB6EC6"/>
    <w:rsid w:val="00BB7407"/>
    <w:rsid w:val="00BB7785"/>
    <w:rsid w:val="00BB7B48"/>
    <w:rsid w:val="00BB7C53"/>
    <w:rsid w:val="00BC0F17"/>
    <w:rsid w:val="00BC23FF"/>
    <w:rsid w:val="00BC30B0"/>
    <w:rsid w:val="00BC3452"/>
    <w:rsid w:val="00BC42DC"/>
    <w:rsid w:val="00BC5255"/>
    <w:rsid w:val="00BC5427"/>
    <w:rsid w:val="00BC54CB"/>
    <w:rsid w:val="00BC5913"/>
    <w:rsid w:val="00BC5EEE"/>
    <w:rsid w:val="00BC63F5"/>
    <w:rsid w:val="00BD0748"/>
    <w:rsid w:val="00BD1019"/>
    <w:rsid w:val="00BD10D0"/>
    <w:rsid w:val="00BD1120"/>
    <w:rsid w:val="00BD1D79"/>
    <w:rsid w:val="00BD1ED3"/>
    <w:rsid w:val="00BD2001"/>
    <w:rsid w:val="00BD264D"/>
    <w:rsid w:val="00BD28A5"/>
    <w:rsid w:val="00BD2B9B"/>
    <w:rsid w:val="00BD39DE"/>
    <w:rsid w:val="00BD4600"/>
    <w:rsid w:val="00BD496A"/>
    <w:rsid w:val="00BD4A6E"/>
    <w:rsid w:val="00BD596F"/>
    <w:rsid w:val="00BD6A04"/>
    <w:rsid w:val="00BD6B2B"/>
    <w:rsid w:val="00BD70FD"/>
    <w:rsid w:val="00BD7212"/>
    <w:rsid w:val="00BD75C1"/>
    <w:rsid w:val="00BE041F"/>
    <w:rsid w:val="00BE05E1"/>
    <w:rsid w:val="00BE13B2"/>
    <w:rsid w:val="00BE14E5"/>
    <w:rsid w:val="00BE2126"/>
    <w:rsid w:val="00BE3405"/>
    <w:rsid w:val="00BE3BC3"/>
    <w:rsid w:val="00BE3D89"/>
    <w:rsid w:val="00BE519C"/>
    <w:rsid w:val="00BE5201"/>
    <w:rsid w:val="00BE58E1"/>
    <w:rsid w:val="00BE5B17"/>
    <w:rsid w:val="00BE5C70"/>
    <w:rsid w:val="00BE687E"/>
    <w:rsid w:val="00BE6BA0"/>
    <w:rsid w:val="00BE711F"/>
    <w:rsid w:val="00BE7463"/>
    <w:rsid w:val="00BE7D6A"/>
    <w:rsid w:val="00BE7DC6"/>
    <w:rsid w:val="00BE7E9E"/>
    <w:rsid w:val="00BF091D"/>
    <w:rsid w:val="00BF0CEA"/>
    <w:rsid w:val="00BF1496"/>
    <w:rsid w:val="00BF193D"/>
    <w:rsid w:val="00BF1E92"/>
    <w:rsid w:val="00BF1F93"/>
    <w:rsid w:val="00BF2946"/>
    <w:rsid w:val="00BF2D32"/>
    <w:rsid w:val="00BF3283"/>
    <w:rsid w:val="00BF382B"/>
    <w:rsid w:val="00BF3841"/>
    <w:rsid w:val="00BF38D3"/>
    <w:rsid w:val="00BF3AEB"/>
    <w:rsid w:val="00BF41E3"/>
    <w:rsid w:val="00BF5031"/>
    <w:rsid w:val="00BF526B"/>
    <w:rsid w:val="00BF75D7"/>
    <w:rsid w:val="00C00519"/>
    <w:rsid w:val="00C011F1"/>
    <w:rsid w:val="00C013A0"/>
    <w:rsid w:val="00C01538"/>
    <w:rsid w:val="00C018AE"/>
    <w:rsid w:val="00C019D6"/>
    <w:rsid w:val="00C030F0"/>
    <w:rsid w:val="00C0360B"/>
    <w:rsid w:val="00C03C61"/>
    <w:rsid w:val="00C041BE"/>
    <w:rsid w:val="00C04EC0"/>
    <w:rsid w:val="00C04FEC"/>
    <w:rsid w:val="00C0583A"/>
    <w:rsid w:val="00C064CE"/>
    <w:rsid w:val="00C06625"/>
    <w:rsid w:val="00C0695D"/>
    <w:rsid w:val="00C06A03"/>
    <w:rsid w:val="00C06C5A"/>
    <w:rsid w:val="00C06E7A"/>
    <w:rsid w:val="00C06F5E"/>
    <w:rsid w:val="00C06FE7"/>
    <w:rsid w:val="00C07143"/>
    <w:rsid w:val="00C071DE"/>
    <w:rsid w:val="00C0753F"/>
    <w:rsid w:val="00C0772D"/>
    <w:rsid w:val="00C07973"/>
    <w:rsid w:val="00C101E0"/>
    <w:rsid w:val="00C1053B"/>
    <w:rsid w:val="00C1074D"/>
    <w:rsid w:val="00C108CC"/>
    <w:rsid w:val="00C10A17"/>
    <w:rsid w:val="00C12199"/>
    <w:rsid w:val="00C12654"/>
    <w:rsid w:val="00C12C3B"/>
    <w:rsid w:val="00C131AD"/>
    <w:rsid w:val="00C1387D"/>
    <w:rsid w:val="00C13DA1"/>
    <w:rsid w:val="00C13F38"/>
    <w:rsid w:val="00C14013"/>
    <w:rsid w:val="00C143FB"/>
    <w:rsid w:val="00C15892"/>
    <w:rsid w:val="00C15E02"/>
    <w:rsid w:val="00C1614D"/>
    <w:rsid w:val="00C162DC"/>
    <w:rsid w:val="00C16743"/>
    <w:rsid w:val="00C17FB0"/>
    <w:rsid w:val="00C202D6"/>
    <w:rsid w:val="00C20AA9"/>
    <w:rsid w:val="00C20EED"/>
    <w:rsid w:val="00C20F74"/>
    <w:rsid w:val="00C21173"/>
    <w:rsid w:val="00C212DD"/>
    <w:rsid w:val="00C21B90"/>
    <w:rsid w:val="00C224FF"/>
    <w:rsid w:val="00C226F1"/>
    <w:rsid w:val="00C228BF"/>
    <w:rsid w:val="00C2341E"/>
    <w:rsid w:val="00C2377B"/>
    <w:rsid w:val="00C23866"/>
    <w:rsid w:val="00C23E95"/>
    <w:rsid w:val="00C24478"/>
    <w:rsid w:val="00C258D7"/>
    <w:rsid w:val="00C25AB1"/>
    <w:rsid w:val="00C25EB8"/>
    <w:rsid w:val="00C25F51"/>
    <w:rsid w:val="00C26772"/>
    <w:rsid w:val="00C26CAA"/>
    <w:rsid w:val="00C26D41"/>
    <w:rsid w:val="00C2755A"/>
    <w:rsid w:val="00C27A51"/>
    <w:rsid w:val="00C27E00"/>
    <w:rsid w:val="00C30ED4"/>
    <w:rsid w:val="00C30FD9"/>
    <w:rsid w:val="00C311F7"/>
    <w:rsid w:val="00C312D4"/>
    <w:rsid w:val="00C3138C"/>
    <w:rsid w:val="00C318E9"/>
    <w:rsid w:val="00C32605"/>
    <w:rsid w:val="00C32DD2"/>
    <w:rsid w:val="00C33011"/>
    <w:rsid w:val="00C330AE"/>
    <w:rsid w:val="00C33DBF"/>
    <w:rsid w:val="00C34989"/>
    <w:rsid w:val="00C350A5"/>
    <w:rsid w:val="00C35CBB"/>
    <w:rsid w:val="00C3667A"/>
    <w:rsid w:val="00C368DA"/>
    <w:rsid w:val="00C36B74"/>
    <w:rsid w:val="00C37142"/>
    <w:rsid w:val="00C3758E"/>
    <w:rsid w:val="00C400DA"/>
    <w:rsid w:val="00C40DD9"/>
    <w:rsid w:val="00C410BB"/>
    <w:rsid w:val="00C4128E"/>
    <w:rsid w:val="00C41A91"/>
    <w:rsid w:val="00C41DA4"/>
    <w:rsid w:val="00C421EE"/>
    <w:rsid w:val="00C42CE6"/>
    <w:rsid w:val="00C4458E"/>
    <w:rsid w:val="00C447FE"/>
    <w:rsid w:val="00C44C00"/>
    <w:rsid w:val="00C452EE"/>
    <w:rsid w:val="00C4539D"/>
    <w:rsid w:val="00C45736"/>
    <w:rsid w:val="00C45C1B"/>
    <w:rsid w:val="00C45F86"/>
    <w:rsid w:val="00C46730"/>
    <w:rsid w:val="00C469B9"/>
    <w:rsid w:val="00C46C4D"/>
    <w:rsid w:val="00C46D31"/>
    <w:rsid w:val="00C47502"/>
    <w:rsid w:val="00C47ED4"/>
    <w:rsid w:val="00C50032"/>
    <w:rsid w:val="00C5185D"/>
    <w:rsid w:val="00C522D5"/>
    <w:rsid w:val="00C5234B"/>
    <w:rsid w:val="00C52784"/>
    <w:rsid w:val="00C52DB7"/>
    <w:rsid w:val="00C52F55"/>
    <w:rsid w:val="00C5331B"/>
    <w:rsid w:val="00C53895"/>
    <w:rsid w:val="00C5410C"/>
    <w:rsid w:val="00C54199"/>
    <w:rsid w:val="00C5433C"/>
    <w:rsid w:val="00C543B2"/>
    <w:rsid w:val="00C54663"/>
    <w:rsid w:val="00C55230"/>
    <w:rsid w:val="00C5649B"/>
    <w:rsid w:val="00C56617"/>
    <w:rsid w:val="00C5699F"/>
    <w:rsid w:val="00C57305"/>
    <w:rsid w:val="00C576A7"/>
    <w:rsid w:val="00C57B4D"/>
    <w:rsid w:val="00C60758"/>
    <w:rsid w:val="00C61911"/>
    <w:rsid w:val="00C61BAA"/>
    <w:rsid w:val="00C62D8D"/>
    <w:rsid w:val="00C62E5B"/>
    <w:rsid w:val="00C63068"/>
    <w:rsid w:val="00C631AB"/>
    <w:rsid w:val="00C6344E"/>
    <w:rsid w:val="00C63C1E"/>
    <w:rsid w:val="00C6446C"/>
    <w:rsid w:val="00C65A4C"/>
    <w:rsid w:val="00C662F7"/>
    <w:rsid w:val="00C664CC"/>
    <w:rsid w:val="00C6702F"/>
    <w:rsid w:val="00C67779"/>
    <w:rsid w:val="00C67A5A"/>
    <w:rsid w:val="00C70AC1"/>
    <w:rsid w:val="00C71997"/>
    <w:rsid w:val="00C71D60"/>
    <w:rsid w:val="00C72615"/>
    <w:rsid w:val="00C726F7"/>
    <w:rsid w:val="00C73AB2"/>
    <w:rsid w:val="00C73F33"/>
    <w:rsid w:val="00C7418C"/>
    <w:rsid w:val="00C74261"/>
    <w:rsid w:val="00C74B64"/>
    <w:rsid w:val="00C776E9"/>
    <w:rsid w:val="00C77AB1"/>
    <w:rsid w:val="00C77F21"/>
    <w:rsid w:val="00C8000F"/>
    <w:rsid w:val="00C80620"/>
    <w:rsid w:val="00C80B1C"/>
    <w:rsid w:val="00C80B7F"/>
    <w:rsid w:val="00C80D01"/>
    <w:rsid w:val="00C81993"/>
    <w:rsid w:val="00C821F0"/>
    <w:rsid w:val="00C82C3F"/>
    <w:rsid w:val="00C82D8E"/>
    <w:rsid w:val="00C82F39"/>
    <w:rsid w:val="00C83308"/>
    <w:rsid w:val="00C83985"/>
    <w:rsid w:val="00C83C5F"/>
    <w:rsid w:val="00C847C1"/>
    <w:rsid w:val="00C84858"/>
    <w:rsid w:val="00C84A54"/>
    <w:rsid w:val="00C85130"/>
    <w:rsid w:val="00C8518E"/>
    <w:rsid w:val="00C854A3"/>
    <w:rsid w:val="00C857D4"/>
    <w:rsid w:val="00C85E6B"/>
    <w:rsid w:val="00C86D90"/>
    <w:rsid w:val="00C87177"/>
    <w:rsid w:val="00C909A9"/>
    <w:rsid w:val="00C90D2D"/>
    <w:rsid w:val="00C90E66"/>
    <w:rsid w:val="00C90FAD"/>
    <w:rsid w:val="00C91AA9"/>
    <w:rsid w:val="00C91B26"/>
    <w:rsid w:val="00C92228"/>
    <w:rsid w:val="00C922D1"/>
    <w:rsid w:val="00C92791"/>
    <w:rsid w:val="00C92B15"/>
    <w:rsid w:val="00C92C4D"/>
    <w:rsid w:val="00C92C81"/>
    <w:rsid w:val="00C93018"/>
    <w:rsid w:val="00C93514"/>
    <w:rsid w:val="00C9406A"/>
    <w:rsid w:val="00C9428B"/>
    <w:rsid w:val="00C947A5"/>
    <w:rsid w:val="00C9482E"/>
    <w:rsid w:val="00C9508F"/>
    <w:rsid w:val="00C95F71"/>
    <w:rsid w:val="00C96F7C"/>
    <w:rsid w:val="00C972BC"/>
    <w:rsid w:val="00C979EB"/>
    <w:rsid w:val="00C97AA8"/>
    <w:rsid w:val="00CA0382"/>
    <w:rsid w:val="00CA0568"/>
    <w:rsid w:val="00CA10A3"/>
    <w:rsid w:val="00CA138A"/>
    <w:rsid w:val="00CA197A"/>
    <w:rsid w:val="00CA1F8B"/>
    <w:rsid w:val="00CA1FBD"/>
    <w:rsid w:val="00CA20B3"/>
    <w:rsid w:val="00CA24D1"/>
    <w:rsid w:val="00CA2676"/>
    <w:rsid w:val="00CA2936"/>
    <w:rsid w:val="00CA2B40"/>
    <w:rsid w:val="00CA2DAF"/>
    <w:rsid w:val="00CA2DF3"/>
    <w:rsid w:val="00CA30BE"/>
    <w:rsid w:val="00CA3329"/>
    <w:rsid w:val="00CA33BC"/>
    <w:rsid w:val="00CA3698"/>
    <w:rsid w:val="00CA3D4E"/>
    <w:rsid w:val="00CA42B4"/>
    <w:rsid w:val="00CA48A9"/>
    <w:rsid w:val="00CA5C1B"/>
    <w:rsid w:val="00CA626B"/>
    <w:rsid w:val="00CA6C08"/>
    <w:rsid w:val="00CA7CCD"/>
    <w:rsid w:val="00CB00A0"/>
    <w:rsid w:val="00CB0445"/>
    <w:rsid w:val="00CB197F"/>
    <w:rsid w:val="00CB1DB7"/>
    <w:rsid w:val="00CB3418"/>
    <w:rsid w:val="00CB3904"/>
    <w:rsid w:val="00CB4477"/>
    <w:rsid w:val="00CB5280"/>
    <w:rsid w:val="00CB66F4"/>
    <w:rsid w:val="00CB79F0"/>
    <w:rsid w:val="00CB7C1D"/>
    <w:rsid w:val="00CB7F43"/>
    <w:rsid w:val="00CC0F5C"/>
    <w:rsid w:val="00CC13C0"/>
    <w:rsid w:val="00CC1AF4"/>
    <w:rsid w:val="00CC1B1A"/>
    <w:rsid w:val="00CC2321"/>
    <w:rsid w:val="00CC2C34"/>
    <w:rsid w:val="00CC2CC7"/>
    <w:rsid w:val="00CC3111"/>
    <w:rsid w:val="00CC32B8"/>
    <w:rsid w:val="00CC37A3"/>
    <w:rsid w:val="00CC39E5"/>
    <w:rsid w:val="00CC3A25"/>
    <w:rsid w:val="00CC3FA1"/>
    <w:rsid w:val="00CC42F0"/>
    <w:rsid w:val="00CC5A90"/>
    <w:rsid w:val="00CC5B2E"/>
    <w:rsid w:val="00CC5B78"/>
    <w:rsid w:val="00CC5D30"/>
    <w:rsid w:val="00CC608C"/>
    <w:rsid w:val="00CC6395"/>
    <w:rsid w:val="00CC6537"/>
    <w:rsid w:val="00CC6549"/>
    <w:rsid w:val="00CC6A9A"/>
    <w:rsid w:val="00CC7365"/>
    <w:rsid w:val="00CC7909"/>
    <w:rsid w:val="00CD0D2F"/>
    <w:rsid w:val="00CD1D97"/>
    <w:rsid w:val="00CD1FB0"/>
    <w:rsid w:val="00CD25A5"/>
    <w:rsid w:val="00CD2657"/>
    <w:rsid w:val="00CD3E72"/>
    <w:rsid w:val="00CD3F73"/>
    <w:rsid w:val="00CD4703"/>
    <w:rsid w:val="00CD4CD0"/>
    <w:rsid w:val="00CD4EC1"/>
    <w:rsid w:val="00CD6267"/>
    <w:rsid w:val="00CD6B87"/>
    <w:rsid w:val="00CD73C9"/>
    <w:rsid w:val="00CD7C0E"/>
    <w:rsid w:val="00CE069C"/>
    <w:rsid w:val="00CE1887"/>
    <w:rsid w:val="00CE1AD4"/>
    <w:rsid w:val="00CE2D9F"/>
    <w:rsid w:val="00CE2E47"/>
    <w:rsid w:val="00CE31B2"/>
    <w:rsid w:val="00CE3486"/>
    <w:rsid w:val="00CE3875"/>
    <w:rsid w:val="00CE3B31"/>
    <w:rsid w:val="00CE4C7E"/>
    <w:rsid w:val="00CE52DF"/>
    <w:rsid w:val="00CE5AAF"/>
    <w:rsid w:val="00CE6508"/>
    <w:rsid w:val="00CE66FD"/>
    <w:rsid w:val="00CE6F33"/>
    <w:rsid w:val="00CF0170"/>
    <w:rsid w:val="00CF089F"/>
    <w:rsid w:val="00CF11EC"/>
    <w:rsid w:val="00CF15CD"/>
    <w:rsid w:val="00CF1A28"/>
    <w:rsid w:val="00CF1F3D"/>
    <w:rsid w:val="00CF3DDB"/>
    <w:rsid w:val="00CF4373"/>
    <w:rsid w:val="00CF47BF"/>
    <w:rsid w:val="00CF501A"/>
    <w:rsid w:val="00CF57CA"/>
    <w:rsid w:val="00CF67CD"/>
    <w:rsid w:val="00CF6E8F"/>
    <w:rsid w:val="00CF78E5"/>
    <w:rsid w:val="00CF7FA3"/>
    <w:rsid w:val="00D0040A"/>
    <w:rsid w:val="00D00C0A"/>
    <w:rsid w:val="00D01A25"/>
    <w:rsid w:val="00D028E3"/>
    <w:rsid w:val="00D03CF6"/>
    <w:rsid w:val="00D0400B"/>
    <w:rsid w:val="00D044FD"/>
    <w:rsid w:val="00D04601"/>
    <w:rsid w:val="00D047B5"/>
    <w:rsid w:val="00D05FFD"/>
    <w:rsid w:val="00D063D7"/>
    <w:rsid w:val="00D068D9"/>
    <w:rsid w:val="00D0788C"/>
    <w:rsid w:val="00D07FFA"/>
    <w:rsid w:val="00D10402"/>
    <w:rsid w:val="00D10BCF"/>
    <w:rsid w:val="00D117A6"/>
    <w:rsid w:val="00D11CF7"/>
    <w:rsid w:val="00D12038"/>
    <w:rsid w:val="00D123BD"/>
    <w:rsid w:val="00D12F10"/>
    <w:rsid w:val="00D131D8"/>
    <w:rsid w:val="00D1343F"/>
    <w:rsid w:val="00D14DA3"/>
    <w:rsid w:val="00D14DE3"/>
    <w:rsid w:val="00D15A2A"/>
    <w:rsid w:val="00D15DC9"/>
    <w:rsid w:val="00D16263"/>
    <w:rsid w:val="00D162FB"/>
    <w:rsid w:val="00D16B77"/>
    <w:rsid w:val="00D17859"/>
    <w:rsid w:val="00D20209"/>
    <w:rsid w:val="00D20A41"/>
    <w:rsid w:val="00D20B81"/>
    <w:rsid w:val="00D21538"/>
    <w:rsid w:val="00D22D20"/>
    <w:rsid w:val="00D23077"/>
    <w:rsid w:val="00D240A5"/>
    <w:rsid w:val="00D24571"/>
    <w:rsid w:val="00D24CD4"/>
    <w:rsid w:val="00D24FF9"/>
    <w:rsid w:val="00D25E97"/>
    <w:rsid w:val="00D26037"/>
    <w:rsid w:val="00D261EC"/>
    <w:rsid w:val="00D2670C"/>
    <w:rsid w:val="00D26B3F"/>
    <w:rsid w:val="00D26F71"/>
    <w:rsid w:val="00D2757B"/>
    <w:rsid w:val="00D30400"/>
    <w:rsid w:val="00D32187"/>
    <w:rsid w:val="00D333FA"/>
    <w:rsid w:val="00D337A5"/>
    <w:rsid w:val="00D34D43"/>
    <w:rsid w:val="00D36674"/>
    <w:rsid w:val="00D37701"/>
    <w:rsid w:val="00D37708"/>
    <w:rsid w:val="00D37EC8"/>
    <w:rsid w:val="00D406C2"/>
    <w:rsid w:val="00D413E4"/>
    <w:rsid w:val="00D414FF"/>
    <w:rsid w:val="00D41592"/>
    <w:rsid w:val="00D417C8"/>
    <w:rsid w:val="00D42826"/>
    <w:rsid w:val="00D42A14"/>
    <w:rsid w:val="00D42A9F"/>
    <w:rsid w:val="00D440ED"/>
    <w:rsid w:val="00D44126"/>
    <w:rsid w:val="00D44712"/>
    <w:rsid w:val="00D44787"/>
    <w:rsid w:val="00D4499C"/>
    <w:rsid w:val="00D44ED6"/>
    <w:rsid w:val="00D4539C"/>
    <w:rsid w:val="00D45CAC"/>
    <w:rsid w:val="00D46694"/>
    <w:rsid w:val="00D47956"/>
    <w:rsid w:val="00D47BDC"/>
    <w:rsid w:val="00D50094"/>
    <w:rsid w:val="00D5059D"/>
    <w:rsid w:val="00D506EF"/>
    <w:rsid w:val="00D50FF8"/>
    <w:rsid w:val="00D50FF9"/>
    <w:rsid w:val="00D51683"/>
    <w:rsid w:val="00D5213C"/>
    <w:rsid w:val="00D5227D"/>
    <w:rsid w:val="00D5256C"/>
    <w:rsid w:val="00D54BC6"/>
    <w:rsid w:val="00D5524B"/>
    <w:rsid w:val="00D55352"/>
    <w:rsid w:val="00D5594B"/>
    <w:rsid w:val="00D56058"/>
    <w:rsid w:val="00D56073"/>
    <w:rsid w:val="00D563B4"/>
    <w:rsid w:val="00D56604"/>
    <w:rsid w:val="00D57D73"/>
    <w:rsid w:val="00D600DA"/>
    <w:rsid w:val="00D6015D"/>
    <w:rsid w:val="00D6049B"/>
    <w:rsid w:val="00D609CB"/>
    <w:rsid w:val="00D60D48"/>
    <w:rsid w:val="00D60F8A"/>
    <w:rsid w:val="00D61A66"/>
    <w:rsid w:val="00D61CD7"/>
    <w:rsid w:val="00D62DF4"/>
    <w:rsid w:val="00D62EDD"/>
    <w:rsid w:val="00D631F1"/>
    <w:rsid w:val="00D63B8A"/>
    <w:rsid w:val="00D63DAE"/>
    <w:rsid w:val="00D63E1C"/>
    <w:rsid w:val="00D63F11"/>
    <w:rsid w:val="00D6418A"/>
    <w:rsid w:val="00D64511"/>
    <w:rsid w:val="00D65205"/>
    <w:rsid w:val="00D65798"/>
    <w:rsid w:val="00D665C3"/>
    <w:rsid w:val="00D66655"/>
    <w:rsid w:val="00D66958"/>
    <w:rsid w:val="00D66B12"/>
    <w:rsid w:val="00D66BD3"/>
    <w:rsid w:val="00D66CAF"/>
    <w:rsid w:val="00D66E00"/>
    <w:rsid w:val="00D66E6D"/>
    <w:rsid w:val="00D67146"/>
    <w:rsid w:val="00D676EC"/>
    <w:rsid w:val="00D70069"/>
    <w:rsid w:val="00D700A3"/>
    <w:rsid w:val="00D705ED"/>
    <w:rsid w:val="00D7149B"/>
    <w:rsid w:val="00D71D54"/>
    <w:rsid w:val="00D71F68"/>
    <w:rsid w:val="00D72281"/>
    <w:rsid w:val="00D72BF8"/>
    <w:rsid w:val="00D72C91"/>
    <w:rsid w:val="00D72F03"/>
    <w:rsid w:val="00D73389"/>
    <w:rsid w:val="00D7349F"/>
    <w:rsid w:val="00D737EA"/>
    <w:rsid w:val="00D74155"/>
    <w:rsid w:val="00D75D9C"/>
    <w:rsid w:val="00D76F54"/>
    <w:rsid w:val="00D7713C"/>
    <w:rsid w:val="00D776CB"/>
    <w:rsid w:val="00D800CC"/>
    <w:rsid w:val="00D806CD"/>
    <w:rsid w:val="00D80DA1"/>
    <w:rsid w:val="00D80F0E"/>
    <w:rsid w:val="00D80FF0"/>
    <w:rsid w:val="00D8112B"/>
    <w:rsid w:val="00D81946"/>
    <w:rsid w:val="00D82219"/>
    <w:rsid w:val="00D828A8"/>
    <w:rsid w:val="00D82A3C"/>
    <w:rsid w:val="00D82A7A"/>
    <w:rsid w:val="00D83EBD"/>
    <w:rsid w:val="00D844AC"/>
    <w:rsid w:val="00D844B0"/>
    <w:rsid w:val="00D8525A"/>
    <w:rsid w:val="00D85D7B"/>
    <w:rsid w:val="00D86325"/>
    <w:rsid w:val="00D86A19"/>
    <w:rsid w:val="00D86F75"/>
    <w:rsid w:val="00D87B44"/>
    <w:rsid w:val="00D9036A"/>
    <w:rsid w:val="00D908C4"/>
    <w:rsid w:val="00D90E96"/>
    <w:rsid w:val="00D90F54"/>
    <w:rsid w:val="00D91377"/>
    <w:rsid w:val="00D9150D"/>
    <w:rsid w:val="00D91756"/>
    <w:rsid w:val="00D91AD5"/>
    <w:rsid w:val="00D92000"/>
    <w:rsid w:val="00D92C6C"/>
    <w:rsid w:val="00D92E9A"/>
    <w:rsid w:val="00D935BD"/>
    <w:rsid w:val="00D93812"/>
    <w:rsid w:val="00D938A4"/>
    <w:rsid w:val="00D93AD9"/>
    <w:rsid w:val="00D94444"/>
    <w:rsid w:val="00D94FB5"/>
    <w:rsid w:val="00D9524A"/>
    <w:rsid w:val="00D954B5"/>
    <w:rsid w:val="00D95968"/>
    <w:rsid w:val="00D95BDA"/>
    <w:rsid w:val="00D95DF8"/>
    <w:rsid w:val="00D96960"/>
    <w:rsid w:val="00D96A95"/>
    <w:rsid w:val="00D96B23"/>
    <w:rsid w:val="00D96F81"/>
    <w:rsid w:val="00D97169"/>
    <w:rsid w:val="00D978ED"/>
    <w:rsid w:val="00D97CEB"/>
    <w:rsid w:val="00DA15A7"/>
    <w:rsid w:val="00DA15C7"/>
    <w:rsid w:val="00DA2341"/>
    <w:rsid w:val="00DA2363"/>
    <w:rsid w:val="00DA24C1"/>
    <w:rsid w:val="00DA2DF9"/>
    <w:rsid w:val="00DA30E1"/>
    <w:rsid w:val="00DA348B"/>
    <w:rsid w:val="00DA3688"/>
    <w:rsid w:val="00DA4317"/>
    <w:rsid w:val="00DA55EE"/>
    <w:rsid w:val="00DA5E76"/>
    <w:rsid w:val="00DA6B09"/>
    <w:rsid w:val="00DA6F6B"/>
    <w:rsid w:val="00DA71AC"/>
    <w:rsid w:val="00DA7BBA"/>
    <w:rsid w:val="00DA7C5E"/>
    <w:rsid w:val="00DB00A4"/>
    <w:rsid w:val="00DB02D0"/>
    <w:rsid w:val="00DB1594"/>
    <w:rsid w:val="00DB1BA2"/>
    <w:rsid w:val="00DB266E"/>
    <w:rsid w:val="00DB2814"/>
    <w:rsid w:val="00DB2A84"/>
    <w:rsid w:val="00DB2E22"/>
    <w:rsid w:val="00DB2E7E"/>
    <w:rsid w:val="00DB2EFC"/>
    <w:rsid w:val="00DB39D3"/>
    <w:rsid w:val="00DB509B"/>
    <w:rsid w:val="00DB5468"/>
    <w:rsid w:val="00DB565D"/>
    <w:rsid w:val="00DB5A38"/>
    <w:rsid w:val="00DB5BB8"/>
    <w:rsid w:val="00DB5E23"/>
    <w:rsid w:val="00DB6EA1"/>
    <w:rsid w:val="00DB78BF"/>
    <w:rsid w:val="00DB7C86"/>
    <w:rsid w:val="00DB7C88"/>
    <w:rsid w:val="00DB7DF7"/>
    <w:rsid w:val="00DB7F70"/>
    <w:rsid w:val="00DC0786"/>
    <w:rsid w:val="00DC1129"/>
    <w:rsid w:val="00DC11A1"/>
    <w:rsid w:val="00DC183C"/>
    <w:rsid w:val="00DC1BB2"/>
    <w:rsid w:val="00DC2432"/>
    <w:rsid w:val="00DC2501"/>
    <w:rsid w:val="00DC278F"/>
    <w:rsid w:val="00DC2B76"/>
    <w:rsid w:val="00DC4A41"/>
    <w:rsid w:val="00DC4DBD"/>
    <w:rsid w:val="00DC5386"/>
    <w:rsid w:val="00DC5896"/>
    <w:rsid w:val="00DC5F79"/>
    <w:rsid w:val="00DC6589"/>
    <w:rsid w:val="00DC664B"/>
    <w:rsid w:val="00DC6716"/>
    <w:rsid w:val="00DC6BFE"/>
    <w:rsid w:val="00DC79AD"/>
    <w:rsid w:val="00DC7A9B"/>
    <w:rsid w:val="00DC7BD1"/>
    <w:rsid w:val="00DD07E6"/>
    <w:rsid w:val="00DD0D99"/>
    <w:rsid w:val="00DD11DD"/>
    <w:rsid w:val="00DD295E"/>
    <w:rsid w:val="00DD30C4"/>
    <w:rsid w:val="00DD3560"/>
    <w:rsid w:val="00DD4423"/>
    <w:rsid w:val="00DD45B4"/>
    <w:rsid w:val="00DD469C"/>
    <w:rsid w:val="00DD49A4"/>
    <w:rsid w:val="00DD4F5B"/>
    <w:rsid w:val="00DD4F96"/>
    <w:rsid w:val="00DD52BC"/>
    <w:rsid w:val="00DD53C3"/>
    <w:rsid w:val="00DD581C"/>
    <w:rsid w:val="00DD5A2B"/>
    <w:rsid w:val="00DD5F01"/>
    <w:rsid w:val="00DD6242"/>
    <w:rsid w:val="00DD6C05"/>
    <w:rsid w:val="00DD789E"/>
    <w:rsid w:val="00DD7D04"/>
    <w:rsid w:val="00DE000C"/>
    <w:rsid w:val="00DE030F"/>
    <w:rsid w:val="00DE0BD4"/>
    <w:rsid w:val="00DE135D"/>
    <w:rsid w:val="00DE31BE"/>
    <w:rsid w:val="00DE32DF"/>
    <w:rsid w:val="00DE522E"/>
    <w:rsid w:val="00DE5FBB"/>
    <w:rsid w:val="00DE6241"/>
    <w:rsid w:val="00DE7489"/>
    <w:rsid w:val="00DE7505"/>
    <w:rsid w:val="00DE7EE2"/>
    <w:rsid w:val="00DF0138"/>
    <w:rsid w:val="00DF067A"/>
    <w:rsid w:val="00DF06BE"/>
    <w:rsid w:val="00DF0759"/>
    <w:rsid w:val="00DF08F7"/>
    <w:rsid w:val="00DF1799"/>
    <w:rsid w:val="00DF1BEC"/>
    <w:rsid w:val="00DF1D0B"/>
    <w:rsid w:val="00DF310A"/>
    <w:rsid w:val="00DF3192"/>
    <w:rsid w:val="00DF339E"/>
    <w:rsid w:val="00DF3616"/>
    <w:rsid w:val="00DF3A45"/>
    <w:rsid w:val="00DF3CF1"/>
    <w:rsid w:val="00DF3E21"/>
    <w:rsid w:val="00DF3FBE"/>
    <w:rsid w:val="00DF4589"/>
    <w:rsid w:val="00DF4E24"/>
    <w:rsid w:val="00DF4F34"/>
    <w:rsid w:val="00DF514D"/>
    <w:rsid w:val="00DF52D6"/>
    <w:rsid w:val="00DF5556"/>
    <w:rsid w:val="00DF5743"/>
    <w:rsid w:val="00DF5D06"/>
    <w:rsid w:val="00DF5F32"/>
    <w:rsid w:val="00DF79BF"/>
    <w:rsid w:val="00DF7AA5"/>
    <w:rsid w:val="00DF7B06"/>
    <w:rsid w:val="00DF7E05"/>
    <w:rsid w:val="00E0039A"/>
    <w:rsid w:val="00E00E7B"/>
    <w:rsid w:val="00E00E95"/>
    <w:rsid w:val="00E010FC"/>
    <w:rsid w:val="00E0162F"/>
    <w:rsid w:val="00E01E9B"/>
    <w:rsid w:val="00E01EB4"/>
    <w:rsid w:val="00E026DA"/>
    <w:rsid w:val="00E03A01"/>
    <w:rsid w:val="00E03C8D"/>
    <w:rsid w:val="00E04FB1"/>
    <w:rsid w:val="00E052EE"/>
    <w:rsid w:val="00E05681"/>
    <w:rsid w:val="00E062A8"/>
    <w:rsid w:val="00E06F1E"/>
    <w:rsid w:val="00E06F36"/>
    <w:rsid w:val="00E07932"/>
    <w:rsid w:val="00E10940"/>
    <w:rsid w:val="00E10F8C"/>
    <w:rsid w:val="00E1117C"/>
    <w:rsid w:val="00E12253"/>
    <w:rsid w:val="00E12CD2"/>
    <w:rsid w:val="00E133D8"/>
    <w:rsid w:val="00E136F7"/>
    <w:rsid w:val="00E14FF3"/>
    <w:rsid w:val="00E16D36"/>
    <w:rsid w:val="00E17B13"/>
    <w:rsid w:val="00E205EE"/>
    <w:rsid w:val="00E21485"/>
    <w:rsid w:val="00E2210C"/>
    <w:rsid w:val="00E229AF"/>
    <w:rsid w:val="00E22FAE"/>
    <w:rsid w:val="00E23B33"/>
    <w:rsid w:val="00E243E8"/>
    <w:rsid w:val="00E24BE3"/>
    <w:rsid w:val="00E2603C"/>
    <w:rsid w:val="00E27300"/>
    <w:rsid w:val="00E27757"/>
    <w:rsid w:val="00E27CB7"/>
    <w:rsid w:val="00E27DC2"/>
    <w:rsid w:val="00E30209"/>
    <w:rsid w:val="00E303AD"/>
    <w:rsid w:val="00E3067A"/>
    <w:rsid w:val="00E319C8"/>
    <w:rsid w:val="00E32219"/>
    <w:rsid w:val="00E323AF"/>
    <w:rsid w:val="00E32B55"/>
    <w:rsid w:val="00E331AE"/>
    <w:rsid w:val="00E3384D"/>
    <w:rsid w:val="00E33EB7"/>
    <w:rsid w:val="00E3418E"/>
    <w:rsid w:val="00E3512D"/>
    <w:rsid w:val="00E37003"/>
    <w:rsid w:val="00E371BF"/>
    <w:rsid w:val="00E37A87"/>
    <w:rsid w:val="00E37EC7"/>
    <w:rsid w:val="00E37F4F"/>
    <w:rsid w:val="00E4072A"/>
    <w:rsid w:val="00E40777"/>
    <w:rsid w:val="00E409E1"/>
    <w:rsid w:val="00E4123F"/>
    <w:rsid w:val="00E4226D"/>
    <w:rsid w:val="00E430B6"/>
    <w:rsid w:val="00E439FD"/>
    <w:rsid w:val="00E4520A"/>
    <w:rsid w:val="00E45645"/>
    <w:rsid w:val="00E45B5C"/>
    <w:rsid w:val="00E46C02"/>
    <w:rsid w:val="00E47D59"/>
    <w:rsid w:val="00E50660"/>
    <w:rsid w:val="00E50DBF"/>
    <w:rsid w:val="00E51295"/>
    <w:rsid w:val="00E51423"/>
    <w:rsid w:val="00E51433"/>
    <w:rsid w:val="00E51A67"/>
    <w:rsid w:val="00E5224C"/>
    <w:rsid w:val="00E537AB"/>
    <w:rsid w:val="00E5395C"/>
    <w:rsid w:val="00E53AC3"/>
    <w:rsid w:val="00E54457"/>
    <w:rsid w:val="00E54658"/>
    <w:rsid w:val="00E54959"/>
    <w:rsid w:val="00E54D0B"/>
    <w:rsid w:val="00E56979"/>
    <w:rsid w:val="00E5716A"/>
    <w:rsid w:val="00E57ACE"/>
    <w:rsid w:val="00E57D29"/>
    <w:rsid w:val="00E60671"/>
    <w:rsid w:val="00E60B90"/>
    <w:rsid w:val="00E6210B"/>
    <w:rsid w:val="00E633FD"/>
    <w:rsid w:val="00E6374C"/>
    <w:rsid w:val="00E63F47"/>
    <w:rsid w:val="00E6462F"/>
    <w:rsid w:val="00E64BDD"/>
    <w:rsid w:val="00E64E90"/>
    <w:rsid w:val="00E65155"/>
    <w:rsid w:val="00E65208"/>
    <w:rsid w:val="00E65686"/>
    <w:rsid w:val="00E65A42"/>
    <w:rsid w:val="00E6620C"/>
    <w:rsid w:val="00E66903"/>
    <w:rsid w:val="00E67484"/>
    <w:rsid w:val="00E677C6"/>
    <w:rsid w:val="00E707E5"/>
    <w:rsid w:val="00E70A37"/>
    <w:rsid w:val="00E71C1D"/>
    <w:rsid w:val="00E728B9"/>
    <w:rsid w:val="00E73992"/>
    <w:rsid w:val="00E73DAE"/>
    <w:rsid w:val="00E7451F"/>
    <w:rsid w:val="00E76043"/>
    <w:rsid w:val="00E76067"/>
    <w:rsid w:val="00E762DD"/>
    <w:rsid w:val="00E76D2B"/>
    <w:rsid w:val="00E76DBB"/>
    <w:rsid w:val="00E77697"/>
    <w:rsid w:val="00E77C49"/>
    <w:rsid w:val="00E82F98"/>
    <w:rsid w:val="00E83078"/>
    <w:rsid w:val="00E83519"/>
    <w:rsid w:val="00E83A48"/>
    <w:rsid w:val="00E83D2A"/>
    <w:rsid w:val="00E84B7D"/>
    <w:rsid w:val="00E8518C"/>
    <w:rsid w:val="00E86DD9"/>
    <w:rsid w:val="00E87F1C"/>
    <w:rsid w:val="00E90209"/>
    <w:rsid w:val="00E904AE"/>
    <w:rsid w:val="00E90586"/>
    <w:rsid w:val="00E90A63"/>
    <w:rsid w:val="00E92529"/>
    <w:rsid w:val="00E92CD1"/>
    <w:rsid w:val="00E9345D"/>
    <w:rsid w:val="00E9362E"/>
    <w:rsid w:val="00E936C4"/>
    <w:rsid w:val="00E93937"/>
    <w:rsid w:val="00E94338"/>
    <w:rsid w:val="00E9460B"/>
    <w:rsid w:val="00E94A26"/>
    <w:rsid w:val="00E94A7B"/>
    <w:rsid w:val="00E95159"/>
    <w:rsid w:val="00E9515B"/>
    <w:rsid w:val="00E95D1A"/>
    <w:rsid w:val="00E9604D"/>
    <w:rsid w:val="00E96B56"/>
    <w:rsid w:val="00E9772E"/>
    <w:rsid w:val="00E97800"/>
    <w:rsid w:val="00EA05C4"/>
    <w:rsid w:val="00EA0849"/>
    <w:rsid w:val="00EA0BDA"/>
    <w:rsid w:val="00EA22DE"/>
    <w:rsid w:val="00EA251D"/>
    <w:rsid w:val="00EA293C"/>
    <w:rsid w:val="00EA2C02"/>
    <w:rsid w:val="00EA3515"/>
    <w:rsid w:val="00EA38D2"/>
    <w:rsid w:val="00EA467F"/>
    <w:rsid w:val="00EA4DF7"/>
    <w:rsid w:val="00EA4EAF"/>
    <w:rsid w:val="00EA532F"/>
    <w:rsid w:val="00EA57E7"/>
    <w:rsid w:val="00EA5A81"/>
    <w:rsid w:val="00EA5E75"/>
    <w:rsid w:val="00EA609F"/>
    <w:rsid w:val="00EA6103"/>
    <w:rsid w:val="00EA63DB"/>
    <w:rsid w:val="00EA671E"/>
    <w:rsid w:val="00EA6754"/>
    <w:rsid w:val="00EA7742"/>
    <w:rsid w:val="00EB00CB"/>
    <w:rsid w:val="00EB0173"/>
    <w:rsid w:val="00EB087B"/>
    <w:rsid w:val="00EB1054"/>
    <w:rsid w:val="00EB1EFC"/>
    <w:rsid w:val="00EB2CB0"/>
    <w:rsid w:val="00EB3381"/>
    <w:rsid w:val="00EB3E23"/>
    <w:rsid w:val="00EB48E0"/>
    <w:rsid w:val="00EB5E3D"/>
    <w:rsid w:val="00EB6BEB"/>
    <w:rsid w:val="00EB6DB3"/>
    <w:rsid w:val="00EB7114"/>
    <w:rsid w:val="00EB750E"/>
    <w:rsid w:val="00EB7D92"/>
    <w:rsid w:val="00EB7FA5"/>
    <w:rsid w:val="00EB7FBC"/>
    <w:rsid w:val="00EC0788"/>
    <w:rsid w:val="00EC0C75"/>
    <w:rsid w:val="00EC14FA"/>
    <w:rsid w:val="00EC1D2B"/>
    <w:rsid w:val="00EC328F"/>
    <w:rsid w:val="00EC366C"/>
    <w:rsid w:val="00EC38CB"/>
    <w:rsid w:val="00EC5371"/>
    <w:rsid w:val="00EC5440"/>
    <w:rsid w:val="00EC5796"/>
    <w:rsid w:val="00EC7411"/>
    <w:rsid w:val="00EC7A00"/>
    <w:rsid w:val="00EC7BF0"/>
    <w:rsid w:val="00ED0713"/>
    <w:rsid w:val="00ED0EEB"/>
    <w:rsid w:val="00ED106B"/>
    <w:rsid w:val="00ED12E7"/>
    <w:rsid w:val="00ED168B"/>
    <w:rsid w:val="00ED22ED"/>
    <w:rsid w:val="00ED277B"/>
    <w:rsid w:val="00ED28B4"/>
    <w:rsid w:val="00ED2AF1"/>
    <w:rsid w:val="00ED5ED9"/>
    <w:rsid w:val="00ED6161"/>
    <w:rsid w:val="00ED6AFD"/>
    <w:rsid w:val="00ED7446"/>
    <w:rsid w:val="00ED777F"/>
    <w:rsid w:val="00ED7784"/>
    <w:rsid w:val="00EE01E7"/>
    <w:rsid w:val="00EE0519"/>
    <w:rsid w:val="00EE0526"/>
    <w:rsid w:val="00EE0AA3"/>
    <w:rsid w:val="00EE2305"/>
    <w:rsid w:val="00EE31A5"/>
    <w:rsid w:val="00EE3388"/>
    <w:rsid w:val="00EE422E"/>
    <w:rsid w:val="00EE4BFB"/>
    <w:rsid w:val="00EE539A"/>
    <w:rsid w:val="00EE669F"/>
    <w:rsid w:val="00EE6D63"/>
    <w:rsid w:val="00EE7074"/>
    <w:rsid w:val="00EE78EC"/>
    <w:rsid w:val="00EF0C80"/>
    <w:rsid w:val="00EF0DB1"/>
    <w:rsid w:val="00EF1072"/>
    <w:rsid w:val="00EF15C0"/>
    <w:rsid w:val="00EF1A3E"/>
    <w:rsid w:val="00EF238B"/>
    <w:rsid w:val="00EF35D1"/>
    <w:rsid w:val="00EF465E"/>
    <w:rsid w:val="00EF4B7D"/>
    <w:rsid w:val="00EF522E"/>
    <w:rsid w:val="00EF5D41"/>
    <w:rsid w:val="00EF6744"/>
    <w:rsid w:val="00EF689B"/>
    <w:rsid w:val="00EF6DFD"/>
    <w:rsid w:val="00EF70E1"/>
    <w:rsid w:val="00EF7490"/>
    <w:rsid w:val="00EF75AB"/>
    <w:rsid w:val="00EF78EB"/>
    <w:rsid w:val="00EF7CB1"/>
    <w:rsid w:val="00F00BA9"/>
    <w:rsid w:val="00F01A48"/>
    <w:rsid w:val="00F01B63"/>
    <w:rsid w:val="00F01BD4"/>
    <w:rsid w:val="00F01DFC"/>
    <w:rsid w:val="00F02B2E"/>
    <w:rsid w:val="00F02D4F"/>
    <w:rsid w:val="00F0372A"/>
    <w:rsid w:val="00F03D7A"/>
    <w:rsid w:val="00F045B0"/>
    <w:rsid w:val="00F0467A"/>
    <w:rsid w:val="00F04987"/>
    <w:rsid w:val="00F04E32"/>
    <w:rsid w:val="00F055E9"/>
    <w:rsid w:val="00F05C03"/>
    <w:rsid w:val="00F06198"/>
    <w:rsid w:val="00F063F2"/>
    <w:rsid w:val="00F069D0"/>
    <w:rsid w:val="00F0743B"/>
    <w:rsid w:val="00F0798C"/>
    <w:rsid w:val="00F07CC7"/>
    <w:rsid w:val="00F07EA5"/>
    <w:rsid w:val="00F10A92"/>
    <w:rsid w:val="00F10C5C"/>
    <w:rsid w:val="00F1114F"/>
    <w:rsid w:val="00F12056"/>
    <w:rsid w:val="00F1269C"/>
    <w:rsid w:val="00F131C7"/>
    <w:rsid w:val="00F132F1"/>
    <w:rsid w:val="00F13FB2"/>
    <w:rsid w:val="00F1470D"/>
    <w:rsid w:val="00F1482B"/>
    <w:rsid w:val="00F155EE"/>
    <w:rsid w:val="00F15A77"/>
    <w:rsid w:val="00F15B37"/>
    <w:rsid w:val="00F16026"/>
    <w:rsid w:val="00F168BB"/>
    <w:rsid w:val="00F16CB6"/>
    <w:rsid w:val="00F16F8F"/>
    <w:rsid w:val="00F171DD"/>
    <w:rsid w:val="00F17C6F"/>
    <w:rsid w:val="00F20593"/>
    <w:rsid w:val="00F205C8"/>
    <w:rsid w:val="00F20742"/>
    <w:rsid w:val="00F20936"/>
    <w:rsid w:val="00F20B7B"/>
    <w:rsid w:val="00F213FB"/>
    <w:rsid w:val="00F215D1"/>
    <w:rsid w:val="00F2250B"/>
    <w:rsid w:val="00F229D7"/>
    <w:rsid w:val="00F22A5A"/>
    <w:rsid w:val="00F2314B"/>
    <w:rsid w:val="00F23A4F"/>
    <w:rsid w:val="00F24599"/>
    <w:rsid w:val="00F24682"/>
    <w:rsid w:val="00F25A62"/>
    <w:rsid w:val="00F26787"/>
    <w:rsid w:val="00F2692B"/>
    <w:rsid w:val="00F26AE3"/>
    <w:rsid w:val="00F3150E"/>
    <w:rsid w:val="00F32666"/>
    <w:rsid w:val="00F32EE0"/>
    <w:rsid w:val="00F337FB"/>
    <w:rsid w:val="00F33AAE"/>
    <w:rsid w:val="00F34747"/>
    <w:rsid w:val="00F351F2"/>
    <w:rsid w:val="00F3520C"/>
    <w:rsid w:val="00F35245"/>
    <w:rsid w:val="00F35427"/>
    <w:rsid w:val="00F3581F"/>
    <w:rsid w:val="00F35C61"/>
    <w:rsid w:val="00F35FCC"/>
    <w:rsid w:val="00F36CB3"/>
    <w:rsid w:val="00F37798"/>
    <w:rsid w:val="00F378CF"/>
    <w:rsid w:val="00F40367"/>
    <w:rsid w:val="00F40BAC"/>
    <w:rsid w:val="00F4129E"/>
    <w:rsid w:val="00F4167F"/>
    <w:rsid w:val="00F41A04"/>
    <w:rsid w:val="00F41EC2"/>
    <w:rsid w:val="00F42775"/>
    <w:rsid w:val="00F42848"/>
    <w:rsid w:val="00F43508"/>
    <w:rsid w:val="00F43BA5"/>
    <w:rsid w:val="00F44859"/>
    <w:rsid w:val="00F4561A"/>
    <w:rsid w:val="00F4617A"/>
    <w:rsid w:val="00F46340"/>
    <w:rsid w:val="00F46CA4"/>
    <w:rsid w:val="00F4704E"/>
    <w:rsid w:val="00F502D4"/>
    <w:rsid w:val="00F506EB"/>
    <w:rsid w:val="00F51000"/>
    <w:rsid w:val="00F5167F"/>
    <w:rsid w:val="00F51ED9"/>
    <w:rsid w:val="00F528A7"/>
    <w:rsid w:val="00F52D28"/>
    <w:rsid w:val="00F53080"/>
    <w:rsid w:val="00F53312"/>
    <w:rsid w:val="00F53B93"/>
    <w:rsid w:val="00F53F1A"/>
    <w:rsid w:val="00F54553"/>
    <w:rsid w:val="00F54D5A"/>
    <w:rsid w:val="00F55A41"/>
    <w:rsid w:val="00F56102"/>
    <w:rsid w:val="00F56CE2"/>
    <w:rsid w:val="00F5724D"/>
    <w:rsid w:val="00F5778D"/>
    <w:rsid w:val="00F5794F"/>
    <w:rsid w:val="00F57DFE"/>
    <w:rsid w:val="00F60BDD"/>
    <w:rsid w:val="00F610A3"/>
    <w:rsid w:val="00F625DE"/>
    <w:rsid w:val="00F6279A"/>
    <w:rsid w:val="00F62E48"/>
    <w:rsid w:val="00F62E82"/>
    <w:rsid w:val="00F63010"/>
    <w:rsid w:val="00F6313E"/>
    <w:rsid w:val="00F6332A"/>
    <w:rsid w:val="00F63467"/>
    <w:rsid w:val="00F649DC"/>
    <w:rsid w:val="00F656C4"/>
    <w:rsid w:val="00F6589A"/>
    <w:rsid w:val="00F65B65"/>
    <w:rsid w:val="00F65D23"/>
    <w:rsid w:val="00F664B7"/>
    <w:rsid w:val="00F665D1"/>
    <w:rsid w:val="00F666B2"/>
    <w:rsid w:val="00F66D94"/>
    <w:rsid w:val="00F67A9D"/>
    <w:rsid w:val="00F67B62"/>
    <w:rsid w:val="00F700F0"/>
    <w:rsid w:val="00F707A9"/>
    <w:rsid w:val="00F70AB9"/>
    <w:rsid w:val="00F71206"/>
    <w:rsid w:val="00F712BA"/>
    <w:rsid w:val="00F725C1"/>
    <w:rsid w:val="00F72F96"/>
    <w:rsid w:val="00F7301E"/>
    <w:rsid w:val="00F73543"/>
    <w:rsid w:val="00F74534"/>
    <w:rsid w:val="00F75218"/>
    <w:rsid w:val="00F75E25"/>
    <w:rsid w:val="00F779C0"/>
    <w:rsid w:val="00F77F9C"/>
    <w:rsid w:val="00F81486"/>
    <w:rsid w:val="00F81F61"/>
    <w:rsid w:val="00F8262C"/>
    <w:rsid w:val="00F84C64"/>
    <w:rsid w:val="00F84C8B"/>
    <w:rsid w:val="00F84F37"/>
    <w:rsid w:val="00F85271"/>
    <w:rsid w:val="00F86319"/>
    <w:rsid w:val="00F8634C"/>
    <w:rsid w:val="00F869E0"/>
    <w:rsid w:val="00F8735D"/>
    <w:rsid w:val="00F87B71"/>
    <w:rsid w:val="00F87BE7"/>
    <w:rsid w:val="00F87D6A"/>
    <w:rsid w:val="00F9028A"/>
    <w:rsid w:val="00F9061D"/>
    <w:rsid w:val="00F913FD"/>
    <w:rsid w:val="00F914ED"/>
    <w:rsid w:val="00F920E3"/>
    <w:rsid w:val="00F92609"/>
    <w:rsid w:val="00F9284E"/>
    <w:rsid w:val="00F93003"/>
    <w:rsid w:val="00F93405"/>
    <w:rsid w:val="00F936A9"/>
    <w:rsid w:val="00F94235"/>
    <w:rsid w:val="00F944D0"/>
    <w:rsid w:val="00F9496E"/>
    <w:rsid w:val="00F94A35"/>
    <w:rsid w:val="00F94B56"/>
    <w:rsid w:val="00F95955"/>
    <w:rsid w:val="00F95ACE"/>
    <w:rsid w:val="00F95DF5"/>
    <w:rsid w:val="00F96ACE"/>
    <w:rsid w:val="00F9719B"/>
    <w:rsid w:val="00F972A0"/>
    <w:rsid w:val="00FA09ED"/>
    <w:rsid w:val="00FA2A15"/>
    <w:rsid w:val="00FA31C9"/>
    <w:rsid w:val="00FA3309"/>
    <w:rsid w:val="00FA3648"/>
    <w:rsid w:val="00FA3935"/>
    <w:rsid w:val="00FA3A07"/>
    <w:rsid w:val="00FA3C8F"/>
    <w:rsid w:val="00FA3E4B"/>
    <w:rsid w:val="00FA4DC5"/>
    <w:rsid w:val="00FA52F7"/>
    <w:rsid w:val="00FA5BD1"/>
    <w:rsid w:val="00FA72E2"/>
    <w:rsid w:val="00FA77D4"/>
    <w:rsid w:val="00FB00C2"/>
    <w:rsid w:val="00FB16A5"/>
    <w:rsid w:val="00FB1852"/>
    <w:rsid w:val="00FB1CDF"/>
    <w:rsid w:val="00FB1ED9"/>
    <w:rsid w:val="00FB210B"/>
    <w:rsid w:val="00FB2A34"/>
    <w:rsid w:val="00FB2D0B"/>
    <w:rsid w:val="00FB33E1"/>
    <w:rsid w:val="00FB458D"/>
    <w:rsid w:val="00FB4ACA"/>
    <w:rsid w:val="00FB58EA"/>
    <w:rsid w:val="00FB5AF0"/>
    <w:rsid w:val="00FB5C0D"/>
    <w:rsid w:val="00FB6004"/>
    <w:rsid w:val="00FB60EB"/>
    <w:rsid w:val="00FB63CA"/>
    <w:rsid w:val="00FB71C6"/>
    <w:rsid w:val="00FB734D"/>
    <w:rsid w:val="00FB7370"/>
    <w:rsid w:val="00FB793F"/>
    <w:rsid w:val="00FB7ADA"/>
    <w:rsid w:val="00FC0041"/>
    <w:rsid w:val="00FC156C"/>
    <w:rsid w:val="00FC3880"/>
    <w:rsid w:val="00FC3DDD"/>
    <w:rsid w:val="00FC3F77"/>
    <w:rsid w:val="00FC46E6"/>
    <w:rsid w:val="00FC59CD"/>
    <w:rsid w:val="00FC63A4"/>
    <w:rsid w:val="00FC6400"/>
    <w:rsid w:val="00FC667D"/>
    <w:rsid w:val="00FC6C8E"/>
    <w:rsid w:val="00FD0CCE"/>
    <w:rsid w:val="00FD1025"/>
    <w:rsid w:val="00FD17E4"/>
    <w:rsid w:val="00FD1DF0"/>
    <w:rsid w:val="00FD22B6"/>
    <w:rsid w:val="00FD2BD0"/>
    <w:rsid w:val="00FD3ACB"/>
    <w:rsid w:val="00FD3C60"/>
    <w:rsid w:val="00FD42B3"/>
    <w:rsid w:val="00FD4678"/>
    <w:rsid w:val="00FD503B"/>
    <w:rsid w:val="00FD515A"/>
    <w:rsid w:val="00FD53A1"/>
    <w:rsid w:val="00FD5B74"/>
    <w:rsid w:val="00FD7D7F"/>
    <w:rsid w:val="00FD7ED2"/>
    <w:rsid w:val="00FE02F6"/>
    <w:rsid w:val="00FE1FFF"/>
    <w:rsid w:val="00FE2EF3"/>
    <w:rsid w:val="00FE30FA"/>
    <w:rsid w:val="00FE357F"/>
    <w:rsid w:val="00FE35A5"/>
    <w:rsid w:val="00FE372F"/>
    <w:rsid w:val="00FE3862"/>
    <w:rsid w:val="00FE45ED"/>
    <w:rsid w:val="00FE5268"/>
    <w:rsid w:val="00FE7102"/>
    <w:rsid w:val="00FE72C5"/>
    <w:rsid w:val="00FE7727"/>
    <w:rsid w:val="00FE7997"/>
    <w:rsid w:val="00FF00FA"/>
    <w:rsid w:val="00FF09B4"/>
    <w:rsid w:val="00FF0CBE"/>
    <w:rsid w:val="00FF1E8E"/>
    <w:rsid w:val="00FF23B3"/>
    <w:rsid w:val="00FF24CC"/>
    <w:rsid w:val="00FF2D0F"/>
    <w:rsid w:val="00FF31E5"/>
    <w:rsid w:val="00FF34D1"/>
    <w:rsid w:val="00FF3FA7"/>
    <w:rsid w:val="00FF48C4"/>
    <w:rsid w:val="00FF4B28"/>
    <w:rsid w:val="00FF4F25"/>
    <w:rsid w:val="00FF5BA4"/>
    <w:rsid w:val="00FF5DE9"/>
    <w:rsid w:val="00FF7A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76903"/>
  <w15:docId w15:val="{C8CF033D-FAE3-4106-A25F-17F2CB15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z-Cyrl-UZ" w:eastAsia="uz-Cyrl-U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3F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3F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B3F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3F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5018"/>
    <w:pPr>
      <w:ind w:left="720"/>
      <w:contextualSpacing/>
    </w:pPr>
  </w:style>
  <w:style w:type="paragraph" w:styleId="FootnoteText">
    <w:name w:val="footnote text"/>
    <w:basedOn w:val="Normal"/>
    <w:link w:val="FootnoteTextChar"/>
    <w:uiPriority w:val="99"/>
    <w:unhideWhenUsed/>
    <w:rsid w:val="00AA1254"/>
    <w:pPr>
      <w:spacing w:after="0" w:line="240" w:lineRule="auto"/>
    </w:pPr>
    <w:rPr>
      <w:sz w:val="20"/>
      <w:szCs w:val="20"/>
    </w:rPr>
  </w:style>
  <w:style w:type="character" w:customStyle="1" w:styleId="FootnoteTextChar">
    <w:name w:val="Footnote Text Char"/>
    <w:basedOn w:val="DefaultParagraphFont"/>
    <w:link w:val="FootnoteText"/>
    <w:uiPriority w:val="99"/>
    <w:rsid w:val="00AA1254"/>
    <w:rPr>
      <w:sz w:val="20"/>
      <w:szCs w:val="20"/>
      <w:lang w:val="en-US" w:eastAsia="en-US"/>
    </w:rPr>
  </w:style>
  <w:style w:type="character" w:styleId="FootnoteReference">
    <w:name w:val="footnote reference"/>
    <w:basedOn w:val="DefaultParagraphFont"/>
    <w:uiPriority w:val="99"/>
    <w:unhideWhenUsed/>
    <w:rsid w:val="00AA1254"/>
    <w:rPr>
      <w:vertAlign w:val="superscript"/>
    </w:rPr>
  </w:style>
  <w:style w:type="character" w:styleId="Hyperlink">
    <w:name w:val="Hyperlink"/>
    <w:basedOn w:val="DefaultParagraphFont"/>
    <w:uiPriority w:val="99"/>
    <w:unhideWhenUsed/>
    <w:rsid w:val="007E1FAD"/>
    <w:rPr>
      <w:color w:val="0000FF"/>
      <w:u w:val="single"/>
    </w:rPr>
  </w:style>
  <w:style w:type="character" w:styleId="FollowedHyperlink">
    <w:name w:val="FollowedHyperlink"/>
    <w:basedOn w:val="DefaultParagraphFont"/>
    <w:uiPriority w:val="99"/>
    <w:semiHidden/>
    <w:unhideWhenUsed/>
    <w:rsid w:val="009F3C49"/>
    <w:rPr>
      <w:color w:val="800080" w:themeColor="followedHyperlink"/>
      <w:u w:val="single"/>
    </w:rPr>
  </w:style>
  <w:style w:type="paragraph" w:styleId="BalloonText">
    <w:name w:val="Balloon Text"/>
    <w:basedOn w:val="Normal"/>
    <w:link w:val="BalloonTextChar"/>
    <w:uiPriority w:val="99"/>
    <w:semiHidden/>
    <w:unhideWhenUsed/>
    <w:rsid w:val="0020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EF"/>
    <w:rPr>
      <w:rFonts w:ascii="Tahoma" w:hAnsi="Tahoma" w:cs="Tahoma"/>
      <w:sz w:val="16"/>
      <w:szCs w:val="16"/>
    </w:rPr>
  </w:style>
  <w:style w:type="paragraph" w:styleId="Header">
    <w:name w:val="header"/>
    <w:basedOn w:val="Normal"/>
    <w:link w:val="HeaderChar"/>
    <w:uiPriority w:val="99"/>
    <w:unhideWhenUsed/>
    <w:rsid w:val="00D566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6604"/>
  </w:style>
  <w:style w:type="paragraph" w:styleId="Footer">
    <w:name w:val="footer"/>
    <w:basedOn w:val="Normal"/>
    <w:link w:val="FooterChar"/>
    <w:uiPriority w:val="99"/>
    <w:unhideWhenUsed/>
    <w:rsid w:val="00D566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6604"/>
  </w:style>
  <w:style w:type="character" w:styleId="CommentReference">
    <w:name w:val="annotation reference"/>
    <w:basedOn w:val="DefaultParagraphFont"/>
    <w:uiPriority w:val="99"/>
    <w:semiHidden/>
    <w:rsid w:val="00BF3283"/>
    <w:rPr>
      <w:rFonts w:cs="Times New Roman"/>
      <w:sz w:val="16"/>
      <w:szCs w:val="16"/>
    </w:rPr>
  </w:style>
  <w:style w:type="paragraph" w:styleId="NormalWeb">
    <w:name w:val="Normal (Web)"/>
    <w:basedOn w:val="Normal"/>
    <w:uiPriority w:val="99"/>
    <w:unhideWhenUsed/>
    <w:rsid w:val="00BF328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A3D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19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15E6B"/>
    <w:pPr>
      <w:spacing w:line="240" w:lineRule="auto"/>
    </w:pPr>
    <w:rPr>
      <w:sz w:val="20"/>
      <w:szCs w:val="20"/>
    </w:rPr>
  </w:style>
  <w:style w:type="character" w:customStyle="1" w:styleId="CommentTextChar">
    <w:name w:val="Comment Text Char"/>
    <w:basedOn w:val="DefaultParagraphFont"/>
    <w:link w:val="CommentText"/>
    <w:uiPriority w:val="99"/>
    <w:rsid w:val="00715E6B"/>
    <w:rPr>
      <w:sz w:val="20"/>
      <w:szCs w:val="20"/>
    </w:rPr>
  </w:style>
  <w:style w:type="paragraph" w:styleId="CommentSubject">
    <w:name w:val="annotation subject"/>
    <w:basedOn w:val="CommentText"/>
    <w:next w:val="CommentText"/>
    <w:link w:val="CommentSubjectChar"/>
    <w:uiPriority w:val="99"/>
    <w:semiHidden/>
    <w:unhideWhenUsed/>
    <w:rsid w:val="00715E6B"/>
    <w:rPr>
      <w:b/>
      <w:bCs/>
    </w:rPr>
  </w:style>
  <w:style w:type="character" w:customStyle="1" w:styleId="CommentSubjectChar">
    <w:name w:val="Comment Subject Char"/>
    <w:basedOn w:val="CommentTextChar"/>
    <w:link w:val="CommentSubject"/>
    <w:uiPriority w:val="99"/>
    <w:semiHidden/>
    <w:rsid w:val="00715E6B"/>
    <w:rPr>
      <w:b/>
      <w:bCs/>
      <w:sz w:val="20"/>
      <w:szCs w:val="20"/>
    </w:rPr>
  </w:style>
  <w:style w:type="character" w:styleId="Strong">
    <w:name w:val="Strong"/>
    <w:basedOn w:val="DefaultParagraphFont"/>
    <w:uiPriority w:val="22"/>
    <w:qFormat/>
    <w:rsid w:val="00042423"/>
    <w:rPr>
      <w:b/>
      <w:bCs/>
    </w:rPr>
  </w:style>
  <w:style w:type="table" w:styleId="MediumShading1-Accent5">
    <w:name w:val="Medium Shading 1 Accent 5"/>
    <w:basedOn w:val="TableNormal"/>
    <w:uiPriority w:val="63"/>
    <w:rsid w:val="008E787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787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8E78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Default">
    <w:name w:val="Default"/>
    <w:rsid w:val="00F53F1A"/>
    <w:pPr>
      <w:autoSpaceDE w:val="0"/>
      <w:autoSpaceDN w:val="0"/>
      <w:adjustRightInd w:val="0"/>
      <w:spacing w:after="0" w:line="240" w:lineRule="auto"/>
    </w:pPr>
    <w:rPr>
      <w:rFonts w:ascii="Tahoma" w:hAnsi="Tahoma" w:cs="Tahoma"/>
      <w:color w:val="000000"/>
      <w:sz w:val="24"/>
      <w:szCs w:val="24"/>
      <w:lang w:val="en-US"/>
    </w:rPr>
  </w:style>
  <w:style w:type="table" w:customStyle="1" w:styleId="TableGrid3">
    <w:name w:val="Table Grid3"/>
    <w:basedOn w:val="TableNormal"/>
    <w:next w:val="TableGrid"/>
    <w:uiPriority w:val="59"/>
    <w:rsid w:val="003547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4038"/>
    <w:rPr>
      <w:i/>
      <w:iCs/>
    </w:rPr>
  </w:style>
  <w:style w:type="character" w:customStyle="1" w:styleId="ListParagraphChar">
    <w:name w:val="List Paragraph Char"/>
    <w:link w:val="ListParagraph"/>
    <w:uiPriority w:val="34"/>
    <w:locked/>
    <w:rsid w:val="00443990"/>
  </w:style>
  <w:style w:type="paragraph" w:customStyle="1" w:styleId="m2775718054655217200msolistparagraph">
    <w:name w:val="m_2775718054655217200msolistparagraph"/>
    <w:basedOn w:val="Normal"/>
    <w:rsid w:val="00BB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E65A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ventplaceeventdate">
    <w:name w:val="eventplace_eventdate"/>
    <w:basedOn w:val="Normal"/>
    <w:rsid w:val="00CC608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C70AC1"/>
    <w:pPr>
      <w:spacing w:after="0" w:line="240" w:lineRule="auto"/>
    </w:pPr>
  </w:style>
  <w:style w:type="paragraph" w:styleId="NoSpacing">
    <w:name w:val="No Spacing"/>
    <w:uiPriority w:val="1"/>
    <w:qFormat/>
    <w:rsid w:val="000B3F57"/>
    <w:pPr>
      <w:spacing w:after="0" w:line="240" w:lineRule="auto"/>
    </w:pPr>
  </w:style>
  <w:style w:type="character" w:customStyle="1" w:styleId="Heading1Char">
    <w:name w:val="Heading 1 Char"/>
    <w:basedOn w:val="DefaultParagraphFont"/>
    <w:link w:val="Heading1"/>
    <w:uiPriority w:val="9"/>
    <w:rsid w:val="000B3F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B3F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B3F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B3F57"/>
    <w:rPr>
      <w:rFonts w:asciiTheme="majorHAnsi" w:eastAsiaTheme="majorEastAsia" w:hAnsiTheme="majorHAnsi" w:cstheme="majorBidi"/>
      <w:i/>
      <w:iCs/>
      <w:color w:val="365F91" w:themeColor="accent1" w:themeShade="BF"/>
    </w:rPr>
  </w:style>
  <w:style w:type="table" w:customStyle="1" w:styleId="TableGrid11">
    <w:name w:val="Table Grid11"/>
    <w:basedOn w:val="TableNormal"/>
    <w:next w:val="TableGrid"/>
    <w:uiPriority w:val="39"/>
    <w:rsid w:val="00AA0406"/>
    <w:pPr>
      <w:spacing w:after="0" w:line="240" w:lineRule="auto"/>
    </w:pPr>
    <w:rPr>
      <w:rFonts w:ascii="Times New Roman" w:eastAsia="Calibri" w:hAnsi="Times New Roman" w:cs="Times New Roman"/>
      <w:sz w:val="24"/>
      <w:lang w:val="sr-Cyrl-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A0406"/>
    <w:pPr>
      <w:spacing w:after="0" w:line="240" w:lineRule="auto"/>
    </w:pPr>
    <w:rPr>
      <w:rFonts w:ascii="Times New Roman" w:eastAsia="Calibri" w:hAnsi="Times New Roman" w:cs="Times New Roman"/>
      <w:sz w:val="24"/>
      <w:lang w:val="sr-Cyrl-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1474">
      <w:bodyDiv w:val="1"/>
      <w:marLeft w:val="0"/>
      <w:marRight w:val="0"/>
      <w:marTop w:val="0"/>
      <w:marBottom w:val="0"/>
      <w:divBdr>
        <w:top w:val="none" w:sz="0" w:space="0" w:color="auto"/>
        <w:left w:val="none" w:sz="0" w:space="0" w:color="auto"/>
        <w:bottom w:val="none" w:sz="0" w:space="0" w:color="auto"/>
        <w:right w:val="none" w:sz="0" w:space="0" w:color="auto"/>
      </w:divBdr>
    </w:div>
    <w:div w:id="92364936">
      <w:bodyDiv w:val="1"/>
      <w:marLeft w:val="0"/>
      <w:marRight w:val="0"/>
      <w:marTop w:val="0"/>
      <w:marBottom w:val="0"/>
      <w:divBdr>
        <w:top w:val="none" w:sz="0" w:space="0" w:color="auto"/>
        <w:left w:val="none" w:sz="0" w:space="0" w:color="auto"/>
        <w:bottom w:val="none" w:sz="0" w:space="0" w:color="auto"/>
        <w:right w:val="none" w:sz="0" w:space="0" w:color="auto"/>
      </w:divBdr>
    </w:div>
    <w:div w:id="116265714">
      <w:bodyDiv w:val="1"/>
      <w:marLeft w:val="0"/>
      <w:marRight w:val="0"/>
      <w:marTop w:val="0"/>
      <w:marBottom w:val="0"/>
      <w:divBdr>
        <w:top w:val="none" w:sz="0" w:space="0" w:color="auto"/>
        <w:left w:val="none" w:sz="0" w:space="0" w:color="auto"/>
        <w:bottom w:val="none" w:sz="0" w:space="0" w:color="auto"/>
        <w:right w:val="none" w:sz="0" w:space="0" w:color="auto"/>
      </w:divBdr>
    </w:div>
    <w:div w:id="178128258">
      <w:bodyDiv w:val="1"/>
      <w:marLeft w:val="0"/>
      <w:marRight w:val="0"/>
      <w:marTop w:val="0"/>
      <w:marBottom w:val="0"/>
      <w:divBdr>
        <w:top w:val="none" w:sz="0" w:space="0" w:color="auto"/>
        <w:left w:val="none" w:sz="0" w:space="0" w:color="auto"/>
        <w:bottom w:val="none" w:sz="0" w:space="0" w:color="auto"/>
        <w:right w:val="none" w:sz="0" w:space="0" w:color="auto"/>
      </w:divBdr>
      <w:divsChild>
        <w:div w:id="638808449">
          <w:marLeft w:val="0"/>
          <w:marRight w:val="0"/>
          <w:marTop w:val="0"/>
          <w:marBottom w:val="0"/>
          <w:divBdr>
            <w:top w:val="none" w:sz="0" w:space="0" w:color="auto"/>
            <w:left w:val="single" w:sz="6" w:space="8" w:color="D4D4D4"/>
            <w:bottom w:val="single" w:sz="6" w:space="8" w:color="D4D4D4"/>
            <w:right w:val="single" w:sz="6" w:space="8" w:color="D4D4D4"/>
          </w:divBdr>
        </w:div>
      </w:divsChild>
    </w:div>
    <w:div w:id="209998457">
      <w:bodyDiv w:val="1"/>
      <w:marLeft w:val="0"/>
      <w:marRight w:val="0"/>
      <w:marTop w:val="0"/>
      <w:marBottom w:val="0"/>
      <w:divBdr>
        <w:top w:val="none" w:sz="0" w:space="0" w:color="auto"/>
        <w:left w:val="none" w:sz="0" w:space="0" w:color="auto"/>
        <w:bottom w:val="none" w:sz="0" w:space="0" w:color="auto"/>
        <w:right w:val="none" w:sz="0" w:space="0" w:color="auto"/>
      </w:divBdr>
    </w:div>
    <w:div w:id="232935775">
      <w:bodyDiv w:val="1"/>
      <w:marLeft w:val="0"/>
      <w:marRight w:val="0"/>
      <w:marTop w:val="0"/>
      <w:marBottom w:val="0"/>
      <w:divBdr>
        <w:top w:val="none" w:sz="0" w:space="0" w:color="auto"/>
        <w:left w:val="none" w:sz="0" w:space="0" w:color="auto"/>
        <w:bottom w:val="none" w:sz="0" w:space="0" w:color="auto"/>
        <w:right w:val="none" w:sz="0" w:space="0" w:color="auto"/>
      </w:divBdr>
    </w:div>
    <w:div w:id="243539543">
      <w:bodyDiv w:val="1"/>
      <w:marLeft w:val="0"/>
      <w:marRight w:val="0"/>
      <w:marTop w:val="0"/>
      <w:marBottom w:val="0"/>
      <w:divBdr>
        <w:top w:val="none" w:sz="0" w:space="0" w:color="auto"/>
        <w:left w:val="none" w:sz="0" w:space="0" w:color="auto"/>
        <w:bottom w:val="none" w:sz="0" w:space="0" w:color="auto"/>
        <w:right w:val="none" w:sz="0" w:space="0" w:color="auto"/>
      </w:divBdr>
    </w:div>
    <w:div w:id="358043528">
      <w:bodyDiv w:val="1"/>
      <w:marLeft w:val="0"/>
      <w:marRight w:val="0"/>
      <w:marTop w:val="0"/>
      <w:marBottom w:val="0"/>
      <w:divBdr>
        <w:top w:val="none" w:sz="0" w:space="0" w:color="auto"/>
        <w:left w:val="none" w:sz="0" w:space="0" w:color="auto"/>
        <w:bottom w:val="none" w:sz="0" w:space="0" w:color="auto"/>
        <w:right w:val="none" w:sz="0" w:space="0" w:color="auto"/>
      </w:divBdr>
    </w:div>
    <w:div w:id="392823052">
      <w:bodyDiv w:val="1"/>
      <w:marLeft w:val="0"/>
      <w:marRight w:val="0"/>
      <w:marTop w:val="0"/>
      <w:marBottom w:val="0"/>
      <w:divBdr>
        <w:top w:val="none" w:sz="0" w:space="0" w:color="auto"/>
        <w:left w:val="none" w:sz="0" w:space="0" w:color="auto"/>
        <w:bottom w:val="none" w:sz="0" w:space="0" w:color="auto"/>
        <w:right w:val="none" w:sz="0" w:space="0" w:color="auto"/>
      </w:divBdr>
    </w:div>
    <w:div w:id="541134062">
      <w:bodyDiv w:val="1"/>
      <w:marLeft w:val="0"/>
      <w:marRight w:val="0"/>
      <w:marTop w:val="0"/>
      <w:marBottom w:val="0"/>
      <w:divBdr>
        <w:top w:val="none" w:sz="0" w:space="0" w:color="auto"/>
        <w:left w:val="none" w:sz="0" w:space="0" w:color="auto"/>
        <w:bottom w:val="none" w:sz="0" w:space="0" w:color="auto"/>
        <w:right w:val="none" w:sz="0" w:space="0" w:color="auto"/>
      </w:divBdr>
    </w:div>
    <w:div w:id="629558090">
      <w:bodyDiv w:val="1"/>
      <w:marLeft w:val="0"/>
      <w:marRight w:val="0"/>
      <w:marTop w:val="0"/>
      <w:marBottom w:val="0"/>
      <w:divBdr>
        <w:top w:val="none" w:sz="0" w:space="0" w:color="auto"/>
        <w:left w:val="none" w:sz="0" w:space="0" w:color="auto"/>
        <w:bottom w:val="none" w:sz="0" w:space="0" w:color="auto"/>
        <w:right w:val="none" w:sz="0" w:space="0" w:color="auto"/>
      </w:divBdr>
    </w:div>
    <w:div w:id="640309923">
      <w:bodyDiv w:val="1"/>
      <w:marLeft w:val="0"/>
      <w:marRight w:val="0"/>
      <w:marTop w:val="0"/>
      <w:marBottom w:val="0"/>
      <w:divBdr>
        <w:top w:val="none" w:sz="0" w:space="0" w:color="auto"/>
        <w:left w:val="none" w:sz="0" w:space="0" w:color="auto"/>
        <w:bottom w:val="none" w:sz="0" w:space="0" w:color="auto"/>
        <w:right w:val="none" w:sz="0" w:space="0" w:color="auto"/>
      </w:divBdr>
    </w:div>
    <w:div w:id="682903868">
      <w:bodyDiv w:val="1"/>
      <w:marLeft w:val="0"/>
      <w:marRight w:val="0"/>
      <w:marTop w:val="0"/>
      <w:marBottom w:val="0"/>
      <w:divBdr>
        <w:top w:val="none" w:sz="0" w:space="0" w:color="auto"/>
        <w:left w:val="none" w:sz="0" w:space="0" w:color="auto"/>
        <w:bottom w:val="none" w:sz="0" w:space="0" w:color="auto"/>
        <w:right w:val="none" w:sz="0" w:space="0" w:color="auto"/>
      </w:divBdr>
    </w:div>
    <w:div w:id="780994166">
      <w:bodyDiv w:val="1"/>
      <w:marLeft w:val="0"/>
      <w:marRight w:val="0"/>
      <w:marTop w:val="0"/>
      <w:marBottom w:val="0"/>
      <w:divBdr>
        <w:top w:val="none" w:sz="0" w:space="0" w:color="auto"/>
        <w:left w:val="none" w:sz="0" w:space="0" w:color="auto"/>
        <w:bottom w:val="none" w:sz="0" w:space="0" w:color="auto"/>
        <w:right w:val="none" w:sz="0" w:space="0" w:color="auto"/>
      </w:divBdr>
    </w:div>
    <w:div w:id="811365841">
      <w:bodyDiv w:val="1"/>
      <w:marLeft w:val="0"/>
      <w:marRight w:val="0"/>
      <w:marTop w:val="0"/>
      <w:marBottom w:val="0"/>
      <w:divBdr>
        <w:top w:val="none" w:sz="0" w:space="0" w:color="auto"/>
        <w:left w:val="none" w:sz="0" w:space="0" w:color="auto"/>
        <w:bottom w:val="none" w:sz="0" w:space="0" w:color="auto"/>
        <w:right w:val="none" w:sz="0" w:space="0" w:color="auto"/>
      </w:divBdr>
    </w:div>
    <w:div w:id="891621737">
      <w:bodyDiv w:val="1"/>
      <w:marLeft w:val="0"/>
      <w:marRight w:val="0"/>
      <w:marTop w:val="0"/>
      <w:marBottom w:val="0"/>
      <w:divBdr>
        <w:top w:val="none" w:sz="0" w:space="0" w:color="auto"/>
        <w:left w:val="none" w:sz="0" w:space="0" w:color="auto"/>
        <w:bottom w:val="none" w:sz="0" w:space="0" w:color="auto"/>
        <w:right w:val="none" w:sz="0" w:space="0" w:color="auto"/>
      </w:divBdr>
    </w:div>
    <w:div w:id="932207584">
      <w:bodyDiv w:val="1"/>
      <w:marLeft w:val="0"/>
      <w:marRight w:val="0"/>
      <w:marTop w:val="0"/>
      <w:marBottom w:val="0"/>
      <w:divBdr>
        <w:top w:val="none" w:sz="0" w:space="0" w:color="auto"/>
        <w:left w:val="none" w:sz="0" w:space="0" w:color="auto"/>
        <w:bottom w:val="none" w:sz="0" w:space="0" w:color="auto"/>
        <w:right w:val="none" w:sz="0" w:space="0" w:color="auto"/>
      </w:divBdr>
    </w:div>
    <w:div w:id="970591878">
      <w:bodyDiv w:val="1"/>
      <w:marLeft w:val="0"/>
      <w:marRight w:val="0"/>
      <w:marTop w:val="0"/>
      <w:marBottom w:val="0"/>
      <w:divBdr>
        <w:top w:val="none" w:sz="0" w:space="0" w:color="auto"/>
        <w:left w:val="none" w:sz="0" w:space="0" w:color="auto"/>
        <w:bottom w:val="none" w:sz="0" w:space="0" w:color="auto"/>
        <w:right w:val="none" w:sz="0" w:space="0" w:color="auto"/>
      </w:divBdr>
    </w:div>
    <w:div w:id="984434781">
      <w:bodyDiv w:val="1"/>
      <w:marLeft w:val="0"/>
      <w:marRight w:val="0"/>
      <w:marTop w:val="0"/>
      <w:marBottom w:val="0"/>
      <w:divBdr>
        <w:top w:val="none" w:sz="0" w:space="0" w:color="auto"/>
        <w:left w:val="none" w:sz="0" w:space="0" w:color="auto"/>
        <w:bottom w:val="none" w:sz="0" w:space="0" w:color="auto"/>
        <w:right w:val="none" w:sz="0" w:space="0" w:color="auto"/>
      </w:divBdr>
    </w:div>
    <w:div w:id="988097952">
      <w:bodyDiv w:val="1"/>
      <w:marLeft w:val="0"/>
      <w:marRight w:val="0"/>
      <w:marTop w:val="0"/>
      <w:marBottom w:val="0"/>
      <w:divBdr>
        <w:top w:val="none" w:sz="0" w:space="0" w:color="auto"/>
        <w:left w:val="none" w:sz="0" w:space="0" w:color="auto"/>
        <w:bottom w:val="none" w:sz="0" w:space="0" w:color="auto"/>
        <w:right w:val="none" w:sz="0" w:space="0" w:color="auto"/>
      </w:divBdr>
    </w:div>
    <w:div w:id="995837471">
      <w:bodyDiv w:val="1"/>
      <w:marLeft w:val="0"/>
      <w:marRight w:val="0"/>
      <w:marTop w:val="0"/>
      <w:marBottom w:val="0"/>
      <w:divBdr>
        <w:top w:val="none" w:sz="0" w:space="0" w:color="auto"/>
        <w:left w:val="none" w:sz="0" w:space="0" w:color="auto"/>
        <w:bottom w:val="none" w:sz="0" w:space="0" w:color="auto"/>
        <w:right w:val="none" w:sz="0" w:space="0" w:color="auto"/>
      </w:divBdr>
    </w:div>
    <w:div w:id="1002663511">
      <w:bodyDiv w:val="1"/>
      <w:marLeft w:val="0"/>
      <w:marRight w:val="0"/>
      <w:marTop w:val="0"/>
      <w:marBottom w:val="0"/>
      <w:divBdr>
        <w:top w:val="none" w:sz="0" w:space="0" w:color="auto"/>
        <w:left w:val="none" w:sz="0" w:space="0" w:color="auto"/>
        <w:bottom w:val="none" w:sz="0" w:space="0" w:color="auto"/>
        <w:right w:val="none" w:sz="0" w:space="0" w:color="auto"/>
      </w:divBdr>
      <w:divsChild>
        <w:div w:id="384841865">
          <w:marLeft w:val="547"/>
          <w:marRight w:val="0"/>
          <w:marTop w:val="144"/>
          <w:marBottom w:val="0"/>
          <w:divBdr>
            <w:top w:val="none" w:sz="0" w:space="0" w:color="auto"/>
            <w:left w:val="none" w:sz="0" w:space="0" w:color="auto"/>
            <w:bottom w:val="none" w:sz="0" w:space="0" w:color="auto"/>
            <w:right w:val="none" w:sz="0" w:space="0" w:color="auto"/>
          </w:divBdr>
        </w:div>
        <w:div w:id="819465313">
          <w:marLeft w:val="547"/>
          <w:marRight w:val="0"/>
          <w:marTop w:val="144"/>
          <w:marBottom w:val="0"/>
          <w:divBdr>
            <w:top w:val="none" w:sz="0" w:space="0" w:color="auto"/>
            <w:left w:val="none" w:sz="0" w:space="0" w:color="auto"/>
            <w:bottom w:val="none" w:sz="0" w:space="0" w:color="auto"/>
            <w:right w:val="none" w:sz="0" w:space="0" w:color="auto"/>
          </w:divBdr>
        </w:div>
        <w:div w:id="1722361225">
          <w:marLeft w:val="547"/>
          <w:marRight w:val="0"/>
          <w:marTop w:val="144"/>
          <w:marBottom w:val="0"/>
          <w:divBdr>
            <w:top w:val="none" w:sz="0" w:space="0" w:color="auto"/>
            <w:left w:val="none" w:sz="0" w:space="0" w:color="auto"/>
            <w:bottom w:val="none" w:sz="0" w:space="0" w:color="auto"/>
            <w:right w:val="none" w:sz="0" w:space="0" w:color="auto"/>
          </w:divBdr>
        </w:div>
        <w:div w:id="1406879747">
          <w:marLeft w:val="547"/>
          <w:marRight w:val="0"/>
          <w:marTop w:val="144"/>
          <w:marBottom w:val="0"/>
          <w:divBdr>
            <w:top w:val="none" w:sz="0" w:space="0" w:color="auto"/>
            <w:left w:val="none" w:sz="0" w:space="0" w:color="auto"/>
            <w:bottom w:val="none" w:sz="0" w:space="0" w:color="auto"/>
            <w:right w:val="none" w:sz="0" w:space="0" w:color="auto"/>
          </w:divBdr>
        </w:div>
      </w:divsChild>
    </w:div>
    <w:div w:id="1024984278">
      <w:bodyDiv w:val="1"/>
      <w:marLeft w:val="0"/>
      <w:marRight w:val="0"/>
      <w:marTop w:val="0"/>
      <w:marBottom w:val="0"/>
      <w:divBdr>
        <w:top w:val="none" w:sz="0" w:space="0" w:color="auto"/>
        <w:left w:val="none" w:sz="0" w:space="0" w:color="auto"/>
        <w:bottom w:val="none" w:sz="0" w:space="0" w:color="auto"/>
        <w:right w:val="none" w:sz="0" w:space="0" w:color="auto"/>
      </w:divBdr>
    </w:div>
    <w:div w:id="1037120967">
      <w:bodyDiv w:val="1"/>
      <w:marLeft w:val="0"/>
      <w:marRight w:val="0"/>
      <w:marTop w:val="0"/>
      <w:marBottom w:val="0"/>
      <w:divBdr>
        <w:top w:val="none" w:sz="0" w:space="0" w:color="auto"/>
        <w:left w:val="none" w:sz="0" w:space="0" w:color="auto"/>
        <w:bottom w:val="none" w:sz="0" w:space="0" w:color="auto"/>
        <w:right w:val="none" w:sz="0" w:space="0" w:color="auto"/>
      </w:divBdr>
    </w:div>
    <w:div w:id="1123113261">
      <w:bodyDiv w:val="1"/>
      <w:marLeft w:val="0"/>
      <w:marRight w:val="0"/>
      <w:marTop w:val="0"/>
      <w:marBottom w:val="0"/>
      <w:divBdr>
        <w:top w:val="none" w:sz="0" w:space="0" w:color="auto"/>
        <w:left w:val="none" w:sz="0" w:space="0" w:color="auto"/>
        <w:bottom w:val="none" w:sz="0" w:space="0" w:color="auto"/>
        <w:right w:val="none" w:sz="0" w:space="0" w:color="auto"/>
      </w:divBdr>
    </w:div>
    <w:div w:id="1136484089">
      <w:bodyDiv w:val="1"/>
      <w:marLeft w:val="0"/>
      <w:marRight w:val="0"/>
      <w:marTop w:val="0"/>
      <w:marBottom w:val="0"/>
      <w:divBdr>
        <w:top w:val="none" w:sz="0" w:space="0" w:color="auto"/>
        <w:left w:val="none" w:sz="0" w:space="0" w:color="auto"/>
        <w:bottom w:val="none" w:sz="0" w:space="0" w:color="auto"/>
        <w:right w:val="none" w:sz="0" w:space="0" w:color="auto"/>
      </w:divBdr>
    </w:div>
    <w:div w:id="1265991251">
      <w:bodyDiv w:val="1"/>
      <w:marLeft w:val="0"/>
      <w:marRight w:val="0"/>
      <w:marTop w:val="0"/>
      <w:marBottom w:val="0"/>
      <w:divBdr>
        <w:top w:val="none" w:sz="0" w:space="0" w:color="auto"/>
        <w:left w:val="none" w:sz="0" w:space="0" w:color="auto"/>
        <w:bottom w:val="none" w:sz="0" w:space="0" w:color="auto"/>
        <w:right w:val="none" w:sz="0" w:space="0" w:color="auto"/>
      </w:divBdr>
    </w:div>
    <w:div w:id="1281303767">
      <w:bodyDiv w:val="1"/>
      <w:marLeft w:val="0"/>
      <w:marRight w:val="0"/>
      <w:marTop w:val="0"/>
      <w:marBottom w:val="0"/>
      <w:divBdr>
        <w:top w:val="none" w:sz="0" w:space="0" w:color="auto"/>
        <w:left w:val="none" w:sz="0" w:space="0" w:color="auto"/>
        <w:bottom w:val="none" w:sz="0" w:space="0" w:color="auto"/>
        <w:right w:val="none" w:sz="0" w:space="0" w:color="auto"/>
      </w:divBdr>
    </w:div>
    <w:div w:id="1309165680">
      <w:bodyDiv w:val="1"/>
      <w:marLeft w:val="0"/>
      <w:marRight w:val="0"/>
      <w:marTop w:val="0"/>
      <w:marBottom w:val="0"/>
      <w:divBdr>
        <w:top w:val="none" w:sz="0" w:space="0" w:color="auto"/>
        <w:left w:val="none" w:sz="0" w:space="0" w:color="auto"/>
        <w:bottom w:val="none" w:sz="0" w:space="0" w:color="auto"/>
        <w:right w:val="none" w:sz="0" w:space="0" w:color="auto"/>
      </w:divBdr>
    </w:div>
    <w:div w:id="1320772505">
      <w:bodyDiv w:val="1"/>
      <w:marLeft w:val="0"/>
      <w:marRight w:val="0"/>
      <w:marTop w:val="0"/>
      <w:marBottom w:val="0"/>
      <w:divBdr>
        <w:top w:val="none" w:sz="0" w:space="0" w:color="auto"/>
        <w:left w:val="none" w:sz="0" w:space="0" w:color="auto"/>
        <w:bottom w:val="none" w:sz="0" w:space="0" w:color="auto"/>
        <w:right w:val="none" w:sz="0" w:space="0" w:color="auto"/>
      </w:divBdr>
    </w:div>
    <w:div w:id="1407143616">
      <w:bodyDiv w:val="1"/>
      <w:marLeft w:val="0"/>
      <w:marRight w:val="0"/>
      <w:marTop w:val="0"/>
      <w:marBottom w:val="0"/>
      <w:divBdr>
        <w:top w:val="none" w:sz="0" w:space="0" w:color="auto"/>
        <w:left w:val="none" w:sz="0" w:space="0" w:color="auto"/>
        <w:bottom w:val="none" w:sz="0" w:space="0" w:color="auto"/>
        <w:right w:val="none" w:sz="0" w:space="0" w:color="auto"/>
      </w:divBdr>
    </w:div>
    <w:div w:id="1445349457">
      <w:bodyDiv w:val="1"/>
      <w:marLeft w:val="0"/>
      <w:marRight w:val="0"/>
      <w:marTop w:val="0"/>
      <w:marBottom w:val="0"/>
      <w:divBdr>
        <w:top w:val="none" w:sz="0" w:space="0" w:color="auto"/>
        <w:left w:val="none" w:sz="0" w:space="0" w:color="auto"/>
        <w:bottom w:val="none" w:sz="0" w:space="0" w:color="auto"/>
        <w:right w:val="none" w:sz="0" w:space="0" w:color="auto"/>
      </w:divBdr>
    </w:div>
    <w:div w:id="1475105147">
      <w:bodyDiv w:val="1"/>
      <w:marLeft w:val="0"/>
      <w:marRight w:val="0"/>
      <w:marTop w:val="0"/>
      <w:marBottom w:val="0"/>
      <w:divBdr>
        <w:top w:val="none" w:sz="0" w:space="0" w:color="auto"/>
        <w:left w:val="none" w:sz="0" w:space="0" w:color="auto"/>
        <w:bottom w:val="none" w:sz="0" w:space="0" w:color="auto"/>
        <w:right w:val="none" w:sz="0" w:space="0" w:color="auto"/>
      </w:divBdr>
    </w:div>
    <w:div w:id="1523980830">
      <w:bodyDiv w:val="1"/>
      <w:marLeft w:val="0"/>
      <w:marRight w:val="0"/>
      <w:marTop w:val="0"/>
      <w:marBottom w:val="0"/>
      <w:divBdr>
        <w:top w:val="none" w:sz="0" w:space="0" w:color="auto"/>
        <w:left w:val="none" w:sz="0" w:space="0" w:color="auto"/>
        <w:bottom w:val="none" w:sz="0" w:space="0" w:color="auto"/>
        <w:right w:val="none" w:sz="0" w:space="0" w:color="auto"/>
      </w:divBdr>
    </w:div>
    <w:div w:id="1546796164">
      <w:bodyDiv w:val="1"/>
      <w:marLeft w:val="0"/>
      <w:marRight w:val="0"/>
      <w:marTop w:val="0"/>
      <w:marBottom w:val="0"/>
      <w:divBdr>
        <w:top w:val="none" w:sz="0" w:space="0" w:color="auto"/>
        <w:left w:val="none" w:sz="0" w:space="0" w:color="auto"/>
        <w:bottom w:val="none" w:sz="0" w:space="0" w:color="auto"/>
        <w:right w:val="none" w:sz="0" w:space="0" w:color="auto"/>
      </w:divBdr>
    </w:div>
    <w:div w:id="1571185616">
      <w:bodyDiv w:val="1"/>
      <w:marLeft w:val="0"/>
      <w:marRight w:val="0"/>
      <w:marTop w:val="0"/>
      <w:marBottom w:val="0"/>
      <w:divBdr>
        <w:top w:val="none" w:sz="0" w:space="0" w:color="auto"/>
        <w:left w:val="none" w:sz="0" w:space="0" w:color="auto"/>
        <w:bottom w:val="none" w:sz="0" w:space="0" w:color="auto"/>
        <w:right w:val="none" w:sz="0" w:space="0" w:color="auto"/>
      </w:divBdr>
    </w:div>
    <w:div w:id="1762023273">
      <w:bodyDiv w:val="1"/>
      <w:marLeft w:val="0"/>
      <w:marRight w:val="0"/>
      <w:marTop w:val="0"/>
      <w:marBottom w:val="0"/>
      <w:divBdr>
        <w:top w:val="none" w:sz="0" w:space="0" w:color="auto"/>
        <w:left w:val="none" w:sz="0" w:space="0" w:color="auto"/>
        <w:bottom w:val="none" w:sz="0" w:space="0" w:color="auto"/>
        <w:right w:val="none" w:sz="0" w:space="0" w:color="auto"/>
      </w:divBdr>
    </w:div>
    <w:div w:id="1782529827">
      <w:bodyDiv w:val="1"/>
      <w:marLeft w:val="0"/>
      <w:marRight w:val="0"/>
      <w:marTop w:val="0"/>
      <w:marBottom w:val="0"/>
      <w:divBdr>
        <w:top w:val="none" w:sz="0" w:space="0" w:color="auto"/>
        <w:left w:val="none" w:sz="0" w:space="0" w:color="auto"/>
        <w:bottom w:val="none" w:sz="0" w:space="0" w:color="auto"/>
        <w:right w:val="none" w:sz="0" w:space="0" w:color="auto"/>
      </w:divBdr>
    </w:div>
    <w:div w:id="1793014929">
      <w:bodyDiv w:val="1"/>
      <w:marLeft w:val="0"/>
      <w:marRight w:val="0"/>
      <w:marTop w:val="0"/>
      <w:marBottom w:val="0"/>
      <w:divBdr>
        <w:top w:val="none" w:sz="0" w:space="0" w:color="auto"/>
        <w:left w:val="none" w:sz="0" w:space="0" w:color="auto"/>
        <w:bottom w:val="none" w:sz="0" w:space="0" w:color="auto"/>
        <w:right w:val="none" w:sz="0" w:space="0" w:color="auto"/>
      </w:divBdr>
    </w:div>
    <w:div w:id="1805200536">
      <w:bodyDiv w:val="1"/>
      <w:marLeft w:val="0"/>
      <w:marRight w:val="0"/>
      <w:marTop w:val="0"/>
      <w:marBottom w:val="0"/>
      <w:divBdr>
        <w:top w:val="none" w:sz="0" w:space="0" w:color="auto"/>
        <w:left w:val="none" w:sz="0" w:space="0" w:color="auto"/>
        <w:bottom w:val="none" w:sz="0" w:space="0" w:color="auto"/>
        <w:right w:val="none" w:sz="0" w:space="0" w:color="auto"/>
      </w:divBdr>
    </w:div>
    <w:div w:id="1806703649">
      <w:bodyDiv w:val="1"/>
      <w:marLeft w:val="0"/>
      <w:marRight w:val="0"/>
      <w:marTop w:val="0"/>
      <w:marBottom w:val="0"/>
      <w:divBdr>
        <w:top w:val="none" w:sz="0" w:space="0" w:color="auto"/>
        <w:left w:val="none" w:sz="0" w:space="0" w:color="auto"/>
        <w:bottom w:val="none" w:sz="0" w:space="0" w:color="auto"/>
        <w:right w:val="none" w:sz="0" w:space="0" w:color="auto"/>
      </w:divBdr>
      <w:divsChild>
        <w:div w:id="435953122">
          <w:marLeft w:val="547"/>
          <w:marRight w:val="0"/>
          <w:marTop w:val="134"/>
          <w:marBottom w:val="0"/>
          <w:divBdr>
            <w:top w:val="none" w:sz="0" w:space="0" w:color="auto"/>
            <w:left w:val="none" w:sz="0" w:space="0" w:color="auto"/>
            <w:bottom w:val="none" w:sz="0" w:space="0" w:color="auto"/>
            <w:right w:val="none" w:sz="0" w:space="0" w:color="auto"/>
          </w:divBdr>
        </w:div>
      </w:divsChild>
    </w:div>
    <w:div w:id="1809281140">
      <w:bodyDiv w:val="1"/>
      <w:marLeft w:val="0"/>
      <w:marRight w:val="0"/>
      <w:marTop w:val="0"/>
      <w:marBottom w:val="0"/>
      <w:divBdr>
        <w:top w:val="none" w:sz="0" w:space="0" w:color="auto"/>
        <w:left w:val="none" w:sz="0" w:space="0" w:color="auto"/>
        <w:bottom w:val="none" w:sz="0" w:space="0" w:color="auto"/>
        <w:right w:val="none" w:sz="0" w:space="0" w:color="auto"/>
      </w:divBdr>
    </w:div>
    <w:div w:id="1824663385">
      <w:bodyDiv w:val="1"/>
      <w:marLeft w:val="0"/>
      <w:marRight w:val="0"/>
      <w:marTop w:val="0"/>
      <w:marBottom w:val="0"/>
      <w:divBdr>
        <w:top w:val="none" w:sz="0" w:space="0" w:color="auto"/>
        <w:left w:val="none" w:sz="0" w:space="0" w:color="auto"/>
        <w:bottom w:val="none" w:sz="0" w:space="0" w:color="auto"/>
        <w:right w:val="none" w:sz="0" w:space="0" w:color="auto"/>
      </w:divBdr>
      <w:divsChild>
        <w:div w:id="468934132">
          <w:marLeft w:val="547"/>
          <w:marRight w:val="0"/>
          <w:marTop w:val="125"/>
          <w:marBottom w:val="0"/>
          <w:divBdr>
            <w:top w:val="none" w:sz="0" w:space="0" w:color="auto"/>
            <w:left w:val="none" w:sz="0" w:space="0" w:color="auto"/>
            <w:bottom w:val="none" w:sz="0" w:space="0" w:color="auto"/>
            <w:right w:val="none" w:sz="0" w:space="0" w:color="auto"/>
          </w:divBdr>
        </w:div>
        <w:div w:id="784882608">
          <w:marLeft w:val="547"/>
          <w:marRight w:val="0"/>
          <w:marTop w:val="125"/>
          <w:marBottom w:val="0"/>
          <w:divBdr>
            <w:top w:val="none" w:sz="0" w:space="0" w:color="auto"/>
            <w:left w:val="none" w:sz="0" w:space="0" w:color="auto"/>
            <w:bottom w:val="none" w:sz="0" w:space="0" w:color="auto"/>
            <w:right w:val="none" w:sz="0" w:space="0" w:color="auto"/>
          </w:divBdr>
        </w:div>
        <w:div w:id="2041321634">
          <w:marLeft w:val="547"/>
          <w:marRight w:val="0"/>
          <w:marTop w:val="125"/>
          <w:marBottom w:val="0"/>
          <w:divBdr>
            <w:top w:val="none" w:sz="0" w:space="0" w:color="auto"/>
            <w:left w:val="none" w:sz="0" w:space="0" w:color="auto"/>
            <w:bottom w:val="none" w:sz="0" w:space="0" w:color="auto"/>
            <w:right w:val="none" w:sz="0" w:space="0" w:color="auto"/>
          </w:divBdr>
        </w:div>
        <w:div w:id="1963032552">
          <w:marLeft w:val="547"/>
          <w:marRight w:val="0"/>
          <w:marTop w:val="125"/>
          <w:marBottom w:val="0"/>
          <w:divBdr>
            <w:top w:val="none" w:sz="0" w:space="0" w:color="auto"/>
            <w:left w:val="none" w:sz="0" w:space="0" w:color="auto"/>
            <w:bottom w:val="none" w:sz="0" w:space="0" w:color="auto"/>
            <w:right w:val="none" w:sz="0" w:space="0" w:color="auto"/>
          </w:divBdr>
        </w:div>
        <w:div w:id="73819636">
          <w:marLeft w:val="547"/>
          <w:marRight w:val="0"/>
          <w:marTop w:val="125"/>
          <w:marBottom w:val="0"/>
          <w:divBdr>
            <w:top w:val="none" w:sz="0" w:space="0" w:color="auto"/>
            <w:left w:val="none" w:sz="0" w:space="0" w:color="auto"/>
            <w:bottom w:val="none" w:sz="0" w:space="0" w:color="auto"/>
            <w:right w:val="none" w:sz="0" w:space="0" w:color="auto"/>
          </w:divBdr>
        </w:div>
      </w:divsChild>
    </w:div>
    <w:div w:id="1864896835">
      <w:bodyDiv w:val="1"/>
      <w:marLeft w:val="0"/>
      <w:marRight w:val="0"/>
      <w:marTop w:val="0"/>
      <w:marBottom w:val="0"/>
      <w:divBdr>
        <w:top w:val="none" w:sz="0" w:space="0" w:color="auto"/>
        <w:left w:val="none" w:sz="0" w:space="0" w:color="auto"/>
        <w:bottom w:val="none" w:sz="0" w:space="0" w:color="auto"/>
        <w:right w:val="none" w:sz="0" w:space="0" w:color="auto"/>
      </w:divBdr>
    </w:div>
    <w:div w:id="1918249340">
      <w:bodyDiv w:val="1"/>
      <w:marLeft w:val="0"/>
      <w:marRight w:val="0"/>
      <w:marTop w:val="0"/>
      <w:marBottom w:val="0"/>
      <w:divBdr>
        <w:top w:val="none" w:sz="0" w:space="0" w:color="auto"/>
        <w:left w:val="none" w:sz="0" w:space="0" w:color="auto"/>
        <w:bottom w:val="none" w:sz="0" w:space="0" w:color="auto"/>
        <w:right w:val="none" w:sz="0" w:space="0" w:color="auto"/>
      </w:divBdr>
    </w:div>
    <w:div w:id="1932931931">
      <w:bodyDiv w:val="1"/>
      <w:marLeft w:val="0"/>
      <w:marRight w:val="0"/>
      <w:marTop w:val="0"/>
      <w:marBottom w:val="0"/>
      <w:divBdr>
        <w:top w:val="none" w:sz="0" w:space="0" w:color="auto"/>
        <w:left w:val="none" w:sz="0" w:space="0" w:color="auto"/>
        <w:bottom w:val="none" w:sz="0" w:space="0" w:color="auto"/>
        <w:right w:val="none" w:sz="0" w:space="0" w:color="auto"/>
      </w:divBdr>
    </w:div>
    <w:div w:id="1935631573">
      <w:bodyDiv w:val="1"/>
      <w:marLeft w:val="0"/>
      <w:marRight w:val="0"/>
      <w:marTop w:val="0"/>
      <w:marBottom w:val="0"/>
      <w:divBdr>
        <w:top w:val="none" w:sz="0" w:space="0" w:color="auto"/>
        <w:left w:val="none" w:sz="0" w:space="0" w:color="auto"/>
        <w:bottom w:val="none" w:sz="0" w:space="0" w:color="auto"/>
        <w:right w:val="none" w:sz="0" w:space="0" w:color="auto"/>
      </w:divBdr>
    </w:div>
    <w:div w:id="1960531856">
      <w:bodyDiv w:val="1"/>
      <w:marLeft w:val="0"/>
      <w:marRight w:val="0"/>
      <w:marTop w:val="0"/>
      <w:marBottom w:val="0"/>
      <w:divBdr>
        <w:top w:val="none" w:sz="0" w:space="0" w:color="auto"/>
        <w:left w:val="none" w:sz="0" w:space="0" w:color="auto"/>
        <w:bottom w:val="none" w:sz="0" w:space="0" w:color="auto"/>
        <w:right w:val="none" w:sz="0" w:space="0" w:color="auto"/>
      </w:divBdr>
    </w:div>
    <w:div w:id="1984920946">
      <w:bodyDiv w:val="1"/>
      <w:marLeft w:val="0"/>
      <w:marRight w:val="0"/>
      <w:marTop w:val="0"/>
      <w:marBottom w:val="0"/>
      <w:divBdr>
        <w:top w:val="none" w:sz="0" w:space="0" w:color="auto"/>
        <w:left w:val="none" w:sz="0" w:space="0" w:color="auto"/>
        <w:bottom w:val="none" w:sz="0" w:space="0" w:color="auto"/>
        <w:right w:val="none" w:sz="0" w:space="0" w:color="auto"/>
      </w:divBdr>
    </w:div>
    <w:div w:id="2025595031">
      <w:bodyDiv w:val="1"/>
      <w:marLeft w:val="0"/>
      <w:marRight w:val="0"/>
      <w:marTop w:val="0"/>
      <w:marBottom w:val="0"/>
      <w:divBdr>
        <w:top w:val="none" w:sz="0" w:space="0" w:color="auto"/>
        <w:left w:val="none" w:sz="0" w:space="0" w:color="auto"/>
        <w:bottom w:val="none" w:sz="0" w:space="0" w:color="auto"/>
        <w:right w:val="none" w:sz="0" w:space="0" w:color="auto"/>
      </w:divBdr>
    </w:div>
    <w:div w:id="2043283676">
      <w:bodyDiv w:val="1"/>
      <w:marLeft w:val="0"/>
      <w:marRight w:val="0"/>
      <w:marTop w:val="0"/>
      <w:marBottom w:val="0"/>
      <w:divBdr>
        <w:top w:val="none" w:sz="0" w:space="0" w:color="auto"/>
        <w:left w:val="none" w:sz="0" w:space="0" w:color="auto"/>
        <w:bottom w:val="none" w:sz="0" w:space="0" w:color="auto"/>
        <w:right w:val="none" w:sz="0" w:space="0" w:color="auto"/>
      </w:divBdr>
    </w:div>
    <w:div w:id="20594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4.emf"/><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chart" Target="charts/chart12.xml"/><Relationship Id="rId10" Type="http://schemas.openxmlformats.org/officeDocument/2006/relationships/footer" Target="footer1.xml"/><Relationship Id="rId19" Type="http://schemas.openxmlformats.org/officeDocument/2006/relationships/package" Target="embeddings/Microsoft_Excel_Worksheet3.xls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ujn.gov.rs" TargetMode="External"/><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laden%20Alempijevic\Documents\IZVESTAJI%20ZA%20VLADU\Godisnji%20izvestaj%20za%20prvo%20polugodiste%202018.%20godine\Slika%208.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laden%20Alempijevic\Documents\IZVESTAJI%20ZA%20VLADU\Godisnji%20izvestaj%20za%202019.%20godinu\Slike%202019\Slika%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r-Cyrl-RS" sz="1400">
                <a:solidFill>
                  <a:sysClr val="windowText" lastClr="000000"/>
                </a:solidFill>
                <a:latin typeface="Times New Roman" panose="02020603050405020304" pitchFamily="18" charset="0"/>
                <a:cs typeface="Times New Roman" panose="02020603050405020304" pitchFamily="18" charset="0"/>
              </a:rPr>
              <a:t>Структуктура јавних набавки у броју по предмету набавке</a:t>
            </a:r>
            <a:endParaRPr lang="sr-Latn-RS"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48-41CB-B413-A1D335B0A1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48-41CB-B413-A1D335B0A1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48-41CB-B413-A1D335B0A18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Sheet1!$B$6:$B$8</c:f>
              <c:strCache>
                <c:ptCount val="3"/>
                <c:pt idx="0">
                  <c:v>добра</c:v>
                </c:pt>
                <c:pt idx="1">
                  <c:v>услуге </c:v>
                </c:pt>
                <c:pt idx="2">
                  <c:v>радови</c:v>
                </c:pt>
              </c:strCache>
            </c:strRef>
          </c:cat>
          <c:val>
            <c:numRef>
              <c:f>Sheet1!$C$6:$C$8</c:f>
              <c:numCache>
                <c:formatCode>General</c:formatCode>
                <c:ptCount val="3"/>
                <c:pt idx="0">
                  <c:v>65</c:v>
                </c:pt>
                <c:pt idx="1">
                  <c:v>28</c:v>
                </c:pt>
                <c:pt idx="2">
                  <c:v>7</c:v>
                </c:pt>
              </c:numCache>
            </c:numRef>
          </c:val>
          <c:extLst>
            <c:ext xmlns:c16="http://schemas.microsoft.com/office/drawing/2014/chart" uri="{C3380CC4-5D6E-409C-BE32-E72D297353CC}">
              <c16:uniqueId val="{00000006-3948-41CB-B413-A1D335B0A186}"/>
            </c:ext>
          </c:extLst>
        </c:ser>
        <c:dLbls>
          <c:showLegendKey val="0"/>
          <c:showVal val="0"/>
          <c:showCatName val="0"/>
          <c:showSerName val="0"/>
          <c:showPercent val="1"/>
          <c:showBubbleSize val="0"/>
          <c:showLeaderLines val="0"/>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200"/>
            </a:pPr>
            <a:r>
              <a:rPr lang="sr-Cyrl-RS" sz="1200">
                <a:latin typeface="Times New Roman" panose="02020603050405020304" pitchFamily="18" charset="0"/>
                <a:cs typeface="Times New Roman" panose="02020603050405020304" pitchFamily="18" charset="0"/>
              </a:rPr>
              <a:t>Преглед исхода поступака у 2019. години</a:t>
            </a:r>
            <a:endParaRPr lang="sr-Latn-RS" sz="1200">
              <a:latin typeface="Times New Roman" panose="02020603050405020304" pitchFamily="18" charset="0"/>
              <a:cs typeface="Times New Roman" panose="02020603050405020304" pitchFamily="18" charset="0"/>
            </a:endParaRPr>
          </a:p>
        </c:rich>
      </c:tx>
      <c:layout>
        <c:manualLayout>
          <c:xMode val="edge"/>
          <c:yMode val="edge"/>
          <c:x val="0.21630622170245084"/>
          <c:y val="8.1853282928493351E-2"/>
        </c:manualLayout>
      </c:layout>
      <c:overlay val="0"/>
    </c:title>
    <c:autoTitleDeleted val="0"/>
    <c:plotArea>
      <c:layout>
        <c:manualLayout>
          <c:layoutTarget val="inner"/>
          <c:xMode val="edge"/>
          <c:yMode val="edge"/>
          <c:x val="0.34295214850585082"/>
          <c:y val="0.28489627175926535"/>
          <c:w val="0.38687042166241059"/>
          <c:h val="0.59331681163950822"/>
        </c:manualLayout>
      </c:layout>
      <c:pieChart>
        <c:varyColors val="1"/>
        <c:ser>
          <c:idx val="0"/>
          <c:order val="0"/>
          <c:explosion val="25"/>
          <c:dPt>
            <c:idx val="0"/>
            <c:bubble3D val="0"/>
            <c:explosion val="0"/>
            <c:extLst>
              <c:ext xmlns:c16="http://schemas.microsoft.com/office/drawing/2014/chart" uri="{C3380CC4-5D6E-409C-BE32-E72D297353CC}">
                <c16:uniqueId val="{00000001-6BAD-4F5B-8184-843EB09F59C0}"/>
              </c:ext>
            </c:extLst>
          </c:dPt>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sr-Latn-R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Sheet1!$B$6:$B$7</c:f>
              <c:strCache>
                <c:ptCount val="2"/>
                <c:pt idx="0">
                  <c:v>успешно спроведени</c:v>
                </c:pt>
                <c:pt idx="1">
                  <c:v>обустављени</c:v>
                </c:pt>
              </c:strCache>
            </c:strRef>
          </c:cat>
          <c:val>
            <c:numRef>
              <c:f>Sheet1!$C$6:$C$7</c:f>
              <c:numCache>
                <c:formatCode>0%</c:formatCode>
                <c:ptCount val="2"/>
                <c:pt idx="0">
                  <c:v>0.91</c:v>
                </c:pt>
                <c:pt idx="1">
                  <c:v>0.09</c:v>
                </c:pt>
              </c:numCache>
            </c:numRef>
          </c:val>
          <c:extLst>
            <c:ext xmlns:c16="http://schemas.microsoft.com/office/drawing/2014/chart" uri="{C3380CC4-5D6E-409C-BE32-E72D297353CC}">
              <c16:uniqueId val="{00000002-6BAD-4F5B-8184-843EB09F59C0}"/>
            </c:ext>
          </c:extLst>
        </c:ser>
        <c:dLbls>
          <c:dLblPos val="outEnd"/>
          <c:showLegendKey val="0"/>
          <c:showVal val="1"/>
          <c:showCatName val="0"/>
          <c:showSerName val="0"/>
          <c:showPercent val="0"/>
          <c:showBubbleSize val="0"/>
          <c:showLeaderLines val="1"/>
        </c:dLbls>
        <c:firstSliceAng val="330"/>
      </c:pieChart>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sr-Cyrl-RS" sz="1400">
                <a:latin typeface="Times New Roman" panose="02020603050405020304" pitchFamily="18" charset="0"/>
                <a:cs typeface="Times New Roman" panose="02020603050405020304" pitchFamily="18" charset="0"/>
              </a:rPr>
              <a:t>Упоредни</a:t>
            </a:r>
            <a:r>
              <a:rPr lang="sr-Cyrl-RS" sz="1400" baseline="0">
                <a:latin typeface="Times New Roman" panose="02020603050405020304" pitchFamily="18" charset="0"/>
                <a:cs typeface="Times New Roman" panose="02020603050405020304" pitchFamily="18" charset="0"/>
              </a:rPr>
              <a:t> преглед заступљености основа за обуставу</a:t>
            </a:r>
            <a:endParaRPr lang="sr-Latn-R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sr-Latn-RS"/>
        </a:p>
      </c:txPr>
    </c:title>
    <c:autoTitleDeleted val="0"/>
    <c:plotArea>
      <c:layout>
        <c:manualLayout>
          <c:layoutTarget val="inner"/>
          <c:xMode val="edge"/>
          <c:yMode val="edge"/>
          <c:x val="6.0946420785349717E-2"/>
          <c:y val="0.21758857065943679"/>
          <c:w val="0.81035762223533137"/>
          <c:h val="0.56782863680501472"/>
        </c:manualLayout>
      </c:layout>
      <c:barChart>
        <c:barDir val="col"/>
        <c:grouping val="clustered"/>
        <c:varyColors val="0"/>
        <c:ser>
          <c:idx val="0"/>
          <c:order val="0"/>
          <c:tx>
            <c:strRef>
              <c:f>'[Worksheet in Document3]Sheet1'!$D$32</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'[Worksheet in Document3]Sheet1'!$C$33:$C$37</c:f>
              <c:strCache>
                <c:ptCount val="5"/>
                <c:pt idx="0">
                  <c:v>одбијене све неприхватљиве понуде</c:v>
                </c:pt>
                <c:pt idx="1">
                  <c:v>нису испуњени услови за састављање листе од најмање три/пет кандидата</c:v>
                </c:pt>
                <c:pt idx="2">
                  <c:v>услед објективних разлога поступак није могао да се оконча; престала потреба за набавком</c:v>
                </c:pt>
                <c:pt idx="3">
                  <c:v>није добијена ниједна понуда</c:v>
                </c:pt>
                <c:pt idx="4">
                  <c:v>остало</c:v>
                </c:pt>
              </c:strCache>
            </c:strRef>
          </c:cat>
          <c:val>
            <c:numRef>
              <c:f>'[Worksheet in Document3]Sheet1'!$D$33:$D$37</c:f>
              <c:numCache>
                <c:formatCode>0%</c:formatCode>
                <c:ptCount val="5"/>
                <c:pt idx="0">
                  <c:v>0.51</c:v>
                </c:pt>
                <c:pt idx="1">
                  <c:v>0.02</c:v>
                </c:pt>
                <c:pt idx="2">
                  <c:v>0.05</c:v>
                </c:pt>
                <c:pt idx="3">
                  <c:v>0.25</c:v>
                </c:pt>
                <c:pt idx="4">
                  <c:v>0.17</c:v>
                </c:pt>
              </c:numCache>
            </c:numRef>
          </c:val>
          <c:extLst>
            <c:ext xmlns:c16="http://schemas.microsoft.com/office/drawing/2014/chart" uri="{C3380CC4-5D6E-409C-BE32-E72D297353CC}">
              <c16:uniqueId val="{00000000-12CC-4FC5-87AB-8480803F94FE}"/>
            </c:ext>
          </c:extLst>
        </c:ser>
        <c:ser>
          <c:idx val="1"/>
          <c:order val="1"/>
          <c:tx>
            <c:strRef>
              <c:f>'[Worksheet in Document3]Sheet1'!$E$32</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'[Worksheet in Document3]Sheet1'!$C$33:$C$37</c:f>
              <c:strCache>
                <c:ptCount val="5"/>
                <c:pt idx="0">
                  <c:v>одбијене све неприхватљиве понуде</c:v>
                </c:pt>
                <c:pt idx="1">
                  <c:v>нису испуњени услови за састављање листе од најмање три/пет кандидата</c:v>
                </c:pt>
                <c:pt idx="2">
                  <c:v>услед објективних разлога поступак није могао да се оконча; престала потреба за набавком</c:v>
                </c:pt>
                <c:pt idx="3">
                  <c:v>није добијена ниједна понуда</c:v>
                </c:pt>
                <c:pt idx="4">
                  <c:v>остало</c:v>
                </c:pt>
              </c:strCache>
            </c:strRef>
          </c:cat>
          <c:val>
            <c:numRef>
              <c:f>'[Worksheet in Document3]Sheet1'!$E$33:$E$37</c:f>
              <c:numCache>
                <c:formatCode>0%</c:formatCode>
                <c:ptCount val="5"/>
                <c:pt idx="0">
                  <c:v>0.45</c:v>
                </c:pt>
                <c:pt idx="1">
                  <c:v>0.02</c:v>
                </c:pt>
                <c:pt idx="2">
                  <c:v>0.05</c:v>
                </c:pt>
                <c:pt idx="3">
                  <c:v>0.31</c:v>
                </c:pt>
                <c:pt idx="4">
                  <c:v>0.17</c:v>
                </c:pt>
              </c:numCache>
            </c:numRef>
          </c:val>
          <c:extLst>
            <c:ext xmlns:c16="http://schemas.microsoft.com/office/drawing/2014/chart" uri="{C3380CC4-5D6E-409C-BE32-E72D297353CC}">
              <c16:uniqueId val="{00000001-12CC-4FC5-87AB-8480803F94FE}"/>
            </c:ext>
          </c:extLst>
        </c:ser>
        <c:dLbls>
          <c:dLblPos val="outEnd"/>
          <c:showLegendKey val="0"/>
          <c:showVal val="1"/>
          <c:showCatName val="0"/>
          <c:showSerName val="0"/>
          <c:showPercent val="0"/>
          <c:showBubbleSize val="0"/>
        </c:dLbls>
        <c:gapWidth val="150"/>
        <c:axId val="76331264"/>
        <c:axId val="76341248"/>
      </c:barChart>
      <c:catAx>
        <c:axId val="7633126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sr-Latn-RS"/>
          </a:p>
        </c:txPr>
        <c:crossAx val="76341248"/>
        <c:crosses val="autoZero"/>
        <c:auto val="1"/>
        <c:lblAlgn val="ctr"/>
        <c:lblOffset val="100"/>
        <c:noMultiLvlLbl val="0"/>
      </c:catAx>
      <c:valAx>
        <c:axId val="76341248"/>
        <c:scaling>
          <c:orientation val="minMax"/>
        </c:scaling>
        <c:delete val="1"/>
        <c:axPos val="l"/>
        <c:numFmt formatCode="0%" sourceLinked="1"/>
        <c:majorTickMark val="out"/>
        <c:minorTickMark val="none"/>
        <c:tickLblPos val="nextTo"/>
        <c:crossAx val="76331264"/>
        <c:crosses val="autoZero"/>
        <c:crossBetween val="between"/>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Sheet1!$C$7</c:f>
              <c:strCache>
                <c:ptCount val="1"/>
                <c:pt idx="0">
                  <c:v>Економски најповољнија понуда</c:v>
                </c:pt>
              </c:strCache>
            </c:strRef>
          </c:tx>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Sheet1!$B$8:$B$9</c:f>
              <c:numCache>
                <c:formatCode>General</c:formatCode>
                <c:ptCount val="2"/>
                <c:pt idx="0">
                  <c:v>2018</c:v>
                </c:pt>
                <c:pt idx="1">
                  <c:v>2019</c:v>
                </c:pt>
              </c:numCache>
            </c:numRef>
          </c:cat>
          <c:val>
            <c:numRef>
              <c:f>Sheet1!$C$8:$C$9</c:f>
              <c:numCache>
                <c:formatCode>0%</c:formatCode>
                <c:ptCount val="2"/>
                <c:pt idx="0">
                  <c:v>0.11</c:v>
                </c:pt>
                <c:pt idx="1">
                  <c:v>0.1</c:v>
                </c:pt>
              </c:numCache>
            </c:numRef>
          </c:val>
          <c:extLst>
            <c:ext xmlns:c16="http://schemas.microsoft.com/office/drawing/2014/chart" uri="{C3380CC4-5D6E-409C-BE32-E72D297353CC}">
              <c16:uniqueId val="{00000000-7487-4C2F-A4A8-D826ADEBBFCF}"/>
            </c:ext>
          </c:extLst>
        </c:ser>
        <c:ser>
          <c:idx val="1"/>
          <c:order val="1"/>
          <c:tx>
            <c:strRef>
              <c:f>Sheet1!$D$7</c:f>
              <c:strCache>
                <c:ptCount val="1"/>
                <c:pt idx="0">
                  <c:v>Најнижа понуђена цена</c:v>
                </c:pt>
              </c:strCache>
            </c:strRef>
          </c:tx>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Sheet1!$B$8:$B$9</c:f>
              <c:numCache>
                <c:formatCode>General</c:formatCode>
                <c:ptCount val="2"/>
                <c:pt idx="0">
                  <c:v>2018</c:v>
                </c:pt>
                <c:pt idx="1">
                  <c:v>2019</c:v>
                </c:pt>
              </c:numCache>
            </c:numRef>
          </c:cat>
          <c:val>
            <c:numRef>
              <c:f>Sheet1!$D$8:$D$9</c:f>
              <c:numCache>
                <c:formatCode>0%</c:formatCode>
                <c:ptCount val="2"/>
                <c:pt idx="0">
                  <c:v>0.89</c:v>
                </c:pt>
                <c:pt idx="1">
                  <c:v>0.9</c:v>
                </c:pt>
              </c:numCache>
            </c:numRef>
          </c:val>
          <c:extLst>
            <c:ext xmlns:c16="http://schemas.microsoft.com/office/drawing/2014/chart" uri="{C3380CC4-5D6E-409C-BE32-E72D297353CC}">
              <c16:uniqueId val="{00000001-7487-4C2F-A4A8-D826ADEBBFCF}"/>
            </c:ext>
          </c:extLst>
        </c:ser>
        <c:dLbls>
          <c:showLegendKey val="0"/>
          <c:showVal val="0"/>
          <c:showCatName val="0"/>
          <c:showSerName val="0"/>
          <c:showPercent val="0"/>
          <c:showBubbleSize val="0"/>
        </c:dLbls>
        <c:gapWidth val="150"/>
        <c:axId val="43633664"/>
        <c:axId val="43639552"/>
      </c:barChart>
      <c:catAx>
        <c:axId val="43633664"/>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sr-Latn-RS"/>
          </a:p>
        </c:txPr>
        <c:crossAx val="43639552"/>
        <c:crosses val="autoZero"/>
        <c:auto val="1"/>
        <c:lblAlgn val="ctr"/>
        <c:lblOffset val="100"/>
        <c:noMultiLvlLbl val="0"/>
      </c:catAx>
      <c:valAx>
        <c:axId val="43639552"/>
        <c:scaling>
          <c:orientation val="minMax"/>
        </c:scaling>
        <c:delete val="1"/>
        <c:axPos val="l"/>
        <c:numFmt formatCode="0%" sourceLinked="1"/>
        <c:majorTickMark val="out"/>
        <c:minorTickMark val="none"/>
        <c:tickLblPos val="nextTo"/>
        <c:crossAx val="43633664"/>
        <c:crosses val="autoZero"/>
        <c:crossBetween val="between"/>
      </c:valAx>
    </c:plotArea>
    <c:legend>
      <c:legendPos val="b"/>
      <c:overlay val="0"/>
      <c:txPr>
        <a:bodyPr/>
        <a:lstStyle/>
        <a:p>
          <a:pPr>
            <a:defRPr sz="1400">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r-Cyrl-RS" sz="1400">
                <a:solidFill>
                  <a:sysClr val="windowText" lastClr="000000"/>
                </a:solidFill>
                <a:latin typeface="Times New Roman" panose="02020603050405020304" pitchFamily="18" charset="0"/>
                <a:cs typeface="Times New Roman" panose="02020603050405020304" pitchFamily="18" charset="0"/>
              </a:rPr>
              <a:t>Структуктура јавних набавки у вредности по предмету набавке</a:t>
            </a:r>
            <a:endParaRPr lang="sr-Latn-RS"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E3-4C2E-B4E8-FB010093C9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E3-4C2E-B4E8-FB010093C9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E3-4C2E-B4E8-FB010093C90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Sheet1!$B$6:$B$8</c:f>
              <c:strCache>
                <c:ptCount val="3"/>
                <c:pt idx="0">
                  <c:v>добра</c:v>
                </c:pt>
                <c:pt idx="1">
                  <c:v>услуге </c:v>
                </c:pt>
                <c:pt idx="2">
                  <c:v>радови</c:v>
                </c:pt>
              </c:strCache>
            </c:strRef>
          </c:cat>
          <c:val>
            <c:numRef>
              <c:f>Sheet1!$C$6:$C$8</c:f>
              <c:numCache>
                <c:formatCode>General</c:formatCode>
                <c:ptCount val="3"/>
                <c:pt idx="0">
                  <c:v>53</c:v>
                </c:pt>
                <c:pt idx="1">
                  <c:v>22</c:v>
                </c:pt>
                <c:pt idx="2">
                  <c:v>25</c:v>
                </c:pt>
              </c:numCache>
            </c:numRef>
          </c:val>
          <c:extLst>
            <c:ext xmlns:c16="http://schemas.microsoft.com/office/drawing/2014/chart" uri="{C3380CC4-5D6E-409C-BE32-E72D297353CC}">
              <c16:uniqueId val="{00000006-D3E3-4C2E-B4E8-FB010093C90F}"/>
            </c:ext>
          </c:extLst>
        </c:ser>
        <c:dLbls>
          <c:showLegendKey val="0"/>
          <c:showVal val="0"/>
          <c:showCatName val="0"/>
          <c:showSerName val="0"/>
          <c:showPercent val="1"/>
          <c:showBubbleSize val="0"/>
          <c:showLeaderLines val="0"/>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Упоредни преглед вредносне структуре</a:t>
            </a:r>
          </a:p>
          <a:p>
            <a:pPr>
              <a:defRPr>
                <a:latin typeface="Times New Roman" panose="02020603050405020304" pitchFamily="18" charset="0"/>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јавних набавки по предмету набавке</a:t>
            </a:r>
            <a:endParaRPr lang="sr-Latn-R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Sheet1!$C$3</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Sheet1!$B$4:$B$6</c:f>
              <c:strCache>
                <c:ptCount val="3"/>
                <c:pt idx="0">
                  <c:v>добра</c:v>
                </c:pt>
                <c:pt idx="1">
                  <c:v>услуге </c:v>
                </c:pt>
                <c:pt idx="2">
                  <c:v>радови</c:v>
                </c:pt>
              </c:strCache>
            </c:strRef>
          </c:cat>
          <c:val>
            <c:numRef>
              <c:f>Sheet1!$C$4:$C$6</c:f>
              <c:numCache>
                <c:formatCode>0%</c:formatCode>
                <c:ptCount val="3"/>
                <c:pt idx="0">
                  <c:v>0.49</c:v>
                </c:pt>
                <c:pt idx="1">
                  <c:v>0.23</c:v>
                </c:pt>
                <c:pt idx="2">
                  <c:v>0.28000000000000003</c:v>
                </c:pt>
              </c:numCache>
            </c:numRef>
          </c:val>
          <c:extLst>
            <c:ext xmlns:c16="http://schemas.microsoft.com/office/drawing/2014/chart" uri="{C3380CC4-5D6E-409C-BE32-E72D297353CC}">
              <c16:uniqueId val="{00000000-E428-4529-ACE6-5D4EE7C761D9}"/>
            </c:ext>
          </c:extLst>
        </c:ser>
        <c:ser>
          <c:idx val="1"/>
          <c:order val="1"/>
          <c:tx>
            <c:strRef>
              <c:f>Sheet1!$D$3</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Sheet1!$B$4:$B$6</c:f>
              <c:strCache>
                <c:ptCount val="3"/>
                <c:pt idx="0">
                  <c:v>добра</c:v>
                </c:pt>
                <c:pt idx="1">
                  <c:v>услуге </c:v>
                </c:pt>
                <c:pt idx="2">
                  <c:v>радови</c:v>
                </c:pt>
              </c:strCache>
            </c:strRef>
          </c:cat>
          <c:val>
            <c:numRef>
              <c:f>Sheet1!$D$4:$D$6</c:f>
              <c:numCache>
                <c:formatCode>0%</c:formatCode>
                <c:ptCount val="3"/>
                <c:pt idx="0">
                  <c:v>0.53</c:v>
                </c:pt>
                <c:pt idx="1">
                  <c:v>0.22</c:v>
                </c:pt>
                <c:pt idx="2">
                  <c:v>0.25</c:v>
                </c:pt>
              </c:numCache>
            </c:numRef>
          </c:val>
          <c:extLst>
            <c:ext xmlns:c16="http://schemas.microsoft.com/office/drawing/2014/chart" uri="{C3380CC4-5D6E-409C-BE32-E72D297353CC}">
              <c16:uniqueId val="{00000001-E428-4529-ACE6-5D4EE7C761D9}"/>
            </c:ext>
          </c:extLst>
        </c:ser>
        <c:dLbls>
          <c:showLegendKey val="0"/>
          <c:showVal val="0"/>
          <c:showCatName val="0"/>
          <c:showSerName val="0"/>
          <c:showPercent val="0"/>
          <c:showBubbleSize val="0"/>
        </c:dLbls>
        <c:gapWidth val="219"/>
        <c:overlap val="-27"/>
        <c:axId val="331610712"/>
        <c:axId val="331613664"/>
      </c:barChart>
      <c:catAx>
        <c:axId val="33161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31613664"/>
        <c:crosses val="autoZero"/>
        <c:auto val="1"/>
        <c:lblAlgn val="ctr"/>
        <c:lblOffset val="100"/>
        <c:noMultiLvlLbl val="0"/>
      </c:catAx>
      <c:valAx>
        <c:axId val="331613664"/>
        <c:scaling>
          <c:orientation val="minMax"/>
        </c:scaling>
        <c:delete val="1"/>
        <c:axPos val="l"/>
        <c:numFmt formatCode="0%" sourceLinked="1"/>
        <c:majorTickMark val="none"/>
        <c:minorTickMark val="none"/>
        <c:tickLblPos val="nextTo"/>
        <c:crossAx val="331610712"/>
        <c:crosses val="autoZero"/>
        <c:crossBetween val="between"/>
      </c:valAx>
      <c:spPr>
        <a:noFill/>
        <a:ln>
          <a:noFill/>
        </a:ln>
        <a:effectLst/>
      </c:spPr>
    </c:plotArea>
    <c:legend>
      <c:legendPos val="t"/>
      <c:layout>
        <c:manualLayout>
          <c:xMode val="edge"/>
          <c:yMode val="edge"/>
          <c:x val="0.3186631513955972"/>
          <c:y val="0.21967848801899537"/>
          <c:w val="0.38132599863373245"/>
          <c:h val="6.4629963755092792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Упоредни преглед</a:t>
            </a:r>
            <a:r>
              <a:rPr lang="sr-Cyrl-RS" b="1" baseline="0">
                <a:latin typeface="Times New Roman" panose="02020603050405020304" pitchFamily="18" charset="0"/>
                <a:cs typeface="Times New Roman" panose="02020603050405020304" pitchFamily="18" charset="0"/>
              </a:rPr>
              <a:t> </a:t>
            </a:r>
            <a:r>
              <a:rPr lang="sr-Cyrl-RS" b="1">
                <a:latin typeface="Times New Roman" panose="02020603050405020304" pitchFamily="18" charset="0"/>
                <a:cs typeface="Times New Roman" panose="02020603050405020304" pitchFamily="18" charset="0"/>
              </a:rPr>
              <a:t>структуре</a:t>
            </a:r>
          </a:p>
          <a:p>
            <a:pPr>
              <a:defRPr>
                <a:latin typeface="Times New Roman" panose="02020603050405020304" pitchFamily="18" charset="0"/>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јавних набавки у броју по предмету набавке</a:t>
            </a:r>
            <a:endParaRPr lang="sr-Latn-R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Sheet1!$C$3</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Sheet1!$B$4:$B$6</c:f>
              <c:strCache>
                <c:ptCount val="3"/>
                <c:pt idx="0">
                  <c:v>добра</c:v>
                </c:pt>
                <c:pt idx="1">
                  <c:v>услуге </c:v>
                </c:pt>
                <c:pt idx="2">
                  <c:v>радови</c:v>
                </c:pt>
              </c:strCache>
            </c:strRef>
          </c:cat>
          <c:val>
            <c:numRef>
              <c:f>Sheet1!$C$4:$C$6</c:f>
              <c:numCache>
                <c:formatCode>0%</c:formatCode>
                <c:ptCount val="3"/>
                <c:pt idx="0">
                  <c:v>0.61</c:v>
                </c:pt>
                <c:pt idx="1">
                  <c:v>0.3</c:v>
                </c:pt>
                <c:pt idx="2">
                  <c:v>0.09</c:v>
                </c:pt>
              </c:numCache>
            </c:numRef>
          </c:val>
          <c:extLst>
            <c:ext xmlns:c16="http://schemas.microsoft.com/office/drawing/2014/chart" uri="{C3380CC4-5D6E-409C-BE32-E72D297353CC}">
              <c16:uniqueId val="{00000000-49D7-4E31-955C-910D704BACD2}"/>
            </c:ext>
          </c:extLst>
        </c:ser>
        <c:ser>
          <c:idx val="1"/>
          <c:order val="1"/>
          <c:tx>
            <c:strRef>
              <c:f>Sheet1!$D$3</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Sheet1!$B$4:$B$6</c:f>
              <c:strCache>
                <c:ptCount val="3"/>
                <c:pt idx="0">
                  <c:v>добра</c:v>
                </c:pt>
                <c:pt idx="1">
                  <c:v>услуге </c:v>
                </c:pt>
                <c:pt idx="2">
                  <c:v>радови</c:v>
                </c:pt>
              </c:strCache>
            </c:strRef>
          </c:cat>
          <c:val>
            <c:numRef>
              <c:f>Sheet1!$D$4:$D$6</c:f>
              <c:numCache>
                <c:formatCode>0%</c:formatCode>
                <c:ptCount val="3"/>
                <c:pt idx="0">
                  <c:v>0.65</c:v>
                </c:pt>
                <c:pt idx="1">
                  <c:v>0.28000000000000003</c:v>
                </c:pt>
                <c:pt idx="2">
                  <c:v>7.0000000000000007E-2</c:v>
                </c:pt>
              </c:numCache>
            </c:numRef>
          </c:val>
          <c:extLst>
            <c:ext xmlns:c16="http://schemas.microsoft.com/office/drawing/2014/chart" uri="{C3380CC4-5D6E-409C-BE32-E72D297353CC}">
              <c16:uniqueId val="{00000001-49D7-4E31-955C-910D704BACD2}"/>
            </c:ext>
          </c:extLst>
        </c:ser>
        <c:dLbls>
          <c:showLegendKey val="0"/>
          <c:showVal val="0"/>
          <c:showCatName val="0"/>
          <c:showSerName val="0"/>
          <c:showPercent val="0"/>
          <c:showBubbleSize val="0"/>
        </c:dLbls>
        <c:gapWidth val="219"/>
        <c:overlap val="-27"/>
        <c:axId val="331610712"/>
        <c:axId val="331613664"/>
      </c:barChart>
      <c:catAx>
        <c:axId val="33161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31613664"/>
        <c:crosses val="autoZero"/>
        <c:auto val="1"/>
        <c:lblAlgn val="ctr"/>
        <c:lblOffset val="100"/>
        <c:noMultiLvlLbl val="0"/>
      </c:catAx>
      <c:valAx>
        <c:axId val="331613664"/>
        <c:scaling>
          <c:orientation val="minMax"/>
        </c:scaling>
        <c:delete val="1"/>
        <c:axPos val="l"/>
        <c:numFmt formatCode="0%" sourceLinked="1"/>
        <c:majorTickMark val="none"/>
        <c:minorTickMark val="none"/>
        <c:tickLblPos val="nextTo"/>
        <c:crossAx val="331610712"/>
        <c:crosses val="autoZero"/>
        <c:crossBetween val="between"/>
      </c:valAx>
      <c:spPr>
        <a:noFill/>
        <a:ln>
          <a:noFill/>
        </a:ln>
        <a:effectLst/>
      </c:spPr>
    </c:plotArea>
    <c:legend>
      <c:legendPos val="t"/>
      <c:layout>
        <c:manualLayout>
          <c:xMode val="edge"/>
          <c:yMode val="edge"/>
          <c:x val="0.31710226798207197"/>
          <c:y val="0.20514800640608938"/>
          <c:w val="0.32094616981741547"/>
          <c:h val="4.968880094323818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solidFill>
                  <a:sysClr val="windowText" lastClr="000000"/>
                </a:solidFill>
                <a:latin typeface="Times New Roman" panose="02020603050405020304" pitchFamily="18" charset="0"/>
                <a:cs typeface="Times New Roman" panose="02020603050405020304" pitchFamily="18" charset="0"/>
              </a:rPr>
              <a:t>Преговарачки</a:t>
            </a:r>
            <a:r>
              <a:rPr lang="sr-Cyrl-CS" baseline="0">
                <a:solidFill>
                  <a:sysClr val="windowText" lastClr="000000"/>
                </a:solidFill>
                <a:latin typeface="Times New Roman" panose="02020603050405020304" pitchFamily="18" charset="0"/>
                <a:cs typeface="Times New Roman" panose="02020603050405020304" pitchFamily="18" charset="0"/>
              </a:rPr>
              <a:t> поступак без објављивања по најчешћем основу за примену</a:t>
            </a:r>
            <a:endParaRPr lang="sr-Latn-R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Sheet1!$D$5</c:f>
              <c:strCache>
                <c:ptCount val="1"/>
                <c:pt idx="0">
                  <c:v>2018</c:v>
                </c:pt>
              </c:strCache>
            </c:strRef>
          </c:tx>
          <c:spPr>
            <a:solidFill>
              <a:schemeClr val="accent1"/>
            </a:solidFill>
            <a:ln>
              <a:noFill/>
            </a:ln>
            <a:effectLst/>
          </c:spPr>
          <c:invertIfNegative val="0"/>
          <c:dLbls>
            <c:dLbl>
              <c:idx val="0"/>
              <c:layout>
                <c:manualLayout>
                  <c:x val="-2.2831050228310501E-2"/>
                  <c:y val="-1.0582010582010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3C-4169-8506-F966955947A8}"/>
                </c:ext>
              </c:extLst>
            </c:dLbl>
            <c:dLbl>
              <c:idx val="1"/>
              <c:layout>
                <c:manualLayout>
                  <c:x val="-4.3378995433789952E-2"/>
                  <c:y val="-7.0546737213404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3C-4169-8506-F966955947A8}"/>
                </c:ext>
              </c:extLst>
            </c:dLbl>
            <c:dLbl>
              <c:idx val="2"/>
              <c:layout>
                <c:manualLayout>
                  <c:x val="-2.7397260273972601E-2"/>
                  <c:y val="-7.05467372134051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3C-4169-8506-F966955947A8}"/>
                </c:ext>
              </c:extLst>
            </c:dLbl>
            <c:dLbl>
              <c:idx val="3"/>
              <c:layout>
                <c:manualLayout>
                  <c:x val="-3.4246575342465918E-2"/>
                  <c:y val="-7.05467372134038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3C-4169-8506-F966955947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Sheet1!$C$6:$C$9</c:f>
              <c:strCache>
                <c:ptCount val="4"/>
                <c:pt idx="0">
                  <c:v>хитност</c:v>
                </c:pt>
                <c:pt idx="1">
                  <c:v>тачно одређени понуђач</c:v>
                </c:pt>
                <c:pt idx="2">
                  <c:v>додатни радови и услуге</c:v>
                </c:pt>
                <c:pt idx="3">
                  <c:v>неуспели отворени и рестриктивни</c:v>
                </c:pt>
              </c:strCache>
            </c:strRef>
          </c:cat>
          <c:val>
            <c:numRef>
              <c:f>Sheet1!$D$6:$D$9</c:f>
              <c:numCache>
                <c:formatCode>#,##0</c:formatCode>
                <c:ptCount val="4"/>
                <c:pt idx="0">
                  <c:v>2006534</c:v>
                </c:pt>
                <c:pt idx="1">
                  <c:v>6293748</c:v>
                </c:pt>
                <c:pt idx="2">
                  <c:v>514854</c:v>
                </c:pt>
                <c:pt idx="3">
                  <c:v>806808</c:v>
                </c:pt>
              </c:numCache>
            </c:numRef>
          </c:val>
          <c:extLst>
            <c:ext xmlns:c16="http://schemas.microsoft.com/office/drawing/2014/chart" uri="{C3380CC4-5D6E-409C-BE32-E72D297353CC}">
              <c16:uniqueId val="{00000004-E73C-4169-8506-F966955947A8}"/>
            </c:ext>
          </c:extLst>
        </c:ser>
        <c:ser>
          <c:idx val="1"/>
          <c:order val="1"/>
          <c:tx>
            <c:strRef>
              <c:f>Sheet1!$E$5</c:f>
              <c:strCache>
                <c:ptCount val="1"/>
                <c:pt idx="0">
                  <c:v>2019</c:v>
                </c:pt>
              </c:strCache>
            </c:strRef>
          </c:tx>
          <c:spPr>
            <a:solidFill>
              <a:schemeClr val="accent2"/>
            </a:solidFill>
            <a:ln>
              <a:noFill/>
            </a:ln>
            <a:effectLst/>
          </c:spPr>
          <c:invertIfNegative val="0"/>
          <c:dLbls>
            <c:dLbl>
              <c:idx val="0"/>
              <c:layout>
                <c:manualLayout>
                  <c:x val="2.7397260273972601E-2"/>
                  <c:y val="-1.4109347442680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3C-4169-8506-F966955947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Sheet1!$C$6:$C$9</c:f>
              <c:strCache>
                <c:ptCount val="4"/>
                <c:pt idx="0">
                  <c:v>хитност</c:v>
                </c:pt>
                <c:pt idx="1">
                  <c:v>тачно одређени понуђач</c:v>
                </c:pt>
                <c:pt idx="2">
                  <c:v>додатни радови и услуге</c:v>
                </c:pt>
                <c:pt idx="3">
                  <c:v>неуспели отворени и рестриктивни</c:v>
                </c:pt>
              </c:strCache>
            </c:strRef>
          </c:cat>
          <c:val>
            <c:numRef>
              <c:f>Sheet1!$E$6:$E$9</c:f>
              <c:numCache>
                <c:formatCode>#,##0</c:formatCode>
                <c:ptCount val="4"/>
                <c:pt idx="0">
                  <c:v>2668065</c:v>
                </c:pt>
                <c:pt idx="1">
                  <c:v>9777953</c:v>
                </c:pt>
                <c:pt idx="2">
                  <c:v>778254</c:v>
                </c:pt>
                <c:pt idx="3">
                  <c:v>502147</c:v>
                </c:pt>
              </c:numCache>
            </c:numRef>
          </c:val>
          <c:extLst>
            <c:ext xmlns:c16="http://schemas.microsoft.com/office/drawing/2014/chart" uri="{C3380CC4-5D6E-409C-BE32-E72D297353CC}">
              <c16:uniqueId val="{00000006-E73C-4169-8506-F966955947A8}"/>
            </c:ext>
          </c:extLst>
        </c:ser>
        <c:dLbls>
          <c:showLegendKey val="0"/>
          <c:showVal val="1"/>
          <c:showCatName val="0"/>
          <c:showSerName val="0"/>
          <c:showPercent val="0"/>
          <c:showBubbleSize val="0"/>
        </c:dLbls>
        <c:gapWidth val="150"/>
        <c:overlap val="-25"/>
        <c:axId val="460952248"/>
        <c:axId val="460951920"/>
      </c:barChart>
      <c:catAx>
        <c:axId val="460952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460951920"/>
        <c:crosses val="autoZero"/>
        <c:auto val="1"/>
        <c:lblAlgn val="ctr"/>
        <c:lblOffset val="100"/>
        <c:noMultiLvlLbl val="0"/>
      </c:catAx>
      <c:valAx>
        <c:axId val="460951920"/>
        <c:scaling>
          <c:orientation val="minMax"/>
        </c:scaling>
        <c:delete val="1"/>
        <c:axPos val="l"/>
        <c:numFmt formatCode="#,##0" sourceLinked="1"/>
        <c:majorTickMark val="none"/>
        <c:minorTickMark val="none"/>
        <c:tickLblPos val="nextTo"/>
        <c:crossAx val="460952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sr-Cyrl-RS" sz="1400">
                <a:latin typeface="Times New Roman" panose="02020603050405020304" pitchFamily="18" charset="0"/>
                <a:cs typeface="Times New Roman" panose="02020603050405020304" pitchFamily="18" charset="0"/>
              </a:rPr>
              <a:t>Укупан</a:t>
            </a:r>
            <a:r>
              <a:rPr lang="sr-Cyrl-RS" sz="1400" baseline="0">
                <a:latin typeface="Times New Roman" panose="02020603050405020304" pitchFamily="18" charset="0"/>
                <a:cs typeface="Times New Roman" panose="02020603050405020304" pitchFamily="18" charset="0"/>
              </a:rPr>
              <a:t> број понуђача регистрованих у регистру понуђача</a:t>
            </a:r>
            <a:endParaRPr lang="en-US" sz="1400">
              <a:latin typeface="Times New Roman" panose="02020603050405020304" pitchFamily="18" charset="0"/>
              <a:cs typeface="Times New Roman" panose="02020603050405020304" pitchFamily="18" charset="0"/>
            </a:endParaRPr>
          </a:p>
        </c:rich>
      </c:tx>
      <c:layout>
        <c:manualLayout>
          <c:xMode val="edge"/>
          <c:yMode val="edge"/>
          <c:x val="0.14043044619422573"/>
          <c:y val="3.7037134704942333E-2"/>
        </c:manualLayout>
      </c:layout>
      <c:overlay val="0"/>
    </c:title>
    <c:autoTitleDeleted val="0"/>
    <c:plotArea>
      <c:layout/>
      <c:barChart>
        <c:barDir val="col"/>
        <c:grouping val="clustered"/>
        <c:varyColors val="0"/>
        <c:ser>
          <c:idx val="0"/>
          <c:order val="0"/>
          <c:tx>
            <c:strRef>
              <c:f>Sheet1!$C$5</c:f>
              <c:strCache>
                <c:ptCount val="1"/>
                <c:pt idx="0">
                  <c:v>vrednost</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Sheet1!$B$6:$B$12</c:f>
              <c:numCache>
                <c:formatCode>General</c:formatCode>
                <c:ptCount val="7"/>
                <c:pt idx="0">
                  <c:v>2013</c:v>
                </c:pt>
                <c:pt idx="1">
                  <c:v>2014</c:v>
                </c:pt>
                <c:pt idx="2">
                  <c:v>2015</c:v>
                </c:pt>
                <c:pt idx="3">
                  <c:v>2016</c:v>
                </c:pt>
                <c:pt idx="4">
                  <c:v>2017</c:v>
                </c:pt>
                <c:pt idx="5">
                  <c:v>2018</c:v>
                </c:pt>
                <c:pt idx="6">
                  <c:v>2019</c:v>
                </c:pt>
              </c:numCache>
            </c:numRef>
          </c:cat>
          <c:val>
            <c:numRef>
              <c:f>Sheet1!$C$6:$C$12</c:f>
              <c:numCache>
                <c:formatCode>#,##0</c:formatCode>
                <c:ptCount val="7"/>
                <c:pt idx="0">
                  <c:v>1610</c:v>
                </c:pt>
                <c:pt idx="1">
                  <c:v>5930</c:v>
                </c:pt>
                <c:pt idx="2">
                  <c:v>7651</c:v>
                </c:pt>
                <c:pt idx="3">
                  <c:v>9022</c:v>
                </c:pt>
                <c:pt idx="4">
                  <c:v>10408</c:v>
                </c:pt>
                <c:pt idx="5">
                  <c:v>11615</c:v>
                </c:pt>
                <c:pt idx="6">
                  <c:v>12674</c:v>
                </c:pt>
              </c:numCache>
            </c:numRef>
          </c:val>
          <c:extLst>
            <c:ext xmlns:c16="http://schemas.microsoft.com/office/drawing/2014/chart" uri="{C3380CC4-5D6E-409C-BE32-E72D297353CC}">
              <c16:uniqueId val="{00000000-DBC5-4A33-9149-2F807BA5A19B}"/>
            </c:ext>
          </c:extLst>
        </c:ser>
        <c:dLbls>
          <c:dLblPos val="outEnd"/>
          <c:showLegendKey val="0"/>
          <c:showVal val="1"/>
          <c:showCatName val="0"/>
          <c:showSerName val="0"/>
          <c:showPercent val="0"/>
          <c:showBubbleSize val="0"/>
        </c:dLbls>
        <c:gapWidth val="150"/>
        <c:axId val="40664064"/>
        <c:axId val="40667392"/>
      </c:barChart>
      <c:catAx>
        <c:axId val="40664064"/>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sr-Latn-RS"/>
          </a:p>
        </c:txPr>
        <c:crossAx val="40667392"/>
        <c:crosses val="autoZero"/>
        <c:auto val="1"/>
        <c:lblAlgn val="ctr"/>
        <c:lblOffset val="100"/>
        <c:noMultiLvlLbl val="0"/>
      </c:catAx>
      <c:valAx>
        <c:axId val="40667392"/>
        <c:scaling>
          <c:orientation val="minMax"/>
        </c:scaling>
        <c:delete val="1"/>
        <c:axPos val="l"/>
        <c:numFmt formatCode="#,##0" sourceLinked="1"/>
        <c:majorTickMark val="out"/>
        <c:minorTickMark val="none"/>
        <c:tickLblPos val="nextTo"/>
        <c:crossAx val="406640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sr-Cyrl-RS" sz="1400">
                <a:latin typeface="Times New Roman" panose="02020603050405020304" pitchFamily="18" charset="0"/>
                <a:cs typeface="Times New Roman" panose="02020603050405020304" pitchFamily="18" charset="0"/>
              </a:rPr>
              <a:t>Број</a:t>
            </a:r>
            <a:r>
              <a:rPr lang="sr-Cyrl-RS" sz="1400" baseline="0">
                <a:latin typeface="Times New Roman" panose="02020603050405020304" pitchFamily="18" charset="0"/>
                <a:cs typeface="Times New Roman" panose="02020603050405020304" pitchFamily="18" charset="0"/>
              </a:rPr>
              <a:t> јавних набавки објављених</a:t>
            </a:r>
          </a:p>
          <a:p>
            <a:pPr>
              <a:defRPr sz="1400">
                <a:latin typeface="Times New Roman" panose="02020603050405020304" pitchFamily="18" charset="0"/>
                <a:cs typeface="Times New Roman" panose="02020603050405020304" pitchFamily="18" charset="0"/>
              </a:defRPr>
            </a:pPr>
            <a:r>
              <a:rPr lang="sr-Cyrl-RS" sz="1400" baseline="0">
                <a:latin typeface="Times New Roman" panose="02020603050405020304" pitchFamily="18" charset="0"/>
                <a:cs typeface="Times New Roman" panose="02020603050405020304" pitchFamily="18" charset="0"/>
              </a:rPr>
              <a:t> на Порталу до 31.12.2019. године</a:t>
            </a:r>
            <a:endParaRPr lang="sr-Latn-RS" sz="14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Sheet1!$E$3</c:f>
              <c:strCache>
                <c:ptCount val="1"/>
                <c:pt idx="0">
                  <c:v>Број</c:v>
                </c:pt>
              </c:strCache>
            </c:strRef>
          </c:tx>
          <c:marker>
            <c:symbol val="none"/>
          </c:marker>
          <c:dLbls>
            <c:dLbl>
              <c:idx val="3"/>
              <c:layout>
                <c:manualLayout>
                  <c:x val="-7.6265064417516196E-2"/>
                  <c:y val="-0.112865165819879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66-4787-89A5-BFAB2E38F3C5}"/>
                </c:ext>
              </c:extLst>
            </c:dLbl>
            <c:dLbl>
              <c:idx val="4"/>
              <c:layout>
                <c:manualLayout>
                  <c:x val="-9.0704851777611284E-2"/>
                  <c:y val="-9.7302752193583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66-4787-89A5-BFAB2E38F3C5}"/>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Sheet1!$D$4:$D$14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Sheet1!$E$4:$E$14</c:f>
              <c:numCache>
                <c:formatCode>#,##0</c:formatCode>
                <c:ptCount val="11"/>
                <c:pt idx="0">
                  <c:v>7760</c:v>
                </c:pt>
                <c:pt idx="1">
                  <c:v>15209</c:v>
                </c:pt>
                <c:pt idx="2">
                  <c:v>17956</c:v>
                </c:pt>
                <c:pt idx="3">
                  <c:v>19706</c:v>
                </c:pt>
                <c:pt idx="4">
                  <c:v>39417</c:v>
                </c:pt>
                <c:pt idx="5">
                  <c:v>59665</c:v>
                </c:pt>
                <c:pt idx="6">
                  <c:v>61602</c:v>
                </c:pt>
                <c:pt idx="7">
                  <c:v>55980</c:v>
                </c:pt>
                <c:pt idx="8">
                  <c:v>58574</c:v>
                </c:pt>
                <c:pt idx="9">
                  <c:v>61136</c:v>
                </c:pt>
                <c:pt idx="10">
                  <c:v>62003</c:v>
                </c:pt>
              </c:numCache>
            </c:numRef>
          </c:val>
          <c:smooth val="0"/>
          <c:extLst>
            <c:ext xmlns:c16="http://schemas.microsoft.com/office/drawing/2014/chart" uri="{C3380CC4-5D6E-409C-BE32-E72D297353CC}">
              <c16:uniqueId val="{00000002-7666-4787-89A5-BFAB2E38F3C5}"/>
            </c:ext>
          </c:extLst>
        </c:ser>
        <c:dLbls>
          <c:showLegendKey val="0"/>
          <c:showVal val="0"/>
          <c:showCatName val="0"/>
          <c:showSerName val="0"/>
          <c:showPercent val="0"/>
          <c:showBubbleSize val="0"/>
        </c:dLbls>
        <c:smooth val="0"/>
        <c:axId val="87585536"/>
        <c:axId val="87587072"/>
      </c:lineChart>
      <c:catAx>
        <c:axId val="87585536"/>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sr-Latn-RS"/>
          </a:p>
        </c:txPr>
        <c:crossAx val="87587072"/>
        <c:crosses val="autoZero"/>
        <c:auto val="1"/>
        <c:lblAlgn val="ctr"/>
        <c:lblOffset val="100"/>
        <c:noMultiLvlLbl val="0"/>
      </c:catAx>
      <c:valAx>
        <c:axId val="87587072"/>
        <c:scaling>
          <c:orientation val="minMax"/>
        </c:scaling>
        <c:delete val="1"/>
        <c:axPos val="l"/>
        <c:numFmt formatCode="#,##0" sourceLinked="1"/>
        <c:majorTickMark val="out"/>
        <c:minorTickMark val="none"/>
        <c:tickLblPos val="nextTo"/>
        <c:crossAx val="875855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r-Cyrl-RS" b="1"/>
              <a:t>Просечан дневни број посета Порталу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Sheet1!$C$4</c:f>
              <c:strCache>
                <c:ptCount val="1"/>
                <c:pt idx="0">
                  <c:v>Просечан дневни број посета Порталу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Sheet1!$B$5:$B$10</c:f>
              <c:numCache>
                <c:formatCode>General</c:formatCode>
                <c:ptCount val="6"/>
                <c:pt idx="0">
                  <c:v>2014</c:v>
                </c:pt>
                <c:pt idx="1">
                  <c:v>2015</c:v>
                </c:pt>
                <c:pt idx="2">
                  <c:v>2016</c:v>
                </c:pt>
                <c:pt idx="3">
                  <c:v>2017</c:v>
                </c:pt>
                <c:pt idx="4">
                  <c:v>2018</c:v>
                </c:pt>
                <c:pt idx="5">
                  <c:v>2019</c:v>
                </c:pt>
              </c:numCache>
            </c:numRef>
          </c:cat>
          <c:val>
            <c:numRef>
              <c:f>Sheet1!$C$5:$C$10</c:f>
              <c:numCache>
                <c:formatCode>#,##0</c:formatCode>
                <c:ptCount val="6"/>
                <c:pt idx="0">
                  <c:v>4586</c:v>
                </c:pt>
                <c:pt idx="1">
                  <c:v>6225</c:v>
                </c:pt>
                <c:pt idx="2">
                  <c:v>7039</c:v>
                </c:pt>
                <c:pt idx="3">
                  <c:v>8148</c:v>
                </c:pt>
                <c:pt idx="4">
                  <c:v>8082</c:v>
                </c:pt>
                <c:pt idx="5">
                  <c:v>7915</c:v>
                </c:pt>
              </c:numCache>
            </c:numRef>
          </c:val>
          <c:extLst>
            <c:ext xmlns:c16="http://schemas.microsoft.com/office/drawing/2014/chart" uri="{C3380CC4-5D6E-409C-BE32-E72D297353CC}">
              <c16:uniqueId val="{00000000-5C5A-43DC-A641-76E873985353}"/>
            </c:ext>
          </c:extLst>
        </c:ser>
        <c:dLbls>
          <c:showLegendKey val="0"/>
          <c:showVal val="0"/>
          <c:showCatName val="0"/>
          <c:showSerName val="0"/>
          <c:showPercent val="0"/>
          <c:showBubbleSize val="0"/>
        </c:dLbls>
        <c:gapWidth val="219"/>
        <c:overlap val="-27"/>
        <c:axId val="163678952"/>
        <c:axId val="163674032"/>
      </c:barChart>
      <c:catAx>
        <c:axId val="16367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crossAx val="163674032"/>
        <c:crosses val="autoZero"/>
        <c:auto val="1"/>
        <c:lblAlgn val="ctr"/>
        <c:lblOffset val="100"/>
        <c:noMultiLvlLbl val="0"/>
      </c:catAx>
      <c:valAx>
        <c:axId val="163674032"/>
        <c:scaling>
          <c:orientation val="minMax"/>
        </c:scaling>
        <c:delete val="1"/>
        <c:axPos val="l"/>
        <c:numFmt formatCode="#,##0" sourceLinked="1"/>
        <c:majorTickMark val="none"/>
        <c:minorTickMark val="none"/>
        <c:tickLblPos val="nextTo"/>
        <c:crossAx val="163678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r-Cyrl-RS" sz="1200">
                <a:latin typeface="Times New Roman" panose="02020603050405020304" pitchFamily="18" charset="0"/>
                <a:cs typeface="Times New Roman" panose="02020603050405020304" pitchFamily="18" charset="0"/>
              </a:rPr>
              <a:t>Структура</a:t>
            </a:r>
            <a:r>
              <a:rPr lang="sr-Cyrl-RS" sz="1200" baseline="0">
                <a:latin typeface="Times New Roman" panose="02020603050405020304" pitchFamily="18" charset="0"/>
                <a:cs typeface="Times New Roman" panose="02020603050405020304" pitchFamily="18" charset="0"/>
              </a:rPr>
              <a:t> набавки према вредности уговора додељених понуђачима из Србије, ЕУ и држава ван ЕУ у 201</a:t>
            </a:r>
            <a:r>
              <a:rPr lang="sr-Latn-RS" sz="1200" baseline="0">
                <a:latin typeface="Times New Roman" panose="02020603050405020304" pitchFamily="18" charset="0"/>
                <a:cs typeface="Times New Roman" panose="02020603050405020304" pitchFamily="18" charset="0"/>
              </a:rPr>
              <a:t>9</a:t>
            </a:r>
            <a:r>
              <a:rPr lang="sr-Cyrl-RS" sz="1200" baseline="0">
                <a:latin typeface="Times New Roman" panose="02020603050405020304" pitchFamily="18" charset="0"/>
                <a:cs typeface="Times New Roman" panose="02020603050405020304" pitchFamily="18" charset="0"/>
              </a:rPr>
              <a:t>. години</a:t>
            </a:r>
            <a:endParaRPr lang="sr-Latn-RS" sz="1200"/>
          </a:p>
        </c:rich>
      </c:tx>
      <c:overlay val="0"/>
    </c:title>
    <c:autoTitleDeleted val="0"/>
    <c:plotArea>
      <c:layout>
        <c:manualLayout>
          <c:layoutTarget val="inner"/>
          <c:xMode val="edge"/>
          <c:yMode val="edge"/>
          <c:x val="0.1700658295281583"/>
          <c:y val="0.2600187087772704"/>
          <c:w val="0.38764935312024357"/>
          <c:h val="0.64608225520040596"/>
        </c:manualLayout>
      </c:layout>
      <c:pieChart>
        <c:varyColors val="1"/>
        <c:ser>
          <c:idx val="0"/>
          <c:order val="0"/>
          <c:explosion val="25"/>
          <c:dLbls>
            <c:dLbl>
              <c:idx val="1"/>
              <c:layout>
                <c:manualLayout>
                  <c:x val="-3.7557077625570777E-2"/>
                  <c:y val="9.842719431760531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9C-47AF-AE31-57720FB48CF1}"/>
                </c:ext>
              </c:extLst>
            </c:dLbl>
            <c:dLbl>
              <c:idx val="2"/>
              <c:layout>
                <c:manualLayout>
                  <c:x val="4.4197108066971122E-2"/>
                  <c:y val="7.708650431253175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9C-47AF-AE31-57720FB48CF1}"/>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sr-Latn-R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Sheet1!$D$5:$D$7</c:f>
              <c:strCache>
                <c:ptCount val="3"/>
                <c:pt idx="0">
                  <c:v>Србија</c:v>
                </c:pt>
                <c:pt idx="1">
                  <c:v>Европска унија</c:v>
                </c:pt>
                <c:pt idx="2">
                  <c:v>ван Европске уније</c:v>
                </c:pt>
              </c:strCache>
            </c:strRef>
          </c:cat>
          <c:val>
            <c:numRef>
              <c:f>Sheet1!$E$5:$E$7</c:f>
              <c:numCache>
                <c:formatCode>0%</c:formatCode>
                <c:ptCount val="3"/>
                <c:pt idx="0">
                  <c:v>0.98</c:v>
                </c:pt>
                <c:pt idx="1">
                  <c:v>0.01</c:v>
                </c:pt>
                <c:pt idx="2">
                  <c:v>0.01</c:v>
                </c:pt>
              </c:numCache>
            </c:numRef>
          </c:val>
          <c:extLst>
            <c:ext xmlns:c16="http://schemas.microsoft.com/office/drawing/2014/chart" uri="{C3380CC4-5D6E-409C-BE32-E72D297353CC}">
              <c16:uniqueId val="{00000002-8D9C-47AF-AE31-57720FB48CF1}"/>
            </c:ext>
          </c:extLst>
        </c:ser>
        <c:dLbls>
          <c:dLblPos val="outEnd"/>
          <c:showLegendKey val="0"/>
          <c:showVal val="1"/>
          <c:showCatName val="0"/>
          <c:showSerName val="0"/>
          <c:showPercent val="0"/>
          <c:showBubbleSize val="0"/>
          <c:showLeaderLines val="1"/>
        </c:dLbls>
        <c:firstSliceAng val="0"/>
      </c:pie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970C8-EAF6-4626-BD44-44A559E1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11701</Words>
  <Characters>66699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Mladen Alempijevic</cp:lastModifiedBy>
  <cp:revision>2</cp:revision>
  <cp:lastPrinted>2019-04-03T12:03:00Z</cp:lastPrinted>
  <dcterms:created xsi:type="dcterms:W3CDTF">2020-04-22T10:28:00Z</dcterms:created>
  <dcterms:modified xsi:type="dcterms:W3CDTF">2020-04-22T10:28:00Z</dcterms:modified>
</cp:coreProperties>
</file>