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8.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5F38BF" w14:textId="77777777" w:rsidR="0081466B" w:rsidRPr="006C779D" w:rsidRDefault="0081466B">
      <w:pPr>
        <w:jc w:val="both"/>
        <w:rPr>
          <w:rStyle w:val="IntenseReference"/>
        </w:rPr>
      </w:pPr>
    </w:p>
    <w:p w14:paraId="5210B307" w14:textId="77777777" w:rsidR="0081466B" w:rsidRDefault="0081466B">
      <w:pPr>
        <w:jc w:val="both"/>
      </w:pPr>
    </w:p>
    <w:p w14:paraId="65B103DC" w14:textId="77777777" w:rsidR="0081466B" w:rsidRDefault="0081466B">
      <w:pPr>
        <w:spacing w:after="0" w:line="240" w:lineRule="auto"/>
        <w:jc w:val="both"/>
      </w:pPr>
    </w:p>
    <w:p w14:paraId="52EDF37A" w14:textId="77777777" w:rsidR="0081466B" w:rsidRDefault="0081466B">
      <w:pPr>
        <w:spacing w:after="0" w:line="240" w:lineRule="auto"/>
        <w:jc w:val="both"/>
      </w:pPr>
    </w:p>
    <w:p w14:paraId="0DA26005" w14:textId="77777777" w:rsidR="0081466B" w:rsidRDefault="004F0DED">
      <w:pPr>
        <w:spacing w:after="0" w:line="240" w:lineRule="auto"/>
        <w:jc w:val="center"/>
      </w:pPr>
      <w:r>
        <w:rPr>
          <w:noProof/>
          <w:lang w:val="sr-Cyrl-RS" w:eastAsia="sr-Cyrl-RS"/>
        </w:rPr>
        <w:drawing>
          <wp:inline distT="0" distB="0" distL="0" distR="0" wp14:anchorId="40A33459" wp14:editId="501C19B7">
            <wp:extent cx="1276350" cy="809625"/>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1276350" cy="809625"/>
                    </a:xfrm>
                    <a:prstGeom prst="rect">
                      <a:avLst/>
                    </a:prstGeom>
                    <a:ln/>
                  </pic:spPr>
                </pic:pic>
              </a:graphicData>
            </a:graphic>
          </wp:inline>
        </w:drawing>
      </w:r>
      <w:r>
        <w:rPr>
          <w:rFonts w:ascii="Times New Roman" w:eastAsia="Times New Roman" w:hAnsi="Times New Roman" w:cs="Times New Roman"/>
          <w:b/>
          <w:sz w:val="24"/>
          <w:szCs w:val="24"/>
        </w:rPr>
        <w:br/>
      </w:r>
    </w:p>
    <w:p w14:paraId="294A6B59" w14:textId="77777777" w:rsidR="0081466B" w:rsidRDefault="004F0DED">
      <w:pPr>
        <w:spacing w:after="0" w:line="240" w:lineRule="auto"/>
        <w:jc w:val="center"/>
      </w:pPr>
      <w:r>
        <w:rPr>
          <w:rFonts w:ascii="Times New Roman" w:eastAsia="Times New Roman" w:hAnsi="Times New Roman" w:cs="Times New Roman"/>
          <w:b/>
          <w:sz w:val="24"/>
          <w:szCs w:val="24"/>
        </w:rPr>
        <w:t>РЕПУБЛИКА СРБИЈА</w:t>
      </w:r>
    </w:p>
    <w:p w14:paraId="2704EC68" w14:textId="77777777" w:rsidR="0081466B" w:rsidRDefault="004F0DED">
      <w:pPr>
        <w:spacing w:after="0" w:line="240" w:lineRule="auto"/>
        <w:jc w:val="center"/>
      </w:pPr>
      <w:r>
        <w:rPr>
          <w:rFonts w:ascii="Times New Roman" w:eastAsia="Times New Roman" w:hAnsi="Times New Roman" w:cs="Times New Roman"/>
          <w:b/>
          <w:sz w:val="24"/>
          <w:szCs w:val="24"/>
        </w:rPr>
        <w:t>УПРАВА ЗА ЈАВНЕ НАБАВКЕ</w:t>
      </w:r>
    </w:p>
    <w:p w14:paraId="02EE18AB" w14:textId="77777777" w:rsidR="0081466B" w:rsidRDefault="0081466B">
      <w:pPr>
        <w:spacing w:after="0" w:line="240" w:lineRule="auto"/>
        <w:jc w:val="center"/>
      </w:pPr>
    </w:p>
    <w:p w14:paraId="03350528" w14:textId="77777777" w:rsidR="0081466B" w:rsidRDefault="0081466B">
      <w:pPr>
        <w:spacing w:after="0" w:line="240" w:lineRule="auto"/>
        <w:jc w:val="center"/>
      </w:pPr>
    </w:p>
    <w:p w14:paraId="24138961" w14:textId="77777777" w:rsidR="0081466B" w:rsidRDefault="0081466B">
      <w:pPr>
        <w:spacing w:after="0" w:line="240" w:lineRule="auto"/>
        <w:jc w:val="center"/>
      </w:pPr>
    </w:p>
    <w:p w14:paraId="1C8A2168" w14:textId="77777777" w:rsidR="0081466B" w:rsidRDefault="0081466B">
      <w:pPr>
        <w:spacing w:after="0" w:line="240" w:lineRule="auto"/>
        <w:jc w:val="center"/>
      </w:pPr>
    </w:p>
    <w:p w14:paraId="7A305670" w14:textId="77777777" w:rsidR="0081466B" w:rsidRDefault="0081466B">
      <w:pPr>
        <w:spacing w:after="0" w:line="240" w:lineRule="auto"/>
        <w:jc w:val="center"/>
      </w:pPr>
    </w:p>
    <w:p w14:paraId="2B7107B7" w14:textId="77777777" w:rsidR="0081466B" w:rsidRDefault="0081466B">
      <w:pPr>
        <w:spacing w:after="0" w:line="240" w:lineRule="auto"/>
        <w:jc w:val="center"/>
      </w:pPr>
    </w:p>
    <w:p w14:paraId="2A41C93B" w14:textId="77777777" w:rsidR="0081466B" w:rsidRDefault="0081466B">
      <w:pPr>
        <w:spacing w:after="0" w:line="240" w:lineRule="auto"/>
        <w:jc w:val="center"/>
      </w:pPr>
    </w:p>
    <w:p w14:paraId="38D1966E" w14:textId="77777777" w:rsidR="0081466B" w:rsidRDefault="0081466B">
      <w:pPr>
        <w:spacing w:after="0" w:line="240" w:lineRule="auto"/>
        <w:jc w:val="center"/>
      </w:pPr>
    </w:p>
    <w:p w14:paraId="5B84C410" w14:textId="77777777" w:rsidR="0081466B" w:rsidRDefault="0081466B">
      <w:pPr>
        <w:spacing w:after="0" w:line="240" w:lineRule="auto"/>
        <w:jc w:val="center"/>
      </w:pPr>
    </w:p>
    <w:p w14:paraId="0F628C4E" w14:textId="77777777" w:rsidR="0081466B" w:rsidRDefault="0081466B">
      <w:pPr>
        <w:spacing w:after="0" w:line="240" w:lineRule="auto"/>
        <w:jc w:val="center"/>
      </w:pPr>
    </w:p>
    <w:p w14:paraId="52AD54CA" w14:textId="77777777" w:rsidR="0081466B" w:rsidRDefault="0081466B">
      <w:pPr>
        <w:spacing w:after="0" w:line="240" w:lineRule="auto"/>
        <w:jc w:val="center"/>
      </w:pPr>
    </w:p>
    <w:p w14:paraId="5E9ABC06" w14:textId="77777777" w:rsidR="0081466B" w:rsidRDefault="0081466B">
      <w:pPr>
        <w:spacing w:after="0" w:line="240" w:lineRule="auto"/>
        <w:jc w:val="center"/>
      </w:pPr>
    </w:p>
    <w:p w14:paraId="712C0892" w14:textId="77777777" w:rsidR="0081466B" w:rsidRDefault="0081466B">
      <w:pPr>
        <w:spacing w:after="0" w:line="240" w:lineRule="auto"/>
        <w:jc w:val="center"/>
      </w:pPr>
    </w:p>
    <w:p w14:paraId="4151B370" w14:textId="77777777" w:rsidR="0081466B" w:rsidRDefault="0081466B">
      <w:pPr>
        <w:spacing w:after="0" w:line="240" w:lineRule="auto"/>
        <w:jc w:val="center"/>
      </w:pPr>
    </w:p>
    <w:p w14:paraId="765DA6D3" w14:textId="77777777" w:rsidR="0081466B" w:rsidRDefault="004F0DED">
      <w:pPr>
        <w:spacing w:after="0" w:line="240" w:lineRule="auto"/>
        <w:jc w:val="center"/>
      </w:pPr>
      <w:r>
        <w:rPr>
          <w:rFonts w:ascii="Times New Roman" w:eastAsia="Times New Roman" w:hAnsi="Times New Roman" w:cs="Times New Roman"/>
          <w:b/>
          <w:sz w:val="24"/>
          <w:szCs w:val="24"/>
        </w:rPr>
        <w:t>ИЗВЕШТАЈ О ЈАВНИМ НАБАВКАМА У РЕПУБЛИЦИ СРБИЈИ</w:t>
      </w:r>
    </w:p>
    <w:p w14:paraId="01D5F660" w14:textId="77777777" w:rsidR="0081466B" w:rsidRDefault="009F1A19">
      <w:pPr>
        <w:spacing w:after="0" w:line="240" w:lineRule="auto"/>
        <w:jc w:val="center"/>
      </w:pPr>
      <w:r>
        <w:rPr>
          <w:rFonts w:ascii="Times New Roman" w:eastAsia="Times New Roman" w:hAnsi="Times New Roman" w:cs="Times New Roman"/>
          <w:b/>
          <w:sz w:val="24"/>
          <w:szCs w:val="24"/>
        </w:rPr>
        <w:t>ЗА ПЕРИОД 1.1.201</w:t>
      </w:r>
      <w:r w:rsidR="00BC1E68">
        <w:rPr>
          <w:rFonts w:ascii="Times New Roman" w:eastAsia="Times New Roman" w:hAnsi="Times New Roman" w:cs="Times New Roman"/>
          <w:b/>
          <w:sz w:val="24"/>
          <w:szCs w:val="24"/>
          <w:lang w:val="en-US"/>
        </w:rPr>
        <w:t>9</w:t>
      </w:r>
      <w:r w:rsidR="008C008D">
        <w:rPr>
          <w:rFonts w:ascii="Times New Roman" w:eastAsia="Times New Roman" w:hAnsi="Times New Roman" w:cs="Times New Roman"/>
          <w:b/>
          <w:sz w:val="24"/>
          <w:szCs w:val="24"/>
        </w:rPr>
        <w:t xml:space="preserve"> – 30.</w:t>
      </w:r>
      <w:r>
        <w:rPr>
          <w:rFonts w:ascii="Times New Roman" w:eastAsia="Times New Roman" w:hAnsi="Times New Roman" w:cs="Times New Roman"/>
          <w:b/>
          <w:sz w:val="24"/>
          <w:szCs w:val="24"/>
        </w:rPr>
        <w:t>6.201</w:t>
      </w:r>
      <w:r w:rsidR="00BC1E68">
        <w:rPr>
          <w:rFonts w:ascii="Times New Roman" w:eastAsia="Times New Roman" w:hAnsi="Times New Roman" w:cs="Times New Roman"/>
          <w:b/>
          <w:sz w:val="24"/>
          <w:szCs w:val="24"/>
          <w:lang w:val="en-US"/>
        </w:rPr>
        <w:t>9</w:t>
      </w:r>
      <w:r w:rsidR="004F0DED">
        <w:rPr>
          <w:rFonts w:ascii="Times New Roman" w:eastAsia="Times New Roman" w:hAnsi="Times New Roman" w:cs="Times New Roman"/>
          <w:b/>
          <w:sz w:val="24"/>
          <w:szCs w:val="24"/>
        </w:rPr>
        <w:t>. ГОДИНЕ</w:t>
      </w:r>
    </w:p>
    <w:p w14:paraId="08596EF6" w14:textId="77777777" w:rsidR="0081466B" w:rsidRDefault="0081466B">
      <w:pPr>
        <w:spacing w:after="0" w:line="240" w:lineRule="auto"/>
        <w:jc w:val="center"/>
      </w:pPr>
    </w:p>
    <w:p w14:paraId="6A027BAE" w14:textId="77777777" w:rsidR="0081466B" w:rsidRDefault="0081466B">
      <w:pPr>
        <w:spacing w:after="0" w:line="240" w:lineRule="auto"/>
        <w:jc w:val="center"/>
      </w:pPr>
    </w:p>
    <w:p w14:paraId="7C4FA867" w14:textId="77777777" w:rsidR="0081466B" w:rsidRDefault="0081466B">
      <w:pPr>
        <w:spacing w:after="0" w:line="240" w:lineRule="auto"/>
        <w:jc w:val="center"/>
      </w:pPr>
    </w:p>
    <w:p w14:paraId="16FC5F0C" w14:textId="77777777" w:rsidR="0081466B" w:rsidRDefault="0081466B">
      <w:pPr>
        <w:spacing w:after="0" w:line="240" w:lineRule="auto"/>
        <w:jc w:val="center"/>
      </w:pPr>
    </w:p>
    <w:p w14:paraId="6AD70AED" w14:textId="77777777" w:rsidR="0081466B" w:rsidRDefault="0081466B">
      <w:pPr>
        <w:spacing w:after="0" w:line="240" w:lineRule="auto"/>
        <w:jc w:val="center"/>
      </w:pPr>
    </w:p>
    <w:p w14:paraId="56CB0F72" w14:textId="77777777" w:rsidR="0081466B" w:rsidRDefault="0081466B">
      <w:pPr>
        <w:spacing w:after="0" w:line="240" w:lineRule="auto"/>
        <w:jc w:val="center"/>
      </w:pPr>
    </w:p>
    <w:p w14:paraId="471C713D" w14:textId="77777777" w:rsidR="0081466B" w:rsidRDefault="0081466B">
      <w:pPr>
        <w:spacing w:after="0" w:line="240" w:lineRule="auto"/>
        <w:jc w:val="center"/>
      </w:pPr>
    </w:p>
    <w:p w14:paraId="29310F6C" w14:textId="77777777" w:rsidR="0081466B" w:rsidRDefault="0081466B">
      <w:pPr>
        <w:spacing w:after="0" w:line="240" w:lineRule="auto"/>
        <w:jc w:val="center"/>
      </w:pPr>
    </w:p>
    <w:p w14:paraId="5A29690A" w14:textId="77777777" w:rsidR="0081466B" w:rsidRDefault="0081466B">
      <w:pPr>
        <w:spacing w:after="0" w:line="240" w:lineRule="auto"/>
        <w:jc w:val="center"/>
      </w:pPr>
    </w:p>
    <w:p w14:paraId="01AF976D" w14:textId="77777777" w:rsidR="0081466B" w:rsidRDefault="0081466B">
      <w:pPr>
        <w:spacing w:after="0" w:line="240" w:lineRule="auto"/>
        <w:jc w:val="center"/>
      </w:pPr>
    </w:p>
    <w:p w14:paraId="4850EE90" w14:textId="77777777" w:rsidR="0081466B" w:rsidRDefault="0081466B">
      <w:pPr>
        <w:spacing w:after="0" w:line="240" w:lineRule="auto"/>
        <w:jc w:val="center"/>
      </w:pPr>
    </w:p>
    <w:p w14:paraId="63DCEC78" w14:textId="77777777" w:rsidR="0081466B" w:rsidRDefault="0081466B">
      <w:pPr>
        <w:spacing w:after="0" w:line="240" w:lineRule="auto"/>
        <w:jc w:val="center"/>
      </w:pPr>
    </w:p>
    <w:p w14:paraId="2D68A67D" w14:textId="77777777" w:rsidR="0081466B" w:rsidRDefault="0081466B">
      <w:pPr>
        <w:spacing w:after="0" w:line="240" w:lineRule="auto"/>
        <w:jc w:val="center"/>
      </w:pPr>
    </w:p>
    <w:p w14:paraId="22C7DCA8" w14:textId="77777777" w:rsidR="0081466B" w:rsidRDefault="0081466B">
      <w:pPr>
        <w:spacing w:after="0" w:line="240" w:lineRule="auto"/>
        <w:jc w:val="center"/>
      </w:pPr>
    </w:p>
    <w:p w14:paraId="6868EB4D" w14:textId="77777777" w:rsidR="0081466B" w:rsidRDefault="0081466B">
      <w:pPr>
        <w:spacing w:after="0" w:line="240" w:lineRule="auto"/>
        <w:jc w:val="center"/>
      </w:pPr>
    </w:p>
    <w:p w14:paraId="1C17D3BF" w14:textId="77777777" w:rsidR="0081466B" w:rsidRDefault="0081466B">
      <w:pPr>
        <w:spacing w:after="0" w:line="240" w:lineRule="auto"/>
        <w:jc w:val="center"/>
      </w:pPr>
    </w:p>
    <w:p w14:paraId="59231A01" w14:textId="77777777" w:rsidR="0081466B" w:rsidRDefault="0081466B">
      <w:pPr>
        <w:spacing w:after="0" w:line="240" w:lineRule="auto"/>
        <w:jc w:val="center"/>
      </w:pPr>
    </w:p>
    <w:p w14:paraId="32A98D7A" w14:textId="77777777" w:rsidR="0081466B" w:rsidRDefault="0081466B">
      <w:pPr>
        <w:spacing w:after="0" w:line="240" w:lineRule="auto"/>
        <w:jc w:val="center"/>
      </w:pPr>
    </w:p>
    <w:p w14:paraId="2DA5577D" w14:textId="77777777" w:rsidR="0081466B" w:rsidRDefault="0081466B">
      <w:pPr>
        <w:spacing w:after="0" w:line="240" w:lineRule="auto"/>
        <w:jc w:val="center"/>
      </w:pPr>
    </w:p>
    <w:p w14:paraId="3B1A2BE7" w14:textId="77777777" w:rsidR="0081466B" w:rsidRDefault="004F0DED">
      <w:pPr>
        <w:spacing w:after="0" w:line="240" w:lineRule="auto"/>
        <w:jc w:val="center"/>
      </w:pPr>
      <w:r>
        <w:rPr>
          <w:rFonts w:ascii="Times New Roman" w:eastAsia="Times New Roman" w:hAnsi="Times New Roman" w:cs="Times New Roman"/>
          <w:b/>
          <w:sz w:val="24"/>
          <w:szCs w:val="24"/>
        </w:rPr>
        <w:t>Београд</w:t>
      </w:r>
    </w:p>
    <w:p w14:paraId="7613206B" w14:textId="32724ED9" w:rsidR="0081466B" w:rsidRPr="007F1D22" w:rsidRDefault="005606D0">
      <w:pPr>
        <w:spacing w:after="0" w:line="240" w:lineRule="auto"/>
        <w:jc w:val="center"/>
        <w:rPr>
          <w:color w:val="000000" w:themeColor="text1"/>
        </w:rPr>
      </w:pPr>
      <w:bookmarkStart w:id="0" w:name="_gjdgxs" w:colFirst="0" w:colLast="0"/>
      <w:bookmarkEnd w:id="0"/>
      <w:r>
        <w:rPr>
          <w:rFonts w:ascii="Times New Roman" w:eastAsia="Times New Roman" w:hAnsi="Times New Roman" w:cs="Times New Roman"/>
          <w:b/>
          <w:color w:val="000000" w:themeColor="text1"/>
          <w:sz w:val="24"/>
          <w:szCs w:val="24"/>
          <w:lang w:val="en-US"/>
        </w:rPr>
        <w:t>11</w:t>
      </w:r>
      <w:r w:rsidR="009F1A1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lang w:val="sr-Cyrl-RS"/>
        </w:rPr>
        <w:t>октобар</w:t>
      </w:r>
      <w:r w:rsidR="00932E93">
        <w:rPr>
          <w:rFonts w:ascii="Times New Roman" w:eastAsia="Times New Roman" w:hAnsi="Times New Roman" w:cs="Times New Roman"/>
          <w:b/>
          <w:color w:val="000000" w:themeColor="text1"/>
          <w:sz w:val="24"/>
          <w:szCs w:val="24"/>
        </w:rPr>
        <w:t xml:space="preserve"> </w:t>
      </w:r>
      <w:bookmarkStart w:id="1" w:name="_GoBack"/>
      <w:bookmarkEnd w:id="1"/>
      <w:r w:rsidR="009F1A19">
        <w:rPr>
          <w:rFonts w:ascii="Times New Roman" w:eastAsia="Times New Roman" w:hAnsi="Times New Roman" w:cs="Times New Roman"/>
          <w:b/>
          <w:color w:val="000000" w:themeColor="text1"/>
          <w:sz w:val="24"/>
          <w:szCs w:val="24"/>
        </w:rPr>
        <w:t>201</w:t>
      </w:r>
      <w:r w:rsidR="007B2C18">
        <w:rPr>
          <w:rFonts w:ascii="Times New Roman" w:eastAsia="Times New Roman" w:hAnsi="Times New Roman" w:cs="Times New Roman"/>
          <w:b/>
          <w:color w:val="000000" w:themeColor="text1"/>
          <w:sz w:val="24"/>
          <w:szCs w:val="24"/>
          <w:lang w:val="en-GB"/>
        </w:rPr>
        <w:t>9</w:t>
      </w:r>
      <w:r w:rsidR="004F0DED" w:rsidRPr="007F1D22">
        <w:rPr>
          <w:rFonts w:ascii="Times New Roman" w:eastAsia="Times New Roman" w:hAnsi="Times New Roman" w:cs="Times New Roman"/>
          <w:b/>
          <w:color w:val="000000" w:themeColor="text1"/>
          <w:sz w:val="24"/>
          <w:szCs w:val="24"/>
        </w:rPr>
        <w:t>. године</w:t>
      </w:r>
    </w:p>
    <w:p w14:paraId="56CFB177" w14:textId="77777777" w:rsidR="0081466B" w:rsidRDefault="0081466B">
      <w:pPr>
        <w:jc w:val="both"/>
      </w:pPr>
    </w:p>
    <w:p w14:paraId="78D80129" w14:textId="77777777" w:rsidR="0081466B" w:rsidRDefault="0081466B">
      <w:pPr>
        <w:jc w:val="both"/>
      </w:pPr>
    </w:p>
    <w:p w14:paraId="11B1876B" w14:textId="77777777" w:rsidR="0081466B" w:rsidRDefault="0081466B">
      <w:pPr>
        <w:jc w:val="both"/>
      </w:pPr>
    </w:p>
    <w:p w14:paraId="62A4E1B8" w14:textId="77777777" w:rsidR="0081466B" w:rsidRDefault="004F0DED">
      <w:pPr>
        <w:spacing w:after="0"/>
        <w:jc w:val="both"/>
      </w:pPr>
      <w:r>
        <w:rPr>
          <w:rFonts w:ascii="Times New Roman" w:eastAsia="Times New Roman" w:hAnsi="Times New Roman" w:cs="Times New Roman"/>
          <w:b/>
          <w:sz w:val="24"/>
          <w:szCs w:val="24"/>
        </w:rPr>
        <w:t>УВОД</w:t>
      </w:r>
    </w:p>
    <w:p w14:paraId="6A74457B" w14:textId="77777777" w:rsidR="0081466B" w:rsidRDefault="0081466B">
      <w:pPr>
        <w:spacing w:after="0"/>
        <w:ind w:left="720"/>
        <w:jc w:val="both"/>
      </w:pPr>
    </w:p>
    <w:p w14:paraId="099A6045" w14:textId="77777777" w:rsidR="0081466B" w:rsidRDefault="004F0DED">
      <w:pPr>
        <w:jc w:val="both"/>
      </w:pPr>
      <w:r>
        <w:rPr>
          <w:rFonts w:ascii="Times New Roman" w:eastAsia="Times New Roman" w:hAnsi="Times New Roman" w:cs="Times New Roman"/>
          <w:sz w:val="24"/>
          <w:szCs w:val="24"/>
        </w:rPr>
        <w:t>Законом о јавним набавкама („Службени гласник РС“, бр. 124/12, 14/15 и 68/15; у даљем тексту: З</w:t>
      </w:r>
      <w:r w:rsidR="003B201F">
        <w:rPr>
          <w:rFonts w:ascii="Times New Roman" w:eastAsia="Times New Roman" w:hAnsi="Times New Roman" w:cs="Times New Roman"/>
          <w:sz w:val="24"/>
          <w:szCs w:val="24"/>
        </w:rPr>
        <w:t>ЈН</w:t>
      </w:r>
      <w:r>
        <w:rPr>
          <w:rFonts w:ascii="Times New Roman" w:eastAsia="Times New Roman" w:hAnsi="Times New Roman" w:cs="Times New Roman"/>
          <w:sz w:val="24"/>
          <w:szCs w:val="24"/>
        </w:rPr>
        <w:t>), прописано је да су наручиоци дужни да прикупљају и евидентирају податке о јавним набавкама и да своје кварталне извештаје достављају Управи за јавне набавке (у даљем тексту: У</w:t>
      </w:r>
      <w:r w:rsidR="004319AB">
        <w:rPr>
          <w:rFonts w:ascii="Times New Roman" w:eastAsia="Times New Roman" w:hAnsi="Times New Roman" w:cs="Times New Roman"/>
          <w:sz w:val="24"/>
          <w:szCs w:val="24"/>
        </w:rPr>
        <w:t>ЈН</w:t>
      </w:r>
      <w:r>
        <w:rPr>
          <w:rFonts w:ascii="Times New Roman" w:eastAsia="Times New Roman" w:hAnsi="Times New Roman" w:cs="Times New Roman"/>
          <w:sz w:val="24"/>
          <w:szCs w:val="24"/>
        </w:rPr>
        <w:t>) најкасније до 10. у месецу који следи по истеку тромесечја.</w:t>
      </w:r>
    </w:p>
    <w:p w14:paraId="026BEFB7" w14:textId="77777777" w:rsidR="0081466B" w:rsidRDefault="004F0DED">
      <w:pPr>
        <w:jc w:val="both"/>
      </w:pPr>
      <w:r>
        <w:rPr>
          <w:rFonts w:ascii="Times New Roman" w:eastAsia="Times New Roman" w:hAnsi="Times New Roman" w:cs="Times New Roman"/>
          <w:sz w:val="24"/>
          <w:szCs w:val="24"/>
        </w:rPr>
        <w:t>Кључни елементи тромесечних извештаја о јавним набавкама предвиђени су самим З</w:t>
      </w:r>
      <w:r w:rsidR="003B201F">
        <w:rPr>
          <w:rFonts w:ascii="Times New Roman" w:eastAsia="Times New Roman" w:hAnsi="Times New Roman" w:cs="Times New Roman"/>
          <w:sz w:val="24"/>
          <w:szCs w:val="24"/>
        </w:rPr>
        <w:t>ЈН</w:t>
      </w:r>
      <w:r>
        <w:rPr>
          <w:rFonts w:ascii="Times New Roman" w:eastAsia="Times New Roman" w:hAnsi="Times New Roman" w:cs="Times New Roman"/>
          <w:sz w:val="24"/>
          <w:szCs w:val="24"/>
        </w:rPr>
        <w:t xml:space="preserve">, док су садржина извештаја и начин вођења евиденције детаљније уређени Правилником о садржини извештаја о јавним набавкама и начину вођења евиденције о јавним набавкама („Службени гласник РС“, бр. 29/13). </w:t>
      </w:r>
    </w:p>
    <w:p w14:paraId="01D7FF40" w14:textId="77777777" w:rsidR="0081466B" w:rsidRDefault="004F0DED">
      <w:pPr>
        <w:jc w:val="both"/>
      </w:pPr>
      <w:r>
        <w:rPr>
          <w:rFonts w:ascii="Times New Roman" w:eastAsia="Times New Roman" w:hAnsi="Times New Roman" w:cs="Times New Roman"/>
          <w:sz w:val="24"/>
          <w:szCs w:val="24"/>
        </w:rPr>
        <w:t>Конкретно, прописано је да наручиоци достављају У</w:t>
      </w:r>
      <w:r w:rsidR="004319AB">
        <w:rPr>
          <w:rFonts w:ascii="Times New Roman" w:eastAsia="Times New Roman" w:hAnsi="Times New Roman" w:cs="Times New Roman"/>
          <w:sz w:val="24"/>
          <w:szCs w:val="24"/>
        </w:rPr>
        <w:t>ЈН</w:t>
      </w:r>
      <w:r>
        <w:rPr>
          <w:rFonts w:ascii="Times New Roman" w:eastAsia="Times New Roman" w:hAnsi="Times New Roman" w:cs="Times New Roman"/>
          <w:sz w:val="24"/>
          <w:szCs w:val="24"/>
        </w:rPr>
        <w:t xml:space="preserve"> тромесечни извештај о спроведеним поступцима и закљученим уговорима о јавним набавкама, о спроведеним поступцима набавки на које се не примењују одредбе З</w:t>
      </w:r>
      <w:r w:rsidR="003B201F">
        <w:rPr>
          <w:rFonts w:ascii="Times New Roman" w:eastAsia="Times New Roman" w:hAnsi="Times New Roman" w:cs="Times New Roman"/>
          <w:sz w:val="24"/>
          <w:szCs w:val="24"/>
        </w:rPr>
        <w:t>ЈН</w:t>
      </w:r>
      <w:r>
        <w:rPr>
          <w:rFonts w:ascii="Times New Roman" w:eastAsia="Times New Roman" w:hAnsi="Times New Roman" w:cs="Times New Roman"/>
          <w:sz w:val="24"/>
          <w:szCs w:val="24"/>
        </w:rPr>
        <w:t>, о обустављеним и поништеним поступцима јавне набавке, као и извештај о извршењу уговора.</w:t>
      </w:r>
    </w:p>
    <w:p w14:paraId="5667DD78" w14:textId="6A2BF10B" w:rsidR="0081466B" w:rsidRDefault="004F0DED">
      <w:pPr>
        <w:jc w:val="both"/>
      </w:pPr>
      <w:r>
        <w:rPr>
          <w:rFonts w:ascii="Times New Roman" w:eastAsia="Times New Roman" w:hAnsi="Times New Roman" w:cs="Times New Roman"/>
          <w:sz w:val="24"/>
          <w:szCs w:val="24"/>
        </w:rPr>
        <w:t>Тромесечни извештај о јавним набавкама припрема се и доставља у електронској форми, путем апликативног софтвера У</w:t>
      </w:r>
      <w:r w:rsidR="004319AB">
        <w:rPr>
          <w:rFonts w:ascii="Times New Roman" w:eastAsia="Times New Roman" w:hAnsi="Times New Roman" w:cs="Times New Roman"/>
          <w:sz w:val="24"/>
          <w:szCs w:val="24"/>
        </w:rPr>
        <w:t>ЈН</w:t>
      </w:r>
      <w:r>
        <w:rPr>
          <w:rFonts w:ascii="Times New Roman" w:eastAsia="Times New Roman" w:hAnsi="Times New Roman" w:cs="Times New Roman"/>
          <w:sz w:val="24"/>
          <w:szCs w:val="24"/>
        </w:rPr>
        <w:t>. Поред прописаних образаца за вођење евиденције, софтвер садржи и пратеће корисничко упутство, и доступан је на интернет страници У</w:t>
      </w:r>
      <w:r w:rsidR="004319AB">
        <w:rPr>
          <w:rFonts w:ascii="Times New Roman" w:eastAsia="Times New Roman" w:hAnsi="Times New Roman" w:cs="Times New Roman"/>
          <w:sz w:val="24"/>
          <w:szCs w:val="24"/>
        </w:rPr>
        <w:t>ЈН</w:t>
      </w:r>
      <w:r>
        <w:rPr>
          <w:rFonts w:ascii="Times New Roman" w:eastAsia="Times New Roman" w:hAnsi="Times New Roman" w:cs="Times New Roman"/>
          <w:sz w:val="24"/>
          <w:szCs w:val="24"/>
        </w:rPr>
        <w:t xml:space="preserve"> (</w:t>
      </w:r>
      <w:hyperlink r:id="rId9" w:history="1">
        <w:r w:rsidR="006C779D" w:rsidRPr="00FE11DC">
          <w:rPr>
            <w:rStyle w:val="Hyperlink"/>
            <w:rFonts w:ascii="Times New Roman" w:eastAsia="Times New Roman" w:hAnsi="Times New Roman" w:cs="Times New Roman"/>
            <w:sz w:val="24"/>
            <w:szCs w:val="24"/>
          </w:rPr>
          <w:t>www.</w:t>
        </w:r>
        <w:r w:rsidR="006C779D" w:rsidRPr="00FE11DC">
          <w:rPr>
            <w:rStyle w:val="Hyperlink"/>
            <w:rFonts w:ascii="Times New Roman" w:eastAsia="Times New Roman" w:hAnsi="Times New Roman" w:cs="Times New Roman"/>
            <w:sz w:val="24"/>
            <w:szCs w:val="24"/>
            <w:lang w:val="en-US"/>
          </w:rPr>
          <w:t>ujn.gov.rs</w:t>
        </w:r>
      </w:hyperlink>
      <w:r>
        <w:rPr>
          <w:rFonts w:ascii="Times New Roman" w:eastAsia="Times New Roman" w:hAnsi="Times New Roman" w:cs="Times New Roman"/>
          <w:sz w:val="24"/>
          <w:szCs w:val="24"/>
        </w:rPr>
        <w:t xml:space="preserve">). </w:t>
      </w:r>
    </w:p>
    <w:p w14:paraId="69A81D4D" w14:textId="5964EBFF" w:rsidR="0081466B" w:rsidRDefault="004F0DED">
      <w:pPr>
        <w:jc w:val="both"/>
      </w:pPr>
      <w:r>
        <w:rPr>
          <w:rFonts w:ascii="Times New Roman" w:eastAsia="Times New Roman" w:hAnsi="Times New Roman" w:cs="Times New Roman"/>
          <w:sz w:val="24"/>
          <w:szCs w:val="24"/>
        </w:rPr>
        <w:t>Подаци о уговорима закљученим у поступку јавне набавке мале вредности, као и подаци о набавкама на које се З</w:t>
      </w:r>
      <w:r w:rsidR="003B201F">
        <w:rPr>
          <w:rFonts w:ascii="Times New Roman" w:eastAsia="Times New Roman" w:hAnsi="Times New Roman" w:cs="Times New Roman"/>
          <w:sz w:val="24"/>
          <w:szCs w:val="24"/>
        </w:rPr>
        <w:t>ЈН</w:t>
      </w:r>
      <w:r>
        <w:rPr>
          <w:rFonts w:ascii="Times New Roman" w:eastAsia="Times New Roman" w:hAnsi="Times New Roman" w:cs="Times New Roman"/>
          <w:sz w:val="24"/>
          <w:szCs w:val="24"/>
        </w:rPr>
        <w:t xml:space="preserve"> не примењује у извештајима се наводе збирно, за разлику од осталих врста поступака где су наручиоци дужни да евидентирају сваки закључени уговор појединачно. У складу са наведеном методологијом прикупљања података, генеришу се збирни статистички показ</w:t>
      </w:r>
      <w:r w:rsidR="007C5515">
        <w:rPr>
          <w:rFonts w:ascii="Times New Roman" w:eastAsia="Times New Roman" w:hAnsi="Times New Roman" w:cs="Times New Roman"/>
          <w:sz w:val="24"/>
          <w:szCs w:val="24"/>
          <w:lang w:val="en-US"/>
        </w:rPr>
        <w:t>а</w:t>
      </w:r>
      <w:r>
        <w:rPr>
          <w:rFonts w:ascii="Times New Roman" w:eastAsia="Times New Roman" w:hAnsi="Times New Roman" w:cs="Times New Roman"/>
          <w:sz w:val="24"/>
          <w:szCs w:val="24"/>
        </w:rPr>
        <w:t>тељи.</w:t>
      </w:r>
    </w:p>
    <w:p w14:paraId="71790DED" w14:textId="77777777" w:rsidR="0081466B" w:rsidRDefault="004F0DED">
      <w:pPr>
        <w:jc w:val="both"/>
      </w:pPr>
      <w:r>
        <w:rPr>
          <w:rFonts w:ascii="Times New Roman" w:eastAsia="Times New Roman" w:hAnsi="Times New Roman" w:cs="Times New Roman"/>
          <w:sz w:val="24"/>
          <w:szCs w:val="24"/>
        </w:rPr>
        <w:t>За исправност и тачност података приказаних у својим тромесечним извештајима, одговорност сносе наручиоци.</w:t>
      </w:r>
    </w:p>
    <w:p w14:paraId="4C184012" w14:textId="31CA92B5" w:rsidR="0081466B" w:rsidRDefault="004F0DED">
      <w:pPr>
        <w:jc w:val="both"/>
      </w:pPr>
      <w:r>
        <w:rPr>
          <w:rFonts w:ascii="Times New Roman" w:eastAsia="Times New Roman" w:hAnsi="Times New Roman" w:cs="Times New Roman"/>
          <w:sz w:val="24"/>
          <w:szCs w:val="24"/>
        </w:rPr>
        <w:t>У</w:t>
      </w:r>
      <w:r w:rsidR="004319AB">
        <w:rPr>
          <w:rFonts w:ascii="Times New Roman" w:eastAsia="Times New Roman" w:hAnsi="Times New Roman" w:cs="Times New Roman"/>
          <w:sz w:val="24"/>
          <w:szCs w:val="24"/>
        </w:rPr>
        <w:t>ЈН</w:t>
      </w:r>
      <w:r>
        <w:rPr>
          <w:rFonts w:ascii="Times New Roman" w:eastAsia="Times New Roman" w:hAnsi="Times New Roman" w:cs="Times New Roman"/>
          <w:sz w:val="24"/>
          <w:szCs w:val="24"/>
        </w:rPr>
        <w:t xml:space="preserve"> је дужна да на основу појединачних извештаја наручилаца припреми збирни, полугодишњи и годишњи извештај о јавним набавкама са предлогом општих и појединачних мера за унапређење система јавних набавки и да их, након достављања Влади Р</w:t>
      </w:r>
      <w:r w:rsidR="007C5515">
        <w:rPr>
          <w:rFonts w:ascii="Times New Roman" w:eastAsia="Times New Roman" w:hAnsi="Times New Roman" w:cs="Times New Roman"/>
          <w:sz w:val="24"/>
          <w:szCs w:val="24"/>
        </w:rPr>
        <w:t>е</w:t>
      </w:r>
      <w:r>
        <w:rPr>
          <w:rFonts w:ascii="Times New Roman" w:eastAsia="Times New Roman" w:hAnsi="Times New Roman" w:cs="Times New Roman"/>
          <w:sz w:val="24"/>
          <w:szCs w:val="24"/>
        </w:rPr>
        <w:t>публике Србије, објави на својој интернет страници.</w:t>
      </w:r>
    </w:p>
    <w:p w14:paraId="595EDFDC" w14:textId="12ED9557" w:rsidR="0081466B" w:rsidRDefault="004F0DED">
      <w:pPr>
        <w:jc w:val="both"/>
      </w:pPr>
      <w:r>
        <w:rPr>
          <w:rFonts w:ascii="Times New Roman" w:eastAsia="Times New Roman" w:hAnsi="Times New Roman" w:cs="Times New Roman"/>
          <w:sz w:val="24"/>
          <w:szCs w:val="24"/>
        </w:rPr>
        <w:t>Такође, на основу достављених тромесечних извештаја наручилаца, У</w:t>
      </w:r>
      <w:r w:rsidR="004319AB">
        <w:rPr>
          <w:rFonts w:ascii="Times New Roman" w:eastAsia="Times New Roman" w:hAnsi="Times New Roman" w:cs="Times New Roman"/>
          <w:sz w:val="24"/>
          <w:szCs w:val="24"/>
        </w:rPr>
        <w:t>ЈН</w:t>
      </w:r>
      <w:r>
        <w:rPr>
          <w:rFonts w:ascii="Times New Roman" w:eastAsia="Times New Roman" w:hAnsi="Times New Roman" w:cs="Times New Roman"/>
          <w:sz w:val="24"/>
          <w:szCs w:val="24"/>
        </w:rPr>
        <w:t xml:space="preserve"> припрема преглед спроведених поступака и закључених уговор</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који објављује на Порталу јавних набавки (</w:t>
      </w:r>
      <w:hyperlink r:id="rId10" w:history="1">
        <w:r w:rsidR="006C779D" w:rsidRPr="00FE11DC">
          <w:rPr>
            <w:rStyle w:val="Hyperlink"/>
            <w:rFonts w:ascii="Times New Roman" w:eastAsia="Times New Roman" w:hAnsi="Times New Roman" w:cs="Times New Roman"/>
            <w:sz w:val="24"/>
            <w:szCs w:val="24"/>
            <w:lang w:val="en-US"/>
          </w:rPr>
          <w:t>http</w:t>
        </w:r>
        <w:r w:rsidR="006C779D" w:rsidRPr="00FE11DC">
          <w:rPr>
            <w:rStyle w:val="Hyperlink"/>
            <w:rFonts w:ascii="Times New Roman" w:eastAsia="Times New Roman" w:hAnsi="Times New Roman" w:cs="Times New Roman"/>
            <w:sz w:val="24"/>
            <w:szCs w:val="24"/>
          </w:rPr>
          <w:t>://</w:t>
        </w:r>
        <w:r w:rsidR="006C779D" w:rsidRPr="00FE11DC">
          <w:rPr>
            <w:rStyle w:val="Hyperlink"/>
            <w:rFonts w:ascii="Times New Roman" w:eastAsia="Times New Roman" w:hAnsi="Times New Roman" w:cs="Times New Roman"/>
            <w:sz w:val="24"/>
            <w:szCs w:val="24"/>
            <w:lang w:val="en-US"/>
          </w:rPr>
          <w:t>portal</w:t>
        </w:r>
        <w:r w:rsidR="006C779D" w:rsidRPr="00FE11DC">
          <w:rPr>
            <w:rStyle w:val="Hyperlink"/>
            <w:rFonts w:ascii="Times New Roman" w:eastAsia="Times New Roman" w:hAnsi="Times New Roman" w:cs="Times New Roman"/>
            <w:sz w:val="24"/>
            <w:szCs w:val="24"/>
          </w:rPr>
          <w:t>.</w:t>
        </w:r>
        <w:r w:rsidR="006C779D" w:rsidRPr="00FE11DC">
          <w:rPr>
            <w:rStyle w:val="Hyperlink"/>
            <w:rFonts w:ascii="Times New Roman" w:eastAsia="Times New Roman" w:hAnsi="Times New Roman" w:cs="Times New Roman"/>
            <w:sz w:val="24"/>
            <w:szCs w:val="24"/>
            <w:lang w:val="en-US"/>
          </w:rPr>
          <w:t>ujn</w:t>
        </w:r>
        <w:r w:rsidR="006C779D" w:rsidRPr="00FE11DC">
          <w:rPr>
            <w:rStyle w:val="Hyperlink"/>
            <w:rFonts w:ascii="Times New Roman" w:eastAsia="Times New Roman" w:hAnsi="Times New Roman" w:cs="Times New Roman"/>
            <w:sz w:val="24"/>
            <w:szCs w:val="24"/>
          </w:rPr>
          <w:t>.</w:t>
        </w:r>
        <w:r w:rsidR="006C779D" w:rsidRPr="00FE11DC">
          <w:rPr>
            <w:rStyle w:val="Hyperlink"/>
            <w:rFonts w:ascii="Times New Roman" w:eastAsia="Times New Roman" w:hAnsi="Times New Roman" w:cs="Times New Roman"/>
            <w:sz w:val="24"/>
            <w:szCs w:val="24"/>
            <w:lang w:val="en-US"/>
          </w:rPr>
          <w:t>gov</w:t>
        </w:r>
        <w:r w:rsidR="006C779D" w:rsidRPr="00FE11DC">
          <w:rPr>
            <w:rStyle w:val="Hyperlink"/>
            <w:rFonts w:ascii="Times New Roman" w:eastAsia="Times New Roman" w:hAnsi="Times New Roman" w:cs="Times New Roman"/>
            <w:sz w:val="24"/>
            <w:szCs w:val="24"/>
          </w:rPr>
          <w:t>.</w:t>
        </w:r>
        <w:r w:rsidR="006C779D" w:rsidRPr="00FE11DC">
          <w:rPr>
            <w:rStyle w:val="Hyperlink"/>
            <w:rFonts w:ascii="Times New Roman" w:eastAsia="Times New Roman" w:hAnsi="Times New Roman" w:cs="Times New Roman"/>
            <w:sz w:val="24"/>
            <w:szCs w:val="24"/>
            <w:lang w:val="en-US"/>
          </w:rPr>
          <w:t>rs</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у даљем тексту: Портал), ради информисања јавности. </w:t>
      </w:r>
    </w:p>
    <w:p w14:paraId="27BED54A" w14:textId="77777777" w:rsidR="0081466B" w:rsidRPr="003B201F" w:rsidRDefault="004F0DED">
      <w:pPr>
        <w:numPr>
          <w:ilvl w:val="0"/>
          <w:numId w:val="1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ОПШТИ ПОКАЗАТЕЉИ</w:t>
      </w:r>
    </w:p>
    <w:p w14:paraId="5F092D9B" w14:textId="77777777" w:rsidR="003B201F" w:rsidRDefault="003B201F" w:rsidP="003B201F">
      <w:pPr>
        <w:ind w:left="720"/>
        <w:contextualSpacing/>
        <w:jc w:val="both"/>
        <w:rPr>
          <w:rFonts w:ascii="Times New Roman" w:eastAsia="Times New Roman" w:hAnsi="Times New Roman" w:cs="Times New Roman"/>
          <w:sz w:val="24"/>
          <w:szCs w:val="24"/>
        </w:rPr>
      </w:pPr>
    </w:p>
    <w:p w14:paraId="7E277636" w14:textId="6BAFD1B6" w:rsidR="00263B40" w:rsidRPr="00263B40" w:rsidRDefault="00716D74" w:rsidP="006D2DE7">
      <w:pPr>
        <w:spacing w:after="0"/>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lang w:val="sr"/>
        </w:rPr>
        <w:t>В</w:t>
      </w:r>
      <w:r w:rsidR="004F0DED">
        <w:rPr>
          <w:rFonts w:ascii="Times New Roman" w:eastAsia="Times New Roman" w:hAnsi="Times New Roman" w:cs="Times New Roman"/>
          <w:sz w:val="24"/>
          <w:szCs w:val="24"/>
        </w:rPr>
        <w:t xml:space="preserve">редност </w:t>
      </w:r>
      <w:r>
        <w:rPr>
          <w:rFonts w:ascii="Times New Roman" w:eastAsia="Times New Roman" w:hAnsi="Times New Roman" w:cs="Times New Roman"/>
          <w:sz w:val="24"/>
          <w:szCs w:val="24"/>
        </w:rPr>
        <w:t xml:space="preserve">уговорених </w:t>
      </w:r>
      <w:r w:rsidR="004F0DED">
        <w:rPr>
          <w:rFonts w:ascii="Times New Roman" w:eastAsia="Times New Roman" w:hAnsi="Times New Roman" w:cs="Times New Roman"/>
          <w:sz w:val="24"/>
          <w:szCs w:val="24"/>
        </w:rPr>
        <w:t xml:space="preserve">јавних </w:t>
      </w:r>
      <w:r w:rsidR="006D2DE7">
        <w:rPr>
          <w:rFonts w:ascii="Times New Roman" w:eastAsia="Times New Roman" w:hAnsi="Times New Roman" w:cs="Times New Roman"/>
          <w:sz w:val="24"/>
          <w:szCs w:val="24"/>
        </w:rPr>
        <w:t>набавки у п</w:t>
      </w:r>
      <w:r w:rsidR="00083C03">
        <w:rPr>
          <w:rFonts w:ascii="Times New Roman" w:eastAsia="Times New Roman" w:hAnsi="Times New Roman" w:cs="Times New Roman"/>
          <w:sz w:val="24"/>
          <w:szCs w:val="24"/>
        </w:rPr>
        <w:t>рвом полугодишту 2019</w:t>
      </w:r>
      <w:r w:rsidR="004E5145">
        <w:rPr>
          <w:rFonts w:ascii="Times New Roman" w:eastAsia="Times New Roman" w:hAnsi="Times New Roman" w:cs="Times New Roman"/>
          <w:sz w:val="24"/>
          <w:szCs w:val="24"/>
        </w:rPr>
        <w:t xml:space="preserve">. године износила је </w:t>
      </w:r>
      <w:r w:rsidR="00083C03">
        <w:rPr>
          <w:rFonts w:ascii="Times New Roman" w:eastAsia="Times New Roman" w:hAnsi="Times New Roman" w:cs="Times New Roman"/>
          <w:color w:val="000000" w:themeColor="text1"/>
          <w:sz w:val="24"/>
          <w:szCs w:val="24"/>
        </w:rPr>
        <w:t>217.276</w:t>
      </w:r>
      <w:r w:rsidR="00083C03">
        <w:rPr>
          <w:rFonts w:ascii="Times New Roman" w:eastAsia="Times New Roman" w:hAnsi="Times New Roman" w:cs="Times New Roman"/>
          <w:color w:val="000000" w:themeColor="text1"/>
          <w:sz w:val="24"/>
          <w:szCs w:val="24"/>
          <w:lang w:val="sr-Cyrl-RS"/>
        </w:rPr>
        <w:t>.</w:t>
      </w:r>
      <w:r w:rsidR="00083C03">
        <w:rPr>
          <w:rFonts w:ascii="Times New Roman" w:eastAsia="Times New Roman" w:hAnsi="Times New Roman" w:cs="Times New Roman"/>
          <w:color w:val="000000" w:themeColor="text1"/>
          <w:sz w:val="24"/>
          <w:szCs w:val="24"/>
          <w:lang w:val="sr-Latn-RS"/>
        </w:rPr>
        <w:t>719</w:t>
      </w:r>
      <w:r w:rsidR="006D2DE7">
        <w:rPr>
          <w:rFonts w:ascii="Times New Roman" w:eastAsia="Times New Roman" w:hAnsi="Times New Roman" w:cs="Times New Roman"/>
          <w:color w:val="000000" w:themeColor="text1"/>
          <w:sz w:val="24"/>
          <w:szCs w:val="24"/>
          <w:lang w:val="sr-Cyrl-RS"/>
        </w:rPr>
        <w:t>.000</w:t>
      </w:r>
      <w:r w:rsidR="005F4712">
        <w:rPr>
          <w:rFonts w:ascii="Times New Roman" w:eastAsia="Times New Roman" w:hAnsi="Times New Roman" w:cs="Times New Roman"/>
          <w:color w:val="000000" w:themeColor="text1"/>
          <w:sz w:val="24"/>
          <w:szCs w:val="24"/>
        </w:rPr>
        <w:t xml:space="preserve"> </w:t>
      </w:r>
      <w:r w:rsidR="004F0DED" w:rsidRPr="00B9265B">
        <w:rPr>
          <w:rFonts w:ascii="Times New Roman" w:eastAsia="Times New Roman" w:hAnsi="Times New Roman" w:cs="Times New Roman"/>
          <w:color w:val="000000" w:themeColor="text1"/>
          <w:sz w:val="24"/>
          <w:szCs w:val="24"/>
        </w:rPr>
        <w:t>динара</w:t>
      </w:r>
      <w:r w:rsidR="008E611C" w:rsidRPr="00B9265B">
        <w:rPr>
          <w:rFonts w:ascii="Times New Roman" w:eastAsia="Times New Roman" w:hAnsi="Times New Roman" w:cs="Times New Roman"/>
          <w:color w:val="000000" w:themeColor="text1"/>
          <w:sz w:val="24"/>
          <w:szCs w:val="24"/>
          <w:lang w:val="en-GB"/>
        </w:rPr>
        <w:t xml:space="preserve"> </w:t>
      </w:r>
      <w:r w:rsidR="008E611C" w:rsidRPr="00B9265B">
        <w:rPr>
          <w:rFonts w:ascii="Times New Roman" w:eastAsia="Times New Roman" w:hAnsi="Times New Roman" w:cs="Times New Roman"/>
          <w:color w:val="000000" w:themeColor="text1"/>
          <w:sz w:val="24"/>
          <w:szCs w:val="24"/>
        </w:rPr>
        <w:t>(Табела 1)</w:t>
      </w:r>
      <w:r w:rsidR="006D2DE7">
        <w:rPr>
          <w:rFonts w:ascii="Times New Roman" w:eastAsia="Times New Roman" w:hAnsi="Times New Roman" w:cs="Times New Roman"/>
          <w:color w:val="000000" w:themeColor="text1"/>
          <w:sz w:val="24"/>
          <w:szCs w:val="24"/>
        </w:rPr>
        <w:t xml:space="preserve">, што је </w:t>
      </w:r>
      <w:r w:rsidR="006D2DE7">
        <w:rPr>
          <w:rFonts w:ascii="Times New Roman" w:eastAsia="Times New Roman" w:hAnsi="Times New Roman" w:cs="Times New Roman"/>
          <w:color w:val="000000" w:themeColor="text1"/>
          <w:sz w:val="24"/>
          <w:szCs w:val="24"/>
          <w:lang w:val="sr-Cyrl-RS"/>
        </w:rPr>
        <w:t>више</w:t>
      </w:r>
      <w:r w:rsidR="00083C03">
        <w:rPr>
          <w:rFonts w:ascii="Times New Roman" w:eastAsia="Times New Roman" w:hAnsi="Times New Roman" w:cs="Times New Roman"/>
          <w:color w:val="000000" w:themeColor="text1"/>
          <w:sz w:val="24"/>
          <w:szCs w:val="24"/>
        </w:rPr>
        <w:t xml:space="preserve"> него у истом периоду 2018</w:t>
      </w:r>
      <w:r w:rsidR="004F0DED" w:rsidRPr="00B9265B">
        <w:rPr>
          <w:rFonts w:ascii="Times New Roman" w:eastAsia="Times New Roman" w:hAnsi="Times New Roman" w:cs="Times New Roman"/>
          <w:color w:val="000000" w:themeColor="text1"/>
          <w:sz w:val="24"/>
          <w:szCs w:val="24"/>
        </w:rPr>
        <w:t>.</w:t>
      </w:r>
      <w:r w:rsidR="00B9265B">
        <w:rPr>
          <w:rFonts w:ascii="Times New Roman" w:eastAsia="Times New Roman" w:hAnsi="Times New Roman" w:cs="Times New Roman"/>
          <w:color w:val="000000" w:themeColor="text1"/>
          <w:sz w:val="24"/>
          <w:szCs w:val="24"/>
        </w:rPr>
        <w:t xml:space="preserve"> </w:t>
      </w:r>
      <w:r w:rsidR="006D2DE7">
        <w:rPr>
          <w:rFonts w:ascii="Times New Roman" w:eastAsia="Times New Roman" w:hAnsi="Times New Roman" w:cs="Times New Roman"/>
          <w:color w:val="000000" w:themeColor="text1"/>
          <w:sz w:val="24"/>
          <w:szCs w:val="24"/>
        </w:rPr>
        <w:t>г</w:t>
      </w:r>
      <w:r w:rsidR="00B9265B">
        <w:rPr>
          <w:rFonts w:ascii="Times New Roman" w:eastAsia="Times New Roman" w:hAnsi="Times New Roman" w:cs="Times New Roman"/>
          <w:color w:val="000000" w:themeColor="text1"/>
          <w:sz w:val="24"/>
          <w:szCs w:val="24"/>
        </w:rPr>
        <w:t>одине</w:t>
      </w:r>
      <w:r w:rsidR="006D2DE7">
        <w:rPr>
          <w:rFonts w:ascii="Times New Roman" w:eastAsia="Times New Roman" w:hAnsi="Times New Roman" w:cs="Times New Roman"/>
          <w:color w:val="000000" w:themeColor="text1"/>
          <w:sz w:val="24"/>
          <w:szCs w:val="24"/>
          <w:lang w:val="sr-Cyrl-RS"/>
        </w:rPr>
        <w:t xml:space="preserve">. </w:t>
      </w:r>
      <w:r w:rsidR="007B2C18">
        <w:rPr>
          <w:rFonts w:ascii="Times New Roman" w:eastAsia="Times New Roman" w:hAnsi="Times New Roman" w:cs="Times New Roman"/>
          <w:color w:val="000000" w:themeColor="text1"/>
          <w:sz w:val="24"/>
          <w:szCs w:val="24"/>
          <w:lang w:val="sr-Cyrl-CS"/>
        </w:rPr>
        <w:t>Закључено је 60.696</w:t>
      </w:r>
      <w:r w:rsidR="006D2DE7">
        <w:rPr>
          <w:rFonts w:ascii="Times New Roman" w:eastAsia="Times New Roman" w:hAnsi="Times New Roman" w:cs="Times New Roman"/>
          <w:color w:val="000000" w:themeColor="text1"/>
          <w:sz w:val="24"/>
          <w:szCs w:val="24"/>
          <w:lang w:val="sr-Cyrl-CS"/>
        </w:rPr>
        <w:t xml:space="preserve"> уговора о јавним набавкама</w:t>
      </w:r>
      <w:r w:rsidR="006D2DE7">
        <w:rPr>
          <w:rFonts w:ascii="Times New Roman" w:eastAsia="Times New Roman" w:hAnsi="Times New Roman" w:cs="Times New Roman"/>
          <w:color w:val="000000" w:themeColor="text1"/>
          <w:sz w:val="24"/>
          <w:szCs w:val="24"/>
        </w:rPr>
        <w:t xml:space="preserve">, </w:t>
      </w:r>
      <w:r w:rsidR="0098509A">
        <w:rPr>
          <w:rFonts w:ascii="Times New Roman" w:eastAsia="Times New Roman" w:hAnsi="Times New Roman" w:cs="Times New Roman"/>
          <w:color w:val="000000" w:themeColor="text1"/>
          <w:sz w:val="24"/>
          <w:szCs w:val="24"/>
          <w:lang w:val="sr-Cyrl-RS"/>
        </w:rPr>
        <w:t>док је</w:t>
      </w:r>
      <w:r w:rsidR="006D2DE7">
        <w:rPr>
          <w:rFonts w:ascii="Times New Roman" w:eastAsia="Times New Roman" w:hAnsi="Times New Roman" w:cs="Times New Roman"/>
          <w:color w:val="000000" w:themeColor="text1"/>
          <w:sz w:val="24"/>
          <w:szCs w:val="24"/>
        </w:rPr>
        <w:t xml:space="preserve"> просечна вредност уговора</w:t>
      </w:r>
      <w:r w:rsidR="00B876FF">
        <w:rPr>
          <w:rFonts w:ascii="Times New Roman" w:eastAsia="Times New Roman" w:hAnsi="Times New Roman" w:cs="Times New Roman"/>
          <w:color w:val="000000" w:themeColor="text1"/>
          <w:sz w:val="24"/>
          <w:szCs w:val="24"/>
          <w:lang w:val="sr-Cyrl-CS"/>
        </w:rPr>
        <w:t xml:space="preserve"> износила 3.579.753</w:t>
      </w:r>
      <w:r w:rsidR="006D2DE7">
        <w:rPr>
          <w:rFonts w:ascii="Times New Roman" w:eastAsia="Times New Roman" w:hAnsi="Times New Roman" w:cs="Times New Roman"/>
          <w:color w:val="000000" w:themeColor="text1"/>
          <w:sz w:val="24"/>
          <w:szCs w:val="24"/>
          <w:lang w:val="sr-Cyrl-CS"/>
        </w:rPr>
        <w:t xml:space="preserve"> динара.</w:t>
      </w:r>
      <w:r w:rsidR="00B9265B">
        <w:rPr>
          <w:rFonts w:ascii="Times New Roman" w:eastAsia="Times New Roman" w:hAnsi="Times New Roman" w:cs="Times New Roman"/>
          <w:color w:val="000000" w:themeColor="text1"/>
          <w:sz w:val="24"/>
          <w:szCs w:val="24"/>
        </w:rPr>
        <w:t xml:space="preserve"> </w:t>
      </w:r>
    </w:p>
    <w:p w14:paraId="4AEEECD4" w14:textId="77777777" w:rsidR="00BC1E68" w:rsidRDefault="00882436">
      <w:pPr>
        <w:jc w:val="both"/>
        <w:rPr>
          <w:rFonts w:ascii="Times New Roman" w:eastAsia="Times New Roman" w:hAnsi="Times New Roman" w:cs="Times New Roman"/>
          <w:b/>
          <w:color w:val="auto"/>
          <w:sz w:val="24"/>
          <w:szCs w:val="24"/>
          <w:lang w:val="sr-Cyrl-CS"/>
        </w:rPr>
      </w:pPr>
      <w:r>
        <w:rPr>
          <w:rFonts w:ascii="Times New Roman" w:eastAsia="Times New Roman" w:hAnsi="Times New Roman" w:cs="Times New Roman"/>
          <w:b/>
          <w:color w:val="auto"/>
          <w:sz w:val="24"/>
          <w:szCs w:val="24"/>
          <w:lang w:val="sr-Cyrl-CS"/>
        </w:rPr>
        <w:t xml:space="preserve">    </w:t>
      </w:r>
    </w:p>
    <w:p w14:paraId="4B005A8E" w14:textId="77777777" w:rsidR="0081466B" w:rsidRPr="00BC1E68" w:rsidRDefault="00E547B6" w:rsidP="00700BF6">
      <w:pPr>
        <w:spacing w:after="0"/>
        <w:ind w:left="-284"/>
        <w:rPr>
          <w:rFonts w:ascii="Times New Roman" w:eastAsia="Times New Roman" w:hAnsi="Times New Roman" w:cs="Times New Roman"/>
          <w:b/>
          <w:color w:val="000000" w:themeColor="text1"/>
          <w:sz w:val="24"/>
          <w:szCs w:val="24"/>
          <w:lang w:val="sr-Cyrl-CS"/>
        </w:rPr>
      </w:pPr>
      <w:r w:rsidRPr="003304AA">
        <w:rPr>
          <w:rFonts w:ascii="Times New Roman" w:eastAsia="Times New Roman" w:hAnsi="Times New Roman" w:cs="Times New Roman"/>
          <w:b/>
          <w:color w:val="auto"/>
          <w:sz w:val="24"/>
          <w:szCs w:val="24"/>
        </w:rPr>
        <w:t xml:space="preserve"> </w:t>
      </w:r>
      <w:r w:rsidR="004F0DED" w:rsidRPr="007C3042">
        <w:rPr>
          <w:rFonts w:ascii="Times New Roman" w:eastAsia="Times New Roman" w:hAnsi="Times New Roman" w:cs="Times New Roman"/>
          <w:b/>
          <w:color w:val="auto"/>
          <w:sz w:val="24"/>
          <w:szCs w:val="24"/>
        </w:rPr>
        <w:t>Табела 1</w:t>
      </w:r>
    </w:p>
    <w:tbl>
      <w:tblPr>
        <w:tblW w:w="9630" w:type="dxa"/>
        <w:jc w:val="center"/>
        <w:tblLook w:val="04A0" w:firstRow="1" w:lastRow="0" w:firstColumn="1" w:lastColumn="0" w:noHBand="0" w:noVBand="1"/>
      </w:tblPr>
      <w:tblGrid>
        <w:gridCol w:w="1171"/>
        <w:gridCol w:w="2445"/>
        <w:gridCol w:w="3134"/>
        <w:gridCol w:w="2880"/>
      </w:tblGrid>
      <w:tr w:rsidR="00263B40" w:rsidRPr="0098173C" w14:paraId="2D79D911" w14:textId="77777777" w:rsidTr="00F60903">
        <w:trPr>
          <w:trHeight w:val="300"/>
          <w:jc w:val="center"/>
        </w:trPr>
        <w:tc>
          <w:tcPr>
            <w:tcW w:w="9630" w:type="dxa"/>
            <w:gridSpan w:val="4"/>
            <w:tcBorders>
              <w:top w:val="single" w:sz="4" w:space="0" w:color="auto"/>
              <w:left w:val="single" w:sz="4" w:space="0" w:color="auto"/>
              <w:bottom w:val="single" w:sz="4" w:space="0" w:color="auto"/>
              <w:right w:val="single" w:sz="4" w:space="0" w:color="000000"/>
            </w:tcBorders>
            <w:noWrap/>
            <w:vAlign w:val="center"/>
          </w:tcPr>
          <w:p w14:paraId="679ED5BF" w14:textId="77777777" w:rsidR="00263B40" w:rsidRPr="0098173C" w:rsidRDefault="00263B40" w:rsidP="00263B40">
            <w:pPr>
              <w:spacing w:after="0" w:line="240" w:lineRule="auto"/>
              <w:jc w:val="center"/>
              <w:rPr>
                <w:rFonts w:ascii="Times New Roman" w:eastAsia="Times New Roman" w:hAnsi="Times New Roman" w:cs="Times New Roman"/>
                <w:b/>
                <w:sz w:val="24"/>
                <w:szCs w:val="24"/>
              </w:rPr>
            </w:pPr>
          </w:p>
          <w:p w14:paraId="537AEA42" w14:textId="77777777" w:rsidR="00263B40" w:rsidRPr="0098173C" w:rsidRDefault="00263B40" w:rsidP="006D2DE7">
            <w:pPr>
              <w:spacing w:after="0" w:line="240" w:lineRule="auto"/>
              <w:jc w:val="center"/>
              <w:rPr>
                <w:rFonts w:ascii="Times New Roman" w:eastAsia="Times New Roman" w:hAnsi="Times New Roman" w:cs="Times New Roman"/>
                <w:b/>
                <w:sz w:val="24"/>
                <w:szCs w:val="24"/>
              </w:rPr>
            </w:pPr>
            <w:r w:rsidRPr="0098173C">
              <w:rPr>
                <w:rFonts w:ascii="Times New Roman" w:eastAsia="Times New Roman" w:hAnsi="Times New Roman" w:cs="Times New Roman"/>
                <w:b/>
                <w:sz w:val="24"/>
                <w:szCs w:val="24"/>
              </w:rPr>
              <w:t>Упоредни преглед закључених уговора о јавним набавкама</w:t>
            </w:r>
          </w:p>
        </w:tc>
      </w:tr>
      <w:tr w:rsidR="00263B40" w:rsidRPr="0098173C" w14:paraId="5843EB81" w14:textId="77777777" w:rsidTr="00F60903">
        <w:trPr>
          <w:trHeight w:val="975"/>
          <w:jc w:val="center"/>
        </w:trPr>
        <w:tc>
          <w:tcPr>
            <w:tcW w:w="1171" w:type="dxa"/>
            <w:tcBorders>
              <w:top w:val="nil"/>
              <w:left w:val="single" w:sz="4" w:space="0" w:color="auto"/>
              <w:bottom w:val="single" w:sz="4" w:space="0" w:color="auto"/>
              <w:right w:val="single" w:sz="4" w:space="0" w:color="auto"/>
            </w:tcBorders>
            <w:noWrap/>
            <w:vAlign w:val="center"/>
            <w:hideMark/>
          </w:tcPr>
          <w:p w14:paraId="36893B04" w14:textId="77777777" w:rsidR="00263B40" w:rsidRPr="0098173C" w:rsidRDefault="00263B40" w:rsidP="00263B40">
            <w:pPr>
              <w:spacing w:after="0" w:line="240" w:lineRule="auto"/>
              <w:jc w:val="center"/>
              <w:rPr>
                <w:rFonts w:ascii="Times New Roman" w:eastAsia="Times New Roman" w:hAnsi="Times New Roman" w:cs="Times New Roman"/>
                <w:b/>
              </w:rPr>
            </w:pPr>
            <w:r w:rsidRPr="0098173C">
              <w:rPr>
                <w:rFonts w:ascii="Times New Roman" w:eastAsia="Times New Roman" w:hAnsi="Times New Roman" w:cs="Times New Roman"/>
                <w:b/>
              </w:rPr>
              <w:t>Година</w:t>
            </w:r>
          </w:p>
        </w:tc>
        <w:tc>
          <w:tcPr>
            <w:tcW w:w="2445" w:type="dxa"/>
            <w:tcBorders>
              <w:top w:val="nil"/>
              <w:left w:val="nil"/>
              <w:bottom w:val="single" w:sz="4" w:space="0" w:color="auto"/>
              <w:right w:val="single" w:sz="4" w:space="0" w:color="auto"/>
            </w:tcBorders>
            <w:vAlign w:val="center"/>
            <w:hideMark/>
          </w:tcPr>
          <w:p w14:paraId="49A9DA20" w14:textId="77777777" w:rsidR="00263B40" w:rsidRPr="0098173C" w:rsidRDefault="00263B40" w:rsidP="00263B40">
            <w:pPr>
              <w:spacing w:after="0" w:line="240" w:lineRule="auto"/>
              <w:jc w:val="center"/>
              <w:rPr>
                <w:rFonts w:ascii="Times New Roman" w:eastAsia="Times New Roman" w:hAnsi="Times New Roman" w:cs="Times New Roman"/>
                <w:b/>
                <w:sz w:val="24"/>
                <w:szCs w:val="24"/>
              </w:rPr>
            </w:pPr>
            <w:r w:rsidRPr="0098173C">
              <w:rPr>
                <w:rFonts w:ascii="Times New Roman" w:eastAsia="Times New Roman" w:hAnsi="Times New Roman" w:cs="Times New Roman"/>
                <w:b/>
                <w:sz w:val="24"/>
                <w:szCs w:val="24"/>
              </w:rPr>
              <w:t>Укупан број уговора</w:t>
            </w:r>
          </w:p>
        </w:tc>
        <w:tc>
          <w:tcPr>
            <w:tcW w:w="3134" w:type="dxa"/>
            <w:tcBorders>
              <w:top w:val="nil"/>
              <w:left w:val="nil"/>
              <w:bottom w:val="single" w:sz="4" w:space="0" w:color="auto"/>
              <w:right w:val="single" w:sz="4" w:space="0" w:color="auto"/>
            </w:tcBorders>
            <w:vAlign w:val="center"/>
            <w:hideMark/>
          </w:tcPr>
          <w:p w14:paraId="1421D704" w14:textId="77777777" w:rsidR="00263B40" w:rsidRPr="0098173C" w:rsidRDefault="00263B40" w:rsidP="00263B40">
            <w:pPr>
              <w:spacing w:after="0" w:line="240" w:lineRule="auto"/>
              <w:jc w:val="center"/>
              <w:rPr>
                <w:rFonts w:ascii="Times New Roman" w:eastAsia="Times New Roman" w:hAnsi="Times New Roman" w:cs="Times New Roman"/>
                <w:b/>
                <w:sz w:val="24"/>
                <w:szCs w:val="24"/>
              </w:rPr>
            </w:pPr>
            <w:r w:rsidRPr="0098173C">
              <w:rPr>
                <w:rFonts w:ascii="Times New Roman" w:eastAsia="Times New Roman" w:hAnsi="Times New Roman" w:cs="Times New Roman"/>
                <w:b/>
                <w:sz w:val="24"/>
                <w:szCs w:val="24"/>
              </w:rPr>
              <w:t xml:space="preserve">Укупна вредност </w:t>
            </w:r>
          </w:p>
          <w:p w14:paraId="714282AD" w14:textId="77777777" w:rsidR="00263B40" w:rsidRPr="0098173C" w:rsidRDefault="00263B40" w:rsidP="00263B40">
            <w:pPr>
              <w:spacing w:after="0" w:line="240" w:lineRule="auto"/>
              <w:jc w:val="center"/>
              <w:rPr>
                <w:rFonts w:ascii="Times New Roman" w:eastAsia="Times New Roman" w:hAnsi="Times New Roman" w:cs="Times New Roman"/>
                <w:b/>
                <w:sz w:val="24"/>
                <w:szCs w:val="24"/>
              </w:rPr>
            </w:pPr>
            <w:r w:rsidRPr="0098173C">
              <w:rPr>
                <w:rFonts w:ascii="Times New Roman" w:eastAsia="Times New Roman" w:hAnsi="Times New Roman" w:cs="Times New Roman"/>
                <w:b/>
                <w:sz w:val="24"/>
                <w:szCs w:val="24"/>
              </w:rPr>
              <w:t>(у хиљадама динара)</w:t>
            </w:r>
          </w:p>
        </w:tc>
        <w:tc>
          <w:tcPr>
            <w:tcW w:w="2880" w:type="dxa"/>
            <w:tcBorders>
              <w:top w:val="nil"/>
              <w:left w:val="nil"/>
              <w:bottom w:val="single" w:sz="4" w:space="0" w:color="auto"/>
              <w:right w:val="single" w:sz="4" w:space="0" w:color="auto"/>
            </w:tcBorders>
            <w:vAlign w:val="center"/>
            <w:hideMark/>
          </w:tcPr>
          <w:p w14:paraId="1F9C18F7" w14:textId="77777777" w:rsidR="00F60903" w:rsidRDefault="00263B40" w:rsidP="00263B40">
            <w:pPr>
              <w:spacing w:after="0" w:line="240" w:lineRule="auto"/>
              <w:jc w:val="center"/>
              <w:rPr>
                <w:rFonts w:ascii="Times New Roman" w:eastAsia="Times New Roman" w:hAnsi="Times New Roman" w:cs="Times New Roman"/>
                <w:b/>
                <w:sz w:val="24"/>
                <w:szCs w:val="24"/>
              </w:rPr>
            </w:pPr>
            <w:r w:rsidRPr="0098173C">
              <w:rPr>
                <w:rFonts w:ascii="Times New Roman" w:eastAsia="Times New Roman" w:hAnsi="Times New Roman" w:cs="Times New Roman"/>
                <w:b/>
                <w:sz w:val="24"/>
                <w:szCs w:val="24"/>
              </w:rPr>
              <w:t xml:space="preserve">Просечна вредност         </w:t>
            </w:r>
          </w:p>
          <w:p w14:paraId="427687C8" w14:textId="77777777" w:rsidR="00263B40" w:rsidRPr="0098173C" w:rsidRDefault="00263B40" w:rsidP="00263B40">
            <w:pPr>
              <w:spacing w:after="0" w:line="240" w:lineRule="auto"/>
              <w:jc w:val="center"/>
              <w:rPr>
                <w:rFonts w:ascii="Times New Roman" w:eastAsia="Times New Roman" w:hAnsi="Times New Roman" w:cs="Times New Roman"/>
                <w:b/>
                <w:sz w:val="24"/>
                <w:szCs w:val="24"/>
              </w:rPr>
            </w:pPr>
            <w:r w:rsidRPr="0098173C">
              <w:rPr>
                <w:rFonts w:ascii="Times New Roman" w:eastAsia="Times New Roman" w:hAnsi="Times New Roman" w:cs="Times New Roman"/>
                <w:b/>
                <w:sz w:val="24"/>
                <w:szCs w:val="24"/>
              </w:rPr>
              <w:t xml:space="preserve">  (у хиљадама динара)</w:t>
            </w:r>
          </w:p>
        </w:tc>
      </w:tr>
      <w:tr w:rsidR="00263B40" w:rsidRPr="0098173C" w14:paraId="18DE2716" w14:textId="77777777" w:rsidTr="00F60903">
        <w:trPr>
          <w:trHeight w:val="315"/>
          <w:jc w:val="center"/>
        </w:trPr>
        <w:tc>
          <w:tcPr>
            <w:tcW w:w="1171" w:type="dxa"/>
            <w:tcBorders>
              <w:top w:val="nil"/>
              <w:left w:val="single" w:sz="4" w:space="0" w:color="auto"/>
              <w:bottom w:val="single" w:sz="4" w:space="0" w:color="auto"/>
              <w:right w:val="single" w:sz="4" w:space="0" w:color="auto"/>
            </w:tcBorders>
            <w:noWrap/>
            <w:vAlign w:val="center"/>
          </w:tcPr>
          <w:p w14:paraId="40AEAAA0" w14:textId="77777777" w:rsidR="00263B40" w:rsidRPr="00D52125" w:rsidRDefault="00263B40" w:rsidP="00263B40">
            <w:pPr>
              <w:spacing w:after="0" w:line="240" w:lineRule="auto"/>
              <w:jc w:val="center"/>
              <w:rPr>
                <w:rFonts w:ascii="Times New Roman" w:eastAsia="Times New Roman" w:hAnsi="Times New Roman" w:cs="Times New Roman"/>
                <w:b/>
                <w:sz w:val="24"/>
                <w:szCs w:val="24"/>
              </w:rPr>
            </w:pPr>
            <w:r w:rsidRPr="0098173C">
              <w:rPr>
                <w:rFonts w:ascii="Times New Roman" w:eastAsia="Times New Roman" w:hAnsi="Times New Roman" w:cs="Times New Roman"/>
                <w:b/>
                <w:sz w:val="24"/>
                <w:szCs w:val="24"/>
              </w:rPr>
              <w:t>2015</w:t>
            </w:r>
            <w:r>
              <w:rPr>
                <w:rFonts w:ascii="Times New Roman" w:eastAsia="Times New Roman" w:hAnsi="Times New Roman" w:cs="Times New Roman"/>
                <w:b/>
                <w:sz w:val="24"/>
                <w:szCs w:val="24"/>
              </w:rPr>
              <w:t>. 1П</w:t>
            </w:r>
          </w:p>
        </w:tc>
        <w:tc>
          <w:tcPr>
            <w:tcW w:w="2445" w:type="dxa"/>
            <w:tcBorders>
              <w:top w:val="nil"/>
              <w:left w:val="nil"/>
              <w:bottom w:val="single" w:sz="4" w:space="0" w:color="auto"/>
              <w:right w:val="single" w:sz="4" w:space="0" w:color="auto"/>
            </w:tcBorders>
            <w:noWrap/>
            <w:vAlign w:val="center"/>
          </w:tcPr>
          <w:p w14:paraId="07D49225" w14:textId="77777777" w:rsidR="00263B40" w:rsidRPr="00D52125" w:rsidRDefault="00263B40" w:rsidP="00263B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49.879</w:t>
            </w:r>
          </w:p>
        </w:tc>
        <w:tc>
          <w:tcPr>
            <w:tcW w:w="3134" w:type="dxa"/>
            <w:tcBorders>
              <w:top w:val="nil"/>
              <w:left w:val="nil"/>
              <w:bottom w:val="single" w:sz="4" w:space="0" w:color="auto"/>
              <w:right w:val="single" w:sz="4" w:space="0" w:color="auto"/>
            </w:tcBorders>
            <w:noWrap/>
            <w:vAlign w:val="center"/>
          </w:tcPr>
          <w:p w14:paraId="00F75D01" w14:textId="77777777" w:rsidR="00263B40" w:rsidRPr="0098173C" w:rsidRDefault="00263B40" w:rsidP="00263B40">
            <w:pPr>
              <w:spacing w:after="0" w:line="240" w:lineRule="auto"/>
              <w:jc w:val="center"/>
              <w:rPr>
                <w:rFonts w:ascii="Times New Roman" w:eastAsia="Times New Roman" w:hAnsi="Times New Roman" w:cs="Times New Roman"/>
                <w:sz w:val="24"/>
                <w:szCs w:val="24"/>
              </w:rPr>
            </w:pPr>
            <w:r w:rsidRPr="00D52125">
              <w:rPr>
                <w:rFonts w:ascii="Times New Roman" w:eastAsia="Times New Roman" w:hAnsi="Times New Roman" w:cs="Times New Roman"/>
                <w:sz w:val="24"/>
                <w:szCs w:val="24"/>
              </w:rPr>
              <w:t>135.330.202</w:t>
            </w:r>
          </w:p>
        </w:tc>
        <w:tc>
          <w:tcPr>
            <w:tcW w:w="2880" w:type="dxa"/>
            <w:tcBorders>
              <w:top w:val="nil"/>
              <w:left w:val="nil"/>
              <w:bottom w:val="single" w:sz="4" w:space="0" w:color="auto"/>
              <w:right w:val="single" w:sz="4" w:space="0" w:color="auto"/>
            </w:tcBorders>
            <w:noWrap/>
            <w:vAlign w:val="center"/>
          </w:tcPr>
          <w:p w14:paraId="2CB78E63" w14:textId="77777777" w:rsidR="00263B40" w:rsidRPr="00D52125" w:rsidRDefault="00263B40" w:rsidP="00263B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2.713</w:t>
            </w:r>
          </w:p>
        </w:tc>
      </w:tr>
      <w:tr w:rsidR="004E5145" w:rsidRPr="0098173C" w14:paraId="64154826" w14:textId="77777777" w:rsidTr="006D2DE7">
        <w:trPr>
          <w:trHeight w:val="315"/>
          <w:jc w:val="center"/>
        </w:trPr>
        <w:tc>
          <w:tcPr>
            <w:tcW w:w="1171" w:type="dxa"/>
            <w:tcBorders>
              <w:top w:val="nil"/>
              <w:left w:val="single" w:sz="4" w:space="0" w:color="auto"/>
              <w:bottom w:val="single" w:sz="4" w:space="0" w:color="auto"/>
              <w:right w:val="single" w:sz="4" w:space="0" w:color="auto"/>
            </w:tcBorders>
            <w:noWrap/>
            <w:vAlign w:val="center"/>
          </w:tcPr>
          <w:p w14:paraId="1D8E4209" w14:textId="77777777" w:rsidR="004E5145" w:rsidRPr="0098173C" w:rsidRDefault="004E5145" w:rsidP="00263B40">
            <w:pPr>
              <w:spacing w:after="0" w:line="240" w:lineRule="auto"/>
              <w:jc w:val="center"/>
              <w:rPr>
                <w:rFonts w:ascii="Times New Roman" w:eastAsia="Times New Roman" w:hAnsi="Times New Roman" w:cs="Times New Roman"/>
                <w:b/>
                <w:sz w:val="24"/>
                <w:szCs w:val="24"/>
              </w:rPr>
            </w:pPr>
            <w:r w:rsidRPr="00AC3DA8">
              <w:rPr>
                <w:rFonts w:ascii="Times New Roman" w:eastAsia="Times New Roman" w:hAnsi="Times New Roman" w:cs="Times New Roman"/>
                <w:b/>
                <w:color w:val="auto"/>
                <w:sz w:val="24"/>
                <w:szCs w:val="24"/>
              </w:rPr>
              <w:t>2016. 1П</w:t>
            </w:r>
          </w:p>
        </w:tc>
        <w:tc>
          <w:tcPr>
            <w:tcW w:w="2445" w:type="dxa"/>
            <w:tcBorders>
              <w:top w:val="nil"/>
              <w:left w:val="nil"/>
              <w:bottom w:val="single" w:sz="4" w:space="0" w:color="auto"/>
              <w:right w:val="single" w:sz="4" w:space="0" w:color="auto"/>
            </w:tcBorders>
            <w:noWrap/>
            <w:vAlign w:val="center"/>
          </w:tcPr>
          <w:p w14:paraId="75881697" w14:textId="77777777" w:rsidR="004E5145" w:rsidRDefault="004E5145" w:rsidP="00263B40">
            <w:pPr>
              <w:spacing w:after="0" w:line="240" w:lineRule="auto"/>
              <w:jc w:val="center"/>
              <w:rPr>
                <w:rFonts w:ascii="Times New Roman" w:eastAsia="Times New Roman" w:hAnsi="Times New Roman" w:cs="Times New Roman"/>
                <w:sz w:val="24"/>
                <w:szCs w:val="24"/>
              </w:rPr>
            </w:pPr>
            <w:r w:rsidRPr="00AC3DA8">
              <w:rPr>
                <w:rFonts w:ascii="Times New Roman" w:eastAsia="Times New Roman" w:hAnsi="Times New Roman" w:cs="Times New Roman"/>
                <w:color w:val="auto"/>
                <w:sz w:val="24"/>
                <w:szCs w:val="24"/>
              </w:rPr>
              <w:t>55.</w:t>
            </w:r>
            <w:r w:rsidRPr="00AC3DA8">
              <w:rPr>
                <w:rFonts w:ascii="Times New Roman" w:eastAsia="Times New Roman" w:hAnsi="Times New Roman" w:cs="Times New Roman"/>
                <w:color w:val="auto"/>
                <w:sz w:val="24"/>
                <w:szCs w:val="24"/>
                <w:lang w:val="en-US"/>
              </w:rPr>
              <w:t>823</w:t>
            </w:r>
          </w:p>
        </w:tc>
        <w:tc>
          <w:tcPr>
            <w:tcW w:w="3134" w:type="dxa"/>
            <w:tcBorders>
              <w:top w:val="nil"/>
              <w:left w:val="nil"/>
              <w:bottom w:val="single" w:sz="4" w:space="0" w:color="auto"/>
              <w:right w:val="single" w:sz="4" w:space="0" w:color="auto"/>
            </w:tcBorders>
            <w:noWrap/>
            <w:vAlign w:val="center"/>
          </w:tcPr>
          <w:p w14:paraId="00D793B6" w14:textId="77777777" w:rsidR="004E5145" w:rsidRPr="00D52125" w:rsidRDefault="004E5145" w:rsidP="00263B40">
            <w:pPr>
              <w:spacing w:after="0" w:line="240" w:lineRule="auto"/>
              <w:jc w:val="center"/>
              <w:rPr>
                <w:rFonts w:ascii="Times New Roman" w:eastAsia="Times New Roman" w:hAnsi="Times New Roman" w:cs="Times New Roman"/>
                <w:sz w:val="24"/>
                <w:szCs w:val="24"/>
              </w:rPr>
            </w:pPr>
            <w:r w:rsidRPr="00AC3DA8">
              <w:rPr>
                <w:rFonts w:ascii="Times New Roman" w:eastAsia="Times New Roman" w:hAnsi="Times New Roman" w:cs="Times New Roman"/>
                <w:color w:val="auto"/>
                <w:sz w:val="24"/>
                <w:szCs w:val="24"/>
              </w:rPr>
              <w:t>1</w:t>
            </w:r>
            <w:r w:rsidRPr="00AC3DA8">
              <w:rPr>
                <w:rFonts w:ascii="Times New Roman" w:eastAsia="Times New Roman" w:hAnsi="Times New Roman" w:cs="Times New Roman"/>
                <w:color w:val="auto"/>
                <w:sz w:val="24"/>
                <w:szCs w:val="24"/>
                <w:lang w:val="en-US"/>
              </w:rPr>
              <w:t>54.427.273</w:t>
            </w:r>
          </w:p>
        </w:tc>
        <w:tc>
          <w:tcPr>
            <w:tcW w:w="2880" w:type="dxa"/>
            <w:tcBorders>
              <w:top w:val="nil"/>
              <w:left w:val="nil"/>
              <w:bottom w:val="single" w:sz="4" w:space="0" w:color="auto"/>
              <w:right w:val="single" w:sz="4" w:space="0" w:color="auto"/>
            </w:tcBorders>
            <w:noWrap/>
            <w:vAlign w:val="center"/>
          </w:tcPr>
          <w:p w14:paraId="694A57C0" w14:textId="77777777" w:rsidR="004E5145" w:rsidRDefault="004E5145" w:rsidP="00263B40">
            <w:pPr>
              <w:spacing w:after="0" w:line="240" w:lineRule="auto"/>
              <w:jc w:val="center"/>
              <w:rPr>
                <w:rFonts w:ascii="Times New Roman" w:eastAsia="Times New Roman" w:hAnsi="Times New Roman" w:cs="Times New Roman"/>
                <w:sz w:val="24"/>
                <w:szCs w:val="24"/>
              </w:rPr>
            </w:pPr>
            <w:r w:rsidRPr="00AC3DA8">
              <w:rPr>
                <w:rFonts w:ascii="Times New Roman" w:eastAsia="Times New Roman" w:hAnsi="Times New Roman" w:cs="Times New Roman"/>
                <w:color w:val="auto"/>
                <w:sz w:val="24"/>
                <w:szCs w:val="24"/>
              </w:rPr>
              <w:t>2.</w:t>
            </w:r>
            <w:r w:rsidRPr="00AC3DA8">
              <w:rPr>
                <w:rFonts w:ascii="Times New Roman" w:eastAsia="Times New Roman" w:hAnsi="Times New Roman" w:cs="Times New Roman"/>
                <w:color w:val="auto"/>
                <w:sz w:val="24"/>
                <w:szCs w:val="24"/>
                <w:lang w:val="en-US"/>
              </w:rPr>
              <w:t>766</w:t>
            </w:r>
          </w:p>
        </w:tc>
      </w:tr>
      <w:tr w:rsidR="004E5145" w:rsidRPr="00B9265B" w14:paraId="6C1A1C64" w14:textId="77777777" w:rsidTr="006D2DE7">
        <w:trPr>
          <w:trHeight w:val="315"/>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1F7DD896" w14:textId="77777777" w:rsidR="004E5145" w:rsidRPr="00B9265B" w:rsidRDefault="004E5145" w:rsidP="004E5145">
            <w:pPr>
              <w:spacing w:after="0" w:line="240" w:lineRule="auto"/>
              <w:jc w:val="center"/>
              <w:rPr>
                <w:rFonts w:ascii="Times New Roman" w:eastAsia="Times New Roman" w:hAnsi="Times New Roman" w:cs="Times New Roman"/>
                <w:b/>
                <w:color w:val="auto"/>
                <w:sz w:val="24"/>
                <w:szCs w:val="24"/>
              </w:rPr>
            </w:pPr>
            <w:r w:rsidRPr="00B9265B">
              <w:rPr>
                <w:rFonts w:ascii="Times New Roman" w:eastAsia="Times New Roman" w:hAnsi="Times New Roman" w:cs="Times New Roman"/>
                <w:b/>
                <w:color w:val="auto"/>
                <w:sz w:val="24"/>
                <w:szCs w:val="24"/>
                <w:lang w:val="en-US"/>
              </w:rPr>
              <w:t xml:space="preserve">2017. </w:t>
            </w:r>
            <w:r w:rsidRPr="00B9265B">
              <w:rPr>
                <w:rFonts w:ascii="Times New Roman" w:eastAsia="Times New Roman" w:hAnsi="Times New Roman" w:cs="Times New Roman"/>
                <w:b/>
                <w:color w:val="auto"/>
                <w:sz w:val="24"/>
                <w:szCs w:val="24"/>
              </w:rPr>
              <w:t>1П</w:t>
            </w:r>
          </w:p>
        </w:tc>
        <w:tc>
          <w:tcPr>
            <w:tcW w:w="2445" w:type="dxa"/>
            <w:tcBorders>
              <w:top w:val="single" w:sz="4" w:space="0" w:color="auto"/>
              <w:left w:val="nil"/>
              <w:bottom w:val="single" w:sz="4" w:space="0" w:color="auto"/>
              <w:right w:val="single" w:sz="4" w:space="0" w:color="auto"/>
            </w:tcBorders>
            <w:noWrap/>
            <w:vAlign w:val="center"/>
          </w:tcPr>
          <w:p w14:paraId="39EAB2DB" w14:textId="77777777" w:rsidR="004E5145" w:rsidRPr="00B9265B" w:rsidRDefault="004E5145" w:rsidP="00263B40">
            <w:pPr>
              <w:spacing w:after="0" w:line="240" w:lineRule="auto"/>
              <w:jc w:val="center"/>
              <w:rPr>
                <w:rFonts w:ascii="Times New Roman" w:eastAsia="Times New Roman" w:hAnsi="Times New Roman" w:cs="Times New Roman"/>
                <w:color w:val="auto"/>
                <w:sz w:val="24"/>
                <w:szCs w:val="24"/>
              </w:rPr>
            </w:pPr>
            <w:r w:rsidRPr="00B9265B">
              <w:rPr>
                <w:rFonts w:ascii="Times New Roman" w:eastAsia="Times New Roman" w:hAnsi="Times New Roman" w:cs="Times New Roman"/>
                <w:color w:val="auto"/>
                <w:sz w:val="24"/>
                <w:szCs w:val="24"/>
              </w:rPr>
              <w:t>51.977</w:t>
            </w:r>
          </w:p>
        </w:tc>
        <w:tc>
          <w:tcPr>
            <w:tcW w:w="3134" w:type="dxa"/>
            <w:tcBorders>
              <w:top w:val="single" w:sz="4" w:space="0" w:color="auto"/>
              <w:left w:val="nil"/>
              <w:bottom w:val="single" w:sz="4" w:space="0" w:color="auto"/>
              <w:right w:val="single" w:sz="4" w:space="0" w:color="auto"/>
            </w:tcBorders>
            <w:noWrap/>
            <w:vAlign w:val="center"/>
          </w:tcPr>
          <w:p w14:paraId="7BDC5685" w14:textId="77777777" w:rsidR="004E5145" w:rsidRPr="00B9265B" w:rsidRDefault="004E5145" w:rsidP="00263B40">
            <w:pPr>
              <w:spacing w:after="0" w:line="240" w:lineRule="auto"/>
              <w:jc w:val="center"/>
              <w:rPr>
                <w:rFonts w:ascii="Times New Roman" w:eastAsia="Times New Roman" w:hAnsi="Times New Roman" w:cs="Times New Roman"/>
                <w:color w:val="auto"/>
                <w:sz w:val="24"/>
                <w:szCs w:val="24"/>
              </w:rPr>
            </w:pPr>
            <w:r w:rsidRPr="00B9265B">
              <w:rPr>
                <w:rFonts w:ascii="Times New Roman" w:eastAsia="Times New Roman" w:hAnsi="Times New Roman" w:cs="Times New Roman"/>
                <w:color w:val="auto"/>
                <w:sz w:val="24"/>
                <w:szCs w:val="24"/>
              </w:rPr>
              <w:t>146.746.673</w:t>
            </w:r>
          </w:p>
        </w:tc>
        <w:tc>
          <w:tcPr>
            <w:tcW w:w="2880" w:type="dxa"/>
            <w:tcBorders>
              <w:top w:val="single" w:sz="4" w:space="0" w:color="auto"/>
              <w:left w:val="nil"/>
              <w:bottom w:val="single" w:sz="4" w:space="0" w:color="auto"/>
              <w:right w:val="single" w:sz="4" w:space="0" w:color="auto"/>
            </w:tcBorders>
            <w:noWrap/>
            <w:vAlign w:val="center"/>
          </w:tcPr>
          <w:p w14:paraId="4EF019C9" w14:textId="77777777" w:rsidR="004E5145" w:rsidRPr="00B9265B" w:rsidRDefault="004E5145" w:rsidP="00263B40">
            <w:pPr>
              <w:spacing w:after="0" w:line="240" w:lineRule="auto"/>
              <w:jc w:val="center"/>
              <w:rPr>
                <w:rFonts w:ascii="Times New Roman" w:eastAsia="Times New Roman" w:hAnsi="Times New Roman" w:cs="Times New Roman"/>
                <w:color w:val="auto"/>
                <w:sz w:val="24"/>
                <w:szCs w:val="24"/>
              </w:rPr>
            </w:pPr>
            <w:r w:rsidRPr="00B9265B">
              <w:rPr>
                <w:rFonts w:ascii="Times New Roman" w:eastAsia="Times New Roman" w:hAnsi="Times New Roman" w:cs="Times New Roman"/>
                <w:color w:val="auto"/>
                <w:sz w:val="24"/>
                <w:szCs w:val="24"/>
              </w:rPr>
              <w:t>2.823</w:t>
            </w:r>
          </w:p>
        </w:tc>
      </w:tr>
      <w:tr w:rsidR="008848BC" w:rsidRPr="00B9265B" w14:paraId="38AF0D87" w14:textId="77777777" w:rsidTr="006D2DE7">
        <w:trPr>
          <w:trHeight w:val="315"/>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40C02981" w14:textId="77777777" w:rsidR="008848BC" w:rsidRPr="008848BC" w:rsidRDefault="008848BC" w:rsidP="004E5145">
            <w:pPr>
              <w:spacing w:after="0" w:line="240" w:lineRule="auto"/>
              <w:jc w:val="center"/>
              <w:rPr>
                <w:rFonts w:ascii="Times New Roman" w:eastAsia="Times New Roman" w:hAnsi="Times New Roman" w:cs="Times New Roman"/>
                <w:b/>
                <w:color w:val="auto"/>
                <w:sz w:val="24"/>
                <w:szCs w:val="24"/>
                <w:lang w:val="sr-Cyrl-RS"/>
              </w:rPr>
            </w:pPr>
            <w:r>
              <w:rPr>
                <w:rFonts w:ascii="Times New Roman" w:eastAsia="Times New Roman" w:hAnsi="Times New Roman" w:cs="Times New Roman"/>
                <w:b/>
                <w:color w:val="auto"/>
                <w:sz w:val="24"/>
                <w:szCs w:val="24"/>
                <w:lang w:val="sr-Cyrl-RS"/>
              </w:rPr>
              <w:t>2018. 1П</w:t>
            </w:r>
          </w:p>
        </w:tc>
        <w:tc>
          <w:tcPr>
            <w:tcW w:w="2445" w:type="dxa"/>
            <w:tcBorders>
              <w:top w:val="single" w:sz="4" w:space="0" w:color="auto"/>
              <w:left w:val="nil"/>
              <w:bottom w:val="single" w:sz="4" w:space="0" w:color="auto"/>
              <w:right w:val="single" w:sz="4" w:space="0" w:color="auto"/>
            </w:tcBorders>
            <w:noWrap/>
            <w:vAlign w:val="center"/>
          </w:tcPr>
          <w:p w14:paraId="27051966" w14:textId="77777777" w:rsidR="008848BC" w:rsidRPr="008848BC" w:rsidRDefault="008848BC" w:rsidP="00263B40">
            <w:pPr>
              <w:spacing w:after="0" w:line="240" w:lineRule="auto"/>
              <w:jc w:val="center"/>
              <w:rPr>
                <w:rFonts w:ascii="Times New Roman" w:eastAsia="Times New Roman" w:hAnsi="Times New Roman" w:cs="Times New Roman"/>
                <w:color w:val="auto"/>
                <w:sz w:val="24"/>
                <w:szCs w:val="24"/>
                <w:lang w:val="sr-Cyrl-RS"/>
              </w:rPr>
            </w:pPr>
            <w:r>
              <w:rPr>
                <w:rFonts w:ascii="Times New Roman" w:eastAsia="Times New Roman" w:hAnsi="Times New Roman" w:cs="Times New Roman"/>
                <w:color w:val="auto"/>
                <w:sz w:val="24"/>
                <w:szCs w:val="24"/>
                <w:lang w:val="sr-Cyrl-RS"/>
              </w:rPr>
              <w:t>60.475</w:t>
            </w:r>
          </w:p>
        </w:tc>
        <w:tc>
          <w:tcPr>
            <w:tcW w:w="3134" w:type="dxa"/>
            <w:tcBorders>
              <w:top w:val="single" w:sz="4" w:space="0" w:color="auto"/>
              <w:left w:val="nil"/>
              <w:bottom w:val="single" w:sz="4" w:space="0" w:color="auto"/>
              <w:right w:val="single" w:sz="4" w:space="0" w:color="auto"/>
            </w:tcBorders>
            <w:noWrap/>
            <w:vAlign w:val="center"/>
          </w:tcPr>
          <w:p w14:paraId="09AC283D" w14:textId="77777777" w:rsidR="008848BC" w:rsidRPr="008848BC" w:rsidRDefault="008848BC" w:rsidP="00263B40">
            <w:pPr>
              <w:spacing w:after="0" w:line="240" w:lineRule="auto"/>
              <w:jc w:val="center"/>
              <w:rPr>
                <w:rFonts w:ascii="Times New Roman" w:eastAsia="Times New Roman" w:hAnsi="Times New Roman" w:cs="Times New Roman"/>
                <w:color w:val="auto"/>
                <w:sz w:val="24"/>
                <w:szCs w:val="24"/>
                <w:lang w:val="sr-Cyrl-RS"/>
              </w:rPr>
            </w:pPr>
            <w:r>
              <w:rPr>
                <w:rFonts w:ascii="Times New Roman" w:eastAsia="Times New Roman" w:hAnsi="Times New Roman" w:cs="Times New Roman"/>
                <w:color w:val="auto"/>
                <w:sz w:val="24"/>
                <w:szCs w:val="24"/>
                <w:lang w:val="sr-Cyrl-RS"/>
              </w:rPr>
              <w:t>188.358.108</w:t>
            </w:r>
          </w:p>
        </w:tc>
        <w:tc>
          <w:tcPr>
            <w:tcW w:w="2880" w:type="dxa"/>
            <w:tcBorders>
              <w:top w:val="single" w:sz="4" w:space="0" w:color="auto"/>
              <w:left w:val="nil"/>
              <w:bottom w:val="single" w:sz="4" w:space="0" w:color="auto"/>
              <w:right w:val="single" w:sz="4" w:space="0" w:color="auto"/>
            </w:tcBorders>
            <w:noWrap/>
            <w:vAlign w:val="center"/>
          </w:tcPr>
          <w:p w14:paraId="2C9058E5" w14:textId="77777777" w:rsidR="008848BC" w:rsidRPr="008848BC" w:rsidRDefault="008848BC" w:rsidP="00263B40">
            <w:pPr>
              <w:spacing w:after="0" w:line="240" w:lineRule="auto"/>
              <w:jc w:val="center"/>
              <w:rPr>
                <w:rFonts w:ascii="Times New Roman" w:eastAsia="Times New Roman" w:hAnsi="Times New Roman" w:cs="Times New Roman"/>
                <w:color w:val="auto"/>
                <w:sz w:val="24"/>
                <w:szCs w:val="24"/>
                <w:lang w:val="sr-Cyrl-RS"/>
              </w:rPr>
            </w:pPr>
            <w:r>
              <w:rPr>
                <w:rFonts w:ascii="Times New Roman" w:eastAsia="Times New Roman" w:hAnsi="Times New Roman" w:cs="Times New Roman"/>
                <w:color w:val="auto"/>
                <w:sz w:val="24"/>
                <w:szCs w:val="24"/>
                <w:lang w:val="sr-Cyrl-RS"/>
              </w:rPr>
              <w:t>3.115</w:t>
            </w:r>
          </w:p>
        </w:tc>
      </w:tr>
      <w:tr w:rsidR="006D2DE7" w:rsidRPr="00B9265B" w14:paraId="22044144" w14:textId="77777777" w:rsidTr="006D2DE7">
        <w:trPr>
          <w:trHeight w:val="315"/>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2EA6C0B2" w14:textId="77777777" w:rsidR="006D2DE7" w:rsidRPr="006D2DE7" w:rsidRDefault="006D2DE7" w:rsidP="00BC1E68">
            <w:pPr>
              <w:spacing w:after="0" w:line="240" w:lineRule="auto"/>
              <w:jc w:val="center"/>
              <w:rPr>
                <w:rFonts w:ascii="Times New Roman" w:eastAsia="Times New Roman" w:hAnsi="Times New Roman" w:cs="Times New Roman"/>
                <w:b/>
                <w:color w:val="auto"/>
                <w:sz w:val="24"/>
                <w:szCs w:val="24"/>
                <w:lang w:val="sr-Cyrl-RS"/>
              </w:rPr>
            </w:pPr>
            <w:r>
              <w:rPr>
                <w:rFonts w:ascii="Times New Roman" w:eastAsia="Times New Roman" w:hAnsi="Times New Roman" w:cs="Times New Roman"/>
                <w:b/>
                <w:color w:val="auto"/>
                <w:sz w:val="24"/>
                <w:szCs w:val="24"/>
                <w:lang w:val="en-US"/>
              </w:rPr>
              <w:t>201</w:t>
            </w:r>
            <w:r w:rsidR="00BC1E68">
              <w:rPr>
                <w:rFonts w:ascii="Times New Roman" w:eastAsia="Times New Roman" w:hAnsi="Times New Roman" w:cs="Times New Roman"/>
                <w:b/>
                <w:color w:val="auto"/>
                <w:sz w:val="24"/>
                <w:szCs w:val="24"/>
                <w:lang w:val="sr-Cyrl-RS"/>
              </w:rPr>
              <w:t>9</w:t>
            </w:r>
            <w:r>
              <w:rPr>
                <w:rFonts w:ascii="Times New Roman" w:eastAsia="Times New Roman" w:hAnsi="Times New Roman" w:cs="Times New Roman"/>
                <w:b/>
                <w:color w:val="auto"/>
                <w:sz w:val="24"/>
                <w:szCs w:val="24"/>
                <w:lang w:val="en-US"/>
              </w:rPr>
              <w:t>. 1</w:t>
            </w:r>
            <w:r>
              <w:rPr>
                <w:rFonts w:ascii="Times New Roman" w:eastAsia="Times New Roman" w:hAnsi="Times New Roman" w:cs="Times New Roman"/>
                <w:b/>
                <w:color w:val="auto"/>
                <w:sz w:val="24"/>
                <w:szCs w:val="24"/>
                <w:lang w:val="sr-Cyrl-RS"/>
              </w:rPr>
              <w:t>П</w:t>
            </w:r>
          </w:p>
        </w:tc>
        <w:tc>
          <w:tcPr>
            <w:tcW w:w="2445" w:type="dxa"/>
            <w:tcBorders>
              <w:top w:val="single" w:sz="4" w:space="0" w:color="auto"/>
              <w:left w:val="nil"/>
              <w:bottom w:val="single" w:sz="4" w:space="0" w:color="auto"/>
              <w:right w:val="single" w:sz="4" w:space="0" w:color="auto"/>
            </w:tcBorders>
            <w:noWrap/>
            <w:vAlign w:val="center"/>
          </w:tcPr>
          <w:p w14:paraId="4E3B3F89" w14:textId="77777777" w:rsidR="006D2DE7" w:rsidRPr="006D2DE7" w:rsidRDefault="006D2DE7" w:rsidP="00BC1E68">
            <w:pPr>
              <w:spacing w:after="0" w:line="240" w:lineRule="auto"/>
              <w:jc w:val="center"/>
              <w:rPr>
                <w:rFonts w:ascii="Times New Roman" w:eastAsia="Times New Roman" w:hAnsi="Times New Roman" w:cs="Times New Roman"/>
                <w:color w:val="auto"/>
                <w:sz w:val="24"/>
                <w:szCs w:val="24"/>
                <w:lang w:val="sr-Cyrl-RS"/>
              </w:rPr>
            </w:pPr>
            <w:r>
              <w:rPr>
                <w:rFonts w:ascii="Times New Roman" w:eastAsia="Times New Roman" w:hAnsi="Times New Roman" w:cs="Times New Roman"/>
                <w:color w:val="auto"/>
                <w:sz w:val="24"/>
                <w:szCs w:val="24"/>
                <w:lang w:val="sr-Cyrl-RS"/>
              </w:rPr>
              <w:t>60.</w:t>
            </w:r>
            <w:r w:rsidR="00BC1E68">
              <w:rPr>
                <w:rFonts w:ascii="Times New Roman" w:eastAsia="Times New Roman" w:hAnsi="Times New Roman" w:cs="Times New Roman"/>
                <w:color w:val="auto"/>
                <w:sz w:val="24"/>
                <w:szCs w:val="24"/>
                <w:lang w:val="sr-Cyrl-RS"/>
              </w:rPr>
              <w:t>696</w:t>
            </w:r>
          </w:p>
        </w:tc>
        <w:tc>
          <w:tcPr>
            <w:tcW w:w="3134" w:type="dxa"/>
            <w:tcBorders>
              <w:top w:val="single" w:sz="4" w:space="0" w:color="auto"/>
              <w:left w:val="nil"/>
              <w:bottom w:val="single" w:sz="4" w:space="0" w:color="auto"/>
              <w:right w:val="single" w:sz="4" w:space="0" w:color="auto"/>
            </w:tcBorders>
            <w:noWrap/>
            <w:vAlign w:val="center"/>
          </w:tcPr>
          <w:p w14:paraId="52014090" w14:textId="77777777" w:rsidR="006D2DE7" w:rsidRPr="006D2DE7" w:rsidRDefault="00BC1E68" w:rsidP="00BC1E68">
            <w:pPr>
              <w:spacing w:after="0" w:line="240" w:lineRule="auto"/>
              <w:jc w:val="center"/>
              <w:rPr>
                <w:rFonts w:ascii="Times New Roman" w:eastAsia="Times New Roman" w:hAnsi="Times New Roman" w:cs="Times New Roman"/>
                <w:color w:val="auto"/>
                <w:sz w:val="24"/>
                <w:szCs w:val="24"/>
                <w:lang w:val="sr-Cyrl-RS"/>
              </w:rPr>
            </w:pPr>
            <w:r>
              <w:rPr>
                <w:rFonts w:ascii="Times New Roman" w:eastAsia="Times New Roman" w:hAnsi="Times New Roman" w:cs="Times New Roman"/>
                <w:color w:val="auto"/>
                <w:sz w:val="24"/>
                <w:szCs w:val="24"/>
                <w:lang w:val="sr-Cyrl-RS"/>
              </w:rPr>
              <w:t>217</w:t>
            </w:r>
            <w:r w:rsidR="006D2DE7">
              <w:rPr>
                <w:rFonts w:ascii="Times New Roman" w:eastAsia="Times New Roman" w:hAnsi="Times New Roman" w:cs="Times New Roman"/>
                <w:color w:val="auto"/>
                <w:sz w:val="24"/>
                <w:szCs w:val="24"/>
                <w:lang w:val="sr-Cyrl-RS"/>
              </w:rPr>
              <w:t>.</w:t>
            </w:r>
            <w:r>
              <w:rPr>
                <w:rFonts w:ascii="Times New Roman" w:eastAsia="Times New Roman" w:hAnsi="Times New Roman" w:cs="Times New Roman"/>
                <w:color w:val="auto"/>
                <w:sz w:val="24"/>
                <w:szCs w:val="24"/>
                <w:lang w:val="sr-Cyrl-RS"/>
              </w:rPr>
              <w:t>276.719</w:t>
            </w:r>
          </w:p>
        </w:tc>
        <w:tc>
          <w:tcPr>
            <w:tcW w:w="2880" w:type="dxa"/>
            <w:tcBorders>
              <w:top w:val="single" w:sz="4" w:space="0" w:color="auto"/>
              <w:left w:val="nil"/>
              <w:bottom w:val="single" w:sz="4" w:space="0" w:color="auto"/>
              <w:right w:val="single" w:sz="4" w:space="0" w:color="auto"/>
            </w:tcBorders>
            <w:noWrap/>
            <w:vAlign w:val="center"/>
          </w:tcPr>
          <w:p w14:paraId="1516AD55" w14:textId="4E8D110B" w:rsidR="006D2DE7" w:rsidRPr="006D2DE7" w:rsidRDefault="006D2DE7" w:rsidP="00BC1E68">
            <w:pPr>
              <w:spacing w:after="0" w:line="240" w:lineRule="auto"/>
              <w:jc w:val="center"/>
              <w:rPr>
                <w:rFonts w:ascii="Times New Roman" w:eastAsia="Times New Roman" w:hAnsi="Times New Roman" w:cs="Times New Roman"/>
                <w:color w:val="auto"/>
                <w:sz w:val="24"/>
                <w:szCs w:val="24"/>
                <w:lang w:val="sr-Cyrl-RS"/>
              </w:rPr>
            </w:pPr>
            <w:r>
              <w:rPr>
                <w:rFonts w:ascii="Times New Roman" w:eastAsia="Times New Roman" w:hAnsi="Times New Roman" w:cs="Times New Roman"/>
                <w:color w:val="auto"/>
                <w:sz w:val="24"/>
                <w:szCs w:val="24"/>
                <w:lang w:val="sr-Cyrl-RS"/>
              </w:rPr>
              <w:t>3.</w:t>
            </w:r>
            <w:r w:rsidR="007B2C18">
              <w:rPr>
                <w:rFonts w:ascii="Times New Roman" w:eastAsia="Times New Roman" w:hAnsi="Times New Roman" w:cs="Times New Roman"/>
                <w:color w:val="auto"/>
                <w:sz w:val="24"/>
                <w:szCs w:val="24"/>
                <w:lang w:val="sr-Cyrl-RS"/>
              </w:rPr>
              <w:t>579</w:t>
            </w:r>
          </w:p>
        </w:tc>
      </w:tr>
    </w:tbl>
    <w:p w14:paraId="184887B3" w14:textId="77777777" w:rsidR="0081466B" w:rsidRPr="00B9265B" w:rsidRDefault="0081466B">
      <w:pPr>
        <w:spacing w:after="0"/>
        <w:jc w:val="both"/>
        <w:rPr>
          <w:color w:val="auto"/>
        </w:rPr>
      </w:pPr>
    </w:p>
    <w:p w14:paraId="318AA822" w14:textId="4AA491A5" w:rsidR="00700BF6" w:rsidRDefault="004F0DED">
      <w:pPr>
        <w:jc w:val="both"/>
        <w:rPr>
          <w:rFonts w:ascii="Times New Roman" w:eastAsia="Times New Roman" w:hAnsi="Times New Roman" w:cs="Times New Roman"/>
          <w:color w:val="auto"/>
          <w:sz w:val="24"/>
          <w:szCs w:val="24"/>
        </w:rPr>
      </w:pPr>
      <w:r w:rsidRPr="00B9265B">
        <w:rPr>
          <w:rFonts w:ascii="Times New Roman" w:eastAsia="Times New Roman" w:hAnsi="Times New Roman" w:cs="Times New Roman"/>
          <w:color w:val="auto"/>
          <w:sz w:val="24"/>
          <w:szCs w:val="24"/>
        </w:rPr>
        <w:t>Учешће јавних набавки у</w:t>
      </w:r>
      <w:r w:rsidR="001F49C7">
        <w:rPr>
          <w:rFonts w:ascii="Times New Roman" w:eastAsia="Times New Roman" w:hAnsi="Times New Roman" w:cs="Times New Roman"/>
          <w:color w:val="auto"/>
          <w:sz w:val="24"/>
          <w:szCs w:val="24"/>
        </w:rPr>
        <w:t xml:space="preserve"> бруто до</w:t>
      </w:r>
      <w:r w:rsidR="00B876FF">
        <w:rPr>
          <w:rFonts w:ascii="Times New Roman" w:eastAsia="Times New Roman" w:hAnsi="Times New Roman" w:cs="Times New Roman"/>
          <w:color w:val="auto"/>
          <w:sz w:val="24"/>
          <w:szCs w:val="24"/>
        </w:rPr>
        <w:t>маћем производу  изн</w:t>
      </w:r>
      <w:r w:rsidR="00B876FF">
        <w:rPr>
          <w:rFonts w:ascii="Times New Roman" w:eastAsia="Times New Roman" w:hAnsi="Times New Roman" w:cs="Times New Roman"/>
          <w:color w:val="auto"/>
          <w:sz w:val="24"/>
          <w:szCs w:val="24"/>
          <w:lang w:val="sr-Cyrl-RS"/>
        </w:rPr>
        <w:t>осило</w:t>
      </w:r>
      <w:r w:rsidR="00B876FF">
        <w:rPr>
          <w:rFonts w:ascii="Times New Roman" w:eastAsia="Times New Roman" w:hAnsi="Times New Roman" w:cs="Times New Roman"/>
          <w:color w:val="auto"/>
          <w:sz w:val="24"/>
          <w:szCs w:val="24"/>
        </w:rPr>
        <w:t xml:space="preserve"> је  8,57% </w:t>
      </w:r>
      <w:r w:rsidRPr="00B9265B">
        <w:rPr>
          <w:rFonts w:ascii="Times New Roman" w:eastAsia="Times New Roman" w:hAnsi="Times New Roman" w:cs="Times New Roman"/>
          <w:color w:val="auto"/>
          <w:sz w:val="24"/>
          <w:szCs w:val="24"/>
        </w:rPr>
        <w:t xml:space="preserve"> </w:t>
      </w:r>
      <w:r w:rsidR="00B876FF">
        <w:rPr>
          <w:rFonts w:ascii="Times New Roman" w:eastAsia="Times New Roman" w:hAnsi="Times New Roman" w:cs="Times New Roman"/>
          <w:color w:val="auto"/>
          <w:sz w:val="24"/>
          <w:szCs w:val="24"/>
        </w:rPr>
        <w:t>у првом полугодишту 2019</w:t>
      </w:r>
      <w:r w:rsidR="00B876FF" w:rsidRPr="00B9265B">
        <w:rPr>
          <w:rFonts w:ascii="Times New Roman" w:eastAsia="Times New Roman" w:hAnsi="Times New Roman" w:cs="Times New Roman"/>
          <w:color w:val="auto"/>
          <w:sz w:val="24"/>
          <w:szCs w:val="24"/>
        </w:rPr>
        <w:t xml:space="preserve">. </w:t>
      </w:r>
      <w:r w:rsidR="00263B40" w:rsidRPr="00B9265B">
        <w:rPr>
          <w:rFonts w:ascii="Times New Roman" w:eastAsia="Times New Roman" w:hAnsi="Times New Roman" w:cs="Times New Roman"/>
          <w:color w:val="auto"/>
          <w:sz w:val="24"/>
          <w:szCs w:val="24"/>
        </w:rPr>
        <w:t>године</w:t>
      </w:r>
      <w:r w:rsidR="00F57EB9">
        <w:rPr>
          <w:rFonts w:ascii="Times New Roman" w:eastAsia="Times New Roman" w:hAnsi="Times New Roman" w:cs="Times New Roman"/>
          <w:color w:val="auto"/>
          <w:sz w:val="24"/>
          <w:szCs w:val="24"/>
        </w:rPr>
        <w:t xml:space="preserve"> </w:t>
      </w:r>
      <w:r w:rsidR="00B876FF">
        <w:rPr>
          <w:rFonts w:ascii="Times New Roman" w:eastAsia="Times New Roman" w:hAnsi="Times New Roman" w:cs="Times New Roman"/>
          <w:color w:val="auto"/>
          <w:sz w:val="24"/>
          <w:szCs w:val="24"/>
          <w:lang w:val="sr-Cyrl-RS"/>
        </w:rPr>
        <w:t xml:space="preserve">што је </w:t>
      </w:r>
      <w:r w:rsidR="009969DA">
        <w:rPr>
          <w:rFonts w:ascii="Times New Roman" w:eastAsia="Times New Roman" w:hAnsi="Times New Roman" w:cs="Times New Roman"/>
          <w:color w:val="auto"/>
          <w:sz w:val="24"/>
          <w:szCs w:val="24"/>
          <w:lang w:val="sr-Cyrl-RS"/>
        </w:rPr>
        <w:t xml:space="preserve">на истом </w:t>
      </w:r>
      <w:r w:rsidR="00B876FF">
        <w:rPr>
          <w:rFonts w:ascii="Times New Roman" w:eastAsia="Times New Roman" w:hAnsi="Times New Roman" w:cs="Times New Roman"/>
          <w:color w:val="auto"/>
          <w:sz w:val="24"/>
          <w:szCs w:val="24"/>
          <w:lang w:val="sr-Cyrl-RS"/>
        </w:rPr>
        <w:t>нивоу</w:t>
      </w:r>
      <w:r w:rsidR="00F974D2">
        <w:rPr>
          <w:rFonts w:ascii="Times New Roman" w:eastAsia="Times New Roman" w:hAnsi="Times New Roman" w:cs="Times New Roman"/>
          <w:color w:val="auto"/>
          <w:sz w:val="24"/>
          <w:szCs w:val="24"/>
          <w:lang w:val="sr-Cyrl-RS"/>
        </w:rPr>
        <w:t xml:space="preserve"> </w:t>
      </w:r>
      <w:r w:rsidR="009969DA">
        <w:rPr>
          <w:rFonts w:ascii="Times New Roman" w:eastAsia="Times New Roman" w:hAnsi="Times New Roman" w:cs="Times New Roman"/>
          <w:color w:val="auto"/>
          <w:sz w:val="24"/>
          <w:szCs w:val="24"/>
          <w:lang w:val="sr-Cyrl-RS"/>
        </w:rPr>
        <w:t>као у</w:t>
      </w:r>
      <w:r w:rsidR="00F974D2">
        <w:rPr>
          <w:rFonts w:ascii="Times New Roman" w:eastAsia="Times New Roman" w:hAnsi="Times New Roman" w:cs="Times New Roman"/>
          <w:color w:val="auto"/>
          <w:sz w:val="24"/>
          <w:szCs w:val="24"/>
          <w:lang w:val="sr-Cyrl-RS"/>
        </w:rPr>
        <w:t xml:space="preserve"> </w:t>
      </w:r>
      <w:r w:rsidR="00B876FF">
        <w:rPr>
          <w:rFonts w:ascii="Times New Roman" w:eastAsia="Times New Roman" w:hAnsi="Times New Roman" w:cs="Times New Roman"/>
          <w:color w:val="auto"/>
          <w:sz w:val="24"/>
          <w:szCs w:val="24"/>
          <w:lang w:val="sr-Cyrl-RS"/>
        </w:rPr>
        <w:t xml:space="preserve"> прв</w:t>
      </w:r>
      <w:r w:rsidR="009969DA">
        <w:rPr>
          <w:rFonts w:ascii="Times New Roman" w:eastAsia="Times New Roman" w:hAnsi="Times New Roman" w:cs="Times New Roman"/>
          <w:color w:val="auto"/>
          <w:sz w:val="24"/>
          <w:szCs w:val="24"/>
          <w:lang w:val="sr-Cyrl-RS"/>
        </w:rPr>
        <w:t>о</w:t>
      </w:r>
      <w:r w:rsidR="00F974D2">
        <w:rPr>
          <w:rFonts w:ascii="Times New Roman" w:eastAsia="Times New Roman" w:hAnsi="Times New Roman" w:cs="Times New Roman"/>
          <w:color w:val="auto"/>
          <w:sz w:val="24"/>
          <w:szCs w:val="24"/>
          <w:lang w:val="sr-Cyrl-RS"/>
        </w:rPr>
        <w:t>м</w:t>
      </w:r>
      <w:r w:rsidR="00B876FF">
        <w:rPr>
          <w:rFonts w:ascii="Times New Roman" w:eastAsia="Times New Roman" w:hAnsi="Times New Roman" w:cs="Times New Roman"/>
          <w:color w:val="auto"/>
          <w:sz w:val="24"/>
          <w:szCs w:val="24"/>
          <w:lang w:val="sr-Cyrl-RS"/>
        </w:rPr>
        <w:t xml:space="preserve"> полугодишт</w:t>
      </w:r>
      <w:r w:rsidR="009969DA">
        <w:rPr>
          <w:rFonts w:ascii="Times New Roman" w:eastAsia="Times New Roman" w:hAnsi="Times New Roman" w:cs="Times New Roman"/>
          <w:color w:val="auto"/>
          <w:sz w:val="24"/>
          <w:szCs w:val="24"/>
          <w:lang w:val="sr-Cyrl-RS"/>
        </w:rPr>
        <w:t>у</w:t>
      </w:r>
      <w:r w:rsidR="00B876FF">
        <w:rPr>
          <w:rFonts w:ascii="Times New Roman" w:eastAsia="Times New Roman" w:hAnsi="Times New Roman" w:cs="Times New Roman"/>
          <w:color w:val="auto"/>
          <w:sz w:val="24"/>
          <w:szCs w:val="24"/>
          <w:lang w:val="sr-Cyrl-RS"/>
        </w:rPr>
        <w:t xml:space="preserve"> 2018. године</w:t>
      </w:r>
      <w:r w:rsidR="009969DA">
        <w:rPr>
          <w:rFonts w:ascii="Times New Roman" w:eastAsia="Times New Roman" w:hAnsi="Times New Roman" w:cs="Times New Roman"/>
          <w:color w:val="auto"/>
          <w:sz w:val="24"/>
          <w:szCs w:val="24"/>
          <w:lang w:val="sr-Cyrl-RS"/>
        </w:rPr>
        <w:t>,</w:t>
      </w:r>
      <w:r w:rsidR="00B876FF">
        <w:rPr>
          <w:rFonts w:ascii="Times New Roman" w:eastAsia="Times New Roman" w:hAnsi="Times New Roman" w:cs="Times New Roman"/>
          <w:color w:val="auto"/>
          <w:sz w:val="24"/>
          <w:szCs w:val="24"/>
          <w:lang w:val="sr-Cyrl-RS"/>
        </w:rPr>
        <w:t xml:space="preserve"> када је износило</w:t>
      </w:r>
      <w:r w:rsidR="00B876FF">
        <w:rPr>
          <w:rFonts w:ascii="Times New Roman" w:eastAsia="Times New Roman" w:hAnsi="Times New Roman" w:cs="Times New Roman"/>
          <w:color w:val="auto"/>
          <w:sz w:val="24"/>
          <w:szCs w:val="24"/>
        </w:rPr>
        <w:t xml:space="preserve"> 8,50</w:t>
      </w:r>
      <w:r w:rsidR="00F57EB9">
        <w:rPr>
          <w:rFonts w:ascii="Times New Roman" w:eastAsia="Times New Roman" w:hAnsi="Times New Roman" w:cs="Times New Roman"/>
          <w:color w:val="auto"/>
          <w:sz w:val="24"/>
          <w:szCs w:val="24"/>
        </w:rPr>
        <w:t xml:space="preserve">% </w:t>
      </w:r>
      <w:r w:rsidRPr="00B9265B">
        <w:rPr>
          <w:rFonts w:ascii="Times New Roman" w:eastAsia="Times New Roman" w:hAnsi="Times New Roman" w:cs="Times New Roman"/>
          <w:color w:val="auto"/>
          <w:sz w:val="24"/>
          <w:szCs w:val="24"/>
        </w:rPr>
        <w:t>(Табела 2).</w:t>
      </w:r>
    </w:p>
    <w:p w14:paraId="2F60EC7B" w14:textId="77777777" w:rsidR="0081466B" w:rsidRPr="00BC1E68" w:rsidRDefault="004F0DED" w:rsidP="00E3457A">
      <w:pPr>
        <w:spacing w:after="0"/>
        <w:ind w:left="-284"/>
        <w:jc w:val="both"/>
        <w:rPr>
          <w:rFonts w:ascii="Times New Roman" w:eastAsia="Times New Roman" w:hAnsi="Times New Roman" w:cs="Times New Roman"/>
          <w:color w:val="auto"/>
          <w:sz w:val="24"/>
          <w:szCs w:val="24"/>
        </w:rPr>
      </w:pPr>
      <w:r w:rsidRPr="00B9265B">
        <w:rPr>
          <w:rFonts w:ascii="Times New Roman" w:eastAsia="Times New Roman" w:hAnsi="Times New Roman" w:cs="Times New Roman"/>
          <w:b/>
          <w:color w:val="auto"/>
          <w:sz w:val="24"/>
          <w:szCs w:val="24"/>
        </w:rPr>
        <w:t xml:space="preserve"> </w:t>
      </w:r>
      <w:r w:rsidRPr="007C3042">
        <w:rPr>
          <w:rFonts w:ascii="Times New Roman" w:eastAsia="Times New Roman" w:hAnsi="Times New Roman" w:cs="Times New Roman"/>
          <w:b/>
          <w:color w:val="auto"/>
          <w:sz w:val="24"/>
          <w:szCs w:val="24"/>
        </w:rPr>
        <w:t>Табела 2</w:t>
      </w:r>
    </w:p>
    <w:tbl>
      <w:tblPr>
        <w:tblW w:w="9625" w:type="dxa"/>
        <w:jc w:val="center"/>
        <w:tblLook w:val="04A0" w:firstRow="1" w:lastRow="0" w:firstColumn="1" w:lastColumn="0" w:noHBand="0" w:noVBand="1"/>
      </w:tblPr>
      <w:tblGrid>
        <w:gridCol w:w="1165"/>
        <w:gridCol w:w="2430"/>
        <w:gridCol w:w="3240"/>
        <w:gridCol w:w="2790"/>
      </w:tblGrid>
      <w:tr w:rsidR="00263B40" w:rsidRPr="00775134" w14:paraId="2D5E1174" w14:textId="77777777" w:rsidTr="001D2929">
        <w:trPr>
          <w:trHeight w:val="300"/>
          <w:jc w:val="center"/>
        </w:trPr>
        <w:tc>
          <w:tcPr>
            <w:tcW w:w="9625" w:type="dxa"/>
            <w:gridSpan w:val="4"/>
            <w:tcBorders>
              <w:top w:val="single" w:sz="4" w:space="0" w:color="auto"/>
              <w:left w:val="single" w:sz="4" w:space="0" w:color="auto"/>
              <w:bottom w:val="single" w:sz="4" w:space="0" w:color="auto"/>
              <w:right w:val="single" w:sz="4" w:space="0" w:color="000000"/>
            </w:tcBorders>
            <w:noWrap/>
            <w:vAlign w:val="bottom"/>
          </w:tcPr>
          <w:p w14:paraId="345CF324" w14:textId="77777777" w:rsidR="00263B40" w:rsidRPr="00775134" w:rsidRDefault="00263B40" w:rsidP="00263B40">
            <w:pPr>
              <w:spacing w:after="0" w:line="240" w:lineRule="auto"/>
              <w:jc w:val="center"/>
              <w:rPr>
                <w:rFonts w:ascii="Times New Roman" w:eastAsia="Times New Roman" w:hAnsi="Times New Roman" w:cs="Times New Roman"/>
                <w:b/>
                <w:sz w:val="24"/>
                <w:szCs w:val="24"/>
              </w:rPr>
            </w:pPr>
          </w:p>
          <w:p w14:paraId="6CE8785A" w14:textId="77777777" w:rsidR="00263B40" w:rsidRPr="006D2DE7" w:rsidRDefault="00263B40" w:rsidP="006D2DE7">
            <w:pPr>
              <w:spacing w:after="0" w:line="240" w:lineRule="auto"/>
              <w:jc w:val="center"/>
              <w:rPr>
                <w:rFonts w:ascii="Times New Roman" w:eastAsia="Times New Roman" w:hAnsi="Times New Roman" w:cs="Times New Roman"/>
                <w:b/>
                <w:sz w:val="24"/>
                <w:szCs w:val="24"/>
                <w:lang w:val="sr-Cyrl-RS"/>
              </w:rPr>
            </w:pPr>
            <w:r w:rsidRPr="00775134">
              <w:rPr>
                <w:rFonts w:ascii="Times New Roman" w:eastAsia="Times New Roman" w:hAnsi="Times New Roman" w:cs="Times New Roman"/>
                <w:b/>
                <w:sz w:val="24"/>
                <w:szCs w:val="24"/>
              </w:rPr>
              <w:t>Учешће јавних набавки у бруто домаћем производу</w:t>
            </w:r>
            <w:r w:rsidR="006D2DE7">
              <w:rPr>
                <w:rFonts w:ascii="Times New Roman" w:eastAsia="Times New Roman" w:hAnsi="Times New Roman" w:cs="Times New Roman"/>
                <w:b/>
                <w:sz w:val="24"/>
                <w:szCs w:val="24"/>
                <w:lang w:val="sr-Cyrl-RS"/>
              </w:rPr>
              <w:t>*</w:t>
            </w:r>
          </w:p>
        </w:tc>
      </w:tr>
      <w:tr w:rsidR="00263B40" w:rsidRPr="00775134" w14:paraId="1363079C" w14:textId="77777777" w:rsidTr="001D2929">
        <w:trPr>
          <w:trHeight w:val="1140"/>
          <w:jc w:val="center"/>
        </w:trPr>
        <w:tc>
          <w:tcPr>
            <w:tcW w:w="1165" w:type="dxa"/>
            <w:tcBorders>
              <w:top w:val="nil"/>
              <w:left w:val="single" w:sz="4" w:space="0" w:color="auto"/>
              <w:bottom w:val="single" w:sz="4" w:space="0" w:color="auto"/>
              <w:right w:val="single" w:sz="4" w:space="0" w:color="auto"/>
            </w:tcBorders>
            <w:noWrap/>
            <w:vAlign w:val="center"/>
            <w:hideMark/>
          </w:tcPr>
          <w:p w14:paraId="0CD05341" w14:textId="77777777" w:rsidR="00263B40" w:rsidRPr="00775134" w:rsidRDefault="00263B40" w:rsidP="00263B40">
            <w:pPr>
              <w:spacing w:after="0" w:line="240" w:lineRule="auto"/>
              <w:jc w:val="center"/>
              <w:rPr>
                <w:rFonts w:ascii="Times New Roman" w:eastAsia="Times New Roman" w:hAnsi="Times New Roman" w:cs="Times New Roman"/>
                <w:b/>
                <w:sz w:val="24"/>
                <w:szCs w:val="24"/>
              </w:rPr>
            </w:pPr>
            <w:r w:rsidRPr="00775134">
              <w:rPr>
                <w:rFonts w:ascii="Times New Roman" w:eastAsia="Times New Roman" w:hAnsi="Times New Roman" w:cs="Times New Roman"/>
                <w:b/>
                <w:sz w:val="24"/>
                <w:szCs w:val="24"/>
              </w:rPr>
              <w:t>Година</w:t>
            </w:r>
          </w:p>
        </w:tc>
        <w:tc>
          <w:tcPr>
            <w:tcW w:w="2430" w:type="dxa"/>
            <w:tcBorders>
              <w:top w:val="nil"/>
              <w:left w:val="nil"/>
              <w:bottom w:val="single" w:sz="4" w:space="0" w:color="auto"/>
              <w:right w:val="single" w:sz="4" w:space="0" w:color="auto"/>
            </w:tcBorders>
            <w:vAlign w:val="center"/>
            <w:hideMark/>
          </w:tcPr>
          <w:p w14:paraId="2F169C5C" w14:textId="77777777" w:rsidR="00263B40" w:rsidRPr="006D2DE7" w:rsidRDefault="00263B40" w:rsidP="00263B40">
            <w:pPr>
              <w:spacing w:after="0" w:line="240" w:lineRule="auto"/>
              <w:jc w:val="center"/>
              <w:rPr>
                <w:rFonts w:ascii="Times New Roman" w:eastAsia="Times New Roman" w:hAnsi="Times New Roman" w:cs="Times New Roman"/>
                <w:b/>
                <w:sz w:val="24"/>
                <w:szCs w:val="24"/>
                <w:lang w:val="sr-Cyrl-RS"/>
              </w:rPr>
            </w:pPr>
            <w:r w:rsidRPr="00775134">
              <w:rPr>
                <w:rFonts w:ascii="Times New Roman" w:eastAsia="Times New Roman" w:hAnsi="Times New Roman" w:cs="Times New Roman"/>
                <w:b/>
                <w:sz w:val="24"/>
                <w:szCs w:val="24"/>
              </w:rPr>
              <w:t>Уговорена вредност без ПДВ-а</w:t>
            </w:r>
          </w:p>
        </w:tc>
        <w:tc>
          <w:tcPr>
            <w:tcW w:w="3240" w:type="dxa"/>
            <w:tcBorders>
              <w:top w:val="nil"/>
              <w:left w:val="nil"/>
              <w:bottom w:val="single" w:sz="4" w:space="0" w:color="auto"/>
              <w:right w:val="single" w:sz="4" w:space="0" w:color="auto"/>
            </w:tcBorders>
            <w:vAlign w:val="center"/>
            <w:hideMark/>
          </w:tcPr>
          <w:p w14:paraId="117954A9" w14:textId="77777777" w:rsidR="00263B40" w:rsidRPr="006D2DE7" w:rsidRDefault="00263B40" w:rsidP="00263B40">
            <w:pPr>
              <w:spacing w:after="0" w:line="240" w:lineRule="auto"/>
              <w:jc w:val="center"/>
              <w:rPr>
                <w:rFonts w:ascii="Times New Roman" w:eastAsia="Times New Roman" w:hAnsi="Times New Roman" w:cs="Times New Roman"/>
                <w:b/>
                <w:sz w:val="24"/>
                <w:szCs w:val="24"/>
                <w:lang w:val="sr-Cyrl-RS"/>
              </w:rPr>
            </w:pPr>
            <w:r w:rsidRPr="00775134">
              <w:rPr>
                <w:rFonts w:ascii="Times New Roman" w:eastAsia="Times New Roman" w:hAnsi="Times New Roman" w:cs="Times New Roman"/>
                <w:b/>
                <w:sz w:val="24"/>
                <w:szCs w:val="24"/>
              </w:rPr>
              <w:t>Вредност БДП-а</w:t>
            </w:r>
          </w:p>
        </w:tc>
        <w:tc>
          <w:tcPr>
            <w:tcW w:w="2790" w:type="dxa"/>
            <w:tcBorders>
              <w:top w:val="nil"/>
              <w:left w:val="nil"/>
              <w:bottom w:val="single" w:sz="4" w:space="0" w:color="auto"/>
              <w:right w:val="single" w:sz="4" w:space="0" w:color="auto"/>
            </w:tcBorders>
            <w:vAlign w:val="center"/>
            <w:hideMark/>
          </w:tcPr>
          <w:p w14:paraId="76B185B2" w14:textId="77777777" w:rsidR="00263B40" w:rsidRPr="00775134" w:rsidRDefault="00263B40" w:rsidP="00263B40">
            <w:pPr>
              <w:spacing w:after="0" w:line="240" w:lineRule="auto"/>
              <w:jc w:val="center"/>
              <w:rPr>
                <w:rFonts w:ascii="Times New Roman" w:eastAsia="Times New Roman" w:hAnsi="Times New Roman" w:cs="Times New Roman"/>
                <w:b/>
                <w:sz w:val="24"/>
                <w:szCs w:val="24"/>
              </w:rPr>
            </w:pPr>
            <w:r w:rsidRPr="00775134">
              <w:rPr>
                <w:rFonts w:ascii="Times New Roman" w:eastAsia="Times New Roman" w:hAnsi="Times New Roman" w:cs="Times New Roman"/>
                <w:b/>
                <w:sz w:val="24"/>
                <w:szCs w:val="24"/>
              </w:rPr>
              <w:t>%</w:t>
            </w:r>
          </w:p>
        </w:tc>
      </w:tr>
      <w:tr w:rsidR="00263B40" w:rsidRPr="00775134" w14:paraId="37E2D4BC" w14:textId="77777777" w:rsidTr="001D2929">
        <w:trPr>
          <w:trHeight w:val="315"/>
          <w:jc w:val="center"/>
        </w:trPr>
        <w:tc>
          <w:tcPr>
            <w:tcW w:w="1165" w:type="dxa"/>
            <w:tcBorders>
              <w:top w:val="nil"/>
              <w:left w:val="single" w:sz="4" w:space="0" w:color="auto"/>
              <w:bottom w:val="single" w:sz="4" w:space="0" w:color="auto"/>
              <w:right w:val="single" w:sz="4" w:space="0" w:color="auto"/>
            </w:tcBorders>
            <w:noWrap/>
            <w:vAlign w:val="bottom"/>
            <w:hideMark/>
          </w:tcPr>
          <w:p w14:paraId="5927AE95" w14:textId="77777777" w:rsidR="00263B40" w:rsidRPr="00F21019" w:rsidRDefault="00263B40" w:rsidP="00263B40">
            <w:pPr>
              <w:spacing w:after="0" w:line="240" w:lineRule="auto"/>
              <w:jc w:val="center"/>
              <w:rPr>
                <w:rFonts w:ascii="Times New Roman" w:eastAsia="Times New Roman" w:hAnsi="Times New Roman" w:cs="Times New Roman"/>
                <w:b/>
                <w:sz w:val="24"/>
                <w:szCs w:val="24"/>
                <w:lang w:val="en-US"/>
              </w:rPr>
            </w:pPr>
            <w:r w:rsidRPr="00775134">
              <w:rPr>
                <w:rFonts w:ascii="Times New Roman" w:eastAsia="Times New Roman" w:hAnsi="Times New Roman" w:cs="Times New Roman"/>
                <w:b/>
                <w:sz w:val="24"/>
                <w:szCs w:val="24"/>
              </w:rPr>
              <w:t>2015</w:t>
            </w:r>
            <w:r>
              <w:rPr>
                <w:rFonts w:ascii="Times New Roman" w:eastAsia="Times New Roman" w:hAnsi="Times New Roman" w:cs="Times New Roman"/>
                <w:b/>
                <w:sz w:val="24"/>
                <w:szCs w:val="24"/>
              </w:rPr>
              <w:t>. 1П</w:t>
            </w:r>
          </w:p>
        </w:tc>
        <w:tc>
          <w:tcPr>
            <w:tcW w:w="2430" w:type="dxa"/>
            <w:tcBorders>
              <w:top w:val="nil"/>
              <w:left w:val="nil"/>
              <w:bottom w:val="single" w:sz="4" w:space="0" w:color="auto"/>
              <w:right w:val="single" w:sz="4" w:space="0" w:color="auto"/>
            </w:tcBorders>
            <w:noWrap/>
            <w:vAlign w:val="bottom"/>
            <w:hideMark/>
          </w:tcPr>
          <w:p w14:paraId="62616BD5" w14:textId="77777777" w:rsidR="00263B40" w:rsidRPr="007125AD" w:rsidRDefault="00263B40" w:rsidP="00263B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135.330</w:t>
            </w:r>
          </w:p>
        </w:tc>
        <w:tc>
          <w:tcPr>
            <w:tcW w:w="3240" w:type="dxa"/>
            <w:tcBorders>
              <w:top w:val="nil"/>
              <w:left w:val="nil"/>
              <w:bottom w:val="single" w:sz="4" w:space="0" w:color="auto"/>
              <w:right w:val="single" w:sz="4" w:space="0" w:color="auto"/>
            </w:tcBorders>
            <w:noWrap/>
            <w:vAlign w:val="center"/>
            <w:hideMark/>
          </w:tcPr>
          <w:p w14:paraId="4E72C530" w14:textId="77777777" w:rsidR="00263B40" w:rsidRPr="00775134" w:rsidRDefault="00263B40" w:rsidP="00263B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1.854.159,3</w:t>
            </w:r>
          </w:p>
        </w:tc>
        <w:tc>
          <w:tcPr>
            <w:tcW w:w="2790" w:type="dxa"/>
            <w:tcBorders>
              <w:top w:val="nil"/>
              <w:left w:val="nil"/>
              <w:bottom w:val="single" w:sz="4" w:space="0" w:color="auto"/>
              <w:right w:val="single" w:sz="4" w:space="0" w:color="auto"/>
            </w:tcBorders>
            <w:noWrap/>
            <w:vAlign w:val="bottom"/>
            <w:hideMark/>
          </w:tcPr>
          <w:p w14:paraId="2403911D" w14:textId="77777777" w:rsidR="00263B40" w:rsidRPr="007125AD" w:rsidRDefault="00263B40" w:rsidP="00263B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7,30</w:t>
            </w:r>
          </w:p>
        </w:tc>
      </w:tr>
      <w:tr w:rsidR="004E5145" w:rsidRPr="00775134" w14:paraId="40F6243E" w14:textId="77777777" w:rsidTr="001D2929">
        <w:trPr>
          <w:trHeight w:val="315"/>
          <w:jc w:val="center"/>
        </w:trPr>
        <w:tc>
          <w:tcPr>
            <w:tcW w:w="1165" w:type="dxa"/>
            <w:tcBorders>
              <w:top w:val="nil"/>
              <w:left w:val="single" w:sz="4" w:space="0" w:color="auto"/>
              <w:bottom w:val="single" w:sz="4" w:space="0" w:color="auto"/>
              <w:right w:val="single" w:sz="4" w:space="0" w:color="auto"/>
            </w:tcBorders>
            <w:noWrap/>
            <w:vAlign w:val="bottom"/>
          </w:tcPr>
          <w:p w14:paraId="140809EA" w14:textId="77777777" w:rsidR="004E5145" w:rsidRPr="00775134" w:rsidRDefault="004E5145" w:rsidP="00263B40">
            <w:pPr>
              <w:spacing w:after="0" w:line="240" w:lineRule="auto"/>
              <w:jc w:val="center"/>
              <w:rPr>
                <w:rFonts w:ascii="Times New Roman" w:eastAsia="Times New Roman" w:hAnsi="Times New Roman" w:cs="Times New Roman"/>
                <w:b/>
                <w:sz w:val="24"/>
                <w:szCs w:val="24"/>
              </w:rPr>
            </w:pPr>
            <w:r w:rsidRPr="003304AA">
              <w:rPr>
                <w:rFonts w:ascii="Times New Roman" w:eastAsia="Times New Roman" w:hAnsi="Times New Roman" w:cs="Times New Roman"/>
                <w:b/>
                <w:color w:val="auto"/>
                <w:sz w:val="24"/>
                <w:szCs w:val="24"/>
              </w:rPr>
              <w:t>2016. 1П</w:t>
            </w:r>
          </w:p>
        </w:tc>
        <w:tc>
          <w:tcPr>
            <w:tcW w:w="2430" w:type="dxa"/>
            <w:tcBorders>
              <w:top w:val="nil"/>
              <w:left w:val="nil"/>
              <w:bottom w:val="single" w:sz="4" w:space="0" w:color="auto"/>
              <w:right w:val="single" w:sz="4" w:space="0" w:color="auto"/>
            </w:tcBorders>
            <w:noWrap/>
            <w:vAlign w:val="bottom"/>
          </w:tcPr>
          <w:p w14:paraId="137112C7" w14:textId="77777777" w:rsidR="004E5145" w:rsidRDefault="004E5145" w:rsidP="00263B40">
            <w:pPr>
              <w:spacing w:after="0" w:line="240" w:lineRule="auto"/>
              <w:jc w:val="center"/>
              <w:rPr>
                <w:rFonts w:ascii="Times New Roman" w:eastAsia="Times New Roman" w:hAnsi="Times New Roman" w:cs="Times New Roman"/>
                <w:sz w:val="24"/>
                <w:szCs w:val="24"/>
              </w:rPr>
            </w:pPr>
            <w:r w:rsidRPr="003304AA">
              <w:rPr>
                <w:rFonts w:ascii="Times New Roman" w:eastAsia="Times New Roman" w:hAnsi="Times New Roman" w:cs="Times New Roman"/>
                <w:color w:val="auto"/>
                <w:sz w:val="24"/>
                <w:szCs w:val="24"/>
              </w:rPr>
              <w:t>1</w:t>
            </w:r>
            <w:r w:rsidRPr="003304AA">
              <w:rPr>
                <w:rFonts w:ascii="Times New Roman" w:eastAsia="Times New Roman" w:hAnsi="Times New Roman" w:cs="Times New Roman"/>
                <w:color w:val="auto"/>
                <w:sz w:val="24"/>
                <w:szCs w:val="24"/>
                <w:lang w:val="en-US"/>
              </w:rPr>
              <w:t>54</w:t>
            </w:r>
            <w:r w:rsidRPr="003304AA">
              <w:rPr>
                <w:rFonts w:ascii="Times New Roman" w:eastAsia="Times New Roman" w:hAnsi="Times New Roman" w:cs="Times New Roman"/>
                <w:color w:val="auto"/>
                <w:sz w:val="24"/>
                <w:szCs w:val="24"/>
              </w:rPr>
              <w:t>.</w:t>
            </w:r>
            <w:r w:rsidRPr="003304AA">
              <w:rPr>
                <w:rFonts w:ascii="Times New Roman" w:eastAsia="Times New Roman" w:hAnsi="Times New Roman" w:cs="Times New Roman"/>
                <w:color w:val="auto"/>
                <w:sz w:val="24"/>
                <w:szCs w:val="24"/>
                <w:lang w:val="en-US"/>
              </w:rPr>
              <w:t>4</w:t>
            </w:r>
            <w:r w:rsidRPr="003304AA">
              <w:rPr>
                <w:rFonts w:ascii="Times New Roman" w:eastAsia="Times New Roman" w:hAnsi="Times New Roman" w:cs="Times New Roman"/>
                <w:color w:val="auto"/>
                <w:sz w:val="24"/>
                <w:szCs w:val="24"/>
              </w:rPr>
              <w:t>27</w:t>
            </w:r>
          </w:p>
        </w:tc>
        <w:tc>
          <w:tcPr>
            <w:tcW w:w="3240" w:type="dxa"/>
            <w:tcBorders>
              <w:top w:val="nil"/>
              <w:left w:val="nil"/>
              <w:bottom w:val="single" w:sz="4" w:space="0" w:color="auto"/>
              <w:right w:val="single" w:sz="4" w:space="0" w:color="auto"/>
            </w:tcBorders>
            <w:noWrap/>
            <w:vAlign w:val="center"/>
          </w:tcPr>
          <w:p w14:paraId="73EA1BAE" w14:textId="77777777" w:rsidR="004E5145" w:rsidRPr="004E5145" w:rsidRDefault="004E5145" w:rsidP="004E5145">
            <w:pPr>
              <w:spacing w:after="0" w:line="240" w:lineRule="auto"/>
              <w:jc w:val="center"/>
              <w:rPr>
                <w:rFonts w:ascii="Times New Roman" w:eastAsia="Times New Roman" w:hAnsi="Times New Roman" w:cs="Times New Roman"/>
                <w:sz w:val="24"/>
                <w:szCs w:val="24"/>
              </w:rPr>
            </w:pPr>
            <w:r w:rsidRPr="003304AA">
              <w:rPr>
                <w:rFonts w:ascii="Times New Roman" w:eastAsia="Times New Roman" w:hAnsi="Times New Roman" w:cs="Times New Roman"/>
                <w:color w:val="auto"/>
                <w:sz w:val="24"/>
                <w:szCs w:val="24"/>
              </w:rPr>
              <w:t>1.928.738,0</w:t>
            </w:r>
          </w:p>
        </w:tc>
        <w:tc>
          <w:tcPr>
            <w:tcW w:w="2790" w:type="dxa"/>
            <w:tcBorders>
              <w:top w:val="nil"/>
              <w:left w:val="nil"/>
              <w:bottom w:val="single" w:sz="4" w:space="0" w:color="auto"/>
              <w:right w:val="single" w:sz="4" w:space="0" w:color="auto"/>
            </w:tcBorders>
            <w:noWrap/>
            <w:vAlign w:val="bottom"/>
          </w:tcPr>
          <w:p w14:paraId="7734D5AC" w14:textId="77777777" w:rsidR="004E5145" w:rsidRDefault="004E5145" w:rsidP="00263B40">
            <w:pPr>
              <w:spacing w:after="0" w:line="240" w:lineRule="auto"/>
              <w:jc w:val="center"/>
              <w:rPr>
                <w:rFonts w:ascii="Times New Roman" w:eastAsia="Times New Roman" w:hAnsi="Times New Roman" w:cs="Times New Roman"/>
                <w:sz w:val="24"/>
                <w:szCs w:val="24"/>
              </w:rPr>
            </w:pPr>
            <w:r w:rsidRPr="003304AA">
              <w:rPr>
                <w:rFonts w:ascii="Times New Roman" w:eastAsia="Times New Roman" w:hAnsi="Times New Roman" w:cs="Times New Roman"/>
                <w:color w:val="auto"/>
                <w:sz w:val="24"/>
                <w:szCs w:val="24"/>
              </w:rPr>
              <w:t>8,</w:t>
            </w:r>
            <w:r w:rsidRPr="003304AA">
              <w:rPr>
                <w:rFonts w:ascii="Times New Roman" w:eastAsia="Times New Roman" w:hAnsi="Times New Roman" w:cs="Times New Roman"/>
                <w:color w:val="auto"/>
                <w:sz w:val="24"/>
                <w:szCs w:val="24"/>
                <w:lang w:val="en-US"/>
              </w:rPr>
              <w:t>00</w:t>
            </w:r>
          </w:p>
        </w:tc>
      </w:tr>
      <w:tr w:rsidR="004E5145" w:rsidRPr="00B9265B" w14:paraId="7444C49D" w14:textId="77777777" w:rsidTr="006D2DE7">
        <w:trPr>
          <w:trHeight w:val="315"/>
          <w:jc w:val="center"/>
        </w:trPr>
        <w:tc>
          <w:tcPr>
            <w:tcW w:w="1165" w:type="dxa"/>
            <w:tcBorders>
              <w:top w:val="nil"/>
              <w:left w:val="single" w:sz="4" w:space="0" w:color="auto"/>
              <w:bottom w:val="single" w:sz="4" w:space="0" w:color="auto"/>
              <w:right w:val="single" w:sz="4" w:space="0" w:color="auto"/>
            </w:tcBorders>
            <w:noWrap/>
            <w:vAlign w:val="bottom"/>
          </w:tcPr>
          <w:p w14:paraId="3DD922A2" w14:textId="77777777" w:rsidR="004E5145" w:rsidRPr="00B9265B" w:rsidRDefault="004E5145" w:rsidP="00263B40">
            <w:pPr>
              <w:spacing w:after="0" w:line="240" w:lineRule="auto"/>
              <w:jc w:val="center"/>
              <w:rPr>
                <w:rFonts w:ascii="Times New Roman" w:eastAsia="Times New Roman" w:hAnsi="Times New Roman" w:cs="Times New Roman"/>
                <w:b/>
                <w:color w:val="000000" w:themeColor="text1"/>
                <w:sz w:val="24"/>
                <w:szCs w:val="24"/>
              </w:rPr>
            </w:pPr>
            <w:r w:rsidRPr="00B9265B">
              <w:rPr>
                <w:rFonts w:ascii="Times New Roman" w:eastAsia="Times New Roman" w:hAnsi="Times New Roman" w:cs="Times New Roman"/>
                <w:b/>
                <w:color w:val="000000" w:themeColor="text1"/>
                <w:sz w:val="24"/>
                <w:szCs w:val="24"/>
                <w:lang w:val="en-US"/>
              </w:rPr>
              <w:t xml:space="preserve">2017. </w:t>
            </w:r>
            <w:r w:rsidRPr="00B9265B">
              <w:rPr>
                <w:rFonts w:ascii="Times New Roman" w:eastAsia="Times New Roman" w:hAnsi="Times New Roman" w:cs="Times New Roman"/>
                <w:b/>
                <w:color w:val="000000" w:themeColor="text1"/>
                <w:sz w:val="24"/>
                <w:szCs w:val="24"/>
              </w:rPr>
              <w:t>1П</w:t>
            </w:r>
          </w:p>
        </w:tc>
        <w:tc>
          <w:tcPr>
            <w:tcW w:w="2430" w:type="dxa"/>
            <w:tcBorders>
              <w:top w:val="nil"/>
              <w:left w:val="nil"/>
              <w:bottom w:val="single" w:sz="4" w:space="0" w:color="auto"/>
              <w:right w:val="single" w:sz="4" w:space="0" w:color="auto"/>
            </w:tcBorders>
            <w:noWrap/>
            <w:vAlign w:val="bottom"/>
          </w:tcPr>
          <w:p w14:paraId="4E127EF6" w14:textId="77777777" w:rsidR="004E5145" w:rsidRPr="00B9265B" w:rsidRDefault="004E5145" w:rsidP="00263B40">
            <w:pPr>
              <w:spacing w:after="0" w:line="240" w:lineRule="auto"/>
              <w:jc w:val="center"/>
              <w:rPr>
                <w:rFonts w:ascii="Times New Roman" w:eastAsia="Times New Roman" w:hAnsi="Times New Roman" w:cs="Times New Roman"/>
                <w:color w:val="000000" w:themeColor="text1"/>
                <w:sz w:val="24"/>
                <w:szCs w:val="24"/>
              </w:rPr>
            </w:pPr>
            <w:r w:rsidRPr="00B9265B">
              <w:rPr>
                <w:rFonts w:ascii="Times New Roman" w:eastAsia="Times New Roman" w:hAnsi="Times New Roman" w:cs="Times New Roman"/>
                <w:color w:val="000000" w:themeColor="text1"/>
                <w:sz w:val="24"/>
                <w:szCs w:val="24"/>
              </w:rPr>
              <w:t>146.746</w:t>
            </w:r>
          </w:p>
        </w:tc>
        <w:tc>
          <w:tcPr>
            <w:tcW w:w="3240" w:type="dxa"/>
            <w:tcBorders>
              <w:top w:val="nil"/>
              <w:left w:val="nil"/>
              <w:bottom w:val="single" w:sz="4" w:space="0" w:color="auto"/>
              <w:right w:val="single" w:sz="4" w:space="0" w:color="auto"/>
            </w:tcBorders>
            <w:noWrap/>
            <w:vAlign w:val="center"/>
          </w:tcPr>
          <w:p w14:paraId="369D829A" w14:textId="77777777" w:rsidR="004E5145" w:rsidRPr="00B9265B" w:rsidRDefault="004E5145" w:rsidP="006D2DE7">
            <w:pPr>
              <w:spacing w:after="0" w:line="240" w:lineRule="auto"/>
              <w:jc w:val="center"/>
              <w:rPr>
                <w:rFonts w:ascii="Times New Roman" w:eastAsia="Times New Roman" w:hAnsi="Times New Roman" w:cs="Times New Roman"/>
                <w:color w:val="000000" w:themeColor="text1"/>
                <w:sz w:val="24"/>
                <w:szCs w:val="24"/>
              </w:rPr>
            </w:pPr>
            <w:r w:rsidRPr="00B9265B">
              <w:rPr>
                <w:rFonts w:ascii="Times New Roman" w:eastAsia="Times New Roman" w:hAnsi="Times New Roman" w:cs="Times New Roman"/>
                <w:color w:val="000000" w:themeColor="text1"/>
                <w:sz w:val="24"/>
                <w:szCs w:val="24"/>
              </w:rPr>
              <w:t>2.047.510,7</w:t>
            </w:r>
          </w:p>
        </w:tc>
        <w:tc>
          <w:tcPr>
            <w:tcW w:w="2790" w:type="dxa"/>
            <w:tcBorders>
              <w:top w:val="nil"/>
              <w:left w:val="nil"/>
              <w:bottom w:val="single" w:sz="4" w:space="0" w:color="auto"/>
              <w:right w:val="single" w:sz="4" w:space="0" w:color="auto"/>
            </w:tcBorders>
            <w:noWrap/>
            <w:vAlign w:val="bottom"/>
          </w:tcPr>
          <w:p w14:paraId="53A8229D" w14:textId="77777777" w:rsidR="004E5145" w:rsidRPr="00B9265B" w:rsidRDefault="004E5145" w:rsidP="00263B40">
            <w:pPr>
              <w:spacing w:after="0" w:line="240" w:lineRule="auto"/>
              <w:jc w:val="center"/>
              <w:rPr>
                <w:rFonts w:ascii="Times New Roman" w:eastAsia="Times New Roman" w:hAnsi="Times New Roman" w:cs="Times New Roman"/>
                <w:color w:val="000000" w:themeColor="text1"/>
                <w:sz w:val="24"/>
                <w:szCs w:val="24"/>
              </w:rPr>
            </w:pPr>
            <w:r w:rsidRPr="00B9265B">
              <w:rPr>
                <w:rFonts w:ascii="Times New Roman" w:eastAsia="Times New Roman" w:hAnsi="Times New Roman" w:cs="Times New Roman"/>
                <w:color w:val="000000" w:themeColor="text1"/>
                <w:sz w:val="24"/>
                <w:szCs w:val="24"/>
              </w:rPr>
              <w:t>7,17</w:t>
            </w:r>
          </w:p>
        </w:tc>
      </w:tr>
      <w:tr w:rsidR="008848BC" w:rsidRPr="00B9265B" w14:paraId="22677038" w14:textId="77777777" w:rsidTr="006D2DE7">
        <w:trPr>
          <w:trHeight w:val="315"/>
          <w:jc w:val="center"/>
        </w:trPr>
        <w:tc>
          <w:tcPr>
            <w:tcW w:w="1165" w:type="dxa"/>
            <w:tcBorders>
              <w:top w:val="nil"/>
              <w:left w:val="single" w:sz="4" w:space="0" w:color="auto"/>
              <w:bottom w:val="single" w:sz="4" w:space="0" w:color="auto"/>
              <w:right w:val="single" w:sz="4" w:space="0" w:color="auto"/>
            </w:tcBorders>
            <w:noWrap/>
            <w:vAlign w:val="bottom"/>
          </w:tcPr>
          <w:p w14:paraId="0D37A43D" w14:textId="77777777" w:rsidR="008848BC" w:rsidRPr="008848BC" w:rsidRDefault="008848BC" w:rsidP="00263B40">
            <w:pPr>
              <w:spacing w:after="0" w:line="240" w:lineRule="auto"/>
              <w:jc w:val="center"/>
              <w:rPr>
                <w:rFonts w:ascii="Times New Roman" w:eastAsia="Times New Roman" w:hAnsi="Times New Roman" w:cs="Times New Roman"/>
                <w:b/>
                <w:color w:val="000000" w:themeColor="text1"/>
                <w:sz w:val="24"/>
                <w:szCs w:val="24"/>
                <w:lang w:val="sr-Cyrl-RS"/>
              </w:rPr>
            </w:pPr>
            <w:r>
              <w:rPr>
                <w:rFonts w:ascii="Times New Roman" w:eastAsia="Times New Roman" w:hAnsi="Times New Roman" w:cs="Times New Roman"/>
                <w:b/>
                <w:color w:val="000000" w:themeColor="text1"/>
                <w:sz w:val="24"/>
                <w:szCs w:val="24"/>
                <w:lang w:val="sr-Cyrl-RS"/>
              </w:rPr>
              <w:t>2018. 1П</w:t>
            </w:r>
          </w:p>
        </w:tc>
        <w:tc>
          <w:tcPr>
            <w:tcW w:w="2430" w:type="dxa"/>
            <w:tcBorders>
              <w:top w:val="nil"/>
              <w:left w:val="nil"/>
              <w:bottom w:val="single" w:sz="4" w:space="0" w:color="auto"/>
              <w:right w:val="single" w:sz="4" w:space="0" w:color="auto"/>
            </w:tcBorders>
            <w:noWrap/>
            <w:vAlign w:val="bottom"/>
          </w:tcPr>
          <w:p w14:paraId="2AA46C89" w14:textId="77777777" w:rsidR="008848BC" w:rsidRPr="008848BC" w:rsidRDefault="008848BC" w:rsidP="00263B40">
            <w:pPr>
              <w:spacing w:after="0" w:line="240" w:lineRule="auto"/>
              <w:jc w:val="cente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188.358</w:t>
            </w:r>
          </w:p>
        </w:tc>
        <w:tc>
          <w:tcPr>
            <w:tcW w:w="3240" w:type="dxa"/>
            <w:tcBorders>
              <w:top w:val="nil"/>
              <w:left w:val="nil"/>
              <w:bottom w:val="single" w:sz="4" w:space="0" w:color="auto"/>
              <w:right w:val="single" w:sz="4" w:space="0" w:color="auto"/>
            </w:tcBorders>
            <w:noWrap/>
            <w:vAlign w:val="center"/>
          </w:tcPr>
          <w:p w14:paraId="00E49C57" w14:textId="77777777" w:rsidR="008848BC" w:rsidRPr="008848BC" w:rsidRDefault="008848BC" w:rsidP="006D2DE7">
            <w:pPr>
              <w:spacing w:after="0" w:line="240" w:lineRule="auto"/>
              <w:jc w:val="cente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2.213.681,0</w:t>
            </w:r>
          </w:p>
        </w:tc>
        <w:tc>
          <w:tcPr>
            <w:tcW w:w="2790" w:type="dxa"/>
            <w:tcBorders>
              <w:top w:val="nil"/>
              <w:left w:val="nil"/>
              <w:bottom w:val="single" w:sz="4" w:space="0" w:color="auto"/>
              <w:right w:val="single" w:sz="4" w:space="0" w:color="auto"/>
            </w:tcBorders>
            <w:noWrap/>
            <w:vAlign w:val="bottom"/>
          </w:tcPr>
          <w:p w14:paraId="5D4E5D8A" w14:textId="77777777" w:rsidR="008848BC" w:rsidRPr="008848BC" w:rsidRDefault="008848BC" w:rsidP="00263B40">
            <w:pPr>
              <w:spacing w:after="0" w:line="240" w:lineRule="auto"/>
              <w:jc w:val="cente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8,50</w:t>
            </w:r>
          </w:p>
        </w:tc>
      </w:tr>
      <w:tr w:rsidR="006D2DE7" w:rsidRPr="00B9265B" w14:paraId="2BB0E4DC" w14:textId="77777777" w:rsidTr="006D2DE7">
        <w:trPr>
          <w:trHeight w:val="315"/>
          <w:jc w:val="center"/>
        </w:trPr>
        <w:tc>
          <w:tcPr>
            <w:tcW w:w="1165" w:type="dxa"/>
            <w:tcBorders>
              <w:top w:val="single" w:sz="4" w:space="0" w:color="auto"/>
              <w:left w:val="single" w:sz="4" w:space="0" w:color="auto"/>
              <w:bottom w:val="single" w:sz="4" w:space="0" w:color="auto"/>
              <w:right w:val="single" w:sz="4" w:space="0" w:color="auto"/>
            </w:tcBorders>
            <w:noWrap/>
            <w:vAlign w:val="bottom"/>
          </w:tcPr>
          <w:p w14:paraId="7548E7A9" w14:textId="77777777" w:rsidR="006D2DE7" w:rsidRPr="006D2DE7" w:rsidRDefault="006D2DE7" w:rsidP="00BC1E68">
            <w:pPr>
              <w:spacing w:after="0" w:line="240" w:lineRule="auto"/>
              <w:jc w:val="center"/>
              <w:rPr>
                <w:rFonts w:ascii="Times New Roman" w:eastAsia="Times New Roman" w:hAnsi="Times New Roman" w:cs="Times New Roman"/>
                <w:b/>
                <w:color w:val="000000" w:themeColor="text1"/>
                <w:sz w:val="24"/>
                <w:szCs w:val="24"/>
                <w:lang w:val="sr-Cyrl-RS"/>
              </w:rPr>
            </w:pPr>
            <w:r>
              <w:rPr>
                <w:rFonts w:ascii="Times New Roman" w:eastAsia="Times New Roman" w:hAnsi="Times New Roman" w:cs="Times New Roman"/>
                <w:b/>
                <w:color w:val="000000" w:themeColor="text1"/>
                <w:sz w:val="24"/>
                <w:szCs w:val="24"/>
                <w:lang w:val="sr-Cyrl-RS"/>
              </w:rPr>
              <w:t>201</w:t>
            </w:r>
            <w:r w:rsidR="00BC1E68">
              <w:rPr>
                <w:rFonts w:ascii="Times New Roman" w:eastAsia="Times New Roman" w:hAnsi="Times New Roman" w:cs="Times New Roman"/>
                <w:b/>
                <w:color w:val="000000" w:themeColor="text1"/>
                <w:sz w:val="24"/>
                <w:szCs w:val="24"/>
                <w:lang w:val="sr-Cyrl-RS"/>
              </w:rPr>
              <w:t>9</w:t>
            </w:r>
            <w:r>
              <w:rPr>
                <w:rFonts w:ascii="Times New Roman" w:eastAsia="Times New Roman" w:hAnsi="Times New Roman" w:cs="Times New Roman"/>
                <w:b/>
                <w:color w:val="000000" w:themeColor="text1"/>
                <w:sz w:val="24"/>
                <w:szCs w:val="24"/>
                <w:lang w:val="sr-Cyrl-RS"/>
              </w:rPr>
              <w:t>. 1П</w:t>
            </w:r>
          </w:p>
        </w:tc>
        <w:tc>
          <w:tcPr>
            <w:tcW w:w="2430" w:type="dxa"/>
            <w:tcBorders>
              <w:top w:val="single" w:sz="4" w:space="0" w:color="auto"/>
              <w:left w:val="nil"/>
              <w:bottom w:val="single" w:sz="4" w:space="0" w:color="auto"/>
              <w:right w:val="single" w:sz="4" w:space="0" w:color="auto"/>
            </w:tcBorders>
            <w:noWrap/>
            <w:vAlign w:val="bottom"/>
          </w:tcPr>
          <w:p w14:paraId="08EC3E00" w14:textId="77777777" w:rsidR="006D2DE7" w:rsidRPr="006D2DE7" w:rsidRDefault="00BC1E68" w:rsidP="00263B40">
            <w:pPr>
              <w:spacing w:after="0" w:line="240" w:lineRule="auto"/>
              <w:jc w:val="cente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217.277</w:t>
            </w:r>
          </w:p>
        </w:tc>
        <w:tc>
          <w:tcPr>
            <w:tcW w:w="3240" w:type="dxa"/>
            <w:tcBorders>
              <w:top w:val="single" w:sz="4" w:space="0" w:color="auto"/>
              <w:left w:val="nil"/>
              <w:bottom w:val="single" w:sz="4" w:space="0" w:color="auto"/>
              <w:right w:val="single" w:sz="4" w:space="0" w:color="auto"/>
            </w:tcBorders>
            <w:noWrap/>
            <w:vAlign w:val="center"/>
          </w:tcPr>
          <w:p w14:paraId="6A13465C" w14:textId="6ECBDE28" w:rsidR="006D2DE7" w:rsidRPr="006D2DE7" w:rsidRDefault="006D2DE7" w:rsidP="00BC1E68">
            <w:pPr>
              <w:spacing w:after="0" w:line="240" w:lineRule="auto"/>
              <w:jc w:val="cente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2.</w:t>
            </w:r>
            <w:r w:rsidR="00BC1E68">
              <w:rPr>
                <w:rFonts w:ascii="Times New Roman" w:eastAsia="Times New Roman" w:hAnsi="Times New Roman" w:cs="Times New Roman"/>
                <w:color w:val="000000" w:themeColor="text1"/>
                <w:sz w:val="24"/>
                <w:szCs w:val="24"/>
                <w:lang w:val="sr-Cyrl-RS"/>
              </w:rPr>
              <w:t>536</w:t>
            </w:r>
            <w:r>
              <w:rPr>
                <w:rFonts w:ascii="Times New Roman" w:eastAsia="Times New Roman" w:hAnsi="Times New Roman" w:cs="Times New Roman"/>
                <w:color w:val="000000" w:themeColor="text1"/>
                <w:sz w:val="24"/>
                <w:szCs w:val="24"/>
                <w:lang w:val="sr-Cyrl-RS"/>
              </w:rPr>
              <w:t>.6</w:t>
            </w:r>
            <w:r w:rsidR="00BC1E68">
              <w:rPr>
                <w:rFonts w:ascii="Times New Roman" w:eastAsia="Times New Roman" w:hAnsi="Times New Roman" w:cs="Times New Roman"/>
                <w:color w:val="000000" w:themeColor="text1"/>
                <w:sz w:val="24"/>
                <w:szCs w:val="24"/>
                <w:lang w:val="sr-Cyrl-RS"/>
              </w:rPr>
              <w:t>67,2</w:t>
            </w:r>
            <w:r w:rsidR="007C3042">
              <w:rPr>
                <w:rStyle w:val="FootnoteReference"/>
                <w:rFonts w:ascii="Times New Roman" w:eastAsia="Times New Roman" w:hAnsi="Times New Roman" w:cs="Times New Roman"/>
                <w:color w:val="000000" w:themeColor="text1"/>
                <w:sz w:val="24"/>
                <w:szCs w:val="24"/>
                <w:lang w:val="sr-Cyrl-RS"/>
              </w:rPr>
              <w:footnoteReference w:id="1"/>
            </w:r>
          </w:p>
        </w:tc>
        <w:tc>
          <w:tcPr>
            <w:tcW w:w="2790" w:type="dxa"/>
            <w:tcBorders>
              <w:top w:val="single" w:sz="4" w:space="0" w:color="auto"/>
              <w:left w:val="nil"/>
              <w:bottom w:val="single" w:sz="4" w:space="0" w:color="auto"/>
              <w:right w:val="single" w:sz="4" w:space="0" w:color="auto"/>
            </w:tcBorders>
            <w:noWrap/>
            <w:vAlign w:val="bottom"/>
          </w:tcPr>
          <w:p w14:paraId="007F38C1" w14:textId="47431DC6" w:rsidR="006D2DE7" w:rsidRPr="006D2DE7" w:rsidRDefault="001F49C7" w:rsidP="007C3042">
            <w:pPr>
              <w:spacing w:after="0" w:line="240" w:lineRule="auto"/>
              <w:jc w:val="cente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 xml:space="preserve"> </w:t>
            </w:r>
            <w:r w:rsidR="006D2DE7">
              <w:rPr>
                <w:rFonts w:ascii="Times New Roman" w:eastAsia="Times New Roman" w:hAnsi="Times New Roman" w:cs="Times New Roman"/>
                <w:color w:val="000000" w:themeColor="text1"/>
                <w:sz w:val="24"/>
                <w:szCs w:val="24"/>
                <w:lang w:val="sr-Cyrl-RS"/>
              </w:rPr>
              <w:t>8,5</w:t>
            </w:r>
            <w:r w:rsidR="00BC1E68">
              <w:rPr>
                <w:rFonts w:ascii="Times New Roman" w:eastAsia="Times New Roman" w:hAnsi="Times New Roman" w:cs="Times New Roman"/>
                <w:color w:val="000000" w:themeColor="text1"/>
                <w:sz w:val="24"/>
                <w:szCs w:val="24"/>
                <w:lang w:val="sr-Cyrl-RS"/>
              </w:rPr>
              <w:t>7</w:t>
            </w:r>
          </w:p>
        </w:tc>
      </w:tr>
    </w:tbl>
    <w:p w14:paraId="3C488DDC" w14:textId="77777777" w:rsidR="0081466B" w:rsidRPr="006D2DE7" w:rsidRDefault="006D2DE7" w:rsidP="006D2DE7">
      <w:pPr>
        <w:jc w:val="both"/>
        <w:rPr>
          <w:rFonts w:ascii="Times New Roman" w:hAnsi="Times New Roman" w:cs="Times New Roman"/>
          <w:color w:val="000000" w:themeColor="text1"/>
          <w:sz w:val="24"/>
          <w:szCs w:val="24"/>
          <w:lang w:val="sr-Cyrl-RS"/>
        </w:rPr>
      </w:pPr>
      <w:r w:rsidRPr="006D2DE7">
        <w:rPr>
          <w:rFonts w:ascii="Times New Roman" w:hAnsi="Times New Roman" w:cs="Times New Roman"/>
          <w:color w:val="000000" w:themeColor="text1"/>
          <w:sz w:val="24"/>
          <w:szCs w:val="24"/>
          <w:lang w:val="sr-Cyrl-RS"/>
        </w:rPr>
        <w:t>*вредности су изражене у милионима динара</w:t>
      </w:r>
    </w:p>
    <w:p w14:paraId="46771045" w14:textId="77777777" w:rsidR="0081466B" w:rsidRDefault="004F0DED">
      <w:pPr>
        <w:jc w:val="both"/>
        <w:rPr>
          <w:rFonts w:ascii="Times New Roman" w:eastAsia="Times New Roman" w:hAnsi="Times New Roman" w:cs="Times New Roman"/>
          <w:color w:val="000000" w:themeColor="text1"/>
          <w:sz w:val="24"/>
          <w:szCs w:val="24"/>
        </w:rPr>
      </w:pPr>
      <w:r w:rsidRPr="00B9265B">
        <w:rPr>
          <w:rFonts w:ascii="Times New Roman" w:eastAsia="Times New Roman" w:hAnsi="Times New Roman" w:cs="Times New Roman"/>
          <w:color w:val="000000" w:themeColor="text1"/>
          <w:sz w:val="24"/>
          <w:szCs w:val="24"/>
        </w:rPr>
        <w:lastRenderedPageBreak/>
        <w:t>Учешће набавки мале вредности у укупној вреднос</w:t>
      </w:r>
      <w:r w:rsidR="007D3B8C">
        <w:rPr>
          <w:rFonts w:ascii="Times New Roman" w:eastAsia="Times New Roman" w:hAnsi="Times New Roman" w:cs="Times New Roman"/>
          <w:color w:val="000000" w:themeColor="text1"/>
          <w:sz w:val="24"/>
          <w:szCs w:val="24"/>
        </w:rPr>
        <w:t>ти јавних набавки износило је 10% у првом полугодишту 2019</w:t>
      </w:r>
      <w:r w:rsidRPr="00B9265B">
        <w:rPr>
          <w:rFonts w:ascii="Times New Roman" w:eastAsia="Times New Roman" w:hAnsi="Times New Roman" w:cs="Times New Roman"/>
          <w:color w:val="000000" w:themeColor="text1"/>
          <w:sz w:val="24"/>
          <w:szCs w:val="24"/>
        </w:rPr>
        <w:t>. године (Слика 1) што представља малу промену у односу на исти период претходне године када је и</w:t>
      </w:r>
      <w:r w:rsidR="007D3B8C">
        <w:rPr>
          <w:rFonts w:ascii="Times New Roman" w:eastAsia="Times New Roman" w:hAnsi="Times New Roman" w:cs="Times New Roman"/>
          <w:color w:val="000000" w:themeColor="text1"/>
          <w:sz w:val="24"/>
          <w:szCs w:val="24"/>
        </w:rPr>
        <w:t>зносило 12</w:t>
      </w:r>
      <w:r w:rsidRPr="00B9265B">
        <w:rPr>
          <w:rFonts w:ascii="Times New Roman" w:eastAsia="Times New Roman" w:hAnsi="Times New Roman" w:cs="Times New Roman"/>
          <w:color w:val="000000" w:themeColor="text1"/>
          <w:sz w:val="24"/>
          <w:szCs w:val="24"/>
        </w:rPr>
        <w:t xml:space="preserve">%. </w:t>
      </w:r>
    </w:p>
    <w:p w14:paraId="60B7F30B" w14:textId="77777777" w:rsidR="006607C1" w:rsidRPr="006607C1" w:rsidRDefault="006607C1" w:rsidP="006607C1">
      <w:pPr>
        <w:spacing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 xml:space="preserve">    </w:t>
      </w:r>
      <w:r w:rsidRPr="007C3042">
        <w:rPr>
          <w:rFonts w:ascii="Times New Roman" w:eastAsia="Times New Roman" w:hAnsi="Times New Roman" w:cs="Times New Roman"/>
          <w:color w:val="auto"/>
          <w:sz w:val="24"/>
          <w:szCs w:val="24"/>
          <w:lang w:val="sr-Cyrl-RS"/>
        </w:rPr>
        <w:t>Слика 1</w:t>
      </w:r>
    </w:p>
    <w:p w14:paraId="0BF3CDE2" w14:textId="77777777" w:rsidR="0081466B" w:rsidRPr="006607C1" w:rsidRDefault="00F37083" w:rsidP="006607C1">
      <w:pPr>
        <w:jc w:val="center"/>
        <w:rPr>
          <w:rFonts w:ascii="Times New Roman" w:eastAsia="Times New Roman" w:hAnsi="Times New Roman" w:cs="Times New Roman"/>
          <w:color w:val="000000" w:themeColor="text1"/>
          <w:sz w:val="24"/>
          <w:szCs w:val="24"/>
          <w:lang w:val="sr-Cyrl-RS"/>
        </w:rPr>
      </w:pPr>
      <w:r>
        <w:rPr>
          <w:noProof/>
          <w:lang w:val="sr-Cyrl-RS" w:eastAsia="sr-Cyrl-RS"/>
        </w:rPr>
        <w:drawing>
          <wp:inline distT="0" distB="0" distL="0" distR="0" wp14:anchorId="61136416" wp14:editId="4816D1FC">
            <wp:extent cx="5479200" cy="3409200"/>
            <wp:effectExtent l="0" t="0" r="7620" b="127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2E0542" w14:textId="77777777" w:rsidR="003C0C42" w:rsidRDefault="003C0C42" w:rsidP="003C0C42">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CS"/>
        </w:rPr>
        <w:t xml:space="preserve">вредносној </w:t>
      </w:r>
      <w:r>
        <w:rPr>
          <w:rFonts w:ascii="Times New Roman" w:eastAsia="Times New Roman" w:hAnsi="Times New Roman" w:cs="Times New Roman"/>
          <w:sz w:val="24"/>
          <w:szCs w:val="24"/>
        </w:rPr>
        <w:t>структури јавних набавки, посматрано по</w:t>
      </w:r>
      <w:r>
        <w:rPr>
          <w:rFonts w:ascii="Times New Roman" w:eastAsia="Times New Roman" w:hAnsi="Times New Roman" w:cs="Times New Roman"/>
          <w:sz w:val="24"/>
          <w:szCs w:val="24"/>
          <w:lang w:val="sr-Cyrl-CS"/>
        </w:rPr>
        <w:t xml:space="preserve"> предмету </w:t>
      </w:r>
      <w:r w:rsidR="001A4BA9">
        <w:rPr>
          <w:rFonts w:ascii="Times New Roman" w:eastAsia="Times New Roman" w:hAnsi="Times New Roman" w:cs="Times New Roman"/>
          <w:sz w:val="24"/>
          <w:szCs w:val="24"/>
          <w:lang w:val="sr-Cyrl-CS"/>
        </w:rPr>
        <w:t>набавке, преовлађују добра са 58</w:t>
      </w:r>
      <w:r>
        <w:rPr>
          <w:rFonts w:ascii="Times New Roman" w:eastAsia="Times New Roman" w:hAnsi="Times New Roman" w:cs="Times New Roman"/>
          <w:sz w:val="24"/>
          <w:szCs w:val="24"/>
          <w:lang w:val="sr-Cyrl-CS"/>
        </w:rPr>
        <w:t>% учешћа у укупној вре</w:t>
      </w:r>
      <w:r w:rsidR="001A4BA9">
        <w:rPr>
          <w:rFonts w:ascii="Times New Roman" w:eastAsia="Times New Roman" w:hAnsi="Times New Roman" w:cs="Times New Roman"/>
          <w:sz w:val="24"/>
          <w:szCs w:val="24"/>
          <w:lang w:val="sr-Cyrl-CS"/>
        </w:rPr>
        <w:t>дности, потом следе радови са 20% и услуге са 22</w:t>
      </w:r>
      <w:r>
        <w:rPr>
          <w:rFonts w:ascii="Times New Roman" w:eastAsia="Times New Roman" w:hAnsi="Times New Roman" w:cs="Times New Roman"/>
          <w:sz w:val="24"/>
          <w:szCs w:val="24"/>
          <w:lang w:val="sr-Cyrl-CS"/>
        </w:rPr>
        <w:t>%</w:t>
      </w:r>
      <w:r w:rsidR="00FB0C6C">
        <w:rPr>
          <w:rFonts w:ascii="Times New Roman" w:eastAsia="Times New Roman" w:hAnsi="Times New Roman" w:cs="Times New Roman"/>
          <w:sz w:val="24"/>
          <w:szCs w:val="24"/>
          <w:lang w:val="sr-Latn-RS"/>
        </w:rPr>
        <w:t>,</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док 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бројчаној  </w:t>
      </w:r>
      <w:r>
        <w:rPr>
          <w:rFonts w:ascii="Times New Roman" w:eastAsia="Times New Roman" w:hAnsi="Times New Roman" w:cs="Times New Roman"/>
          <w:sz w:val="24"/>
          <w:szCs w:val="24"/>
        </w:rPr>
        <w:t>структури, посматрано по</w:t>
      </w:r>
      <w:r>
        <w:rPr>
          <w:rFonts w:ascii="Times New Roman" w:eastAsia="Times New Roman" w:hAnsi="Times New Roman" w:cs="Times New Roman"/>
          <w:sz w:val="24"/>
          <w:szCs w:val="24"/>
          <w:lang w:val="sr-Cyrl-CS"/>
        </w:rPr>
        <w:t xml:space="preserve"> предмету набав</w:t>
      </w:r>
      <w:r w:rsidR="001A4BA9">
        <w:rPr>
          <w:rFonts w:ascii="Times New Roman" w:eastAsia="Times New Roman" w:hAnsi="Times New Roman" w:cs="Times New Roman"/>
          <w:sz w:val="24"/>
          <w:szCs w:val="24"/>
          <w:lang w:val="sr-Cyrl-CS"/>
        </w:rPr>
        <w:t>ке, преовлађују добра са 63</w:t>
      </w:r>
      <w:r>
        <w:rPr>
          <w:rFonts w:ascii="Times New Roman" w:eastAsia="Times New Roman" w:hAnsi="Times New Roman" w:cs="Times New Roman"/>
          <w:sz w:val="24"/>
          <w:szCs w:val="24"/>
          <w:lang w:val="sr-Cyrl-CS"/>
        </w:rPr>
        <w:t>% учешћа у укупној вре</w:t>
      </w:r>
      <w:r w:rsidR="001A4BA9">
        <w:rPr>
          <w:rFonts w:ascii="Times New Roman" w:eastAsia="Times New Roman" w:hAnsi="Times New Roman" w:cs="Times New Roman"/>
          <w:sz w:val="24"/>
          <w:szCs w:val="24"/>
          <w:lang w:val="sr-Cyrl-CS"/>
        </w:rPr>
        <w:t xml:space="preserve">дности, потом следе услуге са 29% и радови </w:t>
      </w:r>
      <w:r>
        <w:rPr>
          <w:rFonts w:ascii="Times New Roman" w:eastAsia="Times New Roman" w:hAnsi="Times New Roman" w:cs="Times New Roman"/>
          <w:sz w:val="24"/>
          <w:szCs w:val="24"/>
          <w:lang w:val="sr-Cyrl-CS"/>
        </w:rPr>
        <w:t>са 8%</w:t>
      </w:r>
      <w:r>
        <w:rPr>
          <w:rFonts w:ascii="Times New Roman" w:eastAsia="Times New Roman" w:hAnsi="Times New Roman" w:cs="Times New Roman"/>
          <w:sz w:val="24"/>
          <w:szCs w:val="24"/>
          <w:lang w:val="en-GB"/>
        </w:rPr>
        <w:t xml:space="preserve"> </w:t>
      </w:r>
      <w:r w:rsidR="001A4BA9">
        <w:rPr>
          <w:rFonts w:ascii="Times New Roman" w:eastAsia="Times New Roman" w:hAnsi="Times New Roman" w:cs="Times New Roman"/>
          <w:sz w:val="24"/>
          <w:szCs w:val="24"/>
          <w:lang w:val="sr-Cyrl-CS"/>
        </w:rPr>
        <w:t>(Табела 3</w:t>
      </w:r>
      <w:r>
        <w:rPr>
          <w:rFonts w:ascii="Times New Roman" w:eastAsia="Times New Roman" w:hAnsi="Times New Roman" w:cs="Times New Roman"/>
          <w:sz w:val="24"/>
          <w:szCs w:val="24"/>
          <w:lang w:val="en-GB"/>
        </w:rPr>
        <w:t>,</w:t>
      </w:r>
      <w:r w:rsidR="001A4BA9">
        <w:rPr>
          <w:rFonts w:ascii="Times New Roman" w:eastAsia="Times New Roman" w:hAnsi="Times New Roman" w:cs="Times New Roman"/>
          <w:sz w:val="24"/>
          <w:szCs w:val="24"/>
          <w:lang w:val="sr-Cyrl-CS"/>
        </w:rPr>
        <w:t xml:space="preserve"> Слика 2, Слика 3</w:t>
      </w:r>
      <w:r>
        <w:rPr>
          <w:rFonts w:ascii="Times New Roman" w:eastAsia="Times New Roman" w:hAnsi="Times New Roman" w:cs="Times New Roman"/>
          <w:sz w:val="24"/>
          <w:szCs w:val="24"/>
          <w:lang w:val="sr-Cyrl-CS"/>
        </w:rPr>
        <w:t>).</w:t>
      </w:r>
    </w:p>
    <w:p w14:paraId="378C8A9F" w14:textId="77777777" w:rsidR="003C0C42" w:rsidRDefault="003C0C42" w:rsidP="003C0C42">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Pr="007C3042">
        <w:rPr>
          <w:rFonts w:ascii="Times New Roman" w:eastAsia="Times New Roman" w:hAnsi="Times New Roman" w:cs="Times New Roman"/>
          <w:b/>
          <w:color w:val="auto"/>
          <w:sz w:val="24"/>
          <w:szCs w:val="24"/>
          <w:lang w:val="sr-Cyrl-CS"/>
        </w:rPr>
        <w:t xml:space="preserve">Табела </w:t>
      </w:r>
      <w:r w:rsidR="00BC1E68" w:rsidRPr="007C3042">
        <w:rPr>
          <w:rFonts w:ascii="Times New Roman" w:eastAsia="Times New Roman" w:hAnsi="Times New Roman" w:cs="Times New Roman"/>
          <w:b/>
          <w:color w:val="auto"/>
          <w:sz w:val="24"/>
          <w:szCs w:val="24"/>
          <w:lang w:val="sr-Cyrl-CS"/>
        </w:rPr>
        <w:t>3</w:t>
      </w:r>
    </w:p>
    <w:tbl>
      <w:tblPr>
        <w:tblStyle w:val="TableGrid"/>
        <w:tblW w:w="0" w:type="auto"/>
        <w:tblLook w:val="04A0" w:firstRow="1" w:lastRow="0" w:firstColumn="1" w:lastColumn="0" w:noHBand="0" w:noVBand="1"/>
      </w:tblPr>
      <w:tblGrid>
        <w:gridCol w:w="3005"/>
        <w:gridCol w:w="3005"/>
        <w:gridCol w:w="3006"/>
      </w:tblGrid>
      <w:tr w:rsidR="003C0C42" w14:paraId="500D05BB" w14:textId="77777777" w:rsidTr="005F361E">
        <w:tc>
          <w:tcPr>
            <w:tcW w:w="3005" w:type="dxa"/>
          </w:tcPr>
          <w:p w14:paraId="25AEC0D8" w14:textId="77777777" w:rsidR="003C0C42" w:rsidRDefault="003C0C42" w:rsidP="005F361E">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Предмет набавке</w:t>
            </w:r>
          </w:p>
        </w:tc>
        <w:tc>
          <w:tcPr>
            <w:tcW w:w="3005" w:type="dxa"/>
          </w:tcPr>
          <w:p w14:paraId="3C28D218" w14:textId="77777777" w:rsidR="003C0C42" w:rsidRDefault="003C0C42" w:rsidP="005F361E">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Број набавки </w:t>
            </w:r>
          </w:p>
        </w:tc>
        <w:tc>
          <w:tcPr>
            <w:tcW w:w="3006" w:type="dxa"/>
          </w:tcPr>
          <w:p w14:paraId="0510C255" w14:textId="77777777" w:rsidR="003C0C42" w:rsidRDefault="003C0C42" w:rsidP="005F361E">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Уговорена вредност </w:t>
            </w:r>
          </w:p>
          <w:p w14:paraId="6EFBE1A9" w14:textId="77777777" w:rsidR="003C0C42" w:rsidRDefault="003C0C42" w:rsidP="005F361E">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(у хиљадама динара)</w:t>
            </w:r>
          </w:p>
        </w:tc>
      </w:tr>
      <w:tr w:rsidR="003C0C42" w14:paraId="39CB0E83" w14:textId="77777777" w:rsidTr="005F361E">
        <w:tc>
          <w:tcPr>
            <w:tcW w:w="3005" w:type="dxa"/>
          </w:tcPr>
          <w:p w14:paraId="1EA1C229" w14:textId="77777777" w:rsidR="003C0C42" w:rsidRDefault="003C0C42" w:rsidP="005F361E">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добра</w:t>
            </w:r>
          </w:p>
        </w:tc>
        <w:tc>
          <w:tcPr>
            <w:tcW w:w="3005" w:type="dxa"/>
          </w:tcPr>
          <w:p w14:paraId="3EA24F99" w14:textId="77777777" w:rsidR="003C0C42" w:rsidRPr="00CA42EA" w:rsidRDefault="00BC1E68" w:rsidP="005F361E">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38.757</w:t>
            </w:r>
          </w:p>
        </w:tc>
        <w:tc>
          <w:tcPr>
            <w:tcW w:w="3006" w:type="dxa"/>
          </w:tcPr>
          <w:p w14:paraId="73D47CF7" w14:textId="77777777" w:rsidR="003C0C42" w:rsidRPr="00CA42EA" w:rsidRDefault="00533755" w:rsidP="005F361E">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125.291.333</w:t>
            </w:r>
          </w:p>
        </w:tc>
      </w:tr>
      <w:tr w:rsidR="003C0C42" w14:paraId="61F57DCF" w14:textId="77777777" w:rsidTr="005F361E">
        <w:tc>
          <w:tcPr>
            <w:tcW w:w="3005" w:type="dxa"/>
          </w:tcPr>
          <w:p w14:paraId="3DF877F4" w14:textId="77777777" w:rsidR="003C0C42" w:rsidRDefault="003C0C42" w:rsidP="005F361E">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услуге </w:t>
            </w:r>
          </w:p>
        </w:tc>
        <w:tc>
          <w:tcPr>
            <w:tcW w:w="3005" w:type="dxa"/>
          </w:tcPr>
          <w:p w14:paraId="001EA69C" w14:textId="77777777" w:rsidR="003C0C42" w:rsidRPr="00CA42EA" w:rsidRDefault="00BC1E68" w:rsidP="005F361E">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17.619</w:t>
            </w:r>
          </w:p>
        </w:tc>
        <w:tc>
          <w:tcPr>
            <w:tcW w:w="3006" w:type="dxa"/>
          </w:tcPr>
          <w:p w14:paraId="32EA4F6B" w14:textId="77777777" w:rsidR="003C0C42" w:rsidRPr="00CA42EA" w:rsidRDefault="00533755" w:rsidP="005F361E">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48.332.005</w:t>
            </w:r>
          </w:p>
        </w:tc>
      </w:tr>
      <w:tr w:rsidR="003C0C42" w14:paraId="419F8A81" w14:textId="77777777" w:rsidTr="005F361E">
        <w:tc>
          <w:tcPr>
            <w:tcW w:w="3005" w:type="dxa"/>
          </w:tcPr>
          <w:p w14:paraId="21E8506F" w14:textId="77777777" w:rsidR="003C0C42" w:rsidRDefault="003C0C42" w:rsidP="005F361E">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радови</w:t>
            </w:r>
          </w:p>
        </w:tc>
        <w:tc>
          <w:tcPr>
            <w:tcW w:w="3005" w:type="dxa"/>
            <w:tcBorders>
              <w:bottom w:val="single" w:sz="4" w:space="0" w:color="auto"/>
            </w:tcBorders>
          </w:tcPr>
          <w:p w14:paraId="68626AD1" w14:textId="77777777" w:rsidR="003C0C42" w:rsidRPr="00CA42EA" w:rsidRDefault="003C0C42" w:rsidP="00BC1E68">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w:t>
            </w:r>
            <w:r w:rsidR="00BC1E68">
              <w:rPr>
                <w:rFonts w:ascii="Times New Roman" w:eastAsia="Times New Roman" w:hAnsi="Times New Roman" w:cs="Times New Roman"/>
                <w:sz w:val="24"/>
                <w:szCs w:val="24"/>
                <w:lang w:val="sr-Cyrl-CS"/>
              </w:rPr>
              <w:t>320</w:t>
            </w:r>
          </w:p>
        </w:tc>
        <w:tc>
          <w:tcPr>
            <w:tcW w:w="3006" w:type="dxa"/>
            <w:tcBorders>
              <w:bottom w:val="single" w:sz="4" w:space="0" w:color="auto"/>
            </w:tcBorders>
          </w:tcPr>
          <w:p w14:paraId="22A8D27B" w14:textId="77777777" w:rsidR="003C0C42" w:rsidRPr="00CA42EA" w:rsidRDefault="00533755" w:rsidP="005F361E">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43.653.381</w:t>
            </w:r>
          </w:p>
        </w:tc>
      </w:tr>
      <w:tr w:rsidR="003C0C42" w14:paraId="4614D39D" w14:textId="77777777" w:rsidTr="005F361E">
        <w:tc>
          <w:tcPr>
            <w:tcW w:w="3005" w:type="dxa"/>
          </w:tcPr>
          <w:p w14:paraId="20915E31" w14:textId="77777777" w:rsidR="003C0C42" w:rsidRDefault="003C0C42" w:rsidP="005F361E">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укупно</w:t>
            </w:r>
          </w:p>
        </w:tc>
        <w:tc>
          <w:tcPr>
            <w:tcW w:w="3005" w:type="dxa"/>
            <w:tcBorders>
              <w:top w:val="single" w:sz="4" w:space="0" w:color="auto"/>
              <w:left w:val="nil"/>
              <w:bottom w:val="single" w:sz="4" w:space="0" w:color="auto"/>
              <w:right w:val="single" w:sz="4" w:space="0" w:color="auto"/>
            </w:tcBorders>
            <w:shd w:val="clear" w:color="auto" w:fill="auto"/>
            <w:vAlign w:val="bottom"/>
          </w:tcPr>
          <w:p w14:paraId="03D743CA" w14:textId="77777777" w:rsidR="003C0C42" w:rsidRPr="00BC1E68" w:rsidRDefault="003C0C42" w:rsidP="00BC1E68">
            <w:pPr>
              <w:jc w:val="center"/>
              <w:rPr>
                <w:rFonts w:ascii="Times New Roman" w:eastAsia="Times New Roman" w:hAnsi="Times New Roman" w:cs="Times New Roman"/>
                <w:b/>
                <w:sz w:val="24"/>
                <w:szCs w:val="24"/>
                <w:lang w:val="sr-Cyrl-RS"/>
              </w:rPr>
            </w:pPr>
            <w:r w:rsidRPr="00BD4536">
              <w:rPr>
                <w:rFonts w:ascii="Times New Roman" w:hAnsi="Times New Roman" w:cs="Times New Roman"/>
                <w:b/>
                <w:sz w:val="24"/>
                <w:szCs w:val="24"/>
              </w:rPr>
              <w:t>60.</w:t>
            </w:r>
            <w:r w:rsidR="00BC1E68">
              <w:rPr>
                <w:rFonts w:ascii="Times New Roman" w:hAnsi="Times New Roman" w:cs="Times New Roman"/>
                <w:b/>
                <w:sz w:val="24"/>
                <w:szCs w:val="24"/>
                <w:lang w:val="sr-Cyrl-RS"/>
              </w:rPr>
              <w:t>696</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bottom"/>
          </w:tcPr>
          <w:p w14:paraId="74504285" w14:textId="77777777" w:rsidR="003C0C42" w:rsidRPr="00533755" w:rsidRDefault="00533755" w:rsidP="005F361E">
            <w:pPr>
              <w:jc w:val="center"/>
              <w:rPr>
                <w:rFonts w:ascii="Times New Roman" w:eastAsia="Times New Roman" w:hAnsi="Times New Roman" w:cs="Times New Roman"/>
                <w:b/>
                <w:sz w:val="24"/>
                <w:szCs w:val="24"/>
                <w:lang w:val="sr-Cyrl-RS"/>
              </w:rPr>
            </w:pPr>
            <w:r>
              <w:rPr>
                <w:rFonts w:ascii="Times New Roman" w:hAnsi="Times New Roman" w:cs="Times New Roman"/>
                <w:b/>
                <w:sz w:val="24"/>
                <w:szCs w:val="24"/>
                <w:lang w:val="sr-Cyrl-RS"/>
              </w:rPr>
              <w:t>217.276.719</w:t>
            </w:r>
          </w:p>
        </w:tc>
      </w:tr>
    </w:tbl>
    <w:p w14:paraId="28070C12" w14:textId="77777777" w:rsidR="003C0C42" w:rsidRPr="00F04004" w:rsidRDefault="003C0C42" w:rsidP="003C0C42">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sr-Cyrl-CS"/>
        </w:rPr>
        <w:t xml:space="preserve">         </w:t>
      </w:r>
    </w:p>
    <w:p w14:paraId="3166E6CE" w14:textId="77777777" w:rsidR="006607C1" w:rsidRDefault="006607C1" w:rsidP="003C0C42">
      <w:pPr>
        <w:jc w:val="both"/>
        <w:rPr>
          <w:rFonts w:ascii="Times New Roman" w:eastAsia="Times New Roman" w:hAnsi="Times New Roman" w:cs="Times New Roman"/>
          <w:sz w:val="24"/>
          <w:szCs w:val="24"/>
          <w:lang w:val="sr-Cyrl-CS"/>
        </w:rPr>
      </w:pPr>
    </w:p>
    <w:p w14:paraId="53B145A0" w14:textId="77777777" w:rsidR="006607C1" w:rsidRDefault="006607C1" w:rsidP="006607C1">
      <w:pPr>
        <w:spacing w:line="240" w:lineRule="auto"/>
        <w:jc w:val="both"/>
        <w:rPr>
          <w:rFonts w:ascii="Times New Roman" w:eastAsia="Times New Roman" w:hAnsi="Times New Roman" w:cs="Times New Roman"/>
          <w:sz w:val="24"/>
          <w:szCs w:val="24"/>
          <w:lang w:val="sr-Cyrl-CS"/>
        </w:rPr>
      </w:pPr>
    </w:p>
    <w:p w14:paraId="52C8EE54" w14:textId="77777777" w:rsidR="003C0C42" w:rsidRPr="00B87CE4" w:rsidRDefault="006607C1" w:rsidP="006607C1">
      <w:pPr>
        <w:spacing w:line="240" w:lineRule="auto"/>
        <w:jc w:val="both"/>
        <w:rPr>
          <w:rFonts w:ascii="Times New Roman" w:eastAsia="Times New Roman" w:hAnsi="Times New Roman" w:cs="Times New Roman"/>
          <w:b/>
          <w:color w:val="FF0000"/>
          <w:sz w:val="24"/>
          <w:szCs w:val="24"/>
          <w:lang w:val="sr-Cyrl-CS"/>
        </w:rPr>
      </w:pPr>
      <w:r w:rsidRPr="00B87CE4">
        <w:rPr>
          <w:rFonts w:ascii="Times New Roman" w:eastAsia="Times New Roman" w:hAnsi="Times New Roman" w:cs="Times New Roman"/>
          <w:b/>
          <w:color w:val="FF0000"/>
          <w:sz w:val="24"/>
          <w:szCs w:val="24"/>
          <w:lang w:val="sr-Cyrl-CS"/>
        </w:rPr>
        <w:lastRenderedPageBreak/>
        <w:t xml:space="preserve">   </w:t>
      </w:r>
      <w:r w:rsidRPr="007C3042">
        <w:rPr>
          <w:rFonts w:ascii="Times New Roman" w:eastAsia="Times New Roman" w:hAnsi="Times New Roman" w:cs="Times New Roman"/>
          <w:b/>
          <w:color w:val="auto"/>
          <w:sz w:val="24"/>
          <w:szCs w:val="24"/>
          <w:lang w:val="sr-Cyrl-CS"/>
        </w:rPr>
        <w:t>Слика 2</w:t>
      </w:r>
    </w:p>
    <w:p w14:paraId="016BF93E" w14:textId="77777777" w:rsidR="00F37083" w:rsidRPr="00E641B7" w:rsidRDefault="00F37083" w:rsidP="006607C1">
      <w:pPr>
        <w:jc w:val="center"/>
        <w:rPr>
          <w:rFonts w:ascii="Times New Roman" w:eastAsia="Times New Roman" w:hAnsi="Times New Roman" w:cs="Times New Roman"/>
          <w:b/>
          <w:sz w:val="24"/>
          <w:szCs w:val="24"/>
          <w:lang w:val="sr-Cyrl-CS"/>
        </w:rPr>
      </w:pPr>
      <w:r>
        <w:rPr>
          <w:noProof/>
          <w:lang w:val="sr-Cyrl-RS" w:eastAsia="sr-Cyrl-RS"/>
        </w:rPr>
        <w:drawing>
          <wp:inline distT="0" distB="0" distL="0" distR="0" wp14:anchorId="7ACF2F76" wp14:editId="2371E039">
            <wp:extent cx="5479200" cy="3409200"/>
            <wp:effectExtent l="0" t="0" r="7620" b="127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456224" w14:textId="77777777" w:rsidR="003C0C42" w:rsidRDefault="003C0C42" w:rsidP="00F37083">
      <w:pPr>
        <w:jc w:val="center"/>
        <w:rPr>
          <w:rFonts w:ascii="Times New Roman" w:eastAsia="Times New Roman" w:hAnsi="Times New Roman" w:cs="Times New Roman"/>
          <w:sz w:val="24"/>
          <w:szCs w:val="24"/>
          <w:lang w:val="sr-Cyrl-RS"/>
        </w:rPr>
      </w:pPr>
    </w:p>
    <w:p w14:paraId="4ED2D5C5" w14:textId="77777777" w:rsidR="003C0C42" w:rsidRPr="00CB40AB" w:rsidRDefault="006607C1" w:rsidP="006607C1">
      <w:pPr>
        <w:spacing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 xml:space="preserve">   </w:t>
      </w:r>
      <w:r w:rsidRPr="007C3042">
        <w:rPr>
          <w:rFonts w:ascii="Times New Roman" w:eastAsia="Times New Roman" w:hAnsi="Times New Roman" w:cs="Times New Roman"/>
          <w:b/>
          <w:color w:val="auto"/>
          <w:sz w:val="24"/>
          <w:szCs w:val="24"/>
          <w:lang w:val="sr-Cyrl-RS"/>
        </w:rPr>
        <w:t>Слика 3</w:t>
      </w:r>
    </w:p>
    <w:p w14:paraId="095FD1FB" w14:textId="77777777" w:rsidR="003C0C42" w:rsidRPr="00CB40AB" w:rsidRDefault="006607C1" w:rsidP="003C0C42">
      <w:pPr>
        <w:jc w:val="center"/>
        <w:rPr>
          <w:rFonts w:ascii="Times New Roman" w:eastAsia="Times New Roman" w:hAnsi="Times New Roman" w:cs="Times New Roman"/>
          <w:sz w:val="24"/>
          <w:szCs w:val="24"/>
          <w:lang w:val="sr-Cyrl-RS"/>
        </w:rPr>
      </w:pPr>
      <w:r>
        <w:rPr>
          <w:noProof/>
          <w:lang w:val="sr-Cyrl-RS" w:eastAsia="sr-Cyrl-RS"/>
        </w:rPr>
        <w:drawing>
          <wp:inline distT="0" distB="0" distL="0" distR="0" wp14:anchorId="75A248E3" wp14:editId="79C3E29F">
            <wp:extent cx="5479200" cy="3409200"/>
            <wp:effectExtent l="0" t="0" r="7620" b="127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25F5F4" w14:textId="21E80952" w:rsidR="0081466B" w:rsidRPr="00C15A1F" w:rsidRDefault="004F0DED">
      <w:pPr>
        <w:jc w:val="both"/>
        <w:rPr>
          <w:lang w:val="sr-Cyrl-RS"/>
        </w:rPr>
      </w:pPr>
      <w:r>
        <w:rPr>
          <w:rFonts w:ascii="Times New Roman" w:eastAsia="Times New Roman" w:hAnsi="Times New Roman" w:cs="Times New Roman"/>
          <w:sz w:val="24"/>
          <w:szCs w:val="24"/>
        </w:rPr>
        <w:lastRenderedPageBreak/>
        <w:t>У структури јавних набавки, посмат</w:t>
      </w:r>
      <w:r w:rsidR="00003594">
        <w:rPr>
          <w:rFonts w:ascii="Times New Roman" w:eastAsia="Times New Roman" w:hAnsi="Times New Roman" w:cs="Times New Roman"/>
          <w:sz w:val="24"/>
          <w:szCs w:val="24"/>
        </w:rPr>
        <w:t>рано по категоријама наручилаца</w:t>
      </w:r>
      <w:r w:rsidR="005F4712">
        <w:rPr>
          <w:rFonts w:ascii="Times New Roman" w:eastAsia="Times New Roman" w:hAnsi="Times New Roman" w:cs="Times New Roman"/>
          <w:sz w:val="24"/>
          <w:szCs w:val="24"/>
          <w:lang w:val="sr-Latn-RS"/>
        </w:rPr>
        <w:t xml:space="preserve"> </w:t>
      </w:r>
      <w:r w:rsidR="00003594">
        <w:rPr>
          <w:rFonts w:ascii="Times New Roman" w:eastAsia="Times New Roman" w:hAnsi="Times New Roman" w:cs="Times New Roman"/>
          <w:sz w:val="24"/>
          <w:szCs w:val="24"/>
          <w:lang w:val="sr-Cyrl-CS"/>
        </w:rPr>
        <w:t xml:space="preserve">дошло је до значајнијих </w:t>
      </w:r>
      <w:r w:rsidR="009C0CD1">
        <w:rPr>
          <w:rFonts w:ascii="Times New Roman" w:eastAsia="Times New Roman" w:hAnsi="Times New Roman" w:cs="Times New Roman"/>
          <w:sz w:val="24"/>
          <w:szCs w:val="24"/>
        </w:rPr>
        <w:t xml:space="preserve">промена у првом полугодишту </w:t>
      </w:r>
      <w:r w:rsidR="009C0CD1" w:rsidRPr="00B9265B">
        <w:rPr>
          <w:rFonts w:ascii="Times New Roman" w:eastAsia="Times New Roman" w:hAnsi="Times New Roman" w:cs="Times New Roman"/>
          <w:color w:val="000000" w:themeColor="text1"/>
          <w:sz w:val="24"/>
          <w:szCs w:val="24"/>
        </w:rPr>
        <w:t>201</w:t>
      </w:r>
      <w:r w:rsidR="00DF5A45">
        <w:rPr>
          <w:rFonts w:ascii="Times New Roman" w:eastAsia="Times New Roman" w:hAnsi="Times New Roman" w:cs="Times New Roman"/>
          <w:color w:val="000000" w:themeColor="text1"/>
          <w:sz w:val="24"/>
          <w:szCs w:val="24"/>
          <w:lang w:val="en-US"/>
        </w:rPr>
        <w:t>9</w:t>
      </w:r>
      <w:r w:rsidR="009C0CD1" w:rsidRPr="00B9265B">
        <w:rPr>
          <w:rFonts w:ascii="Times New Roman" w:eastAsia="Times New Roman" w:hAnsi="Times New Roman" w:cs="Times New Roman"/>
          <w:color w:val="000000" w:themeColor="text1"/>
          <w:sz w:val="24"/>
          <w:szCs w:val="24"/>
        </w:rPr>
        <w:t>.</w:t>
      </w:r>
      <w:r w:rsidR="009969DA">
        <w:rPr>
          <w:rFonts w:ascii="Times New Roman" w:eastAsia="Times New Roman" w:hAnsi="Times New Roman" w:cs="Times New Roman"/>
          <w:color w:val="000000" w:themeColor="text1"/>
          <w:sz w:val="24"/>
          <w:szCs w:val="24"/>
          <w:lang w:val="sr-Cyrl-RS"/>
        </w:rPr>
        <w:t xml:space="preserve"> године</w:t>
      </w:r>
      <w:r w:rsidR="009C0CD1" w:rsidRPr="00B9265B">
        <w:rPr>
          <w:rFonts w:ascii="Times New Roman" w:eastAsia="Times New Roman" w:hAnsi="Times New Roman" w:cs="Times New Roman"/>
          <w:color w:val="000000" w:themeColor="text1"/>
          <w:sz w:val="24"/>
          <w:szCs w:val="24"/>
        </w:rPr>
        <w:t xml:space="preserve"> у односу на исти период 201</w:t>
      </w:r>
      <w:r w:rsidR="00DF5A45">
        <w:rPr>
          <w:rFonts w:ascii="Times New Roman" w:eastAsia="Times New Roman" w:hAnsi="Times New Roman" w:cs="Times New Roman"/>
          <w:color w:val="000000" w:themeColor="text1"/>
          <w:sz w:val="24"/>
          <w:szCs w:val="24"/>
          <w:lang w:val="en-US"/>
        </w:rPr>
        <w:t>8</w:t>
      </w:r>
      <w:r w:rsidRPr="00B9265B">
        <w:rPr>
          <w:rFonts w:ascii="Times New Roman" w:eastAsia="Times New Roman" w:hAnsi="Times New Roman" w:cs="Times New Roman"/>
          <w:color w:val="000000" w:themeColor="text1"/>
          <w:sz w:val="24"/>
          <w:szCs w:val="24"/>
        </w:rPr>
        <w:t xml:space="preserve">. године </w:t>
      </w:r>
      <w:r w:rsidR="007C3042">
        <w:rPr>
          <w:rFonts w:ascii="Times New Roman" w:eastAsia="Times New Roman" w:hAnsi="Times New Roman" w:cs="Times New Roman"/>
          <w:color w:val="000000" w:themeColor="text1"/>
          <w:sz w:val="24"/>
          <w:szCs w:val="24"/>
          <w:lang w:val="sr-Cyrl-CS"/>
        </w:rPr>
        <w:t>код</w:t>
      </w:r>
      <w:r w:rsidR="002F4695">
        <w:rPr>
          <w:rFonts w:ascii="Times New Roman" w:eastAsia="Times New Roman" w:hAnsi="Times New Roman" w:cs="Times New Roman"/>
          <w:color w:val="000000" w:themeColor="text1"/>
          <w:sz w:val="24"/>
          <w:szCs w:val="24"/>
          <w:lang w:val="sr-Cyrl-CS"/>
        </w:rPr>
        <w:t xml:space="preserve"> две категорије</w:t>
      </w:r>
      <w:r w:rsidR="007C3042">
        <w:rPr>
          <w:rFonts w:ascii="Times New Roman" w:eastAsia="Times New Roman" w:hAnsi="Times New Roman" w:cs="Times New Roman"/>
          <w:color w:val="000000" w:themeColor="text1"/>
          <w:sz w:val="24"/>
          <w:szCs w:val="24"/>
          <w:lang w:val="sr-Cyrl-CS"/>
        </w:rPr>
        <w:t xml:space="preserve"> наручилаца: </w:t>
      </w:r>
      <w:r w:rsidR="002F4695">
        <w:rPr>
          <w:rFonts w:ascii="Times New Roman" w:eastAsia="Times New Roman" w:hAnsi="Times New Roman" w:cs="Times New Roman"/>
          <w:color w:val="000000" w:themeColor="text1"/>
          <w:sz w:val="24"/>
          <w:szCs w:val="24"/>
          <w:lang w:val="sr-Cyrl-CS"/>
        </w:rPr>
        <w:t>здравство и социјална заштита</w:t>
      </w:r>
      <w:r w:rsidR="00003594">
        <w:rPr>
          <w:rFonts w:ascii="Times New Roman" w:eastAsia="Times New Roman" w:hAnsi="Times New Roman" w:cs="Times New Roman"/>
          <w:color w:val="000000" w:themeColor="text1"/>
          <w:sz w:val="24"/>
          <w:szCs w:val="24"/>
          <w:lang w:val="sr-Cyrl-CS"/>
        </w:rPr>
        <w:t xml:space="preserve"> и јавна</w:t>
      </w:r>
      <w:r w:rsidR="00DF5A45">
        <w:rPr>
          <w:rFonts w:ascii="Times New Roman" w:eastAsia="Times New Roman" w:hAnsi="Times New Roman" w:cs="Times New Roman"/>
          <w:color w:val="000000" w:themeColor="text1"/>
          <w:sz w:val="24"/>
          <w:szCs w:val="24"/>
          <w:lang w:val="sr-Cyrl-CS"/>
        </w:rPr>
        <w:t xml:space="preserve"> предузећа. Здравство је повећало своје учешће са 18% на 24%, док се</w:t>
      </w:r>
      <w:r w:rsidR="00003594">
        <w:rPr>
          <w:rFonts w:ascii="Times New Roman" w:eastAsia="Times New Roman" w:hAnsi="Times New Roman" w:cs="Times New Roman"/>
          <w:color w:val="000000" w:themeColor="text1"/>
          <w:sz w:val="24"/>
          <w:szCs w:val="24"/>
          <w:lang w:val="sr-Cyrl-CS"/>
        </w:rPr>
        <w:t xml:space="preserve"> учешће државних јавних предузећа</w:t>
      </w:r>
      <w:r w:rsidR="00DF5A45">
        <w:rPr>
          <w:rFonts w:ascii="Times New Roman" w:eastAsia="Times New Roman" w:hAnsi="Times New Roman" w:cs="Times New Roman"/>
          <w:color w:val="000000" w:themeColor="text1"/>
          <w:sz w:val="24"/>
          <w:szCs w:val="24"/>
          <w:lang w:val="sr-Cyrl-CS"/>
        </w:rPr>
        <w:t>/привредних друштава смањило са 35% на 30</w:t>
      </w:r>
      <w:r w:rsidR="00003594">
        <w:rPr>
          <w:rFonts w:ascii="Times New Roman" w:eastAsia="Times New Roman" w:hAnsi="Times New Roman" w:cs="Times New Roman"/>
          <w:color w:val="000000" w:themeColor="text1"/>
          <w:sz w:val="24"/>
          <w:szCs w:val="24"/>
          <w:lang w:val="sr-Cyrl-CS"/>
        </w:rPr>
        <w:t xml:space="preserve">% у укупној уговореној вредности </w:t>
      </w:r>
      <w:r w:rsidR="00DF5A45">
        <w:rPr>
          <w:rFonts w:ascii="Times New Roman" w:eastAsia="Times New Roman" w:hAnsi="Times New Roman" w:cs="Times New Roman"/>
          <w:color w:val="000000" w:themeColor="text1"/>
          <w:sz w:val="24"/>
          <w:szCs w:val="24"/>
        </w:rPr>
        <w:t>(Табела 4</w:t>
      </w:r>
      <w:r w:rsidR="002F4695">
        <w:rPr>
          <w:rFonts w:ascii="Times New Roman" w:eastAsia="Times New Roman" w:hAnsi="Times New Roman" w:cs="Times New Roman"/>
          <w:color w:val="000000" w:themeColor="text1"/>
          <w:sz w:val="24"/>
          <w:szCs w:val="24"/>
          <w:lang w:val="sr-Cyrl-CS"/>
        </w:rPr>
        <w:t>).</w:t>
      </w:r>
      <w:r>
        <w:rPr>
          <w:rFonts w:ascii="Times New Roman" w:eastAsia="Times New Roman" w:hAnsi="Times New Roman" w:cs="Times New Roman"/>
          <w:sz w:val="24"/>
          <w:szCs w:val="24"/>
        </w:rPr>
        <w:t xml:space="preserve"> </w:t>
      </w:r>
    </w:p>
    <w:p w14:paraId="5759803C" w14:textId="77777777" w:rsidR="0081466B" w:rsidRPr="000A14C7" w:rsidRDefault="00700BF6" w:rsidP="00700BF6">
      <w:pPr>
        <w:ind w:left="-142" w:hanging="142"/>
        <w:jc w:val="both"/>
        <w:rPr>
          <w:color w:val="000000" w:themeColor="text1"/>
          <w:lang w:val="sr-Cyrl-RS"/>
        </w:rPr>
      </w:pPr>
      <w:r>
        <w:rPr>
          <w:rFonts w:ascii="Times New Roman" w:eastAsia="Times New Roman" w:hAnsi="Times New Roman" w:cs="Times New Roman"/>
          <w:b/>
          <w:color w:val="000000" w:themeColor="text1"/>
          <w:sz w:val="24"/>
          <w:szCs w:val="24"/>
          <w:lang w:val="sr-Cyrl-RS"/>
        </w:rPr>
        <w:t xml:space="preserve">   </w:t>
      </w:r>
      <w:r w:rsidR="004F0DED" w:rsidRPr="007C3042">
        <w:rPr>
          <w:rFonts w:ascii="Times New Roman" w:eastAsia="Times New Roman" w:hAnsi="Times New Roman" w:cs="Times New Roman"/>
          <w:b/>
          <w:color w:val="auto"/>
          <w:sz w:val="24"/>
          <w:szCs w:val="24"/>
        </w:rPr>
        <w:t xml:space="preserve">Табела </w:t>
      </w:r>
      <w:r w:rsidR="000A14C7" w:rsidRPr="007C3042">
        <w:rPr>
          <w:rFonts w:ascii="Times New Roman" w:eastAsia="Times New Roman" w:hAnsi="Times New Roman" w:cs="Times New Roman"/>
          <w:b/>
          <w:color w:val="auto"/>
          <w:sz w:val="24"/>
          <w:szCs w:val="24"/>
          <w:lang w:val="sr-Cyrl-RS"/>
        </w:rPr>
        <w:t>4</w:t>
      </w:r>
    </w:p>
    <w:tbl>
      <w:tblPr>
        <w:tblStyle w:val="a1"/>
        <w:tblW w:w="9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992"/>
        <w:gridCol w:w="567"/>
        <w:gridCol w:w="1272"/>
        <w:gridCol w:w="705"/>
        <w:gridCol w:w="1000"/>
        <w:gridCol w:w="567"/>
        <w:gridCol w:w="1364"/>
        <w:gridCol w:w="762"/>
      </w:tblGrid>
      <w:tr w:rsidR="0081466B" w14:paraId="59595329" w14:textId="77777777" w:rsidTr="00F01ECA">
        <w:trPr>
          <w:trHeight w:val="840"/>
          <w:jc w:val="center"/>
        </w:trPr>
        <w:tc>
          <w:tcPr>
            <w:tcW w:w="9436" w:type="dxa"/>
            <w:gridSpan w:val="9"/>
            <w:tcBorders>
              <w:top w:val="single" w:sz="18" w:space="0" w:color="000000"/>
              <w:left w:val="single" w:sz="18" w:space="0" w:color="000000"/>
              <w:bottom w:val="single" w:sz="4" w:space="0" w:color="000000"/>
              <w:right w:val="single" w:sz="18" w:space="0" w:color="000000"/>
            </w:tcBorders>
            <w:vAlign w:val="center"/>
          </w:tcPr>
          <w:p w14:paraId="1F995B89" w14:textId="77777777" w:rsidR="0081466B" w:rsidRDefault="004F0DED">
            <w:pPr>
              <w:jc w:val="center"/>
            </w:pPr>
            <w:r>
              <w:rPr>
                <w:rFonts w:ascii="Times New Roman" w:eastAsia="Times New Roman" w:hAnsi="Times New Roman" w:cs="Times New Roman"/>
                <w:b/>
                <w:sz w:val="24"/>
                <w:szCs w:val="24"/>
              </w:rPr>
              <w:t>Упоредни преглед јавних набавки по категоријама наручилаца</w:t>
            </w:r>
          </w:p>
        </w:tc>
      </w:tr>
      <w:tr w:rsidR="0081466B" w14:paraId="6F3ECAC7" w14:textId="77777777" w:rsidTr="00F01ECA">
        <w:trPr>
          <w:jc w:val="center"/>
        </w:trPr>
        <w:tc>
          <w:tcPr>
            <w:tcW w:w="2207" w:type="dxa"/>
            <w:tcBorders>
              <w:top w:val="single" w:sz="18" w:space="0" w:color="000000"/>
              <w:left w:val="single" w:sz="18" w:space="0" w:color="000000"/>
              <w:bottom w:val="single" w:sz="18" w:space="0" w:color="000000"/>
              <w:right w:val="single" w:sz="18" w:space="0" w:color="000000"/>
            </w:tcBorders>
            <w:vAlign w:val="center"/>
          </w:tcPr>
          <w:p w14:paraId="52D8352B" w14:textId="77777777" w:rsidR="0081466B" w:rsidRDefault="004F0DED">
            <w:pPr>
              <w:jc w:val="center"/>
            </w:pPr>
            <w:r>
              <w:rPr>
                <w:rFonts w:ascii="Times New Roman" w:eastAsia="Times New Roman" w:hAnsi="Times New Roman" w:cs="Times New Roman"/>
                <w:b/>
                <w:sz w:val="20"/>
                <w:szCs w:val="20"/>
              </w:rPr>
              <w:t>Период</w:t>
            </w:r>
          </w:p>
        </w:tc>
        <w:tc>
          <w:tcPr>
            <w:tcW w:w="3536" w:type="dxa"/>
            <w:gridSpan w:val="4"/>
            <w:tcBorders>
              <w:top w:val="single" w:sz="18" w:space="0" w:color="000000"/>
              <w:left w:val="single" w:sz="18" w:space="0" w:color="000000"/>
              <w:bottom w:val="single" w:sz="18" w:space="0" w:color="000000"/>
              <w:right w:val="single" w:sz="18" w:space="0" w:color="000000"/>
            </w:tcBorders>
            <w:vAlign w:val="center"/>
          </w:tcPr>
          <w:p w14:paraId="4B7C9454" w14:textId="77777777" w:rsidR="00087313" w:rsidRPr="002F2661" w:rsidRDefault="00087313" w:rsidP="00087313">
            <w:pPr>
              <w:jc w:val="center"/>
              <w:rPr>
                <w:color w:val="auto"/>
              </w:rPr>
            </w:pPr>
            <w:r>
              <w:rPr>
                <w:rFonts w:ascii="Times New Roman" w:eastAsia="Times New Roman" w:hAnsi="Times New Roman" w:cs="Times New Roman"/>
                <w:b/>
                <w:color w:val="auto"/>
                <w:sz w:val="20"/>
                <w:szCs w:val="20"/>
              </w:rPr>
              <w:t>2018</w:t>
            </w:r>
            <w:r w:rsidRPr="002F2661">
              <w:rPr>
                <w:rFonts w:ascii="Times New Roman" w:eastAsia="Times New Roman" w:hAnsi="Times New Roman" w:cs="Times New Roman"/>
                <w:b/>
                <w:color w:val="auto"/>
                <w:sz w:val="20"/>
                <w:szCs w:val="20"/>
              </w:rPr>
              <w:t>. година</w:t>
            </w:r>
          </w:p>
          <w:p w14:paraId="05532EF7" w14:textId="77777777" w:rsidR="0081466B" w:rsidRDefault="00087313" w:rsidP="00087313">
            <w:pPr>
              <w:jc w:val="center"/>
            </w:pPr>
            <w:r w:rsidRPr="002F2661">
              <w:rPr>
                <w:rFonts w:ascii="Times New Roman" w:eastAsia="Times New Roman" w:hAnsi="Times New Roman" w:cs="Times New Roman"/>
                <w:b/>
                <w:color w:val="auto"/>
                <w:sz w:val="20"/>
                <w:szCs w:val="20"/>
              </w:rPr>
              <w:t>прво полугодиште</w:t>
            </w:r>
          </w:p>
        </w:tc>
        <w:tc>
          <w:tcPr>
            <w:tcW w:w="3693" w:type="dxa"/>
            <w:gridSpan w:val="4"/>
            <w:tcBorders>
              <w:top w:val="single" w:sz="18" w:space="0" w:color="000000"/>
              <w:left w:val="single" w:sz="18" w:space="0" w:color="000000"/>
              <w:bottom w:val="single" w:sz="18" w:space="0" w:color="000000"/>
              <w:right w:val="single" w:sz="18" w:space="0" w:color="000000"/>
            </w:tcBorders>
            <w:vAlign w:val="center"/>
          </w:tcPr>
          <w:p w14:paraId="633D620A" w14:textId="77777777" w:rsidR="0081466B" w:rsidRPr="002F2661" w:rsidRDefault="00003594">
            <w:pPr>
              <w:jc w:val="center"/>
              <w:rPr>
                <w:color w:val="auto"/>
              </w:rPr>
            </w:pPr>
            <w:r>
              <w:rPr>
                <w:rFonts w:ascii="Times New Roman" w:eastAsia="Times New Roman" w:hAnsi="Times New Roman" w:cs="Times New Roman"/>
                <w:b/>
                <w:color w:val="auto"/>
                <w:sz w:val="20"/>
                <w:szCs w:val="20"/>
              </w:rPr>
              <w:t>201</w:t>
            </w:r>
            <w:r w:rsidR="00087313">
              <w:rPr>
                <w:rFonts w:ascii="Times New Roman" w:eastAsia="Times New Roman" w:hAnsi="Times New Roman" w:cs="Times New Roman"/>
                <w:b/>
                <w:color w:val="auto"/>
                <w:sz w:val="20"/>
                <w:szCs w:val="20"/>
                <w:lang w:val="sr-Cyrl-RS"/>
              </w:rPr>
              <w:t>9</w:t>
            </w:r>
            <w:r w:rsidR="004F0DED" w:rsidRPr="002F2661">
              <w:rPr>
                <w:rFonts w:ascii="Times New Roman" w:eastAsia="Times New Roman" w:hAnsi="Times New Roman" w:cs="Times New Roman"/>
                <w:b/>
                <w:color w:val="auto"/>
                <w:sz w:val="20"/>
                <w:szCs w:val="20"/>
              </w:rPr>
              <w:t>. година</w:t>
            </w:r>
          </w:p>
          <w:p w14:paraId="44E70F32" w14:textId="77777777" w:rsidR="0081466B" w:rsidRDefault="004F0DED">
            <w:pPr>
              <w:jc w:val="center"/>
            </w:pPr>
            <w:r w:rsidRPr="002F2661">
              <w:rPr>
                <w:rFonts w:ascii="Times New Roman" w:eastAsia="Times New Roman" w:hAnsi="Times New Roman" w:cs="Times New Roman"/>
                <w:b/>
                <w:color w:val="auto"/>
                <w:sz w:val="20"/>
                <w:szCs w:val="20"/>
              </w:rPr>
              <w:t>прво полугодиште</w:t>
            </w:r>
          </w:p>
        </w:tc>
      </w:tr>
      <w:tr w:rsidR="00087313" w14:paraId="772C6A3D" w14:textId="77777777" w:rsidTr="00F01ECA">
        <w:trPr>
          <w:jc w:val="center"/>
        </w:trPr>
        <w:tc>
          <w:tcPr>
            <w:tcW w:w="2207" w:type="dxa"/>
            <w:tcBorders>
              <w:top w:val="single" w:sz="18" w:space="0" w:color="000000"/>
              <w:left w:val="single" w:sz="18" w:space="0" w:color="000000"/>
              <w:bottom w:val="single" w:sz="4" w:space="0" w:color="000000"/>
              <w:right w:val="single" w:sz="18" w:space="0" w:color="000000"/>
            </w:tcBorders>
            <w:vAlign w:val="center"/>
          </w:tcPr>
          <w:p w14:paraId="56F6176C" w14:textId="77777777" w:rsidR="00087313" w:rsidRDefault="00087313" w:rsidP="00087313">
            <w:pPr>
              <w:jc w:val="center"/>
            </w:pPr>
            <w:r>
              <w:rPr>
                <w:rFonts w:ascii="Times New Roman" w:eastAsia="Times New Roman" w:hAnsi="Times New Roman" w:cs="Times New Roman"/>
                <w:b/>
                <w:sz w:val="20"/>
                <w:szCs w:val="20"/>
              </w:rPr>
              <w:t>Категорија</w:t>
            </w:r>
          </w:p>
        </w:tc>
        <w:tc>
          <w:tcPr>
            <w:tcW w:w="992" w:type="dxa"/>
            <w:tcBorders>
              <w:top w:val="single" w:sz="18" w:space="0" w:color="000000"/>
              <w:left w:val="single" w:sz="18" w:space="0" w:color="000000"/>
              <w:bottom w:val="single" w:sz="4" w:space="0" w:color="000000"/>
              <w:right w:val="single" w:sz="4" w:space="0" w:color="000000"/>
            </w:tcBorders>
            <w:vAlign w:val="center"/>
          </w:tcPr>
          <w:p w14:paraId="39ED7010" w14:textId="77777777" w:rsidR="00087313" w:rsidRPr="003E3A37" w:rsidRDefault="00087313" w:rsidP="00087313">
            <w:pPr>
              <w:jc w:val="center"/>
              <w:rPr>
                <w:b/>
                <w:color w:val="auto"/>
              </w:rPr>
            </w:pPr>
            <w:r w:rsidRPr="003E3A37">
              <w:rPr>
                <w:rFonts w:ascii="Times New Roman" w:eastAsia="Times New Roman" w:hAnsi="Times New Roman" w:cs="Times New Roman"/>
                <w:b/>
                <w:color w:val="auto"/>
                <w:sz w:val="20"/>
                <w:szCs w:val="20"/>
              </w:rPr>
              <w:t>Број</w:t>
            </w:r>
          </w:p>
          <w:p w14:paraId="64F0E9E1" w14:textId="77777777" w:rsidR="00087313" w:rsidRPr="003E3A37" w:rsidRDefault="00087313" w:rsidP="00087313">
            <w:pPr>
              <w:jc w:val="center"/>
              <w:rPr>
                <w:b/>
              </w:rPr>
            </w:pPr>
            <w:r w:rsidRPr="003E3A37">
              <w:rPr>
                <w:rFonts w:ascii="Times New Roman" w:eastAsia="Times New Roman" w:hAnsi="Times New Roman" w:cs="Times New Roman"/>
                <w:b/>
                <w:color w:val="auto"/>
                <w:sz w:val="20"/>
                <w:szCs w:val="20"/>
              </w:rPr>
              <w:t>Уговора</w:t>
            </w:r>
          </w:p>
        </w:tc>
        <w:tc>
          <w:tcPr>
            <w:tcW w:w="567" w:type="dxa"/>
            <w:tcBorders>
              <w:top w:val="single" w:sz="18" w:space="0" w:color="000000"/>
              <w:left w:val="single" w:sz="4" w:space="0" w:color="000000"/>
              <w:bottom w:val="single" w:sz="4" w:space="0" w:color="000000"/>
              <w:right w:val="single" w:sz="4" w:space="0" w:color="000000"/>
            </w:tcBorders>
            <w:vAlign w:val="center"/>
          </w:tcPr>
          <w:p w14:paraId="0949554D" w14:textId="77777777" w:rsidR="00087313" w:rsidRPr="003E3A37" w:rsidRDefault="00087313" w:rsidP="00087313">
            <w:pPr>
              <w:jc w:val="center"/>
              <w:rPr>
                <w:b/>
              </w:rPr>
            </w:pPr>
            <w:r w:rsidRPr="003E3A37">
              <w:rPr>
                <w:rFonts w:ascii="Times New Roman" w:eastAsia="Times New Roman" w:hAnsi="Times New Roman" w:cs="Times New Roman"/>
                <w:b/>
                <w:color w:val="auto"/>
                <w:sz w:val="20"/>
                <w:szCs w:val="20"/>
              </w:rPr>
              <w:t>%</w:t>
            </w:r>
          </w:p>
        </w:tc>
        <w:tc>
          <w:tcPr>
            <w:tcW w:w="1272" w:type="dxa"/>
            <w:tcBorders>
              <w:top w:val="single" w:sz="18" w:space="0" w:color="000000"/>
              <w:left w:val="single" w:sz="4" w:space="0" w:color="000000"/>
              <w:bottom w:val="single" w:sz="4" w:space="0" w:color="000000"/>
              <w:right w:val="single" w:sz="4" w:space="0" w:color="000000"/>
            </w:tcBorders>
            <w:vAlign w:val="center"/>
          </w:tcPr>
          <w:p w14:paraId="5D5A286A" w14:textId="77777777" w:rsidR="00087313" w:rsidRPr="003E3A37" w:rsidRDefault="00087313" w:rsidP="00087313">
            <w:pPr>
              <w:jc w:val="center"/>
              <w:rPr>
                <w:b/>
                <w:color w:val="auto"/>
              </w:rPr>
            </w:pPr>
            <w:r w:rsidRPr="003E3A37">
              <w:rPr>
                <w:rFonts w:ascii="Times New Roman" w:eastAsia="Times New Roman" w:hAnsi="Times New Roman" w:cs="Times New Roman"/>
                <w:b/>
                <w:color w:val="auto"/>
                <w:sz w:val="20"/>
                <w:szCs w:val="20"/>
              </w:rPr>
              <w:t>Уговорена</w:t>
            </w:r>
          </w:p>
          <w:p w14:paraId="66CD423F" w14:textId="77777777" w:rsidR="00087313" w:rsidRPr="003E3A37" w:rsidRDefault="00087313" w:rsidP="00087313">
            <w:pPr>
              <w:jc w:val="center"/>
              <w:rPr>
                <w:b/>
                <w:color w:val="auto"/>
              </w:rPr>
            </w:pPr>
            <w:r w:rsidRPr="003E3A37">
              <w:rPr>
                <w:rFonts w:ascii="Times New Roman" w:eastAsia="Times New Roman" w:hAnsi="Times New Roman" w:cs="Times New Roman"/>
                <w:b/>
                <w:color w:val="auto"/>
                <w:sz w:val="20"/>
                <w:szCs w:val="20"/>
              </w:rPr>
              <w:t>Вредност</w:t>
            </w:r>
          </w:p>
          <w:p w14:paraId="6B735F9F" w14:textId="77777777" w:rsidR="00087313" w:rsidRPr="003E3A37" w:rsidRDefault="00087313" w:rsidP="00087313">
            <w:pPr>
              <w:jc w:val="center"/>
              <w:rPr>
                <w:b/>
              </w:rPr>
            </w:pPr>
            <w:r w:rsidRPr="003E3A37">
              <w:rPr>
                <w:rFonts w:ascii="Times New Roman" w:eastAsia="Times New Roman" w:hAnsi="Times New Roman" w:cs="Times New Roman"/>
                <w:b/>
                <w:color w:val="auto"/>
                <w:sz w:val="20"/>
                <w:szCs w:val="20"/>
              </w:rPr>
              <w:t>без ПДВ-а*</w:t>
            </w:r>
          </w:p>
        </w:tc>
        <w:tc>
          <w:tcPr>
            <w:tcW w:w="705" w:type="dxa"/>
            <w:tcBorders>
              <w:top w:val="single" w:sz="18" w:space="0" w:color="000000"/>
              <w:left w:val="single" w:sz="4" w:space="0" w:color="000000"/>
              <w:bottom w:val="single" w:sz="4" w:space="0" w:color="000000"/>
              <w:right w:val="single" w:sz="18" w:space="0" w:color="000000"/>
            </w:tcBorders>
            <w:vAlign w:val="center"/>
          </w:tcPr>
          <w:p w14:paraId="442856D0" w14:textId="77777777" w:rsidR="00087313" w:rsidRPr="003E3A37" w:rsidRDefault="00087313" w:rsidP="00087313">
            <w:pPr>
              <w:jc w:val="center"/>
              <w:rPr>
                <w:b/>
              </w:rPr>
            </w:pPr>
            <w:r w:rsidRPr="003E3A37">
              <w:rPr>
                <w:rFonts w:ascii="Times New Roman" w:eastAsia="Times New Roman" w:hAnsi="Times New Roman" w:cs="Times New Roman"/>
                <w:b/>
                <w:color w:val="auto"/>
                <w:sz w:val="20"/>
                <w:szCs w:val="20"/>
              </w:rPr>
              <w:t>%</w:t>
            </w:r>
          </w:p>
        </w:tc>
        <w:tc>
          <w:tcPr>
            <w:tcW w:w="1000" w:type="dxa"/>
            <w:tcBorders>
              <w:top w:val="single" w:sz="18" w:space="0" w:color="000000"/>
              <w:left w:val="single" w:sz="18" w:space="0" w:color="000000"/>
              <w:bottom w:val="single" w:sz="4" w:space="0" w:color="000000"/>
              <w:right w:val="single" w:sz="4" w:space="0" w:color="000000"/>
            </w:tcBorders>
            <w:vAlign w:val="center"/>
          </w:tcPr>
          <w:p w14:paraId="5A9753BC" w14:textId="77777777" w:rsidR="00087313" w:rsidRPr="003E3A37" w:rsidRDefault="00087313" w:rsidP="00087313">
            <w:pPr>
              <w:jc w:val="center"/>
              <w:rPr>
                <w:b/>
                <w:color w:val="auto"/>
              </w:rPr>
            </w:pPr>
            <w:r w:rsidRPr="003E3A37">
              <w:rPr>
                <w:rFonts w:ascii="Times New Roman" w:eastAsia="Times New Roman" w:hAnsi="Times New Roman" w:cs="Times New Roman"/>
                <w:b/>
                <w:color w:val="auto"/>
                <w:sz w:val="20"/>
                <w:szCs w:val="20"/>
              </w:rPr>
              <w:t>Број</w:t>
            </w:r>
          </w:p>
          <w:p w14:paraId="7A743BE5" w14:textId="77777777" w:rsidR="00087313" w:rsidRPr="003E3A37" w:rsidRDefault="00087313" w:rsidP="00087313">
            <w:pPr>
              <w:jc w:val="center"/>
              <w:rPr>
                <w:b/>
                <w:color w:val="auto"/>
              </w:rPr>
            </w:pPr>
            <w:r w:rsidRPr="003E3A37">
              <w:rPr>
                <w:rFonts w:ascii="Times New Roman" w:eastAsia="Times New Roman" w:hAnsi="Times New Roman" w:cs="Times New Roman"/>
                <w:b/>
                <w:color w:val="auto"/>
                <w:sz w:val="20"/>
                <w:szCs w:val="20"/>
              </w:rPr>
              <w:t>Уговора</w:t>
            </w:r>
          </w:p>
        </w:tc>
        <w:tc>
          <w:tcPr>
            <w:tcW w:w="567" w:type="dxa"/>
            <w:tcBorders>
              <w:top w:val="single" w:sz="18" w:space="0" w:color="000000"/>
              <w:left w:val="single" w:sz="4" w:space="0" w:color="000000"/>
              <w:bottom w:val="single" w:sz="4" w:space="0" w:color="000000"/>
              <w:right w:val="single" w:sz="4" w:space="0" w:color="000000"/>
            </w:tcBorders>
            <w:vAlign w:val="center"/>
          </w:tcPr>
          <w:p w14:paraId="582AAFE9" w14:textId="77777777" w:rsidR="00087313" w:rsidRPr="003E3A37" w:rsidRDefault="00087313" w:rsidP="00087313">
            <w:pPr>
              <w:jc w:val="center"/>
              <w:rPr>
                <w:b/>
                <w:color w:val="auto"/>
              </w:rPr>
            </w:pPr>
            <w:r w:rsidRPr="003E3A37">
              <w:rPr>
                <w:rFonts w:ascii="Times New Roman" w:eastAsia="Times New Roman" w:hAnsi="Times New Roman" w:cs="Times New Roman"/>
                <w:b/>
                <w:color w:val="auto"/>
                <w:sz w:val="20"/>
                <w:szCs w:val="20"/>
              </w:rPr>
              <w:t>%</w:t>
            </w:r>
          </w:p>
        </w:tc>
        <w:tc>
          <w:tcPr>
            <w:tcW w:w="1364" w:type="dxa"/>
            <w:tcBorders>
              <w:top w:val="single" w:sz="18" w:space="0" w:color="000000"/>
              <w:left w:val="single" w:sz="4" w:space="0" w:color="000000"/>
              <w:bottom w:val="single" w:sz="4" w:space="0" w:color="000000"/>
              <w:right w:val="single" w:sz="4" w:space="0" w:color="000000"/>
            </w:tcBorders>
            <w:vAlign w:val="center"/>
          </w:tcPr>
          <w:p w14:paraId="78AB50E3" w14:textId="77777777" w:rsidR="00087313" w:rsidRPr="003E3A37" w:rsidRDefault="00087313" w:rsidP="00087313">
            <w:pPr>
              <w:jc w:val="center"/>
              <w:rPr>
                <w:b/>
                <w:color w:val="auto"/>
              </w:rPr>
            </w:pPr>
            <w:r w:rsidRPr="003E3A37">
              <w:rPr>
                <w:rFonts w:ascii="Times New Roman" w:eastAsia="Times New Roman" w:hAnsi="Times New Roman" w:cs="Times New Roman"/>
                <w:b/>
                <w:color w:val="auto"/>
                <w:sz w:val="20"/>
                <w:szCs w:val="20"/>
              </w:rPr>
              <w:t>Уговорена</w:t>
            </w:r>
          </w:p>
          <w:p w14:paraId="5F4B0D19" w14:textId="77777777" w:rsidR="00087313" w:rsidRPr="003E3A37" w:rsidRDefault="00087313" w:rsidP="00087313">
            <w:pPr>
              <w:jc w:val="center"/>
              <w:rPr>
                <w:b/>
                <w:color w:val="auto"/>
              </w:rPr>
            </w:pPr>
            <w:r w:rsidRPr="003E3A37">
              <w:rPr>
                <w:rFonts w:ascii="Times New Roman" w:eastAsia="Times New Roman" w:hAnsi="Times New Roman" w:cs="Times New Roman"/>
                <w:b/>
                <w:color w:val="auto"/>
                <w:sz w:val="20"/>
                <w:szCs w:val="20"/>
              </w:rPr>
              <w:t>Вредност</w:t>
            </w:r>
          </w:p>
          <w:p w14:paraId="5D426301" w14:textId="77777777" w:rsidR="00087313" w:rsidRPr="003E3A37" w:rsidRDefault="00087313" w:rsidP="00087313">
            <w:pPr>
              <w:jc w:val="center"/>
              <w:rPr>
                <w:b/>
                <w:color w:val="auto"/>
              </w:rPr>
            </w:pPr>
            <w:r w:rsidRPr="003E3A37">
              <w:rPr>
                <w:rFonts w:ascii="Times New Roman" w:eastAsia="Times New Roman" w:hAnsi="Times New Roman" w:cs="Times New Roman"/>
                <w:b/>
                <w:color w:val="auto"/>
                <w:sz w:val="20"/>
                <w:szCs w:val="20"/>
              </w:rPr>
              <w:t>без ПДВ-а*</w:t>
            </w:r>
          </w:p>
        </w:tc>
        <w:tc>
          <w:tcPr>
            <w:tcW w:w="762" w:type="dxa"/>
            <w:tcBorders>
              <w:top w:val="single" w:sz="18" w:space="0" w:color="000000"/>
              <w:left w:val="single" w:sz="4" w:space="0" w:color="000000"/>
              <w:bottom w:val="single" w:sz="4" w:space="0" w:color="000000"/>
              <w:right w:val="single" w:sz="18" w:space="0" w:color="000000"/>
            </w:tcBorders>
            <w:vAlign w:val="center"/>
          </w:tcPr>
          <w:p w14:paraId="56DCFEEB" w14:textId="77777777" w:rsidR="00087313" w:rsidRPr="003E3A37" w:rsidRDefault="00087313" w:rsidP="00087313">
            <w:pPr>
              <w:jc w:val="center"/>
              <w:rPr>
                <w:b/>
                <w:color w:val="auto"/>
              </w:rPr>
            </w:pPr>
            <w:r w:rsidRPr="003E3A37">
              <w:rPr>
                <w:rFonts w:ascii="Times New Roman" w:eastAsia="Times New Roman" w:hAnsi="Times New Roman" w:cs="Times New Roman"/>
                <w:b/>
                <w:color w:val="auto"/>
                <w:sz w:val="20"/>
                <w:szCs w:val="20"/>
              </w:rPr>
              <w:t>%</w:t>
            </w:r>
          </w:p>
        </w:tc>
      </w:tr>
      <w:tr w:rsidR="00087313" w14:paraId="35EDB096" w14:textId="77777777" w:rsidTr="003E3A37">
        <w:trPr>
          <w:trHeight w:val="287"/>
          <w:jc w:val="center"/>
        </w:trPr>
        <w:tc>
          <w:tcPr>
            <w:tcW w:w="2207" w:type="dxa"/>
            <w:tcBorders>
              <w:top w:val="single" w:sz="4" w:space="0" w:color="000000"/>
              <w:left w:val="single" w:sz="18" w:space="0" w:color="000000"/>
              <w:bottom w:val="single" w:sz="4" w:space="0" w:color="000000"/>
              <w:right w:val="single" w:sz="18" w:space="0" w:color="000000"/>
            </w:tcBorders>
            <w:vAlign w:val="center"/>
          </w:tcPr>
          <w:p w14:paraId="7DF4A370" w14:textId="77777777" w:rsidR="00087313" w:rsidRDefault="00087313" w:rsidP="00087313">
            <w:pPr>
              <w:jc w:val="center"/>
            </w:pPr>
            <w:r>
              <w:rPr>
                <w:rFonts w:ascii="Times New Roman" w:eastAsia="Times New Roman" w:hAnsi="Times New Roman" w:cs="Times New Roman"/>
                <w:b/>
                <w:sz w:val="20"/>
                <w:szCs w:val="20"/>
              </w:rPr>
              <w:t>Органи државне управе</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D2EF481" w14:textId="77777777" w:rsidR="00087313" w:rsidRDefault="00087313" w:rsidP="00087313">
            <w:pPr>
              <w:jc w:val="center"/>
            </w:pPr>
            <w:r w:rsidRPr="00003594">
              <w:rPr>
                <w:rFonts w:ascii="Times New Roman" w:hAnsi="Times New Roman" w:cs="Times New Roman"/>
                <w:sz w:val="20"/>
                <w:szCs w:val="20"/>
              </w:rPr>
              <w:t>5.864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6B33B" w14:textId="77777777" w:rsidR="00087313" w:rsidRDefault="00087313" w:rsidP="00087313">
            <w:pPr>
              <w:jc w:val="center"/>
            </w:pPr>
            <w:r w:rsidRPr="00003594">
              <w:rPr>
                <w:rFonts w:ascii="Times New Roman" w:hAnsi="Times New Roman" w:cs="Times New Roman"/>
                <w:sz w:val="20"/>
                <w:szCs w:val="20"/>
              </w:rPr>
              <w:t>10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CB61" w14:textId="77777777" w:rsidR="00087313" w:rsidRDefault="00087313" w:rsidP="00087313">
            <w:pPr>
              <w:jc w:val="center"/>
            </w:pPr>
            <w:r w:rsidRPr="00003594">
              <w:rPr>
                <w:rFonts w:ascii="Times New Roman" w:hAnsi="Times New Roman" w:cs="Times New Roman"/>
                <w:sz w:val="20"/>
                <w:szCs w:val="20"/>
              </w:rPr>
              <w:t>24.242.260</w:t>
            </w:r>
          </w:p>
        </w:tc>
        <w:tc>
          <w:tcPr>
            <w:tcW w:w="705" w:type="dxa"/>
            <w:tcBorders>
              <w:top w:val="single" w:sz="4" w:space="0" w:color="000000"/>
              <w:left w:val="single" w:sz="4" w:space="0" w:color="000000"/>
              <w:bottom w:val="single" w:sz="4" w:space="0" w:color="000000"/>
              <w:right w:val="single" w:sz="18" w:space="0" w:color="000000"/>
            </w:tcBorders>
            <w:vAlign w:val="center"/>
          </w:tcPr>
          <w:p w14:paraId="01E52647" w14:textId="77777777" w:rsidR="00087313" w:rsidRDefault="00087313" w:rsidP="00087313">
            <w:pPr>
              <w:jc w:val="center"/>
            </w:pPr>
            <w:r w:rsidRPr="00003594">
              <w:rPr>
                <w:rFonts w:ascii="Times New Roman" w:hAnsi="Times New Roman" w:cs="Times New Roman"/>
                <w:color w:val="auto"/>
                <w:sz w:val="20"/>
                <w:szCs w:val="20"/>
              </w:rPr>
              <w:t>13</w:t>
            </w:r>
          </w:p>
        </w:tc>
        <w:tc>
          <w:tcPr>
            <w:tcW w:w="1000" w:type="dxa"/>
            <w:tcBorders>
              <w:top w:val="single" w:sz="4" w:space="0" w:color="000000"/>
              <w:left w:val="nil"/>
              <w:bottom w:val="single" w:sz="4" w:space="0" w:color="000000"/>
              <w:right w:val="single" w:sz="4" w:space="0" w:color="000000"/>
            </w:tcBorders>
            <w:shd w:val="clear" w:color="auto" w:fill="auto"/>
            <w:vAlign w:val="center"/>
          </w:tcPr>
          <w:p w14:paraId="4EFA23B2" w14:textId="77777777" w:rsidR="00087313" w:rsidRPr="003E3A37" w:rsidRDefault="00087313" w:rsidP="003E3A37">
            <w:pPr>
              <w:jc w:val="center"/>
              <w:rPr>
                <w:rFonts w:ascii="Times New Roman" w:hAnsi="Times New Roman" w:cs="Times New Roman"/>
                <w:sz w:val="20"/>
                <w:szCs w:val="20"/>
              </w:rPr>
            </w:pPr>
            <w:r w:rsidRPr="00087313">
              <w:rPr>
                <w:rFonts w:ascii="Times New Roman" w:hAnsi="Times New Roman" w:cs="Times New Roman"/>
                <w:sz w:val="20"/>
                <w:szCs w:val="20"/>
              </w:rPr>
              <w:t>4.910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83C74" w14:textId="77777777" w:rsidR="00087313" w:rsidRPr="003E3A37" w:rsidRDefault="00087313" w:rsidP="003E3A37">
            <w:pPr>
              <w:jc w:val="center"/>
              <w:rPr>
                <w:rFonts w:ascii="Times New Roman" w:hAnsi="Times New Roman" w:cs="Times New Roman"/>
                <w:sz w:val="20"/>
                <w:szCs w:val="20"/>
              </w:rPr>
            </w:pPr>
            <w:r w:rsidRPr="00087313">
              <w:rPr>
                <w:rFonts w:ascii="Times New Roman" w:hAnsi="Times New Roman" w:cs="Times New Roman"/>
                <w:sz w:val="20"/>
                <w:szCs w:val="20"/>
              </w:rPr>
              <w:t>8</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4285A" w14:textId="77777777" w:rsidR="00087313" w:rsidRPr="003E3A37" w:rsidRDefault="00087313" w:rsidP="003E3A37">
            <w:pPr>
              <w:jc w:val="center"/>
              <w:rPr>
                <w:rFonts w:ascii="Times New Roman" w:hAnsi="Times New Roman" w:cs="Times New Roman"/>
                <w:sz w:val="20"/>
                <w:szCs w:val="20"/>
              </w:rPr>
            </w:pPr>
            <w:r w:rsidRPr="00087313">
              <w:rPr>
                <w:rFonts w:ascii="Times New Roman" w:hAnsi="Times New Roman" w:cs="Times New Roman"/>
                <w:sz w:val="20"/>
                <w:szCs w:val="20"/>
              </w:rPr>
              <w:t>29.703.212</w:t>
            </w:r>
          </w:p>
        </w:tc>
        <w:tc>
          <w:tcPr>
            <w:tcW w:w="762" w:type="dxa"/>
            <w:tcBorders>
              <w:top w:val="single" w:sz="4" w:space="0" w:color="000000"/>
              <w:left w:val="single" w:sz="4" w:space="0" w:color="000000"/>
              <w:bottom w:val="single" w:sz="4" w:space="0" w:color="000000"/>
              <w:right w:val="single" w:sz="18" w:space="0" w:color="000000"/>
            </w:tcBorders>
            <w:vAlign w:val="center"/>
          </w:tcPr>
          <w:p w14:paraId="003CC211" w14:textId="77777777" w:rsidR="00087313" w:rsidRPr="003E3A37" w:rsidRDefault="00087313" w:rsidP="003E3A37">
            <w:pPr>
              <w:jc w:val="center"/>
              <w:rPr>
                <w:rFonts w:ascii="Times New Roman" w:hAnsi="Times New Roman" w:cs="Times New Roman"/>
                <w:sz w:val="20"/>
                <w:szCs w:val="20"/>
              </w:rPr>
            </w:pPr>
            <w:r w:rsidRPr="00087313">
              <w:rPr>
                <w:rFonts w:ascii="Times New Roman" w:hAnsi="Times New Roman" w:cs="Times New Roman"/>
                <w:sz w:val="20"/>
                <w:szCs w:val="20"/>
              </w:rPr>
              <w:t>14</w:t>
            </w:r>
          </w:p>
        </w:tc>
      </w:tr>
      <w:tr w:rsidR="00087313" w14:paraId="7CED3CD8" w14:textId="77777777" w:rsidTr="00F37083">
        <w:trPr>
          <w:jc w:val="center"/>
        </w:trPr>
        <w:tc>
          <w:tcPr>
            <w:tcW w:w="2207" w:type="dxa"/>
            <w:tcBorders>
              <w:top w:val="single" w:sz="4" w:space="0" w:color="000000"/>
              <w:left w:val="single" w:sz="18" w:space="0" w:color="000000"/>
              <w:bottom w:val="single" w:sz="4" w:space="0" w:color="000000"/>
              <w:right w:val="single" w:sz="18" w:space="0" w:color="000000"/>
            </w:tcBorders>
            <w:vAlign w:val="center"/>
          </w:tcPr>
          <w:p w14:paraId="7A9C3CFD" w14:textId="77777777" w:rsidR="00087313" w:rsidRDefault="00087313" w:rsidP="00087313">
            <w:pPr>
              <w:jc w:val="center"/>
            </w:pPr>
            <w:r>
              <w:rPr>
                <w:rFonts w:ascii="Times New Roman" w:eastAsia="Times New Roman" w:hAnsi="Times New Roman" w:cs="Times New Roman"/>
                <w:b/>
                <w:sz w:val="20"/>
                <w:szCs w:val="20"/>
              </w:rPr>
              <w:t>Правосуђе</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6DC9D9C" w14:textId="77777777" w:rsidR="00087313" w:rsidRDefault="00087313" w:rsidP="00087313">
            <w:pPr>
              <w:jc w:val="center"/>
            </w:pPr>
            <w:r w:rsidRPr="00003594">
              <w:rPr>
                <w:rFonts w:ascii="Times New Roman" w:hAnsi="Times New Roman" w:cs="Times New Roman"/>
                <w:sz w:val="20"/>
                <w:szCs w:val="20"/>
              </w:rPr>
              <w:t>709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7527F" w14:textId="77777777" w:rsidR="00087313" w:rsidRDefault="00087313" w:rsidP="00087313">
            <w:pPr>
              <w:jc w:val="center"/>
            </w:pPr>
            <w:r w:rsidRPr="00003594">
              <w:rPr>
                <w:rFonts w:ascii="Times New Roman" w:hAnsi="Times New Roman" w:cs="Times New Roman"/>
                <w:sz w:val="20"/>
                <w:szCs w:val="20"/>
              </w:rPr>
              <w:t>1</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B066" w14:textId="77777777" w:rsidR="00087313" w:rsidRDefault="00087313" w:rsidP="00087313">
            <w:pPr>
              <w:jc w:val="center"/>
            </w:pPr>
            <w:r w:rsidRPr="00003594">
              <w:rPr>
                <w:rFonts w:ascii="Times New Roman" w:hAnsi="Times New Roman" w:cs="Times New Roman"/>
                <w:sz w:val="20"/>
                <w:szCs w:val="20"/>
              </w:rPr>
              <w:t>1.830.669</w:t>
            </w:r>
          </w:p>
        </w:tc>
        <w:tc>
          <w:tcPr>
            <w:tcW w:w="705" w:type="dxa"/>
            <w:tcBorders>
              <w:top w:val="single" w:sz="4" w:space="0" w:color="000000"/>
              <w:left w:val="single" w:sz="4" w:space="0" w:color="000000"/>
              <w:bottom w:val="single" w:sz="4" w:space="0" w:color="000000"/>
              <w:right w:val="single" w:sz="18" w:space="0" w:color="000000"/>
            </w:tcBorders>
            <w:vAlign w:val="center"/>
          </w:tcPr>
          <w:p w14:paraId="362FFFDD" w14:textId="77777777" w:rsidR="00087313" w:rsidRDefault="00087313" w:rsidP="00087313">
            <w:pPr>
              <w:jc w:val="center"/>
            </w:pPr>
            <w:r w:rsidRPr="00003594">
              <w:rPr>
                <w:rFonts w:ascii="Times New Roman" w:hAnsi="Times New Roman" w:cs="Times New Roman"/>
                <w:color w:val="auto"/>
                <w:sz w:val="20"/>
                <w:szCs w:val="20"/>
              </w:rPr>
              <w:t>1</w:t>
            </w:r>
          </w:p>
        </w:tc>
        <w:tc>
          <w:tcPr>
            <w:tcW w:w="1000" w:type="dxa"/>
            <w:tcBorders>
              <w:top w:val="single" w:sz="4" w:space="0" w:color="000000"/>
              <w:left w:val="nil"/>
              <w:bottom w:val="single" w:sz="4" w:space="0" w:color="000000"/>
              <w:right w:val="single" w:sz="4" w:space="0" w:color="000000"/>
            </w:tcBorders>
            <w:shd w:val="clear" w:color="auto" w:fill="auto"/>
          </w:tcPr>
          <w:p w14:paraId="6A778DB6"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1.006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846373"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2</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7CE7EE91"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1.104.304</w:t>
            </w:r>
          </w:p>
        </w:tc>
        <w:tc>
          <w:tcPr>
            <w:tcW w:w="762" w:type="dxa"/>
            <w:tcBorders>
              <w:top w:val="single" w:sz="4" w:space="0" w:color="000000"/>
              <w:left w:val="single" w:sz="4" w:space="0" w:color="000000"/>
              <w:bottom w:val="single" w:sz="4" w:space="0" w:color="000000"/>
              <w:right w:val="single" w:sz="18" w:space="0" w:color="000000"/>
            </w:tcBorders>
          </w:tcPr>
          <w:p w14:paraId="68B82EEE"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w:t>
            </w:r>
          </w:p>
        </w:tc>
      </w:tr>
      <w:tr w:rsidR="00087313" w14:paraId="25D11DA1" w14:textId="77777777" w:rsidTr="00087313">
        <w:trPr>
          <w:jc w:val="center"/>
        </w:trPr>
        <w:tc>
          <w:tcPr>
            <w:tcW w:w="2207" w:type="dxa"/>
            <w:tcBorders>
              <w:top w:val="single" w:sz="4" w:space="0" w:color="000000"/>
              <w:left w:val="single" w:sz="18" w:space="0" w:color="000000"/>
              <w:bottom w:val="single" w:sz="4" w:space="0" w:color="000000"/>
              <w:right w:val="single" w:sz="18" w:space="0" w:color="000000"/>
            </w:tcBorders>
            <w:vAlign w:val="center"/>
          </w:tcPr>
          <w:p w14:paraId="34442940" w14:textId="77777777" w:rsidR="00087313" w:rsidRDefault="00087313" w:rsidP="00087313">
            <w:pPr>
              <w:jc w:val="center"/>
            </w:pPr>
            <w:r>
              <w:rPr>
                <w:rFonts w:ascii="Times New Roman" w:eastAsia="Times New Roman" w:hAnsi="Times New Roman" w:cs="Times New Roman"/>
                <w:b/>
                <w:sz w:val="20"/>
                <w:szCs w:val="20"/>
              </w:rPr>
              <w:t>Здравство и социјална заштита</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5EF3C9D" w14:textId="77777777" w:rsidR="00087313" w:rsidRDefault="00087313" w:rsidP="00087313">
            <w:pPr>
              <w:jc w:val="center"/>
            </w:pPr>
            <w:r w:rsidRPr="00003594">
              <w:rPr>
                <w:rFonts w:ascii="Times New Roman" w:hAnsi="Times New Roman" w:cs="Times New Roman"/>
                <w:sz w:val="20"/>
                <w:szCs w:val="20"/>
              </w:rPr>
              <w:t>20.707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52E00" w14:textId="77777777" w:rsidR="00087313" w:rsidRDefault="00087313" w:rsidP="00087313">
            <w:pPr>
              <w:jc w:val="center"/>
            </w:pPr>
            <w:r w:rsidRPr="00003594">
              <w:rPr>
                <w:rFonts w:ascii="Times New Roman" w:hAnsi="Times New Roman" w:cs="Times New Roman"/>
                <w:sz w:val="20"/>
                <w:szCs w:val="20"/>
              </w:rPr>
              <w:t>34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27D1C" w14:textId="77777777" w:rsidR="00087313" w:rsidRDefault="00087313" w:rsidP="00087313">
            <w:pPr>
              <w:jc w:val="center"/>
            </w:pPr>
            <w:r w:rsidRPr="00003594">
              <w:rPr>
                <w:rFonts w:ascii="Times New Roman" w:hAnsi="Times New Roman" w:cs="Times New Roman"/>
                <w:sz w:val="20"/>
                <w:szCs w:val="20"/>
              </w:rPr>
              <w:t>32.988.053</w:t>
            </w:r>
          </w:p>
        </w:tc>
        <w:tc>
          <w:tcPr>
            <w:tcW w:w="705" w:type="dxa"/>
            <w:tcBorders>
              <w:top w:val="single" w:sz="4" w:space="0" w:color="000000"/>
              <w:left w:val="single" w:sz="4" w:space="0" w:color="000000"/>
              <w:bottom w:val="single" w:sz="4" w:space="0" w:color="000000"/>
              <w:right w:val="single" w:sz="18" w:space="0" w:color="000000"/>
            </w:tcBorders>
            <w:vAlign w:val="center"/>
          </w:tcPr>
          <w:p w14:paraId="06B65D1D" w14:textId="77777777" w:rsidR="00087313" w:rsidRDefault="00087313" w:rsidP="00087313">
            <w:pPr>
              <w:jc w:val="center"/>
            </w:pPr>
            <w:r w:rsidRPr="00003594">
              <w:rPr>
                <w:rFonts w:ascii="Times New Roman" w:hAnsi="Times New Roman" w:cs="Times New Roman"/>
                <w:color w:val="auto"/>
                <w:sz w:val="20"/>
                <w:szCs w:val="20"/>
              </w:rPr>
              <w:t>1</w:t>
            </w:r>
            <w:r w:rsidRPr="00003594">
              <w:rPr>
                <w:rFonts w:ascii="Times New Roman" w:hAnsi="Times New Roman" w:cs="Times New Roman"/>
                <w:color w:val="auto"/>
                <w:sz w:val="20"/>
                <w:szCs w:val="20"/>
                <w:lang w:val="en-GB"/>
              </w:rPr>
              <w:t>8</w:t>
            </w:r>
          </w:p>
        </w:tc>
        <w:tc>
          <w:tcPr>
            <w:tcW w:w="1000" w:type="dxa"/>
            <w:tcBorders>
              <w:top w:val="single" w:sz="4" w:space="0" w:color="000000"/>
              <w:left w:val="nil"/>
              <w:bottom w:val="single" w:sz="4" w:space="0" w:color="000000"/>
              <w:right w:val="single" w:sz="4" w:space="0" w:color="000000"/>
            </w:tcBorders>
            <w:shd w:val="clear" w:color="auto" w:fill="auto"/>
            <w:vAlign w:val="center"/>
          </w:tcPr>
          <w:p w14:paraId="1D1ECF05"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23.520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B01C"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39</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EBF9"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51.752.449</w:t>
            </w:r>
          </w:p>
        </w:tc>
        <w:tc>
          <w:tcPr>
            <w:tcW w:w="762" w:type="dxa"/>
            <w:tcBorders>
              <w:top w:val="single" w:sz="4" w:space="0" w:color="000000"/>
              <w:left w:val="single" w:sz="4" w:space="0" w:color="000000"/>
              <w:bottom w:val="single" w:sz="4" w:space="0" w:color="000000"/>
              <w:right w:val="single" w:sz="18" w:space="0" w:color="000000"/>
            </w:tcBorders>
            <w:vAlign w:val="center"/>
          </w:tcPr>
          <w:p w14:paraId="2BD1AC70"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24</w:t>
            </w:r>
          </w:p>
        </w:tc>
      </w:tr>
      <w:tr w:rsidR="00087313" w14:paraId="2A22C949" w14:textId="77777777" w:rsidTr="00087313">
        <w:trPr>
          <w:jc w:val="center"/>
        </w:trPr>
        <w:tc>
          <w:tcPr>
            <w:tcW w:w="2207" w:type="dxa"/>
            <w:tcBorders>
              <w:top w:val="single" w:sz="4" w:space="0" w:color="000000"/>
              <w:left w:val="single" w:sz="18" w:space="0" w:color="000000"/>
              <w:bottom w:val="single" w:sz="4" w:space="0" w:color="000000"/>
              <w:right w:val="single" w:sz="18" w:space="0" w:color="000000"/>
            </w:tcBorders>
            <w:vAlign w:val="center"/>
          </w:tcPr>
          <w:p w14:paraId="626A7444" w14:textId="77777777" w:rsidR="00087313" w:rsidRDefault="00087313" w:rsidP="00087313">
            <w:pPr>
              <w:jc w:val="center"/>
            </w:pPr>
            <w:r>
              <w:rPr>
                <w:rFonts w:ascii="Times New Roman" w:eastAsia="Times New Roman" w:hAnsi="Times New Roman" w:cs="Times New Roman"/>
                <w:b/>
                <w:sz w:val="20"/>
                <w:szCs w:val="20"/>
              </w:rPr>
              <w:t>Култура</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8FB392F" w14:textId="77777777" w:rsidR="00087313" w:rsidRDefault="00087313" w:rsidP="00087313">
            <w:pPr>
              <w:jc w:val="center"/>
            </w:pPr>
            <w:r w:rsidRPr="00003594">
              <w:rPr>
                <w:rFonts w:ascii="Times New Roman" w:hAnsi="Times New Roman" w:cs="Times New Roman"/>
                <w:sz w:val="20"/>
                <w:szCs w:val="20"/>
              </w:rPr>
              <w:t>1.066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89CE" w14:textId="77777777" w:rsidR="00087313" w:rsidRDefault="00087313" w:rsidP="00087313">
            <w:pPr>
              <w:jc w:val="center"/>
            </w:pPr>
            <w:r w:rsidRPr="00003594">
              <w:rPr>
                <w:rFonts w:ascii="Times New Roman" w:hAnsi="Times New Roman" w:cs="Times New Roman"/>
                <w:sz w:val="20"/>
                <w:szCs w:val="20"/>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737D" w14:textId="77777777" w:rsidR="00087313" w:rsidRDefault="00087313" w:rsidP="00087313">
            <w:pPr>
              <w:jc w:val="center"/>
            </w:pPr>
            <w:r w:rsidRPr="00003594">
              <w:rPr>
                <w:rFonts w:ascii="Times New Roman" w:hAnsi="Times New Roman" w:cs="Times New Roman"/>
                <w:sz w:val="20"/>
                <w:szCs w:val="20"/>
              </w:rPr>
              <w:t>1.315.011</w:t>
            </w:r>
          </w:p>
        </w:tc>
        <w:tc>
          <w:tcPr>
            <w:tcW w:w="705" w:type="dxa"/>
            <w:tcBorders>
              <w:top w:val="single" w:sz="4" w:space="0" w:color="000000"/>
              <w:left w:val="single" w:sz="4" w:space="0" w:color="000000"/>
              <w:bottom w:val="single" w:sz="4" w:space="0" w:color="000000"/>
              <w:right w:val="single" w:sz="18" w:space="0" w:color="000000"/>
            </w:tcBorders>
            <w:vAlign w:val="center"/>
          </w:tcPr>
          <w:p w14:paraId="1457391C" w14:textId="77777777" w:rsidR="00087313" w:rsidRDefault="00087313" w:rsidP="00087313">
            <w:pPr>
              <w:jc w:val="center"/>
            </w:pPr>
            <w:r w:rsidRPr="00003594">
              <w:rPr>
                <w:rFonts w:ascii="Times New Roman" w:hAnsi="Times New Roman" w:cs="Times New Roman"/>
                <w:color w:val="auto"/>
                <w:sz w:val="20"/>
                <w:szCs w:val="20"/>
              </w:rPr>
              <w:t>1</w:t>
            </w:r>
          </w:p>
        </w:tc>
        <w:tc>
          <w:tcPr>
            <w:tcW w:w="1000" w:type="dxa"/>
            <w:tcBorders>
              <w:top w:val="single" w:sz="4" w:space="0" w:color="000000"/>
              <w:left w:val="nil"/>
              <w:bottom w:val="single" w:sz="4" w:space="0" w:color="000000"/>
              <w:right w:val="single" w:sz="4" w:space="0" w:color="000000"/>
            </w:tcBorders>
            <w:shd w:val="clear" w:color="auto" w:fill="auto"/>
            <w:vAlign w:val="center"/>
          </w:tcPr>
          <w:p w14:paraId="7136B193"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1.164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3C67"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2</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519C0"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1.499.965</w:t>
            </w:r>
          </w:p>
        </w:tc>
        <w:tc>
          <w:tcPr>
            <w:tcW w:w="762" w:type="dxa"/>
            <w:tcBorders>
              <w:top w:val="single" w:sz="4" w:space="0" w:color="000000"/>
              <w:left w:val="single" w:sz="4" w:space="0" w:color="000000"/>
              <w:bottom w:val="single" w:sz="4" w:space="0" w:color="000000"/>
              <w:right w:val="single" w:sz="18" w:space="0" w:color="000000"/>
            </w:tcBorders>
            <w:vAlign w:val="center"/>
          </w:tcPr>
          <w:p w14:paraId="6519CEE3"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w:t>
            </w:r>
          </w:p>
        </w:tc>
      </w:tr>
      <w:tr w:rsidR="00087313" w14:paraId="467EA2B3" w14:textId="77777777" w:rsidTr="00087313">
        <w:trPr>
          <w:jc w:val="center"/>
        </w:trPr>
        <w:tc>
          <w:tcPr>
            <w:tcW w:w="2207" w:type="dxa"/>
            <w:tcBorders>
              <w:top w:val="single" w:sz="4" w:space="0" w:color="000000"/>
              <w:left w:val="single" w:sz="18" w:space="0" w:color="000000"/>
              <w:bottom w:val="single" w:sz="4" w:space="0" w:color="000000"/>
              <w:right w:val="single" w:sz="18" w:space="0" w:color="000000"/>
            </w:tcBorders>
            <w:vAlign w:val="center"/>
          </w:tcPr>
          <w:p w14:paraId="1390C1CD" w14:textId="77777777" w:rsidR="00087313" w:rsidRDefault="00087313" w:rsidP="00087313">
            <w:pPr>
              <w:jc w:val="center"/>
            </w:pPr>
            <w:r>
              <w:rPr>
                <w:rFonts w:ascii="Times New Roman" w:eastAsia="Times New Roman" w:hAnsi="Times New Roman" w:cs="Times New Roman"/>
                <w:b/>
                <w:sz w:val="20"/>
                <w:szCs w:val="20"/>
              </w:rPr>
              <w:t>Просвета и наука</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3678581" w14:textId="77777777" w:rsidR="00087313" w:rsidRDefault="00087313" w:rsidP="00087313">
            <w:pPr>
              <w:jc w:val="center"/>
            </w:pPr>
            <w:r w:rsidRPr="00003594">
              <w:rPr>
                <w:rFonts w:ascii="Times New Roman" w:hAnsi="Times New Roman" w:cs="Times New Roman"/>
                <w:sz w:val="20"/>
                <w:szCs w:val="20"/>
              </w:rPr>
              <w:t>7.159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69E6" w14:textId="77777777" w:rsidR="00087313" w:rsidRDefault="00087313" w:rsidP="00087313">
            <w:pPr>
              <w:jc w:val="center"/>
            </w:pPr>
            <w:r w:rsidRPr="00003594">
              <w:rPr>
                <w:rFonts w:ascii="Times New Roman" w:hAnsi="Times New Roman" w:cs="Times New Roman"/>
                <w:sz w:val="20"/>
                <w:szCs w:val="20"/>
              </w:rPr>
              <w:t>12</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73B2" w14:textId="77777777" w:rsidR="00087313" w:rsidRDefault="00087313" w:rsidP="00087313">
            <w:pPr>
              <w:jc w:val="center"/>
            </w:pPr>
            <w:r w:rsidRPr="00003594">
              <w:rPr>
                <w:rFonts w:ascii="Times New Roman" w:hAnsi="Times New Roman" w:cs="Times New Roman"/>
                <w:sz w:val="20"/>
                <w:szCs w:val="20"/>
              </w:rPr>
              <w:t>9.534.708</w:t>
            </w:r>
          </w:p>
        </w:tc>
        <w:tc>
          <w:tcPr>
            <w:tcW w:w="705" w:type="dxa"/>
            <w:tcBorders>
              <w:top w:val="single" w:sz="4" w:space="0" w:color="000000"/>
              <w:left w:val="single" w:sz="4" w:space="0" w:color="000000"/>
              <w:bottom w:val="single" w:sz="4" w:space="0" w:color="000000"/>
              <w:right w:val="single" w:sz="18" w:space="0" w:color="000000"/>
            </w:tcBorders>
            <w:vAlign w:val="center"/>
          </w:tcPr>
          <w:p w14:paraId="66C35704" w14:textId="77777777" w:rsidR="00087313" w:rsidRDefault="00087313" w:rsidP="00087313">
            <w:pPr>
              <w:jc w:val="center"/>
            </w:pPr>
            <w:r w:rsidRPr="00003594">
              <w:rPr>
                <w:rFonts w:ascii="Times New Roman" w:hAnsi="Times New Roman" w:cs="Times New Roman"/>
                <w:color w:val="auto"/>
                <w:sz w:val="20"/>
                <w:szCs w:val="20"/>
              </w:rPr>
              <w:t>5</w:t>
            </w:r>
          </w:p>
        </w:tc>
        <w:tc>
          <w:tcPr>
            <w:tcW w:w="1000" w:type="dxa"/>
            <w:tcBorders>
              <w:top w:val="single" w:sz="4" w:space="0" w:color="000000"/>
              <w:left w:val="nil"/>
              <w:bottom w:val="single" w:sz="4" w:space="0" w:color="000000"/>
              <w:right w:val="single" w:sz="4" w:space="0" w:color="000000"/>
            </w:tcBorders>
            <w:shd w:val="clear" w:color="auto" w:fill="auto"/>
            <w:vAlign w:val="center"/>
          </w:tcPr>
          <w:p w14:paraId="6EEE2F1C"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7.581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22C46"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12</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50DE"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10.238.512</w:t>
            </w:r>
          </w:p>
        </w:tc>
        <w:tc>
          <w:tcPr>
            <w:tcW w:w="762" w:type="dxa"/>
            <w:tcBorders>
              <w:top w:val="single" w:sz="4" w:space="0" w:color="000000"/>
              <w:left w:val="single" w:sz="4" w:space="0" w:color="000000"/>
              <w:bottom w:val="single" w:sz="4" w:space="0" w:color="000000"/>
              <w:right w:val="single" w:sz="18" w:space="0" w:color="000000"/>
            </w:tcBorders>
            <w:vAlign w:val="center"/>
          </w:tcPr>
          <w:p w14:paraId="6C6053E0"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5</w:t>
            </w:r>
          </w:p>
        </w:tc>
      </w:tr>
      <w:tr w:rsidR="00087313" w14:paraId="318DBE4F" w14:textId="77777777" w:rsidTr="00087313">
        <w:trPr>
          <w:jc w:val="center"/>
        </w:trPr>
        <w:tc>
          <w:tcPr>
            <w:tcW w:w="2207" w:type="dxa"/>
            <w:tcBorders>
              <w:top w:val="single" w:sz="4" w:space="0" w:color="000000"/>
              <w:left w:val="single" w:sz="18" w:space="0" w:color="000000"/>
              <w:bottom w:val="single" w:sz="4" w:space="0" w:color="000000"/>
              <w:right w:val="single" w:sz="18" w:space="0" w:color="000000"/>
            </w:tcBorders>
            <w:vAlign w:val="center"/>
          </w:tcPr>
          <w:p w14:paraId="03347D48" w14:textId="0C3B42CB" w:rsidR="00087313" w:rsidRPr="0065713F" w:rsidRDefault="0065713F" w:rsidP="00087313">
            <w:pPr>
              <w:jc w:val="center"/>
              <w:rPr>
                <w:lang w:val="sr-Cyrl-RS"/>
              </w:rPr>
            </w:pPr>
            <w:r>
              <w:rPr>
                <w:rFonts w:ascii="Times New Roman" w:eastAsia="Times New Roman" w:hAnsi="Times New Roman" w:cs="Times New Roman"/>
                <w:b/>
                <w:sz w:val="20"/>
                <w:szCs w:val="20"/>
                <w:lang w:val="sr-Cyrl-RS"/>
              </w:rPr>
              <w:t>Ј</w:t>
            </w:r>
            <w:r w:rsidR="00087313">
              <w:rPr>
                <w:rFonts w:ascii="Times New Roman" w:eastAsia="Times New Roman" w:hAnsi="Times New Roman" w:cs="Times New Roman"/>
                <w:b/>
                <w:sz w:val="20"/>
                <w:szCs w:val="20"/>
              </w:rPr>
              <w:t>авна предузећа/привредна друштва</w:t>
            </w:r>
            <w:r>
              <w:rPr>
                <w:rFonts w:ascii="Times New Roman" w:eastAsia="Times New Roman" w:hAnsi="Times New Roman" w:cs="Times New Roman"/>
                <w:b/>
                <w:sz w:val="20"/>
                <w:szCs w:val="20"/>
                <w:lang w:val="sr-Cyrl-RS"/>
              </w:rPr>
              <w:t>-републички ниво</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FB6D4E1" w14:textId="77777777" w:rsidR="00087313" w:rsidRDefault="00087313" w:rsidP="00087313">
            <w:pPr>
              <w:jc w:val="center"/>
            </w:pPr>
            <w:r w:rsidRPr="00003594">
              <w:rPr>
                <w:rFonts w:ascii="Times New Roman" w:hAnsi="Times New Roman" w:cs="Times New Roman"/>
                <w:sz w:val="20"/>
                <w:szCs w:val="20"/>
              </w:rPr>
              <w:t>12.016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652C" w14:textId="77777777" w:rsidR="00087313" w:rsidRDefault="00087313" w:rsidP="00087313">
            <w:pPr>
              <w:jc w:val="center"/>
            </w:pPr>
            <w:r w:rsidRPr="00003594">
              <w:rPr>
                <w:rFonts w:ascii="Times New Roman" w:hAnsi="Times New Roman" w:cs="Times New Roman"/>
                <w:sz w:val="20"/>
                <w:szCs w:val="20"/>
              </w:rPr>
              <w:t>20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34AFC" w14:textId="77777777" w:rsidR="00087313" w:rsidRDefault="00087313" w:rsidP="00087313">
            <w:pPr>
              <w:jc w:val="center"/>
            </w:pPr>
            <w:r w:rsidRPr="00003594">
              <w:rPr>
                <w:rFonts w:ascii="Times New Roman" w:hAnsi="Times New Roman" w:cs="Times New Roman"/>
                <w:sz w:val="20"/>
                <w:szCs w:val="20"/>
              </w:rPr>
              <w:t>66.123.631</w:t>
            </w:r>
          </w:p>
        </w:tc>
        <w:tc>
          <w:tcPr>
            <w:tcW w:w="705" w:type="dxa"/>
            <w:tcBorders>
              <w:top w:val="single" w:sz="4" w:space="0" w:color="000000"/>
              <w:left w:val="single" w:sz="4" w:space="0" w:color="000000"/>
              <w:bottom w:val="single" w:sz="4" w:space="0" w:color="000000"/>
              <w:right w:val="single" w:sz="18" w:space="0" w:color="000000"/>
            </w:tcBorders>
            <w:vAlign w:val="center"/>
          </w:tcPr>
          <w:p w14:paraId="2E408515" w14:textId="77777777" w:rsidR="00087313" w:rsidRDefault="00087313" w:rsidP="00087313">
            <w:pPr>
              <w:jc w:val="center"/>
            </w:pPr>
            <w:r w:rsidRPr="00003594">
              <w:rPr>
                <w:rFonts w:ascii="Times New Roman" w:hAnsi="Times New Roman" w:cs="Times New Roman"/>
                <w:color w:val="auto"/>
                <w:sz w:val="20"/>
                <w:szCs w:val="20"/>
              </w:rPr>
              <w:t>35</w:t>
            </w:r>
          </w:p>
        </w:tc>
        <w:tc>
          <w:tcPr>
            <w:tcW w:w="1000" w:type="dxa"/>
            <w:tcBorders>
              <w:top w:val="single" w:sz="4" w:space="0" w:color="000000"/>
              <w:left w:val="nil"/>
              <w:bottom w:val="single" w:sz="4" w:space="0" w:color="000000"/>
              <w:right w:val="single" w:sz="4" w:space="0" w:color="000000"/>
            </w:tcBorders>
            <w:shd w:val="clear" w:color="auto" w:fill="auto"/>
            <w:vAlign w:val="center"/>
          </w:tcPr>
          <w:p w14:paraId="7C3E40CE"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9.443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9184B"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16</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5E005"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65.058.523</w:t>
            </w:r>
          </w:p>
        </w:tc>
        <w:tc>
          <w:tcPr>
            <w:tcW w:w="762" w:type="dxa"/>
            <w:tcBorders>
              <w:top w:val="single" w:sz="4" w:space="0" w:color="000000"/>
              <w:left w:val="single" w:sz="4" w:space="0" w:color="000000"/>
              <w:bottom w:val="single" w:sz="4" w:space="0" w:color="000000"/>
              <w:right w:val="single" w:sz="18" w:space="0" w:color="000000"/>
            </w:tcBorders>
            <w:vAlign w:val="center"/>
          </w:tcPr>
          <w:p w14:paraId="33DFF383"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30</w:t>
            </w:r>
          </w:p>
        </w:tc>
      </w:tr>
      <w:tr w:rsidR="00087313" w14:paraId="61B314C5" w14:textId="77777777" w:rsidTr="00087313">
        <w:trPr>
          <w:jc w:val="center"/>
        </w:trPr>
        <w:tc>
          <w:tcPr>
            <w:tcW w:w="2207" w:type="dxa"/>
            <w:tcBorders>
              <w:top w:val="single" w:sz="4" w:space="0" w:color="000000"/>
              <w:left w:val="single" w:sz="18" w:space="0" w:color="000000"/>
              <w:bottom w:val="single" w:sz="4" w:space="0" w:color="000000"/>
              <w:right w:val="single" w:sz="18" w:space="0" w:color="000000"/>
            </w:tcBorders>
            <w:vAlign w:val="center"/>
          </w:tcPr>
          <w:p w14:paraId="25CAAEBF" w14:textId="77777777" w:rsidR="00087313" w:rsidRDefault="00087313" w:rsidP="00087313">
            <w:pPr>
              <w:jc w:val="center"/>
            </w:pPr>
            <w:r>
              <w:rPr>
                <w:rFonts w:ascii="Times New Roman" w:eastAsia="Times New Roman" w:hAnsi="Times New Roman" w:cs="Times New Roman"/>
                <w:b/>
                <w:sz w:val="20"/>
                <w:szCs w:val="20"/>
              </w:rPr>
              <w:t>Јавна предузећа-локална самоуправа</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B9EAB41" w14:textId="77777777" w:rsidR="00087313" w:rsidRDefault="00087313" w:rsidP="00087313">
            <w:pPr>
              <w:jc w:val="center"/>
            </w:pPr>
            <w:r w:rsidRPr="00003594">
              <w:rPr>
                <w:rFonts w:ascii="Times New Roman" w:hAnsi="Times New Roman" w:cs="Times New Roman"/>
                <w:sz w:val="20"/>
                <w:szCs w:val="20"/>
              </w:rPr>
              <w:t>8.068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CBC99" w14:textId="77777777" w:rsidR="00087313" w:rsidRDefault="00087313" w:rsidP="00087313">
            <w:pPr>
              <w:jc w:val="center"/>
            </w:pPr>
            <w:r w:rsidRPr="00003594">
              <w:rPr>
                <w:rFonts w:ascii="Times New Roman" w:hAnsi="Times New Roman" w:cs="Times New Roman"/>
                <w:sz w:val="20"/>
                <w:szCs w:val="20"/>
              </w:rPr>
              <w:t>13</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0749" w14:textId="77777777" w:rsidR="00087313" w:rsidRDefault="00087313" w:rsidP="00087313">
            <w:pPr>
              <w:jc w:val="center"/>
            </w:pPr>
            <w:r w:rsidRPr="00003594">
              <w:rPr>
                <w:rFonts w:ascii="Times New Roman" w:hAnsi="Times New Roman" w:cs="Times New Roman"/>
                <w:sz w:val="20"/>
                <w:szCs w:val="20"/>
              </w:rPr>
              <w:t>28.332.682</w:t>
            </w:r>
          </w:p>
        </w:tc>
        <w:tc>
          <w:tcPr>
            <w:tcW w:w="705" w:type="dxa"/>
            <w:tcBorders>
              <w:top w:val="single" w:sz="4" w:space="0" w:color="000000"/>
              <w:left w:val="single" w:sz="4" w:space="0" w:color="000000"/>
              <w:bottom w:val="single" w:sz="4" w:space="0" w:color="000000"/>
              <w:right w:val="single" w:sz="18" w:space="0" w:color="000000"/>
            </w:tcBorders>
            <w:vAlign w:val="center"/>
          </w:tcPr>
          <w:p w14:paraId="5F303CDB" w14:textId="77777777" w:rsidR="00087313" w:rsidRDefault="00087313" w:rsidP="00087313">
            <w:pPr>
              <w:jc w:val="center"/>
            </w:pPr>
            <w:r w:rsidRPr="00003594">
              <w:rPr>
                <w:rFonts w:ascii="Times New Roman" w:hAnsi="Times New Roman" w:cs="Times New Roman"/>
                <w:color w:val="auto"/>
                <w:sz w:val="20"/>
                <w:szCs w:val="20"/>
              </w:rPr>
              <w:t>15</w:t>
            </w:r>
          </w:p>
        </w:tc>
        <w:tc>
          <w:tcPr>
            <w:tcW w:w="1000" w:type="dxa"/>
            <w:tcBorders>
              <w:top w:val="single" w:sz="4" w:space="0" w:color="000000"/>
              <w:left w:val="nil"/>
              <w:bottom w:val="single" w:sz="4" w:space="0" w:color="000000"/>
              <w:right w:val="single" w:sz="4" w:space="0" w:color="000000"/>
            </w:tcBorders>
            <w:shd w:val="clear" w:color="auto" w:fill="auto"/>
            <w:vAlign w:val="center"/>
          </w:tcPr>
          <w:p w14:paraId="589B8662"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7.944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F3BDC"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13</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85417"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33.659.794</w:t>
            </w:r>
          </w:p>
        </w:tc>
        <w:tc>
          <w:tcPr>
            <w:tcW w:w="762" w:type="dxa"/>
            <w:tcBorders>
              <w:top w:val="single" w:sz="4" w:space="0" w:color="000000"/>
              <w:left w:val="single" w:sz="4" w:space="0" w:color="000000"/>
              <w:bottom w:val="single" w:sz="4" w:space="0" w:color="000000"/>
              <w:right w:val="single" w:sz="18" w:space="0" w:color="000000"/>
            </w:tcBorders>
            <w:vAlign w:val="center"/>
          </w:tcPr>
          <w:p w14:paraId="4B2EE925"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15</w:t>
            </w:r>
          </w:p>
        </w:tc>
      </w:tr>
      <w:tr w:rsidR="00087313" w14:paraId="64A9873A" w14:textId="77777777" w:rsidTr="00087313">
        <w:trPr>
          <w:jc w:val="center"/>
        </w:trPr>
        <w:tc>
          <w:tcPr>
            <w:tcW w:w="2207" w:type="dxa"/>
            <w:tcBorders>
              <w:top w:val="single" w:sz="4" w:space="0" w:color="000000"/>
              <w:left w:val="single" w:sz="18" w:space="0" w:color="000000"/>
              <w:bottom w:val="single" w:sz="8" w:space="0" w:color="000000"/>
              <w:right w:val="single" w:sz="18" w:space="0" w:color="000000"/>
            </w:tcBorders>
            <w:vAlign w:val="center"/>
          </w:tcPr>
          <w:p w14:paraId="2E30ABB9" w14:textId="77777777" w:rsidR="00087313" w:rsidRDefault="00087313" w:rsidP="00087313">
            <w:pPr>
              <w:jc w:val="center"/>
            </w:pPr>
            <w:r>
              <w:rPr>
                <w:rFonts w:ascii="Times New Roman" w:eastAsia="Times New Roman" w:hAnsi="Times New Roman" w:cs="Times New Roman"/>
                <w:b/>
                <w:sz w:val="20"/>
                <w:szCs w:val="20"/>
              </w:rPr>
              <w:t>Градска и општинска управа</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C38B01A" w14:textId="77777777" w:rsidR="00087313" w:rsidRDefault="00087313" w:rsidP="00087313">
            <w:pPr>
              <w:jc w:val="center"/>
            </w:pPr>
            <w:r w:rsidRPr="00003594">
              <w:rPr>
                <w:rFonts w:ascii="Times New Roman" w:hAnsi="Times New Roman" w:cs="Times New Roman"/>
                <w:sz w:val="20"/>
                <w:szCs w:val="20"/>
              </w:rPr>
              <w:t>4.554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88B65" w14:textId="77777777" w:rsidR="00087313" w:rsidRDefault="00087313" w:rsidP="00087313">
            <w:pPr>
              <w:jc w:val="center"/>
            </w:pPr>
            <w:r w:rsidRPr="00003594">
              <w:rPr>
                <w:rFonts w:ascii="Times New Roman" w:hAnsi="Times New Roman" w:cs="Times New Roman"/>
                <w:sz w:val="20"/>
                <w:szCs w:val="20"/>
              </w:rPr>
              <w:t>8</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7324" w14:textId="77777777" w:rsidR="00087313" w:rsidRDefault="00087313" w:rsidP="00087313">
            <w:pPr>
              <w:jc w:val="center"/>
            </w:pPr>
            <w:r w:rsidRPr="00003594">
              <w:rPr>
                <w:rFonts w:ascii="Times New Roman" w:hAnsi="Times New Roman" w:cs="Times New Roman"/>
                <w:sz w:val="20"/>
                <w:szCs w:val="20"/>
              </w:rPr>
              <w:t>23.103.760</w:t>
            </w:r>
          </w:p>
        </w:tc>
        <w:tc>
          <w:tcPr>
            <w:tcW w:w="705" w:type="dxa"/>
            <w:tcBorders>
              <w:top w:val="single" w:sz="4" w:space="0" w:color="000000"/>
              <w:left w:val="single" w:sz="4" w:space="0" w:color="000000"/>
              <w:bottom w:val="single" w:sz="8" w:space="0" w:color="000000"/>
              <w:right w:val="single" w:sz="18" w:space="0" w:color="000000"/>
            </w:tcBorders>
            <w:vAlign w:val="center"/>
          </w:tcPr>
          <w:p w14:paraId="2885F090" w14:textId="77777777" w:rsidR="00087313" w:rsidRDefault="00087313" w:rsidP="00087313">
            <w:pPr>
              <w:jc w:val="center"/>
            </w:pPr>
            <w:r w:rsidRPr="00003594">
              <w:rPr>
                <w:rFonts w:ascii="Times New Roman" w:hAnsi="Times New Roman" w:cs="Times New Roman"/>
                <w:color w:val="auto"/>
                <w:sz w:val="20"/>
                <w:szCs w:val="20"/>
              </w:rPr>
              <w:t>12</w:t>
            </w:r>
          </w:p>
        </w:tc>
        <w:tc>
          <w:tcPr>
            <w:tcW w:w="1000" w:type="dxa"/>
            <w:tcBorders>
              <w:top w:val="single" w:sz="4" w:space="0" w:color="000000"/>
              <w:left w:val="nil"/>
              <w:bottom w:val="single" w:sz="4" w:space="0" w:color="000000"/>
              <w:right w:val="single" w:sz="4" w:space="0" w:color="000000"/>
            </w:tcBorders>
            <w:shd w:val="clear" w:color="auto" w:fill="auto"/>
            <w:vAlign w:val="center"/>
          </w:tcPr>
          <w:p w14:paraId="356A9EE7"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4.810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CE8C"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8</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6A768"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23.208.511</w:t>
            </w:r>
          </w:p>
        </w:tc>
        <w:tc>
          <w:tcPr>
            <w:tcW w:w="762" w:type="dxa"/>
            <w:tcBorders>
              <w:top w:val="single" w:sz="4" w:space="0" w:color="000000"/>
              <w:left w:val="single" w:sz="4" w:space="0" w:color="000000"/>
              <w:bottom w:val="single" w:sz="8" w:space="0" w:color="000000"/>
              <w:right w:val="single" w:sz="18" w:space="0" w:color="000000"/>
            </w:tcBorders>
            <w:vAlign w:val="center"/>
          </w:tcPr>
          <w:p w14:paraId="7BF0EC63"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11</w:t>
            </w:r>
          </w:p>
        </w:tc>
      </w:tr>
      <w:tr w:rsidR="00087313" w14:paraId="6B0A190D" w14:textId="77777777" w:rsidTr="00087313">
        <w:trPr>
          <w:jc w:val="center"/>
        </w:trPr>
        <w:tc>
          <w:tcPr>
            <w:tcW w:w="2207" w:type="dxa"/>
            <w:tcBorders>
              <w:top w:val="single" w:sz="8" w:space="0" w:color="000000"/>
              <w:left w:val="single" w:sz="18" w:space="0" w:color="000000"/>
              <w:bottom w:val="single" w:sz="8" w:space="0" w:color="000000"/>
              <w:right w:val="single" w:sz="18" w:space="0" w:color="000000"/>
            </w:tcBorders>
            <w:vAlign w:val="center"/>
          </w:tcPr>
          <w:p w14:paraId="56B5A040" w14:textId="77777777" w:rsidR="00087313" w:rsidRDefault="00087313" w:rsidP="00087313">
            <w:pPr>
              <w:jc w:val="center"/>
            </w:pPr>
            <w:r>
              <w:rPr>
                <w:rFonts w:ascii="Times New Roman" w:eastAsia="Times New Roman" w:hAnsi="Times New Roman" w:cs="Times New Roman"/>
                <w:b/>
                <w:sz w:val="20"/>
                <w:szCs w:val="20"/>
              </w:rPr>
              <w:t>Удружења</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0D18B79" w14:textId="77777777" w:rsidR="00087313" w:rsidRDefault="00087313" w:rsidP="00087313">
            <w:pPr>
              <w:jc w:val="center"/>
            </w:pPr>
            <w:r w:rsidRPr="00003594">
              <w:rPr>
                <w:rFonts w:ascii="Times New Roman" w:hAnsi="Times New Roman" w:cs="Times New Roman"/>
                <w:sz w:val="20"/>
                <w:szCs w:val="20"/>
              </w:rPr>
              <w:t>317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05ABA" w14:textId="77777777" w:rsidR="00087313" w:rsidRDefault="00087313" w:rsidP="00087313">
            <w:pPr>
              <w:jc w:val="center"/>
            </w:pPr>
            <w:r w:rsidRPr="00003594">
              <w:rPr>
                <w:rFonts w:ascii="Times New Roman" w:hAnsi="Times New Roman" w:cs="Times New Roman"/>
                <w:sz w:val="20"/>
                <w:szCs w:val="20"/>
                <w:lang w:val="sr-Cyrl-CS"/>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6D22" w14:textId="77777777" w:rsidR="00087313" w:rsidRDefault="00087313" w:rsidP="00087313">
            <w:pPr>
              <w:jc w:val="center"/>
            </w:pPr>
            <w:r w:rsidRPr="00003594">
              <w:rPr>
                <w:rFonts w:ascii="Times New Roman" w:hAnsi="Times New Roman" w:cs="Times New Roman"/>
                <w:sz w:val="20"/>
                <w:szCs w:val="20"/>
              </w:rPr>
              <w:t>853.038</w:t>
            </w:r>
          </w:p>
        </w:tc>
        <w:tc>
          <w:tcPr>
            <w:tcW w:w="705" w:type="dxa"/>
            <w:tcBorders>
              <w:top w:val="single" w:sz="8" w:space="0" w:color="000000"/>
              <w:left w:val="single" w:sz="8" w:space="0" w:color="000000"/>
              <w:bottom w:val="single" w:sz="8" w:space="0" w:color="000000"/>
              <w:right w:val="single" w:sz="18" w:space="0" w:color="000000"/>
            </w:tcBorders>
            <w:vAlign w:val="center"/>
          </w:tcPr>
          <w:p w14:paraId="163889D8" w14:textId="77777777" w:rsidR="00087313" w:rsidRDefault="00087313" w:rsidP="00087313">
            <w:pPr>
              <w:jc w:val="center"/>
            </w:pPr>
            <w:r w:rsidRPr="00003594">
              <w:rPr>
                <w:rFonts w:ascii="Times New Roman" w:hAnsi="Times New Roman" w:cs="Times New Roman"/>
                <w:color w:val="auto"/>
                <w:sz w:val="20"/>
                <w:szCs w:val="20"/>
              </w:rPr>
              <w:t>0</w:t>
            </w:r>
          </w:p>
        </w:tc>
        <w:tc>
          <w:tcPr>
            <w:tcW w:w="1000" w:type="dxa"/>
            <w:tcBorders>
              <w:top w:val="single" w:sz="4" w:space="0" w:color="000000"/>
              <w:left w:val="nil"/>
              <w:bottom w:val="single" w:sz="4" w:space="0" w:color="000000"/>
              <w:right w:val="single" w:sz="4" w:space="0" w:color="000000"/>
            </w:tcBorders>
            <w:shd w:val="clear" w:color="auto" w:fill="auto"/>
            <w:vAlign w:val="center"/>
          </w:tcPr>
          <w:p w14:paraId="120CEACE"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305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89151"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B97E8"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1.044.661</w:t>
            </w:r>
          </w:p>
        </w:tc>
        <w:tc>
          <w:tcPr>
            <w:tcW w:w="762" w:type="dxa"/>
            <w:tcBorders>
              <w:top w:val="single" w:sz="8" w:space="0" w:color="000000"/>
              <w:left w:val="single" w:sz="8" w:space="0" w:color="000000"/>
              <w:bottom w:val="single" w:sz="8" w:space="0" w:color="000000"/>
              <w:right w:val="single" w:sz="18" w:space="0" w:color="000000"/>
            </w:tcBorders>
            <w:vAlign w:val="center"/>
          </w:tcPr>
          <w:p w14:paraId="23CF8410"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0</w:t>
            </w:r>
          </w:p>
        </w:tc>
      </w:tr>
      <w:tr w:rsidR="00087313" w14:paraId="44AB214F" w14:textId="77777777" w:rsidTr="00087313">
        <w:trPr>
          <w:jc w:val="center"/>
        </w:trPr>
        <w:tc>
          <w:tcPr>
            <w:tcW w:w="2207" w:type="dxa"/>
            <w:tcBorders>
              <w:top w:val="single" w:sz="8" w:space="0" w:color="000000"/>
              <w:left w:val="single" w:sz="18" w:space="0" w:color="000000"/>
              <w:bottom w:val="single" w:sz="18" w:space="0" w:color="000000"/>
              <w:right w:val="single" w:sz="18" w:space="0" w:color="000000"/>
            </w:tcBorders>
            <w:vAlign w:val="center"/>
          </w:tcPr>
          <w:p w14:paraId="7D6FED3F" w14:textId="77777777" w:rsidR="00087313" w:rsidRDefault="00087313" w:rsidP="00087313">
            <w:pPr>
              <w:jc w:val="center"/>
            </w:pPr>
            <w:r>
              <w:rPr>
                <w:rFonts w:ascii="Times New Roman" w:eastAsia="Times New Roman" w:hAnsi="Times New Roman" w:cs="Times New Roman"/>
                <w:b/>
                <w:sz w:val="20"/>
                <w:szCs w:val="20"/>
              </w:rPr>
              <w:t>Фондације и задужбине</w:t>
            </w:r>
          </w:p>
        </w:tc>
        <w:tc>
          <w:tcPr>
            <w:tcW w:w="992" w:type="dxa"/>
            <w:tcBorders>
              <w:top w:val="single" w:sz="4" w:space="0" w:color="000000"/>
              <w:left w:val="nil"/>
              <w:bottom w:val="single" w:sz="12" w:space="0" w:color="000000"/>
              <w:right w:val="single" w:sz="4" w:space="0" w:color="000000"/>
            </w:tcBorders>
            <w:shd w:val="clear" w:color="auto" w:fill="auto"/>
            <w:vAlign w:val="center"/>
          </w:tcPr>
          <w:p w14:paraId="49ED8EE2" w14:textId="77777777" w:rsidR="00087313" w:rsidRDefault="00087313" w:rsidP="00087313">
            <w:pPr>
              <w:jc w:val="center"/>
            </w:pPr>
            <w:r w:rsidRPr="00003594">
              <w:rPr>
                <w:rFonts w:ascii="Times New Roman" w:hAnsi="Times New Roman" w:cs="Times New Roman"/>
                <w:sz w:val="20"/>
                <w:szCs w:val="20"/>
              </w:rPr>
              <w:t>15</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98F5DD3" w14:textId="77777777" w:rsidR="00087313" w:rsidRDefault="00087313" w:rsidP="00087313">
            <w:pPr>
              <w:jc w:val="center"/>
            </w:pPr>
            <w:r w:rsidRPr="00003594">
              <w:rPr>
                <w:rFonts w:ascii="Times New Roman" w:hAnsi="Times New Roman" w:cs="Times New Roman"/>
                <w:sz w:val="20"/>
                <w:szCs w:val="20"/>
              </w:rPr>
              <w:t>0</w:t>
            </w:r>
          </w:p>
        </w:tc>
        <w:tc>
          <w:tcPr>
            <w:tcW w:w="127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C0F4CCE" w14:textId="77777777" w:rsidR="00087313" w:rsidRDefault="00087313" w:rsidP="00087313">
            <w:pPr>
              <w:jc w:val="center"/>
            </w:pPr>
            <w:r w:rsidRPr="00003594">
              <w:rPr>
                <w:rFonts w:ascii="Times New Roman" w:hAnsi="Times New Roman" w:cs="Times New Roman"/>
                <w:sz w:val="20"/>
                <w:szCs w:val="20"/>
              </w:rPr>
              <w:t>34.296</w:t>
            </w:r>
          </w:p>
        </w:tc>
        <w:tc>
          <w:tcPr>
            <w:tcW w:w="705" w:type="dxa"/>
            <w:tcBorders>
              <w:top w:val="single" w:sz="8" w:space="0" w:color="000000"/>
              <w:left w:val="single" w:sz="8" w:space="0" w:color="000000"/>
              <w:bottom w:val="single" w:sz="12" w:space="0" w:color="000000"/>
              <w:right w:val="single" w:sz="18" w:space="0" w:color="000000"/>
            </w:tcBorders>
            <w:vAlign w:val="center"/>
          </w:tcPr>
          <w:p w14:paraId="02025CEC" w14:textId="77777777" w:rsidR="00087313" w:rsidRDefault="00087313" w:rsidP="00087313">
            <w:pPr>
              <w:jc w:val="center"/>
            </w:pPr>
            <w:r w:rsidRPr="00003594">
              <w:rPr>
                <w:rFonts w:ascii="Times New Roman" w:hAnsi="Times New Roman" w:cs="Times New Roman"/>
                <w:color w:val="auto"/>
                <w:sz w:val="20"/>
                <w:szCs w:val="20"/>
              </w:rPr>
              <w:t>0</w:t>
            </w:r>
          </w:p>
        </w:tc>
        <w:tc>
          <w:tcPr>
            <w:tcW w:w="1000" w:type="dxa"/>
            <w:tcBorders>
              <w:top w:val="single" w:sz="4" w:space="0" w:color="000000"/>
              <w:left w:val="nil"/>
              <w:bottom w:val="single" w:sz="12" w:space="0" w:color="000000"/>
              <w:right w:val="single" w:sz="4" w:space="0" w:color="000000"/>
            </w:tcBorders>
            <w:shd w:val="clear" w:color="auto" w:fill="auto"/>
            <w:vAlign w:val="center"/>
          </w:tcPr>
          <w:p w14:paraId="2FB3744C"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13</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28141AF"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0</w:t>
            </w:r>
          </w:p>
        </w:tc>
        <w:tc>
          <w:tcPr>
            <w:tcW w:w="136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3C1984A"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6.788</w:t>
            </w:r>
          </w:p>
        </w:tc>
        <w:tc>
          <w:tcPr>
            <w:tcW w:w="762" w:type="dxa"/>
            <w:tcBorders>
              <w:top w:val="single" w:sz="8" w:space="0" w:color="000000"/>
              <w:left w:val="single" w:sz="8" w:space="0" w:color="000000"/>
              <w:bottom w:val="single" w:sz="12" w:space="0" w:color="000000"/>
              <w:right w:val="single" w:sz="18" w:space="0" w:color="000000"/>
            </w:tcBorders>
            <w:vAlign w:val="center"/>
          </w:tcPr>
          <w:p w14:paraId="34FC0DD3" w14:textId="77777777" w:rsidR="00087313" w:rsidRPr="003E3A37" w:rsidRDefault="00087313" w:rsidP="00087313">
            <w:pPr>
              <w:jc w:val="center"/>
              <w:rPr>
                <w:rFonts w:ascii="Times New Roman" w:hAnsi="Times New Roman" w:cs="Times New Roman"/>
                <w:sz w:val="20"/>
                <w:szCs w:val="20"/>
              </w:rPr>
            </w:pPr>
            <w:r w:rsidRPr="00087313">
              <w:rPr>
                <w:rFonts w:ascii="Times New Roman" w:hAnsi="Times New Roman" w:cs="Times New Roman"/>
                <w:sz w:val="20"/>
                <w:szCs w:val="20"/>
              </w:rPr>
              <w:t>0</w:t>
            </w:r>
          </w:p>
        </w:tc>
      </w:tr>
      <w:tr w:rsidR="00087313" w14:paraId="2E796524" w14:textId="77777777" w:rsidTr="00087313">
        <w:trPr>
          <w:jc w:val="center"/>
        </w:trPr>
        <w:tc>
          <w:tcPr>
            <w:tcW w:w="2207" w:type="dxa"/>
            <w:tcBorders>
              <w:top w:val="single" w:sz="18" w:space="0" w:color="000000"/>
              <w:left w:val="single" w:sz="18" w:space="0" w:color="000000"/>
              <w:bottom w:val="single" w:sz="18" w:space="0" w:color="000000"/>
              <w:right w:val="single" w:sz="18" w:space="0" w:color="000000"/>
            </w:tcBorders>
            <w:vAlign w:val="center"/>
          </w:tcPr>
          <w:p w14:paraId="74299C60" w14:textId="77777777" w:rsidR="00087313" w:rsidRDefault="00087313" w:rsidP="00087313">
            <w:pPr>
              <w:jc w:val="center"/>
            </w:pPr>
            <w:r>
              <w:rPr>
                <w:rFonts w:ascii="Times New Roman" w:eastAsia="Times New Roman" w:hAnsi="Times New Roman" w:cs="Times New Roman"/>
                <w:b/>
                <w:sz w:val="20"/>
                <w:szCs w:val="20"/>
              </w:rPr>
              <w:t>Укупно</w:t>
            </w:r>
          </w:p>
        </w:tc>
        <w:tc>
          <w:tcPr>
            <w:tcW w:w="992" w:type="dxa"/>
            <w:tcBorders>
              <w:top w:val="single" w:sz="12" w:space="0" w:color="000000"/>
              <w:left w:val="nil"/>
              <w:bottom w:val="single" w:sz="18" w:space="0" w:color="000000"/>
              <w:right w:val="single" w:sz="2" w:space="0" w:color="000000"/>
            </w:tcBorders>
            <w:shd w:val="clear" w:color="auto" w:fill="auto"/>
            <w:vAlign w:val="bottom"/>
          </w:tcPr>
          <w:p w14:paraId="7B61166B" w14:textId="77777777" w:rsidR="00087313" w:rsidRDefault="00087313" w:rsidP="00087313">
            <w:pPr>
              <w:jc w:val="center"/>
            </w:pPr>
            <w:r w:rsidRPr="00003594">
              <w:rPr>
                <w:rFonts w:ascii="Times New Roman" w:hAnsi="Times New Roman" w:cs="Times New Roman"/>
                <w:b/>
                <w:color w:val="auto"/>
                <w:sz w:val="20"/>
                <w:szCs w:val="20"/>
              </w:rPr>
              <w:t>60.475</w:t>
            </w:r>
          </w:p>
        </w:tc>
        <w:tc>
          <w:tcPr>
            <w:tcW w:w="567" w:type="dxa"/>
            <w:tcBorders>
              <w:top w:val="single" w:sz="12" w:space="0" w:color="000000"/>
              <w:left w:val="single" w:sz="2" w:space="0" w:color="000000"/>
              <w:bottom w:val="single" w:sz="18" w:space="0" w:color="000000"/>
              <w:right w:val="single" w:sz="2" w:space="0" w:color="000000"/>
            </w:tcBorders>
            <w:shd w:val="clear" w:color="auto" w:fill="auto"/>
            <w:vAlign w:val="bottom"/>
          </w:tcPr>
          <w:p w14:paraId="56A5F756" w14:textId="77777777" w:rsidR="00087313" w:rsidRDefault="00087313" w:rsidP="00087313">
            <w:pPr>
              <w:jc w:val="center"/>
            </w:pPr>
            <w:r w:rsidRPr="00003594">
              <w:rPr>
                <w:rFonts w:ascii="Times New Roman" w:hAnsi="Times New Roman" w:cs="Times New Roman"/>
                <w:b/>
                <w:color w:val="auto"/>
                <w:sz w:val="20"/>
                <w:szCs w:val="20"/>
              </w:rPr>
              <w:t>100</w:t>
            </w:r>
          </w:p>
        </w:tc>
        <w:tc>
          <w:tcPr>
            <w:tcW w:w="1272" w:type="dxa"/>
            <w:tcBorders>
              <w:top w:val="single" w:sz="12" w:space="0" w:color="000000"/>
              <w:left w:val="single" w:sz="2" w:space="0" w:color="000000"/>
              <w:bottom w:val="single" w:sz="18" w:space="0" w:color="000000"/>
              <w:right w:val="single" w:sz="2" w:space="0" w:color="000000"/>
            </w:tcBorders>
            <w:shd w:val="clear" w:color="auto" w:fill="auto"/>
            <w:vAlign w:val="bottom"/>
          </w:tcPr>
          <w:p w14:paraId="380E90CF" w14:textId="77777777" w:rsidR="00087313" w:rsidRDefault="00087313" w:rsidP="00087313">
            <w:pPr>
              <w:jc w:val="center"/>
            </w:pPr>
            <w:r w:rsidRPr="00003594">
              <w:rPr>
                <w:rFonts w:ascii="Times New Roman" w:hAnsi="Times New Roman" w:cs="Times New Roman"/>
                <w:b/>
                <w:color w:val="auto"/>
                <w:sz w:val="20"/>
                <w:szCs w:val="20"/>
              </w:rPr>
              <w:t>188.358.108</w:t>
            </w:r>
          </w:p>
        </w:tc>
        <w:tc>
          <w:tcPr>
            <w:tcW w:w="705" w:type="dxa"/>
            <w:tcBorders>
              <w:top w:val="single" w:sz="12" w:space="0" w:color="000000"/>
              <w:left w:val="single" w:sz="2" w:space="0" w:color="000000"/>
              <w:bottom w:val="single" w:sz="18" w:space="0" w:color="000000"/>
              <w:right w:val="single" w:sz="18" w:space="0" w:color="000000"/>
            </w:tcBorders>
            <w:shd w:val="clear" w:color="auto" w:fill="auto"/>
            <w:vAlign w:val="bottom"/>
          </w:tcPr>
          <w:p w14:paraId="21D624A0" w14:textId="77777777" w:rsidR="00087313" w:rsidRDefault="00087313" w:rsidP="00087313">
            <w:pPr>
              <w:jc w:val="center"/>
            </w:pPr>
            <w:r w:rsidRPr="00003594">
              <w:rPr>
                <w:rFonts w:ascii="Times New Roman" w:hAnsi="Times New Roman" w:cs="Times New Roman"/>
                <w:b/>
                <w:color w:val="auto"/>
                <w:sz w:val="20"/>
                <w:szCs w:val="20"/>
              </w:rPr>
              <w:t>100</w:t>
            </w:r>
          </w:p>
        </w:tc>
        <w:tc>
          <w:tcPr>
            <w:tcW w:w="1000" w:type="dxa"/>
            <w:tcBorders>
              <w:top w:val="single" w:sz="12" w:space="0" w:color="000000"/>
              <w:left w:val="nil"/>
              <w:bottom w:val="single" w:sz="18" w:space="0" w:color="000000"/>
              <w:right w:val="single" w:sz="2" w:space="0" w:color="000000"/>
            </w:tcBorders>
            <w:shd w:val="clear" w:color="auto" w:fill="auto"/>
            <w:vAlign w:val="center"/>
          </w:tcPr>
          <w:p w14:paraId="2F47D648" w14:textId="77777777" w:rsidR="00087313" w:rsidRPr="003E3A37" w:rsidRDefault="00087313" w:rsidP="00087313">
            <w:pPr>
              <w:jc w:val="center"/>
              <w:rPr>
                <w:rFonts w:ascii="Times New Roman" w:hAnsi="Times New Roman" w:cs="Times New Roman"/>
                <w:b/>
                <w:sz w:val="20"/>
                <w:szCs w:val="20"/>
              </w:rPr>
            </w:pPr>
            <w:r w:rsidRPr="003E3A37">
              <w:rPr>
                <w:rFonts w:ascii="Times New Roman" w:hAnsi="Times New Roman" w:cs="Times New Roman"/>
                <w:b/>
                <w:sz w:val="20"/>
                <w:szCs w:val="20"/>
              </w:rPr>
              <w:t>60.696</w:t>
            </w:r>
          </w:p>
        </w:tc>
        <w:tc>
          <w:tcPr>
            <w:tcW w:w="567" w:type="dxa"/>
            <w:tcBorders>
              <w:top w:val="single" w:sz="12" w:space="0" w:color="000000"/>
              <w:left w:val="single" w:sz="2" w:space="0" w:color="000000"/>
              <w:bottom w:val="single" w:sz="18" w:space="0" w:color="000000"/>
              <w:right w:val="single" w:sz="2" w:space="0" w:color="000000"/>
            </w:tcBorders>
            <w:shd w:val="clear" w:color="auto" w:fill="auto"/>
            <w:vAlign w:val="center"/>
          </w:tcPr>
          <w:p w14:paraId="71F45EEC" w14:textId="77777777" w:rsidR="00087313" w:rsidRPr="00083C03" w:rsidRDefault="002273A1" w:rsidP="00087313">
            <w:pPr>
              <w:jc w:val="center"/>
              <w:rPr>
                <w:rFonts w:ascii="Times New Roman" w:hAnsi="Times New Roman" w:cs="Times New Roman"/>
                <w:b/>
                <w:sz w:val="20"/>
                <w:szCs w:val="20"/>
                <w:lang w:val="sr-Latn-RS"/>
              </w:rPr>
            </w:pPr>
            <w:r>
              <w:rPr>
                <w:rFonts w:ascii="Times New Roman" w:hAnsi="Times New Roman" w:cs="Times New Roman"/>
                <w:b/>
                <w:sz w:val="20"/>
                <w:szCs w:val="20"/>
                <w:lang w:val="en-GB"/>
              </w:rPr>
              <w:t>100</w:t>
            </w:r>
          </w:p>
        </w:tc>
        <w:tc>
          <w:tcPr>
            <w:tcW w:w="1364" w:type="dxa"/>
            <w:tcBorders>
              <w:top w:val="single" w:sz="12" w:space="0" w:color="000000"/>
              <w:left w:val="single" w:sz="2" w:space="0" w:color="000000"/>
              <w:bottom w:val="single" w:sz="18" w:space="0" w:color="000000"/>
              <w:right w:val="single" w:sz="2" w:space="0" w:color="000000"/>
            </w:tcBorders>
            <w:shd w:val="clear" w:color="auto" w:fill="auto"/>
            <w:vAlign w:val="center"/>
          </w:tcPr>
          <w:p w14:paraId="46EA6A9C" w14:textId="77777777" w:rsidR="00087313" w:rsidRPr="003E3A37" w:rsidRDefault="00087313" w:rsidP="00087313">
            <w:pPr>
              <w:jc w:val="center"/>
              <w:rPr>
                <w:rFonts w:ascii="Times New Roman" w:hAnsi="Times New Roman" w:cs="Times New Roman"/>
                <w:b/>
                <w:sz w:val="20"/>
                <w:szCs w:val="20"/>
              </w:rPr>
            </w:pPr>
            <w:r w:rsidRPr="003E3A37">
              <w:rPr>
                <w:rFonts w:ascii="Times New Roman" w:hAnsi="Times New Roman" w:cs="Times New Roman"/>
                <w:b/>
                <w:sz w:val="20"/>
                <w:szCs w:val="20"/>
              </w:rPr>
              <w:t>217.276.719</w:t>
            </w:r>
          </w:p>
        </w:tc>
        <w:tc>
          <w:tcPr>
            <w:tcW w:w="762" w:type="dxa"/>
            <w:tcBorders>
              <w:top w:val="single" w:sz="12" w:space="0" w:color="000000"/>
              <w:left w:val="single" w:sz="2" w:space="0" w:color="000000"/>
              <w:bottom w:val="single" w:sz="18" w:space="0" w:color="000000"/>
              <w:right w:val="single" w:sz="18" w:space="0" w:color="000000"/>
            </w:tcBorders>
            <w:shd w:val="clear" w:color="auto" w:fill="auto"/>
            <w:vAlign w:val="center"/>
          </w:tcPr>
          <w:p w14:paraId="2A08CBA6" w14:textId="77777777" w:rsidR="00087313" w:rsidRPr="003E3A37" w:rsidRDefault="00087313" w:rsidP="00087313">
            <w:pPr>
              <w:jc w:val="center"/>
              <w:rPr>
                <w:rFonts w:ascii="Times New Roman" w:hAnsi="Times New Roman" w:cs="Times New Roman"/>
                <w:b/>
                <w:sz w:val="20"/>
                <w:szCs w:val="20"/>
              </w:rPr>
            </w:pPr>
            <w:r w:rsidRPr="003E3A37">
              <w:rPr>
                <w:rFonts w:ascii="Times New Roman" w:hAnsi="Times New Roman" w:cs="Times New Roman"/>
                <w:b/>
                <w:sz w:val="20"/>
                <w:szCs w:val="20"/>
              </w:rPr>
              <w:t>100</w:t>
            </w:r>
          </w:p>
        </w:tc>
      </w:tr>
    </w:tbl>
    <w:p w14:paraId="0229D4A6" w14:textId="77777777" w:rsidR="0081466B" w:rsidRDefault="004F0DED">
      <w:pPr>
        <w:jc w:val="both"/>
      </w:pPr>
      <w:r>
        <w:rPr>
          <w:rFonts w:ascii="Times New Roman" w:eastAsia="Times New Roman" w:hAnsi="Times New Roman" w:cs="Times New Roman"/>
          <w:sz w:val="24"/>
          <w:szCs w:val="24"/>
        </w:rPr>
        <w:t xml:space="preserve"> *Вредности су изражене у хиљадама динара</w:t>
      </w:r>
    </w:p>
    <w:p w14:paraId="19CF8B1F" w14:textId="77777777" w:rsidR="0081466B" w:rsidRPr="00CA130F" w:rsidRDefault="004F0DED">
      <w:pPr>
        <w:jc w:val="both"/>
        <w:rPr>
          <w:rFonts w:ascii="Times New Roman" w:eastAsia="Times New Roman" w:hAnsi="Times New Roman" w:cs="Times New Roman"/>
          <w:b/>
          <w:color w:val="FF0000"/>
          <w:sz w:val="24"/>
          <w:szCs w:val="24"/>
          <w:lang w:val="sr-Latn-RS"/>
        </w:rPr>
      </w:pPr>
      <w:r>
        <w:rPr>
          <w:rFonts w:ascii="Times New Roman" w:eastAsia="Times New Roman" w:hAnsi="Times New Roman" w:cs="Times New Roman"/>
          <w:b/>
          <w:color w:val="FF0000"/>
          <w:sz w:val="24"/>
          <w:szCs w:val="24"/>
        </w:rPr>
        <w:t xml:space="preserve"> </w:t>
      </w:r>
      <w:r w:rsidR="00CA130F">
        <w:rPr>
          <w:rFonts w:ascii="Times New Roman" w:eastAsia="Times New Roman" w:hAnsi="Times New Roman" w:cs="Times New Roman"/>
          <w:b/>
          <w:color w:val="FF0000"/>
          <w:sz w:val="24"/>
          <w:szCs w:val="24"/>
          <w:lang w:val="sr-Cyrl-CS"/>
        </w:rPr>
        <w:t xml:space="preserve"> </w:t>
      </w:r>
    </w:p>
    <w:p w14:paraId="4A18DB30" w14:textId="77777777" w:rsidR="00720C10" w:rsidRDefault="00720C10">
      <w:pPr>
        <w:jc w:val="both"/>
        <w:rPr>
          <w:rFonts w:ascii="Times New Roman" w:eastAsia="Times New Roman" w:hAnsi="Times New Roman" w:cs="Times New Roman"/>
          <w:b/>
          <w:color w:val="FF0000"/>
          <w:sz w:val="24"/>
          <w:szCs w:val="24"/>
        </w:rPr>
      </w:pPr>
    </w:p>
    <w:p w14:paraId="369D9063" w14:textId="77777777" w:rsidR="00720C10" w:rsidRDefault="00720C10">
      <w:pPr>
        <w:jc w:val="both"/>
        <w:rPr>
          <w:rFonts w:ascii="Times New Roman" w:eastAsia="Times New Roman" w:hAnsi="Times New Roman" w:cs="Times New Roman"/>
          <w:b/>
          <w:color w:val="FF0000"/>
          <w:sz w:val="24"/>
          <w:szCs w:val="24"/>
        </w:rPr>
      </w:pPr>
    </w:p>
    <w:p w14:paraId="55B8F889" w14:textId="77777777" w:rsidR="00720C10" w:rsidRDefault="00720C10">
      <w:pPr>
        <w:jc w:val="both"/>
        <w:rPr>
          <w:rFonts w:ascii="Times New Roman" w:eastAsia="Times New Roman" w:hAnsi="Times New Roman" w:cs="Times New Roman"/>
          <w:b/>
          <w:color w:val="FF0000"/>
          <w:sz w:val="24"/>
          <w:szCs w:val="24"/>
        </w:rPr>
      </w:pPr>
    </w:p>
    <w:p w14:paraId="3423800E" w14:textId="3768EED6" w:rsidR="00720C10" w:rsidRDefault="00720C10">
      <w:pPr>
        <w:jc w:val="both"/>
        <w:rPr>
          <w:rFonts w:ascii="Times New Roman" w:eastAsia="Times New Roman" w:hAnsi="Times New Roman" w:cs="Times New Roman"/>
          <w:b/>
          <w:color w:val="FF0000"/>
          <w:sz w:val="24"/>
          <w:szCs w:val="24"/>
        </w:rPr>
      </w:pPr>
    </w:p>
    <w:p w14:paraId="4F9F6A33" w14:textId="77777777" w:rsidR="007C3042" w:rsidRDefault="007C3042">
      <w:pPr>
        <w:jc w:val="both"/>
        <w:rPr>
          <w:rFonts w:ascii="Times New Roman" w:eastAsia="Times New Roman" w:hAnsi="Times New Roman" w:cs="Times New Roman"/>
          <w:b/>
          <w:color w:val="FF0000"/>
          <w:sz w:val="24"/>
          <w:szCs w:val="24"/>
        </w:rPr>
      </w:pPr>
    </w:p>
    <w:p w14:paraId="50F45C39" w14:textId="77777777" w:rsidR="00720C10" w:rsidRPr="00E3457A" w:rsidRDefault="00720C10" w:rsidP="00720C10">
      <w:pPr>
        <w:jc w:val="both"/>
        <w:rPr>
          <w:rFonts w:ascii="Times New Roman" w:eastAsia="Times New Roman" w:hAnsi="Times New Roman" w:cs="Times New Roman"/>
          <w:color w:val="auto"/>
          <w:sz w:val="24"/>
          <w:szCs w:val="24"/>
          <w:lang w:val="sr-Cyrl-CS"/>
        </w:rPr>
      </w:pPr>
      <w:r w:rsidRPr="00E3457A">
        <w:rPr>
          <w:rFonts w:ascii="Times New Roman" w:hAnsi="Times New Roman" w:cs="Times New Roman"/>
          <w:sz w:val="24"/>
          <w:szCs w:val="24"/>
        </w:rPr>
        <w:lastRenderedPageBreak/>
        <w:t>Највећи наручиоци</w:t>
      </w:r>
      <w:r w:rsidRPr="00E3457A">
        <w:rPr>
          <w:rFonts w:ascii="Times New Roman" w:eastAsia="Times New Roman" w:hAnsi="Times New Roman" w:cs="Times New Roman"/>
          <w:color w:val="auto"/>
          <w:sz w:val="24"/>
          <w:szCs w:val="24"/>
          <w:lang w:val="sr-Cyrl-CS"/>
        </w:rPr>
        <w:t xml:space="preserve"> по вредности закључених</w:t>
      </w:r>
      <w:r w:rsidR="00E3457A">
        <w:rPr>
          <w:rFonts w:ascii="Times New Roman" w:eastAsia="Times New Roman" w:hAnsi="Times New Roman" w:cs="Times New Roman"/>
          <w:color w:val="auto"/>
          <w:sz w:val="24"/>
          <w:szCs w:val="24"/>
          <w:lang w:val="sr-Cyrl-CS"/>
        </w:rPr>
        <w:t xml:space="preserve"> уговора приказани су у табели 5</w:t>
      </w:r>
      <w:r w:rsidRPr="00E3457A">
        <w:rPr>
          <w:rFonts w:ascii="Times New Roman" w:eastAsia="Times New Roman" w:hAnsi="Times New Roman" w:cs="Times New Roman"/>
          <w:color w:val="auto"/>
          <w:sz w:val="24"/>
          <w:szCs w:val="24"/>
          <w:lang w:val="sr-Cyrl-CS"/>
        </w:rPr>
        <w:t>.</w:t>
      </w:r>
    </w:p>
    <w:p w14:paraId="4982C6F4" w14:textId="77777777" w:rsidR="00720C10" w:rsidRPr="00E3457A" w:rsidRDefault="00720C10" w:rsidP="00720C10">
      <w:pPr>
        <w:jc w:val="both"/>
        <w:rPr>
          <w:rFonts w:ascii="Times New Roman" w:eastAsia="Times New Roman" w:hAnsi="Times New Roman" w:cs="Times New Roman"/>
          <w:b/>
          <w:color w:val="FF0000"/>
          <w:sz w:val="24"/>
          <w:szCs w:val="24"/>
          <w:lang w:val="sr-Cyrl-CS"/>
        </w:rPr>
      </w:pPr>
      <w:r>
        <w:rPr>
          <w:rFonts w:ascii="Times New Roman" w:eastAsia="Times New Roman" w:hAnsi="Times New Roman" w:cs="Times New Roman"/>
          <w:b/>
          <w:color w:val="auto"/>
          <w:sz w:val="24"/>
          <w:szCs w:val="24"/>
          <w:lang w:val="sr-Cyrl-CS"/>
        </w:rPr>
        <w:t xml:space="preserve"> </w:t>
      </w:r>
      <w:r w:rsidRPr="007C3042">
        <w:rPr>
          <w:rFonts w:ascii="Times New Roman" w:eastAsia="Times New Roman" w:hAnsi="Times New Roman" w:cs="Times New Roman"/>
          <w:b/>
          <w:color w:val="auto"/>
          <w:sz w:val="24"/>
          <w:szCs w:val="24"/>
          <w:lang w:val="sr-Cyrl-CS"/>
        </w:rPr>
        <w:t xml:space="preserve">Табела </w:t>
      </w:r>
      <w:r w:rsidR="000A14C7" w:rsidRPr="007C3042">
        <w:rPr>
          <w:rFonts w:ascii="Times New Roman" w:eastAsia="Times New Roman" w:hAnsi="Times New Roman" w:cs="Times New Roman"/>
          <w:b/>
          <w:color w:val="auto"/>
          <w:sz w:val="24"/>
          <w:szCs w:val="24"/>
          <w:lang w:val="sr-Cyrl-CS"/>
        </w:rPr>
        <w:t>5</w:t>
      </w:r>
    </w:p>
    <w:tbl>
      <w:tblPr>
        <w:tblW w:w="9298" w:type="dxa"/>
        <w:tblInd w:w="-5" w:type="dxa"/>
        <w:tblLook w:val="04A0" w:firstRow="1" w:lastRow="0" w:firstColumn="1" w:lastColumn="0" w:noHBand="0" w:noVBand="1"/>
      </w:tblPr>
      <w:tblGrid>
        <w:gridCol w:w="6760"/>
        <w:gridCol w:w="1121"/>
        <w:gridCol w:w="1417"/>
      </w:tblGrid>
      <w:tr w:rsidR="00E704DB" w:rsidRPr="00E3457A" w14:paraId="45E49461" w14:textId="77777777" w:rsidTr="00E704DB">
        <w:trPr>
          <w:trHeight w:val="300"/>
        </w:trPr>
        <w:tc>
          <w:tcPr>
            <w:tcW w:w="9298" w:type="dxa"/>
            <w:gridSpan w:val="3"/>
            <w:tcBorders>
              <w:top w:val="single" w:sz="4" w:space="0" w:color="auto"/>
              <w:left w:val="single" w:sz="4" w:space="0" w:color="auto"/>
              <w:bottom w:val="nil"/>
              <w:right w:val="single" w:sz="4" w:space="0" w:color="auto"/>
            </w:tcBorders>
            <w:noWrap/>
            <w:vAlign w:val="bottom"/>
            <w:hideMark/>
          </w:tcPr>
          <w:p w14:paraId="52C0B4CA" w14:textId="04F7BA2B" w:rsidR="00E704DB" w:rsidRPr="007C3042" w:rsidRDefault="00390379" w:rsidP="007C3042">
            <w:pPr>
              <w:spacing w:after="0" w:line="240" w:lineRule="auto"/>
              <w:jc w:val="center"/>
              <w:rPr>
                <w:rFonts w:ascii="Times New Roman" w:eastAsia="Times New Roman" w:hAnsi="Times New Roman" w:cs="Times New Roman"/>
                <w:b/>
                <w:bCs/>
                <w:sz w:val="28"/>
                <w:szCs w:val="28"/>
                <w:lang w:val="sr-Cyrl-RS" w:eastAsia="en-GB"/>
              </w:rPr>
            </w:pPr>
            <w:r w:rsidRPr="007C3042">
              <w:rPr>
                <w:rFonts w:ascii="Times New Roman" w:eastAsia="Times New Roman" w:hAnsi="Times New Roman" w:cs="Times New Roman"/>
                <w:b/>
                <w:bCs/>
                <w:sz w:val="28"/>
                <w:szCs w:val="28"/>
                <w:lang w:val="sr-Cyrl-RS" w:eastAsia="en-GB"/>
              </w:rPr>
              <w:t>Највећи наручиоци по вредности закључених уговора</w:t>
            </w:r>
          </w:p>
        </w:tc>
      </w:tr>
      <w:tr w:rsidR="00E704DB" w:rsidRPr="00E3457A" w14:paraId="6A35C679" w14:textId="77777777" w:rsidTr="00E704DB">
        <w:trPr>
          <w:trHeight w:val="300"/>
        </w:trPr>
        <w:tc>
          <w:tcPr>
            <w:tcW w:w="6760" w:type="dxa"/>
            <w:tcBorders>
              <w:top w:val="single" w:sz="4" w:space="0" w:color="auto"/>
              <w:left w:val="single" w:sz="4" w:space="0" w:color="auto"/>
              <w:bottom w:val="nil"/>
              <w:right w:val="single" w:sz="4" w:space="0" w:color="auto"/>
            </w:tcBorders>
            <w:noWrap/>
            <w:vAlign w:val="bottom"/>
            <w:hideMark/>
          </w:tcPr>
          <w:p w14:paraId="6D1D35C3" w14:textId="77777777" w:rsidR="00E704DB" w:rsidRPr="007C3042" w:rsidRDefault="00E704DB">
            <w:pPr>
              <w:spacing w:after="0" w:line="360" w:lineRule="auto"/>
              <w:jc w:val="center"/>
              <w:rPr>
                <w:rFonts w:ascii="Times New Roman" w:eastAsia="Times New Roman" w:hAnsi="Times New Roman" w:cs="Times New Roman"/>
                <w:b/>
                <w:bCs/>
                <w:sz w:val="24"/>
                <w:szCs w:val="24"/>
                <w:lang w:val="sr-Cyrl-RS" w:eastAsia="en-GB"/>
              </w:rPr>
            </w:pPr>
            <w:r w:rsidRPr="007C3042">
              <w:rPr>
                <w:rFonts w:ascii="Times New Roman" w:eastAsia="Times New Roman" w:hAnsi="Times New Roman" w:cs="Times New Roman"/>
                <w:b/>
                <w:bCs/>
                <w:sz w:val="24"/>
                <w:szCs w:val="24"/>
                <w:lang w:val="sr-Cyrl-RS" w:eastAsia="en-GB"/>
              </w:rPr>
              <w:t>Назив наручиоца</w:t>
            </w:r>
          </w:p>
        </w:tc>
        <w:tc>
          <w:tcPr>
            <w:tcW w:w="1121" w:type="dxa"/>
            <w:tcBorders>
              <w:top w:val="single" w:sz="4" w:space="0" w:color="auto"/>
              <w:left w:val="nil"/>
              <w:bottom w:val="nil"/>
              <w:right w:val="single" w:sz="4" w:space="0" w:color="auto"/>
            </w:tcBorders>
            <w:noWrap/>
            <w:vAlign w:val="center"/>
            <w:hideMark/>
          </w:tcPr>
          <w:p w14:paraId="14A46298" w14:textId="36FD39CB" w:rsidR="00E704DB" w:rsidRPr="007C3042" w:rsidRDefault="00E704DB" w:rsidP="0046749C">
            <w:pPr>
              <w:spacing w:after="0" w:line="240" w:lineRule="auto"/>
              <w:jc w:val="center"/>
              <w:rPr>
                <w:rFonts w:ascii="Times New Roman" w:eastAsia="Times New Roman" w:hAnsi="Times New Roman" w:cs="Times New Roman"/>
                <w:b/>
                <w:bCs/>
                <w:sz w:val="24"/>
                <w:szCs w:val="24"/>
                <w:lang w:val="sr-Cyrl-RS" w:eastAsia="en-GB"/>
              </w:rPr>
            </w:pPr>
            <w:r w:rsidRPr="007C3042">
              <w:rPr>
                <w:rFonts w:ascii="Times New Roman" w:eastAsia="Times New Roman" w:hAnsi="Times New Roman" w:cs="Times New Roman"/>
                <w:b/>
                <w:bCs/>
                <w:sz w:val="24"/>
                <w:szCs w:val="24"/>
                <w:lang w:val="sr-Cyrl-RS" w:eastAsia="en-GB"/>
              </w:rPr>
              <w:t xml:space="preserve">Број </w:t>
            </w:r>
            <w:r w:rsidR="0046749C">
              <w:rPr>
                <w:rFonts w:ascii="Times New Roman" w:eastAsia="Times New Roman" w:hAnsi="Times New Roman" w:cs="Times New Roman"/>
                <w:b/>
                <w:bCs/>
                <w:sz w:val="24"/>
                <w:szCs w:val="24"/>
                <w:lang w:val="sr-Cyrl-RS" w:eastAsia="en-GB"/>
              </w:rPr>
              <w:t>уговора</w:t>
            </w:r>
          </w:p>
        </w:tc>
        <w:tc>
          <w:tcPr>
            <w:tcW w:w="1417" w:type="dxa"/>
            <w:tcBorders>
              <w:top w:val="single" w:sz="4" w:space="0" w:color="auto"/>
              <w:left w:val="nil"/>
              <w:bottom w:val="nil"/>
              <w:right w:val="single" w:sz="4" w:space="0" w:color="auto"/>
            </w:tcBorders>
            <w:noWrap/>
            <w:vAlign w:val="center"/>
            <w:hideMark/>
          </w:tcPr>
          <w:p w14:paraId="0167124D" w14:textId="77777777" w:rsidR="00E704DB" w:rsidRPr="007C3042" w:rsidRDefault="00E704DB">
            <w:pPr>
              <w:spacing w:after="0" w:line="240" w:lineRule="auto"/>
              <w:jc w:val="center"/>
              <w:rPr>
                <w:rFonts w:ascii="Times New Roman" w:eastAsia="Times New Roman" w:hAnsi="Times New Roman" w:cs="Times New Roman"/>
                <w:b/>
                <w:bCs/>
                <w:sz w:val="24"/>
                <w:szCs w:val="24"/>
                <w:lang w:val="sr-Cyrl-RS" w:eastAsia="en-GB"/>
              </w:rPr>
            </w:pPr>
            <w:r w:rsidRPr="007C3042">
              <w:rPr>
                <w:rFonts w:ascii="Times New Roman" w:eastAsia="Times New Roman" w:hAnsi="Times New Roman" w:cs="Times New Roman"/>
                <w:b/>
                <w:bCs/>
                <w:sz w:val="24"/>
                <w:szCs w:val="24"/>
                <w:lang w:val="sr-Cyrl-RS" w:eastAsia="en-GB"/>
              </w:rPr>
              <w:t>Уговорена вредност*</w:t>
            </w:r>
          </w:p>
        </w:tc>
      </w:tr>
      <w:tr w:rsidR="00E704DB" w:rsidRPr="00E3457A" w14:paraId="7B45C20E" w14:textId="77777777" w:rsidTr="00E704DB">
        <w:trPr>
          <w:trHeight w:val="300"/>
        </w:trPr>
        <w:tc>
          <w:tcPr>
            <w:tcW w:w="6760" w:type="dxa"/>
            <w:tcBorders>
              <w:top w:val="single" w:sz="4" w:space="0" w:color="auto"/>
              <w:left w:val="single" w:sz="4" w:space="0" w:color="auto"/>
              <w:bottom w:val="single" w:sz="4" w:space="0" w:color="auto"/>
              <w:right w:val="single" w:sz="4" w:space="0" w:color="auto"/>
            </w:tcBorders>
            <w:noWrap/>
            <w:vAlign w:val="center"/>
            <w:hideMark/>
          </w:tcPr>
          <w:p w14:paraId="2C0BFA22" w14:textId="77777777" w:rsidR="00E704DB" w:rsidRPr="00E3457A" w:rsidRDefault="00E704DB">
            <w:pPr>
              <w:spacing w:after="0" w:line="240" w:lineRule="auto"/>
              <w:rPr>
                <w:rFonts w:ascii="Times New Roman" w:hAnsi="Times New Roman" w:cs="Times New Roman"/>
                <w:sz w:val="24"/>
                <w:szCs w:val="24"/>
                <w:lang w:val="sr-Cyrl-RS"/>
              </w:rPr>
            </w:pPr>
            <w:r w:rsidRPr="00E3457A">
              <w:rPr>
                <w:rFonts w:ascii="Times New Roman" w:hAnsi="Times New Roman" w:cs="Times New Roman"/>
                <w:sz w:val="24"/>
                <w:szCs w:val="24"/>
                <w:lang w:val="sr-Cyrl-RS"/>
              </w:rPr>
              <w:t>Јавно предузеће "Електропривреда Србије" Београд</w:t>
            </w:r>
          </w:p>
        </w:tc>
        <w:tc>
          <w:tcPr>
            <w:tcW w:w="1121" w:type="dxa"/>
            <w:tcBorders>
              <w:top w:val="single" w:sz="4" w:space="0" w:color="auto"/>
              <w:left w:val="nil"/>
              <w:bottom w:val="single" w:sz="4" w:space="0" w:color="auto"/>
              <w:right w:val="single" w:sz="4" w:space="0" w:color="auto"/>
            </w:tcBorders>
            <w:noWrap/>
            <w:vAlign w:val="center"/>
            <w:hideMark/>
          </w:tcPr>
          <w:p w14:paraId="6287B80D"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5.104</w:t>
            </w:r>
          </w:p>
        </w:tc>
        <w:tc>
          <w:tcPr>
            <w:tcW w:w="1417" w:type="dxa"/>
            <w:tcBorders>
              <w:top w:val="single" w:sz="4" w:space="0" w:color="auto"/>
              <w:left w:val="nil"/>
              <w:bottom w:val="single" w:sz="4" w:space="0" w:color="auto"/>
              <w:right w:val="single" w:sz="4" w:space="0" w:color="auto"/>
            </w:tcBorders>
            <w:noWrap/>
            <w:vAlign w:val="center"/>
            <w:hideMark/>
          </w:tcPr>
          <w:p w14:paraId="0BACB26D"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30.579.991</w:t>
            </w:r>
          </w:p>
        </w:tc>
      </w:tr>
      <w:tr w:rsidR="00E704DB" w:rsidRPr="00E3457A" w14:paraId="0D5D3BCB" w14:textId="77777777" w:rsidTr="00E704DB">
        <w:trPr>
          <w:trHeight w:val="300"/>
        </w:trPr>
        <w:tc>
          <w:tcPr>
            <w:tcW w:w="6760" w:type="dxa"/>
            <w:tcBorders>
              <w:top w:val="single" w:sz="4" w:space="0" w:color="auto"/>
              <w:left w:val="single" w:sz="4" w:space="0" w:color="auto"/>
              <w:bottom w:val="single" w:sz="4" w:space="0" w:color="auto"/>
              <w:right w:val="single" w:sz="4" w:space="0" w:color="auto"/>
            </w:tcBorders>
            <w:noWrap/>
            <w:vAlign w:val="center"/>
            <w:hideMark/>
          </w:tcPr>
          <w:p w14:paraId="3E3297B6" w14:textId="77777777" w:rsidR="00E704DB" w:rsidRPr="00E3457A" w:rsidRDefault="00E704DB">
            <w:pPr>
              <w:spacing w:after="0" w:line="240" w:lineRule="auto"/>
              <w:rPr>
                <w:rFonts w:ascii="Times New Roman" w:hAnsi="Times New Roman" w:cs="Times New Roman"/>
                <w:sz w:val="24"/>
                <w:szCs w:val="24"/>
                <w:lang w:val="sr-Cyrl-RS"/>
              </w:rPr>
            </w:pPr>
            <w:r w:rsidRPr="00E3457A">
              <w:rPr>
                <w:rFonts w:ascii="Times New Roman" w:hAnsi="Times New Roman" w:cs="Times New Roman"/>
                <w:sz w:val="24"/>
                <w:szCs w:val="24"/>
                <w:lang w:val="sr-Cyrl-RS"/>
              </w:rPr>
              <w:t>Клинички центар Србије</w:t>
            </w:r>
          </w:p>
        </w:tc>
        <w:tc>
          <w:tcPr>
            <w:tcW w:w="1121" w:type="dxa"/>
            <w:tcBorders>
              <w:top w:val="single" w:sz="4" w:space="0" w:color="auto"/>
              <w:left w:val="nil"/>
              <w:bottom w:val="single" w:sz="4" w:space="0" w:color="auto"/>
              <w:right w:val="single" w:sz="4" w:space="0" w:color="auto"/>
            </w:tcBorders>
            <w:noWrap/>
            <w:vAlign w:val="center"/>
            <w:hideMark/>
          </w:tcPr>
          <w:p w14:paraId="35F2E813"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1.140</w:t>
            </w:r>
          </w:p>
        </w:tc>
        <w:tc>
          <w:tcPr>
            <w:tcW w:w="1417" w:type="dxa"/>
            <w:tcBorders>
              <w:top w:val="single" w:sz="4" w:space="0" w:color="auto"/>
              <w:left w:val="nil"/>
              <w:bottom w:val="single" w:sz="4" w:space="0" w:color="auto"/>
              <w:right w:val="single" w:sz="4" w:space="0" w:color="auto"/>
            </w:tcBorders>
            <w:noWrap/>
            <w:vAlign w:val="center"/>
            <w:hideMark/>
          </w:tcPr>
          <w:p w14:paraId="42BDFB44"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9.094.617</w:t>
            </w:r>
          </w:p>
        </w:tc>
      </w:tr>
      <w:tr w:rsidR="00E704DB" w:rsidRPr="00E3457A" w14:paraId="5150733F" w14:textId="77777777" w:rsidTr="00E704DB">
        <w:trPr>
          <w:trHeight w:val="300"/>
        </w:trPr>
        <w:tc>
          <w:tcPr>
            <w:tcW w:w="6760" w:type="dxa"/>
            <w:tcBorders>
              <w:top w:val="single" w:sz="4" w:space="0" w:color="auto"/>
              <w:left w:val="single" w:sz="4" w:space="0" w:color="auto"/>
              <w:bottom w:val="single" w:sz="4" w:space="0" w:color="auto"/>
              <w:right w:val="single" w:sz="4" w:space="0" w:color="auto"/>
            </w:tcBorders>
            <w:noWrap/>
            <w:vAlign w:val="center"/>
            <w:hideMark/>
          </w:tcPr>
          <w:p w14:paraId="4CCB974A" w14:textId="77777777" w:rsidR="00E704DB" w:rsidRPr="00E3457A" w:rsidRDefault="00E704DB">
            <w:pPr>
              <w:spacing w:after="0" w:line="240" w:lineRule="auto"/>
              <w:rPr>
                <w:rFonts w:ascii="Times New Roman" w:hAnsi="Times New Roman" w:cs="Times New Roman"/>
                <w:sz w:val="24"/>
                <w:szCs w:val="24"/>
                <w:lang w:val="sr-Cyrl-RS"/>
              </w:rPr>
            </w:pPr>
            <w:r w:rsidRPr="00E3457A">
              <w:rPr>
                <w:rFonts w:ascii="Times New Roman" w:hAnsi="Times New Roman" w:cs="Times New Roman"/>
                <w:sz w:val="24"/>
                <w:szCs w:val="24"/>
                <w:lang w:val="sr-Cyrl-RS"/>
              </w:rPr>
              <w:t xml:space="preserve">Оператор дистрибутивног система "ЕПС дистрибуција" д.о.о. Београд </w:t>
            </w:r>
          </w:p>
        </w:tc>
        <w:tc>
          <w:tcPr>
            <w:tcW w:w="1121" w:type="dxa"/>
            <w:tcBorders>
              <w:top w:val="single" w:sz="4" w:space="0" w:color="auto"/>
              <w:left w:val="nil"/>
              <w:bottom w:val="single" w:sz="4" w:space="0" w:color="auto"/>
              <w:right w:val="single" w:sz="4" w:space="0" w:color="auto"/>
            </w:tcBorders>
            <w:noWrap/>
            <w:vAlign w:val="center"/>
            <w:hideMark/>
          </w:tcPr>
          <w:p w14:paraId="3977C2BB"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253</w:t>
            </w:r>
          </w:p>
        </w:tc>
        <w:tc>
          <w:tcPr>
            <w:tcW w:w="1417" w:type="dxa"/>
            <w:tcBorders>
              <w:top w:val="single" w:sz="4" w:space="0" w:color="auto"/>
              <w:left w:val="nil"/>
              <w:bottom w:val="single" w:sz="4" w:space="0" w:color="auto"/>
              <w:right w:val="single" w:sz="4" w:space="0" w:color="auto"/>
            </w:tcBorders>
            <w:noWrap/>
            <w:vAlign w:val="center"/>
            <w:hideMark/>
          </w:tcPr>
          <w:p w14:paraId="42765966"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7.991.416</w:t>
            </w:r>
          </w:p>
        </w:tc>
      </w:tr>
      <w:tr w:rsidR="00E704DB" w:rsidRPr="00E3457A" w14:paraId="2F6F2AC7" w14:textId="77777777" w:rsidTr="00E704DB">
        <w:trPr>
          <w:trHeight w:val="300"/>
        </w:trPr>
        <w:tc>
          <w:tcPr>
            <w:tcW w:w="6760" w:type="dxa"/>
            <w:tcBorders>
              <w:top w:val="single" w:sz="4" w:space="0" w:color="auto"/>
              <w:left w:val="single" w:sz="4" w:space="0" w:color="auto"/>
              <w:bottom w:val="single" w:sz="4" w:space="0" w:color="auto"/>
              <w:right w:val="single" w:sz="4" w:space="0" w:color="auto"/>
            </w:tcBorders>
            <w:noWrap/>
            <w:vAlign w:val="center"/>
            <w:hideMark/>
          </w:tcPr>
          <w:p w14:paraId="166225E2" w14:textId="77777777" w:rsidR="00E704DB" w:rsidRPr="00E3457A" w:rsidRDefault="00E704DB">
            <w:pPr>
              <w:spacing w:after="0" w:line="240" w:lineRule="auto"/>
              <w:rPr>
                <w:rFonts w:ascii="Times New Roman" w:hAnsi="Times New Roman" w:cs="Times New Roman"/>
                <w:sz w:val="24"/>
                <w:szCs w:val="24"/>
                <w:lang w:val="sr-Cyrl-RS"/>
              </w:rPr>
            </w:pPr>
            <w:r w:rsidRPr="00E3457A">
              <w:rPr>
                <w:rFonts w:ascii="Times New Roman" w:hAnsi="Times New Roman" w:cs="Times New Roman"/>
                <w:sz w:val="24"/>
                <w:szCs w:val="24"/>
                <w:lang w:val="sr-Cyrl-RS"/>
              </w:rPr>
              <w:t>ЈКП Градско саобраћајно предузеће "Београд"</w:t>
            </w:r>
          </w:p>
        </w:tc>
        <w:tc>
          <w:tcPr>
            <w:tcW w:w="1121" w:type="dxa"/>
            <w:tcBorders>
              <w:top w:val="single" w:sz="4" w:space="0" w:color="auto"/>
              <w:left w:val="nil"/>
              <w:bottom w:val="single" w:sz="4" w:space="0" w:color="auto"/>
              <w:right w:val="single" w:sz="4" w:space="0" w:color="auto"/>
            </w:tcBorders>
            <w:noWrap/>
            <w:vAlign w:val="center"/>
            <w:hideMark/>
          </w:tcPr>
          <w:p w14:paraId="4E541B74"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519</w:t>
            </w:r>
          </w:p>
        </w:tc>
        <w:tc>
          <w:tcPr>
            <w:tcW w:w="1417" w:type="dxa"/>
            <w:tcBorders>
              <w:top w:val="single" w:sz="4" w:space="0" w:color="auto"/>
              <w:left w:val="nil"/>
              <w:bottom w:val="single" w:sz="4" w:space="0" w:color="auto"/>
              <w:right w:val="single" w:sz="4" w:space="0" w:color="auto"/>
            </w:tcBorders>
            <w:noWrap/>
            <w:vAlign w:val="center"/>
            <w:hideMark/>
          </w:tcPr>
          <w:p w14:paraId="0BAE0E81"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6.857.335</w:t>
            </w:r>
          </w:p>
        </w:tc>
      </w:tr>
      <w:tr w:rsidR="00E704DB" w:rsidRPr="00E3457A" w14:paraId="79ECBC20" w14:textId="77777777" w:rsidTr="00E704DB">
        <w:trPr>
          <w:trHeight w:val="300"/>
        </w:trPr>
        <w:tc>
          <w:tcPr>
            <w:tcW w:w="6760" w:type="dxa"/>
            <w:tcBorders>
              <w:top w:val="single" w:sz="4" w:space="0" w:color="auto"/>
              <w:left w:val="single" w:sz="4" w:space="0" w:color="auto"/>
              <w:bottom w:val="single" w:sz="4" w:space="0" w:color="auto"/>
              <w:right w:val="single" w:sz="4" w:space="0" w:color="auto"/>
            </w:tcBorders>
            <w:noWrap/>
            <w:vAlign w:val="center"/>
            <w:hideMark/>
          </w:tcPr>
          <w:p w14:paraId="56C8EBCF" w14:textId="77777777" w:rsidR="00E704DB" w:rsidRPr="00E3457A" w:rsidRDefault="00E704DB">
            <w:pPr>
              <w:spacing w:after="0" w:line="240" w:lineRule="auto"/>
              <w:rPr>
                <w:rFonts w:ascii="Times New Roman" w:hAnsi="Times New Roman" w:cs="Times New Roman"/>
                <w:sz w:val="24"/>
                <w:szCs w:val="24"/>
                <w:lang w:val="sr-Cyrl-RS"/>
              </w:rPr>
            </w:pPr>
            <w:r w:rsidRPr="00E3457A">
              <w:rPr>
                <w:rFonts w:ascii="Times New Roman" w:hAnsi="Times New Roman" w:cs="Times New Roman"/>
                <w:sz w:val="24"/>
                <w:szCs w:val="24"/>
                <w:lang w:val="sr-Cyrl-RS"/>
              </w:rPr>
              <w:t>"Инфраструктура железнице Србије" ад</w:t>
            </w:r>
          </w:p>
        </w:tc>
        <w:tc>
          <w:tcPr>
            <w:tcW w:w="1121" w:type="dxa"/>
            <w:tcBorders>
              <w:top w:val="single" w:sz="4" w:space="0" w:color="auto"/>
              <w:left w:val="nil"/>
              <w:bottom w:val="single" w:sz="4" w:space="0" w:color="auto"/>
              <w:right w:val="single" w:sz="4" w:space="0" w:color="auto"/>
            </w:tcBorders>
            <w:noWrap/>
            <w:vAlign w:val="center"/>
            <w:hideMark/>
          </w:tcPr>
          <w:p w14:paraId="750B4408"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108</w:t>
            </w:r>
          </w:p>
        </w:tc>
        <w:tc>
          <w:tcPr>
            <w:tcW w:w="1417" w:type="dxa"/>
            <w:tcBorders>
              <w:top w:val="single" w:sz="4" w:space="0" w:color="auto"/>
              <w:left w:val="nil"/>
              <w:bottom w:val="single" w:sz="4" w:space="0" w:color="auto"/>
              <w:right w:val="single" w:sz="4" w:space="0" w:color="auto"/>
            </w:tcBorders>
            <w:noWrap/>
            <w:vAlign w:val="center"/>
            <w:hideMark/>
          </w:tcPr>
          <w:p w14:paraId="4C3DCCF5"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5.600.985</w:t>
            </w:r>
          </w:p>
        </w:tc>
      </w:tr>
      <w:tr w:rsidR="00E704DB" w:rsidRPr="00E3457A" w14:paraId="4FD0C619" w14:textId="77777777" w:rsidTr="00E704DB">
        <w:trPr>
          <w:trHeight w:val="300"/>
        </w:trPr>
        <w:tc>
          <w:tcPr>
            <w:tcW w:w="6760" w:type="dxa"/>
            <w:tcBorders>
              <w:top w:val="single" w:sz="4" w:space="0" w:color="auto"/>
              <w:left w:val="single" w:sz="4" w:space="0" w:color="auto"/>
              <w:bottom w:val="single" w:sz="4" w:space="0" w:color="auto"/>
              <w:right w:val="single" w:sz="4" w:space="0" w:color="auto"/>
            </w:tcBorders>
            <w:noWrap/>
            <w:vAlign w:val="center"/>
            <w:hideMark/>
          </w:tcPr>
          <w:p w14:paraId="09FA11C3" w14:textId="77777777" w:rsidR="00E704DB" w:rsidRPr="00E3457A" w:rsidRDefault="00E704DB">
            <w:pPr>
              <w:spacing w:after="0" w:line="240" w:lineRule="auto"/>
              <w:rPr>
                <w:rFonts w:ascii="Times New Roman" w:hAnsi="Times New Roman" w:cs="Times New Roman"/>
                <w:sz w:val="24"/>
                <w:szCs w:val="24"/>
                <w:lang w:val="sr-Cyrl-RS"/>
              </w:rPr>
            </w:pPr>
            <w:r w:rsidRPr="00E3457A">
              <w:rPr>
                <w:rFonts w:ascii="Times New Roman" w:hAnsi="Times New Roman" w:cs="Times New Roman"/>
                <w:sz w:val="24"/>
                <w:szCs w:val="24"/>
                <w:lang w:val="sr-Cyrl-RS"/>
              </w:rPr>
              <w:t>Министарство грађевинарства, саобраћаја и инфраструктуре</w:t>
            </w:r>
          </w:p>
        </w:tc>
        <w:tc>
          <w:tcPr>
            <w:tcW w:w="1121" w:type="dxa"/>
            <w:tcBorders>
              <w:top w:val="single" w:sz="4" w:space="0" w:color="auto"/>
              <w:left w:val="nil"/>
              <w:bottom w:val="single" w:sz="4" w:space="0" w:color="auto"/>
              <w:right w:val="single" w:sz="4" w:space="0" w:color="auto"/>
            </w:tcBorders>
            <w:noWrap/>
            <w:vAlign w:val="center"/>
            <w:hideMark/>
          </w:tcPr>
          <w:p w14:paraId="59881C50"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19</w:t>
            </w:r>
          </w:p>
        </w:tc>
        <w:tc>
          <w:tcPr>
            <w:tcW w:w="1417" w:type="dxa"/>
            <w:tcBorders>
              <w:top w:val="single" w:sz="4" w:space="0" w:color="auto"/>
              <w:left w:val="nil"/>
              <w:bottom w:val="single" w:sz="4" w:space="0" w:color="auto"/>
              <w:right w:val="single" w:sz="4" w:space="0" w:color="auto"/>
            </w:tcBorders>
            <w:noWrap/>
            <w:vAlign w:val="center"/>
            <w:hideMark/>
          </w:tcPr>
          <w:p w14:paraId="55B304EC"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3.913.346</w:t>
            </w:r>
          </w:p>
        </w:tc>
      </w:tr>
      <w:tr w:rsidR="00E704DB" w:rsidRPr="00E3457A" w14:paraId="6D02577B" w14:textId="77777777" w:rsidTr="00E704DB">
        <w:trPr>
          <w:trHeight w:val="300"/>
        </w:trPr>
        <w:tc>
          <w:tcPr>
            <w:tcW w:w="6760" w:type="dxa"/>
            <w:tcBorders>
              <w:top w:val="single" w:sz="4" w:space="0" w:color="auto"/>
              <w:left w:val="single" w:sz="4" w:space="0" w:color="auto"/>
              <w:bottom w:val="single" w:sz="4" w:space="0" w:color="auto"/>
              <w:right w:val="single" w:sz="4" w:space="0" w:color="auto"/>
            </w:tcBorders>
            <w:noWrap/>
            <w:vAlign w:val="center"/>
            <w:hideMark/>
          </w:tcPr>
          <w:p w14:paraId="174C8A4C" w14:textId="77777777" w:rsidR="00E704DB" w:rsidRPr="00E3457A" w:rsidRDefault="00E704DB">
            <w:pPr>
              <w:spacing w:after="0" w:line="240" w:lineRule="auto"/>
              <w:rPr>
                <w:rFonts w:ascii="Times New Roman" w:hAnsi="Times New Roman" w:cs="Times New Roman"/>
                <w:sz w:val="24"/>
                <w:szCs w:val="24"/>
                <w:lang w:val="sr-Cyrl-RS"/>
              </w:rPr>
            </w:pPr>
            <w:r w:rsidRPr="00E3457A">
              <w:rPr>
                <w:rFonts w:ascii="Times New Roman" w:hAnsi="Times New Roman" w:cs="Times New Roman"/>
                <w:sz w:val="24"/>
                <w:szCs w:val="24"/>
                <w:lang w:val="sr-Cyrl-RS"/>
              </w:rPr>
              <w:t>Канцеларија за информационе технологије и електронску управу</w:t>
            </w:r>
          </w:p>
        </w:tc>
        <w:tc>
          <w:tcPr>
            <w:tcW w:w="1121" w:type="dxa"/>
            <w:tcBorders>
              <w:top w:val="single" w:sz="4" w:space="0" w:color="auto"/>
              <w:left w:val="nil"/>
              <w:bottom w:val="single" w:sz="4" w:space="0" w:color="auto"/>
              <w:right w:val="single" w:sz="4" w:space="0" w:color="auto"/>
            </w:tcBorders>
            <w:noWrap/>
            <w:vAlign w:val="center"/>
            <w:hideMark/>
          </w:tcPr>
          <w:p w14:paraId="6E623796"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5</w:t>
            </w:r>
          </w:p>
        </w:tc>
        <w:tc>
          <w:tcPr>
            <w:tcW w:w="1417" w:type="dxa"/>
            <w:tcBorders>
              <w:top w:val="single" w:sz="4" w:space="0" w:color="auto"/>
              <w:left w:val="nil"/>
              <w:bottom w:val="single" w:sz="4" w:space="0" w:color="auto"/>
              <w:right w:val="single" w:sz="4" w:space="0" w:color="auto"/>
            </w:tcBorders>
            <w:noWrap/>
            <w:vAlign w:val="center"/>
            <w:hideMark/>
          </w:tcPr>
          <w:p w14:paraId="48FB5540"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3.738.993</w:t>
            </w:r>
          </w:p>
        </w:tc>
      </w:tr>
      <w:tr w:rsidR="00E704DB" w:rsidRPr="00E3457A" w14:paraId="3E69FAD3" w14:textId="77777777" w:rsidTr="00E704DB">
        <w:trPr>
          <w:trHeight w:val="300"/>
        </w:trPr>
        <w:tc>
          <w:tcPr>
            <w:tcW w:w="6760" w:type="dxa"/>
            <w:tcBorders>
              <w:top w:val="single" w:sz="4" w:space="0" w:color="auto"/>
              <w:left w:val="single" w:sz="4" w:space="0" w:color="auto"/>
              <w:bottom w:val="single" w:sz="4" w:space="0" w:color="auto"/>
              <w:right w:val="single" w:sz="4" w:space="0" w:color="auto"/>
            </w:tcBorders>
            <w:noWrap/>
            <w:vAlign w:val="center"/>
            <w:hideMark/>
          </w:tcPr>
          <w:p w14:paraId="0DE304B8" w14:textId="77777777" w:rsidR="00E704DB" w:rsidRPr="00E3457A" w:rsidRDefault="00E704DB">
            <w:pPr>
              <w:spacing w:after="0" w:line="240" w:lineRule="auto"/>
              <w:rPr>
                <w:rFonts w:ascii="Times New Roman" w:hAnsi="Times New Roman" w:cs="Times New Roman"/>
                <w:sz w:val="24"/>
                <w:szCs w:val="24"/>
                <w:lang w:val="sr-Cyrl-RS"/>
              </w:rPr>
            </w:pPr>
            <w:r w:rsidRPr="00E3457A">
              <w:rPr>
                <w:rFonts w:ascii="Times New Roman" w:hAnsi="Times New Roman" w:cs="Times New Roman"/>
                <w:sz w:val="24"/>
                <w:szCs w:val="24"/>
                <w:lang w:val="sr-Cyrl-RS"/>
              </w:rPr>
              <w:t>Клинички центар Војводине</w:t>
            </w:r>
          </w:p>
        </w:tc>
        <w:tc>
          <w:tcPr>
            <w:tcW w:w="1121" w:type="dxa"/>
            <w:tcBorders>
              <w:top w:val="single" w:sz="4" w:space="0" w:color="auto"/>
              <w:left w:val="nil"/>
              <w:bottom w:val="single" w:sz="4" w:space="0" w:color="auto"/>
              <w:right w:val="single" w:sz="4" w:space="0" w:color="auto"/>
            </w:tcBorders>
            <w:noWrap/>
            <w:vAlign w:val="center"/>
            <w:hideMark/>
          </w:tcPr>
          <w:p w14:paraId="5938C435"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566</w:t>
            </w:r>
          </w:p>
        </w:tc>
        <w:tc>
          <w:tcPr>
            <w:tcW w:w="1417" w:type="dxa"/>
            <w:tcBorders>
              <w:top w:val="single" w:sz="4" w:space="0" w:color="auto"/>
              <w:left w:val="nil"/>
              <w:bottom w:val="single" w:sz="4" w:space="0" w:color="auto"/>
              <w:right w:val="single" w:sz="4" w:space="0" w:color="auto"/>
            </w:tcBorders>
            <w:noWrap/>
            <w:vAlign w:val="center"/>
            <w:hideMark/>
          </w:tcPr>
          <w:p w14:paraId="71CC1C63"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3.463.627</w:t>
            </w:r>
          </w:p>
        </w:tc>
      </w:tr>
      <w:tr w:rsidR="00E704DB" w:rsidRPr="00E3457A" w14:paraId="185955DA" w14:textId="77777777" w:rsidTr="00E704DB">
        <w:trPr>
          <w:trHeight w:val="300"/>
        </w:trPr>
        <w:tc>
          <w:tcPr>
            <w:tcW w:w="6760" w:type="dxa"/>
            <w:tcBorders>
              <w:top w:val="single" w:sz="4" w:space="0" w:color="auto"/>
              <w:left w:val="single" w:sz="4" w:space="0" w:color="auto"/>
              <w:bottom w:val="single" w:sz="4" w:space="0" w:color="auto"/>
              <w:right w:val="single" w:sz="4" w:space="0" w:color="auto"/>
            </w:tcBorders>
            <w:noWrap/>
            <w:vAlign w:val="center"/>
            <w:hideMark/>
          </w:tcPr>
          <w:p w14:paraId="02C84A0C" w14:textId="77777777" w:rsidR="00E704DB" w:rsidRPr="00E3457A" w:rsidRDefault="00E704DB">
            <w:pPr>
              <w:spacing w:after="0" w:line="240" w:lineRule="auto"/>
              <w:rPr>
                <w:rFonts w:ascii="Times New Roman" w:hAnsi="Times New Roman" w:cs="Times New Roman"/>
                <w:sz w:val="24"/>
                <w:szCs w:val="24"/>
                <w:lang w:val="sr-Cyrl-RS"/>
              </w:rPr>
            </w:pPr>
            <w:r w:rsidRPr="00E3457A">
              <w:rPr>
                <w:rFonts w:ascii="Times New Roman" w:hAnsi="Times New Roman" w:cs="Times New Roman"/>
                <w:sz w:val="24"/>
                <w:szCs w:val="24"/>
                <w:lang w:val="sr-Cyrl-RS"/>
              </w:rPr>
              <w:t>ЈП  "Путеви Србије" Београд</w:t>
            </w:r>
          </w:p>
        </w:tc>
        <w:tc>
          <w:tcPr>
            <w:tcW w:w="1121" w:type="dxa"/>
            <w:tcBorders>
              <w:top w:val="single" w:sz="4" w:space="0" w:color="auto"/>
              <w:left w:val="nil"/>
              <w:bottom w:val="single" w:sz="4" w:space="0" w:color="auto"/>
              <w:right w:val="single" w:sz="4" w:space="0" w:color="auto"/>
            </w:tcBorders>
            <w:noWrap/>
            <w:vAlign w:val="center"/>
            <w:hideMark/>
          </w:tcPr>
          <w:p w14:paraId="58CD5638"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35</w:t>
            </w:r>
          </w:p>
        </w:tc>
        <w:tc>
          <w:tcPr>
            <w:tcW w:w="1417" w:type="dxa"/>
            <w:tcBorders>
              <w:top w:val="single" w:sz="4" w:space="0" w:color="auto"/>
              <w:left w:val="nil"/>
              <w:bottom w:val="single" w:sz="4" w:space="0" w:color="auto"/>
              <w:right w:val="single" w:sz="4" w:space="0" w:color="auto"/>
            </w:tcBorders>
            <w:noWrap/>
            <w:vAlign w:val="center"/>
            <w:hideMark/>
          </w:tcPr>
          <w:p w14:paraId="58719476"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2.764.589</w:t>
            </w:r>
          </w:p>
        </w:tc>
      </w:tr>
      <w:tr w:rsidR="00E704DB" w:rsidRPr="00E3457A" w14:paraId="00DF647D" w14:textId="77777777" w:rsidTr="00E704DB">
        <w:trPr>
          <w:trHeight w:val="300"/>
        </w:trPr>
        <w:tc>
          <w:tcPr>
            <w:tcW w:w="6760" w:type="dxa"/>
            <w:tcBorders>
              <w:top w:val="single" w:sz="4" w:space="0" w:color="auto"/>
              <w:left w:val="single" w:sz="4" w:space="0" w:color="auto"/>
              <w:bottom w:val="single" w:sz="4" w:space="0" w:color="auto"/>
              <w:right w:val="single" w:sz="4" w:space="0" w:color="auto"/>
            </w:tcBorders>
            <w:noWrap/>
            <w:vAlign w:val="center"/>
            <w:hideMark/>
          </w:tcPr>
          <w:p w14:paraId="363F3DA6" w14:textId="77777777" w:rsidR="00E704DB" w:rsidRPr="00E3457A" w:rsidRDefault="00E704DB">
            <w:pPr>
              <w:spacing w:after="0" w:line="240" w:lineRule="auto"/>
              <w:rPr>
                <w:rFonts w:ascii="Times New Roman" w:hAnsi="Times New Roman" w:cs="Times New Roman"/>
                <w:sz w:val="24"/>
                <w:szCs w:val="24"/>
                <w:lang w:val="sr-Cyrl-RS"/>
              </w:rPr>
            </w:pPr>
            <w:r w:rsidRPr="00E3457A">
              <w:rPr>
                <w:rFonts w:ascii="Times New Roman" w:hAnsi="Times New Roman" w:cs="Times New Roman"/>
                <w:sz w:val="24"/>
                <w:szCs w:val="24"/>
                <w:lang w:val="sr-Cyrl-RS"/>
              </w:rPr>
              <w:t xml:space="preserve">Министарство унутрашњих послова Републике Србије  </w:t>
            </w:r>
          </w:p>
        </w:tc>
        <w:tc>
          <w:tcPr>
            <w:tcW w:w="1121" w:type="dxa"/>
            <w:tcBorders>
              <w:top w:val="single" w:sz="4" w:space="0" w:color="auto"/>
              <w:left w:val="nil"/>
              <w:bottom w:val="single" w:sz="4" w:space="0" w:color="auto"/>
              <w:right w:val="single" w:sz="4" w:space="0" w:color="auto"/>
            </w:tcBorders>
            <w:noWrap/>
            <w:vAlign w:val="center"/>
            <w:hideMark/>
          </w:tcPr>
          <w:p w14:paraId="332CDEA6"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1.173</w:t>
            </w:r>
          </w:p>
        </w:tc>
        <w:tc>
          <w:tcPr>
            <w:tcW w:w="1417" w:type="dxa"/>
            <w:tcBorders>
              <w:top w:val="single" w:sz="4" w:space="0" w:color="auto"/>
              <w:left w:val="nil"/>
              <w:bottom w:val="single" w:sz="4" w:space="0" w:color="auto"/>
              <w:right w:val="single" w:sz="4" w:space="0" w:color="auto"/>
            </w:tcBorders>
            <w:noWrap/>
            <w:vAlign w:val="center"/>
            <w:hideMark/>
          </w:tcPr>
          <w:p w14:paraId="5B665BDF"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2.608.688</w:t>
            </w:r>
          </w:p>
        </w:tc>
      </w:tr>
      <w:tr w:rsidR="00E704DB" w:rsidRPr="00E3457A" w14:paraId="4AD879B4" w14:textId="77777777" w:rsidTr="00E704DB">
        <w:trPr>
          <w:trHeight w:val="300"/>
        </w:trPr>
        <w:tc>
          <w:tcPr>
            <w:tcW w:w="6760" w:type="dxa"/>
            <w:tcBorders>
              <w:top w:val="single" w:sz="4" w:space="0" w:color="auto"/>
              <w:left w:val="single" w:sz="4" w:space="0" w:color="auto"/>
              <w:bottom w:val="single" w:sz="4" w:space="0" w:color="auto"/>
              <w:right w:val="single" w:sz="4" w:space="0" w:color="auto"/>
            </w:tcBorders>
            <w:noWrap/>
            <w:vAlign w:val="center"/>
            <w:hideMark/>
          </w:tcPr>
          <w:p w14:paraId="151EC729" w14:textId="77777777" w:rsidR="00E704DB" w:rsidRPr="00E3457A" w:rsidRDefault="00E704DB">
            <w:pPr>
              <w:spacing w:after="0" w:line="240" w:lineRule="auto"/>
              <w:rPr>
                <w:rFonts w:ascii="Times New Roman" w:hAnsi="Times New Roman" w:cs="Times New Roman"/>
                <w:sz w:val="24"/>
                <w:szCs w:val="24"/>
                <w:lang w:val="sr-Cyrl-RS"/>
              </w:rPr>
            </w:pPr>
            <w:r w:rsidRPr="00E3457A">
              <w:rPr>
                <w:rFonts w:ascii="Times New Roman" w:hAnsi="Times New Roman" w:cs="Times New Roman"/>
                <w:sz w:val="24"/>
                <w:szCs w:val="24"/>
                <w:lang w:val="sr-Cyrl-RS"/>
              </w:rPr>
              <w:t>Апотека Београд</w:t>
            </w:r>
          </w:p>
        </w:tc>
        <w:tc>
          <w:tcPr>
            <w:tcW w:w="1121" w:type="dxa"/>
            <w:tcBorders>
              <w:top w:val="single" w:sz="4" w:space="0" w:color="auto"/>
              <w:left w:val="nil"/>
              <w:bottom w:val="single" w:sz="4" w:space="0" w:color="auto"/>
              <w:right w:val="single" w:sz="4" w:space="0" w:color="auto"/>
            </w:tcBorders>
            <w:noWrap/>
            <w:vAlign w:val="center"/>
            <w:hideMark/>
          </w:tcPr>
          <w:p w14:paraId="58CB28C4"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119</w:t>
            </w:r>
          </w:p>
        </w:tc>
        <w:tc>
          <w:tcPr>
            <w:tcW w:w="1417" w:type="dxa"/>
            <w:tcBorders>
              <w:top w:val="single" w:sz="4" w:space="0" w:color="auto"/>
              <w:left w:val="nil"/>
              <w:bottom w:val="single" w:sz="4" w:space="0" w:color="auto"/>
              <w:right w:val="single" w:sz="4" w:space="0" w:color="auto"/>
            </w:tcBorders>
            <w:noWrap/>
            <w:vAlign w:val="center"/>
            <w:hideMark/>
          </w:tcPr>
          <w:p w14:paraId="04E7C761"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2.540.880</w:t>
            </w:r>
          </w:p>
        </w:tc>
      </w:tr>
      <w:tr w:rsidR="00E704DB" w:rsidRPr="00E3457A" w14:paraId="7C9E29D6" w14:textId="77777777" w:rsidTr="00E704DB">
        <w:trPr>
          <w:trHeight w:val="300"/>
        </w:trPr>
        <w:tc>
          <w:tcPr>
            <w:tcW w:w="6760" w:type="dxa"/>
            <w:tcBorders>
              <w:top w:val="single" w:sz="4" w:space="0" w:color="auto"/>
              <w:left w:val="single" w:sz="4" w:space="0" w:color="auto"/>
              <w:bottom w:val="single" w:sz="4" w:space="0" w:color="auto"/>
              <w:right w:val="single" w:sz="4" w:space="0" w:color="auto"/>
            </w:tcBorders>
            <w:noWrap/>
            <w:vAlign w:val="center"/>
            <w:hideMark/>
          </w:tcPr>
          <w:p w14:paraId="6DC1C155" w14:textId="77777777" w:rsidR="00E704DB" w:rsidRPr="00E3457A" w:rsidRDefault="00E704DB">
            <w:pPr>
              <w:spacing w:after="0" w:line="240" w:lineRule="auto"/>
              <w:rPr>
                <w:rFonts w:ascii="Times New Roman" w:hAnsi="Times New Roman" w:cs="Times New Roman"/>
                <w:sz w:val="24"/>
                <w:szCs w:val="24"/>
                <w:lang w:val="sr-Cyrl-RS"/>
              </w:rPr>
            </w:pPr>
            <w:r w:rsidRPr="00E3457A">
              <w:rPr>
                <w:rFonts w:ascii="Times New Roman" w:hAnsi="Times New Roman" w:cs="Times New Roman"/>
                <w:sz w:val="24"/>
                <w:szCs w:val="24"/>
                <w:lang w:val="sr-Cyrl-RS"/>
              </w:rPr>
              <w:t>ЈКП "Београдске електране" Београд</w:t>
            </w:r>
          </w:p>
        </w:tc>
        <w:tc>
          <w:tcPr>
            <w:tcW w:w="1121" w:type="dxa"/>
            <w:tcBorders>
              <w:top w:val="single" w:sz="4" w:space="0" w:color="auto"/>
              <w:left w:val="nil"/>
              <w:bottom w:val="single" w:sz="4" w:space="0" w:color="auto"/>
              <w:right w:val="single" w:sz="4" w:space="0" w:color="auto"/>
            </w:tcBorders>
            <w:noWrap/>
            <w:vAlign w:val="center"/>
            <w:hideMark/>
          </w:tcPr>
          <w:p w14:paraId="3D22DD01"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805</w:t>
            </w:r>
          </w:p>
        </w:tc>
        <w:tc>
          <w:tcPr>
            <w:tcW w:w="1417" w:type="dxa"/>
            <w:tcBorders>
              <w:top w:val="single" w:sz="4" w:space="0" w:color="auto"/>
              <w:left w:val="nil"/>
              <w:bottom w:val="single" w:sz="4" w:space="0" w:color="auto"/>
              <w:right w:val="single" w:sz="4" w:space="0" w:color="auto"/>
            </w:tcBorders>
            <w:noWrap/>
            <w:vAlign w:val="center"/>
            <w:hideMark/>
          </w:tcPr>
          <w:p w14:paraId="7D854467" w14:textId="77777777" w:rsidR="00E704DB" w:rsidRPr="00E3457A" w:rsidRDefault="00E704DB">
            <w:pPr>
              <w:spacing w:after="0" w:line="240" w:lineRule="auto"/>
              <w:jc w:val="center"/>
              <w:rPr>
                <w:rFonts w:ascii="Times New Roman" w:hAnsi="Times New Roman" w:cs="Times New Roman"/>
                <w:sz w:val="24"/>
                <w:szCs w:val="24"/>
                <w:lang w:val="sr-Cyrl-RS"/>
              </w:rPr>
            </w:pPr>
            <w:r w:rsidRPr="00E3457A">
              <w:rPr>
                <w:rFonts w:ascii="Times New Roman" w:hAnsi="Times New Roman" w:cs="Times New Roman"/>
                <w:sz w:val="24"/>
                <w:szCs w:val="24"/>
                <w:lang w:val="sr-Cyrl-RS"/>
              </w:rPr>
              <w:t>2.431.910</w:t>
            </w:r>
          </w:p>
        </w:tc>
      </w:tr>
    </w:tbl>
    <w:p w14:paraId="5AB7F1D9" w14:textId="77777777" w:rsidR="00720C10" w:rsidRDefault="00720C10" w:rsidP="00720C10">
      <w:pPr>
        <w:jc w:val="both"/>
        <w:rPr>
          <w:rFonts w:ascii="Times New Roman" w:hAnsi="Times New Roman" w:cs="Times New Roman"/>
          <w:sz w:val="24"/>
          <w:szCs w:val="24"/>
          <w:lang w:val="sr-Cyrl-CS"/>
        </w:rPr>
      </w:pPr>
      <w:r w:rsidRPr="00637438">
        <w:rPr>
          <w:rFonts w:ascii="Times New Roman" w:hAnsi="Times New Roman" w:cs="Times New Roman"/>
          <w:sz w:val="24"/>
          <w:szCs w:val="24"/>
          <w:lang w:val="sr-Cyrl-CS"/>
        </w:rPr>
        <w:t>*вре</w:t>
      </w:r>
      <w:r>
        <w:rPr>
          <w:rFonts w:ascii="Times New Roman" w:hAnsi="Times New Roman" w:cs="Times New Roman"/>
          <w:sz w:val="24"/>
          <w:szCs w:val="24"/>
          <w:lang w:val="sr-Cyrl-CS"/>
        </w:rPr>
        <w:t>д</w:t>
      </w:r>
      <w:r w:rsidRPr="00637438">
        <w:rPr>
          <w:rFonts w:ascii="Times New Roman" w:hAnsi="Times New Roman" w:cs="Times New Roman"/>
          <w:sz w:val="24"/>
          <w:szCs w:val="24"/>
          <w:lang w:val="sr-Cyrl-CS"/>
        </w:rPr>
        <w:t>ности су исказане у хиљадама динара</w:t>
      </w:r>
    </w:p>
    <w:p w14:paraId="5DC5FC74" w14:textId="77777777" w:rsidR="00720C10" w:rsidRDefault="00720C10">
      <w:pPr>
        <w:jc w:val="both"/>
      </w:pPr>
    </w:p>
    <w:p w14:paraId="0F72DA31" w14:textId="77777777" w:rsidR="0081466B" w:rsidRPr="009916F5" w:rsidRDefault="00B9265B">
      <w:pPr>
        <w:numPr>
          <w:ilvl w:val="0"/>
          <w:numId w:val="1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sr"/>
        </w:rPr>
        <w:t xml:space="preserve">ПЕРФОРМАНСЕ ЈАВНИХ НАБАВКИ </w:t>
      </w:r>
    </w:p>
    <w:p w14:paraId="44293A6E" w14:textId="77777777" w:rsidR="009916F5" w:rsidRDefault="009916F5" w:rsidP="009916F5">
      <w:pPr>
        <w:ind w:left="720"/>
        <w:contextualSpacing/>
        <w:jc w:val="both"/>
        <w:rPr>
          <w:rFonts w:ascii="Times New Roman" w:eastAsia="Times New Roman" w:hAnsi="Times New Roman" w:cs="Times New Roman"/>
          <w:sz w:val="24"/>
          <w:szCs w:val="24"/>
        </w:rPr>
      </w:pPr>
    </w:p>
    <w:p w14:paraId="7CB36360" w14:textId="77777777" w:rsidR="0081466B" w:rsidRPr="00627D61" w:rsidRDefault="000C2985">
      <w:pPr>
        <w:jc w:val="both"/>
        <w:rPr>
          <w:strike/>
          <w:lang w:val="sr-Cyrl-CS"/>
        </w:rPr>
      </w:pPr>
      <w:r>
        <w:rPr>
          <w:rFonts w:ascii="Times New Roman" w:eastAsia="Times New Roman" w:hAnsi="Times New Roman" w:cs="Times New Roman"/>
          <w:sz w:val="24"/>
          <w:szCs w:val="24"/>
        </w:rPr>
        <w:t>Једна од значајних перформанси</w:t>
      </w:r>
      <w:r w:rsidR="00860BC7">
        <w:rPr>
          <w:rFonts w:ascii="Times New Roman" w:eastAsia="Times New Roman" w:hAnsi="Times New Roman" w:cs="Times New Roman"/>
          <w:sz w:val="24"/>
          <w:szCs w:val="24"/>
        </w:rPr>
        <w:t xml:space="preserve"> јавних набавки</w:t>
      </w:r>
      <w:r>
        <w:rPr>
          <w:rFonts w:ascii="Times New Roman" w:eastAsia="Times New Roman" w:hAnsi="Times New Roman" w:cs="Times New Roman"/>
          <w:sz w:val="24"/>
          <w:szCs w:val="24"/>
        </w:rPr>
        <w:t xml:space="preserve"> јест</w:t>
      </w:r>
      <w:r w:rsidR="00FA2861">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дужина трајања поступка </w:t>
      </w:r>
      <w:r w:rsidR="00FA2861">
        <w:rPr>
          <w:rFonts w:ascii="Times New Roman" w:eastAsia="Times New Roman" w:hAnsi="Times New Roman" w:cs="Times New Roman"/>
          <w:sz w:val="24"/>
          <w:szCs w:val="24"/>
        </w:rPr>
        <w:t xml:space="preserve">(рачунајући од дана објављивања позива на Порталу до дана закључења уговора) </w:t>
      </w:r>
      <w:r>
        <w:rPr>
          <w:rFonts w:ascii="Times New Roman" w:eastAsia="Times New Roman" w:hAnsi="Times New Roman" w:cs="Times New Roman"/>
          <w:sz w:val="24"/>
          <w:szCs w:val="24"/>
        </w:rPr>
        <w:t>која је</w:t>
      </w:r>
      <w:r w:rsidR="00FA2861">
        <w:rPr>
          <w:rFonts w:ascii="Times New Roman" w:eastAsia="Times New Roman" w:hAnsi="Times New Roman" w:cs="Times New Roman"/>
          <w:sz w:val="24"/>
          <w:szCs w:val="24"/>
        </w:rPr>
        <w:t xml:space="preserve"> з</w:t>
      </w:r>
      <w:r w:rsidR="00720C10">
        <w:rPr>
          <w:rFonts w:ascii="Times New Roman" w:eastAsia="Times New Roman" w:hAnsi="Times New Roman" w:cs="Times New Roman"/>
          <w:sz w:val="24"/>
          <w:szCs w:val="24"/>
        </w:rPr>
        <w:t>а набавке спроведене путем отвореног поступка</w:t>
      </w:r>
      <w:r w:rsidR="00A540C0">
        <w:rPr>
          <w:rFonts w:ascii="Times New Roman" w:eastAsia="Times New Roman" w:hAnsi="Times New Roman" w:cs="Times New Roman"/>
          <w:sz w:val="24"/>
          <w:szCs w:val="24"/>
        </w:rPr>
        <w:t>,</w:t>
      </w:r>
      <w:r w:rsidR="00C031E4">
        <w:rPr>
          <w:rFonts w:ascii="Times New Roman" w:eastAsia="Times New Roman" w:hAnsi="Times New Roman" w:cs="Times New Roman"/>
          <w:sz w:val="24"/>
          <w:szCs w:val="24"/>
        </w:rPr>
        <w:t xml:space="preserve"> у првом полугодишту </w:t>
      </w:r>
      <w:r w:rsidR="00C031E4" w:rsidRPr="007C3042">
        <w:rPr>
          <w:rFonts w:ascii="Times New Roman" w:eastAsia="Times New Roman" w:hAnsi="Times New Roman" w:cs="Times New Roman"/>
          <w:color w:val="auto"/>
          <w:sz w:val="24"/>
          <w:szCs w:val="24"/>
        </w:rPr>
        <w:t>2019</w:t>
      </w:r>
      <w:r w:rsidR="00860BC7" w:rsidRPr="007C3042">
        <w:rPr>
          <w:rFonts w:ascii="Times New Roman" w:eastAsia="Times New Roman" w:hAnsi="Times New Roman" w:cs="Times New Roman"/>
          <w:color w:val="auto"/>
          <w:sz w:val="24"/>
          <w:szCs w:val="24"/>
        </w:rPr>
        <w:t xml:space="preserve">. </w:t>
      </w:r>
      <w:r w:rsidR="00A540C0">
        <w:rPr>
          <w:rFonts w:ascii="Times New Roman" w:eastAsia="Times New Roman" w:hAnsi="Times New Roman" w:cs="Times New Roman"/>
          <w:sz w:val="24"/>
          <w:szCs w:val="24"/>
        </w:rPr>
        <w:t>г</w:t>
      </w:r>
      <w:r w:rsidR="00860BC7">
        <w:rPr>
          <w:rFonts w:ascii="Times New Roman" w:eastAsia="Times New Roman" w:hAnsi="Times New Roman" w:cs="Times New Roman"/>
          <w:sz w:val="24"/>
          <w:szCs w:val="24"/>
        </w:rPr>
        <w:t>одине</w:t>
      </w:r>
      <w:r w:rsidR="00A540C0">
        <w:rPr>
          <w:rFonts w:ascii="Times New Roman" w:eastAsia="Times New Roman" w:hAnsi="Times New Roman" w:cs="Times New Roman"/>
          <w:sz w:val="24"/>
          <w:szCs w:val="24"/>
        </w:rPr>
        <w:t xml:space="preserve">, </w:t>
      </w:r>
      <w:r w:rsidR="005E08C5">
        <w:rPr>
          <w:rFonts w:ascii="Times New Roman" w:eastAsia="Times New Roman" w:hAnsi="Times New Roman" w:cs="Times New Roman"/>
          <w:sz w:val="24"/>
          <w:szCs w:val="24"/>
        </w:rPr>
        <w:t>износи</w:t>
      </w:r>
      <w:r w:rsidR="00FA2861">
        <w:rPr>
          <w:rFonts w:ascii="Times New Roman" w:eastAsia="Times New Roman" w:hAnsi="Times New Roman" w:cs="Times New Roman"/>
          <w:sz w:val="24"/>
          <w:szCs w:val="24"/>
        </w:rPr>
        <w:t>ла</w:t>
      </w:r>
      <w:r w:rsidR="005E08C5">
        <w:rPr>
          <w:rFonts w:ascii="Times New Roman" w:eastAsia="Times New Roman" w:hAnsi="Times New Roman" w:cs="Times New Roman"/>
          <w:sz w:val="24"/>
          <w:szCs w:val="24"/>
        </w:rPr>
        <w:t xml:space="preserve"> </w:t>
      </w:r>
      <w:r w:rsidR="00720C10" w:rsidRPr="007C3042">
        <w:rPr>
          <w:rFonts w:ascii="Times New Roman" w:eastAsia="Times New Roman" w:hAnsi="Times New Roman" w:cs="Times New Roman"/>
          <w:color w:val="auto"/>
          <w:sz w:val="24"/>
          <w:szCs w:val="24"/>
        </w:rPr>
        <w:t>57</w:t>
      </w:r>
      <w:r w:rsidR="004F0DED" w:rsidRPr="005E08C5">
        <w:rPr>
          <w:rFonts w:ascii="Times New Roman" w:eastAsia="Times New Roman" w:hAnsi="Times New Roman" w:cs="Times New Roman"/>
          <w:color w:val="FF0000"/>
          <w:sz w:val="24"/>
          <w:szCs w:val="24"/>
        </w:rPr>
        <w:t xml:space="preserve"> </w:t>
      </w:r>
      <w:r w:rsidR="004F0DED">
        <w:rPr>
          <w:rFonts w:ascii="Times New Roman" w:eastAsia="Times New Roman" w:hAnsi="Times New Roman" w:cs="Times New Roman"/>
          <w:sz w:val="24"/>
          <w:szCs w:val="24"/>
        </w:rPr>
        <w:t>дан</w:t>
      </w:r>
      <w:r w:rsidR="00720C10">
        <w:rPr>
          <w:rFonts w:ascii="Times New Roman" w:eastAsia="Times New Roman" w:hAnsi="Times New Roman" w:cs="Times New Roman"/>
          <w:sz w:val="24"/>
          <w:szCs w:val="24"/>
          <w:lang w:val="sr-Cyrl-CS"/>
        </w:rPr>
        <w:t>а</w:t>
      </w:r>
      <w:r w:rsidR="004F0DED">
        <w:rPr>
          <w:rFonts w:ascii="Times New Roman" w:eastAsia="Times New Roman" w:hAnsi="Times New Roman" w:cs="Times New Roman"/>
          <w:sz w:val="24"/>
          <w:szCs w:val="24"/>
        </w:rPr>
        <w:t xml:space="preserve">, </w:t>
      </w:r>
      <w:r w:rsidR="00720C10">
        <w:rPr>
          <w:rFonts w:ascii="Times New Roman" w:eastAsia="Times New Roman" w:hAnsi="Times New Roman" w:cs="Times New Roman"/>
          <w:sz w:val="24"/>
          <w:szCs w:val="24"/>
          <w:lang w:val="sr-Cyrl-CS"/>
        </w:rPr>
        <w:t xml:space="preserve">док је </w:t>
      </w:r>
      <w:r w:rsidR="00720C10">
        <w:rPr>
          <w:rFonts w:ascii="Times New Roman" w:eastAsia="Times New Roman" w:hAnsi="Times New Roman" w:cs="Times New Roman"/>
          <w:sz w:val="24"/>
          <w:szCs w:val="24"/>
        </w:rPr>
        <w:t>дужина</w:t>
      </w:r>
      <w:r w:rsidR="00FA2861">
        <w:rPr>
          <w:rFonts w:ascii="Times New Roman" w:eastAsia="Times New Roman" w:hAnsi="Times New Roman" w:cs="Times New Roman"/>
          <w:sz w:val="24"/>
          <w:szCs w:val="24"/>
        </w:rPr>
        <w:t xml:space="preserve"> трајања поступка</w:t>
      </w:r>
      <w:r w:rsidR="004F0DED">
        <w:rPr>
          <w:rFonts w:ascii="Times New Roman" w:eastAsia="Times New Roman" w:hAnsi="Times New Roman" w:cs="Times New Roman"/>
          <w:sz w:val="24"/>
          <w:szCs w:val="24"/>
        </w:rPr>
        <w:t xml:space="preserve"> јавне н</w:t>
      </w:r>
      <w:r w:rsidR="005235B2">
        <w:rPr>
          <w:rFonts w:ascii="Times New Roman" w:eastAsia="Times New Roman" w:hAnsi="Times New Roman" w:cs="Times New Roman"/>
          <w:sz w:val="24"/>
          <w:szCs w:val="24"/>
        </w:rPr>
        <w:t>абавке мале вредности</w:t>
      </w:r>
      <w:r w:rsidR="00720C10">
        <w:rPr>
          <w:rFonts w:ascii="Times New Roman" w:eastAsia="Times New Roman" w:hAnsi="Times New Roman" w:cs="Times New Roman"/>
          <w:sz w:val="24"/>
          <w:szCs w:val="24"/>
        </w:rPr>
        <w:t xml:space="preserve"> </w:t>
      </w:r>
      <w:r w:rsidR="00FA2861">
        <w:rPr>
          <w:rFonts w:ascii="Times New Roman" w:eastAsia="Times New Roman" w:hAnsi="Times New Roman" w:cs="Times New Roman"/>
          <w:sz w:val="24"/>
          <w:szCs w:val="24"/>
        </w:rPr>
        <w:t>износила</w:t>
      </w:r>
      <w:r w:rsidR="004F0DED">
        <w:rPr>
          <w:rFonts w:ascii="Times New Roman" w:eastAsia="Times New Roman" w:hAnsi="Times New Roman" w:cs="Times New Roman"/>
          <w:sz w:val="24"/>
          <w:szCs w:val="24"/>
        </w:rPr>
        <w:t xml:space="preserve"> </w:t>
      </w:r>
      <w:r w:rsidR="002A20A5" w:rsidRPr="007C3042">
        <w:rPr>
          <w:rFonts w:ascii="Times New Roman" w:eastAsia="Times New Roman" w:hAnsi="Times New Roman" w:cs="Times New Roman"/>
          <w:color w:val="auto"/>
          <w:sz w:val="24"/>
          <w:szCs w:val="24"/>
        </w:rPr>
        <w:t>29</w:t>
      </w:r>
      <w:r w:rsidR="00720C10" w:rsidRPr="007C3042">
        <w:rPr>
          <w:rFonts w:ascii="Times New Roman" w:eastAsia="Times New Roman" w:hAnsi="Times New Roman" w:cs="Times New Roman"/>
          <w:color w:val="auto"/>
          <w:sz w:val="24"/>
          <w:szCs w:val="24"/>
        </w:rPr>
        <w:t xml:space="preserve"> </w:t>
      </w:r>
      <w:r w:rsidR="00720C10">
        <w:rPr>
          <w:rFonts w:ascii="Times New Roman" w:eastAsia="Times New Roman" w:hAnsi="Times New Roman" w:cs="Times New Roman"/>
          <w:sz w:val="24"/>
          <w:szCs w:val="24"/>
        </w:rPr>
        <w:t xml:space="preserve">дана. </w:t>
      </w:r>
    </w:p>
    <w:p w14:paraId="08F85CC7" w14:textId="77777777" w:rsidR="0098509A" w:rsidRPr="00627D61" w:rsidRDefault="00FA2861">
      <w:pPr>
        <w:jc w:val="both"/>
        <w:rPr>
          <w:lang w:val="sr-Cyrl-CS"/>
        </w:rPr>
      </w:pPr>
      <w:r>
        <w:rPr>
          <w:rFonts w:ascii="Times New Roman" w:eastAsia="Times New Roman" w:hAnsi="Times New Roman" w:cs="Times New Roman"/>
          <w:sz w:val="24"/>
          <w:szCs w:val="24"/>
        </w:rPr>
        <w:t xml:space="preserve">Значајан показатељ перформанси јавних набавки јесте </w:t>
      </w:r>
      <w:r w:rsidR="004F0DED" w:rsidRPr="00FA2861">
        <w:rPr>
          <w:rFonts w:ascii="Times New Roman" w:eastAsia="Times New Roman" w:hAnsi="Times New Roman" w:cs="Times New Roman"/>
          <w:color w:val="000000" w:themeColor="text1"/>
          <w:sz w:val="24"/>
          <w:szCs w:val="24"/>
        </w:rPr>
        <w:t>п</w:t>
      </w:r>
      <w:r w:rsidR="005E08C5" w:rsidRPr="00FA2861">
        <w:rPr>
          <w:rFonts w:ascii="Times New Roman" w:eastAsia="Times New Roman" w:hAnsi="Times New Roman" w:cs="Times New Roman"/>
          <w:color w:val="000000" w:themeColor="text1"/>
          <w:sz w:val="24"/>
          <w:szCs w:val="24"/>
        </w:rPr>
        <w:t>росечан број понуда по поступку</w:t>
      </w:r>
      <w:r w:rsidR="00CD7285">
        <w:rPr>
          <w:rFonts w:ascii="Times New Roman" w:eastAsia="Times New Roman" w:hAnsi="Times New Roman" w:cs="Times New Roman"/>
          <w:color w:val="000000" w:themeColor="text1"/>
          <w:sz w:val="24"/>
          <w:szCs w:val="24"/>
        </w:rPr>
        <w:t xml:space="preserve"> који указује на интензитет конкуренције. </w:t>
      </w:r>
      <w:r w:rsidR="00CD7285" w:rsidRPr="00FA2861">
        <w:rPr>
          <w:rFonts w:ascii="Times New Roman" w:eastAsia="Times New Roman" w:hAnsi="Times New Roman" w:cs="Times New Roman"/>
          <w:color w:val="000000" w:themeColor="text1"/>
          <w:sz w:val="24"/>
          <w:szCs w:val="24"/>
        </w:rPr>
        <w:t>У првом полугодишту 201</w:t>
      </w:r>
      <w:r w:rsidR="00C031E4">
        <w:rPr>
          <w:rFonts w:ascii="Times New Roman" w:eastAsia="Times New Roman" w:hAnsi="Times New Roman" w:cs="Times New Roman"/>
          <w:color w:val="000000" w:themeColor="text1"/>
          <w:sz w:val="24"/>
          <w:szCs w:val="24"/>
          <w:lang w:val="en-US"/>
        </w:rPr>
        <w:t>9</w:t>
      </w:r>
      <w:r w:rsidR="00CD7285" w:rsidRPr="00FA2861">
        <w:rPr>
          <w:rFonts w:ascii="Times New Roman" w:eastAsia="Times New Roman" w:hAnsi="Times New Roman" w:cs="Times New Roman"/>
          <w:color w:val="000000" w:themeColor="text1"/>
          <w:sz w:val="24"/>
          <w:szCs w:val="24"/>
        </w:rPr>
        <w:t xml:space="preserve">. године, </w:t>
      </w:r>
      <w:r w:rsidR="005E08C5" w:rsidRPr="00FA2861">
        <w:rPr>
          <w:rFonts w:ascii="Times New Roman" w:eastAsia="Times New Roman" w:hAnsi="Times New Roman" w:cs="Times New Roman"/>
          <w:color w:val="000000" w:themeColor="text1"/>
          <w:sz w:val="24"/>
          <w:szCs w:val="24"/>
        </w:rPr>
        <w:t xml:space="preserve"> </w:t>
      </w:r>
      <w:r w:rsidR="00CD7285">
        <w:rPr>
          <w:rFonts w:ascii="Times New Roman" w:eastAsia="Times New Roman" w:hAnsi="Times New Roman" w:cs="Times New Roman"/>
          <w:color w:val="000000" w:themeColor="text1"/>
          <w:sz w:val="24"/>
          <w:szCs w:val="24"/>
        </w:rPr>
        <w:t xml:space="preserve">вредност овог показатеља износила је </w:t>
      </w:r>
      <w:r w:rsidR="00C031E4" w:rsidRPr="005F2680">
        <w:rPr>
          <w:rFonts w:ascii="Times New Roman" w:eastAsia="Times New Roman" w:hAnsi="Times New Roman" w:cs="Times New Roman"/>
          <w:color w:val="auto"/>
          <w:sz w:val="24"/>
          <w:szCs w:val="24"/>
          <w:lang w:val="en-US"/>
        </w:rPr>
        <w:t>2,2</w:t>
      </w:r>
      <w:r w:rsidR="00720C10">
        <w:rPr>
          <w:rFonts w:ascii="Times New Roman" w:eastAsia="Times New Roman" w:hAnsi="Times New Roman" w:cs="Times New Roman"/>
          <w:color w:val="000000" w:themeColor="text1"/>
          <w:sz w:val="24"/>
          <w:szCs w:val="24"/>
        </w:rPr>
        <w:t>.</w:t>
      </w:r>
      <w:r w:rsidR="00627D61">
        <w:rPr>
          <w:rFonts w:ascii="Times New Roman" w:eastAsia="Times New Roman" w:hAnsi="Times New Roman" w:cs="Times New Roman"/>
          <w:color w:val="000000" w:themeColor="text1"/>
          <w:sz w:val="24"/>
          <w:szCs w:val="24"/>
          <w:lang w:val="sr-Cyrl-CS"/>
        </w:rPr>
        <w:t xml:space="preserve"> </w:t>
      </w:r>
    </w:p>
    <w:p w14:paraId="3B0BFE5B" w14:textId="0B60BAA5" w:rsidR="0081466B" w:rsidRDefault="00751444">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Следећи значајан показатељ </w:t>
      </w:r>
      <w:r w:rsidR="00081D20">
        <w:rPr>
          <w:rFonts w:ascii="Times New Roman" w:eastAsia="Times New Roman" w:hAnsi="Times New Roman" w:cs="Times New Roman"/>
          <w:sz w:val="24"/>
          <w:szCs w:val="24"/>
        </w:rPr>
        <w:t xml:space="preserve">перформанси </w:t>
      </w:r>
      <w:r w:rsidR="00F22A91">
        <w:rPr>
          <w:rFonts w:ascii="Times New Roman" w:eastAsia="Times New Roman" w:hAnsi="Times New Roman" w:cs="Times New Roman"/>
          <w:sz w:val="24"/>
          <w:szCs w:val="24"/>
        </w:rPr>
        <w:t xml:space="preserve">јесте успешност спроведених поступака. </w:t>
      </w:r>
      <w:r w:rsidR="000818F4">
        <w:rPr>
          <w:rFonts w:ascii="Times New Roman" w:eastAsia="Times New Roman" w:hAnsi="Times New Roman" w:cs="Times New Roman"/>
          <w:sz w:val="24"/>
          <w:szCs w:val="24"/>
        </w:rPr>
        <w:t xml:space="preserve">У првом полугодишту </w:t>
      </w:r>
      <w:r w:rsidR="000818F4" w:rsidRPr="005F2680">
        <w:rPr>
          <w:rFonts w:ascii="Times New Roman" w:eastAsia="Times New Roman" w:hAnsi="Times New Roman" w:cs="Times New Roman"/>
          <w:color w:val="auto"/>
          <w:sz w:val="24"/>
          <w:szCs w:val="24"/>
        </w:rPr>
        <w:t>201</w:t>
      </w:r>
      <w:r w:rsidR="00A84FE0" w:rsidRPr="005F2680">
        <w:rPr>
          <w:rFonts w:ascii="Times New Roman" w:eastAsia="Times New Roman" w:hAnsi="Times New Roman" w:cs="Times New Roman"/>
          <w:color w:val="auto"/>
          <w:sz w:val="24"/>
          <w:szCs w:val="24"/>
          <w:lang w:val="en-US"/>
        </w:rPr>
        <w:t>9</w:t>
      </w:r>
      <w:r w:rsidR="00B47C5D" w:rsidRPr="005F2680">
        <w:rPr>
          <w:rFonts w:ascii="Times New Roman" w:eastAsia="Times New Roman" w:hAnsi="Times New Roman" w:cs="Times New Roman"/>
          <w:color w:val="auto"/>
          <w:sz w:val="24"/>
          <w:szCs w:val="24"/>
        </w:rPr>
        <w:t xml:space="preserve">. </w:t>
      </w:r>
      <w:r w:rsidR="00B47C5D" w:rsidRPr="00081D20">
        <w:rPr>
          <w:rFonts w:ascii="Times New Roman" w:eastAsia="Times New Roman" w:hAnsi="Times New Roman" w:cs="Times New Roman"/>
          <w:color w:val="000000" w:themeColor="text1"/>
          <w:sz w:val="24"/>
          <w:szCs w:val="24"/>
        </w:rPr>
        <w:t>године</w:t>
      </w:r>
      <w:r w:rsidR="00A84FE0">
        <w:rPr>
          <w:rFonts w:ascii="Times New Roman" w:eastAsia="Times New Roman" w:hAnsi="Times New Roman" w:cs="Times New Roman"/>
          <w:sz w:val="24"/>
          <w:szCs w:val="24"/>
        </w:rPr>
        <w:t xml:space="preserve">, обустављено је </w:t>
      </w:r>
      <w:r w:rsidR="00A84FE0" w:rsidRPr="005F2680">
        <w:rPr>
          <w:rFonts w:ascii="Times New Roman" w:eastAsia="Times New Roman" w:hAnsi="Times New Roman" w:cs="Times New Roman"/>
          <w:color w:val="auto"/>
          <w:sz w:val="24"/>
          <w:szCs w:val="24"/>
        </w:rPr>
        <w:t>9</w:t>
      </w:r>
      <w:r w:rsidR="00081D20" w:rsidRPr="005F2680">
        <w:rPr>
          <w:rFonts w:ascii="Times New Roman" w:eastAsia="Times New Roman" w:hAnsi="Times New Roman" w:cs="Times New Roman"/>
          <w:color w:val="auto"/>
          <w:sz w:val="24"/>
          <w:szCs w:val="24"/>
        </w:rPr>
        <w:t>%</w:t>
      </w:r>
      <w:r w:rsidR="009969DA">
        <w:rPr>
          <w:rFonts w:ascii="Times New Roman" w:eastAsia="Times New Roman" w:hAnsi="Times New Roman" w:cs="Times New Roman"/>
          <w:color w:val="auto"/>
          <w:sz w:val="24"/>
          <w:szCs w:val="24"/>
          <w:lang w:val="sr-Cyrl-RS"/>
        </w:rPr>
        <w:t xml:space="preserve"> од</w:t>
      </w:r>
      <w:r w:rsidR="004F0DED">
        <w:rPr>
          <w:rFonts w:ascii="Times New Roman" w:eastAsia="Times New Roman" w:hAnsi="Times New Roman" w:cs="Times New Roman"/>
          <w:sz w:val="24"/>
          <w:szCs w:val="24"/>
        </w:rPr>
        <w:t xml:space="preserve"> </w:t>
      </w:r>
      <w:r w:rsidR="00081D20">
        <w:rPr>
          <w:rFonts w:ascii="Times New Roman" w:eastAsia="Times New Roman" w:hAnsi="Times New Roman" w:cs="Times New Roman"/>
          <w:sz w:val="24"/>
          <w:szCs w:val="24"/>
        </w:rPr>
        <w:t xml:space="preserve">укупног броја </w:t>
      </w:r>
      <w:r w:rsidR="004F0DED">
        <w:rPr>
          <w:rFonts w:ascii="Times New Roman" w:eastAsia="Times New Roman" w:hAnsi="Times New Roman" w:cs="Times New Roman"/>
          <w:sz w:val="24"/>
          <w:szCs w:val="24"/>
        </w:rPr>
        <w:t>поступака</w:t>
      </w:r>
      <w:r w:rsidR="00081D20">
        <w:rPr>
          <w:rFonts w:ascii="Times New Roman" w:eastAsia="Times New Roman" w:hAnsi="Times New Roman" w:cs="Times New Roman"/>
          <w:sz w:val="24"/>
          <w:szCs w:val="24"/>
        </w:rPr>
        <w:t xml:space="preserve">. </w:t>
      </w:r>
      <w:r w:rsidR="00A679E4">
        <w:rPr>
          <w:rFonts w:ascii="Times New Roman" w:eastAsia="Times New Roman" w:hAnsi="Times New Roman" w:cs="Times New Roman"/>
          <w:sz w:val="24"/>
          <w:szCs w:val="24"/>
        </w:rPr>
        <w:t>У највећем броју случајева</w:t>
      </w:r>
      <w:r w:rsidR="004F0DED" w:rsidRPr="00081D20">
        <w:rPr>
          <w:rFonts w:ascii="Times New Roman" w:eastAsia="Times New Roman" w:hAnsi="Times New Roman" w:cs="Times New Roman"/>
          <w:color w:val="000000" w:themeColor="text1"/>
          <w:sz w:val="24"/>
          <w:szCs w:val="24"/>
        </w:rPr>
        <w:t xml:space="preserve"> </w:t>
      </w:r>
      <w:r w:rsidR="00A84FE0" w:rsidRPr="005F2680">
        <w:rPr>
          <w:rFonts w:ascii="Times New Roman" w:eastAsia="Times New Roman" w:hAnsi="Times New Roman" w:cs="Times New Roman"/>
          <w:color w:val="auto"/>
          <w:sz w:val="24"/>
          <w:szCs w:val="24"/>
        </w:rPr>
        <w:t>(49</w:t>
      </w:r>
      <w:r w:rsidR="004F0DED" w:rsidRPr="005F2680">
        <w:rPr>
          <w:rFonts w:ascii="Times New Roman" w:eastAsia="Times New Roman" w:hAnsi="Times New Roman" w:cs="Times New Roman"/>
          <w:color w:val="auto"/>
          <w:sz w:val="24"/>
          <w:szCs w:val="24"/>
        </w:rPr>
        <w:t>%)</w:t>
      </w:r>
      <w:r w:rsidR="00081D20" w:rsidRPr="005F2680">
        <w:rPr>
          <w:rFonts w:ascii="Times New Roman" w:eastAsia="Times New Roman" w:hAnsi="Times New Roman" w:cs="Times New Roman"/>
          <w:color w:val="auto"/>
          <w:sz w:val="24"/>
          <w:szCs w:val="24"/>
        </w:rPr>
        <w:t xml:space="preserve"> </w:t>
      </w:r>
      <w:r w:rsidR="00A679E4">
        <w:rPr>
          <w:rFonts w:ascii="Times New Roman" w:eastAsia="Times New Roman" w:hAnsi="Times New Roman" w:cs="Times New Roman"/>
          <w:color w:val="000000" w:themeColor="text1"/>
          <w:sz w:val="24"/>
          <w:szCs w:val="24"/>
        </w:rPr>
        <w:t xml:space="preserve">разлог је био </w:t>
      </w:r>
      <w:r w:rsidR="00081D20" w:rsidRPr="00081D20">
        <w:rPr>
          <w:rFonts w:ascii="Times New Roman" w:eastAsia="Times New Roman" w:hAnsi="Times New Roman" w:cs="Times New Roman"/>
          <w:color w:val="000000" w:themeColor="text1"/>
          <w:sz w:val="24"/>
          <w:szCs w:val="24"/>
        </w:rPr>
        <w:t>што су све приспеле</w:t>
      </w:r>
      <w:r w:rsidR="004F0DED" w:rsidRPr="00081D20">
        <w:rPr>
          <w:rFonts w:ascii="Times New Roman" w:eastAsia="Times New Roman" w:hAnsi="Times New Roman" w:cs="Times New Roman"/>
          <w:color w:val="000000" w:themeColor="text1"/>
          <w:sz w:val="24"/>
          <w:szCs w:val="24"/>
        </w:rPr>
        <w:t xml:space="preserve"> понуде биле неприхватљиве. </w:t>
      </w:r>
    </w:p>
    <w:p w14:paraId="48FA0885" w14:textId="4C1464FF" w:rsidR="00F40BEC" w:rsidRPr="0088066B" w:rsidRDefault="004E50D9" w:rsidP="00480840">
      <w:pPr>
        <w:jc w:val="both"/>
        <w:rPr>
          <w:rFonts w:ascii="Times New Roman" w:eastAsia="Times New Roman" w:hAnsi="Times New Roman" w:cs="Times New Roman"/>
          <w:color w:val="auto"/>
          <w:sz w:val="24"/>
          <w:szCs w:val="24"/>
          <w:lang w:val="sr-Latn-RS"/>
        </w:rPr>
      </w:pPr>
      <w:r w:rsidRPr="005F2680">
        <w:rPr>
          <w:rFonts w:ascii="Times New Roman" w:eastAsia="Times New Roman" w:hAnsi="Times New Roman" w:cs="Times New Roman"/>
          <w:color w:val="auto"/>
          <w:sz w:val="24"/>
          <w:szCs w:val="24"/>
          <w:lang w:val="sr-Cyrl-RS"/>
        </w:rPr>
        <w:lastRenderedPageBreak/>
        <w:t>Један од основних начела јавних</w:t>
      </w:r>
      <w:r w:rsidR="00F50BEA" w:rsidRPr="005F2680">
        <w:rPr>
          <w:rFonts w:ascii="Times New Roman" w:eastAsia="Times New Roman" w:hAnsi="Times New Roman" w:cs="Times New Roman"/>
          <w:color w:val="auto"/>
          <w:sz w:val="24"/>
          <w:szCs w:val="24"/>
          <w:lang w:val="sr-Cyrl-RS"/>
        </w:rPr>
        <w:t xml:space="preserve"> набавки је начело транспарентности кој</w:t>
      </w:r>
      <w:r w:rsidRPr="005F2680">
        <w:rPr>
          <w:rFonts w:ascii="Times New Roman" w:eastAsia="Times New Roman" w:hAnsi="Times New Roman" w:cs="Times New Roman"/>
          <w:color w:val="auto"/>
          <w:sz w:val="24"/>
          <w:szCs w:val="24"/>
          <w:lang w:val="sr-Cyrl-RS"/>
        </w:rPr>
        <w:t xml:space="preserve">е </w:t>
      </w:r>
      <w:r w:rsidR="00F50BEA" w:rsidRPr="005F2680">
        <w:rPr>
          <w:rFonts w:ascii="Times New Roman" w:eastAsia="Times New Roman" w:hAnsi="Times New Roman" w:cs="Times New Roman"/>
          <w:color w:val="auto"/>
          <w:sz w:val="24"/>
          <w:szCs w:val="24"/>
          <w:lang w:val="sr-Cyrl-RS"/>
        </w:rPr>
        <w:t xml:space="preserve">подразумева обавезу наручиоца </w:t>
      </w:r>
      <w:r w:rsidRPr="005F2680">
        <w:rPr>
          <w:rFonts w:ascii="Times New Roman" w:eastAsia="Times New Roman" w:hAnsi="Times New Roman" w:cs="Times New Roman"/>
          <w:color w:val="auto"/>
          <w:sz w:val="24"/>
          <w:szCs w:val="24"/>
          <w:lang w:val="sr-Cyrl-RS"/>
        </w:rPr>
        <w:t xml:space="preserve">да обезбеди јавност поступка јавне набавке, односно да поштује одредбе ЗЈН које обезбеђују јавност и транспарентност. Одредбе ЗЈН које се односе на обавезу објављивања планова јавних набавки као и свих његових измена и допуна на Порталу, значајно доприносе унапређењу овог начела јер се на тај начин повећава општа информисаност </w:t>
      </w:r>
      <w:r w:rsidR="002746F7" w:rsidRPr="005F2680">
        <w:rPr>
          <w:rFonts w:ascii="Times New Roman" w:eastAsia="Times New Roman" w:hAnsi="Times New Roman" w:cs="Times New Roman"/>
          <w:color w:val="auto"/>
          <w:sz w:val="24"/>
          <w:szCs w:val="24"/>
          <w:lang w:val="sr-Cyrl-RS"/>
        </w:rPr>
        <w:t xml:space="preserve">јавности </w:t>
      </w:r>
      <w:r w:rsidRPr="005F2680">
        <w:rPr>
          <w:rFonts w:ascii="Times New Roman" w:eastAsia="Times New Roman" w:hAnsi="Times New Roman" w:cs="Times New Roman"/>
          <w:color w:val="auto"/>
          <w:sz w:val="24"/>
          <w:szCs w:val="24"/>
          <w:lang w:val="sr-Cyrl-RS"/>
        </w:rPr>
        <w:t>и пружају</w:t>
      </w:r>
      <w:r w:rsidR="002746F7" w:rsidRPr="005F2680">
        <w:rPr>
          <w:rFonts w:ascii="Times New Roman" w:eastAsia="Times New Roman" w:hAnsi="Times New Roman" w:cs="Times New Roman"/>
          <w:color w:val="auto"/>
          <w:sz w:val="24"/>
          <w:szCs w:val="24"/>
          <w:lang w:val="sr-Cyrl-RS"/>
        </w:rPr>
        <w:t xml:space="preserve"> се</w:t>
      </w:r>
      <w:r w:rsidRPr="005F2680">
        <w:rPr>
          <w:rFonts w:ascii="Times New Roman" w:eastAsia="Times New Roman" w:hAnsi="Times New Roman" w:cs="Times New Roman"/>
          <w:color w:val="auto"/>
          <w:sz w:val="24"/>
          <w:szCs w:val="24"/>
          <w:lang w:val="sr-Cyrl-RS"/>
        </w:rPr>
        <w:t xml:space="preserve"> понуђачима значајне  информације за припремање понуда. </w:t>
      </w:r>
      <w:r w:rsidR="00EA70A9">
        <w:rPr>
          <w:rFonts w:ascii="Times New Roman" w:eastAsia="Times New Roman" w:hAnsi="Times New Roman" w:cs="Times New Roman"/>
          <w:color w:val="auto"/>
          <w:sz w:val="24"/>
          <w:szCs w:val="24"/>
          <w:lang w:val="sr-Cyrl-RS"/>
        </w:rPr>
        <w:t xml:space="preserve">Број објављених </w:t>
      </w:r>
      <w:r w:rsidR="009969DA">
        <w:rPr>
          <w:rFonts w:ascii="Times New Roman" w:eastAsia="Times New Roman" w:hAnsi="Times New Roman" w:cs="Times New Roman"/>
          <w:color w:val="auto"/>
          <w:sz w:val="24"/>
          <w:szCs w:val="24"/>
          <w:lang w:val="sr-Cyrl-RS"/>
        </w:rPr>
        <w:t>планова</w:t>
      </w:r>
      <w:r w:rsidR="007C5515">
        <w:rPr>
          <w:rFonts w:ascii="Times New Roman" w:eastAsia="Times New Roman" w:hAnsi="Times New Roman" w:cs="Times New Roman"/>
          <w:color w:val="auto"/>
          <w:sz w:val="24"/>
          <w:szCs w:val="24"/>
          <w:lang w:val="sr-Latn-RS"/>
        </w:rPr>
        <w:t xml:space="preserve"> јавних набавки на Порталу</w:t>
      </w:r>
      <w:r w:rsidR="00EA70A9">
        <w:rPr>
          <w:rFonts w:ascii="Times New Roman" w:eastAsia="Times New Roman" w:hAnsi="Times New Roman" w:cs="Times New Roman"/>
          <w:color w:val="auto"/>
          <w:sz w:val="24"/>
          <w:szCs w:val="24"/>
          <w:lang w:val="sr-Cyrl-RS"/>
        </w:rPr>
        <w:t xml:space="preserve"> у првом полугодишту 2019. године износио је </w:t>
      </w:r>
      <w:r w:rsidR="007B100A">
        <w:rPr>
          <w:rFonts w:ascii="Times New Roman" w:eastAsia="Times New Roman" w:hAnsi="Times New Roman" w:cs="Times New Roman"/>
          <w:color w:val="auto"/>
          <w:sz w:val="24"/>
          <w:szCs w:val="24"/>
          <w:lang w:val="sr-Cyrl-RS"/>
        </w:rPr>
        <w:t>2.185</w:t>
      </w:r>
      <w:r w:rsidR="007C5515">
        <w:rPr>
          <w:rFonts w:ascii="Times New Roman" w:eastAsia="Times New Roman" w:hAnsi="Times New Roman" w:cs="Times New Roman"/>
          <w:color w:val="auto"/>
          <w:sz w:val="24"/>
          <w:szCs w:val="24"/>
          <w:lang w:val="sr-Cyrl-RS"/>
        </w:rPr>
        <w:t>,</w:t>
      </w:r>
      <w:r w:rsidR="007B100A">
        <w:rPr>
          <w:rFonts w:ascii="Times New Roman" w:eastAsia="Times New Roman" w:hAnsi="Times New Roman" w:cs="Times New Roman"/>
          <w:color w:val="auto"/>
          <w:sz w:val="24"/>
          <w:szCs w:val="24"/>
          <w:lang w:val="sr-Cyrl-RS"/>
        </w:rPr>
        <w:t xml:space="preserve"> док је у истом периоду прошл</w:t>
      </w:r>
      <w:r w:rsidR="0088066B">
        <w:rPr>
          <w:rFonts w:ascii="Times New Roman" w:eastAsia="Times New Roman" w:hAnsi="Times New Roman" w:cs="Times New Roman"/>
          <w:color w:val="auto"/>
          <w:sz w:val="24"/>
          <w:szCs w:val="24"/>
          <w:lang w:val="sr-Cyrl-RS"/>
        </w:rPr>
        <w:t>е године тај број износио 1.991</w:t>
      </w:r>
      <w:r w:rsidR="007C5515">
        <w:rPr>
          <w:rFonts w:ascii="Times New Roman" w:eastAsia="Times New Roman" w:hAnsi="Times New Roman" w:cs="Times New Roman"/>
          <w:color w:val="auto"/>
          <w:sz w:val="24"/>
          <w:szCs w:val="24"/>
          <w:lang w:val="sr-Cyrl-RS"/>
        </w:rPr>
        <w:t>.</w:t>
      </w:r>
      <w:r w:rsidR="0088066B">
        <w:rPr>
          <w:rFonts w:ascii="Times New Roman" w:eastAsia="Times New Roman" w:hAnsi="Times New Roman" w:cs="Times New Roman"/>
          <w:color w:val="auto"/>
          <w:sz w:val="24"/>
          <w:szCs w:val="24"/>
          <w:lang w:val="sr-Cyrl-RS"/>
        </w:rPr>
        <w:t xml:space="preserve"> </w:t>
      </w:r>
    </w:p>
    <w:p w14:paraId="087716D8" w14:textId="77777777" w:rsidR="00480840" w:rsidRPr="00480840" w:rsidRDefault="00480840" w:rsidP="00480840">
      <w:pPr>
        <w:jc w:val="both"/>
        <w:rPr>
          <w:rFonts w:ascii="Times New Roman" w:eastAsia="Times New Roman" w:hAnsi="Times New Roman" w:cs="Times New Roman"/>
          <w:color w:val="auto"/>
          <w:sz w:val="24"/>
          <w:szCs w:val="24"/>
          <w:lang w:val="sr-Cyrl-RS"/>
        </w:rPr>
      </w:pPr>
    </w:p>
    <w:p w14:paraId="7DBE7E82" w14:textId="5DA1C1E5" w:rsidR="0081466B" w:rsidRPr="00480840" w:rsidRDefault="004F0DED">
      <w:pPr>
        <w:numPr>
          <w:ilvl w:val="0"/>
          <w:numId w:val="1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НАБАВКЕ ПО ВРСТАМА ПОСТУПАКА</w:t>
      </w:r>
    </w:p>
    <w:p w14:paraId="21985020" w14:textId="77777777" w:rsidR="00480840" w:rsidRPr="00442463" w:rsidRDefault="00480840" w:rsidP="00480840">
      <w:pPr>
        <w:ind w:left="720"/>
        <w:contextualSpacing/>
        <w:jc w:val="both"/>
        <w:rPr>
          <w:rFonts w:ascii="Times New Roman" w:eastAsia="Times New Roman" w:hAnsi="Times New Roman" w:cs="Times New Roman"/>
          <w:sz w:val="24"/>
          <w:szCs w:val="24"/>
        </w:rPr>
      </w:pPr>
    </w:p>
    <w:p w14:paraId="10084986" w14:textId="77777777" w:rsidR="00442463" w:rsidRDefault="00442463" w:rsidP="00442463">
      <w:pPr>
        <w:ind w:left="720"/>
        <w:contextualSpacing/>
        <w:jc w:val="both"/>
        <w:rPr>
          <w:rFonts w:ascii="Times New Roman" w:eastAsia="Times New Roman" w:hAnsi="Times New Roman" w:cs="Times New Roman"/>
          <w:sz w:val="24"/>
          <w:szCs w:val="24"/>
        </w:rPr>
      </w:pPr>
    </w:p>
    <w:p w14:paraId="28F95CBE" w14:textId="77777777" w:rsidR="00056942" w:rsidRDefault="004F0D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Један од </w:t>
      </w:r>
      <w:r w:rsidR="00056942">
        <w:rPr>
          <w:rFonts w:ascii="Times New Roman" w:eastAsia="Times New Roman" w:hAnsi="Times New Roman" w:cs="Times New Roman"/>
          <w:sz w:val="24"/>
          <w:szCs w:val="24"/>
        </w:rPr>
        <w:t>нај</w:t>
      </w:r>
      <w:r>
        <w:rPr>
          <w:rFonts w:ascii="Times New Roman" w:eastAsia="Times New Roman" w:hAnsi="Times New Roman" w:cs="Times New Roman"/>
          <w:sz w:val="24"/>
          <w:szCs w:val="24"/>
        </w:rPr>
        <w:t xml:space="preserve">значајнијих показатеља перформанси јавних набавки </w:t>
      </w:r>
      <w:r w:rsidR="00056942">
        <w:rPr>
          <w:rFonts w:ascii="Times New Roman" w:eastAsia="Times New Roman" w:hAnsi="Times New Roman" w:cs="Times New Roman"/>
          <w:sz w:val="24"/>
          <w:szCs w:val="24"/>
        </w:rPr>
        <w:t xml:space="preserve">у погледу транспарентности и обезбеђивања слободне конкуренције јесте заступљеност </w:t>
      </w:r>
      <w:r w:rsidR="00716D74">
        <w:rPr>
          <w:rFonts w:ascii="Times New Roman" w:eastAsia="Times New Roman" w:hAnsi="Times New Roman" w:cs="Times New Roman"/>
          <w:sz w:val="24"/>
          <w:szCs w:val="24"/>
        </w:rPr>
        <w:t>конкурентних поступака. Њихов удео је</w:t>
      </w:r>
      <w:r w:rsidR="008616D8">
        <w:rPr>
          <w:rFonts w:ascii="Times New Roman" w:eastAsia="Times New Roman" w:hAnsi="Times New Roman" w:cs="Times New Roman"/>
          <w:sz w:val="24"/>
          <w:szCs w:val="24"/>
        </w:rPr>
        <w:t xml:space="preserve">, у </w:t>
      </w:r>
      <w:r w:rsidR="000C0DA1">
        <w:rPr>
          <w:rFonts w:ascii="Times New Roman" w:eastAsia="Times New Roman" w:hAnsi="Times New Roman" w:cs="Times New Roman"/>
          <w:sz w:val="24"/>
          <w:szCs w:val="24"/>
          <w:lang w:val="sr-Cyrl-CS"/>
        </w:rPr>
        <w:t xml:space="preserve">првом полугодишту </w:t>
      </w:r>
      <w:r w:rsidR="00D32B12" w:rsidRPr="00D9250A">
        <w:rPr>
          <w:rFonts w:ascii="Times New Roman" w:eastAsia="Times New Roman" w:hAnsi="Times New Roman" w:cs="Times New Roman"/>
          <w:color w:val="auto"/>
          <w:sz w:val="24"/>
          <w:szCs w:val="24"/>
        </w:rPr>
        <w:t>201</w:t>
      </w:r>
      <w:r w:rsidR="00D32B12" w:rsidRPr="00D9250A">
        <w:rPr>
          <w:rFonts w:ascii="Times New Roman" w:eastAsia="Times New Roman" w:hAnsi="Times New Roman" w:cs="Times New Roman"/>
          <w:color w:val="auto"/>
          <w:sz w:val="24"/>
          <w:szCs w:val="24"/>
          <w:lang w:val="sr-Latn-RS"/>
        </w:rPr>
        <w:t>9</w:t>
      </w:r>
      <w:r w:rsidR="000C0DA1" w:rsidRPr="00D9250A">
        <w:rPr>
          <w:rFonts w:ascii="Times New Roman" w:eastAsia="Times New Roman" w:hAnsi="Times New Roman" w:cs="Times New Roman"/>
          <w:color w:val="auto"/>
          <w:sz w:val="24"/>
          <w:szCs w:val="24"/>
        </w:rPr>
        <w:t>. године</w:t>
      </w:r>
      <w:r w:rsidR="008616D8">
        <w:rPr>
          <w:rFonts w:ascii="Times New Roman" w:eastAsia="Times New Roman" w:hAnsi="Times New Roman" w:cs="Times New Roman"/>
          <w:sz w:val="24"/>
          <w:szCs w:val="24"/>
        </w:rPr>
        <w:t>,</w:t>
      </w:r>
      <w:r w:rsidR="00716D74">
        <w:rPr>
          <w:rFonts w:ascii="Times New Roman" w:eastAsia="Times New Roman" w:hAnsi="Times New Roman" w:cs="Times New Roman"/>
          <w:sz w:val="24"/>
          <w:szCs w:val="24"/>
        </w:rPr>
        <w:t xml:space="preserve"> износио </w:t>
      </w:r>
      <w:r w:rsidR="00716D74" w:rsidRPr="00D9250A">
        <w:rPr>
          <w:rFonts w:ascii="Times New Roman" w:eastAsia="Times New Roman" w:hAnsi="Times New Roman" w:cs="Times New Roman"/>
          <w:color w:val="auto"/>
          <w:sz w:val="24"/>
          <w:szCs w:val="24"/>
        </w:rPr>
        <w:t xml:space="preserve">97%, </w:t>
      </w:r>
      <w:r w:rsidR="00716D74">
        <w:rPr>
          <w:rFonts w:ascii="Times New Roman" w:eastAsia="Times New Roman" w:hAnsi="Times New Roman" w:cs="Times New Roman"/>
          <w:sz w:val="24"/>
          <w:szCs w:val="24"/>
        </w:rPr>
        <w:t>док је учешће некон</w:t>
      </w:r>
      <w:r w:rsidR="00056942">
        <w:rPr>
          <w:rFonts w:ascii="Times New Roman" w:eastAsia="Times New Roman" w:hAnsi="Times New Roman" w:cs="Times New Roman"/>
          <w:sz w:val="24"/>
          <w:szCs w:val="24"/>
        </w:rPr>
        <w:t>курентног поступка (преговарачки поступак без објављивања позива за подношење понуда) у укупној вредности закључених уговора</w:t>
      </w:r>
      <w:r w:rsidR="00716D74">
        <w:rPr>
          <w:rFonts w:ascii="Times New Roman" w:eastAsia="Times New Roman" w:hAnsi="Times New Roman" w:cs="Times New Roman"/>
          <w:sz w:val="24"/>
          <w:szCs w:val="24"/>
        </w:rPr>
        <w:t xml:space="preserve"> износио свега </w:t>
      </w:r>
      <w:r w:rsidR="00716D74" w:rsidRPr="00D9250A">
        <w:rPr>
          <w:rFonts w:ascii="Times New Roman" w:eastAsia="Times New Roman" w:hAnsi="Times New Roman" w:cs="Times New Roman"/>
          <w:color w:val="auto"/>
          <w:sz w:val="24"/>
          <w:szCs w:val="24"/>
        </w:rPr>
        <w:t>3%</w:t>
      </w:r>
      <w:r w:rsidR="005845AE" w:rsidRPr="00D9250A">
        <w:rPr>
          <w:rFonts w:ascii="Times New Roman" w:eastAsia="Times New Roman" w:hAnsi="Times New Roman" w:cs="Times New Roman"/>
          <w:color w:val="auto"/>
          <w:sz w:val="24"/>
          <w:szCs w:val="24"/>
        </w:rPr>
        <w:t xml:space="preserve"> </w:t>
      </w:r>
      <w:r w:rsidR="00D32B12" w:rsidRPr="00D9250A">
        <w:rPr>
          <w:rFonts w:ascii="Times New Roman" w:eastAsia="Times New Roman" w:hAnsi="Times New Roman" w:cs="Times New Roman"/>
          <w:color w:val="auto"/>
          <w:sz w:val="24"/>
          <w:szCs w:val="24"/>
        </w:rPr>
        <w:t>(Табела 6</w:t>
      </w:r>
      <w:r w:rsidR="008616D8" w:rsidRPr="00D9250A">
        <w:rPr>
          <w:rFonts w:ascii="Times New Roman" w:eastAsia="Times New Roman" w:hAnsi="Times New Roman" w:cs="Times New Roman"/>
          <w:color w:val="auto"/>
          <w:sz w:val="24"/>
          <w:szCs w:val="24"/>
        </w:rPr>
        <w:t>)</w:t>
      </w:r>
      <w:r w:rsidR="00056942" w:rsidRPr="00D9250A">
        <w:rPr>
          <w:rFonts w:ascii="Times New Roman" w:eastAsia="Times New Roman" w:hAnsi="Times New Roman" w:cs="Times New Roman"/>
          <w:color w:val="auto"/>
          <w:sz w:val="24"/>
          <w:szCs w:val="24"/>
        </w:rPr>
        <w:t xml:space="preserve">. </w:t>
      </w:r>
    </w:p>
    <w:p w14:paraId="0167AE4F" w14:textId="2BE95EA4" w:rsidR="0081466B" w:rsidRDefault="007C5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Због ограничавања конкуренције и транспарентности, </w:t>
      </w:r>
      <w:r w:rsidR="004F0DED">
        <w:rPr>
          <w:rFonts w:ascii="Times New Roman" w:eastAsia="Times New Roman" w:hAnsi="Times New Roman" w:cs="Times New Roman"/>
          <w:sz w:val="24"/>
          <w:szCs w:val="24"/>
        </w:rPr>
        <w:t xml:space="preserve">преговарачки поступак предвиђен </w:t>
      </w:r>
      <w:r>
        <w:rPr>
          <w:rFonts w:ascii="Times New Roman" w:eastAsia="Times New Roman" w:hAnsi="Times New Roman" w:cs="Times New Roman"/>
          <w:sz w:val="24"/>
          <w:szCs w:val="24"/>
        </w:rPr>
        <w:t>је само за</w:t>
      </w:r>
      <w:r w:rsidR="00B904B9">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изузетне случајеве, те</w:t>
      </w:r>
      <w:r w:rsidR="004F0D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 </w:t>
      </w:r>
      <w:r w:rsidR="004F0DED">
        <w:rPr>
          <w:rFonts w:ascii="Times New Roman" w:eastAsia="Times New Roman" w:hAnsi="Times New Roman" w:cs="Times New Roman"/>
          <w:sz w:val="24"/>
          <w:szCs w:val="24"/>
        </w:rPr>
        <w:t>његов</w:t>
      </w:r>
      <w:r w:rsidR="0046638C">
        <w:rPr>
          <w:rFonts w:ascii="Times New Roman" w:eastAsia="Times New Roman" w:hAnsi="Times New Roman" w:cs="Times New Roman"/>
          <w:sz w:val="24"/>
          <w:szCs w:val="24"/>
        </w:rPr>
        <w:t>о учешће</w:t>
      </w:r>
      <w:r>
        <w:rPr>
          <w:rFonts w:ascii="Times New Roman" w:eastAsia="Times New Roman" w:hAnsi="Times New Roman" w:cs="Times New Roman"/>
          <w:sz w:val="24"/>
          <w:szCs w:val="24"/>
        </w:rPr>
        <w:t xml:space="preserve"> у земљама </w:t>
      </w:r>
      <w:r w:rsidR="00D9250A">
        <w:rPr>
          <w:rFonts w:ascii="Times New Roman" w:eastAsia="Times New Roman" w:hAnsi="Times New Roman" w:cs="Times New Roman"/>
          <w:sz w:val="24"/>
          <w:szCs w:val="24"/>
          <w:lang w:val="sr-Cyrl-RS"/>
        </w:rPr>
        <w:t xml:space="preserve">окружења које припадају </w:t>
      </w:r>
      <w:r>
        <w:rPr>
          <w:rFonts w:ascii="Times New Roman" w:eastAsia="Times New Roman" w:hAnsi="Times New Roman" w:cs="Times New Roman"/>
          <w:sz w:val="24"/>
          <w:szCs w:val="24"/>
        </w:rPr>
        <w:t xml:space="preserve">ЕУ креће </w:t>
      </w:r>
      <w:r w:rsidR="00D9250A">
        <w:rPr>
          <w:rFonts w:ascii="Times New Roman" w:eastAsia="Times New Roman" w:hAnsi="Times New Roman" w:cs="Times New Roman"/>
          <w:sz w:val="24"/>
          <w:szCs w:val="24"/>
          <w:lang w:val="sr-Cyrl-RS"/>
        </w:rPr>
        <w:t>од</w:t>
      </w:r>
      <w:r w:rsidR="004F0DED">
        <w:rPr>
          <w:rFonts w:ascii="Times New Roman" w:eastAsia="Times New Roman" w:hAnsi="Times New Roman" w:cs="Times New Roman"/>
          <w:sz w:val="24"/>
          <w:szCs w:val="24"/>
        </w:rPr>
        <w:t xml:space="preserve"> 5%</w:t>
      </w:r>
      <w:r w:rsidR="00D9250A">
        <w:rPr>
          <w:rFonts w:ascii="Times New Roman" w:eastAsia="Times New Roman" w:hAnsi="Times New Roman" w:cs="Times New Roman"/>
          <w:sz w:val="24"/>
          <w:szCs w:val="24"/>
          <w:lang w:val="sr-Cyrl-RS"/>
        </w:rPr>
        <w:t xml:space="preserve"> у Хрватској и Мађарској</w:t>
      </w:r>
      <w:r w:rsidR="0065713F">
        <w:rPr>
          <w:rFonts w:ascii="Times New Roman" w:eastAsia="Times New Roman" w:hAnsi="Times New Roman" w:cs="Times New Roman"/>
          <w:sz w:val="24"/>
          <w:szCs w:val="24"/>
          <w:lang w:val="sr-Cyrl-RS"/>
        </w:rPr>
        <w:t>,</w:t>
      </w:r>
      <w:r w:rsidR="00D9250A">
        <w:rPr>
          <w:rFonts w:ascii="Times New Roman" w:eastAsia="Times New Roman" w:hAnsi="Times New Roman" w:cs="Times New Roman"/>
          <w:sz w:val="24"/>
          <w:szCs w:val="24"/>
          <w:lang w:val="sr-Cyrl-RS"/>
        </w:rPr>
        <w:t xml:space="preserve"> до 21% у Румунији и 24% у Бугарској</w:t>
      </w:r>
      <w:r w:rsidR="00381DDD">
        <w:rPr>
          <w:rStyle w:val="FootnoteReference"/>
          <w:rFonts w:ascii="Times New Roman" w:eastAsia="Times New Roman" w:hAnsi="Times New Roman" w:cs="Times New Roman"/>
          <w:sz w:val="24"/>
          <w:szCs w:val="24"/>
          <w:lang w:val="sr-Cyrl-RS"/>
        </w:rPr>
        <w:footnoteReference w:id="2"/>
      </w:r>
      <w:r w:rsidR="00D9250A">
        <w:rPr>
          <w:rFonts w:ascii="Times New Roman" w:eastAsia="Times New Roman" w:hAnsi="Times New Roman" w:cs="Times New Roman"/>
          <w:sz w:val="24"/>
          <w:szCs w:val="24"/>
        </w:rPr>
        <w:t>.</w:t>
      </w:r>
    </w:p>
    <w:p w14:paraId="2C539B5A" w14:textId="1F73220D" w:rsidR="00480840" w:rsidRDefault="00480840">
      <w:pPr>
        <w:jc w:val="both"/>
        <w:rPr>
          <w:rFonts w:ascii="Times New Roman" w:eastAsia="Times New Roman" w:hAnsi="Times New Roman" w:cs="Times New Roman"/>
          <w:sz w:val="24"/>
          <w:szCs w:val="24"/>
        </w:rPr>
      </w:pPr>
    </w:p>
    <w:p w14:paraId="1EEE049F" w14:textId="682E4EFD" w:rsidR="00480840" w:rsidRDefault="00480840">
      <w:pPr>
        <w:jc w:val="both"/>
        <w:rPr>
          <w:rFonts w:ascii="Times New Roman" w:eastAsia="Times New Roman" w:hAnsi="Times New Roman" w:cs="Times New Roman"/>
          <w:sz w:val="24"/>
          <w:szCs w:val="24"/>
        </w:rPr>
      </w:pPr>
    </w:p>
    <w:p w14:paraId="539930C0" w14:textId="6466A323" w:rsidR="00480840" w:rsidRDefault="00480840">
      <w:pPr>
        <w:jc w:val="both"/>
        <w:rPr>
          <w:rFonts w:ascii="Times New Roman" w:eastAsia="Times New Roman" w:hAnsi="Times New Roman" w:cs="Times New Roman"/>
          <w:sz w:val="24"/>
          <w:szCs w:val="24"/>
        </w:rPr>
      </w:pPr>
    </w:p>
    <w:p w14:paraId="508D7458" w14:textId="13E38BCE" w:rsidR="00480840" w:rsidRDefault="00480840">
      <w:pPr>
        <w:jc w:val="both"/>
        <w:rPr>
          <w:rFonts w:ascii="Times New Roman" w:eastAsia="Times New Roman" w:hAnsi="Times New Roman" w:cs="Times New Roman"/>
          <w:sz w:val="24"/>
          <w:szCs w:val="24"/>
        </w:rPr>
      </w:pPr>
    </w:p>
    <w:p w14:paraId="1B77192F" w14:textId="546E6783" w:rsidR="00480840" w:rsidRDefault="00480840">
      <w:pPr>
        <w:jc w:val="both"/>
        <w:rPr>
          <w:rFonts w:ascii="Times New Roman" w:eastAsia="Times New Roman" w:hAnsi="Times New Roman" w:cs="Times New Roman"/>
          <w:sz w:val="24"/>
          <w:szCs w:val="24"/>
        </w:rPr>
      </w:pPr>
    </w:p>
    <w:p w14:paraId="2A85EFA6" w14:textId="4143DBD0" w:rsidR="00480840" w:rsidRDefault="00480840">
      <w:pPr>
        <w:jc w:val="both"/>
        <w:rPr>
          <w:rFonts w:ascii="Times New Roman" w:eastAsia="Times New Roman" w:hAnsi="Times New Roman" w:cs="Times New Roman"/>
          <w:sz w:val="24"/>
          <w:szCs w:val="24"/>
        </w:rPr>
      </w:pPr>
    </w:p>
    <w:p w14:paraId="6354A077" w14:textId="02AE3505" w:rsidR="00480840" w:rsidRDefault="00480840">
      <w:pPr>
        <w:jc w:val="both"/>
      </w:pPr>
    </w:p>
    <w:p w14:paraId="7034A288" w14:textId="77777777" w:rsidR="00AC1081" w:rsidRDefault="00AC1081">
      <w:pPr>
        <w:jc w:val="both"/>
      </w:pPr>
    </w:p>
    <w:p w14:paraId="0196B28B" w14:textId="77777777" w:rsidR="0081466B" w:rsidRPr="002961A6" w:rsidRDefault="00D32B12">
      <w:pPr>
        <w:jc w:val="both"/>
        <w:rPr>
          <w:color w:val="FF0000"/>
        </w:rPr>
      </w:pPr>
      <w:r>
        <w:rPr>
          <w:rFonts w:ascii="Times New Roman" w:eastAsia="Times New Roman" w:hAnsi="Times New Roman" w:cs="Times New Roman"/>
          <w:b/>
          <w:color w:val="auto"/>
          <w:sz w:val="24"/>
          <w:szCs w:val="24"/>
          <w:lang w:val="sr-Cyrl-CS"/>
        </w:rPr>
        <w:lastRenderedPageBreak/>
        <w:t xml:space="preserve">           </w:t>
      </w:r>
      <w:r w:rsidRPr="00D9250A">
        <w:rPr>
          <w:rFonts w:ascii="Times New Roman" w:eastAsia="Times New Roman" w:hAnsi="Times New Roman" w:cs="Times New Roman"/>
          <w:b/>
          <w:color w:val="auto"/>
          <w:sz w:val="24"/>
          <w:szCs w:val="24"/>
        </w:rPr>
        <w:t>Табела 6</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0"/>
        <w:gridCol w:w="2493"/>
        <w:gridCol w:w="875"/>
      </w:tblGrid>
      <w:tr w:rsidR="0027054C" w:rsidRPr="007C5601" w14:paraId="4ED144BB" w14:textId="77777777" w:rsidTr="00D32B12">
        <w:trPr>
          <w:jc w:val="center"/>
        </w:trPr>
        <w:tc>
          <w:tcPr>
            <w:tcW w:w="7698" w:type="dxa"/>
            <w:gridSpan w:val="3"/>
            <w:tcBorders>
              <w:top w:val="single" w:sz="18" w:space="0" w:color="000000"/>
              <w:left w:val="single" w:sz="18" w:space="0" w:color="000000"/>
              <w:bottom w:val="single" w:sz="4" w:space="0" w:color="000000"/>
              <w:right w:val="single" w:sz="18" w:space="0" w:color="000000"/>
            </w:tcBorders>
            <w:vAlign w:val="center"/>
          </w:tcPr>
          <w:p w14:paraId="0D4C2790" w14:textId="77777777" w:rsidR="0027054C" w:rsidRPr="0027054C" w:rsidRDefault="0027054C" w:rsidP="00D32B12">
            <w:pPr>
              <w:tabs>
                <w:tab w:val="left" w:pos="1885"/>
              </w:tabs>
              <w:spacing w:after="0" w:line="240" w:lineRule="auto"/>
              <w:jc w:val="center"/>
            </w:pPr>
            <w:r w:rsidRPr="0027054C">
              <w:rPr>
                <w:rFonts w:ascii="Times New Roman" w:eastAsia="Times New Roman" w:hAnsi="Times New Roman" w:cs="Times New Roman"/>
                <w:b/>
                <w:sz w:val="24"/>
                <w:szCs w:val="24"/>
              </w:rPr>
              <w:t>Преглед вредносне структуре јавних набавки велике</w:t>
            </w:r>
          </w:p>
          <w:p w14:paraId="3D966C9B" w14:textId="2307AE69" w:rsidR="0027054C" w:rsidRPr="0027054C" w:rsidRDefault="007661D9" w:rsidP="00C01ED7">
            <w:pPr>
              <w:tabs>
                <w:tab w:val="left" w:pos="1885"/>
              </w:tabs>
              <w:spacing w:after="0" w:line="240" w:lineRule="auto"/>
              <w:jc w:val="center"/>
            </w:pPr>
            <w:r>
              <w:rPr>
                <w:rFonts w:ascii="Times New Roman" w:eastAsia="Times New Roman" w:hAnsi="Times New Roman" w:cs="Times New Roman"/>
                <w:b/>
                <w:sz w:val="24"/>
                <w:szCs w:val="24"/>
              </w:rPr>
              <w:t>вредности по врсти</w:t>
            </w:r>
            <w:r w:rsidR="0027054C" w:rsidRPr="0027054C">
              <w:rPr>
                <w:rFonts w:ascii="Times New Roman" w:eastAsia="Times New Roman" w:hAnsi="Times New Roman" w:cs="Times New Roman"/>
                <w:b/>
                <w:sz w:val="24"/>
                <w:szCs w:val="24"/>
              </w:rPr>
              <w:t xml:space="preserve"> п</w:t>
            </w:r>
            <w:r w:rsidR="002B6B8B">
              <w:rPr>
                <w:rFonts w:ascii="Times New Roman" w:eastAsia="Times New Roman" w:hAnsi="Times New Roman" w:cs="Times New Roman"/>
                <w:b/>
                <w:sz w:val="24"/>
                <w:szCs w:val="24"/>
              </w:rPr>
              <w:t>оступка у првом полугодишту 201</w:t>
            </w:r>
            <w:r w:rsidR="00C01ED7">
              <w:rPr>
                <w:rFonts w:ascii="Times New Roman" w:eastAsia="Times New Roman" w:hAnsi="Times New Roman" w:cs="Times New Roman"/>
                <w:b/>
                <w:sz w:val="24"/>
                <w:szCs w:val="24"/>
                <w:lang w:val="en-US"/>
              </w:rPr>
              <w:t>9</w:t>
            </w:r>
            <w:r w:rsidR="0027054C" w:rsidRPr="0027054C">
              <w:rPr>
                <w:rFonts w:ascii="Times New Roman" w:eastAsia="Times New Roman" w:hAnsi="Times New Roman" w:cs="Times New Roman"/>
                <w:b/>
                <w:sz w:val="24"/>
                <w:szCs w:val="24"/>
              </w:rPr>
              <w:t>. године</w:t>
            </w:r>
          </w:p>
        </w:tc>
      </w:tr>
      <w:tr w:rsidR="0027054C" w:rsidRPr="0027054C" w14:paraId="45033537" w14:textId="77777777" w:rsidTr="00D32B12">
        <w:trPr>
          <w:jc w:val="center"/>
        </w:trPr>
        <w:tc>
          <w:tcPr>
            <w:tcW w:w="4330" w:type="dxa"/>
            <w:tcBorders>
              <w:top w:val="single" w:sz="4" w:space="0" w:color="000000"/>
              <w:left w:val="single" w:sz="18" w:space="0" w:color="000000"/>
              <w:bottom w:val="single" w:sz="4" w:space="0" w:color="000000"/>
              <w:right w:val="single" w:sz="18" w:space="0" w:color="000000"/>
            </w:tcBorders>
            <w:vAlign w:val="center"/>
          </w:tcPr>
          <w:p w14:paraId="4D46932C" w14:textId="77777777" w:rsidR="0027054C" w:rsidRPr="0027054C" w:rsidRDefault="0027054C" w:rsidP="00D32B12">
            <w:pPr>
              <w:tabs>
                <w:tab w:val="left" w:pos="1885"/>
              </w:tabs>
              <w:spacing w:after="0" w:line="240" w:lineRule="auto"/>
              <w:jc w:val="center"/>
            </w:pPr>
            <w:r w:rsidRPr="0027054C">
              <w:rPr>
                <w:rFonts w:ascii="Times New Roman" w:eastAsia="Times New Roman" w:hAnsi="Times New Roman" w:cs="Times New Roman"/>
                <w:b/>
                <w:sz w:val="24"/>
                <w:szCs w:val="24"/>
              </w:rPr>
              <w:t>Врста поступка</w:t>
            </w:r>
          </w:p>
          <w:p w14:paraId="2788E5A3" w14:textId="77777777" w:rsidR="0027054C" w:rsidRPr="0027054C" w:rsidRDefault="0027054C" w:rsidP="00D32B12">
            <w:pPr>
              <w:tabs>
                <w:tab w:val="left" w:pos="1885"/>
              </w:tabs>
              <w:spacing w:after="0" w:line="240" w:lineRule="auto"/>
              <w:jc w:val="center"/>
            </w:pPr>
          </w:p>
        </w:tc>
        <w:tc>
          <w:tcPr>
            <w:tcW w:w="2493" w:type="dxa"/>
            <w:tcBorders>
              <w:top w:val="single" w:sz="4" w:space="0" w:color="000000"/>
              <w:left w:val="single" w:sz="18" w:space="0" w:color="000000"/>
              <w:bottom w:val="single" w:sz="4" w:space="0" w:color="000000"/>
              <w:right w:val="single" w:sz="4" w:space="0" w:color="000000"/>
            </w:tcBorders>
            <w:vAlign w:val="center"/>
          </w:tcPr>
          <w:p w14:paraId="49DE7236" w14:textId="77777777" w:rsidR="0027054C" w:rsidRPr="0027054C" w:rsidRDefault="0027054C" w:rsidP="00D32B12">
            <w:pPr>
              <w:tabs>
                <w:tab w:val="left" w:pos="1885"/>
              </w:tabs>
              <w:spacing w:after="0" w:line="240" w:lineRule="auto"/>
              <w:jc w:val="center"/>
            </w:pPr>
            <w:r w:rsidRPr="0027054C">
              <w:rPr>
                <w:rFonts w:ascii="Times New Roman" w:eastAsia="Times New Roman" w:hAnsi="Times New Roman" w:cs="Times New Roman"/>
                <w:b/>
                <w:sz w:val="24"/>
                <w:szCs w:val="24"/>
              </w:rPr>
              <w:t>Уговорена вредност</w:t>
            </w:r>
          </w:p>
          <w:p w14:paraId="75D04CD8" w14:textId="77777777" w:rsidR="0027054C" w:rsidRPr="0027054C" w:rsidRDefault="0027054C" w:rsidP="00D32B12">
            <w:pPr>
              <w:tabs>
                <w:tab w:val="left" w:pos="1885"/>
              </w:tabs>
              <w:spacing w:after="0" w:line="240" w:lineRule="auto"/>
              <w:jc w:val="center"/>
            </w:pPr>
            <w:r w:rsidRPr="0027054C">
              <w:rPr>
                <w:rFonts w:ascii="Times New Roman" w:eastAsia="Times New Roman" w:hAnsi="Times New Roman" w:cs="Times New Roman"/>
                <w:b/>
                <w:sz w:val="20"/>
                <w:szCs w:val="20"/>
              </w:rPr>
              <w:t>(у хиљадама</w:t>
            </w:r>
          </w:p>
          <w:p w14:paraId="5320E265" w14:textId="77777777" w:rsidR="0027054C" w:rsidRPr="0027054C" w:rsidRDefault="0027054C" w:rsidP="00D32B12">
            <w:pPr>
              <w:tabs>
                <w:tab w:val="left" w:pos="1885"/>
              </w:tabs>
              <w:spacing w:after="0" w:line="240" w:lineRule="auto"/>
              <w:jc w:val="center"/>
            </w:pPr>
            <w:r w:rsidRPr="0027054C">
              <w:rPr>
                <w:rFonts w:ascii="Times New Roman" w:eastAsia="Times New Roman" w:hAnsi="Times New Roman" w:cs="Times New Roman"/>
                <w:b/>
                <w:sz w:val="20"/>
                <w:szCs w:val="20"/>
              </w:rPr>
              <w:t>динара)</w:t>
            </w:r>
          </w:p>
        </w:tc>
        <w:tc>
          <w:tcPr>
            <w:tcW w:w="875" w:type="dxa"/>
            <w:tcBorders>
              <w:top w:val="single" w:sz="4" w:space="0" w:color="000000"/>
              <w:left w:val="single" w:sz="4" w:space="0" w:color="000000"/>
              <w:bottom w:val="single" w:sz="4" w:space="0" w:color="000000"/>
              <w:right w:val="single" w:sz="18" w:space="0" w:color="000000"/>
            </w:tcBorders>
            <w:vAlign w:val="center"/>
          </w:tcPr>
          <w:p w14:paraId="2F9A1422" w14:textId="77777777" w:rsidR="0027054C" w:rsidRPr="0027054C" w:rsidRDefault="0027054C" w:rsidP="00D32B12">
            <w:pPr>
              <w:tabs>
                <w:tab w:val="left" w:pos="1885"/>
              </w:tabs>
              <w:spacing w:after="0" w:line="240" w:lineRule="auto"/>
              <w:jc w:val="center"/>
            </w:pPr>
            <w:r w:rsidRPr="0027054C">
              <w:rPr>
                <w:rFonts w:ascii="Times New Roman" w:eastAsia="Times New Roman" w:hAnsi="Times New Roman" w:cs="Times New Roman"/>
                <w:b/>
                <w:sz w:val="24"/>
                <w:szCs w:val="24"/>
              </w:rPr>
              <w:t>%</w:t>
            </w:r>
          </w:p>
        </w:tc>
      </w:tr>
      <w:tr w:rsidR="002B6B8B" w:rsidRPr="0027054C" w14:paraId="633653E7" w14:textId="77777777" w:rsidTr="00D32B12">
        <w:trPr>
          <w:jc w:val="center"/>
        </w:trPr>
        <w:tc>
          <w:tcPr>
            <w:tcW w:w="4330" w:type="dxa"/>
            <w:tcBorders>
              <w:top w:val="single" w:sz="4" w:space="0" w:color="000000"/>
              <w:left w:val="single" w:sz="18" w:space="0" w:color="000000"/>
              <w:bottom w:val="single" w:sz="4" w:space="0" w:color="000000"/>
              <w:right w:val="single" w:sz="18" w:space="0" w:color="000000"/>
            </w:tcBorders>
            <w:vAlign w:val="center"/>
          </w:tcPr>
          <w:p w14:paraId="271D6928" w14:textId="77777777" w:rsidR="002B6B8B" w:rsidRPr="0027054C" w:rsidRDefault="002B6B8B" w:rsidP="00D32B12">
            <w:pPr>
              <w:tabs>
                <w:tab w:val="left" w:pos="3622"/>
              </w:tabs>
              <w:spacing w:after="0" w:line="240" w:lineRule="auto"/>
              <w:jc w:val="center"/>
            </w:pPr>
            <w:r w:rsidRPr="0027054C">
              <w:rPr>
                <w:rFonts w:ascii="Times New Roman" w:eastAsia="Times New Roman" w:hAnsi="Times New Roman" w:cs="Times New Roman"/>
                <w:b/>
                <w:sz w:val="20"/>
                <w:szCs w:val="20"/>
              </w:rPr>
              <w:t>Отворени поступак</w:t>
            </w:r>
          </w:p>
        </w:tc>
        <w:tc>
          <w:tcPr>
            <w:tcW w:w="2493" w:type="dxa"/>
            <w:tcBorders>
              <w:top w:val="single" w:sz="4" w:space="0" w:color="000000"/>
              <w:left w:val="single" w:sz="18" w:space="0" w:color="000000"/>
              <w:bottom w:val="single" w:sz="4" w:space="0" w:color="000000"/>
              <w:right w:val="single" w:sz="4" w:space="0" w:color="000000"/>
            </w:tcBorders>
            <w:vAlign w:val="center"/>
          </w:tcPr>
          <w:p w14:paraId="2E57E5C5" w14:textId="77777777" w:rsidR="002B6B8B" w:rsidRPr="00D32B12" w:rsidRDefault="00D32B12" w:rsidP="00D32B12">
            <w:pPr>
              <w:jc w:val="center"/>
              <w:rPr>
                <w:rFonts w:ascii="Times New Roman" w:hAnsi="Times New Roman" w:cs="Times New Roman"/>
                <w:lang w:val="sr-Latn-RS"/>
              </w:rPr>
            </w:pPr>
            <w:r>
              <w:rPr>
                <w:rFonts w:ascii="Times New Roman" w:hAnsi="Times New Roman" w:cs="Times New Roman"/>
                <w:lang w:val="sr-Latn-RS"/>
              </w:rPr>
              <w:t>183.636.906</w:t>
            </w:r>
          </w:p>
        </w:tc>
        <w:tc>
          <w:tcPr>
            <w:tcW w:w="875" w:type="dxa"/>
            <w:tcBorders>
              <w:top w:val="single" w:sz="4" w:space="0" w:color="000000"/>
              <w:left w:val="single" w:sz="4" w:space="0" w:color="000000"/>
              <w:bottom w:val="single" w:sz="4" w:space="0" w:color="000000"/>
              <w:right w:val="single" w:sz="18" w:space="0" w:color="000000"/>
            </w:tcBorders>
            <w:vAlign w:val="center"/>
          </w:tcPr>
          <w:p w14:paraId="7D167FEB" w14:textId="77777777" w:rsidR="002B6B8B" w:rsidRPr="00D32B12" w:rsidRDefault="00D32B12" w:rsidP="00D32B12">
            <w:pPr>
              <w:jc w:val="center"/>
              <w:rPr>
                <w:rFonts w:ascii="Times New Roman" w:hAnsi="Times New Roman" w:cs="Times New Roman"/>
                <w:lang w:val="sr-Latn-RS"/>
              </w:rPr>
            </w:pPr>
            <w:r>
              <w:rPr>
                <w:rFonts w:ascii="Times New Roman" w:hAnsi="Times New Roman" w:cs="Times New Roman"/>
                <w:lang w:val="sr-Latn-RS"/>
              </w:rPr>
              <w:t>94%</w:t>
            </w:r>
          </w:p>
        </w:tc>
      </w:tr>
      <w:tr w:rsidR="002B6B8B" w:rsidRPr="0027054C" w14:paraId="1AB3265A" w14:textId="77777777" w:rsidTr="00D32B12">
        <w:trPr>
          <w:jc w:val="center"/>
        </w:trPr>
        <w:tc>
          <w:tcPr>
            <w:tcW w:w="4330" w:type="dxa"/>
            <w:tcBorders>
              <w:top w:val="single" w:sz="4" w:space="0" w:color="000000"/>
              <w:left w:val="single" w:sz="18" w:space="0" w:color="000000"/>
              <w:bottom w:val="single" w:sz="4" w:space="0" w:color="000000"/>
              <w:right w:val="single" w:sz="18" w:space="0" w:color="000000"/>
            </w:tcBorders>
            <w:vAlign w:val="center"/>
          </w:tcPr>
          <w:p w14:paraId="363DB6BC" w14:textId="77777777" w:rsidR="002B6B8B" w:rsidRPr="0027054C" w:rsidRDefault="002B6B8B" w:rsidP="00D32B12">
            <w:pPr>
              <w:tabs>
                <w:tab w:val="left" w:pos="3622"/>
              </w:tabs>
              <w:spacing w:after="0" w:line="240" w:lineRule="auto"/>
              <w:jc w:val="center"/>
            </w:pPr>
            <w:r w:rsidRPr="0027054C">
              <w:rPr>
                <w:rFonts w:ascii="Times New Roman" w:eastAsia="Times New Roman" w:hAnsi="Times New Roman" w:cs="Times New Roman"/>
                <w:b/>
                <w:sz w:val="20"/>
                <w:szCs w:val="20"/>
              </w:rPr>
              <w:t>Рестриктивни поступак</w:t>
            </w:r>
          </w:p>
        </w:tc>
        <w:tc>
          <w:tcPr>
            <w:tcW w:w="2493" w:type="dxa"/>
            <w:tcBorders>
              <w:top w:val="single" w:sz="4" w:space="0" w:color="000000"/>
              <w:left w:val="single" w:sz="18" w:space="0" w:color="000000"/>
              <w:bottom w:val="single" w:sz="4" w:space="0" w:color="000000"/>
              <w:right w:val="single" w:sz="4" w:space="0" w:color="000000"/>
            </w:tcBorders>
            <w:vAlign w:val="center"/>
          </w:tcPr>
          <w:p w14:paraId="789820C3" w14:textId="77777777" w:rsidR="002B6B8B" w:rsidRPr="00D32B12" w:rsidRDefault="00D32B12" w:rsidP="00D32B12">
            <w:pPr>
              <w:jc w:val="center"/>
              <w:rPr>
                <w:rFonts w:ascii="Times New Roman" w:hAnsi="Times New Roman" w:cs="Times New Roman"/>
                <w:lang w:val="sr-Latn-RS"/>
              </w:rPr>
            </w:pPr>
            <w:r>
              <w:rPr>
                <w:rFonts w:ascii="Times New Roman" w:hAnsi="Times New Roman" w:cs="Times New Roman"/>
                <w:lang w:val="sr-Latn-RS"/>
              </w:rPr>
              <w:t>7.583</w:t>
            </w:r>
          </w:p>
        </w:tc>
        <w:tc>
          <w:tcPr>
            <w:tcW w:w="875" w:type="dxa"/>
            <w:tcBorders>
              <w:top w:val="single" w:sz="4" w:space="0" w:color="000000"/>
              <w:left w:val="single" w:sz="4" w:space="0" w:color="000000"/>
              <w:bottom w:val="single" w:sz="4" w:space="0" w:color="000000"/>
              <w:right w:val="single" w:sz="18" w:space="0" w:color="000000"/>
            </w:tcBorders>
            <w:vAlign w:val="center"/>
          </w:tcPr>
          <w:p w14:paraId="7F2DCA34" w14:textId="77777777" w:rsidR="002B6B8B" w:rsidRPr="00FC0A7A" w:rsidRDefault="00FC0A7A" w:rsidP="00D32B12">
            <w:pPr>
              <w:jc w:val="center"/>
              <w:rPr>
                <w:rFonts w:ascii="Times New Roman" w:hAnsi="Times New Roman" w:cs="Times New Roman"/>
                <w:lang w:val="sr-Latn-RS"/>
              </w:rPr>
            </w:pPr>
            <w:r>
              <w:rPr>
                <w:rFonts w:ascii="Times New Roman" w:hAnsi="Times New Roman" w:cs="Times New Roman"/>
                <w:lang w:val="sr-Latn-RS"/>
              </w:rPr>
              <w:t>0%</w:t>
            </w:r>
          </w:p>
        </w:tc>
      </w:tr>
      <w:tr w:rsidR="002B6B8B" w:rsidRPr="0027054C" w14:paraId="2181605D" w14:textId="77777777" w:rsidTr="00D32B12">
        <w:trPr>
          <w:jc w:val="center"/>
        </w:trPr>
        <w:tc>
          <w:tcPr>
            <w:tcW w:w="4330" w:type="dxa"/>
            <w:tcBorders>
              <w:top w:val="single" w:sz="4" w:space="0" w:color="000000"/>
              <w:left w:val="single" w:sz="18" w:space="0" w:color="000000"/>
              <w:bottom w:val="single" w:sz="4" w:space="0" w:color="000000"/>
              <w:right w:val="single" w:sz="18" w:space="0" w:color="000000"/>
            </w:tcBorders>
            <w:vAlign w:val="center"/>
          </w:tcPr>
          <w:p w14:paraId="65D30F1A" w14:textId="77777777" w:rsidR="002B6B8B" w:rsidRPr="0027054C" w:rsidRDefault="002B6B8B" w:rsidP="00D32B12">
            <w:pPr>
              <w:tabs>
                <w:tab w:val="left" w:pos="3622"/>
              </w:tabs>
              <w:spacing w:after="0" w:line="240" w:lineRule="auto"/>
              <w:jc w:val="center"/>
            </w:pPr>
            <w:r w:rsidRPr="0027054C">
              <w:rPr>
                <w:rFonts w:ascii="Times New Roman" w:eastAsia="Times New Roman" w:hAnsi="Times New Roman" w:cs="Times New Roman"/>
                <w:b/>
                <w:sz w:val="20"/>
                <w:szCs w:val="20"/>
              </w:rPr>
              <w:t>Квалификациони поступак</w:t>
            </w:r>
          </w:p>
        </w:tc>
        <w:tc>
          <w:tcPr>
            <w:tcW w:w="2493" w:type="dxa"/>
            <w:tcBorders>
              <w:top w:val="single" w:sz="4" w:space="0" w:color="000000"/>
              <w:left w:val="single" w:sz="18" w:space="0" w:color="000000"/>
              <w:bottom w:val="single" w:sz="4" w:space="0" w:color="000000"/>
              <w:right w:val="single" w:sz="4" w:space="0" w:color="000000"/>
            </w:tcBorders>
            <w:vAlign w:val="center"/>
          </w:tcPr>
          <w:p w14:paraId="6CF7526D" w14:textId="77777777" w:rsidR="002B6B8B" w:rsidRPr="00FC0A7A" w:rsidRDefault="00FC0A7A" w:rsidP="00D32B12">
            <w:pPr>
              <w:jc w:val="center"/>
              <w:rPr>
                <w:rFonts w:ascii="Times New Roman" w:hAnsi="Times New Roman" w:cs="Times New Roman"/>
                <w:lang w:val="sr-Latn-RS"/>
              </w:rPr>
            </w:pPr>
            <w:r>
              <w:rPr>
                <w:rFonts w:ascii="Times New Roman" w:hAnsi="Times New Roman" w:cs="Times New Roman"/>
                <w:lang w:val="sr-Latn-RS"/>
              </w:rPr>
              <w:t>887.573</w:t>
            </w:r>
          </w:p>
        </w:tc>
        <w:tc>
          <w:tcPr>
            <w:tcW w:w="875" w:type="dxa"/>
            <w:tcBorders>
              <w:top w:val="single" w:sz="4" w:space="0" w:color="000000"/>
              <w:left w:val="single" w:sz="4" w:space="0" w:color="000000"/>
              <w:bottom w:val="single" w:sz="4" w:space="0" w:color="000000"/>
              <w:right w:val="single" w:sz="18" w:space="0" w:color="000000"/>
            </w:tcBorders>
            <w:vAlign w:val="center"/>
          </w:tcPr>
          <w:p w14:paraId="672214B5" w14:textId="77777777" w:rsidR="002B6B8B" w:rsidRPr="00FC0A7A" w:rsidRDefault="00FC0A7A" w:rsidP="00D32B12">
            <w:pPr>
              <w:jc w:val="center"/>
              <w:rPr>
                <w:rFonts w:ascii="Times New Roman" w:hAnsi="Times New Roman" w:cs="Times New Roman"/>
                <w:lang w:val="sr-Latn-RS"/>
              </w:rPr>
            </w:pPr>
            <w:r>
              <w:rPr>
                <w:rFonts w:ascii="Times New Roman" w:hAnsi="Times New Roman" w:cs="Times New Roman"/>
                <w:lang w:val="sr-Latn-RS"/>
              </w:rPr>
              <w:t>0%</w:t>
            </w:r>
          </w:p>
        </w:tc>
      </w:tr>
      <w:tr w:rsidR="002B6B8B" w:rsidRPr="0027054C" w14:paraId="3D28FAE0" w14:textId="77777777" w:rsidTr="00D32B12">
        <w:trPr>
          <w:jc w:val="center"/>
        </w:trPr>
        <w:tc>
          <w:tcPr>
            <w:tcW w:w="4330" w:type="dxa"/>
            <w:tcBorders>
              <w:top w:val="single" w:sz="4" w:space="0" w:color="000000"/>
              <w:left w:val="single" w:sz="18" w:space="0" w:color="000000"/>
              <w:bottom w:val="single" w:sz="4" w:space="0" w:color="000000"/>
              <w:right w:val="single" w:sz="18" w:space="0" w:color="000000"/>
            </w:tcBorders>
            <w:vAlign w:val="center"/>
          </w:tcPr>
          <w:p w14:paraId="7B5A85E1" w14:textId="77777777" w:rsidR="002B6B8B" w:rsidRPr="0027054C" w:rsidRDefault="002B6B8B" w:rsidP="00D32B12">
            <w:pPr>
              <w:tabs>
                <w:tab w:val="left" w:pos="3622"/>
              </w:tabs>
              <w:spacing w:after="0" w:line="240" w:lineRule="auto"/>
              <w:jc w:val="center"/>
            </w:pPr>
            <w:r w:rsidRPr="0027054C">
              <w:rPr>
                <w:rFonts w:ascii="Times New Roman" w:eastAsia="Times New Roman" w:hAnsi="Times New Roman" w:cs="Times New Roman"/>
                <w:b/>
                <w:sz w:val="20"/>
                <w:szCs w:val="20"/>
              </w:rPr>
              <w:t>Преговарачки поступак без објављивања  позива за подношење понуда</w:t>
            </w:r>
          </w:p>
        </w:tc>
        <w:tc>
          <w:tcPr>
            <w:tcW w:w="2493" w:type="dxa"/>
            <w:tcBorders>
              <w:top w:val="single" w:sz="4" w:space="0" w:color="000000"/>
              <w:left w:val="single" w:sz="18" w:space="0" w:color="000000"/>
              <w:bottom w:val="single" w:sz="4" w:space="0" w:color="000000"/>
              <w:right w:val="single" w:sz="4" w:space="0" w:color="000000"/>
            </w:tcBorders>
            <w:vAlign w:val="center"/>
          </w:tcPr>
          <w:p w14:paraId="5ACF0E7C" w14:textId="77777777" w:rsidR="002B6B8B" w:rsidRPr="00FC0A7A" w:rsidRDefault="002961A6" w:rsidP="00D32B12">
            <w:pPr>
              <w:jc w:val="center"/>
              <w:rPr>
                <w:rFonts w:ascii="Times New Roman" w:hAnsi="Times New Roman" w:cs="Times New Roman"/>
                <w:lang w:val="sr-Latn-RS"/>
              </w:rPr>
            </w:pPr>
            <w:r>
              <w:rPr>
                <w:rFonts w:ascii="Times New Roman" w:hAnsi="Times New Roman" w:cs="Times New Roman"/>
                <w:lang w:val="sr-Latn-RS"/>
              </w:rPr>
              <w:t>6.111.643</w:t>
            </w:r>
          </w:p>
        </w:tc>
        <w:tc>
          <w:tcPr>
            <w:tcW w:w="875" w:type="dxa"/>
            <w:tcBorders>
              <w:top w:val="single" w:sz="4" w:space="0" w:color="000000"/>
              <w:left w:val="single" w:sz="4" w:space="0" w:color="000000"/>
              <w:bottom w:val="single" w:sz="4" w:space="0" w:color="000000"/>
              <w:right w:val="single" w:sz="18" w:space="0" w:color="000000"/>
            </w:tcBorders>
            <w:vAlign w:val="center"/>
          </w:tcPr>
          <w:p w14:paraId="546B8DBA" w14:textId="77777777" w:rsidR="002B6B8B" w:rsidRPr="00FC0A7A" w:rsidRDefault="00FC0A7A" w:rsidP="00D32B12">
            <w:pPr>
              <w:jc w:val="center"/>
              <w:rPr>
                <w:rFonts w:ascii="Times New Roman" w:hAnsi="Times New Roman" w:cs="Times New Roman"/>
                <w:lang w:val="sr-Latn-RS"/>
              </w:rPr>
            </w:pPr>
            <w:r>
              <w:rPr>
                <w:rFonts w:ascii="Times New Roman" w:hAnsi="Times New Roman" w:cs="Times New Roman"/>
                <w:lang w:val="sr-Latn-RS"/>
              </w:rPr>
              <w:t>3%</w:t>
            </w:r>
          </w:p>
        </w:tc>
      </w:tr>
      <w:tr w:rsidR="002B6B8B" w:rsidRPr="0027054C" w14:paraId="4EE9861E" w14:textId="77777777" w:rsidTr="00D32B12">
        <w:trPr>
          <w:jc w:val="center"/>
        </w:trPr>
        <w:tc>
          <w:tcPr>
            <w:tcW w:w="4330" w:type="dxa"/>
            <w:tcBorders>
              <w:top w:val="single" w:sz="4" w:space="0" w:color="000000"/>
              <w:left w:val="single" w:sz="18" w:space="0" w:color="000000"/>
              <w:bottom w:val="single" w:sz="4" w:space="0" w:color="000000"/>
              <w:right w:val="single" w:sz="18" w:space="0" w:color="000000"/>
            </w:tcBorders>
            <w:vAlign w:val="center"/>
          </w:tcPr>
          <w:p w14:paraId="682D4933" w14:textId="77777777" w:rsidR="002B6B8B" w:rsidRPr="0027054C" w:rsidRDefault="002B6B8B" w:rsidP="00D32B12">
            <w:pPr>
              <w:tabs>
                <w:tab w:val="left" w:pos="3622"/>
              </w:tabs>
              <w:spacing w:after="0" w:line="240" w:lineRule="auto"/>
              <w:jc w:val="center"/>
            </w:pPr>
            <w:r w:rsidRPr="0027054C">
              <w:rPr>
                <w:rFonts w:ascii="Times New Roman" w:eastAsia="Times New Roman" w:hAnsi="Times New Roman" w:cs="Times New Roman"/>
                <w:b/>
                <w:sz w:val="20"/>
                <w:szCs w:val="20"/>
              </w:rPr>
              <w:t>Преговарачки поступак са објављивањем позива за подношење понуда</w:t>
            </w:r>
          </w:p>
        </w:tc>
        <w:tc>
          <w:tcPr>
            <w:tcW w:w="2493" w:type="dxa"/>
            <w:tcBorders>
              <w:top w:val="single" w:sz="4" w:space="0" w:color="000000"/>
              <w:left w:val="single" w:sz="18" w:space="0" w:color="000000"/>
              <w:bottom w:val="single" w:sz="4" w:space="0" w:color="000000"/>
              <w:right w:val="single" w:sz="4" w:space="0" w:color="000000"/>
            </w:tcBorders>
            <w:vAlign w:val="center"/>
          </w:tcPr>
          <w:p w14:paraId="2C5E23F6" w14:textId="77777777" w:rsidR="002B6B8B" w:rsidRPr="00FC0A7A" w:rsidRDefault="002961A6" w:rsidP="00D32B12">
            <w:pPr>
              <w:jc w:val="center"/>
              <w:rPr>
                <w:rFonts w:ascii="Times New Roman" w:hAnsi="Times New Roman" w:cs="Times New Roman"/>
                <w:lang w:val="sr-Latn-RS"/>
              </w:rPr>
            </w:pPr>
            <w:r>
              <w:rPr>
                <w:rFonts w:ascii="Times New Roman" w:hAnsi="Times New Roman" w:cs="Times New Roman"/>
                <w:lang w:val="sr-Latn-RS"/>
              </w:rPr>
              <w:t>5.039.062</w:t>
            </w:r>
          </w:p>
        </w:tc>
        <w:tc>
          <w:tcPr>
            <w:tcW w:w="875" w:type="dxa"/>
            <w:tcBorders>
              <w:top w:val="single" w:sz="4" w:space="0" w:color="000000"/>
              <w:left w:val="single" w:sz="4" w:space="0" w:color="000000"/>
              <w:bottom w:val="single" w:sz="4" w:space="0" w:color="000000"/>
              <w:right w:val="single" w:sz="18" w:space="0" w:color="000000"/>
            </w:tcBorders>
            <w:vAlign w:val="center"/>
          </w:tcPr>
          <w:p w14:paraId="32966691" w14:textId="77777777" w:rsidR="002B6B8B" w:rsidRPr="00FC0A7A" w:rsidRDefault="00FC0A7A" w:rsidP="00D32B12">
            <w:pPr>
              <w:jc w:val="center"/>
              <w:rPr>
                <w:rFonts w:ascii="Times New Roman" w:hAnsi="Times New Roman" w:cs="Times New Roman"/>
                <w:lang w:val="sr-Latn-RS"/>
              </w:rPr>
            </w:pPr>
            <w:r>
              <w:rPr>
                <w:rFonts w:ascii="Times New Roman" w:hAnsi="Times New Roman" w:cs="Times New Roman"/>
                <w:lang w:val="sr-Latn-RS"/>
              </w:rPr>
              <w:t>3%</w:t>
            </w:r>
          </w:p>
        </w:tc>
      </w:tr>
      <w:tr w:rsidR="002961A6" w:rsidRPr="0027054C" w14:paraId="2FDBFF5B" w14:textId="77777777" w:rsidTr="00D32B12">
        <w:trPr>
          <w:jc w:val="center"/>
        </w:trPr>
        <w:tc>
          <w:tcPr>
            <w:tcW w:w="4330" w:type="dxa"/>
            <w:tcBorders>
              <w:top w:val="single" w:sz="4" w:space="0" w:color="000000"/>
              <w:left w:val="single" w:sz="18" w:space="0" w:color="000000"/>
              <w:bottom w:val="single" w:sz="18" w:space="0" w:color="000000"/>
              <w:right w:val="single" w:sz="18" w:space="0" w:color="000000"/>
            </w:tcBorders>
            <w:vAlign w:val="center"/>
          </w:tcPr>
          <w:p w14:paraId="6FCB04A3" w14:textId="77777777" w:rsidR="002961A6" w:rsidRPr="0027054C" w:rsidRDefault="002961A6" w:rsidP="002961A6">
            <w:pPr>
              <w:tabs>
                <w:tab w:val="left" w:pos="1885"/>
              </w:tabs>
              <w:spacing w:after="0" w:line="240" w:lineRule="auto"/>
              <w:jc w:val="center"/>
              <w:rPr>
                <w:sz w:val="24"/>
                <w:szCs w:val="24"/>
              </w:rPr>
            </w:pPr>
            <w:r w:rsidRPr="0027054C">
              <w:rPr>
                <w:rFonts w:ascii="Times New Roman" w:eastAsia="Times New Roman" w:hAnsi="Times New Roman" w:cs="Times New Roman"/>
                <w:b/>
                <w:sz w:val="24"/>
                <w:szCs w:val="24"/>
              </w:rPr>
              <w:t>Укупно</w:t>
            </w:r>
          </w:p>
        </w:tc>
        <w:tc>
          <w:tcPr>
            <w:tcW w:w="2493" w:type="dxa"/>
            <w:tcBorders>
              <w:top w:val="single" w:sz="4" w:space="0" w:color="000000"/>
              <w:left w:val="single" w:sz="18" w:space="0" w:color="000000"/>
              <w:bottom w:val="single" w:sz="18" w:space="0" w:color="000000"/>
              <w:right w:val="single" w:sz="4" w:space="0" w:color="000000"/>
            </w:tcBorders>
            <w:vAlign w:val="center"/>
          </w:tcPr>
          <w:p w14:paraId="5A7DD5F4" w14:textId="77777777" w:rsidR="002961A6" w:rsidRPr="002961A6" w:rsidRDefault="002961A6" w:rsidP="002961A6">
            <w:pPr>
              <w:spacing w:after="0" w:line="240" w:lineRule="auto"/>
              <w:jc w:val="center"/>
              <w:rPr>
                <w:rFonts w:ascii="Times New Roman" w:hAnsi="Times New Roman" w:cs="Times New Roman"/>
                <w:b/>
                <w:lang w:val="sr-Latn-RS"/>
              </w:rPr>
            </w:pPr>
            <w:r>
              <w:rPr>
                <w:rFonts w:ascii="Times New Roman" w:hAnsi="Times New Roman" w:cs="Times New Roman"/>
                <w:b/>
                <w:lang w:val="sr-Latn-RS"/>
              </w:rPr>
              <w:t>195.682.767</w:t>
            </w:r>
          </w:p>
        </w:tc>
        <w:tc>
          <w:tcPr>
            <w:tcW w:w="875" w:type="dxa"/>
            <w:tcBorders>
              <w:top w:val="single" w:sz="4" w:space="0" w:color="000000"/>
              <w:left w:val="single" w:sz="4" w:space="0" w:color="000000"/>
              <w:bottom w:val="single" w:sz="18" w:space="0" w:color="000000"/>
              <w:right w:val="single" w:sz="18" w:space="0" w:color="000000"/>
            </w:tcBorders>
            <w:vAlign w:val="center"/>
          </w:tcPr>
          <w:p w14:paraId="2885CB7B" w14:textId="77777777" w:rsidR="002961A6" w:rsidRPr="002961A6" w:rsidRDefault="002961A6" w:rsidP="002961A6">
            <w:pPr>
              <w:spacing w:after="0" w:line="240" w:lineRule="auto"/>
              <w:jc w:val="center"/>
              <w:rPr>
                <w:rFonts w:ascii="Times New Roman" w:hAnsi="Times New Roman" w:cs="Times New Roman"/>
                <w:b/>
                <w:lang w:val="sr-Latn-RS"/>
              </w:rPr>
            </w:pPr>
            <w:r>
              <w:rPr>
                <w:rFonts w:ascii="Times New Roman" w:hAnsi="Times New Roman" w:cs="Times New Roman"/>
                <w:b/>
                <w:lang w:val="sr-Latn-RS"/>
              </w:rPr>
              <w:t>100%</w:t>
            </w:r>
          </w:p>
        </w:tc>
      </w:tr>
    </w:tbl>
    <w:p w14:paraId="3BD1584A" w14:textId="77777777" w:rsidR="0065713F" w:rsidRDefault="0065713F">
      <w:pPr>
        <w:jc w:val="both"/>
        <w:rPr>
          <w:rFonts w:ascii="Times New Roman" w:eastAsia="Times New Roman" w:hAnsi="Times New Roman" w:cs="Times New Roman"/>
          <w:sz w:val="24"/>
          <w:szCs w:val="24"/>
          <w:lang w:val="sr"/>
        </w:rPr>
      </w:pPr>
    </w:p>
    <w:p w14:paraId="22234D01" w14:textId="64DF473C" w:rsidR="0081466B" w:rsidRPr="00F17307" w:rsidRDefault="007C5601">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val="sr"/>
        </w:rPr>
        <w:t>Као што се</w:t>
      </w:r>
      <w:r w:rsidR="00015695">
        <w:rPr>
          <w:rFonts w:ascii="Times New Roman" w:eastAsia="Times New Roman" w:hAnsi="Times New Roman" w:cs="Times New Roman"/>
          <w:sz w:val="24"/>
          <w:szCs w:val="24"/>
        </w:rPr>
        <w:t xml:space="preserve"> из</w:t>
      </w:r>
      <w:r>
        <w:rPr>
          <w:rFonts w:ascii="Times New Roman" w:eastAsia="Times New Roman" w:hAnsi="Times New Roman" w:cs="Times New Roman"/>
          <w:sz w:val="24"/>
          <w:szCs w:val="24"/>
        </w:rPr>
        <w:t xml:space="preserve"> </w:t>
      </w:r>
      <w:r w:rsidR="00F17307">
        <w:rPr>
          <w:rFonts w:ascii="Times New Roman" w:eastAsia="Times New Roman" w:hAnsi="Times New Roman" w:cs="Times New Roman"/>
          <w:sz w:val="24"/>
          <w:szCs w:val="24"/>
        </w:rPr>
        <w:t>података датих у Табели</w:t>
      </w:r>
      <w:r w:rsidR="002B6B8B">
        <w:rPr>
          <w:rFonts w:ascii="Times New Roman" w:eastAsia="Times New Roman" w:hAnsi="Times New Roman" w:cs="Times New Roman"/>
          <w:sz w:val="24"/>
          <w:szCs w:val="24"/>
        </w:rPr>
        <w:t xml:space="preserve"> </w:t>
      </w:r>
      <w:r w:rsidR="00F44547">
        <w:rPr>
          <w:rFonts w:ascii="Times New Roman" w:eastAsia="Times New Roman" w:hAnsi="Times New Roman" w:cs="Times New Roman"/>
          <w:sz w:val="24"/>
          <w:szCs w:val="24"/>
          <w:lang w:val="sr-Cyrl-RS"/>
        </w:rPr>
        <w:t>6</w:t>
      </w:r>
      <w:r>
        <w:rPr>
          <w:rFonts w:ascii="Times New Roman" w:eastAsia="Times New Roman" w:hAnsi="Times New Roman" w:cs="Times New Roman"/>
          <w:sz w:val="24"/>
          <w:szCs w:val="24"/>
        </w:rPr>
        <w:t xml:space="preserve"> </w:t>
      </w:r>
      <w:r w:rsidR="008D7DC9">
        <w:rPr>
          <w:rFonts w:ascii="Times New Roman" w:eastAsia="Times New Roman" w:hAnsi="Times New Roman" w:cs="Times New Roman"/>
          <w:sz w:val="24"/>
          <w:szCs w:val="24"/>
        </w:rPr>
        <w:t xml:space="preserve">и на Слици </w:t>
      </w:r>
      <w:r w:rsidR="00F44547">
        <w:rPr>
          <w:rFonts w:ascii="Times New Roman" w:eastAsia="Times New Roman" w:hAnsi="Times New Roman" w:cs="Times New Roman"/>
          <w:sz w:val="24"/>
          <w:szCs w:val="24"/>
          <w:lang w:val="sr-Cyrl-RS"/>
        </w:rPr>
        <w:t>4</w:t>
      </w:r>
      <w:r w:rsidR="00F173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 видети,</w:t>
      </w:r>
      <w:r>
        <w:rPr>
          <w:rFonts w:ascii="Times New Roman" w:eastAsia="Times New Roman" w:hAnsi="Times New Roman" w:cs="Times New Roman"/>
          <w:color w:val="FF0000"/>
          <w:sz w:val="24"/>
          <w:szCs w:val="24"/>
        </w:rPr>
        <w:t xml:space="preserve"> </w:t>
      </w:r>
      <w:r w:rsidRPr="00F17307">
        <w:rPr>
          <w:rFonts w:ascii="Times New Roman" w:eastAsia="Times New Roman" w:hAnsi="Times New Roman" w:cs="Times New Roman"/>
          <w:color w:val="000000" w:themeColor="text1"/>
          <w:sz w:val="24"/>
          <w:szCs w:val="24"/>
        </w:rPr>
        <w:t>учешће</w:t>
      </w:r>
      <w:r w:rsidR="004F0DED" w:rsidRPr="00F17307">
        <w:rPr>
          <w:rFonts w:ascii="Times New Roman" w:eastAsia="Times New Roman" w:hAnsi="Times New Roman" w:cs="Times New Roman"/>
          <w:color w:val="000000" w:themeColor="text1"/>
          <w:sz w:val="24"/>
          <w:szCs w:val="24"/>
        </w:rPr>
        <w:t xml:space="preserve"> преговарачког поступка без објављивања пози</w:t>
      </w:r>
      <w:r w:rsidR="0007333A" w:rsidRPr="00F17307">
        <w:rPr>
          <w:rFonts w:ascii="Times New Roman" w:eastAsia="Times New Roman" w:hAnsi="Times New Roman" w:cs="Times New Roman"/>
          <w:color w:val="000000" w:themeColor="text1"/>
          <w:sz w:val="24"/>
          <w:szCs w:val="24"/>
        </w:rPr>
        <w:t>ва за подношење понуда</w:t>
      </w:r>
      <w:r w:rsidR="00015695" w:rsidRPr="00F17307">
        <w:rPr>
          <w:rFonts w:ascii="Times New Roman" w:eastAsia="Times New Roman" w:hAnsi="Times New Roman" w:cs="Times New Roman"/>
          <w:color w:val="000000" w:themeColor="text1"/>
          <w:sz w:val="24"/>
          <w:szCs w:val="24"/>
        </w:rPr>
        <w:t xml:space="preserve"> </w:t>
      </w:r>
      <w:r w:rsidRPr="00F17307">
        <w:rPr>
          <w:rFonts w:ascii="Times New Roman" w:eastAsia="Times New Roman" w:hAnsi="Times New Roman" w:cs="Times New Roman"/>
          <w:color w:val="000000" w:themeColor="text1"/>
          <w:sz w:val="24"/>
          <w:szCs w:val="24"/>
        </w:rPr>
        <w:t>било је знача</w:t>
      </w:r>
      <w:r w:rsidR="005F6215">
        <w:rPr>
          <w:rFonts w:ascii="Times New Roman" w:eastAsia="Times New Roman" w:hAnsi="Times New Roman" w:cs="Times New Roman"/>
          <w:color w:val="000000" w:themeColor="text1"/>
          <w:sz w:val="24"/>
          <w:szCs w:val="24"/>
        </w:rPr>
        <w:t xml:space="preserve">јно ниже у односу на </w:t>
      </w:r>
      <w:r w:rsidR="005F6215">
        <w:rPr>
          <w:rFonts w:ascii="Times New Roman" w:eastAsia="Times New Roman" w:hAnsi="Times New Roman" w:cs="Times New Roman"/>
          <w:color w:val="000000" w:themeColor="text1"/>
          <w:sz w:val="24"/>
          <w:szCs w:val="24"/>
          <w:lang w:val="sr-Cyrl-RS"/>
        </w:rPr>
        <w:t>земље у окружењу које припадају ЕУ</w:t>
      </w:r>
      <w:r w:rsidRPr="00F17307">
        <w:rPr>
          <w:rFonts w:ascii="Times New Roman" w:eastAsia="Times New Roman" w:hAnsi="Times New Roman" w:cs="Times New Roman"/>
          <w:color w:val="000000" w:themeColor="text1"/>
          <w:sz w:val="24"/>
          <w:szCs w:val="24"/>
        </w:rPr>
        <w:t xml:space="preserve">. </w:t>
      </w:r>
      <w:r w:rsidR="00F17307" w:rsidRPr="00F17307">
        <w:rPr>
          <w:rFonts w:ascii="Times New Roman" w:eastAsia="Times New Roman" w:hAnsi="Times New Roman" w:cs="Times New Roman"/>
          <w:color w:val="000000" w:themeColor="text1"/>
          <w:sz w:val="24"/>
          <w:szCs w:val="24"/>
        </w:rPr>
        <w:t xml:space="preserve">Када </w:t>
      </w:r>
      <w:r w:rsidR="004F0DED" w:rsidRPr="00F17307">
        <w:rPr>
          <w:rFonts w:ascii="Times New Roman" w:eastAsia="Times New Roman" w:hAnsi="Times New Roman" w:cs="Times New Roman"/>
          <w:color w:val="000000" w:themeColor="text1"/>
          <w:sz w:val="24"/>
          <w:szCs w:val="24"/>
        </w:rPr>
        <w:t xml:space="preserve">се сагледа </w:t>
      </w:r>
      <w:r w:rsidR="00F17307">
        <w:rPr>
          <w:rFonts w:ascii="Times New Roman" w:eastAsia="Times New Roman" w:hAnsi="Times New Roman" w:cs="Times New Roman"/>
          <w:color w:val="000000" w:themeColor="text1"/>
          <w:sz w:val="24"/>
          <w:szCs w:val="24"/>
        </w:rPr>
        <w:t xml:space="preserve">кретање </w:t>
      </w:r>
      <w:r w:rsidR="004F0DED" w:rsidRPr="00F17307">
        <w:rPr>
          <w:rFonts w:ascii="Times New Roman" w:eastAsia="Times New Roman" w:hAnsi="Times New Roman" w:cs="Times New Roman"/>
          <w:color w:val="000000" w:themeColor="text1"/>
          <w:sz w:val="24"/>
          <w:szCs w:val="24"/>
        </w:rPr>
        <w:t>заступљено</w:t>
      </w:r>
      <w:r w:rsidR="00A062FD" w:rsidRPr="00F17307">
        <w:rPr>
          <w:rFonts w:ascii="Times New Roman" w:eastAsia="Times New Roman" w:hAnsi="Times New Roman" w:cs="Times New Roman"/>
          <w:color w:val="000000" w:themeColor="text1"/>
          <w:sz w:val="24"/>
          <w:szCs w:val="24"/>
        </w:rPr>
        <w:t>ст</w:t>
      </w:r>
      <w:r w:rsidR="00F17307">
        <w:rPr>
          <w:rFonts w:ascii="Times New Roman" w:eastAsia="Times New Roman" w:hAnsi="Times New Roman" w:cs="Times New Roman"/>
          <w:color w:val="000000" w:themeColor="text1"/>
          <w:sz w:val="24"/>
          <w:szCs w:val="24"/>
        </w:rPr>
        <w:t>и</w:t>
      </w:r>
      <w:r w:rsidR="00A062FD" w:rsidRPr="00F17307">
        <w:rPr>
          <w:rFonts w:ascii="Times New Roman" w:eastAsia="Times New Roman" w:hAnsi="Times New Roman" w:cs="Times New Roman"/>
          <w:color w:val="000000" w:themeColor="text1"/>
          <w:sz w:val="24"/>
          <w:szCs w:val="24"/>
        </w:rPr>
        <w:t xml:space="preserve"> ово</w:t>
      </w:r>
      <w:r w:rsidR="00F17307" w:rsidRPr="00F17307">
        <w:rPr>
          <w:rFonts w:ascii="Times New Roman" w:eastAsia="Times New Roman" w:hAnsi="Times New Roman" w:cs="Times New Roman"/>
          <w:color w:val="000000" w:themeColor="text1"/>
          <w:sz w:val="24"/>
          <w:szCs w:val="24"/>
        </w:rPr>
        <w:t xml:space="preserve">г поступка у протеклих </w:t>
      </w:r>
      <w:r w:rsidR="00F44547">
        <w:rPr>
          <w:rFonts w:ascii="Times New Roman" w:eastAsia="Times New Roman" w:hAnsi="Times New Roman" w:cs="Times New Roman"/>
          <w:color w:val="000000" w:themeColor="text1"/>
          <w:sz w:val="24"/>
          <w:szCs w:val="24"/>
          <w:lang w:val="sr-Cyrl-RS"/>
        </w:rPr>
        <w:t>шесн</w:t>
      </w:r>
      <w:r w:rsidR="00F17307" w:rsidRPr="00F17307">
        <w:rPr>
          <w:rFonts w:ascii="Times New Roman" w:eastAsia="Times New Roman" w:hAnsi="Times New Roman" w:cs="Times New Roman"/>
          <w:color w:val="000000" w:themeColor="text1"/>
          <w:sz w:val="24"/>
          <w:szCs w:val="24"/>
        </w:rPr>
        <w:t>аест</w:t>
      </w:r>
      <w:r w:rsidR="004F0DED" w:rsidRPr="00F17307">
        <w:rPr>
          <w:rFonts w:ascii="Times New Roman" w:eastAsia="Times New Roman" w:hAnsi="Times New Roman" w:cs="Times New Roman"/>
          <w:color w:val="000000" w:themeColor="text1"/>
          <w:sz w:val="24"/>
          <w:szCs w:val="24"/>
        </w:rPr>
        <w:t xml:space="preserve"> година </w:t>
      </w:r>
      <w:r w:rsidR="00F17307">
        <w:rPr>
          <w:rFonts w:ascii="Times New Roman" w:eastAsia="Times New Roman" w:hAnsi="Times New Roman" w:cs="Times New Roman"/>
          <w:color w:val="000000" w:themeColor="text1"/>
          <w:sz w:val="24"/>
          <w:szCs w:val="24"/>
        </w:rPr>
        <w:t xml:space="preserve">јасно се може уочити колики је напредак у погледу овог показатеља остварен, као и да је </w:t>
      </w:r>
      <w:r w:rsidR="005F6215">
        <w:rPr>
          <w:rFonts w:ascii="Times New Roman" w:eastAsia="Times New Roman" w:hAnsi="Times New Roman" w:cs="Times New Roman"/>
          <w:color w:val="000000" w:themeColor="text1"/>
          <w:sz w:val="24"/>
          <w:szCs w:val="24"/>
          <w:lang w:val="sr-Cyrl-RS"/>
        </w:rPr>
        <w:t xml:space="preserve">та </w:t>
      </w:r>
      <w:r w:rsidR="00F17307">
        <w:rPr>
          <w:rFonts w:ascii="Times New Roman" w:eastAsia="Times New Roman" w:hAnsi="Times New Roman" w:cs="Times New Roman"/>
          <w:color w:val="000000" w:themeColor="text1"/>
          <w:sz w:val="24"/>
          <w:szCs w:val="24"/>
        </w:rPr>
        <w:t xml:space="preserve">вредност одржива још од 2014. године </w:t>
      </w:r>
      <w:r w:rsidR="00A45536">
        <w:rPr>
          <w:rFonts w:ascii="Times New Roman" w:eastAsia="Times New Roman" w:hAnsi="Times New Roman" w:cs="Times New Roman"/>
          <w:color w:val="000000" w:themeColor="text1"/>
          <w:sz w:val="24"/>
          <w:szCs w:val="24"/>
        </w:rPr>
        <w:t>(Слика 5</w:t>
      </w:r>
      <w:r w:rsidR="004F0DED" w:rsidRPr="00F17307">
        <w:rPr>
          <w:rFonts w:ascii="Times New Roman" w:eastAsia="Times New Roman" w:hAnsi="Times New Roman" w:cs="Times New Roman"/>
          <w:color w:val="000000" w:themeColor="text1"/>
          <w:sz w:val="24"/>
          <w:szCs w:val="24"/>
        </w:rPr>
        <w:t xml:space="preserve">). </w:t>
      </w:r>
    </w:p>
    <w:p w14:paraId="3F4DEB1E" w14:textId="28F78CCE" w:rsidR="0081466B" w:rsidRDefault="00355DAA">
      <w:pPr>
        <w:jc w:val="both"/>
      </w:pPr>
      <w:r w:rsidRPr="00183E06">
        <w:rPr>
          <w:rFonts w:ascii="Times New Roman" w:eastAsia="Times New Roman" w:hAnsi="Times New Roman" w:cs="Times New Roman"/>
          <w:color w:val="auto"/>
          <w:sz w:val="24"/>
          <w:szCs w:val="24"/>
        </w:rPr>
        <w:t>У  првом полугодишту 201</w:t>
      </w:r>
      <w:r w:rsidR="00BD154D" w:rsidRPr="00183E06">
        <w:rPr>
          <w:rFonts w:ascii="Times New Roman" w:eastAsia="Times New Roman" w:hAnsi="Times New Roman" w:cs="Times New Roman"/>
          <w:color w:val="auto"/>
          <w:sz w:val="24"/>
          <w:szCs w:val="24"/>
          <w:lang w:val="en-US"/>
        </w:rPr>
        <w:t>9</w:t>
      </w:r>
      <w:r w:rsidR="004F0DED" w:rsidRPr="00183E06">
        <w:rPr>
          <w:rFonts w:ascii="Times New Roman" w:eastAsia="Times New Roman" w:hAnsi="Times New Roman" w:cs="Times New Roman"/>
          <w:color w:val="auto"/>
          <w:sz w:val="24"/>
          <w:szCs w:val="24"/>
        </w:rPr>
        <w:t>. године У</w:t>
      </w:r>
      <w:r w:rsidR="00442463" w:rsidRPr="00183E06">
        <w:rPr>
          <w:rFonts w:ascii="Times New Roman" w:eastAsia="Times New Roman" w:hAnsi="Times New Roman" w:cs="Times New Roman"/>
          <w:color w:val="auto"/>
          <w:sz w:val="24"/>
          <w:szCs w:val="24"/>
        </w:rPr>
        <w:t>ЈН</w:t>
      </w:r>
      <w:r w:rsidRPr="00183E06">
        <w:rPr>
          <w:rFonts w:ascii="Times New Roman" w:eastAsia="Times New Roman" w:hAnsi="Times New Roman" w:cs="Times New Roman"/>
          <w:color w:val="auto"/>
          <w:sz w:val="24"/>
          <w:szCs w:val="24"/>
        </w:rPr>
        <w:t xml:space="preserve"> је дала </w:t>
      </w:r>
      <w:r w:rsidR="00BD154D" w:rsidRPr="00183E06">
        <w:rPr>
          <w:rFonts w:ascii="Times New Roman" w:eastAsia="Times New Roman" w:hAnsi="Times New Roman" w:cs="Times New Roman"/>
          <w:color w:val="auto"/>
          <w:sz w:val="24"/>
          <w:szCs w:val="24"/>
          <w:lang w:val="en-US"/>
        </w:rPr>
        <w:t>1.065</w:t>
      </w:r>
      <w:r w:rsidR="00BD154D" w:rsidRPr="00183E06">
        <w:rPr>
          <w:rFonts w:ascii="Times New Roman" w:eastAsia="Times New Roman" w:hAnsi="Times New Roman" w:cs="Times New Roman"/>
          <w:color w:val="auto"/>
          <w:sz w:val="24"/>
          <w:szCs w:val="24"/>
        </w:rPr>
        <w:t xml:space="preserve"> позитивн</w:t>
      </w:r>
      <w:r w:rsidR="0098509A" w:rsidRPr="00183E06">
        <w:rPr>
          <w:rFonts w:ascii="Times New Roman" w:eastAsia="Times New Roman" w:hAnsi="Times New Roman" w:cs="Times New Roman"/>
          <w:color w:val="auto"/>
          <w:sz w:val="24"/>
          <w:szCs w:val="24"/>
          <w:lang w:val="sr-Cyrl-RS"/>
        </w:rPr>
        <w:t>их</w:t>
      </w:r>
      <w:r w:rsidR="00BD154D" w:rsidRPr="00183E06">
        <w:rPr>
          <w:rFonts w:ascii="Times New Roman" w:eastAsia="Times New Roman" w:hAnsi="Times New Roman" w:cs="Times New Roman"/>
          <w:color w:val="auto"/>
          <w:sz w:val="24"/>
          <w:szCs w:val="24"/>
        </w:rPr>
        <w:t xml:space="preserve"> и 36</w:t>
      </w:r>
      <w:r w:rsidR="004F0DED" w:rsidRPr="00183E06">
        <w:rPr>
          <w:rFonts w:ascii="Times New Roman" w:eastAsia="Times New Roman" w:hAnsi="Times New Roman" w:cs="Times New Roman"/>
          <w:color w:val="auto"/>
          <w:sz w:val="24"/>
          <w:szCs w:val="24"/>
        </w:rPr>
        <w:t xml:space="preserve"> негативних </w:t>
      </w:r>
      <w:r w:rsidR="004F0DED" w:rsidRPr="003349E2">
        <w:rPr>
          <w:rFonts w:ascii="Times New Roman" w:eastAsia="Times New Roman" w:hAnsi="Times New Roman" w:cs="Times New Roman"/>
          <w:color w:val="000000" w:themeColor="text1"/>
          <w:sz w:val="24"/>
          <w:szCs w:val="24"/>
        </w:rPr>
        <w:t>мишљења за преговарачки поступак без објављивања позива за подношење понуда</w:t>
      </w:r>
      <w:r w:rsidR="004F0DED">
        <w:rPr>
          <w:rFonts w:ascii="Times New Roman" w:eastAsia="Times New Roman" w:hAnsi="Times New Roman" w:cs="Times New Roman"/>
          <w:sz w:val="24"/>
          <w:szCs w:val="24"/>
        </w:rPr>
        <w:t>. Подата</w:t>
      </w:r>
      <w:r w:rsidR="003349E2">
        <w:rPr>
          <w:rFonts w:ascii="Times New Roman" w:eastAsia="Times New Roman" w:hAnsi="Times New Roman" w:cs="Times New Roman"/>
          <w:sz w:val="24"/>
          <w:szCs w:val="24"/>
        </w:rPr>
        <w:t xml:space="preserve">к да негативна мишљења чине </w:t>
      </w:r>
      <w:r w:rsidR="00F44547">
        <w:rPr>
          <w:rFonts w:ascii="Times New Roman" w:eastAsia="Times New Roman" w:hAnsi="Times New Roman" w:cs="Times New Roman"/>
          <w:color w:val="auto"/>
          <w:sz w:val="24"/>
          <w:szCs w:val="24"/>
          <w:lang w:val="sr-Cyrl-CS"/>
        </w:rPr>
        <w:t xml:space="preserve"> 3%</w:t>
      </w:r>
      <w:r w:rsidR="002B6B8B" w:rsidRPr="00183E06">
        <w:rPr>
          <w:rFonts w:ascii="Times New Roman" w:eastAsia="Times New Roman" w:hAnsi="Times New Roman" w:cs="Times New Roman"/>
          <w:color w:val="auto"/>
          <w:sz w:val="24"/>
          <w:szCs w:val="24"/>
          <w:lang w:val="sr-Cyrl-CS"/>
        </w:rPr>
        <w:t xml:space="preserve"> </w:t>
      </w:r>
      <w:r w:rsidR="002B6B8B">
        <w:rPr>
          <w:rFonts w:ascii="Times New Roman" w:eastAsia="Times New Roman" w:hAnsi="Times New Roman" w:cs="Times New Roman"/>
          <w:sz w:val="24"/>
          <w:szCs w:val="24"/>
          <w:lang w:val="sr-Cyrl-CS"/>
        </w:rPr>
        <w:t xml:space="preserve">од укупног броја мишљења </w:t>
      </w:r>
      <w:r w:rsidR="003349E2">
        <w:rPr>
          <w:rFonts w:ascii="Times New Roman" w:eastAsia="Times New Roman" w:hAnsi="Times New Roman" w:cs="Times New Roman"/>
          <w:sz w:val="24"/>
          <w:szCs w:val="24"/>
        </w:rPr>
        <w:t xml:space="preserve">(другим речима, да </w:t>
      </w:r>
      <w:r w:rsidR="004F0DED">
        <w:rPr>
          <w:rFonts w:ascii="Times New Roman" w:eastAsia="Times New Roman" w:hAnsi="Times New Roman" w:cs="Times New Roman"/>
          <w:sz w:val="24"/>
          <w:szCs w:val="24"/>
        </w:rPr>
        <w:t>позитивна мишљења доминирају</w:t>
      </w:r>
      <w:r w:rsidR="003349E2">
        <w:rPr>
          <w:rFonts w:ascii="Times New Roman" w:eastAsia="Times New Roman" w:hAnsi="Times New Roman" w:cs="Times New Roman"/>
          <w:sz w:val="24"/>
          <w:szCs w:val="24"/>
        </w:rPr>
        <w:t>)</w:t>
      </w:r>
      <w:r w:rsidR="004F0DED">
        <w:rPr>
          <w:rFonts w:ascii="Times New Roman" w:eastAsia="Times New Roman" w:hAnsi="Times New Roman" w:cs="Times New Roman"/>
          <w:sz w:val="24"/>
          <w:szCs w:val="24"/>
        </w:rPr>
        <w:t>, у комбинацији са ниским учешћем преговарачких поступака у укупној вредности јавних набавки</w:t>
      </w:r>
      <w:r w:rsidR="00DD51B9">
        <w:rPr>
          <w:rFonts w:ascii="Times New Roman" w:eastAsia="Times New Roman" w:hAnsi="Times New Roman" w:cs="Times New Roman"/>
          <w:sz w:val="24"/>
          <w:szCs w:val="24"/>
        </w:rPr>
        <w:t>,</w:t>
      </w:r>
      <w:r w:rsidR="003349E2">
        <w:rPr>
          <w:rFonts w:ascii="Times New Roman" w:eastAsia="Times New Roman" w:hAnsi="Times New Roman" w:cs="Times New Roman"/>
          <w:sz w:val="24"/>
          <w:szCs w:val="24"/>
        </w:rPr>
        <w:t xml:space="preserve"> показује да наручиоци </w:t>
      </w:r>
      <w:r w:rsidR="004F0DED">
        <w:rPr>
          <w:rFonts w:ascii="Times New Roman" w:eastAsia="Times New Roman" w:hAnsi="Times New Roman" w:cs="Times New Roman"/>
          <w:sz w:val="24"/>
          <w:szCs w:val="24"/>
        </w:rPr>
        <w:t>знају када има основа за примену овог поступка, те да се у другим случајевима и не обраћају У</w:t>
      </w:r>
      <w:r w:rsidR="00442463">
        <w:rPr>
          <w:rFonts w:ascii="Times New Roman" w:eastAsia="Times New Roman" w:hAnsi="Times New Roman" w:cs="Times New Roman"/>
          <w:sz w:val="24"/>
          <w:szCs w:val="24"/>
        </w:rPr>
        <w:t>ЈН</w:t>
      </w:r>
      <w:r w:rsidR="004F0DED">
        <w:rPr>
          <w:rFonts w:ascii="Times New Roman" w:eastAsia="Times New Roman" w:hAnsi="Times New Roman" w:cs="Times New Roman"/>
          <w:sz w:val="24"/>
          <w:szCs w:val="24"/>
        </w:rPr>
        <w:t xml:space="preserve">. </w:t>
      </w:r>
    </w:p>
    <w:p w14:paraId="2B41A9E1" w14:textId="77777777" w:rsidR="00023557" w:rsidRDefault="004F0D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Упоредо са смањивањем учешћа неконкурентног поступка, повећала се заступљеност отвореног поступка. Уч</w:t>
      </w:r>
      <w:r w:rsidR="003349E2">
        <w:rPr>
          <w:rFonts w:ascii="Times New Roman" w:eastAsia="Times New Roman" w:hAnsi="Times New Roman" w:cs="Times New Roman"/>
          <w:sz w:val="24"/>
          <w:szCs w:val="24"/>
        </w:rPr>
        <w:t>ешће отвореног поступка задржа</w:t>
      </w:r>
      <w:r w:rsidR="00BD154D">
        <w:rPr>
          <w:rFonts w:ascii="Times New Roman" w:eastAsia="Times New Roman" w:hAnsi="Times New Roman" w:cs="Times New Roman"/>
          <w:sz w:val="24"/>
          <w:szCs w:val="24"/>
        </w:rPr>
        <w:t>ло се и у првом полугодишту 2019</w:t>
      </w:r>
      <w:r w:rsidR="003349E2">
        <w:rPr>
          <w:rFonts w:ascii="Times New Roman" w:eastAsia="Times New Roman" w:hAnsi="Times New Roman" w:cs="Times New Roman"/>
          <w:sz w:val="24"/>
          <w:szCs w:val="24"/>
        </w:rPr>
        <w:t xml:space="preserve">. године на рекордно високом нивоу од </w:t>
      </w:r>
      <w:r w:rsidR="002B6B8B">
        <w:rPr>
          <w:rFonts w:ascii="Times New Roman" w:eastAsia="Times New Roman" w:hAnsi="Times New Roman" w:cs="Times New Roman"/>
          <w:color w:val="000000" w:themeColor="text1"/>
          <w:sz w:val="24"/>
          <w:szCs w:val="24"/>
        </w:rPr>
        <w:t>94</w:t>
      </w:r>
      <w:r w:rsidR="00BC7058" w:rsidRPr="003349E2">
        <w:rPr>
          <w:rFonts w:ascii="Times New Roman" w:eastAsia="Times New Roman" w:hAnsi="Times New Roman" w:cs="Times New Roman"/>
          <w:color w:val="000000" w:themeColor="text1"/>
          <w:sz w:val="24"/>
          <w:szCs w:val="24"/>
        </w:rPr>
        <w:t xml:space="preserve">% </w:t>
      </w:r>
      <w:r w:rsidR="005845AE">
        <w:rPr>
          <w:rFonts w:ascii="Times New Roman" w:eastAsia="Times New Roman" w:hAnsi="Times New Roman" w:cs="Times New Roman"/>
          <w:color w:val="000000" w:themeColor="text1"/>
          <w:sz w:val="24"/>
          <w:szCs w:val="24"/>
        </w:rPr>
        <w:t>(Сл</w:t>
      </w:r>
      <w:r w:rsidR="00044301">
        <w:rPr>
          <w:rFonts w:ascii="Times New Roman" w:eastAsia="Times New Roman" w:hAnsi="Times New Roman" w:cs="Times New Roman"/>
          <w:color w:val="000000" w:themeColor="text1"/>
          <w:sz w:val="24"/>
          <w:szCs w:val="24"/>
        </w:rPr>
        <w:t>ика 4</w:t>
      </w:r>
      <w:r w:rsidR="003349E2" w:rsidRPr="003349E2">
        <w:rPr>
          <w:rFonts w:ascii="Times New Roman" w:eastAsia="Times New Roman" w:hAnsi="Times New Roman" w:cs="Times New Roman"/>
          <w:color w:val="000000" w:themeColor="text1"/>
          <w:sz w:val="24"/>
          <w:szCs w:val="24"/>
        </w:rPr>
        <w:t>).</w:t>
      </w:r>
      <w:r w:rsidR="00052933" w:rsidRPr="00052933">
        <w:rPr>
          <w:rFonts w:ascii="Times New Roman" w:eastAsia="Times New Roman" w:hAnsi="Times New Roman" w:cs="Times New Roman"/>
          <w:color w:val="FF0000"/>
          <w:sz w:val="24"/>
          <w:szCs w:val="24"/>
        </w:rPr>
        <w:t xml:space="preserve"> </w:t>
      </w:r>
      <w:r w:rsidR="003349E2">
        <w:rPr>
          <w:rFonts w:ascii="Times New Roman" w:eastAsia="Times New Roman" w:hAnsi="Times New Roman" w:cs="Times New Roman"/>
          <w:sz w:val="24"/>
          <w:szCs w:val="24"/>
        </w:rPr>
        <w:t xml:space="preserve">Тиме је </w:t>
      </w:r>
      <w:r w:rsidR="00904468">
        <w:rPr>
          <w:rFonts w:ascii="Times New Roman" w:eastAsia="Times New Roman" w:hAnsi="Times New Roman" w:cs="Times New Roman"/>
          <w:sz w:val="24"/>
          <w:szCs w:val="24"/>
          <w:lang w:val="sr"/>
        </w:rPr>
        <w:t xml:space="preserve">одржан позитиван тренд започет 2014. године </w:t>
      </w:r>
      <w:r w:rsidR="00904468">
        <w:rPr>
          <w:rFonts w:ascii="Times New Roman" w:eastAsia="Times New Roman" w:hAnsi="Times New Roman" w:cs="Times New Roman"/>
          <w:sz w:val="24"/>
          <w:szCs w:val="24"/>
        </w:rPr>
        <w:t>(Слика</w:t>
      </w:r>
      <w:r w:rsidR="00FE0946">
        <w:rPr>
          <w:rFonts w:ascii="Times New Roman" w:eastAsia="Times New Roman" w:hAnsi="Times New Roman" w:cs="Times New Roman"/>
          <w:sz w:val="24"/>
          <w:szCs w:val="24"/>
        </w:rPr>
        <w:t xml:space="preserve"> 6</w:t>
      </w:r>
      <w:r>
        <w:rPr>
          <w:rFonts w:ascii="Times New Roman" w:eastAsia="Times New Roman" w:hAnsi="Times New Roman" w:cs="Times New Roman"/>
          <w:sz w:val="24"/>
          <w:szCs w:val="24"/>
        </w:rPr>
        <w:t xml:space="preserve">). </w:t>
      </w:r>
    </w:p>
    <w:p w14:paraId="15E61B28" w14:textId="77777777" w:rsidR="007C2B29" w:rsidRDefault="001D2929" w:rsidP="001D2929">
      <w:pPr>
        <w:rPr>
          <w:rFonts w:ascii="Times New Roman" w:eastAsia="Times New Roman" w:hAnsi="Times New Roman" w:cs="Times New Roman"/>
          <w:b/>
          <w:color w:val="000000" w:themeColor="text1"/>
          <w:sz w:val="24"/>
          <w:szCs w:val="24"/>
          <w:lang w:val="sr-Cyrl-CS"/>
        </w:rPr>
      </w:pPr>
      <w:r>
        <w:rPr>
          <w:rFonts w:ascii="Times New Roman" w:eastAsia="Times New Roman" w:hAnsi="Times New Roman" w:cs="Times New Roman"/>
          <w:b/>
          <w:color w:val="000000" w:themeColor="text1"/>
          <w:sz w:val="24"/>
          <w:szCs w:val="24"/>
          <w:lang w:val="sr-Cyrl-CS"/>
        </w:rPr>
        <w:t xml:space="preserve">   </w:t>
      </w:r>
      <w:r w:rsidR="00D855E9">
        <w:rPr>
          <w:rFonts w:ascii="Times New Roman" w:eastAsia="Times New Roman" w:hAnsi="Times New Roman" w:cs="Times New Roman"/>
          <w:b/>
          <w:color w:val="000000" w:themeColor="text1"/>
          <w:sz w:val="24"/>
          <w:szCs w:val="24"/>
          <w:lang w:val="sr-Cyrl-CS"/>
        </w:rPr>
        <w:t xml:space="preserve"> </w:t>
      </w:r>
    </w:p>
    <w:p w14:paraId="25969326" w14:textId="77777777" w:rsidR="007C2B29" w:rsidRDefault="007C2B29" w:rsidP="001D2929">
      <w:pPr>
        <w:rPr>
          <w:rFonts w:ascii="Times New Roman" w:eastAsia="Times New Roman" w:hAnsi="Times New Roman" w:cs="Times New Roman"/>
          <w:b/>
          <w:color w:val="000000" w:themeColor="text1"/>
          <w:sz w:val="24"/>
          <w:szCs w:val="24"/>
          <w:lang w:val="sr-Cyrl-CS"/>
        </w:rPr>
      </w:pPr>
    </w:p>
    <w:p w14:paraId="6B50C32F" w14:textId="77777777" w:rsidR="007C2B29" w:rsidRDefault="007C2B29" w:rsidP="001D2929">
      <w:pPr>
        <w:rPr>
          <w:rFonts w:ascii="Times New Roman" w:eastAsia="Times New Roman" w:hAnsi="Times New Roman" w:cs="Times New Roman"/>
          <w:b/>
          <w:color w:val="000000" w:themeColor="text1"/>
          <w:sz w:val="24"/>
          <w:szCs w:val="24"/>
          <w:lang w:val="sr-Cyrl-CS"/>
        </w:rPr>
      </w:pPr>
    </w:p>
    <w:p w14:paraId="2D5C6061" w14:textId="77777777" w:rsidR="007C2B29" w:rsidRDefault="007C2B29" w:rsidP="001D2929">
      <w:pPr>
        <w:rPr>
          <w:rFonts w:ascii="Times New Roman" w:eastAsia="Times New Roman" w:hAnsi="Times New Roman" w:cs="Times New Roman"/>
          <w:b/>
          <w:color w:val="000000" w:themeColor="text1"/>
          <w:sz w:val="24"/>
          <w:szCs w:val="24"/>
          <w:lang w:val="sr-Cyrl-CS"/>
        </w:rPr>
      </w:pPr>
    </w:p>
    <w:p w14:paraId="111ED743" w14:textId="49752013" w:rsidR="003A5CC7" w:rsidRPr="00A45536" w:rsidRDefault="00D855E9" w:rsidP="001D2929">
      <w:pPr>
        <w:rPr>
          <w:noProof/>
          <w:color w:val="auto"/>
          <w:lang w:val="sr-Cyrl-RS" w:eastAsia="sr-Cyrl-RS"/>
        </w:rPr>
      </w:pPr>
      <w:r>
        <w:rPr>
          <w:rFonts w:ascii="Times New Roman" w:eastAsia="Times New Roman" w:hAnsi="Times New Roman" w:cs="Times New Roman"/>
          <w:b/>
          <w:color w:val="000000" w:themeColor="text1"/>
          <w:sz w:val="24"/>
          <w:szCs w:val="24"/>
          <w:lang w:val="sr-Cyrl-CS"/>
        </w:rPr>
        <w:lastRenderedPageBreak/>
        <w:t xml:space="preserve"> </w:t>
      </w:r>
      <w:r w:rsidR="001D2929" w:rsidRPr="00A45536">
        <w:rPr>
          <w:rFonts w:ascii="Times New Roman" w:eastAsia="Times New Roman" w:hAnsi="Times New Roman" w:cs="Times New Roman"/>
          <w:b/>
          <w:color w:val="auto"/>
          <w:sz w:val="24"/>
          <w:szCs w:val="24"/>
        </w:rPr>
        <w:t xml:space="preserve">Слика </w:t>
      </w:r>
      <w:r w:rsidR="003A5CC7" w:rsidRPr="00A45536">
        <w:rPr>
          <w:rFonts w:ascii="Times New Roman" w:eastAsia="Times New Roman" w:hAnsi="Times New Roman" w:cs="Times New Roman"/>
          <w:b/>
          <w:color w:val="auto"/>
          <w:sz w:val="24"/>
          <w:szCs w:val="24"/>
          <w:lang w:val="en-GB"/>
        </w:rPr>
        <w:t>4</w:t>
      </w:r>
    </w:p>
    <w:p w14:paraId="6734D37E" w14:textId="77777777" w:rsidR="00023557" w:rsidRPr="001D2929" w:rsidRDefault="003A5CC7" w:rsidP="001D2929">
      <w:r>
        <w:rPr>
          <w:noProof/>
          <w:lang w:val="sr-Cyrl-RS" w:eastAsia="sr-Cyrl-RS"/>
        </w:rPr>
        <w:drawing>
          <wp:inline distT="0" distB="0" distL="0" distR="0" wp14:anchorId="5948AF29" wp14:editId="02459B97">
            <wp:extent cx="5572125" cy="32099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F0DED">
        <w:rPr>
          <w:rFonts w:ascii="Times New Roman" w:eastAsia="Times New Roman" w:hAnsi="Times New Roman" w:cs="Times New Roman"/>
          <w:sz w:val="24"/>
          <w:szCs w:val="24"/>
        </w:rPr>
        <w:t xml:space="preserve">  </w:t>
      </w:r>
      <w:bookmarkStart w:id="2" w:name="_3znysh7" w:colFirst="0" w:colLast="0"/>
      <w:bookmarkEnd w:id="2"/>
      <w:r w:rsidR="004F0DED">
        <w:rPr>
          <w:rFonts w:ascii="Times New Roman" w:eastAsia="Times New Roman" w:hAnsi="Times New Roman" w:cs="Times New Roman"/>
          <w:sz w:val="24"/>
          <w:szCs w:val="24"/>
        </w:rPr>
        <w:t xml:space="preserve">  </w:t>
      </w:r>
    </w:p>
    <w:p w14:paraId="70A284C7" w14:textId="77777777" w:rsidR="008D1A37" w:rsidRDefault="00904468" w:rsidP="00320B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CCB7BD" w14:textId="77777777" w:rsidR="008D1A37" w:rsidRDefault="008D1A37" w:rsidP="00320BEA">
      <w:pPr>
        <w:rPr>
          <w:rFonts w:ascii="Times New Roman" w:eastAsia="Times New Roman" w:hAnsi="Times New Roman" w:cs="Times New Roman"/>
          <w:sz w:val="24"/>
          <w:szCs w:val="24"/>
        </w:rPr>
      </w:pPr>
    </w:p>
    <w:p w14:paraId="69BF6CDE" w14:textId="77777777" w:rsidR="00023557" w:rsidRPr="00E00B85" w:rsidRDefault="00904468" w:rsidP="00320BEA">
      <w:pPr>
        <w:rPr>
          <w:rFonts w:ascii="Times New Roman" w:eastAsia="Times New Roman" w:hAnsi="Times New Roman" w:cs="Times New Roman"/>
          <w:b/>
          <w:color w:val="C00000"/>
          <w:sz w:val="24"/>
          <w:szCs w:val="24"/>
          <w:lang w:val="en-US"/>
        </w:rPr>
      </w:pPr>
      <w:r w:rsidRPr="00E00B85">
        <w:rPr>
          <w:rFonts w:ascii="Times New Roman" w:eastAsia="Times New Roman" w:hAnsi="Times New Roman" w:cs="Times New Roman"/>
          <w:color w:val="C00000"/>
          <w:sz w:val="24"/>
          <w:szCs w:val="24"/>
        </w:rPr>
        <w:t xml:space="preserve">  </w:t>
      </w:r>
      <w:r w:rsidR="008D1A37" w:rsidRPr="00A45536">
        <w:rPr>
          <w:rFonts w:ascii="Times New Roman" w:eastAsia="Times New Roman" w:hAnsi="Times New Roman" w:cs="Times New Roman"/>
          <w:b/>
          <w:color w:val="auto"/>
          <w:sz w:val="24"/>
          <w:szCs w:val="24"/>
        </w:rPr>
        <w:t xml:space="preserve">Слика </w:t>
      </w:r>
      <w:r w:rsidR="00E00B85" w:rsidRPr="00A45536">
        <w:rPr>
          <w:rFonts w:ascii="Times New Roman" w:eastAsia="Times New Roman" w:hAnsi="Times New Roman" w:cs="Times New Roman"/>
          <w:b/>
          <w:color w:val="auto"/>
          <w:sz w:val="24"/>
          <w:szCs w:val="24"/>
          <w:lang w:val="en-US"/>
        </w:rPr>
        <w:t>5</w:t>
      </w:r>
    </w:p>
    <w:p w14:paraId="6FC06FEA" w14:textId="77777777" w:rsidR="0081466B" w:rsidRDefault="00E00B85" w:rsidP="000F3883">
      <w:pPr>
        <w:rPr>
          <w:rFonts w:ascii="Times New Roman" w:hAnsi="Times New Roman" w:cs="Times New Roman"/>
          <w:sz w:val="24"/>
          <w:szCs w:val="24"/>
        </w:rPr>
      </w:pPr>
      <w:bookmarkStart w:id="3" w:name="_2et92p0" w:colFirst="0" w:colLast="0"/>
      <w:bookmarkEnd w:id="3"/>
      <w:r>
        <w:rPr>
          <w:rFonts w:ascii="Times New Roman" w:eastAsia="Times New Roman" w:hAnsi="Times New Roman" w:cs="Times New Roman"/>
          <w:b/>
          <w:noProof/>
          <w:color w:val="000000" w:themeColor="text1"/>
          <w:sz w:val="24"/>
          <w:szCs w:val="24"/>
          <w:lang w:val="sr-Cyrl-RS" w:eastAsia="sr-Cyrl-RS"/>
        </w:rPr>
        <w:drawing>
          <wp:inline distT="0" distB="0" distL="0" distR="0" wp14:anchorId="1871DAAD" wp14:editId="62DEE3B4">
            <wp:extent cx="5760000" cy="304768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0" cy="3047688"/>
                    </a:xfrm>
                    <a:prstGeom prst="rect">
                      <a:avLst/>
                    </a:prstGeom>
                    <a:noFill/>
                  </pic:spPr>
                </pic:pic>
              </a:graphicData>
            </a:graphic>
          </wp:inline>
        </w:drawing>
      </w:r>
    </w:p>
    <w:p w14:paraId="49DD1B01" w14:textId="77777777" w:rsidR="00480840" w:rsidRDefault="00480840" w:rsidP="000F3883">
      <w:pPr>
        <w:rPr>
          <w:rFonts w:ascii="Times New Roman" w:hAnsi="Times New Roman" w:cs="Times New Roman"/>
          <w:sz w:val="24"/>
          <w:szCs w:val="24"/>
          <w:lang w:val="en-GB"/>
        </w:rPr>
      </w:pPr>
    </w:p>
    <w:p w14:paraId="44925A18" w14:textId="57263EE6" w:rsidR="000F3883" w:rsidRPr="00E00B85" w:rsidRDefault="000F3883" w:rsidP="000F3883">
      <w:pPr>
        <w:rPr>
          <w:rFonts w:ascii="Times New Roman" w:hAnsi="Times New Roman" w:cs="Times New Roman"/>
          <w:b/>
          <w:sz w:val="24"/>
          <w:szCs w:val="24"/>
          <w:lang w:val="en-US"/>
        </w:rPr>
      </w:pPr>
      <w:r>
        <w:rPr>
          <w:rFonts w:ascii="Times New Roman" w:hAnsi="Times New Roman" w:cs="Times New Roman"/>
          <w:sz w:val="24"/>
          <w:szCs w:val="24"/>
          <w:lang w:val="en-GB"/>
        </w:rPr>
        <w:lastRenderedPageBreak/>
        <w:t xml:space="preserve">   </w:t>
      </w:r>
      <w:r w:rsidRPr="00A45536">
        <w:rPr>
          <w:rFonts w:ascii="Times New Roman" w:hAnsi="Times New Roman" w:cs="Times New Roman"/>
          <w:b/>
          <w:color w:val="auto"/>
          <w:sz w:val="24"/>
          <w:szCs w:val="24"/>
          <w:lang w:val="sr-Cyrl-RS"/>
        </w:rPr>
        <w:t xml:space="preserve">Слика </w:t>
      </w:r>
      <w:r w:rsidR="00E00B85" w:rsidRPr="00A45536">
        <w:rPr>
          <w:rFonts w:ascii="Times New Roman" w:hAnsi="Times New Roman" w:cs="Times New Roman"/>
          <w:b/>
          <w:color w:val="auto"/>
          <w:sz w:val="24"/>
          <w:szCs w:val="24"/>
          <w:lang w:val="en-US"/>
        </w:rPr>
        <w:t>6</w:t>
      </w:r>
    </w:p>
    <w:p w14:paraId="3D972EC0" w14:textId="77777777" w:rsidR="000F3883" w:rsidRDefault="000F3883" w:rsidP="000F3883">
      <w:pPr>
        <w:jc w:val="center"/>
        <w:rPr>
          <w:lang w:val="en-US"/>
        </w:rPr>
      </w:pPr>
    </w:p>
    <w:p w14:paraId="6BE94208" w14:textId="1CFD8D0E" w:rsidR="000126A1" w:rsidRDefault="005606D0" w:rsidP="00023557">
      <w:pPr>
        <w:jc w:val="center"/>
        <w:rPr>
          <w:lang w:val="en-US"/>
        </w:rPr>
      </w:pPr>
      <w:r>
        <w:rPr>
          <w:rFonts w:ascii="Times New Roman" w:hAnsi="Times New Roman" w:cs="Times New Roman"/>
          <w:noProof/>
          <w:sz w:val="24"/>
          <w:szCs w:val="24"/>
          <w:lang w:val="sr-Latn-RS" w:eastAsia="sr-Latn-RS"/>
        </w:rPr>
        <w:object w:dxaOrig="1440" w:dyaOrig="1440" w14:anchorId="1BD26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55pt;margin-top:-36.15pt;width:461.45pt;height:252.35pt;z-index:251658240;mso-position-horizontal-relative:text;mso-position-vertical-relative:text">
            <v:imagedata r:id="rId16" o:title=""/>
            <o:lock v:ext="edit" aspectratio="f"/>
          </v:shape>
          <o:OLEObject Type="Embed" ProgID="Excel.Sheet.12" ShapeID="_x0000_s1030" DrawAspect="Content" ObjectID="_1632298997" r:id="rId17"/>
        </w:object>
      </w:r>
    </w:p>
    <w:p w14:paraId="6E971547" w14:textId="77777777" w:rsidR="00E00B85" w:rsidRDefault="00E00B85" w:rsidP="00023557">
      <w:pPr>
        <w:jc w:val="center"/>
        <w:rPr>
          <w:lang w:val="en-US"/>
        </w:rPr>
      </w:pPr>
    </w:p>
    <w:p w14:paraId="3518460C" w14:textId="77777777" w:rsidR="00E00B85" w:rsidRDefault="00E00B85" w:rsidP="00023557">
      <w:pPr>
        <w:jc w:val="center"/>
        <w:rPr>
          <w:lang w:val="en-US"/>
        </w:rPr>
      </w:pPr>
    </w:p>
    <w:p w14:paraId="7F43FA92" w14:textId="77777777" w:rsidR="00E00B85" w:rsidRDefault="00E00B85" w:rsidP="00023557">
      <w:pPr>
        <w:jc w:val="center"/>
        <w:rPr>
          <w:lang w:val="en-US"/>
        </w:rPr>
      </w:pPr>
    </w:p>
    <w:p w14:paraId="6DF0A66D" w14:textId="77777777" w:rsidR="00E00B85" w:rsidRDefault="00E00B85" w:rsidP="00023557">
      <w:pPr>
        <w:jc w:val="center"/>
        <w:rPr>
          <w:lang w:val="en-US"/>
        </w:rPr>
      </w:pPr>
    </w:p>
    <w:p w14:paraId="442D994F" w14:textId="77777777" w:rsidR="00E00B85" w:rsidRDefault="00E00B85" w:rsidP="00023557">
      <w:pPr>
        <w:jc w:val="center"/>
        <w:rPr>
          <w:lang w:val="en-US"/>
        </w:rPr>
      </w:pPr>
    </w:p>
    <w:p w14:paraId="245F5354" w14:textId="77777777" w:rsidR="00E00B85" w:rsidRDefault="00E00B85" w:rsidP="00023557">
      <w:pPr>
        <w:jc w:val="center"/>
        <w:rPr>
          <w:lang w:val="en-US"/>
        </w:rPr>
      </w:pPr>
    </w:p>
    <w:p w14:paraId="780C7901" w14:textId="77777777" w:rsidR="00E00B85" w:rsidRDefault="00E00B85" w:rsidP="00023557">
      <w:pPr>
        <w:jc w:val="center"/>
        <w:rPr>
          <w:lang w:val="en-US"/>
        </w:rPr>
      </w:pPr>
    </w:p>
    <w:p w14:paraId="118B241C" w14:textId="77777777" w:rsidR="00E00B85" w:rsidRDefault="00E00B85" w:rsidP="00023557">
      <w:pPr>
        <w:jc w:val="center"/>
        <w:rPr>
          <w:lang w:val="en-US"/>
        </w:rPr>
      </w:pPr>
    </w:p>
    <w:p w14:paraId="21F50CAE" w14:textId="77777777" w:rsidR="00E00B85" w:rsidRDefault="00E00B85" w:rsidP="00023557">
      <w:pPr>
        <w:jc w:val="center"/>
        <w:rPr>
          <w:lang w:val="en-US"/>
        </w:rPr>
      </w:pPr>
    </w:p>
    <w:p w14:paraId="50F44621" w14:textId="6E5C07D5" w:rsidR="00E00B85" w:rsidRPr="00F44547" w:rsidRDefault="004F0DED">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Следеће важно питање везано за преговарачки поступак без објављивања позива за подношење понуда јесте његово учешће по категоријама наручилаца. Другим реч</w:t>
      </w:r>
      <w:r w:rsidR="00641096">
        <w:rPr>
          <w:rFonts w:ascii="Times New Roman" w:eastAsia="Times New Roman" w:hAnsi="Times New Roman" w:cs="Times New Roman"/>
          <w:sz w:val="24"/>
          <w:szCs w:val="24"/>
        </w:rPr>
        <w:t>има, битно је да се сагледа кој</w:t>
      </w:r>
      <w:r w:rsidR="007C551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категориј</w:t>
      </w:r>
      <w:r w:rsidR="007C5515">
        <w:rPr>
          <w:rFonts w:ascii="Times New Roman" w:eastAsia="Times New Roman" w:hAnsi="Times New Roman" w:cs="Times New Roman"/>
          <w:sz w:val="24"/>
          <w:szCs w:val="24"/>
        </w:rPr>
        <w:t>е</w:t>
      </w:r>
      <w:r w:rsidR="00641096">
        <w:rPr>
          <w:rFonts w:ascii="Times New Roman" w:eastAsia="Times New Roman" w:hAnsi="Times New Roman" w:cs="Times New Roman"/>
          <w:sz w:val="24"/>
          <w:szCs w:val="24"/>
        </w:rPr>
        <w:t xml:space="preserve"> наручилаца су</w:t>
      </w:r>
      <w:r>
        <w:rPr>
          <w:rFonts w:ascii="Times New Roman" w:eastAsia="Times New Roman" w:hAnsi="Times New Roman" w:cs="Times New Roman"/>
          <w:sz w:val="24"/>
          <w:szCs w:val="24"/>
        </w:rPr>
        <w:t xml:space="preserve"> </w:t>
      </w:r>
      <w:r w:rsidR="00641096">
        <w:rPr>
          <w:rFonts w:ascii="Times New Roman" w:eastAsia="Times New Roman" w:hAnsi="Times New Roman" w:cs="Times New Roman"/>
          <w:sz w:val="24"/>
          <w:szCs w:val="24"/>
        </w:rPr>
        <w:t>највише примењивале ову врсту</w:t>
      </w:r>
      <w:r w:rsidR="00044301">
        <w:rPr>
          <w:rFonts w:ascii="Times New Roman" w:eastAsia="Times New Roman" w:hAnsi="Times New Roman" w:cs="Times New Roman"/>
          <w:sz w:val="24"/>
          <w:szCs w:val="24"/>
        </w:rPr>
        <w:t xml:space="preserve"> поступка (Табела 7</w:t>
      </w:r>
      <w:r w:rsidR="00E00B85">
        <w:rPr>
          <w:rFonts w:ascii="Times New Roman" w:eastAsia="Times New Roman" w:hAnsi="Times New Roman" w:cs="Times New Roman"/>
          <w:sz w:val="24"/>
          <w:szCs w:val="24"/>
        </w:rPr>
        <w:t>)</w:t>
      </w:r>
      <w:r w:rsidR="00F44547">
        <w:rPr>
          <w:rFonts w:ascii="Times New Roman" w:eastAsia="Times New Roman" w:hAnsi="Times New Roman" w:cs="Times New Roman"/>
          <w:sz w:val="24"/>
          <w:szCs w:val="24"/>
          <w:lang w:val="sr-Cyrl-RS"/>
        </w:rPr>
        <w:t>.</w:t>
      </w:r>
    </w:p>
    <w:p w14:paraId="67AA92EA" w14:textId="77777777" w:rsidR="00480840" w:rsidRDefault="004F0DED" w:rsidP="00E00B85">
      <w:pPr>
        <w:ind w:hanging="284"/>
        <w:jc w:val="both"/>
        <w:rPr>
          <w:rFonts w:ascii="Times New Roman" w:eastAsia="Times New Roman" w:hAnsi="Times New Roman" w:cs="Times New Roman"/>
          <w:b/>
          <w:color w:val="C00000"/>
          <w:sz w:val="24"/>
          <w:szCs w:val="24"/>
          <w:lang w:val="en-GB"/>
        </w:rPr>
      </w:pPr>
      <w:r w:rsidRPr="00D62BCA">
        <w:rPr>
          <w:rFonts w:ascii="Times New Roman" w:eastAsia="Times New Roman" w:hAnsi="Times New Roman" w:cs="Times New Roman"/>
          <w:b/>
          <w:color w:val="C00000"/>
          <w:sz w:val="24"/>
          <w:szCs w:val="24"/>
        </w:rPr>
        <w:t xml:space="preserve"> </w:t>
      </w:r>
      <w:r w:rsidR="00EC238F">
        <w:rPr>
          <w:rFonts w:ascii="Times New Roman" w:eastAsia="Times New Roman" w:hAnsi="Times New Roman" w:cs="Times New Roman"/>
          <w:b/>
          <w:color w:val="C00000"/>
          <w:sz w:val="24"/>
          <w:szCs w:val="24"/>
          <w:lang w:val="en-GB"/>
        </w:rPr>
        <w:t xml:space="preserve"> </w:t>
      </w:r>
    </w:p>
    <w:p w14:paraId="6B946EFF" w14:textId="77777777" w:rsidR="00480840" w:rsidRDefault="00480840" w:rsidP="00E00B85">
      <w:pPr>
        <w:ind w:hanging="284"/>
        <w:jc w:val="both"/>
        <w:rPr>
          <w:rFonts w:ascii="Times New Roman" w:eastAsia="Times New Roman" w:hAnsi="Times New Roman" w:cs="Times New Roman"/>
          <w:b/>
          <w:color w:val="C00000"/>
          <w:sz w:val="24"/>
          <w:szCs w:val="24"/>
          <w:lang w:val="en-GB"/>
        </w:rPr>
      </w:pPr>
    </w:p>
    <w:p w14:paraId="66A018F5" w14:textId="77777777" w:rsidR="00480840" w:rsidRDefault="00480840" w:rsidP="00E00B85">
      <w:pPr>
        <w:ind w:hanging="284"/>
        <w:jc w:val="both"/>
        <w:rPr>
          <w:rFonts w:ascii="Times New Roman" w:eastAsia="Times New Roman" w:hAnsi="Times New Roman" w:cs="Times New Roman"/>
          <w:b/>
          <w:color w:val="C00000"/>
          <w:sz w:val="24"/>
          <w:szCs w:val="24"/>
          <w:lang w:val="en-GB"/>
        </w:rPr>
      </w:pPr>
    </w:p>
    <w:p w14:paraId="352A487B" w14:textId="77777777" w:rsidR="00480840" w:rsidRDefault="00480840" w:rsidP="00E00B85">
      <w:pPr>
        <w:ind w:hanging="284"/>
        <w:jc w:val="both"/>
        <w:rPr>
          <w:rFonts w:ascii="Times New Roman" w:eastAsia="Times New Roman" w:hAnsi="Times New Roman" w:cs="Times New Roman"/>
          <w:b/>
          <w:color w:val="C00000"/>
          <w:sz w:val="24"/>
          <w:szCs w:val="24"/>
          <w:lang w:val="en-GB"/>
        </w:rPr>
      </w:pPr>
    </w:p>
    <w:p w14:paraId="6217DBE5" w14:textId="77777777" w:rsidR="00480840" w:rsidRDefault="00480840" w:rsidP="00E00B85">
      <w:pPr>
        <w:ind w:hanging="284"/>
        <w:jc w:val="both"/>
        <w:rPr>
          <w:rFonts w:ascii="Times New Roman" w:eastAsia="Times New Roman" w:hAnsi="Times New Roman" w:cs="Times New Roman"/>
          <w:b/>
          <w:color w:val="C00000"/>
          <w:sz w:val="24"/>
          <w:szCs w:val="24"/>
          <w:lang w:val="en-GB"/>
        </w:rPr>
      </w:pPr>
    </w:p>
    <w:p w14:paraId="7839257B" w14:textId="77777777" w:rsidR="00480840" w:rsidRDefault="00480840" w:rsidP="00E00B85">
      <w:pPr>
        <w:ind w:hanging="284"/>
        <w:jc w:val="both"/>
        <w:rPr>
          <w:rFonts w:ascii="Times New Roman" w:eastAsia="Times New Roman" w:hAnsi="Times New Roman" w:cs="Times New Roman"/>
          <w:b/>
          <w:color w:val="C00000"/>
          <w:sz w:val="24"/>
          <w:szCs w:val="24"/>
          <w:lang w:val="sr-Cyrl-RS"/>
        </w:rPr>
      </w:pPr>
      <w:r>
        <w:rPr>
          <w:rFonts w:ascii="Times New Roman" w:eastAsia="Times New Roman" w:hAnsi="Times New Roman" w:cs="Times New Roman"/>
          <w:b/>
          <w:color w:val="C00000"/>
          <w:sz w:val="24"/>
          <w:szCs w:val="24"/>
          <w:lang w:val="sr-Cyrl-RS"/>
        </w:rPr>
        <w:t xml:space="preserve">   </w:t>
      </w:r>
    </w:p>
    <w:p w14:paraId="36A922E4" w14:textId="69886280" w:rsidR="00480840" w:rsidRDefault="00480840" w:rsidP="00E00B85">
      <w:pPr>
        <w:ind w:hanging="284"/>
        <w:jc w:val="both"/>
        <w:rPr>
          <w:rFonts w:ascii="Times New Roman" w:eastAsia="Times New Roman" w:hAnsi="Times New Roman" w:cs="Times New Roman"/>
          <w:b/>
          <w:color w:val="C00000"/>
          <w:sz w:val="24"/>
          <w:szCs w:val="24"/>
          <w:lang w:val="sr-Cyrl-RS"/>
        </w:rPr>
      </w:pPr>
    </w:p>
    <w:p w14:paraId="3037AD48" w14:textId="00332856" w:rsidR="00F44547" w:rsidRDefault="00F44547" w:rsidP="00E00B85">
      <w:pPr>
        <w:ind w:hanging="284"/>
        <w:jc w:val="both"/>
        <w:rPr>
          <w:rFonts w:ascii="Times New Roman" w:eastAsia="Times New Roman" w:hAnsi="Times New Roman" w:cs="Times New Roman"/>
          <w:b/>
          <w:color w:val="C00000"/>
          <w:sz w:val="24"/>
          <w:szCs w:val="24"/>
          <w:lang w:val="sr-Cyrl-RS"/>
        </w:rPr>
      </w:pPr>
    </w:p>
    <w:p w14:paraId="459F22EA" w14:textId="77777777" w:rsidR="00AC1081" w:rsidRDefault="00AC1081" w:rsidP="00E00B85">
      <w:pPr>
        <w:ind w:hanging="284"/>
        <w:jc w:val="both"/>
        <w:rPr>
          <w:rFonts w:ascii="Times New Roman" w:eastAsia="Times New Roman" w:hAnsi="Times New Roman" w:cs="Times New Roman"/>
          <w:b/>
          <w:color w:val="C00000"/>
          <w:sz w:val="24"/>
          <w:szCs w:val="24"/>
          <w:lang w:val="sr-Cyrl-RS"/>
        </w:rPr>
      </w:pPr>
    </w:p>
    <w:p w14:paraId="59B7C102" w14:textId="77777777" w:rsidR="00480840" w:rsidRDefault="00480840" w:rsidP="00E00B85">
      <w:pPr>
        <w:ind w:hanging="284"/>
        <w:jc w:val="both"/>
        <w:rPr>
          <w:rFonts w:ascii="Times New Roman" w:eastAsia="Times New Roman" w:hAnsi="Times New Roman" w:cs="Times New Roman"/>
          <w:b/>
          <w:color w:val="C00000"/>
          <w:sz w:val="24"/>
          <w:szCs w:val="24"/>
          <w:lang w:val="sr-Cyrl-RS"/>
        </w:rPr>
      </w:pPr>
    </w:p>
    <w:p w14:paraId="46332E70" w14:textId="045AFAB0" w:rsidR="0081466B" w:rsidRPr="00FD03A2" w:rsidRDefault="00480840" w:rsidP="00E00B85">
      <w:pPr>
        <w:ind w:hanging="284"/>
        <w:jc w:val="both"/>
        <w:rPr>
          <w:rFonts w:ascii="Times New Roman" w:eastAsia="Times New Roman" w:hAnsi="Times New Roman" w:cs="Times New Roman"/>
          <w:b/>
          <w:color w:val="auto"/>
          <w:sz w:val="24"/>
          <w:szCs w:val="24"/>
          <w:lang w:val="en-US"/>
        </w:rPr>
      </w:pPr>
      <w:r>
        <w:rPr>
          <w:rFonts w:ascii="Times New Roman" w:eastAsia="Times New Roman" w:hAnsi="Times New Roman" w:cs="Times New Roman"/>
          <w:b/>
          <w:color w:val="C00000"/>
          <w:sz w:val="24"/>
          <w:szCs w:val="24"/>
          <w:lang w:val="sr-Cyrl-RS"/>
        </w:rPr>
        <w:lastRenderedPageBreak/>
        <w:t xml:space="preserve">  </w:t>
      </w:r>
      <w:r w:rsidR="004F0DED" w:rsidRPr="00FD03A2">
        <w:rPr>
          <w:rFonts w:ascii="Times New Roman" w:eastAsia="Times New Roman" w:hAnsi="Times New Roman" w:cs="Times New Roman"/>
          <w:b/>
          <w:color w:val="auto"/>
          <w:sz w:val="24"/>
          <w:szCs w:val="24"/>
        </w:rPr>
        <w:t xml:space="preserve">Табела </w:t>
      </w:r>
      <w:r w:rsidR="00FD2427" w:rsidRPr="00FD03A2">
        <w:rPr>
          <w:rFonts w:ascii="Times New Roman" w:eastAsia="Times New Roman" w:hAnsi="Times New Roman" w:cs="Times New Roman"/>
          <w:b/>
          <w:color w:val="auto"/>
          <w:sz w:val="24"/>
          <w:szCs w:val="24"/>
          <w:lang w:val="en-US"/>
        </w:rPr>
        <w:t>7</w:t>
      </w:r>
    </w:p>
    <w:tbl>
      <w:tblPr>
        <w:tblW w:w="9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998"/>
        <w:gridCol w:w="626"/>
        <w:gridCol w:w="1327"/>
        <w:gridCol w:w="626"/>
        <w:gridCol w:w="1072"/>
        <w:gridCol w:w="566"/>
        <w:gridCol w:w="1267"/>
        <w:gridCol w:w="616"/>
      </w:tblGrid>
      <w:tr w:rsidR="001C658B" w14:paraId="216AF0B1" w14:textId="77777777" w:rsidTr="00044301">
        <w:trPr>
          <w:jc w:val="center"/>
        </w:trPr>
        <w:tc>
          <w:tcPr>
            <w:tcW w:w="9291" w:type="dxa"/>
            <w:gridSpan w:val="9"/>
            <w:tcBorders>
              <w:top w:val="single" w:sz="18" w:space="0" w:color="000000"/>
              <w:left w:val="single" w:sz="18" w:space="0" w:color="000000"/>
              <w:bottom w:val="single" w:sz="18" w:space="0" w:color="000000"/>
              <w:right w:val="single" w:sz="18" w:space="0" w:color="000000"/>
            </w:tcBorders>
            <w:vAlign w:val="center"/>
          </w:tcPr>
          <w:p w14:paraId="34895F59" w14:textId="77777777" w:rsidR="001C658B" w:rsidRDefault="001C658B" w:rsidP="00E929FC">
            <w:pPr>
              <w:spacing w:after="0"/>
              <w:jc w:val="center"/>
            </w:pPr>
            <w:r>
              <w:rPr>
                <w:rFonts w:ascii="Times New Roman" w:eastAsia="Times New Roman" w:hAnsi="Times New Roman" w:cs="Times New Roman"/>
                <w:b/>
                <w:sz w:val="24"/>
                <w:szCs w:val="24"/>
              </w:rPr>
              <w:t>Упоредни преглед бројчане и вредносне структуре</w:t>
            </w:r>
          </w:p>
          <w:p w14:paraId="151B98F3" w14:textId="77777777" w:rsidR="001C658B" w:rsidRDefault="001C658B" w:rsidP="00E929FC">
            <w:pPr>
              <w:spacing w:after="0"/>
              <w:jc w:val="center"/>
            </w:pPr>
            <w:r>
              <w:rPr>
                <w:rFonts w:ascii="Times New Roman" w:eastAsia="Times New Roman" w:hAnsi="Times New Roman" w:cs="Times New Roman"/>
                <w:b/>
                <w:sz w:val="24"/>
                <w:szCs w:val="24"/>
              </w:rPr>
              <w:t>преговарачког поступка без објављивања позива за подношење понуда</w:t>
            </w:r>
          </w:p>
          <w:p w14:paraId="5EC75DEB" w14:textId="77777777" w:rsidR="001C658B" w:rsidRDefault="001C658B" w:rsidP="00E929FC">
            <w:pPr>
              <w:spacing w:after="0"/>
              <w:jc w:val="center"/>
            </w:pPr>
            <w:r>
              <w:rPr>
                <w:rFonts w:ascii="Times New Roman" w:eastAsia="Times New Roman" w:hAnsi="Times New Roman" w:cs="Times New Roman"/>
                <w:b/>
                <w:sz w:val="24"/>
                <w:szCs w:val="24"/>
              </w:rPr>
              <w:t>по категоријама наручилаца</w:t>
            </w:r>
          </w:p>
        </w:tc>
      </w:tr>
      <w:tr w:rsidR="001C658B" w14:paraId="1C98917C" w14:textId="77777777" w:rsidTr="00044301">
        <w:trPr>
          <w:jc w:val="center"/>
        </w:trPr>
        <w:tc>
          <w:tcPr>
            <w:tcW w:w="2193" w:type="dxa"/>
            <w:tcBorders>
              <w:top w:val="single" w:sz="18" w:space="0" w:color="000000"/>
              <w:left w:val="single" w:sz="18" w:space="0" w:color="000000"/>
              <w:bottom w:val="single" w:sz="18" w:space="0" w:color="000000"/>
              <w:right w:val="single" w:sz="18" w:space="0" w:color="000000"/>
            </w:tcBorders>
            <w:vAlign w:val="center"/>
          </w:tcPr>
          <w:p w14:paraId="1EA0747E" w14:textId="77777777" w:rsidR="001C658B" w:rsidRDefault="001C658B" w:rsidP="00E929FC">
            <w:pPr>
              <w:jc w:val="center"/>
            </w:pPr>
            <w:r>
              <w:rPr>
                <w:rFonts w:ascii="Times New Roman" w:eastAsia="Times New Roman" w:hAnsi="Times New Roman" w:cs="Times New Roman"/>
                <w:b/>
                <w:sz w:val="20"/>
                <w:szCs w:val="20"/>
              </w:rPr>
              <w:t>Период</w:t>
            </w:r>
          </w:p>
        </w:tc>
        <w:tc>
          <w:tcPr>
            <w:tcW w:w="3577" w:type="dxa"/>
            <w:gridSpan w:val="4"/>
            <w:tcBorders>
              <w:top w:val="single" w:sz="18" w:space="0" w:color="000000"/>
              <w:left w:val="single" w:sz="18" w:space="0" w:color="000000"/>
              <w:bottom w:val="single" w:sz="18" w:space="0" w:color="000000"/>
              <w:right w:val="single" w:sz="18" w:space="0" w:color="000000"/>
            </w:tcBorders>
            <w:vAlign w:val="center"/>
          </w:tcPr>
          <w:p w14:paraId="0CA1D67A" w14:textId="77777777" w:rsidR="001C658B" w:rsidRDefault="001C658B" w:rsidP="00E929FC">
            <w:pPr>
              <w:jc w:val="center"/>
            </w:pPr>
            <w:r>
              <w:rPr>
                <w:rFonts w:ascii="Times New Roman" w:eastAsia="Times New Roman" w:hAnsi="Times New Roman" w:cs="Times New Roman"/>
                <w:b/>
                <w:color w:val="auto"/>
                <w:sz w:val="20"/>
                <w:szCs w:val="20"/>
              </w:rPr>
              <w:t>2018</w:t>
            </w:r>
            <w:r w:rsidRPr="00707612">
              <w:rPr>
                <w:rFonts w:ascii="Times New Roman" w:eastAsia="Times New Roman" w:hAnsi="Times New Roman" w:cs="Times New Roman"/>
                <w:b/>
                <w:color w:val="auto"/>
                <w:sz w:val="20"/>
                <w:szCs w:val="20"/>
              </w:rPr>
              <w:t>. година прво полугодиште</w:t>
            </w:r>
          </w:p>
        </w:tc>
        <w:tc>
          <w:tcPr>
            <w:tcW w:w="3521" w:type="dxa"/>
            <w:gridSpan w:val="4"/>
            <w:tcBorders>
              <w:top w:val="single" w:sz="18" w:space="0" w:color="000000"/>
              <w:left w:val="single" w:sz="18" w:space="0" w:color="000000"/>
              <w:bottom w:val="single" w:sz="18" w:space="0" w:color="000000"/>
              <w:right w:val="single" w:sz="18" w:space="0" w:color="000000"/>
            </w:tcBorders>
            <w:vAlign w:val="center"/>
          </w:tcPr>
          <w:p w14:paraId="37ADAB7C" w14:textId="77777777" w:rsidR="001C658B" w:rsidRPr="00904468" w:rsidRDefault="001C658B" w:rsidP="00E929FC">
            <w:pPr>
              <w:jc w:val="center"/>
              <w:rPr>
                <w:color w:val="000000" w:themeColor="text1"/>
              </w:rPr>
            </w:pPr>
            <w:r w:rsidRPr="00904468">
              <w:rPr>
                <w:rFonts w:ascii="Times New Roman" w:eastAsia="Times New Roman" w:hAnsi="Times New Roman" w:cs="Times New Roman"/>
                <w:b/>
                <w:color w:val="000000" w:themeColor="text1"/>
                <w:sz w:val="20"/>
                <w:szCs w:val="20"/>
              </w:rPr>
              <w:t>201</w:t>
            </w:r>
            <w:r>
              <w:rPr>
                <w:rFonts w:ascii="Times New Roman" w:eastAsia="Times New Roman" w:hAnsi="Times New Roman" w:cs="Times New Roman"/>
                <w:b/>
                <w:color w:val="000000" w:themeColor="text1"/>
                <w:sz w:val="20"/>
                <w:szCs w:val="20"/>
                <w:lang w:val="en-US"/>
              </w:rPr>
              <w:t>9</w:t>
            </w:r>
            <w:r w:rsidRPr="00904468">
              <w:rPr>
                <w:rFonts w:ascii="Times New Roman" w:eastAsia="Times New Roman" w:hAnsi="Times New Roman" w:cs="Times New Roman"/>
                <w:b/>
                <w:color w:val="000000" w:themeColor="text1"/>
                <w:sz w:val="20"/>
                <w:szCs w:val="20"/>
              </w:rPr>
              <w:t>. година прво полугодиште</w:t>
            </w:r>
          </w:p>
        </w:tc>
      </w:tr>
      <w:tr w:rsidR="001C658B" w14:paraId="54A33180" w14:textId="77777777" w:rsidTr="00044301">
        <w:trPr>
          <w:jc w:val="center"/>
        </w:trPr>
        <w:tc>
          <w:tcPr>
            <w:tcW w:w="2193" w:type="dxa"/>
            <w:tcBorders>
              <w:top w:val="single" w:sz="18" w:space="0" w:color="000000"/>
              <w:left w:val="single" w:sz="18" w:space="0" w:color="000000"/>
              <w:bottom w:val="single" w:sz="4" w:space="0" w:color="000000"/>
              <w:right w:val="single" w:sz="18" w:space="0" w:color="000000"/>
            </w:tcBorders>
            <w:vAlign w:val="center"/>
          </w:tcPr>
          <w:p w14:paraId="241208EE" w14:textId="77777777" w:rsidR="001C658B" w:rsidRPr="00946278" w:rsidRDefault="001C658B" w:rsidP="00E929FC">
            <w:pPr>
              <w:spacing w:after="0"/>
              <w:jc w:val="center"/>
              <w:rPr>
                <w:sz w:val="20"/>
                <w:szCs w:val="20"/>
              </w:rPr>
            </w:pPr>
            <w:r w:rsidRPr="00946278">
              <w:rPr>
                <w:rFonts w:ascii="Times New Roman" w:eastAsia="Times New Roman" w:hAnsi="Times New Roman" w:cs="Times New Roman"/>
                <w:b/>
                <w:sz w:val="20"/>
                <w:szCs w:val="20"/>
              </w:rPr>
              <w:t>Категорија</w:t>
            </w:r>
          </w:p>
        </w:tc>
        <w:tc>
          <w:tcPr>
            <w:tcW w:w="998" w:type="dxa"/>
            <w:tcBorders>
              <w:top w:val="single" w:sz="18" w:space="0" w:color="000000"/>
              <w:left w:val="single" w:sz="18" w:space="0" w:color="000000"/>
              <w:bottom w:val="single" w:sz="4" w:space="0" w:color="000000"/>
              <w:right w:val="single" w:sz="4" w:space="0" w:color="000000"/>
            </w:tcBorders>
            <w:vAlign w:val="center"/>
          </w:tcPr>
          <w:p w14:paraId="62ED65DB" w14:textId="77777777" w:rsidR="001C658B" w:rsidRPr="00946278" w:rsidRDefault="001C658B" w:rsidP="00E929FC">
            <w:pPr>
              <w:spacing w:after="0"/>
              <w:jc w:val="center"/>
              <w:rPr>
                <w:sz w:val="20"/>
                <w:szCs w:val="20"/>
              </w:rPr>
            </w:pPr>
            <w:r w:rsidRPr="00946278">
              <w:rPr>
                <w:rFonts w:ascii="Times New Roman" w:eastAsia="Times New Roman" w:hAnsi="Times New Roman" w:cs="Times New Roman"/>
                <w:b/>
                <w:sz w:val="20"/>
                <w:szCs w:val="20"/>
              </w:rPr>
              <w:t>Број</w:t>
            </w:r>
          </w:p>
          <w:p w14:paraId="486962C4" w14:textId="565CC222" w:rsidR="001C658B" w:rsidRPr="00946278" w:rsidRDefault="00664DAE" w:rsidP="00E929FC">
            <w:pPr>
              <w:spacing w:after="0"/>
              <w:jc w:val="center"/>
              <w:rPr>
                <w:sz w:val="20"/>
                <w:szCs w:val="20"/>
              </w:rPr>
            </w:pPr>
            <w:r>
              <w:rPr>
                <w:rFonts w:ascii="Times New Roman" w:eastAsia="Times New Roman" w:hAnsi="Times New Roman" w:cs="Times New Roman"/>
                <w:b/>
                <w:sz w:val="20"/>
                <w:szCs w:val="20"/>
                <w:lang w:val="sr-Cyrl-RS"/>
              </w:rPr>
              <w:t>у</w:t>
            </w:r>
            <w:r w:rsidRPr="00946278">
              <w:rPr>
                <w:rFonts w:ascii="Times New Roman" w:eastAsia="Times New Roman" w:hAnsi="Times New Roman" w:cs="Times New Roman"/>
                <w:b/>
                <w:sz w:val="20"/>
                <w:szCs w:val="20"/>
              </w:rPr>
              <w:t>говора</w:t>
            </w:r>
          </w:p>
        </w:tc>
        <w:tc>
          <w:tcPr>
            <w:tcW w:w="626" w:type="dxa"/>
            <w:tcBorders>
              <w:top w:val="single" w:sz="18" w:space="0" w:color="000000"/>
              <w:left w:val="single" w:sz="4" w:space="0" w:color="000000"/>
              <w:bottom w:val="single" w:sz="4" w:space="0" w:color="000000"/>
              <w:right w:val="single" w:sz="4" w:space="0" w:color="000000"/>
            </w:tcBorders>
            <w:vAlign w:val="center"/>
          </w:tcPr>
          <w:p w14:paraId="0DFEDBBD" w14:textId="77777777" w:rsidR="001C658B" w:rsidRPr="00946278" w:rsidRDefault="001C658B" w:rsidP="00E929FC">
            <w:pPr>
              <w:spacing w:after="0"/>
              <w:jc w:val="center"/>
              <w:rPr>
                <w:sz w:val="20"/>
                <w:szCs w:val="20"/>
              </w:rPr>
            </w:pPr>
            <w:r w:rsidRPr="00946278">
              <w:rPr>
                <w:rFonts w:ascii="Times New Roman" w:eastAsia="Times New Roman" w:hAnsi="Times New Roman" w:cs="Times New Roman"/>
                <w:b/>
                <w:sz w:val="20"/>
                <w:szCs w:val="20"/>
              </w:rPr>
              <w:t>%</w:t>
            </w:r>
          </w:p>
        </w:tc>
        <w:tc>
          <w:tcPr>
            <w:tcW w:w="1327" w:type="dxa"/>
            <w:tcBorders>
              <w:top w:val="single" w:sz="18" w:space="0" w:color="000000"/>
              <w:left w:val="single" w:sz="4" w:space="0" w:color="000000"/>
              <w:bottom w:val="single" w:sz="4" w:space="0" w:color="000000"/>
              <w:right w:val="single" w:sz="4" w:space="0" w:color="000000"/>
            </w:tcBorders>
            <w:vAlign w:val="center"/>
          </w:tcPr>
          <w:p w14:paraId="05408FAC" w14:textId="77777777" w:rsidR="001C658B" w:rsidRPr="00946278" w:rsidRDefault="001C658B" w:rsidP="00E929FC">
            <w:pPr>
              <w:spacing w:after="0"/>
              <w:jc w:val="center"/>
              <w:rPr>
                <w:sz w:val="20"/>
                <w:szCs w:val="20"/>
              </w:rPr>
            </w:pPr>
            <w:r w:rsidRPr="00946278">
              <w:rPr>
                <w:rFonts w:ascii="Times New Roman" w:eastAsia="Times New Roman" w:hAnsi="Times New Roman" w:cs="Times New Roman"/>
                <w:b/>
                <w:sz w:val="20"/>
                <w:szCs w:val="20"/>
              </w:rPr>
              <w:t>Уговорена</w:t>
            </w:r>
          </w:p>
          <w:p w14:paraId="18D45AD5" w14:textId="77777777" w:rsidR="001C658B" w:rsidRPr="00946278" w:rsidRDefault="001C658B" w:rsidP="00E929FC">
            <w:pPr>
              <w:spacing w:after="0"/>
              <w:jc w:val="center"/>
              <w:rPr>
                <w:sz w:val="20"/>
                <w:szCs w:val="20"/>
              </w:rPr>
            </w:pPr>
            <w:r w:rsidRPr="00946278">
              <w:rPr>
                <w:rFonts w:ascii="Times New Roman" w:eastAsia="Times New Roman" w:hAnsi="Times New Roman" w:cs="Times New Roman"/>
                <w:b/>
                <w:sz w:val="20"/>
                <w:szCs w:val="20"/>
              </w:rPr>
              <w:t>вредност</w:t>
            </w:r>
          </w:p>
          <w:p w14:paraId="25AD4A56" w14:textId="77777777" w:rsidR="001C658B" w:rsidRPr="00946278" w:rsidRDefault="001C658B" w:rsidP="00E929FC">
            <w:pPr>
              <w:spacing w:after="0"/>
              <w:jc w:val="center"/>
              <w:rPr>
                <w:sz w:val="20"/>
                <w:szCs w:val="20"/>
              </w:rPr>
            </w:pPr>
            <w:r w:rsidRPr="00946278">
              <w:rPr>
                <w:rFonts w:ascii="Times New Roman" w:eastAsia="Times New Roman" w:hAnsi="Times New Roman" w:cs="Times New Roman"/>
                <w:b/>
                <w:sz w:val="20"/>
                <w:szCs w:val="20"/>
              </w:rPr>
              <w:t>без ПДВ-а*</w:t>
            </w:r>
          </w:p>
        </w:tc>
        <w:tc>
          <w:tcPr>
            <w:tcW w:w="626" w:type="dxa"/>
            <w:tcBorders>
              <w:top w:val="single" w:sz="18" w:space="0" w:color="000000"/>
              <w:left w:val="single" w:sz="4" w:space="0" w:color="000000"/>
              <w:bottom w:val="single" w:sz="4" w:space="0" w:color="000000"/>
              <w:right w:val="single" w:sz="18" w:space="0" w:color="000000"/>
            </w:tcBorders>
            <w:vAlign w:val="center"/>
          </w:tcPr>
          <w:p w14:paraId="04099E7C" w14:textId="77777777" w:rsidR="001C658B" w:rsidRPr="00946278" w:rsidRDefault="001C658B" w:rsidP="00E929FC">
            <w:pPr>
              <w:spacing w:after="0"/>
              <w:jc w:val="center"/>
              <w:rPr>
                <w:sz w:val="20"/>
                <w:szCs w:val="20"/>
              </w:rPr>
            </w:pPr>
            <w:r w:rsidRPr="00946278">
              <w:rPr>
                <w:rFonts w:ascii="Times New Roman" w:eastAsia="Times New Roman" w:hAnsi="Times New Roman" w:cs="Times New Roman"/>
                <w:b/>
                <w:sz w:val="20"/>
                <w:szCs w:val="20"/>
              </w:rPr>
              <w:t>%</w:t>
            </w:r>
          </w:p>
        </w:tc>
        <w:tc>
          <w:tcPr>
            <w:tcW w:w="1072" w:type="dxa"/>
            <w:tcBorders>
              <w:top w:val="single" w:sz="18" w:space="0" w:color="000000"/>
              <w:left w:val="single" w:sz="18" w:space="0" w:color="000000"/>
              <w:bottom w:val="single" w:sz="4" w:space="0" w:color="000000"/>
              <w:right w:val="single" w:sz="4" w:space="0" w:color="000000"/>
            </w:tcBorders>
            <w:vAlign w:val="center"/>
          </w:tcPr>
          <w:p w14:paraId="0011BB57" w14:textId="77777777" w:rsidR="001C658B" w:rsidRPr="00946278" w:rsidRDefault="001C658B" w:rsidP="00E929FC">
            <w:pPr>
              <w:spacing w:after="0"/>
              <w:jc w:val="center"/>
              <w:rPr>
                <w:rFonts w:ascii="Times New Roman" w:eastAsia="Times New Roman" w:hAnsi="Times New Roman" w:cs="Times New Roman"/>
                <w:b/>
                <w:sz w:val="20"/>
                <w:szCs w:val="20"/>
              </w:rPr>
            </w:pPr>
            <w:r w:rsidRPr="00946278">
              <w:rPr>
                <w:rFonts w:ascii="Times New Roman" w:eastAsia="Times New Roman" w:hAnsi="Times New Roman" w:cs="Times New Roman"/>
                <w:b/>
                <w:sz w:val="20"/>
                <w:szCs w:val="20"/>
              </w:rPr>
              <w:t>Број</w:t>
            </w:r>
          </w:p>
          <w:p w14:paraId="434CA63D" w14:textId="3F908837" w:rsidR="001C658B" w:rsidRPr="00946278" w:rsidRDefault="00664DAE" w:rsidP="00E929F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sr-Cyrl-RS"/>
              </w:rPr>
              <w:t>у</w:t>
            </w:r>
            <w:r w:rsidRPr="00946278">
              <w:rPr>
                <w:rFonts w:ascii="Times New Roman" w:eastAsia="Times New Roman" w:hAnsi="Times New Roman" w:cs="Times New Roman"/>
                <w:b/>
                <w:sz w:val="20"/>
                <w:szCs w:val="20"/>
              </w:rPr>
              <w:t>говора</w:t>
            </w:r>
          </w:p>
        </w:tc>
        <w:tc>
          <w:tcPr>
            <w:tcW w:w="566" w:type="dxa"/>
            <w:tcBorders>
              <w:top w:val="single" w:sz="18" w:space="0" w:color="000000"/>
              <w:left w:val="single" w:sz="4" w:space="0" w:color="000000"/>
              <w:bottom w:val="single" w:sz="4" w:space="0" w:color="000000"/>
              <w:right w:val="single" w:sz="4" w:space="0" w:color="000000"/>
            </w:tcBorders>
            <w:vAlign w:val="center"/>
          </w:tcPr>
          <w:p w14:paraId="6E923D63" w14:textId="77777777" w:rsidR="001C658B" w:rsidRPr="00946278" w:rsidRDefault="001C658B" w:rsidP="00E929FC">
            <w:pPr>
              <w:spacing w:after="0"/>
              <w:jc w:val="center"/>
              <w:rPr>
                <w:rFonts w:ascii="Times New Roman" w:eastAsia="Times New Roman" w:hAnsi="Times New Roman" w:cs="Times New Roman"/>
                <w:b/>
                <w:sz w:val="20"/>
                <w:szCs w:val="20"/>
              </w:rPr>
            </w:pPr>
            <w:r w:rsidRPr="00946278">
              <w:rPr>
                <w:rFonts w:ascii="Times New Roman" w:eastAsia="Times New Roman" w:hAnsi="Times New Roman" w:cs="Times New Roman"/>
                <w:b/>
                <w:sz w:val="20"/>
                <w:szCs w:val="20"/>
              </w:rPr>
              <w:t>%</w:t>
            </w:r>
          </w:p>
        </w:tc>
        <w:tc>
          <w:tcPr>
            <w:tcW w:w="1267" w:type="dxa"/>
            <w:tcBorders>
              <w:top w:val="single" w:sz="18" w:space="0" w:color="000000"/>
              <w:left w:val="single" w:sz="4" w:space="0" w:color="000000"/>
              <w:bottom w:val="single" w:sz="4" w:space="0" w:color="000000"/>
              <w:right w:val="single" w:sz="4" w:space="0" w:color="000000"/>
            </w:tcBorders>
            <w:vAlign w:val="center"/>
          </w:tcPr>
          <w:p w14:paraId="7B49F486" w14:textId="77777777" w:rsidR="001C658B" w:rsidRPr="00946278" w:rsidRDefault="001C658B" w:rsidP="00E929FC">
            <w:pPr>
              <w:spacing w:after="0"/>
              <w:jc w:val="center"/>
              <w:rPr>
                <w:rFonts w:ascii="Times New Roman" w:eastAsia="Times New Roman" w:hAnsi="Times New Roman" w:cs="Times New Roman"/>
                <w:b/>
                <w:sz w:val="20"/>
                <w:szCs w:val="20"/>
              </w:rPr>
            </w:pPr>
            <w:r w:rsidRPr="00946278">
              <w:rPr>
                <w:rFonts w:ascii="Times New Roman" w:eastAsia="Times New Roman" w:hAnsi="Times New Roman" w:cs="Times New Roman"/>
                <w:b/>
                <w:sz w:val="20"/>
                <w:szCs w:val="20"/>
              </w:rPr>
              <w:t>Уговорена</w:t>
            </w:r>
          </w:p>
          <w:p w14:paraId="5F36B8BB" w14:textId="77777777" w:rsidR="001C658B" w:rsidRPr="00946278" w:rsidRDefault="001C658B" w:rsidP="00E929FC">
            <w:pPr>
              <w:spacing w:after="0"/>
              <w:jc w:val="center"/>
              <w:rPr>
                <w:rFonts w:ascii="Times New Roman" w:eastAsia="Times New Roman" w:hAnsi="Times New Roman" w:cs="Times New Roman"/>
                <w:b/>
                <w:sz w:val="20"/>
                <w:szCs w:val="20"/>
              </w:rPr>
            </w:pPr>
            <w:r w:rsidRPr="00946278">
              <w:rPr>
                <w:rFonts w:ascii="Times New Roman" w:eastAsia="Times New Roman" w:hAnsi="Times New Roman" w:cs="Times New Roman"/>
                <w:b/>
                <w:sz w:val="20"/>
                <w:szCs w:val="20"/>
              </w:rPr>
              <w:t>вредност</w:t>
            </w:r>
          </w:p>
          <w:p w14:paraId="5159C81B" w14:textId="77777777" w:rsidR="001C658B" w:rsidRPr="00946278" w:rsidRDefault="001C658B" w:rsidP="00E929FC">
            <w:pPr>
              <w:spacing w:after="0"/>
              <w:jc w:val="center"/>
              <w:rPr>
                <w:rFonts w:ascii="Times New Roman" w:eastAsia="Times New Roman" w:hAnsi="Times New Roman" w:cs="Times New Roman"/>
                <w:b/>
                <w:sz w:val="20"/>
                <w:szCs w:val="20"/>
              </w:rPr>
            </w:pPr>
            <w:r w:rsidRPr="00946278">
              <w:rPr>
                <w:rFonts w:ascii="Times New Roman" w:eastAsia="Times New Roman" w:hAnsi="Times New Roman" w:cs="Times New Roman"/>
                <w:b/>
                <w:sz w:val="20"/>
                <w:szCs w:val="20"/>
              </w:rPr>
              <w:t>без ПДВ-а*</w:t>
            </w:r>
          </w:p>
        </w:tc>
        <w:tc>
          <w:tcPr>
            <w:tcW w:w="616" w:type="dxa"/>
            <w:tcBorders>
              <w:top w:val="single" w:sz="18" w:space="0" w:color="000000"/>
              <w:left w:val="single" w:sz="4" w:space="0" w:color="000000"/>
              <w:bottom w:val="single" w:sz="4" w:space="0" w:color="000000"/>
              <w:right w:val="single" w:sz="18" w:space="0" w:color="000000"/>
            </w:tcBorders>
            <w:vAlign w:val="center"/>
          </w:tcPr>
          <w:p w14:paraId="7C5E9C68" w14:textId="77777777" w:rsidR="001C658B" w:rsidRPr="00946278" w:rsidRDefault="001C658B" w:rsidP="00E929FC">
            <w:pPr>
              <w:jc w:val="center"/>
              <w:rPr>
                <w:rFonts w:ascii="Times New Roman" w:eastAsia="Times New Roman" w:hAnsi="Times New Roman" w:cs="Times New Roman"/>
                <w:b/>
                <w:sz w:val="20"/>
                <w:szCs w:val="20"/>
              </w:rPr>
            </w:pPr>
            <w:r w:rsidRPr="00946278">
              <w:rPr>
                <w:rFonts w:ascii="Times New Roman" w:eastAsia="Times New Roman" w:hAnsi="Times New Roman" w:cs="Times New Roman"/>
                <w:b/>
                <w:sz w:val="20"/>
                <w:szCs w:val="20"/>
              </w:rPr>
              <w:t>%</w:t>
            </w:r>
          </w:p>
        </w:tc>
      </w:tr>
      <w:tr w:rsidR="001C658B" w14:paraId="5096ECB5" w14:textId="77777777" w:rsidTr="00044301">
        <w:trPr>
          <w:jc w:val="center"/>
        </w:trPr>
        <w:tc>
          <w:tcPr>
            <w:tcW w:w="2193" w:type="dxa"/>
            <w:tcBorders>
              <w:top w:val="single" w:sz="4" w:space="0" w:color="000000"/>
              <w:left w:val="single" w:sz="18" w:space="0" w:color="000000"/>
              <w:bottom w:val="single" w:sz="4" w:space="0" w:color="000000"/>
              <w:right w:val="single" w:sz="18" w:space="0" w:color="000000"/>
            </w:tcBorders>
            <w:vAlign w:val="center"/>
          </w:tcPr>
          <w:p w14:paraId="13AECEC0" w14:textId="77777777" w:rsidR="001C658B" w:rsidRDefault="001C658B" w:rsidP="00E929FC">
            <w:pPr>
              <w:jc w:val="center"/>
            </w:pPr>
            <w:r>
              <w:rPr>
                <w:rFonts w:ascii="Times New Roman" w:eastAsia="Times New Roman" w:hAnsi="Times New Roman" w:cs="Times New Roman"/>
                <w:b/>
                <w:sz w:val="20"/>
                <w:szCs w:val="20"/>
              </w:rPr>
              <w:t>Органи државне управе</w:t>
            </w:r>
          </w:p>
        </w:tc>
        <w:tc>
          <w:tcPr>
            <w:tcW w:w="998" w:type="dxa"/>
            <w:tcBorders>
              <w:top w:val="single" w:sz="4" w:space="0" w:color="000000"/>
              <w:left w:val="single" w:sz="18" w:space="0" w:color="000000"/>
              <w:bottom w:val="single" w:sz="4" w:space="0" w:color="000000"/>
              <w:right w:val="single" w:sz="4" w:space="0" w:color="000000"/>
            </w:tcBorders>
            <w:vAlign w:val="center"/>
          </w:tcPr>
          <w:p w14:paraId="343E47A9"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104</w:t>
            </w:r>
          </w:p>
        </w:tc>
        <w:tc>
          <w:tcPr>
            <w:tcW w:w="626" w:type="dxa"/>
            <w:tcBorders>
              <w:top w:val="single" w:sz="4" w:space="0" w:color="000000"/>
              <w:left w:val="single" w:sz="4" w:space="0" w:color="000000"/>
              <w:bottom w:val="single" w:sz="4" w:space="0" w:color="000000"/>
              <w:right w:val="single" w:sz="4" w:space="0" w:color="000000"/>
            </w:tcBorders>
            <w:vAlign w:val="center"/>
          </w:tcPr>
          <w:p w14:paraId="544FE2CE"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10</w:t>
            </w:r>
          </w:p>
        </w:tc>
        <w:tc>
          <w:tcPr>
            <w:tcW w:w="1327" w:type="dxa"/>
            <w:tcBorders>
              <w:top w:val="single" w:sz="4" w:space="0" w:color="000000"/>
              <w:left w:val="single" w:sz="4" w:space="0" w:color="000000"/>
              <w:bottom w:val="single" w:sz="4" w:space="0" w:color="000000"/>
              <w:right w:val="single" w:sz="4" w:space="0" w:color="000000"/>
            </w:tcBorders>
            <w:vAlign w:val="center"/>
          </w:tcPr>
          <w:p w14:paraId="17BCCC75"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lang w:val="sr-Latn-RS"/>
              </w:rPr>
              <w:t>729.636</w:t>
            </w:r>
          </w:p>
        </w:tc>
        <w:tc>
          <w:tcPr>
            <w:tcW w:w="626" w:type="dxa"/>
            <w:tcBorders>
              <w:top w:val="single" w:sz="4" w:space="0" w:color="000000"/>
              <w:left w:val="single" w:sz="4" w:space="0" w:color="000000"/>
              <w:bottom w:val="single" w:sz="4" w:space="0" w:color="000000"/>
              <w:right w:val="single" w:sz="18" w:space="0" w:color="000000"/>
            </w:tcBorders>
            <w:vAlign w:val="center"/>
          </w:tcPr>
          <w:p w14:paraId="40FC7341"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13</w:t>
            </w:r>
          </w:p>
        </w:tc>
        <w:tc>
          <w:tcPr>
            <w:tcW w:w="1072" w:type="dxa"/>
            <w:tcBorders>
              <w:top w:val="single" w:sz="4" w:space="0" w:color="000000"/>
              <w:left w:val="nil"/>
              <w:bottom w:val="single" w:sz="4" w:space="0" w:color="000000"/>
              <w:right w:val="single" w:sz="4" w:space="0" w:color="000000"/>
            </w:tcBorders>
            <w:shd w:val="clear" w:color="auto" w:fill="auto"/>
            <w:vAlign w:val="center"/>
          </w:tcPr>
          <w:p w14:paraId="2FDE5AC8"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96</w:t>
            </w:r>
          </w:p>
        </w:tc>
        <w:tc>
          <w:tcPr>
            <w:tcW w:w="566" w:type="dxa"/>
            <w:tcBorders>
              <w:top w:val="single" w:sz="8" w:space="0" w:color="000000"/>
              <w:left w:val="nil"/>
              <w:bottom w:val="single" w:sz="8" w:space="0" w:color="000000"/>
              <w:right w:val="single" w:sz="8" w:space="0" w:color="000000"/>
            </w:tcBorders>
            <w:shd w:val="clear" w:color="auto" w:fill="auto"/>
            <w:vAlign w:val="center"/>
          </w:tcPr>
          <w:p w14:paraId="004D8027"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154F"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655.010</w:t>
            </w:r>
          </w:p>
        </w:tc>
        <w:tc>
          <w:tcPr>
            <w:tcW w:w="616" w:type="dxa"/>
            <w:tcBorders>
              <w:top w:val="single" w:sz="4" w:space="0" w:color="000000"/>
              <w:left w:val="nil"/>
              <w:bottom w:val="single" w:sz="4" w:space="0" w:color="000000"/>
              <w:right w:val="single" w:sz="18" w:space="0" w:color="000000"/>
            </w:tcBorders>
            <w:shd w:val="clear" w:color="auto" w:fill="auto"/>
            <w:vAlign w:val="center"/>
          </w:tcPr>
          <w:p w14:paraId="275059EF"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11</w:t>
            </w:r>
          </w:p>
        </w:tc>
      </w:tr>
      <w:tr w:rsidR="001C658B" w14:paraId="54774EC0" w14:textId="77777777" w:rsidTr="00044301">
        <w:trPr>
          <w:jc w:val="center"/>
        </w:trPr>
        <w:tc>
          <w:tcPr>
            <w:tcW w:w="2193" w:type="dxa"/>
            <w:tcBorders>
              <w:top w:val="single" w:sz="4" w:space="0" w:color="000000"/>
              <w:left w:val="single" w:sz="18" w:space="0" w:color="000000"/>
              <w:bottom w:val="single" w:sz="4" w:space="0" w:color="000000"/>
              <w:right w:val="single" w:sz="18" w:space="0" w:color="000000"/>
            </w:tcBorders>
            <w:vAlign w:val="center"/>
          </w:tcPr>
          <w:p w14:paraId="4903AF26" w14:textId="77777777" w:rsidR="001C658B" w:rsidRDefault="001C658B" w:rsidP="00E929FC">
            <w:pPr>
              <w:jc w:val="center"/>
            </w:pPr>
            <w:r>
              <w:rPr>
                <w:rFonts w:ascii="Times New Roman" w:eastAsia="Times New Roman" w:hAnsi="Times New Roman" w:cs="Times New Roman"/>
                <w:b/>
                <w:sz w:val="20"/>
                <w:szCs w:val="20"/>
              </w:rPr>
              <w:t>Правосуђе</w:t>
            </w:r>
          </w:p>
        </w:tc>
        <w:tc>
          <w:tcPr>
            <w:tcW w:w="998" w:type="dxa"/>
            <w:tcBorders>
              <w:top w:val="single" w:sz="4" w:space="0" w:color="000000"/>
              <w:left w:val="single" w:sz="18" w:space="0" w:color="000000"/>
              <w:bottom w:val="single" w:sz="4" w:space="0" w:color="000000"/>
              <w:right w:val="single" w:sz="4" w:space="0" w:color="000000"/>
            </w:tcBorders>
            <w:vAlign w:val="center"/>
          </w:tcPr>
          <w:p w14:paraId="2D632504"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w:t>
            </w:r>
          </w:p>
        </w:tc>
        <w:tc>
          <w:tcPr>
            <w:tcW w:w="626" w:type="dxa"/>
            <w:tcBorders>
              <w:top w:val="single" w:sz="4" w:space="0" w:color="000000"/>
              <w:left w:val="single" w:sz="4" w:space="0" w:color="000000"/>
              <w:bottom w:val="single" w:sz="4" w:space="0" w:color="000000"/>
              <w:right w:val="single" w:sz="4" w:space="0" w:color="000000"/>
            </w:tcBorders>
            <w:vAlign w:val="center"/>
          </w:tcPr>
          <w:p w14:paraId="4F8FC69F"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0</w:t>
            </w:r>
          </w:p>
        </w:tc>
        <w:tc>
          <w:tcPr>
            <w:tcW w:w="1327" w:type="dxa"/>
            <w:tcBorders>
              <w:top w:val="single" w:sz="4" w:space="0" w:color="000000"/>
              <w:left w:val="single" w:sz="4" w:space="0" w:color="000000"/>
              <w:bottom w:val="single" w:sz="4" w:space="0" w:color="000000"/>
              <w:right w:val="single" w:sz="4" w:space="0" w:color="000000"/>
            </w:tcBorders>
            <w:vAlign w:val="center"/>
          </w:tcPr>
          <w:p w14:paraId="59C39621"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lang w:val="sr-Latn-RS"/>
              </w:rPr>
              <w:t>692</w:t>
            </w:r>
          </w:p>
        </w:tc>
        <w:tc>
          <w:tcPr>
            <w:tcW w:w="626" w:type="dxa"/>
            <w:tcBorders>
              <w:top w:val="single" w:sz="4" w:space="0" w:color="000000"/>
              <w:left w:val="single" w:sz="4" w:space="0" w:color="000000"/>
              <w:bottom w:val="single" w:sz="4" w:space="0" w:color="000000"/>
              <w:right w:val="single" w:sz="18" w:space="0" w:color="000000"/>
            </w:tcBorders>
            <w:vAlign w:val="center"/>
          </w:tcPr>
          <w:p w14:paraId="3F635E0F"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0</w:t>
            </w:r>
          </w:p>
        </w:tc>
        <w:tc>
          <w:tcPr>
            <w:tcW w:w="1072" w:type="dxa"/>
            <w:tcBorders>
              <w:top w:val="single" w:sz="4" w:space="0" w:color="000000"/>
              <w:left w:val="nil"/>
              <w:bottom w:val="single" w:sz="4" w:space="0" w:color="000000"/>
              <w:right w:val="single" w:sz="4" w:space="0" w:color="000000"/>
            </w:tcBorders>
            <w:shd w:val="clear" w:color="auto" w:fill="auto"/>
            <w:vAlign w:val="center"/>
          </w:tcPr>
          <w:p w14:paraId="621C38C5"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5</w:t>
            </w:r>
          </w:p>
        </w:tc>
        <w:tc>
          <w:tcPr>
            <w:tcW w:w="566" w:type="dxa"/>
            <w:tcBorders>
              <w:top w:val="nil"/>
              <w:left w:val="nil"/>
              <w:bottom w:val="single" w:sz="8" w:space="0" w:color="000000"/>
              <w:right w:val="single" w:sz="8" w:space="0" w:color="000000"/>
            </w:tcBorders>
            <w:shd w:val="clear" w:color="auto" w:fill="auto"/>
            <w:vAlign w:val="center"/>
          </w:tcPr>
          <w:p w14:paraId="6FBAB6CE"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3E37C"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7.470</w:t>
            </w:r>
          </w:p>
        </w:tc>
        <w:tc>
          <w:tcPr>
            <w:tcW w:w="616" w:type="dxa"/>
            <w:tcBorders>
              <w:top w:val="single" w:sz="4" w:space="0" w:color="000000"/>
              <w:left w:val="nil"/>
              <w:bottom w:val="single" w:sz="4" w:space="0" w:color="000000"/>
              <w:right w:val="single" w:sz="18" w:space="0" w:color="000000"/>
            </w:tcBorders>
            <w:shd w:val="clear" w:color="auto" w:fill="auto"/>
            <w:vAlign w:val="center"/>
          </w:tcPr>
          <w:p w14:paraId="553B068E"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0</w:t>
            </w:r>
          </w:p>
        </w:tc>
      </w:tr>
      <w:tr w:rsidR="001C658B" w14:paraId="75A1D099" w14:textId="77777777" w:rsidTr="00044301">
        <w:trPr>
          <w:jc w:val="center"/>
        </w:trPr>
        <w:tc>
          <w:tcPr>
            <w:tcW w:w="2193" w:type="dxa"/>
            <w:tcBorders>
              <w:top w:val="single" w:sz="4" w:space="0" w:color="000000"/>
              <w:left w:val="single" w:sz="18" w:space="0" w:color="000000"/>
              <w:bottom w:val="single" w:sz="4" w:space="0" w:color="000000"/>
              <w:right w:val="single" w:sz="18" w:space="0" w:color="000000"/>
            </w:tcBorders>
            <w:vAlign w:val="center"/>
          </w:tcPr>
          <w:p w14:paraId="0014FB70" w14:textId="77777777" w:rsidR="001C658B" w:rsidRDefault="001C658B" w:rsidP="00E929FC">
            <w:pPr>
              <w:jc w:val="center"/>
            </w:pPr>
            <w:r>
              <w:rPr>
                <w:rFonts w:ascii="Times New Roman" w:eastAsia="Times New Roman" w:hAnsi="Times New Roman" w:cs="Times New Roman"/>
                <w:b/>
                <w:sz w:val="20"/>
                <w:szCs w:val="20"/>
              </w:rPr>
              <w:t>Здравство и социјална заштита</w:t>
            </w:r>
          </w:p>
        </w:tc>
        <w:tc>
          <w:tcPr>
            <w:tcW w:w="998" w:type="dxa"/>
            <w:tcBorders>
              <w:top w:val="single" w:sz="4" w:space="0" w:color="000000"/>
              <w:left w:val="single" w:sz="18" w:space="0" w:color="000000"/>
              <w:bottom w:val="single" w:sz="4" w:space="0" w:color="000000"/>
              <w:right w:val="single" w:sz="4" w:space="0" w:color="000000"/>
            </w:tcBorders>
            <w:vAlign w:val="center"/>
          </w:tcPr>
          <w:p w14:paraId="3FFEA971"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338</w:t>
            </w:r>
          </w:p>
        </w:tc>
        <w:tc>
          <w:tcPr>
            <w:tcW w:w="626" w:type="dxa"/>
            <w:tcBorders>
              <w:top w:val="single" w:sz="4" w:space="0" w:color="000000"/>
              <w:left w:val="single" w:sz="4" w:space="0" w:color="000000"/>
              <w:bottom w:val="single" w:sz="4" w:space="0" w:color="000000"/>
              <w:right w:val="single" w:sz="4" w:space="0" w:color="000000"/>
            </w:tcBorders>
            <w:vAlign w:val="center"/>
          </w:tcPr>
          <w:p w14:paraId="27B71EE8"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33</w:t>
            </w:r>
          </w:p>
        </w:tc>
        <w:tc>
          <w:tcPr>
            <w:tcW w:w="1327" w:type="dxa"/>
            <w:tcBorders>
              <w:top w:val="single" w:sz="4" w:space="0" w:color="000000"/>
              <w:left w:val="single" w:sz="4" w:space="0" w:color="000000"/>
              <w:bottom w:val="single" w:sz="4" w:space="0" w:color="000000"/>
              <w:right w:val="single" w:sz="4" w:space="0" w:color="000000"/>
            </w:tcBorders>
            <w:vAlign w:val="center"/>
          </w:tcPr>
          <w:p w14:paraId="37297D01"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lang w:val="sr-Latn-RS"/>
              </w:rPr>
              <w:t>902.892</w:t>
            </w:r>
          </w:p>
        </w:tc>
        <w:tc>
          <w:tcPr>
            <w:tcW w:w="626" w:type="dxa"/>
            <w:tcBorders>
              <w:top w:val="single" w:sz="4" w:space="0" w:color="000000"/>
              <w:left w:val="single" w:sz="4" w:space="0" w:color="000000"/>
              <w:bottom w:val="single" w:sz="4" w:space="0" w:color="000000"/>
              <w:right w:val="single" w:sz="18" w:space="0" w:color="000000"/>
            </w:tcBorders>
            <w:vAlign w:val="center"/>
          </w:tcPr>
          <w:p w14:paraId="4DAD5738"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16</w:t>
            </w:r>
          </w:p>
        </w:tc>
        <w:tc>
          <w:tcPr>
            <w:tcW w:w="1072" w:type="dxa"/>
            <w:tcBorders>
              <w:top w:val="single" w:sz="4" w:space="0" w:color="000000"/>
              <w:left w:val="nil"/>
              <w:bottom w:val="single" w:sz="4" w:space="0" w:color="000000"/>
              <w:right w:val="single" w:sz="4" w:space="0" w:color="000000"/>
            </w:tcBorders>
            <w:shd w:val="clear" w:color="auto" w:fill="auto"/>
            <w:vAlign w:val="center"/>
          </w:tcPr>
          <w:p w14:paraId="0DF7E09B"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251</w:t>
            </w:r>
          </w:p>
        </w:tc>
        <w:tc>
          <w:tcPr>
            <w:tcW w:w="566" w:type="dxa"/>
            <w:tcBorders>
              <w:top w:val="nil"/>
              <w:left w:val="nil"/>
              <w:bottom w:val="single" w:sz="8" w:space="0" w:color="000000"/>
              <w:right w:val="single" w:sz="8" w:space="0" w:color="000000"/>
            </w:tcBorders>
            <w:shd w:val="clear" w:color="auto" w:fill="auto"/>
            <w:vAlign w:val="center"/>
          </w:tcPr>
          <w:p w14:paraId="797044F1"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25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1B8F3"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958.405</w:t>
            </w:r>
          </w:p>
        </w:tc>
        <w:tc>
          <w:tcPr>
            <w:tcW w:w="616" w:type="dxa"/>
            <w:tcBorders>
              <w:top w:val="single" w:sz="4" w:space="0" w:color="000000"/>
              <w:left w:val="nil"/>
              <w:bottom w:val="single" w:sz="4" w:space="0" w:color="000000"/>
              <w:right w:val="single" w:sz="18" w:space="0" w:color="000000"/>
            </w:tcBorders>
            <w:shd w:val="clear" w:color="auto" w:fill="auto"/>
            <w:vAlign w:val="center"/>
          </w:tcPr>
          <w:p w14:paraId="39F13598"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16</w:t>
            </w:r>
          </w:p>
        </w:tc>
      </w:tr>
      <w:tr w:rsidR="001C658B" w14:paraId="2226235C" w14:textId="77777777" w:rsidTr="00044301">
        <w:trPr>
          <w:jc w:val="center"/>
        </w:trPr>
        <w:tc>
          <w:tcPr>
            <w:tcW w:w="2193" w:type="dxa"/>
            <w:tcBorders>
              <w:top w:val="single" w:sz="4" w:space="0" w:color="000000"/>
              <w:left w:val="single" w:sz="18" w:space="0" w:color="000000"/>
              <w:bottom w:val="single" w:sz="4" w:space="0" w:color="000000"/>
              <w:right w:val="single" w:sz="18" w:space="0" w:color="000000"/>
            </w:tcBorders>
            <w:vAlign w:val="center"/>
          </w:tcPr>
          <w:p w14:paraId="5BCC6941" w14:textId="77777777" w:rsidR="001C658B" w:rsidRDefault="001C658B" w:rsidP="00E929FC">
            <w:pPr>
              <w:jc w:val="center"/>
            </w:pPr>
            <w:r>
              <w:rPr>
                <w:rFonts w:ascii="Times New Roman" w:eastAsia="Times New Roman" w:hAnsi="Times New Roman" w:cs="Times New Roman"/>
                <w:b/>
                <w:sz w:val="20"/>
                <w:szCs w:val="20"/>
              </w:rPr>
              <w:t>Култура</w:t>
            </w:r>
          </w:p>
        </w:tc>
        <w:tc>
          <w:tcPr>
            <w:tcW w:w="998" w:type="dxa"/>
            <w:tcBorders>
              <w:top w:val="single" w:sz="4" w:space="0" w:color="000000"/>
              <w:left w:val="single" w:sz="18" w:space="0" w:color="000000"/>
              <w:bottom w:val="single" w:sz="4" w:space="0" w:color="000000"/>
              <w:right w:val="single" w:sz="4" w:space="0" w:color="000000"/>
            </w:tcBorders>
            <w:vAlign w:val="center"/>
          </w:tcPr>
          <w:p w14:paraId="4BEEBD34"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200</w:t>
            </w:r>
          </w:p>
        </w:tc>
        <w:tc>
          <w:tcPr>
            <w:tcW w:w="626" w:type="dxa"/>
            <w:tcBorders>
              <w:top w:val="single" w:sz="4" w:space="0" w:color="000000"/>
              <w:left w:val="single" w:sz="4" w:space="0" w:color="000000"/>
              <w:bottom w:val="single" w:sz="4" w:space="0" w:color="000000"/>
              <w:right w:val="single" w:sz="4" w:space="0" w:color="000000"/>
            </w:tcBorders>
            <w:vAlign w:val="center"/>
          </w:tcPr>
          <w:p w14:paraId="20DD3E85"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20</w:t>
            </w:r>
          </w:p>
        </w:tc>
        <w:tc>
          <w:tcPr>
            <w:tcW w:w="1327" w:type="dxa"/>
            <w:tcBorders>
              <w:top w:val="single" w:sz="4" w:space="0" w:color="000000"/>
              <w:left w:val="single" w:sz="4" w:space="0" w:color="000000"/>
              <w:bottom w:val="single" w:sz="4" w:space="0" w:color="000000"/>
              <w:right w:val="single" w:sz="4" w:space="0" w:color="000000"/>
            </w:tcBorders>
            <w:vAlign w:val="center"/>
          </w:tcPr>
          <w:p w14:paraId="62B44ADB"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lang w:val="sr-Latn-RS"/>
              </w:rPr>
              <w:t>391.870</w:t>
            </w:r>
          </w:p>
        </w:tc>
        <w:tc>
          <w:tcPr>
            <w:tcW w:w="626" w:type="dxa"/>
            <w:tcBorders>
              <w:top w:val="single" w:sz="4" w:space="0" w:color="000000"/>
              <w:left w:val="single" w:sz="4" w:space="0" w:color="000000"/>
              <w:bottom w:val="single" w:sz="4" w:space="0" w:color="000000"/>
              <w:right w:val="single" w:sz="18" w:space="0" w:color="000000"/>
            </w:tcBorders>
            <w:vAlign w:val="center"/>
          </w:tcPr>
          <w:p w14:paraId="39A8ABE5"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7</w:t>
            </w:r>
          </w:p>
        </w:tc>
        <w:tc>
          <w:tcPr>
            <w:tcW w:w="1072" w:type="dxa"/>
            <w:tcBorders>
              <w:top w:val="single" w:sz="4" w:space="0" w:color="000000"/>
              <w:left w:val="nil"/>
              <w:bottom w:val="single" w:sz="4" w:space="0" w:color="000000"/>
              <w:right w:val="single" w:sz="4" w:space="0" w:color="000000"/>
            </w:tcBorders>
            <w:shd w:val="clear" w:color="auto" w:fill="auto"/>
            <w:vAlign w:val="center"/>
          </w:tcPr>
          <w:p w14:paraId="16D73F18"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183</w:t>
            </w:r>
          </w:p>
        </w:tc>
        <w:tc>
          <w:tcPr>
            <w:tcW w:w="566" w:type="dxa"/>
            <w:tcBorders>
              <w:top w:val="nil"/>
              <w:left w:val="nil"/>
              <w:bottom w:val="single" w:sz="8" w:space="0" w:color="000000"/>
              <w:right w:val="single" w:sz="8" w:space="0" w:color="000000"/>
            </w:tcBorders>
            <w:shd w:val="clear" w:color="auto" w:fill="auto"/>
            <w:vAlign w:val="center"/>
          </w:tcPr>
          <w:p w14:paraId="5A9C3975"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311F"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286.842</w:t>
            </w:r>
          </w:p>
        </w:tc>
        <w:tc>
          <w:tcPr>
            <w:tcW w:w="616" w:type="dxa"/>
            <w:tcBorders>
              <w:top w:val="single" w:sz="4" w:space="0" w:color="000000"/>
              <w:left w:val="nil"/>
              <w:bottom w:val="single" w:sz="4" w:space="0" w:color="000000"/>
              <w:right w:val="single" w:sz="18" w:space="0" w:color="000000"/>
            </w:tcBorders>
            <w:shd w:val="clear" w:color="auto" w:fill="auto"/>
            <w:vAlign w:val="center"/>
          </w:tcPr>
          <w:p w14:paraId="7D4A3026"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5</w:t>
            </w:r>
          </w:p>
        </w:tc>
      </w:tr>
      <w:tr w:rsidR="001C658B" w14:paraId="104BF267" w14:textId="77777777" w:rsidTr="00044301">
        <w:trPr>
          <w:jc w:val="center"/>
        </w:trPr>
        <w:tc>
          <w:tcPr>
            <w:tcW w:w="2193" w:type="dxa"/>
            <w:tcBorders>
              <w:top w:val="single" w:sz="4" w:space="0" w:color="000000"/>
              <w:left w:val="single" w:sz="18" w:space="0" w:color="000000"/>
              <w:bottom w:val="single" w:sz="4" w:space="0" w:color="000000"/>
              <w:right w:val="single" w:sz="18" w:space="0" w:color="000000"/>
            </w:tcBorders>
            <w:vAlign w:val="center"/>
          </w:tcPr>
          <w:p w14:paraId="2C273626" w14:textId="77777777" w:rsidR="001C658B" w:rsidRDefault="001C658B" w:rsidP="00E929FC">
            <w:pPr>
              <w:jc w:val="center"/>
            </w:pPr>
            <w:r>
              <w:rPr>
                <w:rFonts w:ascii="Times New Roman" w:eastAsia="Times New Roman" w:hAnsi="Times New Roman" w:cs="Times New Roman"/>
                <w:b/>
                <w:sz w:val="20"/>
                <w:szCs w:val="20"/>
              </w:rPr>
              <w:t>Просвета и наука</w:t>
            </w:r>
          </w:p>
        </w:tc>
        <w:tc>
          <w:tcPr>
            <w:tcW w:w="998" w:type="dxa"/>
            <w:tcBorders>
              <w:top w:val="single" w:sz="4" w:space="0" w:color="000000"/>
              <w:left w:val="single" w:sz="18" w:space="0" w:color="000000"/>
              <w:bottom w:val="single" w:sz="4" w:space="0" w:color="000000"/>
              <w:right w:val="single" w:sz="4" w:space="0" w:color="000000"/>
            </w:tcBorders>
            <w:vAlign w:val="center"/>
          </w:tcPr>
          <w:p w14:paraId="77550C58"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14</w:t>
            </w:r>
          </w:p>
        </w:tc>
        <w:tc>
          <w:tcPr>
            <w:tcW w:w="626" w:type="dxa"/>
            <w:tcBorders>
              <w:top w:val="single" w:sz="4" w:space="0" w:color="000000"/>
              <w:left w:val="single" w:sz="4" w:space="0" w:color="000000"/>
              <w:bottom w:val="single" w:sz="4" w:space="0" w:color="000000"/>
              <w:right w:val="single" w:sz="4" w:space="0" w:color="000000"/>
            </w:tcBorders>
            <w:vAlign w:val="center"/>
          </w:tcPr>
          <w:p w14:paraId="14C7832F"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w:t>
            </w:r>
          </w:p>
        </w:tc>
        <w:tc>
          <w:tcPr>
            <w:tcW w:w="1327" w:type="dxa"/>
            <w:tcBorders>
              <w:top w:val="single" w:sz="4" w:space="0" w:color="000000"/>
              <w:left w:val="single" w:sz="4" w:space="0" w:color="000000"/>
              <w:bottom w:val="single" w:sz="4" w:space="0" w:color="000000"/>
              <w:right w:val="single" w:sz="4" w:space="0" w:color="000000"/>
            </w:tcBorders>
            <w:vAlign w:val="center"/>
          </w:tcPr>
          <w:p w14:paraId="45005540"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lang w:val="sr-Latn-RS"/>
              </w:rPr>
              <w:t>25.952</w:t>
            </w:r>
          </w:p>
        </w:tc>
        <w:tc>
          <w:tcPr>
            <w:tcW w:w="626" w:type="dxa"/>
            <w:tcBorders>
              <w:top w:val="single" w:sz="4" w:space="0" w:color="000000"/>
              <w:left w:val="single" w:sz="4" w:space="0" w:color="000000"/>
              <w:bottom w:val="single" w:sz="4" w:space="0" w:color="000000"/>
              <w:right w:val="single" w:sz="18" w:space="0" w:color="000000"/>
            </w:tcBorders>
            <w:vAlign w:val="center"/>
          </w:tcPr>
          <w:p w14:paraId="38D3546A"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0</w:t>
            </w:r>
          </w:p>
        </w:tc>
        <w:tc>
          <w:tcPr>
            <w:tcW w:w="1072" w:type="dxa"/>
            <w:tcBorders>
              <w:top w:val="single" w:sz="4" w:space="0" w:color="000000"/>
              <w:left w:val="nil"/>
              <w:bottom w:val="single" w:sz="4" w:space="0" w:color="000000"/>
              <w:right w:val="single" w:sz="4" w:space="0" w:color="000000"/>
            </w:tcBorders>
            <w:shd w:val="clear" w:color="auto" w:fill="auto"/>
            <w:vAlign w:val="center"/>
          </w:tcPr>
          <w:p w14:paraId="1E5A2A05"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32</w:t>
            </w:r>
          </w:p>
        </w:tc>
        <w:tc>
          <w:tcPr>
            <w:tcW w:w="566" w:type="dxa"/>
            <w:tcBorders>
              <w:top w:val="nil"/>
              <w:left w:val="nil"/>
              <w:bottom w:val="single" w:sz="8" w:space="0" w:color="000000"/>
              <w:right w:val="single" w:sz="8" w:space="0" w:color="000000"/>
            </w:tcBorders>
            <w:shd w:val="clear" w:color="auto" w:fill="auto"/>
            <w:vAlign w:val="center"/>
          </w:tcPr>
          <w:p w14:paraId="040ACE8C"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8456"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23.691</w:t>
            </w:r>
          </w:p>
        </w:tc>
        <w:tc>
          <w:tcPr>
            <w:tcW w:w="616" w:type="dxa"/>
            <w:tcBorders>
              <w:top w:val="single" w:sz="4" w:space="0" w:color="000000"/>
              <w:left w:val="nil"/>
              <w:bottom w:val="single" w:sz="4" w:space="0" w:color="000000"/>
              <w:right w:val="single" w:sz="18" w:space="0" w:color="000000"/>
            </w:tcBorders>
            <w:shd w:val="clear" w:color="auto" w:fill="auto"/>
            <w:vAlign w:val="center"/>
          </w:tcPr>
          <w:p w14:paraId="4EBBA8EA"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0</w:t>
            </w:r>
          </w:p>
        </w:tc>
      </w:tr>
      <w:tr w:rsidR="001C658B" w14:paraId="07F1CACF" w14:textId="77777777" w:rsidTr="00044301">
        <w:trPr>
          <w:jc w:val="center"/>
        </w:trPr>
        <w:tc>
          <w:tcPr>
            <w:tcW w:w="2193" w:type="dxa"/>
            <w:tcBorders>
              <w:top w:val="single" w:sz="4" w:space="0" w:color="000000"/>
              <w:left w:val="single" w:sz="18" w:space="0" w:color="000000"/>
              <w:bottom w:val="single" w:sz="4" w:space="0" w:color="000000"/>
              <w:right w:val="single" w:sz="18" w:space="0" w:color="000000"/>
            </w:tcBorders>
            <w:vAlign w:val="center"/>
          </w:tcPr>
          <w:p w14:paraId="4C9F0148" w14:textId="1EA86587" w:rsidR="001C658B" w:rsidRPr="0065713F" w:rsidRDefault="0065713F" w:rsidP="00E929FC">
            <w:pPr>
              <w:jc w:val="center"/>
              <w:rPr>
                <w:lang w:val="sr-Cyrl-RS"/>
              </w:rPr>
            </w:pPr>
            <w:r>
              <w:rPr>
                <w:rFonts w:ascii="Times New Roman" w:eastAsia="Times New Roman" w:hAnsi="Times New Roman" w:cs="Times New Roman"/>
                <w:b/>
                <w:sz w:val="20"/>
                <w:szCs w:val="20"/>
                <w:lang w:val="sr-Cyrl-RS"/>
              </w:rPr>
              <w:t>Ј</w:t>
            </w:r>
            <w:r w:rsidR="001C658B">
              <w:rPr>
                <w:rFonts w:ascii="Times New Roman" w:eastAsia="Times New Roman" w:hAnsi="Times New Roman" w:cs="Times New Roman"/>
                <w:b/>
                <w:sz w:val="20"/>
                <w:szCs w:val="20"/>
              </w:rPr>
              <w:t>авна предузећа/привредна друштва</w:t>
            </w:r>
            <w:r>
              <w:rPr>
                <w:rFonts w:ascii="Times New Roman" w:eastAsia="Times New Roman" w:hAnsi="Times New Roman" w:cs="Times New Roman"/>
                <w:b/>
                <w:sz w:val="20"/>
                <w:szCs w:val="20"/>
                <w:lang w:val="sr-Cyrl-RS"/>
              </w:rPr>
              <w:t>-републички ниво</w:t>
            </w:r>
          </w:p>
        </w:tc>
        <w:tc>
          <w:tcPr>
            <w:tcW w:w="998" w:type="dxa"/>
            <w:tcBorders>
              <w:top w:val="single" w:sz="4" w:space="0" w:color="000000"/>
              <w:left w:val="single" w:sz="18" w:space="0" w:color="000000"/>
              <w:bottom w:val="single" w:sz="4" w:space="0" w:color="000000"/>
              <w:right w:val="single" w:sz="4" w:space="0" w:color="000000"/>
            </w:tcBorders>
            <w:vAlign w:val="center"/>
          </w:tcPr>
          <w:p w14:paraId="0B00F2EA"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163</w:t>
            </w:r>
          </w:p>
        </w:tc>
        <w:tc>
          <w:tcPr>
            <w:tcW w:w="626" w:type="dxa"/>
            <w:tcBorders>
              <w:top w:val="single" w:sz="4" w:space="0" w:color="000000"/>
              <w:left w:val="single" w:sz="4" w:space="0" w:color="000000"/>
              <w:bottom w:val="single" w:sz="4" w:space="0" w:color="000000"/>
              <w:right w:val="single" w:sz="4" w:space="0" w:color="000000"/>
            </w:tcBorders>
            <w:vAlign w:val="center"/>
          </w:tcPr>
          <w:p w14:paraId="3E73A09F"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16</w:t>
            </w:r>
          </w:p>
        </w:tc>
        <w:tc>
          <w:tcPr>
            <w:tcW w:w="1327" w:type="dxa"/>
            <w:tcBorders>
              <w:top w:val="single" w:sz="4" w:space="0" w:color="000000"/>
              <w:left w:val="single" w:sz="4" w:space="0" w:color="000000"/>
              <w:bottom w:val="single" w:sz="4" w:space="0" w:color="000000"/>
              <w:right w:val="single" w:sz="4" w:space="0" w:color="000000"/>
            </w:tcBorders>
            <w:vAlign w:val="center"/>
          </w:tcPr>
          <w:p w14:paraId="74E5D4A4"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lang w:val="sr-Latn-RS"/>
              </w:rPr>
              <w:t>3.391.158</w:t>
            </w:r>
          </w:p>
        </w:tc>
        <w:tc>
          <w:tcPr>
            <w:tcW w:w="626" w:type="dxa"/>
            <w:tcBorders>
              <w:top w:val="single" w:sz="4" w:space="0" w:color="000000"/>
              <w:left w:val="single" w:sz="4" w:space="0" w:color="000000"/>
              <w:bottom w:val="single" w:sz="4" w:space="0" w:color="000000"/>
              <w:right w:val="single" w:sz="18" w:space="0" w:color="000000"/>
            </w:tcBorders>
            <w:vAlign w:val="center"/>
          </w:tcPr>
          <w:p w14:paraId="301B9276"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58</w:t>
            </w:r>
          </w:p>
        </w:tc>
        <w:tc>
          <w:tcPr>
            <w:tcW w:w="1072" w:type="dxa"/>
            <w:tcBorders>
              <w:top w:val="single" w:sz="4" w:space="0" w:color="000000"/>
              <w:left w:val="nil"/>
              <w:bottom w:val="single" w:sz="4" w:space="0" w:color="000000"/>
              <w:right w:val="single" w:sz="4" w:space="0" w:color="000000"/>
            </w:tcBorders>
            <w:shd w:val="clear" w:color="auto" w:fill="auto"/>
            <w:vAlign w:val="center"/>
          </w:tcPr>
          <w:p w14:paraId="2CCE8E83"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211</w:t>
            </w:r>
          </w:p>
        </w:tc>
        <w:tc>
          <w:tcPr>
            <w:tcW w:w="566" w:type="dxa"/>
            <w:tcBorders>
              <w:top w:val="nil"/>
              <w:left w:val="nil"/>
              <w:bottom w:val="single" w:sz="8" w:space="0" w:color="000000"/>
              <w:right w:val="single" w:sz="8" w:space="0" w:color="000000"/>
            </w:tcBorders>
            <w:shd w:val="clear" w:color="auto" w:fill="auto"/>
            <w:vAlign w:val="center"/>
          </w:tcPr>
          <w:p w14:paraId="0B3E02AC"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21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9341C"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3.641.914</w:t>
            </w:r>
          </w:p>
        </w:tc>
        <w:tc>
          <w:tcPr>
            <w:tcW w:w="616" w:type="dxa"/>
            <w:tcBorders>
              <w:top w:val="single" w:sz="4" w:space="0" w:color="000000"/>
              <w:left w:val="nil"/>
              <w:bottom w:val="single" w:sz="4" w:space="0" w:color="000000"/>
              <w:right w:val="single" w:sz="18" w:space="0" w:color="000000"/>
            </w:tcBorders>
            <w:shd w:val="clear" w:color="auto" w:fill="auto"/>
            <w:vAlign w:val="center"/>
          </w:tcPr>
          <w:p w14:paraId="4750F5C8"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60</w:t>
            </w:r>
          </w:p>
        </w:tc>
      </w:tr>
      <w:tr w:rsidR="001C658B" w14:paraId="390F3A39" w14:textId="77777777" w:rsidTr="00044301">
        <w:trPr>
          <w:jc w:val="center"/>
        </w:trPr>
        <w:tc>
          <w:tcPr>
            <w:tcW w:w="2193" w:type="dxa"/>
            <w:tcBorders>
              <w:top w:val="single" w:sz="4" w:space="0" w:color="000000"/>
              <w:left w:val="single" w:sz="18" w:space="0" w:color="000000"/>
              <w:bottom w:val="single" w:sz="4" w:space="0" w:color="000000"/>
              <w:right w:val="single" w:sz="18" w:space="0" w:color="000000"/>
            </w:tcBorders>
            <w:vAlign w:val="center"/>
          </w:tcPr>
          <w:p w14:paraId="61FE0FCF" w14:textId="77777777" w:rsidR="001C658B" w:rsidRDefault="001C658B" w:rsidP="00E929FC">
            <w:pPr>
              <w:jc w:val="center"/>
            </w:pPr>
            <w:r>
              <w:rPr>
                <w:rFonts w:ascii="Times New Roman" w:eastAsia="Times New Roman" w:hAnsi="Times New Roman" w:cs="Times New Roman"/>
                <w:b/>
                <w:sz w:val="20"/>
                <w:szCs w:val="20"/>
              </w:rPr>
              <w:t>Јавна предузећа-локална самоуправа</w:t>
            </w:r>
          </w:p>
        </w:tc>
        <w:tc>
          <w:tcPr>
            <w:tcW w:w="998" w:type="dxa"/>
            <w:tcBorders>
              <w:top w:val="single" w:sz="4" w:space="0" w:color="000000"/>
              <w:left w:val="single" w:sz="18" w:space="0" w:color="000000"/>
              <w:bottom w:val="single" w:sz="4" w:space="0" w:color="000000"/>
              <w:right w:val="single" w:sz="4" w:space="0" w:color="000000"/>
            </w:tcBorders>
            <w:vAlign w:val="center"/>
          </w:tcPr>
          <w:p w14:paraId="6AB16345"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57</w:t>
            </w:r>
          </w:p>
        </w:tc>
        <w:tc>
          <w:tcPr>
            <w:tcW w:w="626" w:type="dxa"/>
            <w:tcBorders>
              <w:top w:val="single" w:sz="4" w:space="0" w:color="000000"/>
              <w:left w:val="single" w:sz="4" w:space="0" w:color="000000"/>
              <w:bottom w:val="single" w:sz="4" w:space="0" w:color="000000"/>
              <w:right w:val="single" w:sz="4" w:space="0" w:color="000000"/>
            </w:tcBorders>
            <w:vAlign w:val="center"/>
          </w:tcPr>
          <w:p w14:paraId="323A3D90"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6</w:t>
            </w:r>
          </w:p>
        </w:tc>
        <w:tc>
          <w:tcPr>
            <w:tcW w:w="1327" w:type="dxa"/>
            <w:tcBorders>
              <w:top w:val="single" w:sz="4" w:space="0" w:color="000000"/>
              <w:left w:val="single" w:sz="4" w:space="0" w:color="000000"/>
              <w:bottom w:val="single" w:sz="4" w:space="0" w:color="000000"/>
              <w:right w:val="single" w:sz="4" w:space="0" w:color="000000"/>
            </w:tcBorders>
            <w:vAlign w:val="center"/>
          </w:tcPr>
          <w:p w14:paraId="7F587B93"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lang w:val="sr-Latn-RS"/>
              </w:rPr>
              <w:t>140.118</w:t>
            </w:r>
          </w:p>
        </w:tc>
        <w:tc>
          <w:tcPr>
            <w:tcW w:w="626" w:type="dxa"/>
            <w:tcBorders>
              <w:top w:val="single" w:sz="4" w:space="0" w:color="000000"/>
              <w:left w:val="single" w:sz="4" w:space="0" w:color="000000"/>
              <w:bottom w:val="single" w:sz="4" w:space="0" w:color="000000"/>
              <w:right w:val="single" w:sz="18" w:space="0" w:color="000000"/>
            </w:tcBorders>
            <w:vAlign w:val="center"/>
          </w:tcPr>
          <w:p w14:paraId="0089B470"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2</w:t>
            </w:r>
          </w:p>
        </w:tc>
        <w:tc>
          <w:tcPr>
            <w:tcW w:w="1072" w:type="dxa"/>
            <w:tcBorders>
              <w:top w:val="single" w:sz="4" w:space="0" w:color="000000"/>
              <w:left w:val="nil"/>
              <w:bottom w:val="single" w:sz="4" w:space="0" w:color="000000"/>
              <w:right w:val="single" w:sz="4" w:space="0" w:color="000000"/>
            </w:tcBorders>
            <w:shd w:val="clear" w:color="auto" w:fill="auto"/>
            <w:vAlign w:val="center"/>
          </w:tcPr>
          <w:p w14:paraId="3DDBCDE2"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44</w:t>
            </w:r>
          </w:p>
        </w:tc>
        <w:tc>
          <w:tcPr>
            <w:tcW w:w="566" w:type="dxa"/>
            <w:tcBorders>
              <w:top w:val="nil"/>
              <w:left w:val="nil"/>
              <w:bottom w:val="single" w:sz="8" w:space="0" w:color="000000"/>
              <w:right w:val="single" w:sz="8" w:space="0" w:color="000000"/>
            </w:tcBorders>
            <w:shd w:val="clear" w:color="auto" w:fill="auto"/>
            <w:vAlign w:val="center"/>
          </w:tcPr>
          <w:p w14:paraId="34761C7D" w14:textId="77777777" w:rsidR="001C658B" w:rsidRPr="00044301" w:rsidRDefault="001C658B" w:rsidP="00E929FC">
            <w:pPr>
              <w:jc w:val="center"/>
              <w:rPr>
                <w:rFonts w:ascii="Times New Roman" w:hAnsi="Times New Roman" w:cs="Times New Roman"/>
                <w:sz w:val="20"/>
                <w:szCs w:val="20"/>
                <w:lang w:val="sr-Latn-RS"/>
              </w:rPr>
            </w:pPr>
            <w:r w:rsidRPr="00044301">
              <w:rPr>
                <w:rFonts w:ascii="Times New Roman" w:hAnsi="Times New Roman" w:cs="Times New Roman"/>
                <w:sz w:val="20"/>
                <w:szCs w:val="20"/>
                <w:lang w:val="sr-Latn-RS"/>
              </w:rPr>
              <w:t>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FADFE"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171.828</w:t>
            </w:r>
          </w:p>
        </w:tc>
        <w:tc>
          <w:tcPr>
            <w:tcW w:w="616" w:type="dxa"/>
            <w:tcBorders>
              <w:top w:val="single" w:sz="4" w:space="0" w:color="000000"/>
              <w:left w:val="nil"/>
              <w:bottom w:val="single" w:sz="4" w:space="0" w:color="000000"/>
              <w:right w:val="single" w:sz="18" w:space="0" w:color="000000"/>
            </w:tcBorders>
            <w:shd w:val="clear" w:color="auto" w:fill="auto"/>
            <w:vAlign w:val="center"/>
          </w:tcPr>
          <w:p w14:paraId="6A32C728"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3</w:t>
            </w:r>
          </w:p>
        </w:tc>
      </w:tr>
      <w:tr w:rsidR="001C658B" w14:paraId="3B15C4D4" w14:textId="77777777" w:rsidTr="00044301">
        <w:trPr>
          <w:jc w:val="center"/>
        </w:trPr>
        <w:tc>
          <w:tcPr>
            <w:tcW w:w="2193" w:type="dxa"/>
            <w:tcBorders>
              <w:top w:val="single" w:sz="4" w:space="0" w:color="000000"/>
              <w:left w:val="single" w:sz="18" w:space="0" w:color="000000"/>
              <w:bottom w:val="single" w:sz="4" w:space="0" w:color="000000"/>
              <w:right w:val="single" w:sz="18" w:space="0" w:color="000000"/>
            </w:tcBorders>
            <w:vAlign w:val="center"/>
          </w:tcPr>
          <w:p w14:paraId="18397DBE" w14:textId="77777777" w:rsidR="001C658B" w:rsidRDefault="001C658B" w:rsidP="00E929FC">
            <w:pPr>
              <w:jc w:val="center"/>
            </w:pPr>
            <w:r>
              <w:rPr>
                <w:rFonts w:ascii="Times New Roman" w:eastAsia="Times New Roman" w:hAnsi="Times New Roman" w:cs="Times New Roman"/>
                <w:b/>
                <w:sz w:val="20"/>
                <w:szCs w:val="20"/>
              </w:rPr>
              <w:t>Градска и општинска управа</w:t>
            </w:r>
          </w:p>
        </w:tc>
        <w:tc>
          <w:tcPr>
            <w:tcW w:w="998" w:type="dxa"/>
            <w:tcBorders>
              <w:top w:val="single" w:sz="4" w:space="0" w:color="000000"/>
              <w:left w:val="single" w:sz="18" w:space="0" w:color="000000"/>
              <w:bottom w:val="single" w:sz="4" w:space="0" w:color="000000"/>
              <w:right w:val="single" w:sz="4" w:space="0" w:color="000000"/>
            </w:tcBorders>
            <w:vAlign w:val="center"/>
          </w:tcPr>
          <w:p w14:paraId="70999E1D"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lang w:val="sr-Latn-RS"/>
              </w:rPr>
              <w:t>143</w:t>
            </w:r>
          </w:p>
        </w:tc>
        <w:tc>
          <w:tcPr>
            <w:tcW w:w="626" w:type="dxa"/>
            <w:tcBorders>
              <w:top w:val="single" w:sz="4" w:space="0" w:color="000000"/>
              <w:left w:val="single" w:sz="4" w:space="0" w:color="000000"/>
              <w:bottom w:val="single" w:sz="4" w:space="0" w:color="000000"/>
              <w:right w:val="single" w:sz="4" w:space="0" w:color="000000"/>
            </w:tcBorders>
            <w:vAlign w:val="center"/>
          </w:tcPr>
          <w:p w14:paraId="5053B24C"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14</w:t>
            </w:r>
          </w:p>
        </w:tc>
        <w:tc>
          <w:tcPr>
            <w:tcW w:w="1327" w:type="dxa"/>
            <w:tcBorders>
              <w:top w:val="single" w:sz="4" w:space="0" w:color="000000"/>
              <w:left w:val="single" w:sz="4" w:space="0" w:color="000000"/>
              <w:bottom w:val="single" w:sz="4" w:space="0" w:color="000000"/>
              <w:right w:val="single" w:sz="4" w:space="0" w:color="000000"/>
            </w:tcBorders>
            <w:vAlign w:val="center"/>
          </w:tcPr>
          <w:p w14:paraId="35EBFFE0"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lang w:val="sr-Latn-RS"/>
              </w:rPr>
              <w:t>222.998</w:t>
            </w:r>
          </w:p>
        </w:tc>
        <w:tc>
          <w:tcPr>
            <w:tcW w:w="626" w:type="dxa"/>
            <w:tcBorders>
              <w:top w:val="single" w:sz="4" w:space="0" w:color="000000"/>
              <w:left w:val="single" w:sz="4" w:space="0" w:color="000000"/>
              <w:bottom w:val="single" w:sz="4" w:space="0" w:color="000000"/>
              <w:right w:val="single" w:sz="18" w:space="0" w:color="000000"/>
            </w:tcBorders>
            <w:vAlign w:val="center"/>
          </w:tcPr>
          <w:p w14:paraId="39C40E4A"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4</w:t>
            </w:r>
          </w:p>
        </w:tc>
        <w:tc>
          <w:tcPr>
            <w:tcW w:w="1072" w:type="dxa"/>
            <w:tcBorders>
              <w:top w:val="single" w:sz="4" w:space="0" w:color="000000"/>
              <w:left w:val="nil"/>
              <w:bottom w:val="single" w:sz="4" w:space="0" w:color="000000"/>
              <w:right w:val="single" w:sz="4" w:space="0" w:color="000000"/>
            </w:tcBorders>
            <w:shd w:val="clear" w:color="auto" w:fill="auto"/>
            <w:vAlign w:val="center"/>
          </w:tcPr>
          <w:p w14:paraId="31650586"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171</w:t>
            </w:r>
          </w:p>
        </w:tc>
        <w:tc>
          <w:tcPr>
            <w:tcW w:w="566" w:type="dxa"/>
            <w:tcBorders>
              <w:top w:val="nil"/>
              <w:left w:val="nil"/>
              <w:bottom w:val="single" w:sz="8" w:space="0" w:color="000000"/>
              <w:right w:val="single" w:sz="8" w:space="0" w:color="000000"/>
            </w:tcBorders>
            <w:shd w:val="clear" w:color="auto" w:fill="auto"/>
            <w:vAlign w:val="center"/>
          </w:tcPr>
          <w:p w14:paraId="0B91BAF4"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17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DCAE0"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357.500</w:t>
            </w:r>
          </w:p>
        </w:tc>
        <w:tc>
          <w:tcPr>
            <w:tcW w:w="616" w:type="dxa"/>
            <w:tcBorders>
              <w:top w:val="single" w:sz="4" w:space="0" w:color="000000"/>
              <w:left w:val="nil"/>
              <w:bottom w:val="single" w:sz="4" w:space="0" w:color="000000"/>
              <w:right w:val="single" w:sz="18" w:space="0" w:color="000000"/>
            </w:tcBorders>
            <w:shd w:val="clear" w:color="auto" w:fill="auto"/>
            <w:vAlign w:val="center"/>
          </w:tcPr>
          <w:p w14:paraId="3C1CE1F8" w14:textId="6FCADA06" w:rsidR="001C658B" w:rsidRPr="00F44547" w:rsidRDefault="00F44547" w:rsidP="00E929FC">
            <w:pPr>
              <w:jc w:val="center"/>
              <w:rPr>
                <w:rFonts w:ascii="Times New Roman" w:hAnsi="Times New Roman" w:cs="Times New Roman"/>
                <w:sz w:val="20"/>
                <w:szCs w:val="20"/>
                <w:lang w:val="sr-Cyrl-RS"/>
              </w:rPr>
            </w:pPr>
            <w:r>
              <w:rPr>
                <w:rFonts w:ascii="Times New Roman" w:hAnsi="Times New Roman" w:cs="Times New Roman"/>
                <w:sz w:val="20"/>
                <w:szCs w:val="20"/>
                <w:lang w:val="sr-Cyrl-RS"/>
              </w:rPr>
              <w:t>5</w:t>
            </w:r>
          </w:p>
        </w:tc>
      </w:tr>
      <w:tr w:rsidR="001C658B" w14:paraId="294A0CEC" w14:textId="77777777" w:rsidTr="00044301">
        <w:trPr>
          <w:jc w:val="center"/>
        </w:trPr>
        <w:tc>
          <w:tcPr>
            <w:tcW w:w="2193" w:type="dxa"/>
            <w:tcBorders>
              <w:top w:val="single" w:sz="4" w:space="0" w:color="000000"/>
              <w:left w:val="single" w:sz="18" w:space="0" w:color="000000"/>
              <w:bottom w:val="single" w:sz="4" w:space="0" w:color="000000"/>
              <w:right w:val="single" w:sz="18" w:space="0" w:color="000000"/>
            </w:tcBorders>
            <w:vAlign w:val="center"/>
          </w:tcPr>
          <w:p w14:paraId="4D2CDBC5" w14:textId="77777777" w:rsidR="001C658B" w:rsidRDefault="001C658B" w:rsidP="00E929FC">
            <w:pPr>
              <w:jc w:val="center"/>
            </w:pPr>
            <w:r>
              <w:rPr>
                <w:rFonts w:ascii="Times New Roman" w:eastAsia="Times New Roman" w:hAnsi="Times New Roman" w:cs="Times New Roman"/>
                <w:b/>
                <w:sz w:val="20"/>
                <w:szCs w:val="20"/>
              </w:rPr>
              <w:t>Удружења</w:t>
            </w:r>
          </w:p>
        </w:tc>
        <w:tc>
          <w:tcPr>
            <w:tcW w:w="998" w:type="dxa"/>
            <w:tcBorders>
              <w:top w:val="single" w:sz="4" w:space="0" w:color="000000"/>
              <w:left w:val="single" w:sz="18" w:space="0" w:color="000000"/>
              <w:bottom w:val="single" w:sz="4" w:space="0" w:color="000000"/>
              <w:right w:val="single" w:sz="4" w:space="0" w:color="000000"/>
            </w:tcBorders>
            <w:vAlign w:val="center"/>
          </w:tcPr>
          <w:p w14:paraId="4CF7FDD7"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lang w:val="sr-Latn-RS"/>
              </w:rPr>
              <w:t>0</w:t>
            </w:r>
          </w:p>
        </w:tc>
        <w:tc>
          <w:tcPr>
            <w:tcW w:w="626" w:type="dxa"/>
            <w:tcBorders>
              <w:top w:val="single" w:sz="4" w:space="0" w:color="000000"/>
              <w:left w:val="single" w:sz="4" w:space="0" w:color="000000"/>
              <w:bottom w:val="single" w:sz="4" w:space="0" w:color="000000"/>
              <w:right w:val="single" w:sz="4" w:space="0" w:color="000000"/>
            </w:tcBorders>
            <w:vAlign w:val="center"/>
          </w:tcPr>
          <w:p w14:paraId="60D202CF"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0</w:t>
            </w:r>
          </w:p>
        </w:tc>
        <w:tc>
          <w:tcPr>
            <w:tcW w:w="1327" w:type="dxa"/>
            <w:tcBorders>
              <w:top w:val="single" w:sz="4" w:space="0" w:color="000000"/>
              <w:left w:val="single" w:sz="4" w:space="0" w:color="000000"/>
              <w:bottom w:val="single" w:sz="4" w:space="0" w:color="000000"/>
              <w:right w:val="single" w:sz="4" w:space="0" w:color="000000"/>
            </w:tcBorders>
            <w:vAlign w:val="center"/>
          </w:tcPr>
          <w:p w14:paraId="73C2BA01"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lang w:val="sr-Latn-RS"/>
              </w:rPr>
              <w:t>0</w:t>
            </w:r>
          </w:p>
        </w:tc>
        <w:tc>
          <w:tcPr>
            <w:tcW w:w="626" w:type="dxa"/>
            <w:tcBorders>
              <w:top w:val="single" w:sz="4" w:space="0" w:color="000000"/>
              <w:left w:val="single" w:sz="4" w:space="0" w:color="000000"/>
              <w:bottom w:val="single" w:sz="4" w:space="0" w:color="000000"/>
              <w:right w:val="single" w:sz="18" w:space="0" w:color="000000"/>
            </w:tcBorders>
            <w:vAlign w:val="center"/>
          </w:tcPr>
          <w:p w14:paraId="1066AD68"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0</w:t>
            </w:r>
          </w:p>
        </w:tc>
        <w:tc>
          <w:tcPr>
            <w:tcW w:w="1072" w:type="dxa"/>
            <w:tcBorders>
              <w:top w:val="single" w:sz="4" w:space="0" w:color="000000"/>
              <w:left w:val="nil"/>
              <w:bottom w:val="single" w:sz="4" w:space="0" w:color="000000"/>
              <w:right w:val="single" w:sz="4" w:space="0" w:color="000000"/>
            </w:tcBorders>
            <w:shd w:val="clear" w:color="auto" w:fill="auto"/>
            <w:vAlign w:val="center"/>
          </w:tcPr>
          <w:p w14:paraId="4E1717C4"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1</w:t>
            </w:r>
          </w:p>
        </w:tc>
        <w:tc>
          <w:tcPr>
            <w:tcW w:w="566" w:type="dxa"/>
            <w:tcBorders>
              <w:top w:val="nil"/>
              <w:left w:val="nil"/>
              <w:bottom w:val="single" w:sz="8" w:space="0" w:color="000000"/>
              <w:right w:val="single" w:sz="8" w:space="0" w:color="000000"/>
            </w:tcBorders>
            <w:shd w:val="clear" w:color="auto" w:fill="auto"/>
            <w:vAlign w:val="center"/>
          </w:tcPr>
          <w:p w14:paraId="66F7A1C1"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4400"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8.983</w:t>
            </w:r>
          </w:p>
        </w:tc>
        <w:tc>
          <w:tcPr>
            <w:tcW w:w="616" w:type="dxa"/>
            <w:tcBorders>
              <w:top w:val="single" w:sz="4" w:space="0" w:color="000000"/>
              <w:left w:val="nil"/>
              <w:bottom w:val="single" w:sz="4" w:space="0" w:color="000000"/>
              <w:right w:val="single" w:sz="18" w:space="0" w:color="000000"/>
            </w:tcBorders>
            <w:shd w:val="clear" w:color="auto" w:fill="auto"/>
            <w:vAlign w:val="center"/>
          </w:tcPr>
          <w:p w14:paraId="760E9A80"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0</w:t>
            </w:r>
          </w:p>
        </w:tc>
      </w:tr>
      <w:tr w:rsidR="001C658B" w14:paraId="76DD9384" w14:textId="77777777" w:rsidTr="00044301">
        <w:trPr>
          <w:jc w:val="center"/>
        </w:trPr>
        <w:tc>
          <w:tcPr>
            <w:tcW w:w="2193" w:type="dxa"/>
            <w:tcBorders>
              <w:top w:val="single" w:sz="4" w:space="0" w:color="000000"/>
              <w:left w:val="single" w:sz="18" w:space="0" w:color="000000"/>
              <w:bottom w:val="single" w:sz="18" w:space="0" w:color="000000"/>
              <w:right w:val="single" w:sz="18" w:space="0" w:color="000000"/>
            </w:tcBorders>
            <w:vAlign w:val="center"/>
          </w:tcPr>
          <w:p w14:paraId="18DE8D48" w14:textId="77777777" w:rsidR="001C658B" w:rsidRDefault="001C658B" w:rsidP="00E929FC">
            <w:pPr>
              <w:jc w:val="center"/>
            </w:pPr>
            <w:r>
              <w:rPr>
                <w:rFonts w:ascii="Times New Roman" w:eastAsia="Times New Roman" w:hAnsi="Times New Roman" w:cs="Times New Roman"/>
                <w:b/>
                <w:sz w:val="20"/>
                <w:szCs w:val="20"/>
              </w:rPr>
              <w:t>Фондације и задужбине</w:t>
            </w:r>
          </w:p>
        </w:tc>
        <w:tc>
          <w:tcPr>
            <w:tcW w:w="998" w:type="dxa"/>
            <w:tcBorders>
              <w:top w:val="single" w:sz="4" w:space="0" w:color="000000"/>
              <w:left w:val="single" w:sz="18" w:space="0" w:color="000000"/>
              <w:bottom w:val="single" w:sz="18" w:space="0" w:color="000000"/>
              <w:right w:val="single" w:sz="4" w:space="0" w:color="000000"/>
            </w:tcBorders>
            <w:vAlign w:val="center"/>
          </w:tcPr>
          <w:p w14:paraId="2CDECAF0"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lang w:val="sr-Latn-RS"/>
              </w:rPr>
              <w:t>0</w:t>
            </w:r>
          </w:p>
        </w:tc>
        <w:tc>
          <w:tcPr>
            <w:tcW w:w="626" w:type="dxa"/>
            <w:tcBorders>
              <w:top w:val="single" w:sz="4" w:space="0" w:color="000000"/>
              <w:left w:val="single" w:sz="4" w:space="0" w:color="000000"/>
              <w:bottom w:val="single" w:sz="18" w:space="0" w:color="000000"/>
              <w:right w:val="single" w:sz="4" w:space="0" w:color="000000"/>
            </w:tcBorders>
            <w:vAlign w:val="center"/>
          </w:tcPr>
          <w:p w14:paraId="7A1C3379"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0</w:t>
            </w:r>
          </w:p>
        </w:tc>
        <w:tc>
          <w:tcPr>
            <w:tcW w:w="1327" w:type="dxa"/>
            <w:tcBorders>
              <w:top w:val="single" w:sz="4" w:space="0" w:color="000000"/>
              <w:left w:val="single" w:sz="4" w:space="0" w:color="000000"/>
              <w:bottom w:val="single" w:sz="18" w:space="0" w:color="000000"/>
              <w:right w:val="single" w:sz="4" w:space="0" w:color="000000"/>
            </w:tcBorders>
            <w:vAlign w:val="center"/>
          </w:tcPr>
          <w:p w14:paraId="26EFA471"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lang w:val="sr-Latn-RS"/>
              </w:rPr>
              <w:t>0</w:t>
            </w:r>
          </w:p>
        </w:tc>
        <w:tc>
          <w:tcPr>
            <w:tcW w:w="626" w:type="dxa"/>
            <w:tcBorders>
              <w:top w:val="single" w:sz="4" w:space="0" w:color="000000"/>
              <w:left w:val="single" w:sz="4" w:space="0" w:color="000000"/>
              <w:bottom w:val="single" w:sz="18" w:space="0" w:color="000000"/>
              <w:right w:val="single" w:sz="18" w:space="0" w:color="000000"/>
            </w:tcBorders>
            <w:vAlign w:val="center"/>
          </w:tcPr>
          <w:p w14:paraId="528443B7"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0</w:t>
            </w:r>
          </w:p>
        </w:tc>
        <w:tc>
          <w:tcPr>
            <w:tcW w:w="1072" w:type="dxa"/>
            <w:tcBorders>
              <w:top w:val="single" w:sz="4" w:space="0" w:color="000000"/>
              <w:left w:val="nil"/>
              <w:bottom w:val="single" w:sz="18" w:space="0" w:color="000000"/>
              <w:right w:val="single" w:sz="4" w:space="0" w:color="000000"/>
            </w:tcBorders>
            <w:shd w:val="clear" w:color="auto" w:fill="auto"/>
            <w:vAlign w:val="center"/>
          </w:tcPr>
          <w:p w14:paraId="372693F4"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0</w:t>
            </w:r>
          </w:p>
        </w:tc>
        <w:tc>
          <w:tcPr>
            <w:tcW w:w="566" w:type="dxa"/>
            <w:tcBorders>
              <w:top w:val="nil"/>
              <w:left w:val="nil"/>
              <w:bottom w:val="single" w:sz="18" w:space="0" w:color="000000"/>
              <w:right w:val="single" w:sz="8" w:space="0" w:color="000000"/>
            </w:tcBorders>
            <w:shd w:val="clear" w:color="auto" w:fill="auto"/>
            <w:vAlign w:val="center"/>
          </w:tcPr>
          <w:p w14:paraId="5E06D4A0"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0</w:t>
            </w:r>
          </w:p>
        </w:tc>
        <w:tc>
          <w:tcPr>
            <w:tcW w:w="126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4717E7EC" w14:textId="77777777" w:rsidR="001C658B" w:rsidRPr="00044301" w:rsidRDefault="001C658B" w:rsidP="00E929FC">
            <w:pPr>
              <w:jc w:val="center"/>
              <w:rPr>
                <w:rFonts w:ascii="Times New Roman" w:eastAsia="Times New Roman" w:hAnsi="Times New Roman" w:cs="Times New Roman"/>
                <w:sz w:val="20"/>
                <w:szCs w:val="20"/>
                <w:lang w:val="sr-Latn-RS"/>
              </w:rPr>
            </w:pPr>
            <w:r w:rsidRPr="00044301">
              <w:rPr>
                <w:rFonts w:ascii="Times New Roman" w:eastAsia="Times New Roman" w:hAnsi="Times New Roman" w:cs="Times New Roman"/>
                <w:sz w:val="20"/>
                <w:szCs w:val="20"/>
                <w:lang w:val="sr-Latn-RS"/>
              </w:rPr>
              <w:t>0</w:t>
            </w:r>
          </w:p>
        </w:tc>
        <w:tc>
          <w:tcPr>
            <w:tcW w:w="616" w:type="dxa"/>
            <w:tcBorders>
              <w:top w:val="single" w:sz="4" w:space="0" w:color="000000"/>
              <w:left w:val="nil"/>
              <w:bottom w:val="single" w:sz="18" w:space="0" w:color="000000"/>
              <w:right w:val="single" w:sz="18" w:space="0" w:color="000000"/>
            </w:tcBorders>
            <w:shd w:val="clear" w:color="auto" w:fill="auto"/>
            <w:vAlign w:val="center"/>
          </w:tcPr>
          <w:p w14:paraId="7B2934DA" w14:textId="77777777" w:rsidR="001C658B" w:rsidRPr="00044301" w:rsidRDefault="001C658B" w:rsidP="00E929FC">
            <w:pPr>
              <w:jc w:val="center"/>
              <w:rPr>
                <w:rFonts w:ascii="Times New Roman" w:hAnsi="Times New Roman" w:cs="Times New Roman"/>
                <w:sz w:val="20"/>
                <w:szCs w:val="20"/>
              </w:rPr>
            </w:pPr>
            <w:r w:rsidRPr="00044301">
              <w:rPr>
                <w:rFonts w:ascii="Times New Roman" w:hAnsi="Times New Roman" w:cs="Times New Roman"/>
                <w:sz w:val="20"/>
                <w:szCs w:val="20"/>
              </w:rPr>
              <w:t>0</w:t>
            </w:r>
          </w:p>
        </w:tc>
      </w:tr>
      <w:tr w:rsidR="001C658B" w14:paraId="474D8BC2" w14:textId="77777777" w:rsidTr="00EC238F">
        <w:trPr>
          <w:jc w:val="center"/>
        </w:trPr>
        <w:tc>
          <w:tcPr>
            <w:tcW w:w="2193" w:type="dxa"/>
            <w:tcBorders>
              <w:top w:val="single" w:sz="18" w:space="0" w:color="000000"/>
              <w:left w:val="single" w:sz="18" w:space="0" w:color="000000"/>
              <w:bottom w:val="single" w:sz="18" w:space="0" w:color="000000"/>
              <w:right w:val="single" w:sz="18" w:space="0" w:color="000000"/>
            </w:tcBorders>
            <w:vAlign w:val="center"/>
          </w:tcPr>
          <w:p w14:paraId="2D7126C4" w14:textId="77777777" w:rsidR="001C658B" w:rsidRDefault="001C658B" w:rsidP="00E929FC">
            <w:pPr>
              <w:jc w:val="center"/>
            </w:pPr>
            <w:r>
              <w:rPr>
                <w:rFonts w:ascii="Times New Roman" w:eastAsia="Times New Roman" w:hAnsi="Times New Roman" w:cs="Times New Roman"/>
                <w:b/>
                <w:sz w:val="20"/>
                <w:szCs w:val="20"/>
              </w:rPr>
              <w:t>Укупно</w:t>
            </w:r>
          </w:p>
        </w:tc>
        <w:tc>
          <w:tcPr>
            <w:tcW w:w="998" w:type="dxa"/>
            <w:tcBorders>
              <w:top w:val="single" w:sz="18" w:space="0" w:color="000000"/>
              <w:left w:val="single" w:sz="18" w:space="0" w:color="000000"/>
              <w:bottom w:val="single" w:sz="18" w:space="0" w:color="000000"/>
              <w:right w:val="single" w:sz="12" w:space="0" w:color="auto"/>
            </w:tcBorders>
            <w:vAlign w:val="center"/>
          </w:tcPr>
          <w:p w14:paraId="68E8F1C3" w14:textId="77777777" w:rsidR="001C658B" w:rsidRDefault="001C658B" w:rsidP="00E9770C">
            <w:pPr>
              <w:jc w:val="center"/>
            </w:pPr>
            <w:r w:rsidRPr="005F361E">
              <w:rPr>
                <w:rFonts w:ascii="Times New Roman" w:hAnsi="Times New Roman" w:cs="Times New Roman"/>
                <w:b/>
                <w:sz w:val="20"/>
                <w:szCs w:val="20"/>
                <w:lang w:val="sr-Latn-RS"/>
              </w:rPr>
              <w:t>1.020</w:t>
            </w:r>
          </w:p>
        </w:tc>
        <w:tc>
          <w:tcPr>
            <w:tcW w:w="626" w:type="dxa"/>
            <w:tcBorders>
              <w:top w:val="single" w:sz="18" w:space="0" w:color="000000"/>
              <w:left w:val="single" w:sz="12" w:space="0" w:color="auto"/>
              <w:bottom w:val="single" w:sz="18" w:space="0" w:color="000000"/>
              <w:right w:val="single" w:sz="12" w:space="0" w:color="auto"/>
            </w:tcBorders>
            <w:vAlign w:val="center"/>
          </w:tcPr>
          <w:p w14:paraId="4B8FA765" w14:textId="77777777" w:rsidR="001C658B" w:rsidRDefault="001C658B" w:rsidP="00E9770C">
            <w:pPr>
              <w:jc w:val="center"/>
            </w:pPr>
            <w:r w:rsidRPr="005F361E">
              <w:rPr>
                <w:rFonts w:ascii="Times New Roman" w:hAnsi="Times New Roman" w:cs="Times New Roman"/>
                <w:b/>
                <w:sz w:val="20"/>
                <w:szCs w:val="20"/>
                <w:lang w:val="sr-Latn-RS"/>
              </w:rPr>
              <w:t>100</w:t>
            </w:r>
          </w:p>
        </w:tc>
        <w:tc>
          <w:tcPr>
            <w:tcW w:w="1327" w:type="dxa"/>
            <w:tcBorders>
              <w:top w:val="single" w:sz="18" w:space="0" w:color="000000"/>
              <w:left w:val="single" w:sz="12" w:space="0" w:color="auto"/>
              <w:bottom w:val="single" w:sz="18" w:space="0" w:color="000000"/>
              <w:right w:val="single" w:sz="12" w:space="0" w:color="auto"/>
            </w:tcBorders>
            <w:vAlign w:val="center"/>
          </w:tcPr>
          <w:p w14:paraId="6115BA8F" w14:textId="77777777" w:rsidR="001C658B" w:rsidRDefault="001C658B" w:rsidP="00E9770C">
            <w:pPr>
              <w:jc w:val="center"/>
            </w:pPr>
            <w:r w:rsidRPr="005F361E">
              <w:rPr>
                <w:rFonts w:ascii="Times New Roman" w:hAnsi="Times New Roman" w:cs="Times New Roman"/>
                <w:b/>
                <w:sz w:val="20"/>
                <w:szCs w:val="20"/>
                <w:lang w:val="sr-Latn-RS"/>
              </w:rPr>
              <w:t>5.805.316</w:t>
            </w:r>
          </w:p>
        </w:tc>
        <w:tc>
          <w:tcPr>
            <w:tcW w:w="626" w:type="dxa"/>
            <w:tcBorders>
              <w:top w:val="single" w:sz="18" w:space="0" w:color="000000"/>
              <w:left w:val="single" w:sz="12" w:space="0" w:color="auto"/>
              <w:bottom w:val="single" w:sz="18" w:space="0" w:color="000000"/>
              <w:right w:val="single" w:sz="18" w:space="0" w:color="000000"/>
            </w:tcBorders>
            <w:vAlign w:val="center"/>
          </w:tcPr>
          <w:p w14:paraId="19A2FD3B" w14:textId="77777777" w:rsidR="001C658B" w:rsidRDefault="001C658B" w:rsidP="00E9770C">
            <w:pPr>
              <w:jc w:val="center"/>
            </w:pPr>
            <w:r w:rsidRPr="005F361E">
              <w:rPr>
                <w:rFonts w:ascii="Times New Roman" w:hAnsi="Times New Roman" w:cs="Times New Roman"/>
                <w:b/>
                <w:sz w:val="20"/>
                <w:szCs w:val="20"/>
                <w:lang w:val="sr-Latn-RS"/>
              </w:rPr>
              <w:t>100</w:t>
            </w:r>
          </w:p>
        </w:tc>
        <w:tc>
          <w:tcPr>
            <w:tcW w:w="1072" w:type="dxa"/>
            <w:tcBorders>
              <w:top w:val="single" w:sz="18" w:space="0" w:color="000000"/>
              <w:left w:val="single" w:sz="18" w:space="0" w:color="000000"/>
              <w:bottom w:val="single" w:sz="18" w:space="0" w:color="000000"/>
              <w:right w:val="single" w:sz="12" w:space="0" w:color="000000"/>
            </w:tcBorders>
            <w:shd w:val="clear" w:color="auto" w:fill="auto"/>
            <w:vAlign w:val="center"/>
          </w:tcPr>
          <w:p w14:paraId="1CD98EE3" w14:textId="77777777" w:rsidR="001C658B" w:rsidRPr="000F18FB" w:rsidRDefault="001C658B" w:rsidP="00E9770C">
            <w:pPr>
              <w:jc w:val="center"/>
              <w:rPr>
                <w:rFonts w:ascii="Times New Roman" w:eastAsia="Times New Roman" w:hAnsi="Times New Roman" w:cs="Times New Roman"/>
                <w:b/>
                <w:sz w:val="20"/>
                <w:szCs w:val="20"/>
                <w:lang w:val="sr-Latn-RS"/>
              </w:rPr>
            </w:pPr>
            <w:r>
              <w:rPr>
                <w:rFonts w:ascii="Times New Roman" w:eastAsia="Times New Roman" w:hAnsi="Times New Roman" w:cs="Times New Roman"/>
                <w:b/>
                <w:sz w:val="20"/>
                <w:szCs w:val="20"/>
                <w:lang w:val="sr-Latn-RS"/>
              </w:rPr>
              <w:t>994</w:t>
            </w:r>
          </w:p>
        </w:tc>
        <w:tc>
          <w:tcPr>
            <w:tcW w:w="566" w:type="dxa"/>
            <w:tcBorders>
              <w:top w:val="single" w:sz="18" w:space="0" w:color="000000"/>
              <w:left w:val="nil"/>
              <w:bottom w:val="single" w:sz="18" w:space="0" w:color="000000"/>
              <w:right w:val="single" w:sz="8" w:space="0" w:color="000000"/>
            </w:tcBorders>
            <w:shd w:val="clear" w:color="auto" w:fill="auto"/>
            <w:vAlign w:val="center"/>
          </w:tcPr>
          <w:p w14:paraId="614B54C2" w14:textId="77777777" w:rsidR="001C658B" w:rsidRPr="00AD39E0" w:rsidRDefault="001C658B" w:rsidP="00E9770C">
            <w:pPr>
              <w:jc w:val="center"/>
              <w:rPr>
                <w:rFonts w:ascii="Times New Roman" w:hAnsi="Times New Roman" w:cs="Times New Roman"/>
                <w:b/>
                <w:sz w:val="20"/>
                <w:szCs w:val="20"/>
              </w:rPr>
            </w:pPr>
            <w:r w:rsidRPr="00AD39E0">
              <w:rPr>
                <w:rFonts w:ascii="Times New Roman" w:hAnsi="Times New Roman" w:cs="Times New Roman"/>
                <w:b/>
                <w:sz w:val="20"/>
                <w:szCs w:val="20"/>
              </w:rPr>
              <w:t>100</w:t>
            </w:r>
          </w:p>
        </w:tc>
        <w:tc>
          <w:tcPr>
            <w:tcW w:w="1267" w:type="dxa"/>
            <w:tcBorders>
              <w:top w:val="single" w:sz="18" w:space="0" w:color="000000"/>
              <w:left w:val="single" w:sz="12" w:space="0" w:color="000000"/>
              <w:bottom w:val="single" w:sz="18" w:space="0" w:color="000000"/>
              <w:right w:val="single" w:sz="12" w:space="0" w:color="000000"/>
            </w:tcBorders>
            <w:shd w:val="clear" w:color="auto" w:fill="auto"/>
            <w:vAlign w:val="center"/>
          </w:tcPr>
          <w:p w14:paraId="21FF7C75" w14:textId="77777777" w:rsidR="001C658B" w:rsidRPr="000F18FB" w:rsidRDefault="001C658B" w:rsidP="00E9770C">
            <w:pPr>
              <w:jc w:val="center"/>
              <w:rPr>
                <w:rFonts w:ascii="Times New Roman" w:eastAsia="Times New Roman" w:hAnsi="Times New Roman" w:cs="Times New Roman"/>
                <w:b/>
                <w:sz w:val="20"/>
                <w:szCs w:val="20"/>
                <w:lang w:val="sr-Latn-RS"/>
              </w:rPr>
            </w:pPr>
            <w:r>
              <w:rPr>
                <w:rFonts w:ascii="Times New Roman" w:eastAsia="Times New Roman" w:hAnsi="Times New Roman" w:cs="Times New Roman"/>
                <w:b/>
                <w:sz w:val="20"/>
                <w:szCs w:val="20"/>
                <w:lang w:val="sr-Latn-RS"/>
              </w:rPr>
              <w:t>6.111.643</w:t>
            </w:r>
          </w:p>
        </w:tc>
        <w:tc>
          <w:tcPr>
            <w:tcW w:w="616" w:type="dxa"/>
            <w:tcBorders>
              <w:top w:val="single" w:sz="18" w:space="0" w:color="000000"/>
              <w:left w:val="nil"/>
              <w:bottom w:val="single" w:sz="18" w:space="0" w:color="000000"/>
              <w:right w:val="single" w:sz="18" w:space="0" w:color="000000"/>
            </w:tcBorders>
            <w:shd w:val="clear" w:color="auto" w:fill="auto"/>
            <w:vAlign w:val="center"/>
          </w:tcPr>
          <w:p w14:paraId="61565025" w14:textId="77777777" w:rsidR="001C658B" w:rsidRPr="00AD39E0" w:rsidRDefault="001C658B" w:rsidP="00E9770C">
            <w:pPr>
              <w:jc w:val="center"/>
              <w:rPr>
                <w:rFonts w:ascii="Times New Roman" w:hAnsi="Times New Roman" w:cs="Times New Roman"/>
                <w:b/>
                <w:sz w:val="20"/>
                <w:szCs w:val="20"/>
              </w:rPr>
            </w:pPr>
            <w:r w:rsidRPr="00AD39E0">
              <w:rPr>
                <w:rFonts w:ascii="Times New Roman" w:hAnsi="Times New Roman" w:cs="Times New Roman"/>
                <w:b/>
                <w:sz w:val="20"/>
                <w:szCs w:val="20"/>
              </w:rPr>
              <w:t>100</w:t>
            </w:r>
          </w:p>
        </w:tc>
      </w:tr>
    </w:tbl>
    <w:p w14:paraId="04F77609" w14:textId="77777777" w:rsidR="0081466B" w:rsidRPr="00D62BCA" w:rsidRDefault="00044301" w:rsidP="00D62BCA">
      <w:pPr>
        <w:ind w:hanging="284"/>
        <w:jc w:val="both"/>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lang w:val="en-GB"/>
        </w:rPr>
        <w:t xml:space="preserve">   </w:t>
      </w:r>
      <w:r w:rsidR="00D62BCA">
        <w:rPr>
          <w:rFonts w:ascii="Times New Roman" w:eastAsia="Times New Roman" w:hAnsi="Times New Roman" w:cs="Times New Roman"/>
        </w:rPr>
        <w:t>*Вредности су изражене у хиљадама динара</w:t>
      </w:r>
      <w:r w:rsidR="004F0DED">
        <w:rPr>
          <w:rFonts w:ascii="Times New Roman" w:eastAsia="Times New Roman" w:hAnsi="Times New Roman" w:cs="Times New Roman"/>
        </w:rPr>
        <w:t xml:space="preserve">           </w:t>
      </w:r>
    </w:p>
    <w:p w14:paraId="2477E19B" w14:textId="09CAE503" w:rsidR="00F92971" w:rsidRPr="00506D37" w:rsidRDefault="00506D37" w:rsidP="00F92971">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Доминантни основ за спровођење преговарачко</w:t>
      </w:r>
      <w:r w:rsidR="00EC238F">
        <w:rPr>
          <w:rFonts w:ascii="Times New Roman" w:eastAsia="Times New Roman" w:hAnsi="Times New Roman" w:cs="Times New Roman"/>
          <w:sz w:val="24"/>
          <w:szCs w:val="24"/>
        </w:rPr>
        <w:t>г поступка у првој половини 2019</w:t>
      </w:r>
      <w:r>
        <w:rPr>
          <w:rFonts w:ascii="Times New Roman" w:eastAsia="Times New Roman" w:hAnsi="Times New Roman" w:cs="Times New Roman"/>
          <w:sz w:val="24"/>
          <w:szCs w:val="24"/>
        </w:rPr>
        <w:t>. години било је ”</w:t>
      </w:r>
      <w:r w:rsidR="004F0DED">
        <w:rPr>
          <w:rFonts w:ascii="Times New Roman" w:eastAsia="Times New Roman" w:hAnsi="Times New Roman" w:cs="Times New Roman"/>
          <w:sz w:val="24"/>
          <w:szCs w:val="24"/>
        </w:rPr>
        <w:t>преговарање са тачно одређеним понуђачем</w:t>
      </w:r>
      <w:r w:rsidR="009F0DEC">
        <w:rPr>
          <w:rFonts w:ascii="Times New Roman" w:eastAsia="Times New Roman" w:hAnsi="Times New Roman" w:cs="Times New Roman"/>
          <w:sz w:val="24"/>
          <w:szCs w:val="24"/>
        </w:rPr>
        <w:t>”.</w:t>
      </w:r>
      <w:r w:rsidR="004F0DED">
        <w:rPr>
          <w:rFonts w:ascii="Times New Roman" w:eastAsia="Times New Roman" w:hAnsi="Times New Roman" w:cs="Times New Roman"/>
          <w:sz w:val="24"/>
          <w:szCs w:val="24"/>
        </w:rPr>
        <w:t xml:space="preserve"> </w:t>
      </w:r>
      <w:r w:rsidR="00EC238F">
        <w:rPr>
          <w:rFonts w:ascii="Times New Roman" w:eastAsia="Times New Roman" w:hAnsi="Times New Roman" w:cs="Times New Roman"/>
          <w:sz w:val="24"/>
          <w:szCs w:val="24"/>
          <w:lang w:val="sr-Cyrl-CS"/>
        </w:rPr>
        <w:t>Овај  основ чинио је 87</w:t>
      </w:r>
      <w:r w:rsidR="00F92971">
        <w:rPr>
          <w:rFonts w:ascii="Times New Roman" w:eastAsia="Times New Roman" w:hAnsi="Times New Roman" w:cs="Times New Roman"/>
          <w:sz w:val="24"/>
          <w:szCs w:val="24"/>
          <w:lang w:val="sr-Cyrl-CS"/>
        </w:rPr>
        <w:t xml:space="preserve">% вредности уговора </w:t>
      </w:r>
      <w:r w:rsidR="00FD03A2">
        <w:rPr>
          <w:rFonts w:ascii="Times New Roman" w:eastAsia="Times New Roman" w:hAnsi="Times New Roman" w:cs="Times New Roman"/>
          <w:sz w:val="24"/>
          <w:szCs w:val="24"/>
          <w:lang w:val="sr-Cyrl-CS"/>
        </w:rPr>
        <w:t>закључен</w:t>
      </w:r>
      <w:r w:rsidR="00FE66F7">
        <w:rPr>
          <w:rFonts w:ascii="Times New Roman" w:eastAsia="Times New Roman" w:hAnsi="Times New Roman" w:cs="Times New Roman"/>
          <w:sz w:val="24"/>
          <w:szCs w:val="24"/>
          <w:lang w:val="sr-Cyrl-CS"/>
        </w:rPr>
        <w:t>их у преговарачком поступ</w:t>
      </w:r>
      <w:r w:rsidR="00FE66F7">
        <w:rPr>
          <w:rFonts w:ascii="Times New Roman" w:eastAsia="Times New Roman" w:hAnsi="Times New Roman" w:cs="Times New Roman"/>
          <w:sz w:val="24"/>
          <w:szCs w:val="24"/>
          <w:lang w:val="sr-Cyrl-RS"/>
        </w:rPr>
        <w:t>к</w:t>
      </w:r>
      <w:r w:rsidR="00F92971">
        <w:rPr>
          <w:rFonts w:ascii="Times New Roman" w:eastAsia="Times New Roman" w:hAnsi="Times New Roman" w:cs="Times New Roman"/>
          <w:sz w:val="24"/>
          <w:szCs w:val="24"/>
          <w:lang w:val="sr-Cyrl-CS"/>
        </w:rPr>
        <w:t>у без објављивања позива за подношење понуда.</w:t>
      </w:r>
      <w:r w:rsidR="00EF2FA0">
        <w:rPr>
          <w:rFonts w:ascii="Times New Roman" w:eastAsia="Times New Roman" w:hAnsi="Times New Roman" w:cs="Times New Roman"/>
          <w:sz w:val="24"/>
          <w:szCs w:val="24"/>
        </w:rPr>
        <w:t xml:space="preserve">(Слика </w:t>
      </w:r>
      <w:r w:rsidR="00FD03A2">
        <w:rPr>
          <w:rFonts w:ascii="Times New Roman" w:eastAsia="Times New Roman" w:hAnsi="Times New Roman" w:cs="Times New Roman"/>
          <w:sz w:val="24"/>
          <w:szCs w:val="24"/>
          <w:lang w:val="sr-Cyrl-RS"/>
        </w:rPr>
        <w:t>7</w:t>
      </w:r>
      <w:r w:rsidR="00F92971">
        <w:rPr>
          <w:rFonts w:ascii="Times New Roman" w:eastAsia="Times New Roman" w:hAnsi="Times New Roman" w:cs="Times New Roman"/>
          <w:sz w:val="24"/>
          <w:szCs w:val="24"/>
        </w:rPr>
        <w:t xml:space="preserve">). </w:t>
      </w:r>
    </w:p>
    <w:p w14:paraId="505F3EB9" w14:textId="77777777" w:rsidR="00480840" w:rsidRDefault="00CD4AF6">
      <w:pPr>
        <w:jc w:val="both"/>
        <w:rPr>
          <w:rFonts w:ascii="Times New Roman" w:eastAsia="Times New Roman" w:hAnsi="Times New Roman" w:cs="Times New Roman"/>
          <w:b/>
          <w:color w:val="FF0000"/>
          <w:sz w:val="24"/>
          <w:szCs w:val="24"/>
          <w:lang w:val="en-US"/>
        </w:rPr>
      </w:pPr>
      <w:r w:rsidRPr="00006165">
        <w:rPr>
          <w:rFonts w:ascii="Times New Roman" w:eastAsia="Times New Roman" w:hAnsi="Times New Roman" w:cs="Times New Roman"/>
          <w:b/>
          <w:color w:val="FF0000"/>
          <w:sz w:val="24"/>
          <w:szCs w:val="24"/>
          <w:lang w:val="en-US"/>
        </w:rPr>
        <w:t xml:space="preserve">             </w:t>
      </w:r>
    </w:p>
    <w:p w14:paraId="523D692D" w14:textId="2235397F" w:rsidR="00974289" w:rsidRPr="00006165" w:rsidRDefault="00CD4AF6">
      <w:pPr>
        <w:jc w:val="both"/>
        <w:rPr>
          <w:rFonts w:ascii="Times New Roman" w:eastAsia="Times New Roman" w:hAnsi="Times New Roman" w:cs="Times New Roman"/>
          <w:b/>
          <w:color w:val="FF0000"/>
          <w:sz w:val="24"/>
          <w:szCs w:val="24"/>
          <w:lang w:val="sr-Cyrl-RS"/>
        </w:rPr>
      </w:pPr>
      <w:r w:rsidRPr="00006165">
        <w:rPr>
          <w:rFonts w:ascii="Times New Roman" w:eastAsia="Times New Roman" w:hAnsi="Times New Roman" w:cs="Times New Roman"/>
          <w:b/>
          <w:color w:val="FF0000"/>
          <w:sz w:val="24"/>
          <w:szCs w:val="24"/>
          <w:lang w:val="en-US"/>
        </w:rPr>
        <w:lastRenderedPageBreak/>
        <w:t xml:space="preserve"> </w:t>
      </w:r>
      <w:r w:rsidR="00480840">
        <w:rPr>
          <w:rFonts w:ascii="Times New Roman" w:eastAsia="Times New Roman" w:hAnsi="Times New Roman" w:cs="Times New Roman"/>
          <w:b/>
          <w:color w:val="FF0000"/>
          <w:sz w:val="24"/>
          <w:szCs w:val="24"/>
          <w:lang w:val="sr-Cyrl-RS"/>
        </w:rPr>
        <w:t xml:space="preserve">            </w:t>
      </w:r>
      <w:r w:rsidRPr="00006165">
        <w:rPr>
          <w:rFonts w:ascii="Times New Roman" w:eastAsia="Times New Roman" w:hAnsi="Times New Roman" w:cs="Times New Roman"/>
          <w:b/>
          <w:color w:val="FF0000"/>
          <w:sz w:val="24"/>
          <w:szCs w:val="24"/>
          <w:lang w:val="en-US"/>
        </w:rPr>
        <w:t xml:space="preserve">   </w:t>
      </w:r>
      <w:r w:rsidR="00974289" w:rsidRPr="00FD03A2">
        <w:rPr>
          <w:rFonts w:ascii="Times New Roman" w:eastAsia="Times New Roman" w:hAnsi="Times New Roman" w:cs="Times New Roman"/>
          <w:b/>
          <w:color w:val="auto"/>
          <w:sz w:val="24"/>
          <w:szCs w:val="24"/>
          <w:lang w:val="sr-Cyrl-RS"/>
        </w:rPr>
        <w:t xml:space="preserve">Слика </w:t>
      </w:r>
      <w:r w:rsidR="00FD03A2" w:rsidRPr="00FD03A2">
        <w:rPr>
          <w:rFonts w:ascii="Times New Roman" w:eastAsia="Times New Roman" w:hAnsi="Times New Roman" w:cs="Times New Roman"/>
          <w:b/>
          <w:color w:val="auto"/>
          <w:sz w:val="24"/>
          <w:szCs w:val="24"/>
          <w:lang w:val="sr-Cyrl-RS"/>
        </w:rPr>
        <w:t>7</w:t>
      </w:r>
    </w:p>
    <w:p w14:paraId="18F8D099" w14:textId="77777777" w:rsidR="00974289" w:rsidRDefault="00CD4AF6" w:rsidP="00CD4AF6">
      <w:pPr>
        <w:jc w:val="center"/>
        <w:rPr>
          <w:rFonts w:ascii="Times New Roman" w:eastAsia="Times New Roman" w:hAnsi="Times New Roman" w:cs="Times New Roman"/>
          <w:b/>
          <w:sz w:val="24"/>
          <w:szCs w:val="24"/>
        </w:rPr>
      </w:pPr>
      <w:r>
        <w:rPr>
          <w:noProof/>
          <w:lang w:val="sr-Cyrl-RS" w:eastAsia="sr-Cyrl-RS"/>
        </w:rPr>
        <w:drawing>
          <wp:inline distT="0" distB="0" distL="0" distR="0" wp14:anchorId="72CBEDAC" wp14:editId="6836E4B0">
            <wp:extent cx="4699000" cy="2819400"/>
            <wp:effectExtent l="0" t="0" r="63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672A9E" w14:textId="77777777" w:rsidR="0089370C" w:rsidRPr="0070333A" w:rsidRDefault="004F0DED">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rPr>
        <w:t xml:space="preserve">    </w:t>
      </w:r>
      <w:r w:rsidR="000E57AE">
        <w:rPr>
          <w:rFonts w:ascii="Times New Roman" w:eastAsia="Times New Roman" w:hAnsi="Times New Roman" w:cs="Times New Roman"/>
          <w:b/>
          <w:sz w:val="24"/>
          <w:szCs w:val="24"/>
        </w:rPr>
        <w:t xml:space="preserve">  </w:t>
      </w:r>
    </w:p>
    <w:p w14:paraId="3CDAA93E" w14:textId="59E92F36" w:rsidR="0089370C" w:rsidRPr="00E0385C" w:rsidRDefault="00457420" w:rsidP="0089370C">
      <w:pPr>
        <w:jc w:val="both"/>
        <w:rPr>
          <w:rFonts w:ascii="Times New Roman" w:eastAsia="Times New Roman" w:hAnsi="Times New Roman" w:cs="Times New Roman"/>
          <w:color w:val="000000" w:themeColor="text1"/>
          <w:sz w:val="24"/>
          <w:szCs w:val="24"/>
          <w:lang w:val="sr-Latn-RS"/>
        </w:rPr>
      </w:pPr>
      <w:r>
        <w:rPr>
          <w:rFonts w:ascii="Times New Roman" w:eastAsia="Times New Roman" w:hAnsi="Times New Roman" w:cs="Times New Roman"/>
          <w:color w:val="000000" w:themeColor="text1"/>
          <w:sz w:val="24"/>
          <w:szCs w:val="24"/>
          <w:lang w:val="sr-Cyrl-RS"/>
        </w:rPr>
        <w:t>В</w:t>
      </w:r>
      <w:r w:rsidR="00462EC5">
        <w:rPr>
          <w:rFonts w:ascii="Times New Roman" w:eastAsia="Times New Roman" w:hAnsi="Times New Roman" w:cs="Times New Roman"/>
          <w:color w:val="000000" w:themeColor="text1"/>
          <w:sz w:val="24"/>
          <w:szCs w:val="24"/>
          <w:lang w:val="sr-Cyrl-RS"/>
        </w:rPr>
        <w:t>редност уговора закључених у преговарачком поступку без обја</w:t>
      </w:r>
      <w:r w:rsidR="00FE0946">
        <w:rPr>
          <w:rFonts w:ascii="Times New Roman" w:eastAsia="Times New Roman" w:hAnsi="Times New Roman" w:cs="Times New Roman"/>
          <w:color w:val="000000" w:themeColor="text1"/>
          <w:sz w:val="24"/>
          <w:szCs w:val="24"/>
          <w:lang w:val="sr-Cyrl-RS"/>
        </w:rPr>
        <w:t>вљивања у првом полугодишту 2019</w:t>
      </w:r>
      <w:r w:rsidR="00462EC5">
        <w:rPr>
          <w:rFonts w:ascii="Times New Roman" w:eastAsia="Times New Roman" w:hAnsi="Times New Roman" w:cs="Times New Roman"/>
          <w:color w:val="000000" w:themeColor="text1"/>
          <w:sz w:val="24"/>
          <w:szCs w:val="24"/>
          <w:lang w:val="sr-Cyrl-RS"/>
        </w:rPr>
        <w:t xml:space="preserve">. године </w:t>
      </w:r>
      <w:r w:rsidR="00FE0946">
        <w:rPr>
          <w:rFonts w:ascii="Times New Roman" w:eastAsia="Times New Roman" w:hAnsi="Times New Roman" w:cs="Times New Roman"/>
          <w:color w:val="000000" w:themeColor="text1"/>
          <w:sz w:val="24"/>
          <w:szCs w:val="24"/>
          <w:lang w:val="sr-Cyrl-RS"/>
        </w:rPr>
        <w:t>благо је порасла у односу на исти период 2018. године (табела 7</w:t>
      </w:r>
      <w:r w:rsidR="00462EC5">
        <w:rPr>
          <w:rFonts w:ascii="Times New Roman" w:eastAsia="Times New Roman" w:hAnsi="Times New Roman" w:cs="Times New Roman"/>
          <w:color w:val="000000" w:themeColor="text1"/>
          <w:sz w:val="24"/>
          <w:szCs w:val="24"/>
          <w:lang w:val="sr-Cyrl-RS"/>
        </w:rPr>
        <w:t xml:space="preserve">). </w:t>
      </w:r>
      <w:r w:rsidR="00C864D5">
        <w:rPr>
          <w:rFonts w:ascii="Times New Roman" w:eastAsia="Times New Roman" w:hAnsi="Times New Roman" w:cs="Times New Roman"/>
          <w:color w:val="000000" w:themeColor="text1"/>
          <w:sz w:val="24"/>
          <w:szCs w:val="24"/>
          <w:lang w:val="sr-Cyrl-RS"/>
        </w:rPr>
        <w:t xml:space="preserve">До пораста </w:t>
      </w:r>
      <w:r w:rsidR="0089370C">
        <w:rPr>
          <w:rFonts w:ascii="Times New Roman" w:eastAsia="Times New Roman" w:hAnsi="Times New Roman" w:cs="Times New Roman"/>
          <w:color w:val="000000" w:themeColor="text1"/>
          <w:sz w:val="24"/>
          <w:szCs w:val="24"/>
          <w:lang w:val="sr-Cyrl-RS"/>
        </w:rPr>
        <w:t>вредности</w:t>
      </w:r>
      <w:r w:rsidR="00EF2FA0">
        <w:rPr>
          <w:rFonts w:ascii="Times New Roman" w:eastAsia="Times New Roman" w:hAnsi="Times New Roman" w:cs="Times New Roman"/>
          <w:color w:val="000000" w:themeColor="text1"/>
          <w:sz w:val="24"/>
          <w:szCs w:val="24"/>
          <w:lang w:val="sr-Cyrl-RS"/>
        </w:rPr>
        <w:t xml:space="preserve"> уговора закључених у преговарачком поступку</w:t>
      </w:r>
      <w:r w:rsidR="0089370C">
        <w:rPr>
          <w:rFonts w:ascii="Times New Roman" w:eastAsia="Times New Roman" w:hAnsi="Times New Roman" w:cs="Times New Roman"/>
          <w:color w:val="000000" w:themeColor="text1"/>
          <w:sz w:val="24"/>
          <w:szCs w:val="24"/>
          <w:lang w:val="sr-Cyrl-RS"/>
        </w:rPr>
        <w:t xml:space="preserve"> </w:t>
      </w:r>
      <w:r w:rsidR="00FE0946">
        <w:rPr>
          <w:rFonts w:ascii="Times New Roman" w:eastAsia="Times New Roman" w:hAnsi="Times New Roman" w:cs="Times New Roman"/>
          <w:color w:val="000000" w:themeColor="text1"/>
          <w:sz w:val="24"/>
          <w:szCs w:val="24"/>
          <w:lang w:val="sr-Cyrl-RS"/>
        </w:rPr>
        <w:t>без објављивања дош</w:t>
      </w:r>
      <w:r w:rsidR="00EF2FA0">
        <w:rPr>
          <w:rFonts w:ascii="Times New Roman" w:eastAsia="Times New Roman" w:hAnsi="Times New Roman" w:cs="Times New Roman"/>
          <w:color w:val="000000" w:themeColor="text1"/>
          <w:sz w:val="24"/>
          <w:szCs w:val="24"/>
          <w:lang w:val="sr-Cyrl-RS"/>
        </w:rPr>
        <w:t xml:space="preserve">ло </w:t>
      </w:r>
      <w:r w:rsidR="00EF2FA0">
        <w:rPr>
          <w:rFonts w:ascii="Times New Roman" w:eastAsia="Times New Roman" w:hAnsi="Times New Roman" w:cs="Times New Roman"/>
          <w:color w:val="000000" w:themeColor="text1"/>
          <w:sz w:val="24"/>
          <w:szCs w:val="24"/>
          <w:lang w:val="sr-Cyrl-CS"/>
        </w:rPr>
        <w:t>је</w:t>
      </w:r>
      <w:r w:rsidR="00FD03A2">
        <w:rPr>
          <w:rFonts w:ascii="Times New Roman" w:eastAsia="Times New Roman" w:hAnsi="Times New Roman" w:cs="Times New Roman"/>
          <w:color w:val="000000" w:themeColor="text1"/>
          <w:sz w:val="24"/>
          <w:szCs w:val="24"/>
          <w:lang w:val="sr-Cyrl-CS"/>
        </w:rPr>
        <w:t xml:space="preserve"> у случају</w:t>
      </w:r>
      <w:r w:rsidR="00EF2FA0">
        <w:rPr>
          <w:rFonts w:ascii="Times New Roman" w:eastAsia="Times New Roman" w:hAnsi="Times New Roman" w:cs="Times New Roman"/>
          <w:color w:val="000000" w:themeColor="text1"/>
          <w:sz w:val="24"/>
          <w:szCs w:val="24"/>
          <w:lang w:val="sr-Cyrl-CS"/>
        </w:rPr>
        <w:t xml:space="preserve"> када због техничких, односно уметничких разлога или разлога повезаних са заштитом искључивих права, набавку може извршити само одређени понуђач</w:t>
      </w:r>
      <w:r w:rsidR="00EF2FA0">
        <w:rPr>
          <w:rFonts w:ascii="Times New Roman" w:eastAsia="Times New Roman" w:hAnsi="Times New Roman" w:cs="Times New Roman"/>
          <w:color w:val="000000" w:themeColor="text1"/>
          <w:sz w:val="24"/>
          <w:szCs w:val="24"/>
          <w:lang w:val="sr-Cyrl-RS"/>
        </w:rPr>
        <w:t>, док се вредност уговора закључених по осталим основама за преговарање смањила.</w:t>
      </w:r>
      <w:r w:rsidR="00242A48">
        <w:rPr>
          <w:rFonts w:ascii="Times New Roman" w:eastAsia="Times New Roman" w:hAnsi="Times New Roman" w:cs="Times New Roman"/>
          <w:color w:val="000000" w:themeColor="text1"/>
          <w:sz w:val="24"/>
          <w:szCs w:val="24"/>
          <w:lang w:val="sr-Cyrl-RS"/>
        </w:rPr>
        <w:t xml:space="preserve"> </w:t>
      </w:r>
      <w:r w:rsidR="0089370C">
        <w:rPr>
          <w:rFonts w:ascii="Times New Roman" w:eastAsia="Times New Roman" w:hAnsi="Times New Roman" w:cs="Times New Roman"/>
          <w:color w:val="000000" w:themeColor="text1"/>
          <w:sz w:val="24"/>
          <w:szCs w:val="24"/>
          <w:lang w:val="sr-Cyrl-RS"/>
        </w:rPr>
        <w:t xml:space="preserve">(Слика </w:t>
      </w:r>
      <w:r w:rsidR="00FD03A2">
        <w:rPr>
          <w:rFonts w:ascii="Times New Roman" w:eastAsia="Times New Roman" w:hAnsi="Times New Roman" w:cs="Times New Roman"/>
          <w:color w:val="000000" w:themeColor="text1"/>
          <w:sz w:val="24"/>
          <w:szCs w:val="24"/>
          <w:lang w:val="sr-Cyrl-RS"/>
        </w:rPr>
        <w:t>8</w:t>
      </w:r>
      <w:r w:rsidR="0089370C">
        <w:rPr>
          <w:rFonts w:ascii="Times New Roman" w:eastAsia="Times New Roman" w:hAnsi="Times New Roman" w:cs="Times New Roman"/>
          <w:color w:val="000000" w:themeColor="text1"/>
          <w:sz w:val="24"/>
          <w:szCs w:val="24"/>
          <w:lang w:val="sr-Cyrl-RS"/>
        </w:rPr>
        <w:t>)</w:t>
      </w:r>
      <w:r w:rsidR="00E0385C">
        <w:rPr>
          <w:rFonts w:ascii="Times New Roman" w:eastAsia="Times New Roman" w:hAnsi="Times New Roman" w:cs="Times New Roman"/>
          <w:color w:val="000000" w:themeColor="text1"/>
          <w:sz w:val="24"/>
          <w:szCs w:val="24"/>
          <w:lang w:val="sr-Latn-RS"/>
        </w:rPr>
        <w:t>.</w:t>
      </w:r>
    </w:p>
    <w:p w14:paraId="2B9B920E" w14:textId="77777777" w:rsidR="0089370C" w:rsidRPr="00FE0946" w:rsidRDefault="0089370C">
      <w:pPr>
        <w:jc w:val="both"/>
        <w:rPr>
          <w:rFonts w:ascii="Times New Roman" w:eastAsia="Times New Roman" w:hAnsi="Times New Roman" w:cs="Times New Roman"/>
          <w:b/>
          <w:sz w:val="24"/>
          <w:szCs w:val="24"/>
          <w:lang w:val="sr-Cyrl-RS"/>
        </w:rPr>
      </w:pPr>
    </w:p>
    <w:p w14:paraId="0A3EF775" w14:textId="77777777" w:rsidR="0089370C" w:rsidRDefault="0089370C">
      <w:pPr>
        <w:jc w:val="both"/>
        <w:rPr>
          <w:rFonts w:ascii="Times New Roman" w:eastAsia="Times New Roman" w:hAnsi="Times New Roman" w:cs="Times New Roman"/>
          <w:b/>
          <w:sz w:val="24"/>
          <w:szCs w:val="24"/>
        </w:rPr>
      </w:pPr>
    </w:p>
    <w:p w14:paraId="2CA80B36" w14:textId="77777777" w:rsidR="00CD4AF6" w:rsidRDefault="00CD4AF6">
      <w:pPr>
        <w:jc w:val="both"/>
        <w:rPr>
          <w:rFonts w:ascii="Times New Roman" w:eastAsia="Times New Roman" w:hAnsi="Times New Roman" w:cs="Times New Roman"/>
          <w:b/>
          <w:sz w:val="24"/>
          <w:szCs w:val="24"/>
        </w:rPr>
      </w:pPr>
    </w:p>
    <w:p w14:paraId="45C2E9F0" w14:textId="77777777" w:rsidR="00EC238F" w:rsidRDefault="00EC238F">
      <w:pPr>
        <w:jc w:val="both"/>
        <w:rPr>
          <w:rFonts w:ascii="Times New Roman" w:eastAsia="Times New Roman" w:hAnsi="Times New Roman" w:cs="Times New Roman"/>
          <w:b/>
          <w:sz w:val="24"/>
          <w:szCs w:val="24"/>
        </w:rPr>
      </w:pPr>
    </w:p>
    <w:p w14:paraId="6195756D" w14:textId="77777777" w:rsidR="00EC238F" w:rsidRDefault="00EC238F">
      <w:pPr>
        <w:jc w:val="both"/>
        <w:rPr>
          <w:rFonts w:ascii="Times New Roman" w:eastAsia="Times New Roman" w:hAnsi="Times New Roman" w:cs="Times New Roman"/>
          <w:b/>
          <w:sz w:val="24"/>
          <w:szCs w:val="24"/>
          <w:lang w:val="en-GB"/>
        </w:rPr>
      </w:pPr>
    </w:p>
    <w:p w14:paraId="3DC6BD40" w14:textId="42654713" w:rsidR="00EC238F" w:rsidRDefault="00EC238F">
      <w:pPr>
        <w:jc w:val="both"/>
        <w:rPr>
          <w:rFonts w:ascii="Times New Roman" w:eastAsia="Times New Roman" w:hAnsi="Times New Roman" w:cs="Times New Roman"/>
          <w:b/>
          <w:sz w:val="24"/>
          <w:szCs w:val="24"/>
          <w:lang w:val="en-GB"/>
        </w:rPr>
      </w:pPr>
    </w:p>
    <w:p w14:paraId="4264707B" w14:textId="4E950454" w:rsidR="00067E0F" w:rsidRDefault="00067E0F">
      <w:pPr>
        <w:jc w:val="both"/>
        <w:rPr>
          <w:rFonts w:ascii="Times New Roman" w:eastAsia="Times New Roman" w:hAnsi="Times New Roman" w:cs="Times New Roman"/>
          <w:b/>
          <w:sz w:val="24"/>
          <w:szCs w:val="24"/>
          <w:lang w:val="en-GB"/>
        </w:rPr>
      </w:pPr>
    </w:p>
    <w:p w14:paraId="45D3D7D7" w14:textId="11B26213" w:rsidR="00067E0F" w:rsidRDefault="00067E0F">
      <w:pPr>
        <w:jc w:val="both"/>
        <w:rPr>
          <w:rFonts w:ascii="Times New Roman" w:eastAsia="Times New Roman" w:hAnsi="Times New Roman" w:cs="Times New Roman"/>
          <w:b/>
          <w:sz w:val="24"/>
          <w:szCs w:val="24"/>
          <w:lang w:val="en-GB"/>
        </w:rPr>
      </w:pPr>
    </w:p>
    <w:p w14:paraId="03692AA7" w14:textId="77777777" w:rsidR="00067E0F" w:rsidRDefault="00067E0F">
      <w:pPr>
        <w:jc w:val="both"/>
        <w:rPr>
          <w:rFonts w:ascii="Times New Roman" w:eastAsia="Times New Roman" w:hAnsi="Times New Roman" w:cs="Times New Roman"/>
          <w:b/>
          <w:sz w:val="24"/>
          <w:szCs w:val="24"/>
          <w:lang w:val="en-GB"/>
        </w:rPr>
      </w:pPr>
    </w:p>
    <w:p w14:paraId="0C571440" w14:textId="0DDBCE1B" w:rsidR="0081466B" w:rsidRPr="00FD03A2" w:rsidRDefault="004F0DED" w:rsidP="00974289">
      <w:pPr>
        <w:rPr>
          <w:noProof/>
          <w:color w:val="auto"/>
          <w:lang w:val="en-GB" w:eastAsia="en-GB"/>
        </w:rPr>
      </w:pPr>
      <w:r w:rsidRPr="00FD03A2">
        <w:rPr>
          <w:rFonts w:ascii="Times New Roman" w:eastAsia="Times New Roman" w:hAnsi="Times New Roman" w:cs="Times New Roman"/>
          <w:b/>
          <w:color w:val="auto"/>
          <w:sz w:val="24"/>
          <w:szCs w:val="24"/>
        </w:rPr>
        <w:lastRenderedPageBreak/>
        <w:t>Сли</w:t>
      </w:r>
      <w:bookmarkStart w:id="4" w:name="_tyjcwt" w:colFirst="0" w:colLast="0"/>
      <w:bookmarkEnd w:id="4"/>
      <w:r w:rsidR="00974289" w:rsidRPr="00FD03A2">
        <w:rPr>
          <w:rFonts w:ascii="Times New Roman" w:eastAsia="Times New Roman" w:hAnsi="Times New Roman" w:cs="Times New Roman"/>
          <w:b/>
          <w:color w:val="auto"/>
          <w:sz w:val="24"/>
          <w:szCs w:val="24"/>
        </w:rPr>
        <w:t xml:space="preserve">ка </w:t>
      </w:r>
      <w:r w:rsidR="00FD03A2" w:rsidRPr="00FD03A2">
        <w:rPr>
          <w:rFonts w:ascii="Times New Roman" w:eastAsia="Times New Roman" w:hAnsi="Times New Roman" w:cs="Times New Roman"/>
          <w:b/>
          <w:color w:val="auto"/>
          <w:sz w:val="24"/>
          <w:szCs w:val="24"/>
          <w:lang w:val="sr-Cyrl-RS"/>
        </w:rPr>
        <w:t>8</w:t>
      </w:r>
    </w:p>
    <w:p w14:paraId="35FF882D" w14:textId="2B5C9629" w:rsidR="00780C0D" w:rsidRPr="00780C0D" w:rsidRDefault="00067E0F" w:rsidP="0089370C">
      <w:pPr>
        <w:rPr>
          <w:rFonts w:ascii="Times New Roman" w:hAnsi="Times New Roman" w:cs="Times New Roman"/>
          <w:color w:val="auto"/>
          <w:sz w:val="24"/>
          <w:szCs w:val="24"/>
          <w:lang w:val="sr-Cyrl-RS"/>
        </w:rPr>
      </w:pPr>
      <w:r>
        <w:rPr>
          <w:noProof/>
          <w:lang w:val="sr-Cyrl-RS" w:eastAsia="sr-Cyrl-RS"/>
        </w:rPr>
        <w:drawing>
          <wp:inline distT="0" distB="0" distL="0" distR="0" wp14:anchorId="19F9619D" wp14:editId="3402096E">
            <wp:extent cx="5731510" cy="3439160"/>
            <wp:effectExtent l="0" t="0" r="2540" b="889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80C0D">
        <w:rPr>
          <w:rFonts w:ascii="Times New Roman" w:hAnsi="Times New Roman" w:cs="Times New Roman"/>
          <w:color w:val="auto"/>
          <w:sz w:val="24"/>
          <w:szCs w:val="24"/>
        </w:rPr>
        <w:br/>
      </w:r>
      <w:r w:rsidR="00780C0D" w:rsidRPr="00780C0D">
        <w:rPr>
          <w:rFonts w:ascii="Times New Roman" w:hAnsi="Times New Roman" w:cs="Times New Roman"/>
          <w:color w:val="auto"/>
          <w:sz w:val="20"/>
          <w:szCs w:val="20"/>
          <w:lang w:val="sr-Cyrl-RS"/>
        </w:rPr>
        <w:t>*</w:t>
      </w:r>
      <w:r w:rsidR="00780C0D">
        <w:rPr>
          <w:rFonts w:ascii="Times New Roman" w:hAnsi="Times New Roman" w:cs="Times New Roman"/>
          <w:color w:val="auto"/>
          <w:sz w:val="24"/>
          <w:szCs w:val="24"/>
          <w:lang w:val="sr-Cyrl-RS"/>
        </w:rPr>
        <w:t xml:space="preserve"> </w:t>
      </w:r>
      <w:r w:rsidR="00780C0D" w:rsidRPr="00780C0D">
        <w:rPr>
          <w:rFonts w:ascii="Times New Roman" w:hAnsi="Times New Roman" w:cs="Times New Roman"/>
          <w:color w:val="auto"/>
          <w:sz w:val="20"/>
          <w:szCs w:val="20"/>
          <w:lang w:val="sr-Cyrl-RS"/>
        </w:rPr>
        <w:t>вредности су исказане у хиљадама динара</w:t>
      </w:r>
    </w:p>
    <w:p w14:paraId="252FC076" w14:textId="77777777" w:rsidR="00974289" w:rsidRPr="00C364E7" w:rsidRDefault="00974289" w:rsidP="00974289">
      <w:pPr>
        <w:jc w:val="both"/>
        <w:rPr>
          <w:color w:val="auto"/>
        </w:rPr>
      </w:pPr>
      <w:r w:rsidRPr="00E644CE">
        <w:rPr>
          <w:rFonts w:ascii="Times New Roman" w:eastAsia="Times New Roman" w:hAnsi="Times New Roman" w:cs="Times New Roman"/>
          <w:color w:val="000000" w:themeColor="text1"/>
          <w:sz w:val="24"/>
          <w:szCs w:val="24"/>
        </w:rPr>
        <w:t>Предмети набавке</w:t>
      </w:r>
      <w:r>
        <w:rPr>
          <w:rFonts w:ascii="Times New Roman" w:eastAsia="Times New Roman" w:hAnsi="Times New Roman" w:cs="Times New Roman"/>
          <w:color w:val="000000" w:themeColor="text1"/>
          <w:sz w:val="24"/>
          <w:szCs w:val="24"/>
          <w:lang w:val="sr-Latn-RS"/>
        </w:rPr>
        <w:t xml:space="preserve"> (</w:t>
      </w:r>
      <w:r>
        <w:rPr>
          <w:rFonts w:ascii="Times New Roman" w:eastAsia="Times New Roman" w:hAnsi="Times New Roman" w:cs="Times New Roman"/>
          <w:color w:val="000000" w:themeColor="text1"/>
          <w:sz w:val="24"/>
          <w:szCs w:val="24"/>
          <w:lang w:val="sr-Cyrl-CS"/>
        </w:rPr>
        <w:t>према доминантној шифри из општег речника набавки)</w:t>
      </w:r>
      <w:r w:rsidRPr="00E644CE">
        <w:rPr>
          <w:rFonts w:ascii="Times New Roman" w:eastAsia="Times New Roman" w:hAnsi="Times New Roman" w:cs="Times New Roman"/>
          <w:color w:val="000000" w:themeColor="text1"/>
          <w:sz w:val="24"/>
          <w:szCs w:val="24"/>
        </w:rPr>
        <w:t xml:space="preserve"> који су, у првом по</w:t>
      </w:r>
      <w:r w:rsidR="00935A03">
        <w:rPr>
          <w:rFonts w:ascii="Times New Roman" w:eastAsia="Times New Roman" w:hAnsi="Times New Roman" w:cs="Times New Roman"/>
          <w:color w:val="000000" w:themeColor="text1"/>
          <w:sz w:val="24"/>
          <w:szCs w:val="24"/>
        </w:rPr>
        <w:t>лугодишту 2019</w:t>
      </w:r>
      <w:r w:rsidRPr="00E644CE">
        <w:rPr>
          <w:rFonts w:ascii="Times New Roman" w:eastAsia="Times New Roman" w:hAnsi="Times New Roman" w:cs="Times New Roman"/>
          <w:color w:val="000000" w:themeColor="text1"/>
          <w:sz w:val="24"/>
          <w:szCs w:val="24"/>
        </w:rPr>
        <w:t>. године, били најзаступљенији у примени преговарачког поступка са т</w:t>
      </w:r>
      <w:r>
        <w:rPr>
          <w:rFonts w:ascii="Times New Roman" w:eastAsia="Times New Roman" w:hAnsi="Times New Roman" w:cs="Times New Roman"/>
          <w:color w:val="000000" w:themeColor="text1"/>
          <w:sz w:val="24"/>
          <w:szCs w:val="24"/>
        </w:rPr>
        <w:t>ачно одређеним понуђачем су</w:t>
      </w:r>
      <w:r w:rsidRPr="00863A81">
        <w:rPr>
          <w:rFonts w:ascii="Times New Roman" w:eastAsia="Times New Roman" w:hAnsi="Times New Roman" w:cs="Times New Roman"/>
          <w:color w:val="auto"/>
          <w:sz w:val="24"/>
          <w:szCs w:val="24"/>
        </w:rPr>
        <w:t>:</w:t>
      </w:r>
      <w:r w:rsidRPr="00F37A4A">
        <w:rPr>
          <w:rFonts w:ascii="Times New Roman" w:eastAsia="Times New Roman" w:hAnsi="Times New Roman" w:cs="Times New Roman"/>
          <w:color w:val="FF0000"/>
          <w:sz w:val="24"/>
          <w:szCs w:val="24"/>
        </w:rPr>
        <w:t xml:space="preserve"> </w:t>
      </w:r>
      <w:r w:rsidRPr="00C364E7">
        <w:rPr>
          <w:rFonts w:ascii="Times New Roman" w:eastAsia="Times New Roman" w:hAnsi="Times New Roman" w:cs="Times New Roman"/>
          <w:color w:val="auto"/>
          <w:sz w:val="24"/>
          <w:szCs w:val="24"/>
        </w:rPr>
        <w:t>а)</w:t>
      </w:r>
      <w:r w:rsidRPr="00C364E7">
        <w:rPr>
          <w:rFonts w:ascii="Times New Roman" w:eastAsia="Times New Roman" w:hAnsi="Times New Roman" w:cs="Times New Roman"/>
          <w:color w:val="auto"/>
          <w:sz w:val="24"/>
          <w:szCs w:val="24"/>
          <w:lang w:val="sr-Cyrl-RS"/>
        </w:rPr>
        <w:t xml:space="preserve"> </w:t>
      </w:r>
      <w:r>
        <w:rPr>
          <w:rFonts w:ascii="Times New Roman" w:eastAsia="Times New Roman" w:hAnsi="Times New Roman" w:cs="Times New Roman"/>
          <w:color w:val="auto"/>
          <w:sz w:val="24"/>
          <w:szCs w:val="24"/>
          <w:lang w:val="sr-Latn-RS"/>
        </w:rPr>
        <w:t xml:space="preserve">грађевински радови; </w:t>
      </w:r>
      <w:r w:rsidRPr="00C364E7">
        <w:rPr>
          <w:rFonts w:ascii="Times New Roman" w:eastAsia="Times New Roman" w:hAnsi="Times New Roman" w:cs="Times New Roman"/>
          <w:color w:val="auto"/>
          <w:sz w:val="24"/>
          <w:szCs w:val="24"/>
        </w:rPr>
        <w:t>б)</w:t>
      </w:r>
      <w:r>
        <w:rPr>
          <w:rFonts w:ascii="Times New Roman" w:eastAsia="Times New Roman" w:hAnsi="Times New Roman" w:cs="Times New Roman"/>
          <w:color w:val="auto"/>
          <w:sz w:val="24"/>
          <w:szCs w:val="24"/>
          <w:lang w:val="sr-Latn-RS"/>
        </w:rPr>
        <w:t xml:space="preserve"> медицинска опрема и фармацеутски производи</w:t>
      </w:r>
      <w:r w:rsidRPr="00C364E7">
        <w:rPr>
          <w:rFonts w:ascii="Times New Roman" w:eastAsia="Times New Roman" w:hAnsi="Times New Roman" w:cs="Times New Roman"/>
          <w:color w:val="auto"/>
          <w:sz w:val="24"/>
          <w:szCs w:val="24"/>
          <w:lang w:val="en-GB"/>
        </w:rPr>
        <w:t>;</w:t>
      </w:r>
      <w:r>
        <w:rPr>
          <w:rFonts w:ascii="Times New Roman" w:eastAsia="Times New Roman" w:hAnsi="Times New Roman" w:cs="Times New Roman"/>
          <w:color w:val="auto"/>
          <w:sz w:val="24"/>
          <w:szCs w:val="24"/>
        </w:rPr>
        <w:t xml:space="preserve"> </w:t>
      </w:r>
      <w:r w:rsidRPr="00C364E7">
        <w:rPr>
          <w:rFonts w:ascii="Times New Roman" w:eastAsia="Times New Roman" w:hAnsi="Times New Roman" w:cs="Times New Roman"/>
          <w:color w:val="auto"/>
          <w:sz w:val="24"/>
          <w:szCs w:val="24"/>
        </w:rPr>
        <w:t>в) услуге одржавања</w:t>
      </w:r>
      <w:r w:rsidRPr="00C364E7">
        <w:rPr>
          <w:rFonts w:ascii="Times New Roman" w:eastAsia="Times New Roman" w:hAnsi="Times New Roman" w:cs="Times New Roman"/>
          <w:color w:val="auto"/>
          <w:sz w:val="24"/>
          <w:szCs w:val="24"/>
          <w:lang w:val="en-GB"/>
        </w:rPr>
        <w:t xml:space="preserve"> </w:t>
      </w:r>
      <w:r>
        <w:rPr>
          <w:rFonts w:ascii="Times New Roman" w:eastAsia="Times New Roman" w:hAnsi="Times New Roman" w:cs="Times New Roman"/>
          <w:color w:val="auto"/>
          <w:sz w:val="24"/>
          <w:szCs w:val="24"/>
          <w:lang w:val="sr-Cyrl-RS"/>
        </w:rPr>
        <w:t>и поправки; г) услуге ин</w:t>
      </w:r>
      <w:r w:rsidR="005E2AC9">
        <w:rPr>
          <w:rFonts w:ascii="Times New Roman" w:eastAsia="Times New Roman" w:hAnsi="Times New Roman" w:cs="Times New Roman"/>
          <w:color w:val="auto"/>
          <w:sz w:val="24"/>
          <w:szCs w:val="24"/>
          <w:lang w:val="sr-Cyrl-RS"/>
        </w:rPr>
        <w:t xml:space="preserve">формационе технологије; д) </w:t>
      </w:r>
      <w:r w:rsidR="005E2AC9">
        <w:rPr>
          <w:rFonts w:ascii="Times New Roman" w:eastAsia="Times New Roman" w:hAnsi="Times New Roman" w:cs="Times New Roman"/>
          <w:color w:val="auto"/>
          <w:sz w:val="24"/>
          <w:szCs w:val="24"/>
          <w:lang w:val="sr-Cyrl-CS"/>
        </w:rPr>
        <w:t>програмски пакети и информациони системи</w:t>
      </w:r>
      <w:r w:rsidRPr="00C364E7">
        <w:rPr>
          <w:rFonts w:ascii="Times New Roman" w:eastAsia="Times New Roman" w:hAnsi="Times New Roman" w:cs="Times New Roman"/>
          <w:color w:val="auto"/>
          <w:sz w:val="24"/>
          <w:szCs w:val="24"/>
          <w:lang w:val="sr-Cyrl-RS"/>
        </w:rPr>
        <w:t xml:space="preserve">. </w:t>
      </w:r>
    </w:p>
    <w:p w14:paraId="33F7463C" w14:textId="77777777" w:rsidR="00563A7A" w:rsidRDefault="00563A7A">
      <w:pPr>
        <w:jc w:val="both"/>
        <w:rPr>
          <w:lang w:val="sr-Cyrl-CS"/>
        </w:rPr>
      </w:pPr>
    </w:p>
    <w:p w14:paraId="304E3DB2" w14:textId="77777777" w:rsidR="0081466B" w:rsidRPr="00C166E0" w:rsidRDefault="004F0DED">
      <w:pPr>
        <w:numPr>
          <w:ilvl w:val="0"/>
          <w:numId w:val="1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КОНКУРЕНЦИЈА</w:t>
      </w:r>
    </w:p>
    <w:p w14:paraId="44A19D98" w14:textId="77777777" w:rsidR="00C166E0" w:rsidRDefault="00C166E0" w:rsidP="00C166E0">
      <w:pPr>
        <w:ind w:left="720"/>
        <w:contextualSpacing/>
        <w:jc w:val="both"/>
        <w:rPr>
          <w:rFonts w:ascii="Times New Roman" w:eastAsia="Times New Roman" w:hAnsi="Times New Roman" w:cs="Times New Roman"/>
          <w:sz w:val="24"/>
          <w:szCs w:val="24"/>
        </w:rPr>
      </w:pPr>
    </w:p>
    <w:p w14:paraId="0727B873" w14:textId="77777777" w:rsidR="0081466B" w:rsidRDefault="004F0DED">
      <w:pPr>
        <w:jc w:val="both"/>
      </w:pPr>
      <w:r>
        <w:rPr>
          <w:rFonts w:ascii="Times New Roman" w:eastAsia="Times New Roman" w:hAnsi="Times New Roman" w:cs="Times New Roman"/>
          <w:sz w:val="24"/>
          <w:szCs w:val="24"/>
        </w:rPr>
        <w:t>Слободно деловање конкуренције је једно од најважнијих обележја развијеног и ефикасног система јавних набавки. Разлог је тај што слободна конкуренција међу понуђачима омогућава купцу, у овом случају држави, најповољније услове набавке. Кључна начела јавних набавки, попут транспарентности и недискриминације, односно обезбеђивања једнаких услова за све учеснике у поступку практично с</w:t>
      </w:r>
      <w:r w:rsidR="00E644CE">
        <w:rPr>
          <w:rFonts w:ascii="Times New Roman" w:eastAsia="Times New Roman" w:hAnsi="Times New Roman" w:cs="Times New Roman"/>
          <w:sz w:val="24"/>
          <w:szCs w:val="24"/>
        </w:rPr>
        <w:t xml:space="preserve">у у функцији остваривања </w:t>
      </w:r>
      <w:r>
        <w:rPr>
          <w:rFonts w:ascii="Times New Roman" w:eastAsia="Times New Roman" w:hAnsi="Times New Roman" w:cs="Times New Roman"/>
          <w:sz w:val="24"/>
          <w:szCs w:val="24"/>
        </w:rPr>
        <w:t xml:space="preserve">ширег циља, а то је обезбеђивање пуне конкуренције у поступцима јавних набавки. </w:t>
      </w:r>
    </w:p>
    <w:p w14:paraId="19DBBA4B" w14:textId="676113B7" w:rsidR="00636984" w:rsidRPr="00195014" w:rsidRDefault="00780C0D">
      <w:pPr>
        <w:jc w:val="both"/>
      </w:pPr>
      <w:r>
        <w:rPr>
          <w:rFonts w:ascii="Times New Roman" w:eastAsia="Times New Roman" w:hAnsi="Times New Roman" w:cs="Times New Roman"/>
          <w:sz w:val="24"/>
          <w:szCs w:val="24"/>
        </w:rPr>
        <w:t>Просечан број понуда</w:t>
      </w:r>
      <w:r w:rsidR="004F0DED">
        <w:rPr>
          <w:rFonts w:ascii="Times New Roman" w:eastAsia="Times New Roman" w:hAnsi="Times New Roman" w:cs="Times New Roman"/>
          <w:sz w:val="24"/>
          <w:szCs w:val="24"/>
        </w:rPr>
        <w:t xml:space="preserve">, као стандардан показатељ интензитета конкуренције у јавним набавкама, приказан је у Табели </w:t>
      </w:r>
      <w:r w:rsidR="009C694B">
        <w:rPr>
          <w:rFonts w:ascii="Times New Roman" w:eastAsia="Times New Roman" w:hAnsi="Times New Roman" w:cs="Times New Roman"/>
          <w:sz w:val="24"/>
          <w:szCs w:val="24"/>
          <w:lang w:val="en-US"/>
        </w:rPr>
        <w:t>8</w:t>
      </w:r>
      <w:r w:rsidR="004F0DED">
        <w:rPr>
          <w:rFonts w:ascii="Times New Roman" w:eastAsia="Times New Roman" w:hAnsi="Times New Roman" w:cs="Times New Roman"/>
          <w:sz w:val="24"/>
          <w:szCs w:val="24"/>
        </w:rPr>
        <w:t xml:space="preserve">. </w:t>
      </w:r>
    </w:p>
    <w:p w14:paraId="4E686CD3" w14:textId="77777777" w:rsidR="0081466B" w:rsidRPr="00863A81" w:rsidRDefault="004F0DED" w:rsidP="00CD4AF6">
      <w:pPr>
        <w:ind w:hanging="426"/>
        <w:jc w:val="both"/>
        <w:rPr>
          <w:color w:val="auto"/>
          <w:lang w:val="en-US"/>
        </w:rPr>
      </w:pPr>
      <w:r w:rsidRPr="00863A81">
        <w:rPr>
          <w:rFonts w:ascii="Times New Roman" w:eastAsia="Times New Roman" w:hAnsi="Times New Roman" w:cs="Times New Roman"/>
          <w:b/>
          <w:color w:val="auto"/>
          <w:sz w:val="24"/>
          <w:szCs w:val="24"/>
        </w:rPr>
        <w:lastRenderedPageBreak/>
        <w:t xml:space="preserve">Табела </w:t>
      </w:r>
      <w:r w:rsidR="00FD2427" w:rsidRPr="00863A81">
        <w:rPr>
          <w:rFonts w:ascii="Times New Roman" w:eastAsia="Times New Roman" w:hAnsi="Times New Roman" w:cs="Times New Roman"/>
          <w:b/>
          <w:color w:val="auto"/>
          <w:sz w:val="24"/>
          <w:szCs w:val="24"/>
          <w:lang w:val="en-US"/>
        </w:rPr>
        <w:t>8</w:t>
      </w:r>
    </w:p>
    <w:tbl>
      <w:tblPr>
        <w:tblStyle w:val="a4"/>
        <w:tblW w:w="9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2"/>
        <w:gridCol w:w="1100"/>
        <w:gridCol w:w="1217"/>
        <w:gridCol w:w="1276"/>
        <w:gridCol w:w="1134"/>
        <w:gridCol w:w="1134"/>
        <w:gridCol w:w="992"/>
        <w:gridCol w:w="992"/>
        <w:gridCol w:w="850"/>
      </w:tblGrid>
      <w:tr w:rsidR="007C7AEE" w14:paraId="4FDB96ED" w14:textId="77777777" w:rsidTr="00BD154D">
        <w:trPr>
          <w:trHeight w:val="700"/>
          <w:jc w:val="center"/>
        </w:trPr>
        <w:tc>
          <w:tcPr>
            <w:tcW w:w="9917" w:type="dxa"/>
            <w:gridSpan w:val="9"/>
            <w:vAlign w:val="center"/>
          </w:tcPr>
          <w:p w14:paraId="1723B4CB" w14:textId="06927FB6" w:rsidR="007C7AEE" w:rsidRDefault="007C7AEE" w:rsidP="00067E0F">
            <w:pPr>
              <w:tabs>
                <w:tab w:val="left" w:pos="188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00067E0F">
              <w:rPr>
                <w:rFonts w:ascii="Times New Roman" w:eastAsia="Times New Roman" w:hAnsi="Times New Roman" w:cs="Times New Roman"/>
                <w:b/>
                <w:sz w:val="24"/>
                <w:szCs w:val="24"/>
              </w:rPr>
              <w:t>росечан број понуда</w:t>
            </w:r>
            <w:r w:rsidR="00780C0D">
              <w:rPr>
                <w:rFonts w:ascii="Times New Roman" w:eastAsia="Times New Roman" w:hAnsi="Times New Roman" w:cs="Times New Roman"/>
                <w:b/>
                <w:sz w:val="24"/>
                <w:szCs w:val="24"/>
                <w:lang w:val="sr-Cyrl-RS"/>
              </w:rPr>
              <w:t>*</w:t>
            </w:r>
          </w:p>
        </w:tc>
      </w:tr>
      <w:tr w:rsidR="007C7AEE" w14:paraId="1E8913B1" w14:textId="77777777" w:rsidTr="007B5A0F">
        <w:trPr>
          <w:trHeight w:val="420"/>
          <w:jc w:val="center"/>
        </w:trPr>
        <w:tc>
          <w:tcPr>
            <w:tcW w:w="1222" w:type="dxa"/>
            <w:vAlign w:val="center"/>
          </w:tcPr>
          <w:p w14:paraId="3639F15E" w14:textId="77777777" w:rsidR="007C7AEE" w:rsidRDefault="007C7AEE" w:rsidP="00B7015D">
            <w:pPr>
              <w:tabs>
                <w:tab w:val="left" w:pos="188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2011.</w:t>
            </w:r>
          </w:p>
          <w:p w14:paraId="67ED72DF" w14:textId="05623C56" w:rsidR="007C7AEE" w:rsidRPr="00AA3048" w:rsidRDefault="007C7AEE" w:rsidP="00B7015D">
            <w:pPr>
              <w:tabs>
                <w:tab w:val="left" w:pos="1885"/>
              </w:tabs>
              <w:spacing w:after="0" w:line="240" w:lineRule="auto"/>
              <w:jc w:val="center"/>
              <w:rPr>
                <w:lang w:val="sr-Cyrl-RS"/>
              </w:rPr>
            </w:pPr>
            <w:r>
              <w:rPr>
                <w:rFonts w:ascii="Times New Roman" w:eastAsia="Times New Roman" w:hAnsi="Times New Roman" w:cs="Times New Roman"/>
                <w:b/>
                <w:sz w:val="24"/>
                <w:szCs w:val="24"/>
              </w:rPr>
              <w:t>година</w:t>
            </w:r>
          </w:p>
        </w:tc>
        <w:tc>
          <w:tcPr>
            <w:tcW w:w="1100" w:type="dxa"/>
            <w:vAlign w:val="center"/>
          </w:tcPr>
          <w:p w14:paraId="1B5CB90B" w14:textId="77777777" w:rsidR="007C7AEE" w:rsidRDefault="007C7AEE" w:rsidP="00B7015D">
            <w:pPr>
              <w:tabs>
                <w:tab w:val="left" w:pos="188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2012.</w:t>
            </w:r>
          </w:p>
          <w:p w14:paraId="4F33A147" w14:textId="5CC17AAF" w:rsidR="007C7AEE" w:rsidRPr="00AA3048" w:rsidRDefault="007C7AEE" w:rsidP="00B7015D">
            <w:pPr>
              <w:tabs>
                <w:tab w:val="left" w:pos="1885"/>
              </w:tabs>
              <w:spacing w:after="0" w:line="240" w:lineRule="auto"/>
              <w:jc w:val="center"/>
              <w:rPr>
                <w:lang w:val="sr-Cyrl-RS"/>
              </w:rPr>
            </w:pPr>
            <w:r>
              <w:rPr>
                <w:rFonts w:ascii="Times New Roman" w:eastAsia="Times New Roman" w:hAnsi="Times New Roman" w:cs="Times New Roman"/>
                <w:b/>
                <w:sz w:val="24"/>
                <w:szCs w:val="24"/>
              </w:rPr>
              <w:t>година</w:t>
            </w:r>
          </w:p>
        </w:tc>
        <w:tc>
          <w:tcPr>
            <w:tcW w:w="1217" w:type="dxa"/>
            <w:vAlign w:val="center"/>
          </w:tcPr>
          <w:p w14:paraId="0ABF092C" w14:textId="77777777" w:rsidR="007C7AEE" w:rsidRDefault="007C7AEE" w:rsidP="00B7015D">
            <w:pPr>
              <w:tabs>
                <w:tab w:val="left" w:pos="188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2013.</w:t>
            </w:r>
          </w:p>
          <w:p w14:paraId="5DCF916F" w14:textId="5FE96CC8" w:rsidR="007C7AEE" w:rsidRPr="00AA3048" w:rsidRDefault="007C7AEE" w:rsidP="00B7015D">
            <w:pPr>
              <w:tabs>
                <w:tab w:val="left" w:pos="1885"/>
              </w:tabs>
              <w:spacing w:after="0" w:line="240" w:lineRule="auto"/>
              <w:jc w:val="center"/>
              <w:rPr>
                <w:lang w:val="sr-Cyrl-RS"/>
              </w:rPr>
            </w:pPr>
            <w:r>
              <w:rPr>
                <w:rFonts w:ascii="Times New Roman" w:eastAsia="Times New Roman" w:hAnsi="Times New Roman" w:cs="Times New Roman"/>
                <w:b/>
                <w:sz w:val="24"/>
                <w:szCs w:val="24"/>
              </w:rPr>
              <w:t>година</w:t>
            </w:r>
          </w:p>
        </w:tc>
        <w:tc>
          <w:tcPr>
            <w:tcW w:w="1276" w:type="dxa"/>
            <w:vAlign w:val="center"/>
          </w:tcPr>
          <w:p w14:paraId="7F0B2EDB" w14:textId="2C46D83F" w:rsidR="007C7AEE" w:rsidRPr="00AA3048" w:rsidRDefault="007C7AEE" w:rsidP="00B7015D">
            <w:pPr>
              <w:tabs>
                <w:tab w:val="left" w:pos="1885"/>
              </w:tabs>
              <w:spacing w:after="0" w:line="240" w:lineRule="auto"/>
              <w:jc w:val="center"/>
              <w:rPr>
                <w:lang w:val="sr-Cyrl-RS"/>
              </w:rPr>
            </w:pPr>
            <w:r>
              <w:rPr>
                <w:rFonts w:ascii="Times New Roman" w:eastAsia="Times New Roman" w:hAnsi="Times New Roman" w:cs="Times New Roman"/>
                <w:b/>
                <w:sz w:val="24"/>
                <w:szCs w:val="24"/>
              </w:rPr>
              <w:t>2014. година</w:t>
            </w:r>
          </w:p>
        </w:tc>
        <w:tc>
          <w:tcPr>
            <w:tcW w:w="1134" w:type="dxa"/>
            <w:vAlign w:val="center"/>
          </w:tcPr>
          <w:p w14:paraId="6B117819" w14:textId="199E24B9" w:rsidR="007C7AEE" w:rsidRPr="00AA3048" w:rsidRDefault="007C7AEE" w:rsidP="00B7015D">
            <w:pPr>
              <w:tabs>
                <w:tab w:val="left" w:pos="1885"/>
              </w:tabs>
              <w:spacing w:after="0" w:line="240" w:lineRule="auto"/>
              <w:jc w:val="center"/>
              <w:rPr>
                <w:lang w:val="sr-Cyrl-RS"/>
              </w:rPr>
            </w:pPr>
            <w:r>
              <w:rPr>
                <w:rFonts w:ascii="Times New Roman" w:eastAsia="Times New Roman" w:hAnsi="Times New Roman" w:cs="Times New Roman"/>
                <w:b/>
                <w:sz w:val="24"/>
                <w:szCs w:val="24"/>
              </w:rPr>
              <w:t>2015. година</w:t>
            </w:r>
          </w:p>
        </w:tc>
        <w:tc>
          <w:tcPr>
            <w:tcW w:w="1134" w:type="dxa"/>
            <w:vAlign w:val="center"/>
          </w:tcPr>
          <w:p w14:paraId="183950B2" w14:textId="77777777" w:rsidR="007C7AEE" w:rsidRPr="00B11F50" w:rsidRDefault="007C7AEE" w:rsidP="00B7015D">
            <w:pPr>
              <w:tabs>
                <w:tab w:val="left" w:pos="1885"/>
              </w:tabs>
              <w:spacing w:after="0" w:line="240" w:lineRule="auto"/>
              <w:jc w:val="center"/>
              <w:rPr>
                <w:color w:val="auto"/>
                <w:lang w:val="sr-Cyrl-CS"/>
              </w:rPr>
            </w:pPr>
            <w:r>
              <w:rPr>
                <w:rFonts w:ascii="Times New Roman" w:eastAsia="Times New Roman" w:hAnsi="Times New Roman" w:cs="Times New Roman"/>
                <w:b/>
                <w:color w:val="auto"/>
                <w:sz w:val="24"/>
                <w:szCs w:val="24"/>
              </w:rPr>
              <w:t>2016. година</w:t>
            </w:r>
          </w:p>
        </w:tc>
        <w:tc>
          <w:tcPr>
            <w:tcW w:w="992" w:type="dxa"/>
          </w:tcPr>
          <w:p w14:paraId="69D968A5" w14:textId="77777777" w:rsidR="007C7AEE" w:rsidRPr="00E644CE" w:rsidRDefault="007C7AEE" w:rsidP="00B7015D">
            <w:pPr>
              <w:tabs>
                <w:tab w:val="left" w:pos="1885"/>
              </w:tabs>
              <w:spacing w:after="0" w:line="240" w:lineRule="auto"/>
              <w:jc w:val="center"/>
              <w:rPr>
                <w:rFonts w:ascii="Times New Roman" w:eastAsia="Times New Roman" w:hAnsi="Times New Roman" w:cs="Times New Roman"/>
                <w:b/>
                <w:color w:val="000000" w:themeColor="text1"/>
                <w:sz w:val="24"/>
                <w:szCs w:val="24"/>
              </w:rPr>
            </w:pPr>
            <w:r w:rsidRPr="00E644CE">
              <w:rPr>
                <w:rFonts w:ascii="Times New Roman" w:eastAsia="Times New Roman" w:hAnsi="Times New Roman" w:cs="Times New Roman"/>
                <w:b/>
                <w:color w:val="000000" w:themeColor="text1"/>
                <w:sz w:val="24"/>
                <w:szCs w:val="24"/>
              </w:rPr>
              <w:t>2017.</w:t>
            </w:r>
          </w:p>
          <w:p w14:paraId="549073AE" w14:textId="77777777" w:rsidR="007C7AEE" w:rsidRPr="00B11F50" w:rsidRDefault="007C7AEE" w:rsidP="00B7015D">
            <w:pPr>
              <w:tabs>
                <w:tab w:val="left" w:pos="1885"/>
              </w:tabs>
              <w:spacing w:after="0" w:line="240" w:lineRule="auto"/>
              <w:jc w:val="center"/>
              <w:rPr>
                <w:rFonts w:ascii="Times New Roman" w:eastAsia="Times New Roman" w:hAnsi="Times New Roman" w:cs="Times New Roman"/>
                <w:b/>
                <w:color w:val="000000" w:themeColor="text1"/>
                <w:sz w:val="24"/>
                <w:szCs w:val="24"/>
                <w:lang w:val="sr-Cyrl-CS"/>
              </w:rPr>
            </w:pPr>
            <w:r>
              <w:rPr>
                <w:rFonts w:ascii="Times New Roman" w:eastAsia="Times New Roman" w:hAnsi="Times New Roman" w:cs="Times New Roman"/>
                <w:b/>
                <w:color w:val="000000" w:themeColor="text1"/>
                <w:sz w:val="24"/>
                <w:szCs w:val="24"/>
              </w:rPr>
              <w:t>година</w:t>
            </w:r>
          </w:p>
        </w:tc>
        <w:tc>
          <w:tcPr>
            <w:tcW w:w="992" w:type="dxa"/>
            <w:vAlign w:val="center"/>
          </w:tcPr>
          <w:p w14:paraId="2BA1ADF0" w14:textId="77777777" w:rsidR="007C7AEE" w:rsidRDefault="007C7AEE" w:rsidP="007B5A0F">
            <w:pPr>
              <w:tabs>
                <w:tab w:val="left" w:pos="1885"/>
              </w:tabs>
              <w:spacing w:after="0" w:line="240" w:lineRule="auto"/>
              <w:jc w:val="center"/>
              <w:rPr>
                <w:rFonts w:ascii="Times New Roman" w:eastAsia="Times New Roman" w:hAnsi="Times New Roman" w:cs="Times New Roman"/>
                <w:b/>
                <w:color w:val="000000" w:themeColor="text1"/>
                <w:sz w:val="24"/>
                <w:szCs w:val="24"/>
                <w:lang w:val="sr-Cyrl-RS"/>
              </w:rPr>
            </w:pPr>
            <w:r>
              <w:rPr>
                <w:rFonts w:ascii="Times New Roman" w:eastAsia="Times New Roman" w:hAnsi="Times New Roman" w:cs="Times New Roman"/>
                <w:b/>
                <w:color w:val="000000" w:themeColor="text1"/>
                <w:sz w:val="24"/>
                <w:szCs w:val="24"/>
                <w:lang w:val="sr-Cyrl-RS"/>
              </w:rPr>
              <w:t>2018.</w:t>
            </w:r>
          </w:p>
          <w:p w14:paraId="44B2D013" w14:textId="7F64C925" w:rsidR="007B5A0F" w:rsidRPr="00FA614A" w:rsidRDefault="007B5A0F" w:rsidP="007B5A0F">
            <w:pPr>
              <w:tabs>
                <w:tab w:val="left" w:pos="1885"/>
              </w:tabs>
              <w:spacing w:after="0" w:line="240" w:lineRule="auto"/>
              <w:jc w:val="center"/>
              <w:rPr>
                <w:rFonts w:ascii="Times New Roman" w:eastAsia="Times New Roman" w:hAnsi="Times New Roman" w:cs="Times New Roman"/>
                <w:b/>
                <w:color w:val="000000" w:themeColor="text1"/>
                <w:sz w:val="24"/>
                <w:szCs w:val="24"/>
                <w:lang w:val="sr-Cyrl-RS"/>
              </w:rPr>
            </w:pPr>
            <w:r>
              <w:rPr>
                <w:rFonts w:ascii="Times New Roman" w:eastAsia="Times New Roman" w:hAnsi="Times New Roman" w:cs="Times New Roman"/>
                <w:b/>
                <w:color w:val="000000" w:themeColor="text1"/>
                <w:sz w:val="24"/>
                <w:szCs w:val="24"/>
                <w:lang w:val="sr-Cyrl-RS"/>
              </w:rPr>
              <w:t>година</w:t>
            </w:r>
          </w:p>
        </w:tc>
        <w:tc>
          <w:tcPr>
            <w:tcW w:w="850" w:type="dxa"/>
          </w:tcPr>
          <w:p w14:paraId="1AE53807" w14:textId="77777777" w:rsidR="007C7AEE" w:rsidRDefault="007C7AEE" w:rsidP="00B7015D">
            <w:pPr>
              <w:tabs>
                <w:tab w:val="left" w:pos="1885"/>
              </w:tabs>
              <w:spacing w:after="0" w:line="240" w:lineRule="auto"/>
              <w:jc w:val="center"/>
              <w:rPr>
                <w:rFonts w:ascii="Times New Roman" w:eastAsia="Times New Roman" w:hAnsi="Times New Roman" w:cs="Times New Roman"/>
                <w:b/>
                <w:color w:val="000000" w:themeColor="text1"/>
                <w:sz w:val="24"/>
                <w:szCs w:val="24"/>
                <w:lang w:val="sr-Latn-RS"/>
              </w:rPr>
            </w:pPr>
            <w:r>
              <w:rPr>
                <w:rFonts w:ascii="Times New Roman" w:eastAsia="Times New Roman" w:hAnsi="Times New Roman" w:cs="Times New Roman"/>
                <w:b/>
                <w:color w:val="000000" w:themeColor="text1"/>
                <w:sz w:val="24"/>
                <w:szCs w:val="24"/>
                <w:lang w:val="sr-Latn-RS"/>
              </w:rPr>
              <w:t>2019.</w:t>
            </w:r>
          </w:p>
          <w:p w14:paraId="66A33730" w14:textId="77777777" w:rsidR="007C7AEE" w:rsidRPr="007C7AEE" w:rsidRDefault="007C7AEE" w:rsidP="00B7015D">
            <w:pPr>
              <w:tabs>
                <w:tab w:val="left" w:pos="1885"/>
              </w:tabs>
              <w:spacing w:after="0" w:line="240" w:lineRule="auto"/>
              <w:jc w:val="center"/>
              <w:rPr>
                <w:rFonts w:ascii="Times New Roman" w:eastAsia="Times New Roman" w:hAnsi="Times New Roman" w:cs="Times New Roman"/>
                <w:b/>
                <w:color w:val="000000" w:themeColor="text1"/>
                <w:sz w:val="24"/>
                <w:szCs w:val="24"/>
                <w:lang w:val="sr-Cyrl-CS"/>
              </w:rPr>
            </w:pPr>
            <w:r>
              <w:rPr>
                <w:rFonts w:ascii="Times New Roman" w:eastAsia="Times New Roman" w:hAnsi="Times New Roman" w:cs="Times New Roman"/>
                <w:b/>
                <w:color w:val="000000" w:themeColor="text1"/>
                <w:sz w:val="24"/>
                <w:szCs w:val="24"/>
                <w:lang w:val="sr-Latn-RS"/>
              </w:rPr>
              <w:t>1</w:t>
            </w:r>
            <w:r>
              <w:rPr>
                <w:rFonts w:ascii="Times New Roman" w:eastAsia="Times New Roman" w:hAnsi="Times New Roman" w:cs="Times New Roman"/>
                <w:b/>
                <w:color w:val="000000" w:themeColor="text1"/>
                <w:sz w:val="24"/>
                <w:szCs w:val="24"/>
                <w:lang w:val="sr-Cyrl-CS"/>
              </w:rPr>
              <w:t>П</w:t>
            </w:r>
          </w:p>
        </w:tc>
      </w:tr>
      <w:tr w:rsidR="007C7AEE" w14:paraId="57DB7F0E" w14:textId="77777777" w:rsidTr="007B5A0F">
        <w:trPr>
          <w:jc w:val="center"/>
        </w:trPr>
        <w:tc>
          <w:tcPr>
            <w:tcW w:w="1222" w:type="dxa"/>
            <w:vAlign w:val="center"/>
          </w:tcPr>
          <w:p w14:paraId="0BC52C52" w14:textId="77777777" w:rsidR="007C7AEE" w:rsidRDefault="007C7AEE">
            <w:pPr>
              <w:tabs>
                <w:tab w:val="left" w:pos="1885"/>
              </w:tabs>
              <w:spacing w:after="0" w:line="240" w:lineRule="auto"/>
              <w:jc w:val="center"/>
            </w:pPr>
            <w:r>
              <w:rPr>
                <w:rFonts w:ascii="Times New Roman" w:eastAsia="Times New Roman" w:hAnsi="Times New Roman" w:cs="Times New Roman"/>
                <w:sz w:val="24"/>
                <w:szCs w:val="24"/>
              </w:rPr>
              <w:t>3,2</w:t>
            </w:r>
          </w:p>
        </w:tc>
        <w:tc>
          <w:tcPr>
            <w:tcW w:w="1100" w:type="dxa"/>
            <w:vAlign w:val="center"/>
          </w:tcPr>
          <w:p w14:paraId="2641F00D" w14:textId="77777777" w:rsidR="007C7AEE" w:rsidRDefault="007C7AEE">
            <w:pPr>
              <w:tabs>
                <w:tab w:val="left" w:pos="1885"/>
              </w:tabs>
              <w:spacing w:after="0" w:line="240" w:lineRule="auto"/>
              <w:jc w:val="center"/>
            </w:pPr>
            <w:r>
              <w:rPr>
                <w:rFonts w:ascii="Times New Roman" w:eastAsia="Times New Roman" w:hAnsi="Times New Roman" w:cs="Times New Roman"/>
                <w:sz w:val="24"/>
                <w:szCs w:val="24"/>
              </w:rPr>
              <w:t>2,7</w:t>
            </w:r>
          </w:p>
        </w:tc>
        <w:tc>
          <w:tcPr>
            <w:tcW w:w="1217" w:type="dxa"/>
            <w:vAlign w:val="center"/>
          </w:tcPr>
          <w:p w14:paraId="4AA2E748" w14:textId="77777777" w:rsidR="007C7AEE" w:rsidRDefault="007C7AEE">
            <w:pPr>
              <w:tabs>
                <w:tab w:val="left" w:pos="1885"/>
              </w:tabs>
              <w:spacing w:after="0" w:line="240" w:lineRule="auto"/>
              <w:jc w:val="center"/>
            </w:pPr>
            <w:r>
              <w:rPr>
                <w:rFonts w:ascii="Times New Roman" w:eastAsia="Times New Roman" w:hAnsi="Times New Roman" w:cs="Times New Roman"/>
                <w:sz w:val="24"/>
                <w:szCs w:val="24"/>
              </w:rPr>
              <w:t>2,7</w:t>
            </w:r>
          </w:p>
        </w:tc>
        <w:tc>
          <w:tcPr>
            <w:tcW w:w="1276" w:type="dxa"/>
            <w:vAlign w:val="center"/>
          </w:tcPr>
          <w:p w14:paraId="668F96B6" w14:textId="77777777" w:rsidR="007C7AEE" w:rsidRDefault="007C7AEE">
            <w:pPr>
              <w:tabs>
                <w:tab w:val="left" w:pos="1885"/>
              </w:tabs>
              <w:spacing w:after="0" w:line="240" w:lineRule="auto"/>
              <w:jc w:val="center"/>
            </w:pPr>
            <w:r>
              <w:rPr>
                <w:rFonts w:ascii="Times New Roman" w:eastAsia="Times New Roman" w:hAnsi="Times New Roman" w:cs="Times New Roman"/>
                <w:sz w:val="24"/>
                <w:szCs w:val="24"/>
              </w:rPr>
              <w:t>2,6</w:t>
            </w:r>
          </w:p>
        </w:tc>
        <w:tc>
          <w:tcPr>
            <w:tcW w:w="1134" w:type="dxa"/>
            <w:vAlign w:val="center"/>
          </w:tcPr>
          <w:p w14:paraId="2D95B0FD" w14:textId="77777777" w:rsidR="007C7AEE" w:rsidRDefault="007C7AEE">
            <w:pPr>
              <w:tabs>
                <w:tab w:val="left" w:pos="1885"/>
              </w:tabs>
              <w:spacing w:after="0" w:line="240" w:lineRule="auto"/>
              <w:jc w:val="center"/>
            </w:pPr>
            <w:r>
              <w:rPr>
                <w:rFonts w:ascii="Times New Roman" w:eastAsia="Times New Roman" w:hAnsi="Times New Roman" w:cs="Times New Roman"/>
                <w:sz w:val="24"/>
                <w:szCs w:val="24"/>
              </w:rPr>
              <w:t>2,9</w:t>
            </w:r>
          </w:p>
        </w:tc>
        <w:tc>
          <w:tcPr>
            <w:tcW w:w="1134" w:type="dxa"/>
          </w:tcPr>
          <w:p w14:paraId="62B3B0D3" w14:textId="77777777" w:rsidR="007C7AEE" w:rsidRPr="00636984" w:rsidRDefault="007C7AEE">
            <w:pPr>
              <w:tabs>
                <w:tab w:val="left" w:pos="1885"/>
              </w:tabs>
              <w:spacing w:after="0" w:line="240" w:lineRule="auto"/>
              <w:jc w:val="center"/>
              <w:rPr>
                <w:color w:val="auto"/>
              </w:rPr>
            </w:pPr>
            <w:r>
              <w:rPr>
                <w:rFonts w:ascii="Times New Roman" w:eastAsia="Times New Roman" w:hAnsi="Times New Roman" w:cs="Times New Roman"/>
                <w:color w:val="auto"/>
                <w:sz w:val="24"/>
                <w:szCs w:val="24"/>
              </w:rPr>
              <w:t>2,9</w:t>
            </w:r>
          </w:p>
        </w:tc>
        <w:tc>
          <w:tcPr>
            <w:tcW w:w="992" w:type="dxa"/>
          </w:tcPr>
          <w:p w14:paraId="22938378" w14:textId="77777777" w:rsidR="007C7AEE" w:rsidRPr="00E644CE" w:rsidRDefault="007C7AEE">
            <w:pPr>
              <w:tabs>
                <w:tab w:val="left" w:pos="1885"/>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992" w:type="dxa"/>
          </w:tcPr>
          <w:p w14:paraId="10274CE4" w14:textId="77777777" w:rsidR="007C7AEE" w:rsidRPr="00FA614A" w:rsidRDefault="007C7AEE">
            <w:pPr>
              <w:tabs>
                <w:tab w:val="left" w:pos="1885"/>
              </w:tabs>
              <w:spacing w:after="0" w:line="240" w:lineRule="auto"/>
              <w:jc w:val="cente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2,5</w:t>
            </w:r>
          </w:p>
        </w:tc>
        <w:tc>
          <w:tcPr>
            <w:tcW w:w="850" w:type="dxa"/>
          </w:tcPr>
          <w:p w14:paraId="4EBD8671" w14:textId="77777777" w:rsidR="007C7AEE" w:rsidRDefault="001432DA">
            <w:pPr>
              <w:tabs>
                <w:tab w:val="left" w:pos="1885"/>
              </w:tabs>
              <w:spacing w:after="0" w:line="240" w:lineRule="auto"/>
              <w:jc w:val="cente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2,2</w:t>
            </w:r>
          </w:p>
        </w:tc>
      </w:tr>
    </w:tbl>
    <w:p w14:paraId="3BDAB31B" w14:textId="22727CF2" w:rsidR="00780C0D" w:rsidRPr="00780C0D" w:rsidRDefault="00780C0D" w:rsidP="00780C0D">
      <w:pPr>
        <w:rPr>
          <w:color w:val="000000" w:themeColor="text1"/>
        </w:rPr>
      </w:pPr>
      <w:r w:rsidRPr="009C694B">
        <w:rPr>
          <w:color w:val="000000" w:themeColor="text1"/>
        </w:rPr>
        <w:t>*</w:t>
      </w:r>
      <w:r w:rsidRPr="009C694B">
        <w:rPr>
          <w:rFonts w:ascii="Times New Roman" w:hAnsi="Times New Roman" w:cs="Times New Roman"/>
          <w:color w:val="000000" w:themeColor="text1"/>
        </w:rPr>
        <w:t>на основу по</w:t>
      </w:r>
      <w:r>
        <w:rPr>
          <w:rFonts w:ascii="Times New Roman" w:hAnsi="Times New Roman" w:cs="Times New Roman"/>
          <w:color w:val="000000" w:themeColor="text1"/>
        </w:rPr>
        <w:t>датака са Портала јавних набавки</w:t>
      </w:r>
      <w:r w:rsidR="00B11F50">
        <w:rPr>
          <w:rFonts w:ascii="Times New Roman" w:hAnsi="Times New Roman" w:cs="Times New Roman"/>
          <w:color w:val="FF0000"/>
          <w:lang w:val="sr-Cyrl-RS"/>
        </w:rPr>
        <w:t xml:space="preserve">                                                                                                                                                                </w:t>
      </w:r>
    </w:p>
    <w:p w14:paraId="74024FF8" w14:textId="73635DAF" w:rsidR="00195014" w:rsidRPr="00780C0D" w:rsidRDefault="004F0DED" w:rsidP="00780C0D">
      <w:pPr>
        <w:ind w:left="142"/>
        <w:jc w:val="both"/>
        <w:rPr>
          <w:rFonts w:ascii="Times New Roman" w:hAnsi="Times New Roman" w:cs="Times New Roman"/>
          <w:color w:val="FF0000"/>
          <w:lang w:val="sr-Cyrl-RS"/>
        </w:rPr>
      </w:pPr>
      <w:r>
        <w:rPr>
          <w:rFonts w:ascii="Times New Roman" w:eastAsia="Times New Roman" w:hAnsi="Times New Roman" w:cs="Times New Roman"/>
          <w:sz w:val="24"/>
          <w:szCs w:val="24"/>
        </w:rPr>
        <w:t xml:space="preserve">У Табели </w:t>
      </w:r>
      <w:r w:rsidR="009C694B">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 приказан је просечан број понуда по врстама поступака</w:t>
      </w:r>
      <w:r w:rsidR="00C115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отвореном поступку, који је учествовао са 9</w:t>
      </w:r>
      <w:r w:rsidR="009C694B">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у укупној вредности јавних</w:t>
      </w:r>
      <w:r w:rsidR="006B5953">
        <w:rPr>
          <w:rFonts w:ascii="Times New Roman" w:eastAsia="Times New Roman" w:hAnsi="Times New Roman" w:cs="Times New Roman"/>
          <w:sz w:val="24"/>
          <w:szCs w:val="24"/>
        </w:rPr>
        <w:t xml:space="preserve"> набавки, било је, у просеку,</w:t>
      </w:r>
      <w:r w:rsidR="00474742">
        <w:rPr>
          <w:rFonts w:ascii="Times New Roman" w:eastAsia="Times New Roman" w:hAnsi="Times New Roman" w:cs="Times New Roman"/>
          <w:sz w:val="24"/>
          <w:szCs w:val="24"/>
        </w:rPr>
        <w:t xml:space="preserve"> 2,</w:t>
      </w:r>
      <w:r w:rsidR="009C694B">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 xml:space="preserve"> понуд</w:t>
      </w:r>
      <w:r w:rsidR="008616D8">
        <w:rPr>
          <w:rFonts w:ascii="Times New Roman" w:eastAsia="Times New Roman" w:hAnsi="Times New Roman" w:cs="Times New Roman"/>
          <w:sz w:val="24"/>
          <w:szCs w:val="24"/>
        </w:rPr>
        <w:t>е</w:t>
      </w:r>
      <w:r>
        <w:rPr>
          <w:rFonts w:ascii="Times New Roman" w:eastAsia="Times New Roman" w:hAnsi="Times New Roman" w:cs="Times New Roman"/>
          <w:sz w:val="24"/>
          <w:szCs w:val="24"/>
        </w:rPr>
        <w:t>, док је интензитет конкуренције код преговарачког поступка без објављивања позива био значај</w:t>
      </w:r>
      <w:r w:rsidR="00474742">
        <w:rPr>
          <w:rFonts w:ascii="Times New Roman" w:eastAsia="Times New Roman" w:hAnsi="Times New Roman" w:cs="Times New Roman"/>
          <w:sz w:val="24"/>
          <w:szCs w:val="24"/>
        </w:rPr>
        <w:t xml:space="preserve">но нижи и износио </w:t>
      </w:r>
      <w:r w:rsidR="00E9770C">
        <w:rPr>
          <w:rFonts w:ascii="Times New Roman" w:eastAsia="Times New Roman" w:hAnsi="Times New Roman" w:cs="Times New Roman"/>
          <w:sz w:val="24"/>
          <w:szCs w:val="24"/>
          <w:lang w:val="sr-Cyrl-RS"/>
        </w:rPr>
        <w:t xml:space="preserve">је </w:t>
      </w:r>
      <w:r w:rsidR="00474742">
        <w:rPr>
          <w:rFonts w:ascii="Times New Roman" w:eastAsia="Times New Roman" w:hAnsi="Times New Roman" w:cs="Times New Roman"/>
          <w:sz w:val="24"/>
          <w:szCs w:val="24"/>
        </w:rPr>
        <w:t>свега 1,</w:t>
      </w:r>
      <w:r w:rsidR="009C694B">
        <w:rPr>
          <w:rFonts w:ascii="Times New Roman" w:eastAsia="Times New Roman" w:hAnsi="Times New Roman" w:cs="Times New Roman"/>
          <w:sz w:val="24"/>
          <w:szCs w:val="24"/>
          <w:lang w:val="en-US"/>
        </w:rPr>
        <w:t>2</w:t>
      </w:r>
      <w:r w:rsidR="00C11519">
        <w:rPr>
          <w:rFonts w:ascii="Times New Roman" w:eastAsia="Times New Roman" w:hAnsi="Times New Roman" w:cs="Times New Roman"/>
          <w:sz w:val="24"/>
          <w:szCs w:val="24"/>
        </w:rPr>
        <w:t xml:space="preserve"> понуде по поступку</w:t>
      </w:r>
      <w:r w:rsidR="00662B5F">
        <w:rPr>
          <w:rFonts w:ascii="Times New Roman" w:eastAsia="Times New Roman" w:hAnsi="Times New Roman" w:cs="Times New Roman"/>
          <w:sz w:val="24"/>
          <w:szCs w:val="24"/>
        </w:rPr>
        <w:t>.</w:t>
      </w:r>
      <w:r w:rsidRPr="009E2342">
        <w:rPr>
          <w:rFonts w:ascii="Times New Roman" w:eastAsia="Times New Roman" w:hAnsi="Times New Roman" w:cs="Times New Roman"/>
          <w:b/>
          <w:color w:val="FF0000"/>
          <w:sz w:val="24"/>
          <w:szCs w:val="24"/>
        </w:rPr>
        <w:t xml:space="preserve">     </w:t>
      </w:r>
      <w:r w:rsidR="00195014">
        <w:rPr>
          <w:rFonts w:ascii="Times New Roman" w:eastAsia="Times New Roman" w:hAnsi="Times New Roman" w:cs="Times New Roman"/>
          <w:b/>
          <w:color w:val="FF0000"/>
          <w:sz w:val="24"/>
          <w:szCs w:val="24"/>
          <w:lang w:val="sr-Cyrl-CS"/>
        </w:rPr>
        <w:t xml:space="preserve">  </w:t>
      </w:r>
    </w:p>
    <w:p w14:paraId="17C2D428" w14:textId="77777777" w:rsidR="00CE12D5" w:rsidRPr="00CE12D5" w:rsidRDefault="00EC57D6">
      <w:pPr>
        <w:jc w:val="both"/>
        <w:rPr>
          <w:rFonts w:ascii="Times New Roman" w:eastAsia="Times New Roman" w:hAnsi="Times New Roman" w:cs="Times New Roman"/>
          <w:b/>
          <w:color w:val="FF0000"/>
          <w:sz w:val="24"/>
          <w:szCs w:val="24"/>
          <w:lang w:val="en-US"/>
        </w:rPr>
      </w:pPr>
      <w:r>
        <w:rPr>
          <w:rFonts w:ascii="Times New Roman" w:eastAsia="Times New Roman" w:hAnsi="Times New Roman" w:cs="Times New Roman"/>
          <w:b/>
          <w:color w:val="FF0000"/>
          <w:sz w:val="24"/>
          <w:szCs w:val="24"/>
          <w:lang w:val="sr-Cyrl-CS"/>
        </w:rPr>
        <w:t xml:space="preserve">    </w:t>
      </w:r>
      <w:r w:rsidR="004F0DED" w:rsidRPr="00863A81">
        <w:rPr>
          <w:rFonts w:ascii="Times New Roman" w:eastAsia="Times New Roman" w:hAnsi="Times New Roman" w:cs="Times New Roman"/>
          <w:b/>
          <w:color w:val="auto"/>
          <w:sz w:val="24"/>
          <w:szCs w:val="24"/>
        </w:rPr>
        <w:t xml:space="preserve">Табела </w:t>
      </w:r>
      <w:r w:rsidR="00FD2427" w:rsidRPr="00863A81">
        <w:rPr>
          <w:rFonts w:ascii="Times New Roman" w:eastAsia="Times New Roman" w:hAnsi="Times New Roman" w:cs="Times New Roman"/>
          <w:b/>
          <w:color w:val="auto"/>
          <w:sz w:val="24"/>
          <w:szCs w:val="24"/>
          <w:lang w:val="en-US"/>
        </w:rPr>
        <w:t>9</w:t>
      </w:r>
    </w:p>
    <w:tbl>
      <w:tblPr>
        <w:tblStyle w:val="a5"/>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7"/>
        <w:gridCol w:w="3086"/>
      </w:tblGrid>
      <w:tr w:rsidR="0081466B" w:rsidRPr="00FC20EA" w14:paraId="5B6B1F3C" w14:textId="77777777" w:rsidTr="00310797">
        <w:trPr>
          <w:jc w:val="center"/>
        </w:trPr>
        <w:tc>
          <w:tcPr>
            <w:tcW w:w="8613" w:type="dxa"/>
            <w:gridSpan w:val="2"/>
            <w:vAlign w:val="center"/>
          </w:tcPr>
          <w:p w14:paraId="2851CE23" w14:textId="77777777" w:rsidR="0081466B" w:rsidRPr="00FC20EA" w:rsidRDefault="004F0DED">
            <w:pPr>
              <w:jc w:val="center"/>
              <w:rPr>
                <w:color w:val="000000" w:themeColor="text1"/>
              </w:rPr>
            </w:pPr>
            <w:r w:rsidRPr="00FC20EA">
              <w:rPr>
                <w:rFonts w:ascii="Times New Roman" w:eastAsia="Times New Roman" w:hAnsi="Times New Roman" w:cs="Times New Roman"/>
                <w:b/>
                <w:color w:val="000000" w:themeColor="text1"/>
                <w:sz w:val="24"/>
                <w:szCs w:val="24"/>
              </w:rPr>
              <w:t xml:space="preserve">Преглед просечног броја понуда по врстама поступка </w:t>
            </w:r>
          </w:p>
          <w:p w14:paraId="655DD2C1" w14:textId="04375E1E" w:rsidR="0081466B" w:rsidRPr="00FC20EA" w:rsidRDefault="007C7AEE">
            <w:pPr>
              <w:jc w:val="center"/>
              <w:rPr>
                <w:color w:val="000000" w:themeColor="text1"/>
              </w:rPr>
            </w:pPr>
            <w:r>
              <w:rPr>
                <w:rFonts w:ascii="Times New Roman" w:eastAsia="Times New Roman" w:hAnsi="Times New Roman" w:cs="Times New Roman"/>
                <w:b/>
                <w:color w:val="000000" w:themeColor="text1"/>
                <w:sz w:val="24"/>
                <w:szCs w:val="24"/>
              </w:rPr>
              <w:t>у првом полугодишту 2019</w:t>
            </w:r>
            <w:r w:rsidR="004F0DED" w:rsidRPr="00FC20EA">
              <w:rPr>
                <w:rFonts w:ascii="Times New Roman" w:eastAsia="Times New Roman" w:hAnsi="Times New Roman" w:cs="Times New Roman"/>
                <w:b/>
                <w:color w:val="000000" w:themeColor="text1"/>
                <w:sz w:val="24"/>
                <w:szCs w:val="24"/>
              </w:rPr>
              <w:t xml:space="preserve">. </w:t>
            </w:r>
            <w:r w:rsidR="00D537EC" w:rsidRPr="00FC20EA">
              <w:rPr>
                <w:rFonts w:ascii="Times New Roman" w:eastAsia="Times New Roman" w:hAnsi="Times New Roman" w:cs="Times New Roman"/>
                <w:b/>
                <w:color w:val="000000" w:themeColor="text1"/>
                <w:sz w:val="24"/>
                <w:szCs w:val="24"/>
              </w:rPr>
              <w:t>г</w:t>
            </w:r>
            <w:r w:rsidR="004F0DED" w:rsidRPr="00FC20EA">
              <w:rPr>
                <w:rFonts w:ascii="Times New Roman" w:eastAsia="Times New Roman" w:hAnsi="Times New Roman" w:cs="Times New Roman"/>
                <w:b/>
                <w:color w:val="000000" w:themeColor="text1"/>
                <w:sz w:val="24"/>
                <w:szCs w:val="24"/>
              </w:rPr>
              <w:t>одине</w:t>
            </w:r>
            <w:r w:rsidR="00780C0D">
              <w:rPr>
                <w:rFonts w:ascii="Times New Roman" w:eastAsia="Times New Roman" w:hAnsi="Times New Roman" w:cs="Times New Roman"/>
                <w:b/>
                <w:color w:val="000000" w:themeColor="text1"/>
                <w:sz w:val="24"/>
                <w:szCs w:val="24"/>
              </w:rPr>
              <w:t xml:space="preserve"> </w:t>
            </w:r>
          </w:p>
        </w:tc>
      </w:tr>
      <w:tr w:rsidR="0081466B" w:rsidRPr="00FC20EA" w14:paraId="1C863AE3" w14:textId="77777777" w:rsidTr="00310797">
        <w:trPr>
          <w:jc w:val="center"/>
        </w:trPr>
        <w:tc>
          <w:tcPr>
            <w:tcW w:w="5527" w:type="dxa"/>
            <w:vAlign w:val="center"/>
          </w:tcPr>
          <w:p w14:paraId="379A3AEE" w14:textId="77777777" w:rsidR="0081466B" w:rsidRPr="00FC20EA" w:rsidRDefault="004F0DED">
            <w:pPr>
              <w:tabs>
                <w:tab w:val="left" w:pos="1885"/>
              </w:tabs>
              <w:jc w:val="center"/>
              <w:rPr>
                <w:color w:val="000000" w:themeColor="text1"/>
              </w:rPr>
            </w:pPr>
            <w:r w:rsidRPr="00FC20EA">
              <w:rPr>
                <w:rFonts w:ascii="Times New Roman" w:eastAsia="Times New Roman" w:hAnsi="Times New Roman" w:cs="Times New Roman"/>
                <w:b/>
                <w:color w:val="000000" w:themeColor="text1"/>
                <w:sz w:val="24"/>
                <w:szCs w:val="24"/>
              </w:rPr>
              <w:t>Врста поступка</w:t>
            </w:r>
          </w:p>
          <w:p w14:paraId="32D39926" w14:textId="77777777" w:rsidR="0081466B" w:rsidRPr="00FC20EA" w:rsidRDefault="0081466B">
            <w:pPr>
              <w:tabs>
                <w:tab w:val="left" w:pos="1885"/>
              </w:tabs>
              <w:jc w:val="center"/>
              <w:rPr>
                <w:color w:val="000000" w:themeColor="text1"/>
                <w:lang w:val="en-US"/>
              </w:rPr>
            </w:pPr>
          </w:p>
        </w:tc>
        <w:tc>
          <w:tcPr>
            <w:tcW w:w="3086" w:type="dxa"/>
            <w:vAlign w:val="center"/>
          </w:tcPr>
          <w:p w14:paraId="7AA714BA" w14:textId="77777777" w:rsidR="0081466B" w:rsidRPr="00FC20EA" w:rsidRDefault="004F0DED">
            <w:pPr>
              <w:jc w:val="center"/>
              <w:rPr>
                <w:color w:val="000000" w:themeColor="text1"/>
              </w:rPr>
            </w:pPr>
            <w:r w:rsidRPr="00FC20EA">
              <w:rPr>
                <w:rFonts w:ascii="Times New Roman" w:eastAsia="Times New Roman" w:hAnsi="Times New Roman" w:cs="Times New Roman"/>
                <w:b/>
                <w:color w:val="000000" w:themeColor="text1"/>
                <w:sz w:val="24"/>
                <w:szCs w:val="24"/>
              </w:rPr>
              <w:t>Просечан број понуда</w:t>
            </w:r>
          </w:p>
          <w:p w14:paraId="76D3202C" w14:textId="77777777" w:rsidR="0081466B" w:rsidRPr="00FC20EA" w:rsidRDefault="009E2342">
            <w:pPr>
              <w:jc w:val="center"/>
              <w:rPr>
                <w:color w:val="000000" w:themeColor="text1"/>
              </w:rPr>
            </w:pPr>
            <w:r w:rsidRPr="00FC20EA">
              <w:rPr>
                <w:rFonts w:ascii="Times New Roman" w:eastAsia="Times New Roman" w:hAnsi="Times New Roman" w:cs="Times New Roman"/>
                <w:b/>
                <w:color w:val="000000" w:themeColor="text1"/>
                <w:sz w:val="24"/>
                <w:szCs w:val="24"/>
              </w:rPr>
              <w:t>по поступку</w:t>
            </w:r>
          </w:p>
        </w:tc>
      </w:tr>
      <w:tr w:rsidR="0081466B" w:rsidRPr="00FC20EA" w14:paraId="354385BB" w14:textId="77777777" w:rsidTr="00310797">
        <w:trPr>
          <w:jc w:val="center"/>
        </w:trPr>
        <w:tc>
          <w:tcPr>
            <w:tcW w:w="5527" w:type="dxa"/>
            <w:vAlign w:val="center"/>
          </w:tcPr>
          <w:p w14:paraId="648DD687" w14:textId="77777777" w:rsidR="0081466B" w:rsidRPr="00FC20EA" w:rsidRDefault="004F0DED">
            <w:pPr>
              <w:tabs>
                <w:tab w:val="left" w:pos="3622"/>
              </w:tabs>
              <w:jc w:val="center"/>
              <w:rPr>
                <w:color w:val="000000" w:themeColor="text1"/>
              </w:rPr>
            </w:pPr>
            <w:r w:rsidRPr="00FC20EA">
              <w:rPr>
                <w:rFonts w:ascii="Times New Roman" w:eastAsia="Times New Roman" w:hAnsi="Times New Roman" w:cs="Times New Roman"/>
                <w:b/>
                <w:color w:val="000000" w:themeColor="text1"/>
                <w:sz w:val="24"/>
                <w:szCs w:val="24"/>
              </w:rPr>
              <w:t>Отворени поступак</w:t>
            </w:r>
          </w:p>
        </w:tc>
        <w:tc>
          <w:tcPr>
            <w:tcW w:w="3086" w:type="dxa"/>
            <w:vAlign w:val="center"/>
          </w:tcPr>
          <w:p w14:paraId="306BDE7F" w14:textId="77777777" w:rsidR="0081466B" w:rsidRPr="009C694B" w:rsidRDefault="007C7AEE">
            <w:pPr>
              <w:jc w:val="center"/>
              <w:rPr>
                <w:rFonts w:ascii="Times New Roman" w:hAnsi="Times New Roman" w:cs="Times New Roman"/>
                <w:color w:val="000000" w:themeColor="text1"/>
              </w:rPr>
            </w:pPr>
            <w:r w:rsidRPr="009C694B">
              <w:rPr>
                <w:rFonts w:ascii="Times New Roman" w:hAnsi="Times New Roman" w:cs="Times New Roman"/>
                <w:color w:val="000000" w:themeColor="text1"/>
              </w:rPr>
              <w:t>2,3</w:t>
            </w:r>
          </w:p>
        </w:tc>
      </w:tr>
      <w:tr w:rsidR="0081466B" w:rsidRPr="00FC20EA" w14:paraId="0AD6CD7A" w14:textId="77777777" w:rsidTr="00310797">
        <w:trPr>
          <w:jc w:val="center"/>
        </w:trPr>
        <w:tc>
          <w:tcPr>
            <w:tcW w:w="5527" w:type="dxa"/>
            <w:vAlign w:val="center"/>
          </w:tcPr>
          <w:p w14:paraId="7A6E175E" w14:textId="77777777" w:rsidR="0081466B" w:rsidRPr="00FC20EA" w:rsidRDefault="004F0DED">
            <w:pPr>
              <w:tabs>
                <w:tab w:val="left" w:pos="3622"/>
              </w:tabs>
              <w:jc w:val="center"/>
              <w:rPr>
                <w:color w:val="000000" w:themeColor="text1"/>
              </w:rPr>
            </w:pPr>
            <w:r w:rsidRPr="00FC20EA">
              <w:rPr>
                <w:rFonts w:ascii="Times New Roman" w:eastAsia="Times New Roman" w:hAnsi="Times New Roman" w:cs="Times New Roman"/>
                <w:b/>
                <w:color w:val="000000" w:themeColor="text1"/>
                <w:sz w:val="24"/>
                <w:szCs w:val="24"/>
              </w:rPr>
              <w:t>Квалификациони поступак</w:t>
            </w:r>
          </w:p>
        </w:tc>
        <w:tc>
          <w:tcPr>
            <w:tcW w:w="3086" w:type="dxa"/>
            <w:vAlign w:val="center"/>
          </w:tcPr>
          <w:p w14:paraId="6C837971" w14:textId="77777777" w:rsidR="0081466B" w:rsidRPr="009C694B" w:rsidRDefault="007C7AEE">
            <w:pPr>
              <w:jc w:val="center"/>
              <w:rPr>
                <w:rFonts w:ascii="Times New Roman" w:hAnsi="Times New Roman" w:cs="Times New Roman"/>
                <w:color w:val="000000" w:themeColor="text1"/>
                <w:lang w:val="sr-Latn-RS"/>
              </w:rPr>
            </w:pPr>
            <w:r w:rsidRPr="009C694B">
              <w:rPr>
                <w:rFonts w:ascii="Times New Roman" w:hAnsi="Times New Roman" w:cs="Times New Roman"/>
                <w:color w:val="000000" w:themeColor="text1"/>
                <w:lang w:val="sr-Latn-RS"/>
              </w:rPr>
              <w:t>2,5</w:t>
            </w:r>
          </w:p>
        </w:tc>
      </w:tr>
      <w:tr w:rsidR="0081466B" w:rsidRPr="00FC20EA" w14:paraId="1FECA545" w14:textId="77777777" w:rsidTr="00310797">
        <w:trPr>
          <w:jc w:val="center"/>
        </w:trPr>
        <w:tc>
          <w:tcPr>
            <w:tcW w:w="5527" w:type="dxa"/>
            <w:vAlign w:val="center"/>
          </w:tcPr>
          <w:p w14:paraId="6D958AAC" w14:textId="77777777" w:rsidR="0081466B" w:rsidRPr="00FC20EA" w:rsidRDefault="004F0DED">
            <w:pPr>
              <w:tabs>
                <w:tab w:val="left" w:pos="3622"/>
              </w:tabs>
              <w:jc w:val="center"/>
              <w:rPr>
                <w:color w:val="000000" w:themeColor="text1"/>
              </w:rPr>
            </w:pPr>
            <w:r w:rsidRPr="00FC20EA">
              <w:rPr>
                <w:rFonts w:ascii="Times New Roman" w:eastAsia="Times New Roman" w:hAnsi="Times New Roman" w:cs="Times New Roman"/>
                <w:b/>
                <w:color w:val="000000" w:themeColor="text1"/>
                <w:sz w:val="24"/>
                <w:szCs w:val="24"/>
              </w:rPr>
              <w:t>Рестриктивни поступак</w:t>
            </w:r>
          </w:p>
        </w:tc>
        <w:tc>
          <w:tcPr>
            <w:tcW w:w="3086" w:type="dxa"/>
            <w:vAlign w:val="center"/>
          </w:tcPr>
          <w:p w14:paraId="1CF5E205" w14:textId="77777777" w:rsidR="0081466B" w:rsidRPr="009C694B" w:rsidRDefault="007C7AEE">
            <w:pPr>
              <w:jc w:val="center"/>
              <w:rPr>
                <w:rFonts w:ascii="Times New Roman" w:hAnsi="Times New Roman" w:cs="Times New Roman"/>
                <w:color w:val="000000" w:themeColor="text1"/>
              </w:rPr>
            </w:pPr>
            <w:r w:rsidRPr="009C694B">
              <w:rPr>
                <w:rFonts w:ascii="Times New Roman" w:hAnsi="Times New Roman" w:cs="Times New Roman"/>
                <w:color w:val="000000" w:themeColor="text1"/>
              </w:rPr>
              <w:t>2,6</w:t>
            </w:r>
          </w:p>
        </w:tc>
      </w:tr>
      <w:tr w:rsidR="0081466B" w:rsidRPr="00FC20EA" w14:paraId="7D3A0C01" w14:textId="77777777" w:rsidTr="00310797">
        <w:trPr>
          <w:jc w:val="center"/>
        </w:trPr>
        <w:tc>
          <w:tcPr>
            <w:tcW w:w="5527" w:type="dxa"/>
            <w:vAlign w:val="center"/>
          </w:tcPr>
          <w:p w14:paraId="548D1E88" w14:textId="77777777" w:rsidR="0081466B" w:rsidRPr="00FC20EA" w:rsidRDefault="004F0DED">
            <w:pPr>
              <w:tabs>
                <w:tab w:val="left" w:pos="3622"/>
              </w:tabs>
              <w:jc w:val="center"/>
              <w:rPr>
                <w:color w:val="000000" w:themeColor="text1"/>
              </w:rPr>
            </w:pPr>
            <w:r w:rsidRPr="00FC20EA">
              <w:rPr>
                <w:rFonts w:ascii="Times New Roman" w:eastAsia="Times New Roman" w:hAnsi="Times New Roman" w:cs="Times New Roman"/>
                <w:b/>
                <w:color w:val="000000" w:themeColor="text1"/>
                <w:sz w:val="24"/>
                <w:szCs w:val="24"/>
              </w:rPr>
              <w:t>Преговарачки поступак</w:t>
            </w:r>
          </w:p>
          <w:p w14:paraId="44D938C6" w14:textId="77777777" w:rsidR="0081466B" w:rsidRPr="00FC20EA" w:rsidRDefault="004F0DED">
            <w:pPr>
              <w:tabs>
                <w:tab w:val="left" w:pos="3622"/>
              </w:tabs>
              <w:jc w:val="center"/>
              <w:rPr>
                <w:color w:val="000000" w:themeColor="text1"/>
              </w:rPr>
            </w:pPr>
            <w:r w:rsidRPr="00FC20EA">
              <w:rPr>
                <w:rFonts w:ascii="Times New Roman" w:eastAsia="Times New Roman" w:hAnsi="Times New Roman" w:cs="Times New Roman"/>
                <w:b/>
                <w:color w:val="000000" w:themeColor="text1"/>
                <w:sz w:val="24"/>
                <w:szCs w:val="24"/>
              </w:rPr>
              <w:t>без објављивања позива за подношење понуда</w:t>
            </w:r>
          </w:p>
        </w:tc>
        <w:tc>
          <w:tcPr>
            <w:tcW w:w="3086" w:type="dxa"/>
            <w:vAlign w:val="center"/>
          </w:tcPr>
          <w:p w14:paraId="5C63D6F3" w14:textId="77777777" w:rsidR="0081466B" w:rsidRPr="009C694B" w:rsidRDefault="007C7AEE">
            <w:pPr>
              <w:jc w:val="center"/>
              <w:rPr>
                <w:rFonts w:ascii="Times New Roman" w:hAnsi="Times New Roman" w:cs="Times New Roman"/>
                <w:color w:val="000000" w:themeColor="text1"/>
              </w:rPr>
            </w:pPr>
            <w:r w:rsidRPr="009C694B">
              <w:rPr>
                <w:rFonts w:ascii="Times New Roman" w:hAnsi="Times New Roman" w:cs="Times New Roman"/>
                <w:color w:val="000000" w:themeColor="text1"/>
              </w:rPr>
              <w:t>1,2</w:t>
            </w:r>
          </w:p>
        </w:tc>
      </w:tr>
      <w:tr w:rsidR="0081466B" w:rsidRPr="00FC20EA" w14:paraId="740FD0B1" w14:textId="77777777" w:rsidTr="00310797">
        <w:trPr>
          <w:jc w:val="center"/>
        </w:trPr>
        <w:tc>
          <w:tcPr>
            <w:tcW w:w="5527" w:type="dxa"/>
            <w:vAlign w:val="center"/>
          </w:tcPr>
          <w:p w14:paraId="36EB7980" w14:textId="77777777" w:rsidR="0081466B" w:rsidRPr="00FC20EA" w:rsidRDefault="004F0DED">
            <w:pPr>
              <w:tabs>
                <w:tab w:val="left" w:pos="3622"/>
              </w:tabs>
              <w:jc w:val="center"/>
              <w:rPr>
                <w:color w:val="000000" w:themeColor="text1"/>
              </w:rPr>
            </w:pPr>
            <w:r w:rsidRPr="00FC20EA">
              <w:rPr>
                <w:rFonts w:ascii="Times New Roman" w:eastAsia="Times New Roman" w:hAnsi="Times New Roman" w:cs="Times New Roman"/>
                <w:b/>
                <w:color w:val="000000" w:themeColor="text1"/>
                <w:sz w:val="24"/>
                <w:szCs w:val="24"/>
              </w:rPr>
              <w:t>Преговарачки поступак са објављивањем позива за подношење понуда</w:t>
            </w:r>
          </w:p>
        </w:tc>
        <w:tc>
          <w:tcPr>
            <w:tcW w:w="3086" w:type="dxa"/>
            <w:vAlign w:val="center"/>
          </w:tcPr>
          <w:p w14:paraId="02A0F626" w14:textId="77777777" w:rsidR="0081466B" w:rsidRPr="009C694B" w:rsidRDefault="007C7AEE">
            <w:pPr>
              <w:jc w:val="center"/>
              <w:rPr>
                <w:rFonts w:ascii="Times New Roman" w:hAnsi="Times New Roman" w:cs="Times New Roman"/>
                <w:color w:val="000000" w:themeColor="text1"/>
              </w:rPr>
            </w:pPr>
            <w:r w:rsidRPr="009C694B">
              <w:rPr>
                <w:rFonts w:ascii="Times New Roman" w:hAnsi="Times New Roman" w:cs="Times New Roman"/>
                <w:color w:val="000000" w:themeColor="text1"/>
              </w:rPr>
              <w:t>1,2</w:t>
            </w:r>
          </w:p>
        </w:tc>
      </w:tr>
    </w:tbl>
    <w:p w14:paraId="1DC5FBAF" w14:textId="2FEFE339" w:rsidR="0081466B" w:rsidRPr="009C694B" w:rsidRDefault="00780C0D" w:rsidP="009C694B">
      <w:pPr>
        <w:rPr>
          <w:color w:val="000000" w:themeColor="text1"/>
        </w:rPr>
      </w:pPr>
      <w:r>
        <w:rPr>
          <w:color w:val="000000" w:themeColor="text1"/>
          <w:lang w:val="sr-Cyrl-RS"/>
        </w:rPr>
        <w:t xml:space="preserve">     </w:t>
      </w:r>
      <w:r w:rsidR="00D537EC" w:rsidRPr="009C694B">
        <w:rPr>
          <w:color w:val="000000" w:themeColor="text1"/>
        </w:rPr>
        <w:t>*</w:t>
      </w:r>
      <w:r w:rsidR="00D537EC" w:rsidRPr="009C694B">
        <w:rPr>
          <w:rFonts w:ascii="Times New Roman" w:hAnsi="Times New Roman" w:cs="Times New Roman"/>
          <w:color w:val="000000" w:themeColor="text1"/>
        </w:rPr>
        <w:t>на основу података са Портала јавних набавки</w:t>
      </w:r>
    </w:p>
    <w:p w14:paraId="4F5529D6" w14:textId="77777777" w:rsidR="00E644CE" w:rsidRDefault="004F0DED">
      <w:pPr>
        <w:jc w:val="both"/>
        <w:rPr>
          <w:rFonts w:ascii="Times New Roman" w:eastAsia="Times New Roman" w:hAnsi="Times New Roman" w:cs="Times New Roman"/>
          <w:color w:val="000000" w:themeColor="text1"/>
          <w:sz w:val="24"/>
          <w:szCs w:val="24"/>
        </w:rPr>
      </w:pPr>
      <w:r w:rsidRPr="00FC20EA">
        <w:rPr>
          <w:rFonts w:ascii="Times New Roman" w:eastAsia="Times New Roman" w:hAnsi="Times New Roman" w:cs="Times New Roman"/>
          <w:color w:val="000000" w:themeColor="text1"/>
          <w:sz w:val="24"/>
          <w:szCs w:val="24"/>
        </w:rPr>
        <w:t xml:space="preserve">Просечан број понуда у поступку јавне набавке мале вредности израчунат </w:t>
      </w:r>
      <w:r w:rsidR="009C694B">
        <w:rPr>
          <w:rFonts w:ascii="Times New Roman" w:eastAsia="Times New Roman" w:hAnsi="Times New Roman" w:cs="Times New Roman"/>
          <w:color w:val="000000" w:themeColor="text1"/>
          <w:sz w:val="24"/>
          <w:szCs w:val="24"/>
          <w:lang w:val="sr-Cyrl-RS"/>
        </w:rPr>
        <w:t>на основу објављених података н</w:t>
      </w:r>
      <w:r w:rsidRPr="00FC20EA">
        <w:rPr>
          <w:rFonts w:ascii="Times New Roman" w:eastAsia="Times New Roman" w:hAnsi="Times New Roman" w:cs="Times New Roman"/>
          <w:color w:val="000000" w:themeColor="text1"/>
          <w:sz w:val="24"/>
          <w:szCs w:val="24"/>
        </w:rPr>
        <w:t>а Портал</w:t>
      </w:r>
      <w:r w:rsidR="00C3428D">
        <w:rPr>
          <w:rFonts w:ascii="Times New Roman" w:eastAsia="Times New Roman" w:hAnsi="Times New Roman" w:cs="Times New Roman"/>
          <w:color w:val="000000" w:themeColor="text1"/>
          <w:sz w:val="24"/>
          <w:szCs w:val="24"/>
          <w:lang w:val="sr-Cyrl-RS"/>
        </w:rPr>
        <w:t>у</w:t>
      </w:r>
      <w:r w:rsidRPr="00FC20EA">
        <w:rPr>
          <w:rFonts w:ascii="Times New Roman" w:eastAsia="Times New Roman" w:hAnsi="Times New Roman" w:cs="Times New Roman"/>
          <w:color w:val="000000" w:themeColor="text1"/>
          <w:sz w:val="24"/>
          <w:szCs w:val="24"/>
        </w:rPr>
        <w:t xml:space="preserve"> (имајући у виду да се у кварталним извештајима</w:t>
      </w:r>
      <w:r w:rsidR="000A7A67" w:rsidRPr="00FC20EA">
        <w:rPr>
          <w:rFonts w:ascii="Times New Roman" w:eastAsia="Times New Roman" w:hAnsi="Times New Roman" w:cs="Times New Roman"/>
          <w:color w:val="000000" w:themeColor="text1"/>
          <w:sz w:val="24"/>
          <w:szCs w:val="24"/>
        </w:rPr>
        <w:t xml:space="preserve"> наручилаца</w:t>
      </w:r>
      <w:r w:rsidRPr="00FC20EA">
        <w:rPr>
          <w:rFonts w:ascii="Times New Roman" w:eastAsia="Times New Roman" w:hAnsi="Times New Roman" w:cs="Times New Roman"/>
          <w:color w:val="000000" w:themeColor="text1"/>
          <w:sz w:val="24"/>
          <w:szCs w:val="24"/>
        </w:rPr>
        <w:t>, у случају малих набавки, п</w:t>
      </w:r>
      <w:r w:rsidR="001432DA">
        <w:rPr>
          <w:rFonts w:ascii="Times New Roman" w:eastAsia="Times New Roman" w:hAnsi="Times New Roman" w:cs="Times New Roman"/>
          <w:color w:val="000000" w:themeColor="text1"/>
          <w:sz w:val="24"/>
          <w:szCs w:val="24"/>
        </w:rPr>
        <w:t xml:space="preserve">одаци наводе збирно) износи </w:t>
      </w:r>
      <w:r w:rsidR="001432DA" w:rsidRPr="00863A81">
        <w:rPr>
          <w:rFonts w:ascii="Times New Roman" w:eastAsia="Times New Roman" w:hAnsi="Times New Roman" w:cs="Times New Roman"/>
          <w:color w:val="auto"/>
          <w:sz w:val="24"/>
          <w:szCs w:val="24"/>
        </w:rPr>
        <w:t>2,0</w:t>
      </w:r>
      <w:r w:rsidRPr="00FC20EA">
        <w:rPr>
          <w:rFonts w:ascii="Times New Roman" w:eastAsia="Times New Roman" w:hAnsi="Times New Roman" w:cs="Times New Roman"/>
          <w:color w:val="000000" w:themeColor="text1"/>
          <w:sz w:val="24"/>
          <w:szCs w:val="24"/>
        </w:rPr>
        <w:t>.</w:t>
      </w:r>
    </w:p>
    <w:p w14:paraId="1132D89A" w14:textId="1087AB39" w:rsidR="00EC57D6" w:rsidRDefault="00EC57D6" w:rsidP="00EC57D6">
      <w:pPr>
        <w:jc w:val="both"/>
        <w:rPr>
          <w:rFonts w:ascii="Times New Roman" w:hAnsi="Times New Roman" w:cs="Times New Roman"/>
          <w:b/>
          <w:color w:val="FF0000"/>
          <w:sz w:val="24"/>
          <w:szCs w:val="24"/>
          <w:lang w:val="sr-Cyrl-CS"/>
        </w:rPr>
      </w:pPr>
      <w:r w:rsidRPr="00B84850">
        <w:rPr>
          <w:rFonts w:ascii="Times New Roman" w:hAnsi="Times New Roman" w:cs="Times New Roman"/>
          <w:sz w:val="24"/>
          <w:szCs w:val="24"/>
        </w:rPr>
        <w:t xml:space="preserve">Учешће уговора закључених </w:t>
      </w:r>
      <w:r>
        <w:rPr>
          <w:rFonts w:ascii="Times New Roman" w:hAnsi="Times New Roman" w:cs="Times New Roman"/>
          <w:sz w:val="24"/>
          <w:szCs w:val="24"/>
          <w:lang w:val="sr-Cyrl-RS"/>
        </w:rPr>
        <w:t>на основу</w:t>
      </w:r>
      <w:r w:rsidRPr="00B84850">
        <w:rPr>
          <w:rFonts w:ascii="Times New Roman" w:hAnsi="Times New Roman" w:cs="Times New Roman"/>
          <w:sz w:val="24"/>
          <w:szCs w:val="24"/>
        </w:rPr>
        <w:t xml:space="preserve"> поступака обликованих по партијама у односу на укупан број закључених уговора</w:t>
      </w:r>
      <w:r w:rsidRPr="00B84850">
        <w:rPr>
          <w:rFonts w:ascii="Times New Roman" w:hAnsi="Times New Roman" w:cs="Times New Roman"/>
          <w:sz w:val="24"/>
          <w:szCs w:val="24"/>
          <w:lang w:val="sr"/>
        </w:rPr>
        <w:t xml:space="preserve"> у</w:t>
      </w:r>
      <w:r>
        <w:rPr>
          <w:rFonts w:ascii="Times New Roman" w:hAnsi="Times New Roman" w:cs="Times New Roman"/>
          <w:sz w:val="24"/>
          <w:szCs w:val="24"/>
          <w:lang w:val="sr-Cyrl-CS"/>
        </w:rPr>
        <w:t xml:space="preserve"> првом полугодишту</w:t>
      </w:r>
      <w:r>
        <w:rPr>
          <w:rFonts w:ascii="Times New Roman" w:hAnsi="Times New Roman" w:cs="Times New Roman"/>
          <w:sz w:val="24"/>
          <w:szCs w:val="24"/>
          <w:lang w:val="sr"/>
        </w:rPr>
        <w:t xml:space="preserve"> 2019. године</w:t>
      </w:r>
      <w:r>
        <w:rPr>
          <w:rFonts w:ascii="Times New Roman" w:hAnsi="Times New Roman" w:cs="Times New Roman"/>
          <w:sz w:val="24"/>
          <w:szCs w:val="24"/>
          <w:lang w:val="sr-Cyrl-CS"/>
        </w:rPr>
        <w:t xml:space="preserve"> износио је 61</w:t>
      </w:r>
      <w:r w:rsidRPr="00B84850">
        <w:rPr>
          <w:rFonts w:ascii="Times New Roman" w:hAnsi="Times New Roman" w:cs="Times New Roman"/>
          <w:sz w:val="24"/>
          <w:szCs w:val="24"/>
          <w:lang w:val="sr-Cyrl-CS"/>
        </w:rPr>
        <w:t xml:space="preserve">% </w:t>
      </w:r>
      <w:r w:rsidRPr="00B84850">
        <w:rPr>
          <w:rFonts w:ascii="Times New Roman" w:hAnsi="Times New Roman" w:cs="Times New Roman"/>
          <w:sz w:val="24"/>
          <w:szCs w:val="24"/>
          <w:lang w:val="sr"/>
        </w:rPr>
        <w:t xml:space="preserve">, што показује да су у </w:t>
      </w:r>
      <w:r>
        <w:rPr>
          <w:rFonts w:ascii="Times New Roman" w:hAnsi="Times New Roman" w:cs="Times New Roman"/>
          <w:sz w:val="24"/>
          <w:szCs w:val="24"/>
          <w:lang w:val="sr-Cyrl-CS"/>
        </w:rPr>
        <w:t xml:space="preserve">првом полугодишту </w:t>
      </w:r>
      <w:r>
        <w:rPr>
          <w:rFonts w:ascii="Times New Roman" w:hAnsi="Times New Roman" w:cs="Times New Roman"/>
          <w:sz w:val="24"/>
          <w:szCs w:val="24"/>
          <w:lang w:val="sr"/>
        </w:rPr>
        <w:t>2019. године</w:t>
      </w:r>
      <w:r w:rsidRPr="00B84850">
        <w:rPr>
          <w:rFonts w:ascii="Times New Roman" w:hAnsi="Times New Roman" w:cs="Times New Roman"/>
          <w:sz w:val="24"/>
          <w:szCs w:val="24"/>
          <w:lang w:val="sr"/>
        </w:rPr>
        <w:t xml:space="preserve">, услови за јачање конкуренције </w:t>
      </w:r>
      <w:r w:rsidRPr="00B84850">
        <w:rPr>
          <w:rFonts w:ascii="Times New Roman" w:hAnsi="Times New Roman" w:cs="Times New Roman"/>
          <w:sz w:val="24"/>
          <w:szCs w:val="24"/>
          <w:lang w:val="sr-Cyrl-CS"/>
        </w:rPr>
        <w:t>били</w:t>
      </w:r>
      <w:r w:rsidR="00CC75CB">
        <w:rPr>
          <w:rFonts w:ascii="Times New Roman" w:hAnsi="Times New Roman" w:cs="Times New Roman"/>
          <w:sz w:val="24"/>
          <w:szCs w:val="24"/>
          <w:lang w:val="sr-Cyrl-CS"/>
        </w:rPr>
        <w:t xml:space="preserve"> повољни.</w:t>
      </w:r>
      <w:r>
        <w:rPr>
          <w:rFonts w:ascii="Times New Roman" w:hAnsi="Times New Roman" w:cs="Times New Roman"/>
          <w:sz w:val="24"/>
          <w:szCs w:val="24"/>
          <w:lang w:val="sr-Cyrl-CS"/>
        </w:rPr>
        <w:t xml:space="preserve"> </w:t>
      </w:r>
      <w:r w:rsidRPr="00B84850">
        <w:rPr>
          <w:rFonts w:ascii="Times New Roman" w:hAnsi="Times New Roman" w:cs="Times New Roman"/>
          <w:sz w:val="24"/>
          <w:szCs w:val="24"/>
        </w:rPr>
        <w:t>(Таб</w:t>
      </w:r>
      <w:r>
        <w:rPr>
          <w:rFonts w:ascii="Times New Roman" w:hAnsi="Times New Roman" w:cs="Times New Roman"/>
          <w:sz w:val="24"/>
          <w:szCs w:val="24"/>
        </w:rPr>
        <w:t xml:space="preserve">ела </w:t>
      </w:r>
      <w:r>
        <w:rPr>
          <w:rFonts w:ascii="Times New Roman" w:hAnsi="Times New Roman" w:cs="Times New Roman"/>
          <w:sz w:val="24"/>
          <w:szCs w:val="24"/>
          <w:lang w:val="sr-Cyrl-RS"/>
        </w:rPr>
        <w:t>10</w:t>
      </w:r>
      <w:r w:rsidRPr="00B84850">
        <w:rPr>
          <w:rFonts w:ascii="Times New Roman" w:hAnsi="Times New Roman" w:cs="Times New Roman"/>
          <w:sz w:val="24"/>
          <w:szCs w:val="24"/>
        </w:rPr>
        <w:t>)</w:t>
      </w:r>
      <w:r w:rsidRPr="006B2FA2">
        <w:rPr>
          <w:rFonts w:ascii="Times New Roman" w:hAnsi="Times New Roman" w:cs="Times New Roman"/>
          <w:color w:val="FF0000"/>
          <w:sz w:val="24"/>
          <w:szCs w:val="24"/>
        </w:rPr>
        <w:t>.</w:t>
      </w:r>
      <w:r>
        <w:rPr>
          <w:rFonts w:ascii="Times New Roman" w:hAnsi="Times New Roman" w:cs="Times New Roman"/>
          <w:b/>
          <w:color w:val="FF0000"/>
          <w:sz w:val="24"/>
          <w:szCs w:val="24"/>
          <w:lang w:val="sr-Cyrl-CS"/>
        </w:rPr>
        <w:t xml:space="preserve">        </w:t>
      </w:r>
    </w:p>
    <w:p w14:paraId="66AC47F6" w14:textId="77777777" w:rsidR="00EC57D6" w:rsidRDefault="00EC57D6" w:rsidP="00EC57D6">
      <w:pPr>
        <w:jc w:val="both"/>
        <w:rPr>
          <w:rFonts w:ascii="Times New Roman" w:hAnsi="Times New Roman" w:cs="Times New Roman"/>
          <w:b/>
          <w:sz w:val="24"/>
          <w:szCs w:val="24"/>
          <w:lang w:val="sr"/>
        </w:rPr>
      </w:pPr>
    </w:p>
    <w:p w14:paraId="7A519529" w14:textId="015E80FC" w:rsidR="00EC57D6" w:rsidRDefault="00EC57D6" w:rsidP="00EC57D6">
      <w:pPr>
        <w:jc w:val="both"/>
        <w:rPr>
          <w:rFonts w:ascii="Times New Roman" w:hAnsi="Times New Roman" w:cs="Times New Roman"/>
          <w:b/>
          <w:sz w:val="24"/>
          <w:szCs w:val="24"/>
          <w:lang w:val="sr"/>
        </w:rPr>
      </w:pPr>
    </w:p>
    <w:p w14:paraId="2187063C" w14:textId="4D140C39" w:rsidR="00480840" w:rsidRDefault="00480840" w:rsidP="00EC57D6">
      <w:pPr>
        <w:jc w:val="both"/>
        <w:rPr>
          <w:rFonts w:ascii="Times New Roman" w:hAnsi="Times New Roman" w:cs="Times New Roman"/>
          <w:b/>
          <w:sz w:val="24"/>
          <w:szCs w:val="24"/>
          <w:lang w:val="sr"/>
        </w:rPr>
      </w:pPr>
    </w:p>
    <w:p w14:paraId="1525B1F0" w14:textId="77777777" w:rsidR="00480840" w:rsidRDefault="00480840" w:rsidP="00EC57D6">
      <w:pPr>
        <w:jc w:val="both"/>
        <w:rPr>
          <w:rFonts w:ascii="Times New Roman" w:hAnsi="Times New Roman" w:cs="Times New Roman"/>
          <w:b/>
          <w:sz w:val="24"/>
          <w:szCs w:val="24"/>
          <w:lang w:val="sr"/>
        </w:rPr>
      </w:pPr>
    </w:p>
    <w:p w14:paraId="26D43C35" w14:textId="77777777" w:rsidR="00EC57D6" w:rsidRPr="00EC57D6" w:rsidRDefault="00EC57D6" w:rsidP="00EC57D6">
      <w:pPr>
        <w:jc w:val="both"/>
        <w:rPr>
          <w:rFonts w:ascii="Times New Roman" w:hAnsi="Times New Roman" w:cs="Times New Roman"/>
          <w:b/>
          <w:color w:val="FF0000"/>
          <w:sz w:val="24"/>
          <w:szCs w:val="24"/>
          <w:lang w:val="sr-Cyrl-RS"/>
        </w:rPr>
      </w:pPr>
      <w:r>
        <w:rPr>
          <w:rFonts w:ascii="Times New Roman" w:hAnsi="Times New Roman" w:cs="Times New Roman"/>
          <w:b/>
          <w:sz w:val="24"/>
          <w:szCs w:val="24"/>
          <w:lang w:val="sr"/>
        </w:rPr>
        <w:lastRenderedPageBreak/>
        <w:t xml:space="preserve">Табела </w:t>
      </w:r>
      <w:r>
        <w:rPr>
          <w:rFonts w:ascii="Times New Roman" w:hAnsi="Times New Roman" w:cs="Times New Roman"/>
          <w:b/>
          <w:sz w:val="24"/>
          <w:szCs w:val="24"/>
          <w:lang w:val="sr-Cyrl-RS"/>
        </w:rPr>
        <w:t>10</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850"/>
        <w:gridCol w:w="851"/>
        <w:gridCol w:w="850"/>
        <w:gridCol w:w="851"/>
        <w:gridCol w:w="756"/>
        <w:gridCol w:w="756"/>
        <w:gridCol w:w="1039"/>
      </w:tblGrid>
      <w:tr w:rsidR="00EC57D6" w:rsidRPr="00B605CA" w14:paraId="1C9E3137" w14:textId="77777777" w:rsidTr="006B22A4">
        <w:trPr>
          <w:trHeight w:val="300"/>
          <w:jc w:val="center"/>
        </w:trPr>
        <w:tc>
          <w:tcPr>
            <w:tcW w:w="9355" w:type="dxa"/>
            <w:gridSpan w:val="8"/>
          </w:tcPr>
          <w:p w14:paraId="37168FE7" w14:textId="77777777" w:rsidR="00EC57D6" w:rsidRPr="00B605CA" w:rsidRDefault="00EC57D6" w:rsidP="00EC57D6">
            <w:pPr>
              <w:spacing w:after="0" w:line="240" w:lineRule="auto"/>
              <w:jc w:val="center"/>
              <w:rPr>
                <w:rFonts w:ascii="Times New Roman" w:eastAsia="Times New Roman" w:hAnsi="Times New Roman" w:cs="Times New Roman"/>
                <w:b/>
                <w:sz w:val="24"/>
                <w:szCs w:val="24"/>
                <w:lang w:val="sr-Cyrl-CS" w:eastAsia="en-GB"/>
              </w:rPr>
            </w:pPr>
            <w:r w:rsidRPr="00B605CA">
              <w:rPr>
                <w:rFonts w:ascii="Times New Roman" w:eastAsia="Times New Roman" w:hAnsi="Times New Roman" w:cs="Times New Roman"/>
                <w:b/>
                <w:sz w:val="24"/>
                <w:szCs w:val="24"/>
                <w:lang w:val="sr-Cyrl-CS" w:eastAsia="en-GB"/>
              </w:rPr>
              <w:t xml:space="preserve">Кретање учешћа </w:t>
            </w:r>
            <w:r>
              <w:rPr>
                <w:rFonts w:ascii="Times New Roman" w:eastAsia="Times New Roman" w:hAnsi="Times New Roman" w:cs="Times New Roman"/>
                <w:b/>
                <w:sz w:val="24"/>
                <w:szCs w:val="24"/>
                <w:lang w:val="sr-Cyrl-CS" w:eastAsia="en-GB"/>
              </w:rPr>
              <w:t>набавки обликованих по партијама</w:t>
            </w:r>
          </w:p>
          <w:p w14:paraId="779B51CE" w14:textId="14AEE773" w:rsidR="00EC57D6" w:rsidRPr="00B605CA" w:rsidRDefault="00EC57D6" w:rsidP="007B5A0F">
            <w:pPr>
              <w:spacing w:after="0" w:line="240" w:lineRule="auto"/>
              <w:jc w:val="center"/>
              <w:rPr>
                <w:rFonts w:ascii="Times New Roman" w:eastAsia="Times New Roman" w:hAnsi="Times New Roman" w:cs="Times New Roman"/>
                <w:b/>
                <w:sz w:val="24"/>
                <w:szCs w:val="24"/>
                <w:lang w:val="sr-Cyrl-CS" w:eastAsia="en-GB"/>
              </w:rPr>
            </w:pPr>
            <w:r>
              <w:rPr>
                <w:rFonts w:ascii="Times New Roman" w:eastAsia="Times New Roman" w:hAnsi="Times New Roman" w:cs="Times New Roman"/>
                <w:b/>
                <w:sz w:val="24"/>
                <w:szCs w:val="24"/>
                <w:lang w:val="sr-Cyrl-CS" w:eastAsia="en-GB"/>
              </w:rPr>
              <w:t>у периоду 2013 – 201</w:t>
            </w:r>
            <w:r w:rsidR="007B5A0F">
              <w:rPr>
                <w:rFonts w:ascii="Times New Roman" w:eastAsia="Times New Roman" w:hAnsi="Times New Roman" w:cs="Times New Roman"/>
                <w:b/>
                <w:sz w:val="24"/>
                <w:szCs w:val="24"/>
                <w:lang w:val="sr-Cyrl-CS" w:eastAsia="en-GB"/>
              </w:rPr>
              <w:t>9</w:t>
            </w:r>
            <w:r w:rsidR="00664DAE">
              <w:rPr>
                <w:rFonts w:ascii="Times New Roman" w:eastAsia="Times New Roman" w:hAnsi="Times New Roman" w:cs="Times New Roman"/>
                <w:b/>
                <w:sz w:val="24"/>
                <w:szCs w:val="24"/>
                <w:lang w:val="sr-Cyrl-CS" w:eastAsia="en-GB"/>
              </w:rPr>
              <w:t>.</w:t>
            </w:r>
          </w:p>
        </w:tc>
      </w:tr>
      <w:tr w:rsidR="00EC57D6" w:rsidRPr="00B605CA" w14:paraId="1D7A5929" w14:textId="77777777" w:rsidTr="006B22A4">
        <w:trPr>
          <w:trHeight w:val="300"/>
          <w:jc w:val="center"/>
        </w:trPr>
        <w:tc>
          <w:tcPr>
            <w:tcW w:w="3402" w:type="dxa"/>
            <w:shd w:val="clear" w:color="auto" w:fill="auto"/>
            <w:noWrap/>
            <w:vAlign w:val="bottom"/>
            <w:hideMark/>
          </w:tcPr>
          <w:p w14:paraId="7BD2DBAD" w14:textId="77777777" w:rsidR="00EC57D6" w:rsidRPr="00EC57D6" w:rsidRDefault="00EC57D6" w:rsidP="00EC57D6">
            <w:pPr>
              <w:spacing w:after="0" w:line="240" w:lineRule="auto"/>
              <w:jc w:val="center"/>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Година</w:t>
            </w:r>
          </w:p>
        </w:tc>
        <w:tc>
          <w:tcPr>
            <w:tcW w:w="850" w:type="dxa"/>
            <w:shd w:val="clear" w:color="auto" w:fill="auto"/>
            <w:noWrap/>
            <w:vAlign w:val="bottom"/>
            <w:hideMark/>
          </w:tcPr>
          <w:p w14:paraId="63426DBD" w14:textId="77777777" w:rsidR="00EC57D6" w:rsidRPr="00EC57D6" w:rsidRDefault="00EC57D6" w:rsidP="00EC57D6">
            <w:pPr>
              <w:spacing w:after="0" w:line="240" w:lineRule="auto"/>
              <w:jc w:val="center"/>
              <w:rPr>
                <w:rFonts w:ascii="Times New Roman" w:eastAsia="Times New Roman" w:hAnsi="Times New Roman" w:cs="Times New Roman"/>
                <w:b/>
                <w:sz w:val="24"/>
                <w:szCs w:val="24"/>
                <w:lang w:val="sr-Cyrl-RS" w:eastAsia="en-GB"/>
              </w:rPr>
            </w:pPr>
            <w:r w:rsidRPr="00B605CA">
              <w:rPr>
                <w:rFonts w:ascii="Times New Roman" w:eastAsia="Times New Roman" w:hAnsi="Times New Roman" w:cs="Times New Roman"/>
                <w:b/>
                <w:sz w:val="24"/>
                <w:szCs w:val="24"/>
                <w:lang w:eastAsia="en-GB"/>
              </w:rPr>
              <w:t>2013</w:t>
            </w:r>
            <w:r>
              <w:rPr>
                <w:rFonts w:ascii="Times New Roman" w:eastAsia="Times New Roman" w:hAnsi="Times New Roman" w:cs="Times New Roman"/>
                <w:b/>
                <w:sz w:val="24"/>
                <w:szCs w:val="24"/>
                <w:lang w:val="sr-Cyrl-RS" w:eastAsia="en-GB"/>
              </w:rPr>
              <w:t>.</w:t>
            </w:r>
          </w:p>
        </w:tc>
        <w:tc>
          <w:tcPr>
            <w:tcW w:w="851" w:type="dxa"/>
            <w:shd w:val="clear" w:color="auto" w:fill="auto"/>
            <w:noWrap/>
            <w:vAlign w:val="bottom"/>
            <w:hideMark/>
          </w:tcPr>
          <w:p w14:paraId="0678C919" w14:textId="77777777" w:rsidR="00EC57D6" w:rsidRPr="00EC57D6" w:rsidRDefault="00EC57D6" w:rsidP="00EC57D6">
            <w:pPr>
              <w:spacing w:after="0" w:line="240" w:lineRule="auto"/>
              <w:jc w:val="center"/>
              <w:rPr>
                <w:rFonts w:ascii="Times New Roman" w:eastAsia="Times New Roman" w:hAnsi="Times New Roman" w:cs="Times New Roman"/>
                <w:b/>
                <w:sz w:val="24"/>
                <w:szCs w:val="24"/>
                <w:lang w:val="sr-Cyrl-RS" w:eastAsia="en-GB"/>
              </w:rPr>
            </w:pPr>
            <w:r w:rsidRPr="00B605CA">
              <w:rPr>
                <w:rFonts w:ascii="Times New Roman" w:eastAsia="Times New Roman" w:hAnsi="Times New Roman" w:cs="Times New Roman"/>
                <w:b/>
                <w:sz w:val="24"/>
                <w:szCs w:val="24"/>
                <w:lang w:eastAsia="en-GB"/>
              </w:rPr>
              <w:t>2014</w:t>
            </w:r>
            <w:r>
              <w:rPr>
                <w:rFonts w:ascii="Times New Roman" w:eastAsia="Times New Roman" w:hAnsi="Times New Roman" w:cs="Times New Roman"/>
                <w:b/>
                <w:sz w:val="24"/>
                <w:szCs w:val="24"/>
                <w:lang w:val="sr-Cyrl-RS" w:eastAsia="en-GB"/>
              </w:rPr>
              <w:t>.</w:t>
            </w:r>
          </w:p>
        </w:tc>
        <w:tc>
          <w:tcPr>
            <w:tcW w:w="850" w:type="dxa"/>
            <w:shd w:val="clear" w:color="auto" w:fill="auto"/>
            <w:noWrap/>
            <w:vAlign w:val="bottom"/>
            <w:hideMark/>
          </w:tcPr>
          <w:p w14:paraId="62C78AF6" w14:textId="77777777" w:rsidR="00EC57D6" w:rsidRPr="00EC57D6" w:rsidRDefault="00EC57D6" w:rsidP="00EC57D6">
            <w:pPr>
              <w:spacing w:after="0" w:line="240" w:lineRule="auto"/>
              <w:jc w:val="center"/>
              <w:rPr>
                <w:rFonts w:ascii="Times New Roman" w:eastAsia="Times New Roman" w:hAnsi="Times New Roman" w:cs="Times New Roman"/>
                <w:b/>
                <w:sz w:val="24"/>
                <w:szCs w:val="24"/>
                <w:lang w:val="sr-Cyrl-RS" w:eastAsia="en-GB"/>
              </w:rPr>
            </w:pPr>
            <w:r w:rsidRPr="00B605CA">
              <w:rPr>
                <w:rFonts w:ascii="Times New Roman" w:eastAsia="Times New Roman" w:hAnsi="Times New Roman" w:cs="Times New Roman"/>
                <w:b/>
                <w:sz w:val="24"/>
                <w:szCs w:val="24"/>
                <w:lang w:eastAsia="en-GB"/>
              </w:rPr>
              <w:t>2015</w:t>
            </w:r>
            <w:r>
              <w:rPr>
                <w:rFonts w:ascii="Times New Roman" w:eastAsia="Times New Roman" w:hAnsi="Times New Roman" w:cs="Times New Roman"/>
                <w:b/>
                <w:sz w:val="24"/>
                <w:szCs w:val="24"/>
                <w:lang w:val="sr-Cyrl-RS" w:eastAsia="en-GB"/>
              </w:rPr>
              <w:t>.</w:t>
            </w:r>
          </w:p>
        </w:tc>
        <w:tc>
          <w:tcPr>
            <w:tcW w:w="851" w:type="dxa"/>
            <w:shd w:val="clear" w:color="auto" w:fill="auto"/>
            <w:noWrap/>
            <w:vAlign w:val="bottom"/>
            <w:hideMark/>
          </w:tcPr>
          <w:p w14:paraId="1C2AF921" w14:textId="77777777" w:rsidR="00EC57D6" w:rsidRPr="00EC57D6" w:rsidRDefault="00EC57D6" w:rsidP="00EC57D6">
            <w:pPr>
              <w:spacing w:after="0" w:line="240" w:lineRule="auto"/>
              <w:jc w:val="center"/>
              <w:rPr>
                <w:rFonts w:ascii="Times New Roman" w:eastAsia="Times New Roman" w:hAnsi="Times New Roman" w:cs="Times New Roman"/>
                <w:b/>
                <w:sz w:val="24"/>
                <w:szCs w:val="24"/>
                <w:lang w:val="sr-Cyrl-RS" w:eastAsia="en-GB"/>
              </w:rPr>
            </w:pPr>
            <w:r w:rsidRPr="00B605CA">
              <w:rPr>
                <w:rFonts w:ascii="Times New Roman" w:eastAsia="Times New Roman" w:hAnsi="Times New Roman" w:cs="Times New Roman"/>
                <w:b/>
                <w:sz w:val="24"/>
                <w:szCs w:val="24"/>
                <w:lang w:eastAsia="en-GB"/>
              </w:rPr>
              <w:t>2016</w:t>
            </w:r>
            <w:r>
              <w:rPr>
                <w:rFonts w:ascii="Times New Roman" w:eastAsia="Times New Roman" w:hAnsi="Times New Roman" w:cs="Times New Roman"/>
                <w:b/>
                <w:sz w:val="24"/>
                <w:szCs w:val="24"/>
                <w:lang w:val="sr-Cyrl-RS" w:eastAsia="en-GB"/>
              </w:rPr>
              <w:t>.</w:t>
            </w:r>
          </w:p>
        </w:tc>
        <w:tc>
          <w:tcPr>
            <w:tcW w:w="708" w:type="dxa"/>
            <w:shd w:val="clear" w:color="auto" w:fill="auto"/>
            <w:vAlign w:val="bottom"/>
          </w:tcPr>
          <w:p w14:paraId="37A420D5" w14:textId="77777777" w:rsidR="00EC57D6" w:rsidRPr="00EC57D6" w:rsidRDefault="00EC57D6" w:rsidP="00EC57D6">
            <w:pPr>
              <w:spacing w:after="0" w:line="240" w:lineRule="auto"/>
              <w:jc w:val="center"/>
              <w:rPr>
                <w:rFonts w:ascii="Times New Roman" w:eastAsia="Times New Roman" w:hAnsi="Times New Roman" w:cs="Times New Roman"/>
                <w:b/>
                <w:sz w:val="24"/>
                <w:szCs w:val="24"/>
                <w:lang w:val="sr-Cyrl-RS" w:eastAsia="en-GB"/>
              </w:rPr>
            </w:pPr>
            <w:r w:rsidRPr="00B605CA">
              <w:rPr>
                <w:rFonts w:ascii="Times New Roman" w:eastAsia="Times New Roman" w:hAnsi="Times New Roman" w:cs="Times New Roman"/>
                <w:b/>
                <w:sz w:val="24"/>
                <w:szCs w:val="24"/>
                <w:lang w:eastAsia="en-GB"/>
              </w:rPr>
              <w:t>2017</w:t>
            </w:r>
            <w:r>
              <w:rPr>
                <w:rFonts w:ascii="Times New Roman" w:eastAsia="Times New Roman" w:hAnsi="Times New Roman" w:cs="Times New Roman"/>
                <w:b/>
                <w:sz w:val="24"/>
                <w:szCs w:val="24"/>
                <w:lang w:val="sr-Cyrl-RS" w:eastAsia="en-GB"/>
              </w:rPr>
              <w:t>.</w:t>
            </w:r>
          </w:p>
        </w:tc>
        <w:tc>
          <w:tcPr>
            <w:tcW w:w="709" w:type="dxa"/>
            <w:shd w:val="clear" w:color="auto" w:fill="auto"/>
            <w:noWrap/>
            <w:vAlign w:val="bottom"/>
          </w:tcPr>
          <w:p w14:paraId="2E8C6DE9" w14:textId="77777777" w:rsidR="00EC57D6" w:rsidRPr="00B84850" w:rsidRDefault="00EC57D6" w:rsidP="00EC57D6">
            <w:pPr>
              <w:spacing w:after="0" w:line="240" w:lineRule="auto"/>
              <w:jc w:val="center"/>
              <w:rPr>
                <w:rFonts w:ascii="Times New Roman" w:eastAsia="Times New Roman" w:hAnsi="Times New Roman" w:cs="Times New Roman"/>
                <w:b/>
                <w:sz w:val="24"/>
                <w:szCs w:val="24"/>
                <w:lang w:val="sr-Cyrl-CS" w:eastAsia="en-GB"/>
              </w:rPr>
            </w:pPr>
            <w:r w:rsidRPr="00B84850">
              <w:rPr>
                <w:rFonts w:ascii="Times New Roman" w:eastAsia="Times New Roman" w:hAnsi="Times New Roman" w:cs="Times New Roman"/>
                <w:b/>
                <w:sz w:val="24"/>
                <w:szCs w:val="24"/>
                <w:lang w:val="sr-Cyrl-CS" w:eastAsia="en-GB"/>
              </w:rPr>
              <w:t>2018</w:t>
            </w:r>
            <w:r>
              <w:rPr>
                <w:rFonts w:ascii="Times New Roman" w:eastAsia="Times New Roman" w:hAnsi="Times New Roman" w:cs="Times New Roman"/>
                <w:b/>
                <w:sz w:val="24"/>
                <w:szCs w:val="24"/>
                <w:lang w:val="sr-Cyrl-CS" w:eastAsia="en-GB"/>
              </w:rPr>
              <w:t>.</w:t>
            </w:r>
          </w:p>
        </w:tc>
        <w:tc>
          <w:tcPr>
            <w:tcW w:w="1134" w:type="dxa"/>
            <w:vAlign w:val="center"/>
          </w:tcPr>
          <w:p w14:paraId="5C615803" w14:textId="77777777" w:rsidR="00EC57D6" w:rsidRPr="00B84850" w:rsidRDefault="00EC57D6" w:rsidP="00EC57D6">
            <w:pPr>
              <w:spacing w:after="0" w:line="240" w:lineRule="auto"/>
              <w:jc w:val="center"/>
              <w:rPr>
                <w:rFonts w:ascii="Times New Roman" w:eastAsia="Times New Roman" w:hAnsi="Times New Roman" w:cs="Times New Roman"/>
                <w:b/>
                <w:sz w:val="24"/>
                <w:szCs w:val="24"/>
                <w:lang w:val="sr-Cyrl-CS" w:eastAsia="en-GB"/>
              </w:rPr>
            </w:pPr>
            <w:r>
              <w:rPr>
                <w:rFonts w:ascii="Times New Roman" w:eastAsia="Times New Roman" w:hAnsi="Times New Roman" w:cs="Times New Roman"/>
                <w:b/>
                <w:sz w:val="24"/>
                <w:szCs w:val="24"/>
                <w:lang w:val="sr-Cyrl-CS" w:eastAsia="en-GB"/>
              </w:rPr>
              <w:t>2019. 1П</w:t>
            </w:r>
          </w:p>
        </w:tc>
      </w:tr>
      <w:tr w:rsidR="00EC57D6" w:rsidRPr="00B605CA" w14:paraId="1F5FB568" w14:textId="77777777" w:rsidTr="006B22A4">
        <w:trPr>
          <w:trHeight w:val="300"/>
          <w:jc w:val="center"/>
        </w:trPr>
        <w:tc>
          <w:tcPr>
            <w:tcW w:w="3402" w:type="dxa"/>
            <w:shd w:val="clear" w:color="auto" w:fill="auto"/>
            <w:noWrap/>
            <w:vAlign w:val="bottom"/>
            <w:hideMark/>
          </w:tcPr>
          <w:p w14:paraId="79BB4D36" w14:textId="77777777" w:rsidR="00EC57D6" w:rsidRPr="00751ADB" w:rsidRDefault="00EC57D6" w:rsidP="00EC57D6">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Набавке обликоване по партијама</w:t>
            </w:r>
          </w:p>
        </w:tc>
        <w:tc>
          <w:tcPr>
            <w:tcW w:w="850" w:type="dxa"/>
            <w:shd w:val="clear" w:color="auto" w:fill="auto"/>
            <w:noWrap/>
            <w:vAlign w:val="center"/>
            <w:hideMark/>
          </w:tcPr>
          <w:p w14:paraId="218E1039" w14:textId="77777777" w:rsidR="00EC57D6" w:rsidRPr="00B605CA" w:rsidRDefault="00EC57D6" w:rsidP="00EC57D6">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51</w:t>
            </w:r>
            <w:r w:rsidRPr="00B605CA">
              <w:rPr>
                <w:rFonts w:ascii="Times New Roman" w:eastAsia="Times New Roman" w:hAnsi="Times New Roman" w:cs="Times New Roman"/>
                <w:sz w:val="24"/>
                <w:szCs w:val="24"/>
                <w:lang w:eastAsia="en-GB"/>
              </w:rPr>
              <w:t>%</w:t>
            </w:r>
          </w:p>
        </w:tc>
        <w:tc>
          <w:tcPr>
            <w:tcW w:w="851" w:type="dxa"/>
            <w:shd w:val="clear" w:color="auto" w:fill="auto"/>
            <w:noWrap/>
            <w:vAlign w:val="center"/>
            <w:hideMark/>
          </w:tcPr>
          <w:p w14:paraId="62111B12" w14:textId="77777777" w:rsidR="00EC57D6" w:rsidRPr="00B605CA" w:rsidRDefault="00EC57D6" w:rsidP="00EC57D6">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62</w:t>
            </w:r>
            <w:r w:rsidRPr="00B605CA">
              <w:rPr>
                <w:rFonts w:ascii="Times New Roman" w:eastAsia="Times New Roman" w:hAnsi="Times New Roman" w:cs="Times New Roman"/>
                <w:sz w:val="24"/>
                <w:szCs w:val="24"/>
                <w:lang w:eastAsia="en-GB"/>
              </w:rPr>
              <w:t>%</w:t>
            </w:r>
          </w:p>
        </w:tc>
        <w:tc>
          <w:tcPr>
            <w:tcW w:w="850" w:type="dxa"/>
            <w:shd w:val="clear" w:color="auto" w:fill="auto"/>
            <w:noWrap/>
            <w:vAlign w:val="center"/>
            <w:hideMark/>
          </w:tcPr>
          <w:p w14:paraId="45485C81" w14:textId="77777777" w:rsidR="00EC57D6" w:rsidRPr="00B605CA" w:rsidRDefault="00EC57D6" w:rsidP="00EC57D6">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64</w:t>
            </w:r>
            <w:r w:rsidRPr="00B605CA">
              <w:rPr>
                <w:rFonts w:ascii="Times New Roman" w:eastAsia="Times New Roman" w:hAnsi="Times New Roman" w:cs="Times New Roman"/>
                <w:sz w:val="24"/>
                <w:szCs w:val="24"/>
                <w:lang w:eastAsia="en-GB"/>
              </w:rPr>
              <w:t>%</w:t>
            </w:r>
          </w:p>
        </w:tc>
        <w:tc>
          <w:tcPr>
            <w:tcW w:w="851" w:type="dxa"/>
            <w:shd w:val="clear" w:color="auto" w:fill="auto"/>
            <w:noWrap/>
            <w:vAlign w:val="center"/>
            <w:hideMark/>
          </w:tcPr>
          <w:p w14:paraId="041187F9" w14:textId="77777777" w:rsidR="00EC57D6" w:rsidRPr="00B605CA" w:rsidRDefault="00EC57D6" w:rsidP="00EC57D6">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69</w:t>
            </w:r>
            <w:r w:rsidRPr="00B605CA">
              <w:rPr>
                <w:rFonts w:ascii="Times New Roman" w:eastAsia="Times New Roman" w:hAnsi="Times New Roman" w:cs="Times New Roman"/>
                <w:sz w:val="24"/>
                <w:szCs w:val="24"/>
                <w:lang w:eastAsia="en-GB"/>
              </w:rPr>
              <w:t>%</w:t>
            </w:r>
          </w:p>
        </w:tc>
        <w:tc>
          <w:tcPr>
            <w:tcW w:w="708" w:type="dxa"/>
            <w:shd w:val="clear" w:color="auto" w:fill="auto"/>
            <w:vAlign w:val="center"/>
          </w:tcPr>
          <w:p w14:paraId="2F9A1D65" w14:textId="77777777" w:rsidR="00EC57D6" w:rsidRDefault="00EC57D6" w:rsidP="00EC57D6">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64</w:t>
            </w:r>
            <w:r w:rsidRPr="00B605CA">
              <w:rPr>
                <w:rFonts w:ascii="Times New Roman" w:eastAsia="Times New Roman" w:hAnsi="Times New Roman" w:cs="Times New Roman"/>
                <w:sz w:val="24"/>
                <w:szCs w:val="24"/>
                <w:lang w:eastAsia="en-GB"/>
              </w:rPr>
              <w:t>%</w:t>
            </w:r>
          </w:p>
        </w:tc>
        <w:tc>
          <w:tcPr>
            <w:tcW w:w="709" w:type="dxa"/>
            <w:shd w:val="clear" w:color="auto" w:fill="auto"/>
            <w:noWrap/>
            <w:vAlign w:val="center"/>
          </w:tcPr>
          <w:p w14:paraId="46667F89" w14:textId="77777777" w:rsidR="00EC57D6" w:rsidRPr="00B84850" w:rsidRDefault="00EC57D6" w:rsidP="00EC57D6">
            <w:pPr>
              <w:spacing w:after="0" w:line="240" w:lineRule="auto"/>
              <w:jc w:val="center"/>
              <w:rPr>
                <w:rFonts w:ascii="Times New Roman" w:eastAsia="Times New Roman" w:hAnsi="Times New Roman" w:cs="Times New Roman"/>
                <w:sz w:val="24"/>
                <w:szCs w:val="24"/>
                <w:lang w:val="sr-Cyrl-CS" w:eastAsia="en-GB"/>
              </w:rPr>
            </w:pPr>
            <w:r w:rsidRPr="00B84850">
              <w:rPr>
                <w:rFonts w:ascii="Times New Roman" w:eastAsia="Times New Roman" w:hAnsi="Times New Roman" w:cs="Times New Roman"/>
                <w:sz w:val="24"/>
                <w:szCs w:val="24"/>
                <w:lang w:val="sr-Cyrl-CS" w:eastAsia="en-GB"/>
              </w:rPr>
              <w:t>56%</w:t>
            </w:r>
          </w:p>
        </w:tc>
        <w:tc>
          <w:tcPr>
            <w:tcW w:w="1134" w:type="dxa"/>
            <w:vAlign w:val="center"/>
          </w:tcPr>
          <w:p w14:paraId="65378E6C" w14:textId="77777777" w:rsidR="00EC57D6" w:rsidRPr="00B84850" w:rsidRDefault="00EC57D6" w:rsidP="00EC57D6">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61%</w:t>
            </w:r>
          </w:p>
        </w:tc>
      </w:tr>
    </w:tbl>
    <w:p w14:paraId="35BF0709" w14:textId="77777777" w:rsidR="00953934" w:rsidRPr="00953934" w:rsidRDefault="00953934">
      <w:pPr>
        <w:jc w:val="both"/>
        <w:rPr>
          <w:rFonts w:ascii="Times New Roman" w:eastAsia="Times New Roman" w:hAnsi="Times New Roman" w:cs="Times New Roman"/>
          <w:color w:val="000000" w:themeColor="text1"/>
          <w:sz w:val="24"/>
          <w:szCs w:val="24"/>
          <w:lang w:val="sr-Cyrl-RS"/>
        </w:rPr>
      </w:pPr>
    </w:p>
    <w:p w14:paraId="7C7DBD35" w14:textId="6938A4EB" w:rsidR="00953934" w:rsidRPr="00863A81" w:rsidRDefault="00953934">
      <w:pPr>
        <w:jc w:val="both"/>
        <w:rPr>
          <w:rFonts w:ascii="Times New Roman" w:eastAsia="Times New Roman" w:hAnsi="Times New Roman" w:cs="Times New Roman"/>
          <w:color w:val="auto"/>
          <w:sz w:val="24"/>
          <w:szCs w:val="24"/>
          <w:lang w:val="sr-Cyrl-RS"/>
        </w:rPr>
      </w:pPr>
      <w:r w:rsidRPr="00863A81">
        <w:rPr>
          <w:rFonts w:ascii="Times New Roman" w:eastAsia="Times New Roman" w:hAnsi="Times New Roman" w:cs="Times New Roman"/>
          <w:color w:val="auto"/>
          <w:sz w:val="24"/>
          <w:szCs w:val="24"/>
          <w:lang w:val="sr-Cyrl-RS"/>
        </w:rPr>
        <w:t xml:space="preserve">Један од важних показатеља </w:t>
      </w:r>
      <w:r w:rsidR="00FA2EB4" w:rsidRPr="00863A81">
        <w:rPr>
          <w:rFonts w:ascii="Times New Roman" w:eastAsia="Times New Roman" w:hAnsi="Times New Roman" w:cs="Times New Roman"/>
          <w:color w:val="auto"/>
          <w:sz w:val="24"/>
          <w:szCs w:val="24"/>
          <w:lang w:val="sr-Cyrl-RS"/>
        </w:rPr>
        <w:t xml:space="preserve">интензитета </w:t>
      </w:r>
      <w:r w:rsidRPr="00863A81">
        <w:rPr>
          <w:rFonts w:ascii="Times New Roman" w:eastAsia="Times New Roman" w:hAnsi="Times New Roman" w:cs="Times New Roman"/>
          <w:color w:val="auto"/>
          <w:sz w:val="24"/>
          <w:szCs w:val="24"/>
          <w:lang w:val="sr-Cyrl-RS"/>
        </w:rPr>
        <w:t>конкурен</w:t>
      </w:r>
      <w:r w:rsidR="00FA2EB4" w:rsidRPr="00863A81">
        <w:rPr>
          <w:rFonts w:ascii="Times New Roman" w:eastAsia="Times New Roman" w:hAnsi="Times New Roman" w:cs="Times New Roman"/>
          <w:color w:val="auto"/>
          <w:sz w:val="24"/>
          <w:szCs w:val="24"/>
          <w:lang w:val="sr-Cyrl-RS"/>
        </w:rPr>
        <w:t>ције</w:t>
      </w:r>
      <w:r w:rsidRPr="00863A81">
        <w:rPr>
          <w:rFonts w:ascii="Times New Roman" w:eastAsia="Times New Roman" w:hAnsi="Times New Roman" w:cs="Times New Roman"/>
          <w:color w:val="auto"/>
          <w:sz w:val="24"/>
          <w:szCs w:val="24"/>
          <w:lang w:val="sr-Cyrl-RS"/>
        </w:rPr>
        <w:t xml:space="preserve"> је </w:t>
      </w:r>
      <w:r w:rsidR="00FA2EB4" w:rsidRPr="00863A81">
        <w:rPr>
          <w:rFonts w:ascii="Times New Roman" w:eastAsia="Times New Roman" w:hAnsi="Times New Roman" w:cs="Times New Roman"/>
          <w:color w:val="auto"/>
          <w:sz w:val="24"/>
          <w:szCs w:val="24"/>
          <w:lang w:val="sr-Cyrl-RS"/>
        </w:rPr>
        <w:t>учешће уговора за које је пристигла само једна понуда (Слика</w:t>
      </w:r>
      <w:r w:rsidR="00DC7527" w:rsidRPr="00863A81">
        <w:rPr>
          <w:rFonts w:ascii="Times New Roman" w:eastAsia="Times New Roman" w:hAnsi="Times New Roman" w:cs="Times New Roman"/>
          <w:color w:val="auto"/>
          <w:sz w:val="24"/>
          <w:szCs w:val="24"/>
          <w:lang w:val="sr-Cyrl-RS"/>
        </w:rPr>
        <w:t xml:space="preserve"> </w:t>
      </w:r>
      <w:r w:rsidR="00863A81" w:rsidRPr="00863A81">
        <w:rPr>
          <w:rFonts w:ascii="Times New Roman" w:eastAsia="Times New Roman" w:hAnsi="Times New Roman" w:cs="Times New Roman"/>
          <w:color w:val="auto"/>
          <w:sz w:val="24"/>
          <w:szCs w:val="24"/>
          <w:lang w:val="sr-Cyrl-RS"/>
        </w:rPr>
        <w:t>9</w:t>
      </w:r>
      <w:r w:rsidR="00FA2EB4" w:rsidRPr="00863A81">
        <w:rPr>
          <w:rFonts w:ascii="Times New Roman" w:eastAsia="Times New Roman" w:hAnsi="Times New Roman" w:cs="Times New Roman"/>
          <w:color w:val="auto"/>
          <w:sz w:val="24"/>
          <w:szCs w:val="24"/>
          <w:lang w:val="sr-Cyrl-RS"/>
        </w:rPr>
        <w:t>)</w:t>
      </w:r>
      <w:r w:rsidR="00DC7527" w:rsidRPr="00863A81">
        <w:rPr>
          <w:rFonts w:ascii="Times New Roman" w:eastAsia="Times New Roman" w:hAnsi="Times New Roman" w:cs="Times New Roman"/>
          <w:color w:val="auto"/>
          <w:sz w:val="24"/>
          <w:szCs w:val="24"/>
          <w:lang w:val="sr-Cyrl-RS"/>
        </w:rPr>
        <w:t xml:space="preserve">. Већи број пристиглих понуда значи и већи број </w:t>
      </w:r>
      <w:r w:rsidR="00D36876" w:rsidRPr="00863A81">
        <w:rPr>
          <w:rFonts w:ascii="Times New Roman" w:eastAsia="Times New Roman" w:hAnsi="Times New Roman" w:cs="Times New Roman"/>
          <w:color w:val="auto"/>
          <w:sz w:val="24"/>
          <w:szCs w:val="24"/>
          <w:lang w:val="sr-Cyrl-RS"/>
        </w:rPr>
        <w:t xml:space="preserve">опција за наручиоце што води </w:t>
      </w:r>
      <w:r w:rsidR="00F51045" w:rsidRPr="00863A81">
        <w:rPr>
          <w:rFonts w:ascii="Times New Roman" w:eastAsia="Times New Roman" w:hAnsi="Times New Roman" w:cs="Times New Roman"/>
          <w:color w:val="auto"/>
          <w:sz w:val="24"/>
          <w:szCs w:val="24"/>
          <w:lang w:val="sr-Cyrl-RS"/>
        </w:rPr>
        <w:t xml:space="preserve">једноставнијем </w:t>
      </w:r>
      <w:r w:rsidR="00D36876" w:rsidRPr="00863A81">
        <w:rPr>
          <w:rFonts w:ascii="Times New Roman" w:eastAsia="Times New Roman" w:hAnsi="Times New Roman" w:cs="Times New Roman"/>
          <w:color w:val="auto"/>
          <w:sz w:val="24"/>
          <w:szCs w:val="24"/>
          <w:lang w:val="sr-Cyrl-RS"/>
        </w:rPr>
        <w:t>остваривању једног од основних циљева јавних набавки а то је постизање највеће вредности за</w:t>
      </w:r>
      <w:r w:rsidR="00842152" w:rsidRPr="00863A81">
        <w:rPr>
          <w:rFonts w:ascii="Times New Roman" w:eastAsia="Times New Roman" w:hAnsi="Times New Roman" w:cs="Times New Roman"/>
          <w:color w:val="auto"/>
          <w:sz w:val="24"/>
          <w:szCs w:val="24"/>
          <w:lang w:val="sr-Cyrl-RS"/>
        </w:rPr>
        <w:t xml:space="preserve"> уложени </w:t>
      </w:r>
      <w:r w:rsidR="00D36876" w:rsidRPr="00863A81">
        <w:rPr>
          <w:rFonts w:ascii="Times New Roman" w:eastAsia="Times New Roman" w:hAnsi="Times New Roman" w:cs="Times New Roman"/>
          <w:color w:val="auto"/>
          <w:sz w:val="24"/>
          <w:szCs w:val="24"/>
          <w:lang w:val="sr-Cyrl-RS"/>
        </w:rPr>
        <w:t xml:space="preserve">новац. </w:t>
      </w:r>
    </w:p>
    <w:p w14:paraId="7ED08B64" w14:textId="778B84F8" w:rsidR="00EC57D6" w:rsidRPr="00953934" w:rsidRDefault="00AC1081">
      <w:pPr>
        <w:jc w:val="both"/>
        <w:rPr>
          <w:rFonts w:ascii="Times New Roman" w:eastAsia="Times New Roman" w:hAnsi="Times New Roman" w:cs="Times New Roman"/>
          <w:b/>
          <w:color w:val="000000" w:themeColor="text1"/>
          <w:sz w:val="24"/>
          <w:szCs w:val="24"/>
          <w:lang w:val="sr-Cyrl-RS"/>
        </w:rPr>
      </w:pPr>
      <w:r>
        <w:rPr>
          <w:rFonts w:ascii="Times New Roman" w:eastAsia="Times New Roman" w:hAnsi="Times New Roman" w:cs="Times New Roman"/>
          <w:color w:val="000000" w:themeColor="text1"/>
          <w:sz w:val="24"/>
          <w:szCs w:val="24"/>
          <w:lang w:val="sr-Cyrl-RS"/>
        </w:rPr>
        <w:t xml:space="preserve">   </w:t>
      </w:r>
      <w:r w:rsidR="00F51045">
        <w:rPr>
          <w:rFonts w:ascii="Times New Roman" w:eastAsia="Times New Roman" w:hAnsi="Times New Roman" w:cs="Times New Roman"/>
          <w:color w:val="000000" w:themeColor="text1"/>
          <w:sz w:val="24"/>
          <w:szCs w:val="24"/>
          <w:lang w:val="sr-Cyrl-RS"/>
        </w:rPr>
        <w:t xml:space="preserve">    </w:t>
      </w:r>
      <w:r w:rsidR="00EC57D6" w:rsidRPr="00953934">
        <w:rPr>
          <w:rFonts w:ascii="Times New Roman" w:eastAsia="Times New Roman" w:hAnsi="Times New Roman" w:cs="Times New Roman"/>
          <w:b/>
          <w:color w:val="000000" w:themeColor="text1"/>
          <w:sz w:val="24"/>
          <w:szCs w:val="24"/>
          <w:lang w:val="sr-Cyrl-RS"/>
        </w:rPr>
        <w:t xml:space="preserve">Слика </w:t>
      </w:r>
      <w:r w:rsidR="00863A81">
        <w:rPr>
          <w:rFonts w:ascii="Times New Roman" w:eastAsia="Times New Roman" w:hAnsi="Times New Roman" w:cs="Times New Roman"/>
          <w:b/>
          <w:color w:val="000000" w:themeColor="text1"/>
          <w:sz w:val="24"/>
          <w:szCs w:val="24"/>
          <w:lang w:val="sr-Cyrl-RS"/>
        </w:rPr>
        <w:t>9</w:t>
      </w:r>
    </w:p>
    <w:p w14:paraId="21808653" w14:textId="77777777" w:rsidR="00EC57D6" w:rsidRDefault="00D36876" w:rsidP="003213E9">
      <w:pPr>
        <w:jc w:val="center"/>
        <w:rPr>
          <w:rFonts w:ascii="Times New Roman" w:eastAsia="Times New Roman" w:hAnsi="Times New Roman" w:cs="Times New Roman"/>
          <w:color w:val="000000" w:themeColor="text1"/>
          <w:sz w:val="24"/>
          <w:szCs w:val="24"/>
        </w:rPr>
      </w:pPr>
      <w:r>
        <w:rPr>
          <w:noProof/>
          <w:lang w:val="sr-Cyrl-RS" w:eastAsia="sr-Cyrl-RS"/>
        </w:rPr>
        <w:drawing>
          <wp:inline distT="0" distB="0" distL="0" distR="0" wp14:anchorId="5266262F" wp14:editId="212B15C6">
            <wp:extent cx="5167630" cy="3333750"/>
            <wp:effectExtent l="0" t="0" r="1397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ADCF87" w14:textId="77777777" w:rsidR="00953934" w:rsidRDefault="00953934" w:rsidP="00953934">
      <w:pP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 xml:space="preserve">      </w:t>
      </w:r>
    </w:p>
    <w:p w14:paraId="58FF62C8" w14:textId="59BA733C" w:rsidR="00953934" w:rsidRPr="0024375F" w:rsidRDefault="00F51045" w:rsidP="003213E9">
      <w:pPr>
        <w:jc w:val="both"/>
        <w:rPr>
          <w:rFonts w:ascii="Times New Roman" w:eastAsia="Times New Roman" w:hAnsi="Times New Roman" w:cs="Times New Roman"/>
          <w:color w:val="auto"/>
          <w:sz w:val="24"/>
          <w:szCs w:val="24"/>
          <w:lang w:val="sr-Cyrl-RS"/>
        </w:rPr>
      </w:pPr>
      <w:r w:rsidRPr="0024375F">
        <w:rPr>
          <w:rFonts w:ascii="Times New Roman" w:eastAsia="Times New Roman" w:hAnsi="Times New Roman" w:cs="Times New Roman"/>
          <w:color w:val="auto"/>
          <w:sz w:val="24"/>
          <w:szCs w:val="24"/>
          <w:lang w:val="sr-Cyrl-RS"/>
        </w:rPr>
        <w:lastRenderedPageBreak/>
        <w:t xml:space="preserve">На основу последњих података </w:t>
      </w:r>
      <w:r w:rsidR="0078018A" w:rsidRPr="0024375F">
        <w:rPr>
          <w:rFonts w:ascii="Times New Roman" w:eastAsia="Times New Roman" w:hAnsi="Times New Roman" w:cs="Times New Roman"/>
          <w:color w:val="auto"/>
          <w:sz w:val="24"/>
          <w:szCs w:val="24"/>
          <w:lang w:val="sr-Cyrl-RS"/>
        </w:rPr>
        <w:t xml:space="preserve">који </w:t>
      </w:r>
      <w:r w:rsidR="002021C9">
        <w:rPr>
          <w:rFonts w:ascii="Times New Roman" w:eastAsia="Times New Roman" w:hAnsi="Times New Roman" w:cs="Times New Roman"/>
          <w:color w:val="auto"/>
          <w:sz w:val="24"/>
          <w:szCs w:val="24"/>
          <w:lang w:val="sr-Cyrl-RS"/>
        </w:rPr>
        <w:t>су објављени</w:t>
      </w:r>
      <w:r w:rsidR="0078018A" w:rsidRPr="0024375F">
        <w:rPr>
          <w:rFonts w:ascii="Times New Roman" w:eastAsia="Times New Roman" w:hAnsi="Times New Roman" w:cs="Times New Roman"/>
          <w:color w:val="auto"/>
          <w:sz w:val="24"/>
          <w:szCs w:val="24"/>
          <w:lang w:val="sr-Cyrl-RS"/>
        </w:rPr>
        <w:t xml:space="preserve"> на </w:t>
      </w:r>
      <w:r w:rsidR="003213E9">
        <w:rPr>
          <w:rFonts w:ascii="Times New Roman" w:eastAsia="Times New Roman" w:hAnsi="Times New Roman" w:cs="Times New Roman"/>
          <w:color w:val="auto"/>
          <w:sz w:val="24"/>
          <w:szCs w:val="24"/>
          <w:lang w:val="en-US"/>
        </w:rPr>
        <w:t>сајту Европске комисије</w:t>
      </w:r>
      <w:r w:rsidR="0078018A" w:rsidRPr="0024375F">
        <w:rPr>
          <w:rStyle w:val="FootnoteReference"/>
          <w:rFonts w:ascii="Times New Roman" w:eastAsia="Times New Roman" w:hAnsi="Times New Roman" w:cs="Times New Roman"/>
          <w:color w:val="auto"/>
          <w:sz w:val="24"/>
          <w:szCs w:val="24"/>
          <w:lang w:val="en-US"/>
        </w:rPr>
        <w:footnoteReference w:id="3"/>
      </w:r>
      <w:r w:rsidR="0078018A" w:rsidRPr="0024375F">
        <w:rPr>
          <w:rFonts w:ascii="Times New Roman" w:eastAsia="Times New Roman" w:hAnsi="Times New Roman" w:cs="Times New Roman"/>
          <w:color w:val="auto"/>
          <w:sz w:val="24"/>
          <w:szCs w:val="24"/>
          <w:lang w:val="en-US"/>
        </w:rPr>
        <w:t xml:space="preserve">, </w:t>
      </w:r>
      <w:r w:rsidR="0078018A" w:rsidRPr="0024375F">
        <w:rPr>
          <w:rFonts w:ascii="Times New Roman" w:eastAsia="Times New Roman" w:hAnsi="Times New Roman" w:cs="Times New Roman"/>
          <w:color w:val="auto"/>
          <w:sz w:val="24"/>
          <w:szCs w:val="24"/>
          <w:lang w:val="sr-Cyrl-RS"/>
        </w:rPr>
        <w:t>у Пољској заступљеност уговора за кој</w:t>
      </w:r>
      <w:r w:rsidR="00664DAE" w:rsidRPr="00863A81">
        <w:rPr>
          <w:rFonts w:ascii="Times New Roman" w:eastAsia="Times New Roman" w:hAnsi="Times New Roman" w:cs="Times New Roman"/>
          <w:color w:val="auto"/>
          <w:sz w:val="24"/>
          <w:szCs w:val="24"/>
          <w:lang w:val="sr-Cyrl-RS"/>
        </w:rPr>
        <w:t>е</w:t>
      </w:r>
      <w:r w:rsidR="0078018A" w:rsidRPr="0024375F">
        <w:rPr>
          <w:rFonts w:ascii="Times New Roman" w:eastAsia="Times New Roman" w:hAnsi="Times New Roman" w:cs="Times New Roman"/>
          <w:color w:val="auto"/>
          <w:sz w:val="24"/>
          <w:szCs w:val="24"/>
          <w:lang w:val="sr-Cyrl-RS"/>
        </w:rPr>
        <w:t xml:space="preserve"> је пристигла само једна понуда износи 52%, у Мађарској 41%, Румунији 34%</w:t>
      </w:r>
      <w:r w:rsidR="003213E9">
        <w:rPr>
          <w:rFonts w:ascii="Times New Roman" w:eastAsia="Times New Roman" w:hAnsi="Times New Roman" w:cs="Times New Roman"/>
          <w:color w:val="auto"/>
          <w:sz w:val="24"/>
          <w:szCs w:val="24"/>
          <w:lang w:val="sr-Cyrl-RS"/>
        </w:rPr>
        <w:t>, Бугарској 32%,</w:t>
      </w:r>
      <w:r w:rsidR="0078018A" w:rsidRPr="0024375F">
        <w:rPr>
          <w:rFonts w:ascii="Times New Roman" w:eastAsia="Times New Roman" w:hAnsi="Times New Roman" w:cs="Times New Roman"/>
          <w:color w:val="auto"/>
          <w:sz w:val="24"/>
          <w:szCs w:val="24"/>
          <w:lang w:val="sr-Cyrl-RS"/>
        </w:rPr>
        <w:t xml:space="preserve"> док у Хрватској износи 25%. </w:t>
      </w:r>
    </w:p>
    <w:p w14:paraId="7A9CABCE" w14:textId="26875F75" w:rsidR="00664DAE" w:rsidRPr="00863A81" w:rsidRDefault="00664DAE" w:rsidP="00D107D8">
      <w:pPr>
        <w:jc w:val="both"/>
        <w:rPr>
          <w:rFonts w:ascii="Times New Roman" w:eastAsia="Times New Roman" w:hAnsi="Times New Roman" w:cs="Times New Roman"/>
          <w:color w:val="auto"/>
          <w:sz w:val="24"/>
          <w:szCs w:val="24"/>
          <w:lang w:val="sr-Cyrl-RS"/>
        </w:rPr>
      </w:pPr>
      <w:r w:rsidRPr="0024375F">
        <w:rPr>
          <w:rFonts w:ascii="Times New Roman" w:eastAsia="Times New Roman" w:hAnsi="Times New Roman" w:cs="Times New Roman"/>
          <w:color w:val="auto"/>
          <w:sz w:val="24"/>
          <w:szCs w:val="24"/>
          <w:lang w:val="sr-Cyrl-RS"/>
        </w:rPr>
        <w:t>Учешће уговора са једном</w:t>
      </w:r>
      <w:r w:rsidR="00C51AE2">
        <w:rPr>
          <w:rFonts w:ascii="Times New Roman" w:eastAsia="Times New Roman" w:hAnsi="Times New Roman" w:cs="Times New Roman"/>
          <w:color w:val="auto"/>
          <w:sz w:val="24"/>
          <w:szCs w:val="24"/>
          <w:lang w:val="sr-Cyrl-RS"/>
        </w:rPr>
        <w:t xml:space="preserve"> понудом</w:t>
      </w:r>
      <w:r w:rsidRPr="0024375F">
        <w:rPr>
          <w:rFonts w:ascii="Times New Roman" w:eastAsia="Times New Roman" w:hAnsi="Times New Roman" w:cs="Times New Roman"/>
          <w:color w:val="auto"/>
          <w:sz w:val="24"/>
          <w:szCs w:val="24"/>
          <w:lang w:val="sr-Cyrl-RS"/>
        </w:rPr>
        <w:t xml:space="preserve"> п</w:t>
      </w:r>
      <w:r w:rsidR="00C51AE2">
        <w:rPr>
          <w:rFonts w:ascii="Times New Roman" w:eastAsia="Times New Roman" w:hAnsi="Times New Roman" w:cs="Times New Roman"/>
          <w:color w:val="auto"/>
          <w:sz w:val="24"/>
          <w:szCs w:val="24"/>
          <w:lang w:val="sr-Cyrl-RS"/>
        </w:rPr>
        <w:t xml:space="preserve">о </w:t>
      </w:r>
      <w:r w:rsidRPr="0024375F">
        <w:rPr>
          <w:rFonts w:ascii="Times New Roman" w:eastAsia="Times New Roman" w:hAnsi="Times New Roman" w:cs="Times New Roman"/>
          <w:color w:val="auto"/>
          <w:sz w:val="24"/>
          <w:szCs w:val="24"/>
          <w:lang w:val="sr-Cyrl-RS"/>
        </w:rPr>
        <w:t>категориј</w:t>
      </w:r>
      <w:r w:rsidR="00C51AE2">
        <w:rPr>
          <w:rFonts w:ascii="Times New Roman" w:eastAsia="Times New Roman" w:hAnsi="Times New Roman" w:cs="Times New Roman"/>
          <w:color w:val="auto"/>
          <w:sz w:val="24"/>
          <w:szCs w:val="24"/>
          <w:lang w:val="sr-Cyrl-RS"/>
        </w:rPr>
        <w:t>ама</w:t>
      </w:r>
      <w:r w:rsidRPr="0024375F">
        <w:rPr>
          <w:rFonts w:ascii="Times New Roman" w:eastAsia="Times New Roman" w:hAnsi="Times New Roman" w:cs="Times New Roman"/>
          <w:color w:val="auto"/>
          <w:sz w:val="24"/>
          <w:szCs w:val="24"/>
          <w:lang w:val="sr-Cyrl-RS"/>
        </w:rPr>
        <w:t xml:space="preserve"> наручилаца приказано је у Табели 11</w:t>
      </w:r>
      <w:r w:rsidR="00D107D8">
        <w:rPr>
          <w:rFonts w:ascii="Times New Roman" w:eastAsia="Times New Roman" w:hAnsi="Times New Roman" w:cs="Times New Roman"/>
          <w:color w:val="auto"/>
          <w:sz w:val="24"/>
          <w:szCs w:val="24"/>
          <w:lang w:val="sr-Cyrl-RS"/>
        </w:rPr>
        <w:t>.</w:t>
      </w:r>
      <w:r w:rsidRPr="00863A81">
        <w:rPr>
          <w:rFonts w:ascii="Times New Roman" w:eastAsia="Times New Roman" w:hAnsi="Times New Roman" w:cs="Times New Roman"/>
          <w:color w:val="auto"/>
          <w:sz w:val="24"/>
          <w:szCs w:val="24"/>
          <w:lang w:val="sr-Cyrl-RS"/>
        </w:rPr>
        <w:t xml:space="preserve">  </w:t>
      </w:r>
    </w:p>
    <w:p w14:paraId="6777F1AC" w14:textId="77777777" w:rsidR="00953934" w:rsidRPr="00953934" w:rsidRDefault="00D36876" w:rsidP="00953934">
      <w:pPr>
        <w:rPr>
          <w:rFonts w:ascii="Times New Roman" w:eastAsia="Times New Roman" w:hAnsi="Times New Roman" w:cs="Times New Roman"/>
          <w:b/>
          <w:color w:val="000000" w:themeColor="text1"/>
          <w:sz w:val="24"/>
          <w:szCs w:val="24"/>
          <w:lang w:val="sr-Cyrl-RS"/>
        </w:rPr>
      </w:pPr>
      <w:r>
        <w:rPr>
          <w:rFonts w:ascii="Times New Roman" w:eastAsia="Times New Roman" w:hAnsi="Times New Roman" w:cs="Times New Roman"/>
          <w:color w:val="000000" w:themeColor="text1"/>
          <w:sz w:val="24"/>
          <w:szCs w:val="24"/>
          <w:lang w:val="sr-Cyrl-RS"/>
        </w:rPr>
        <w:t xml:space="preserve"> </w:t>
      </w:r>
      <w:r w:rsidR="00953934">
        <w:rPr>
          <w:rFonts w:ascii="Times New Roman" w:eastAsia="Times New Roman" w:hAnsi="Times New Roman" w:cs="Times New Roman"/>
          <w:color w:val="000000" w:themeColor="text1"/>
          <w:sz w:val="24"/>
          <w:szCs w:val="24"/>
          <w:lang w:val="sr-Cyrl-RS"/>
        </w:rPr>
        <w:t xml:space="preserve">  </w:t>
      </w:r>
      <w:r w:rsidR="00953934" w:rsidRPr="00953934">
        <w:rPr>
          <w:rFonts w:ascii="Times New Roman" w:eastAsia="Times New Roman" w:hAnsi="Times New Roman" w:cs="Times New Roman"/>
          <w:b/>
          <w:color w:val="000000" w:themeColor="text1"/>
          <w:sz w:val="24"/>
          <w:szCs w:val="24"/>
          <w:lang w:val="sr-Cyrl-RS"/>
        </w:rPr>
        <w:t>Табела 11</w:t>
      </w:r>
    </w:p>
    <w:tbl>
      <w:tblPr>
        <w:tblStyle w:val="TableGrid4"/>
        <w:tblW w:w="0" w:type="auto"/>
        <w:jc w:val="center"/>
        <w:tblLook w:val="0000" w:firstRow="0" w:lastRow="0" w:firstColumn="0" w:lastColumn="0" w:noHBand="0" w:noVBand="0"/>
      </w:tblPr>
      <w:tblGrid>
        <w:gridCol w:w="4106"/>
        <w:gridCol w:w="4820"/>
      </w:tblGrid>
      <w:tr w:rsidR="00953934" w:rsidRPr="00953934" w14:paraId="30982445" w14:textId="77777777" w:rsidTr="00FA2EB4">
        <w:trPr>
          <w:trHeight w:val="708"/>
          <w:jc w:val="center"/>
        </w:trPr>
        <w:tc>
          <w:tcPr>
            <w:tcW w:w="8926" w:type="dxa"/>
            <w:gridSpan w:val="2"/>
          </w:tcPr>
          <w:p w14:paraId="7F7F4CCA" w14:textId="77777777" w:rsidR="00953934" w:rsidRPr="00953934" w:rsidRDefault="00953934" w:rsidP="00953934">
            <w:pPr>
              <w:jc w:val="center"/>
              <w:rPr>
                <w:rFonts w:ascii="Times New Roman" w:hAnsi="Times New Roman"/>
                <w:b/>
                <w:sz w:val="24"/>
                <w:szCs w:val="24"/>
                <w:lang w:val="sr-Cyrl-RS"/>
              </w:rPr>
            </w:pPr>
            <w:r w:rsidRPr="00953934">
              <w:rPr>
                <w:rFonts w:ascii="Times New Roman" w:hAnsi="Times New Roman"/>
                <w:b/>
                <w:sz w:val="24"/>
                <w:szCs w:val="24"/>
                <w:lang w:val="sr-Cyrl-RS"/>
              </w:rPr>
              <w:t>Заступљеност уговора са једном понудом по категоријама наручилаца</w:t>
            </w:r>
          </w:p>
          <w:p w14:paraId="51B1E482" w14:textId="77777777" w:rsidR="00953934" w:rsidRPr="00953934" w:rsidRDefault="00953934" w:rsidP="00953934">
            <w:pPr>
              <w:jc w:val="center"/>
              <w:rPr>
                <w:rFonts w:ascii="Times New Roman" w:hAnsi="Times New Roman"/>
                <w:sz w:val="24"/>
                <w:szCs w:val="24"/>
                <w:lang w:val="sr-Cyrl-RS"/>
              </w:rPr>
            </w:pPr>
            <w:r w:rsidRPr="00953934">
              <w:rPr>
                <w:rFonts w:ascii="Times New Roman" w:hAnsi="Times New Roman"/>
                <w:b/>
                <w:sz w:val="24"/>
                <w:szCs w:val="24"/>
                <w:lang w:val="sr-Cyrl-RS"/>
              </w:rPr>
              <w:t>у првом полугодишту 2019. године</w:t>
            </w:r>
          </w:p>
        </w:tc>
      </w:tr>
      <w:tr w:rsidR="00953934" w:rsidRPr="00953934" w14:paraId="7B2A43F4" w14:textId="77777777" w:rsidTr="00FA2EB4">
        <w:tblPrEx>
          <w:tblLook w:val="04A0" w:firstRow="1" w:lastRow="0" w:firstColumn="1" w:lastColumn="0" w:noHBand="0" w:noVBand="1"/>
        </w:tblPrEx>
        <w:trPr>
          <w:jc w:val="center"/>
        </w:trPr>
        <w:tc>
          <w:tcPr>
            <w:tcW w:w="4106" w:type="dxa"/>
          </w:tcPr>
          <w:p w14:paraId="57B44B20" w14:textId="77777777" w:rsidR="00953934" w:rsidRPr="00E9770C" w:rsidRDefault="00953934" w:rsidP="00953934">
            <w:pPr>
              <w:rPr>
                <w:rFonts w:ascii="Times New Roman" w:hAnsi="Times New Roman"/>
                <w:b/>
                <w:sz w:val="24"/>
                <w:szCs w:val="24"/>
                <w:lang w:val="sr-Cyrl-RS"/>
              </w:rPr>
            </w:pPr>
            <w:r w:rsidRPr="00E9770C">
              <w:rPr>
                <w:rFonts w:ascii="Times New Roman" w:hAnsi="Times New Roman"/>
                <w:b/>
                <w:sz w:val="24"/>
                <w:szCs w:val="24"/>
                <w:lang w:val="sr-Cyrl-RS"/>
              </w:rPr>
              <w:t>Категорија</w:t>
            </w:r>
          </w:p>
        </w:tc>
        <w:tc>
          <w:tcPr>
            <w:tcW w:w="4820" w:type="dxa"/>
          </w:tcPr>
          <w:p w14:paraId="3AB2DF38" w14:textId="77777777" w:rsidR="00953934" w:rsidRPr="00E9770C" w:rsidRDefault="00953934" w:rsidP="00953934">
            <w:pPr>
              <w:jc w:val="center"/>
              <w:rPr>
                <w:rFonts w:ascii="Times New Roman" w:hAnsi="Times New Roman"/>
                <w:b/>
                <w:sz w:val="24"/>
                <w:szCs w:val="24"/>
                <w:lang w:val="sr-Cyrl-RS"/>
              </w:rPr>
            </w:pPr>
            <w:r w:rsidRPr="00E9770C">
              <w:rPr>
                <w:rFonts w:ascii="Times New Roman" w:hAnsi="Times New Roman"/>
                <w:b/>
                <w:sz w:val="24"/>
                <w:szCs w:val="24"/>
                <w:lang w:val="sr-Cyrl-RS"/>
              </w:rPr>
              <w:t>%</w:t>
            </w:r>
          </w:p>
        </w:tc>
      </w:tr>
      <w:tr w:rsidR="00953934" w:rsidRPr="00953934" w14:paraId="28B4B0E5" w14:textId="77777777" w:rsidTr="00FA2EB4">
        <w:tblPrEx>
          <w:tblLook w:val="04A0" w:firstRow="1" w:lastRow="0" w:firstColumn="1" w:lastColumn="0" w:noHBand="0" w:noVBand="1"/>
        </w:tblPrEx>
        <w:trPr>
          <w:jc w:val="center"/>
        </w:trPr>
        <w:tc>
          <w:tcPr>
            <w:tcW w:w="4106" w:type="dxa"/>
          </w:tcPr>
          <w:p w14:paraId="1F7DD4F7" w14:textId="77777777" w:rsidR="00953934" w:rsidRPr="00953934" w:rsidRDefault="00953934" w:rsidP="00953934">
            <w:pPr>
              <w:rPr>
                <w:rFonts w:ascii="Times New Roman" w:hAnsi="Times New Roman"/>
                <w:sz w:val="24"/>
                <w:szCs w:val="24"/>
                <w:lang w:val="sr-Cyrl-RS"/>
              </w:rPr>
            </w:pPr>
            <w:r w:rsidRPr="00953934">
              <w:rPr>
                <w:rFonts w:ascii="Times New Roman" w:hAnsi="Times New Roman"/>
                <w:sz w:val="24"/>
                <w:szCs w:val="24"/>
                <w:lang w:val="sr-Cyrl-RS"/>
              </w:rPr>
              <w:t>Органи државне управе</w:t>
            </w:r>
          </w:p>
        </w:tc>
        <w:tc>
          <w:tcPr>
            <w:tcW w:w="4820" w:type="dxa"/>
          </w:tcPr>
          <w:p w14:paraId="395FBBCE" w14:textId="77777777" w:rsidR="00953934" w:rsidRPr="00953934" w:rsidRDefault="00953934" w:rsidP="00953934">
            <w:pPr>
              <w:jc w:val="center"/>
              <w:rPr>
                <w:rFonts w:ascii="Times New Roman" w:hAnsi="Times New Roman"/>
                <w:sz w:val="24"/>
                <w:szCs w:val="24"/>
                <w:lang w:val="sr-Cyrl-RS"/>
              </w:rPr>
            </w:pPr>
            <w:r w:rsidRPr="00953934">
              <w:rPr>
                <w:rFonts w:ascii="Times New Roman" w:hAnsi="Times New Roman"/>
                <w:sz w:val="24"/>
                <w:szCs w:val="24"/>
                <w:lang w:val="sr-Cyrl-RS"/>
              </w:rPr>
              <w:t>58</w:t>
            </w:r>
          </w:p>
        </w:tc>
      </w:tr>
      <w:tr w:rsidR="00953934" w:rsidRPr="00953934" w14:paraId="29F532EC" w14:textId="77777777" w:rsidTr="00FA2EB4">
        <w:tblPrEx>
          <w:tblLook w:val="04A0" w:firstRow="1" w:lastRow="0" w:firstColumn="1" w:lastColumn="0" w:noHBand="0" w:noVBand="1"/>
        </w:tblPrEx>
        <w:trPr>
          <w:jc w:val="center"/>
        </w:trPr>
        <w:tc>
          <w:tcPr>
            <w:tcW w:w="4106" w:type="dxa"/>
          </w:tcPr>
          <w:p w14:paraId="36F2F99D" w14:textId="77777777" w:rsidR="00953934" w:rsidRPr="00953934" w:rsidRDefault="00953934" w:rsidP="00953934">
            <w:pPr>
              <w:rPr>
                <w:rFonts w:ascii="Times New Roman" w:hAnsi="Times New Roman"/>
                <w:sz w:val="24"/>
                <w:szCs w:val="24"/>
                <w:lang w:val="sr-Cyrl-RS"/>
              </w:rPr>
            </w:pPr>
            <w:r w:rsidRPr="00953934">
              <w:rPr>
                <w:rFonts w:ascii="Times New Roman" w:hAnsi="Times New Roman"/>
                <w:sz w:val="24"/>
                <w:szCs w:val="24"/>
                <w:lang w:val="sr-Cyrl-RS"/>
              </w:rPr>
              <w:t>Правосуђе</w:t>
            </w:r>
          </w:p>
        </w:tc>
        <w:tc>
          <w:tcPr>
            <w:tcW w:w="4820" w:type="dxa"/>
          </w:tcPr>
          <w:p w14:paraId="225ECD42" w14:textId="77777777" w:rsidR="00953934" w:rsidRPr="00953934" w:rsidRDefault="00953934" w:rsidP="00953934">
            <w:pPr>
              <w:jc w:val="center"/>
              <w:rPr>
                <w:rFonts w:ascii="Times New Roman" w:hAnsi="Times New Roman"/>
                <w:sz w:val="24"/>
                <w:szCs w:val="24"/>
                <w:lang w:val="sr-Cyrl-RS"/>
              </w:rPr>
            </w:pPr>
            <w:r w:rsidRPr="00953934">
              <w:rPr>
                <w:rFonts w:ascii="Times New Roman" w:hAnsi="Times New Roman"/>
                <w:sz w:val="24"/>
                <w:szCs w:val="24"/>
                <w:lang w:val="sr-Cyrl-RS"/>
              </w:rPr>
              <w:t>25</w:t>
            </w:r>
          </w:p>
        </w:tc>
      </w:tr>
      <w:tr w:rsidR="00953934" w:rsidRPr="00953934" w14:paraId="098D4B24" w14:textId="77777777" w:rsidTr="00FA2EB4">
        <w:tblPrEx>
          <w:tblLook w:val="04A0" w:firstRow="1" w:lastRow="0" w:firstColumn="1" w:lastColumn="0" w:noHBand="0" w:noVBand="1"/>
        </w:tblPrEx>
        <w:trPr>
          <w:jc w:val="center"/>
        </w:trPr>
        <w:tc>
          <w:tcPr>
            <w:tcW w:w="4106" w:type="dxa"/>
          </w:tcPr>
          <w:p w14:paraId="3EAF4853" w14:textId="77777777" w:rsidR="00953934" w:rsidRPr="00953934" w:rsidRDefault="00953934" w:rsidP="00953934">
            <w:pPr>
              <w:rPr>
                <w:rFonts w:ascii="Times New Roman" w:hAnsi="Times New Roman"/>
                <w:sz w:val="24"/>
                <w:szCs w:val="24"/>
                <w:lang w:val="sr-Cyrl-RS"/>
              </w:rPr>
            </w:pPr>
            <w:r w:rsidRPr="00953934">
              <w:rPr>
                <w:rFonts w:ascii="Times New Roman" w:hAnsi="Times New Roman"/>
                <w:sz w:val="24"/>
                <w:szCs w:val="24"/>
                <w:lang w:val="sr-Cyrl-RS"/>
              </w:rPr>
              <w:t>Здравство и социјална заштита</w:t>
            </w:r>
          </w:p>
        </w:tc>
        <w:tc>
          <w:tcPr>
            <w:tcW w:w="4820" w:type="dxa"/>
          </w:tcPr>
          <w:p w14:paraId="657661A8" w14:textId="77777777" w:rsidR="00953934" w:rsidRPr="00953934" w:rsidRDefault="00953934" w:rsidP="00953934">
            <w:pPr>
              <w:jc w:val="center"/>
              <w:rPr>
                <w:rFonts w:ascii="Times New Roman" w:hAnsi="Times New Roman"/>
                <w:sz w:val="24"/>
                <w:szCs w:val="24"/>
                <w:lang w:val="sr-Cyrl-RS"/>
              </w:rPr>
            </w:pPr>
            <w:r w:rsidRPr="00953934">
              <w:rPr>
                <w:rFonts w:ascii="Times New Roman" w:hAnsi="Times New Roman"/>
                <w:sz w:val="24"/>
                <w:szCs w:val="24"/>
                <w:lang w:val="sr-Cyrl-RS"/>
              </w:rPr>
              <w:t>51</w:t>
            </w:r>
          </w:p>
        </w:tc>
      </w:tr>
      <w:tr w:rsidR="00953934" w:rsidRPr="00953934" w14:paraId="07AD2AA1" w14:textId="77777777" w:rsidTr="00FA2EB4">
        <w:tblPrEx>
          <w:tblLook w:val="04A0" w:firstRow="1" w:lastRow="0" w:firstColumn="1" w:lastColumn="0" w:noHBand="0" w:noVBand="1"/>
        </w:tblPrEx>
        <w:trPr>
          <w:jc w:val="center"/>
        </w:trPr>
        <w:tc>
          <w:tcPr>
            <w:tcW w:w="4106" w:type="dxa"/>
          </w:tcPr>
          <w:p w14:paraId="0C886724" w14:textId="77777777" w:rsidR="00953934" w:rsidRPr="00953934" w:rsidRDefault="00953934" w:rsidP="00953934">
            <w:pPr>
              <w:rPr>
                <w:rFonts w:ascii="Times New Roman" w:hAnsi="Times New Roman"/>
                <w:sz w:val="24"/>
                <w:szCs w:val="24"/>
                <w:lang w:val="sr-Cyrl-RS"/>
              </w:rPr>
            </w:pPr>
            <w:r w:rsidRPr="00953934">
              <w:rPr>
                <w:rFonts w:ascii="Times New Roman" w:hAnsi="Times New Roman"/>
                <w:sz w:val="24"/>
                <w:szCs w:val="24"/>
                <w:lang w:val="sr-Cyrl-RS"/>
              </w:rPr>
              <w:t>Култура</w:t>
            </w:r>
          </w:p>
        </w:tc>
        <w:tc>
          <w:tcPr>
            <w:tcW w:w="4820" w:type="dxa"/>
          </w:tcPr>
          <w:p w14:paraId="67E9995B" w14:textId="77777777" w:rsidR="00953934" w:rsidRPr="00953934" w:rsidRDefault="00953934" w:rsidP="00953934">
            <w:pPr>
              <w:jc w:val="center"/>
              <w:rPr>
                <w:rFonts w:ascii="Times New Roman" w:hAnsi="Times New Roman"/>
                <w:sz w:val="24"/>
                <w:szCs w:val="24"/>
                <w:lang w:val="sr-Cyrl-RS"/>
              </w:rPr>
            </w:pPr>
            <w:r w:rsidRPr="00953934">
              <w:rPr>
                <w:rFonts w:ascii="Times New Roman" w:hAnsi="Times New Roman"/>
                <w:sz w:val="24"/>
                <w:szCs w:val="24"/>
                <w:lang w:val="sr-Cyrl-RS"/>
              </w:rPr>
              <w:t>93</w:t>
            </w:r>
          </w:p>
        </w:tc>
      </w:tr>
      <w:tr w:rsidR="00953934" w:rsidRPr="00953934" w14:paraId="7B7BA800" w14:textId="77777777" w:rsidTr="00FA2EB4">
        <w:tblPrEx>
          <w:tblLook w:val="04A0" w:firstRow="1" w:lastRow="0" w:firstColumn="1" w:lastColumn="0" w:noHBand="0" w:noVBand="1"/>
        </w:tblPrEx>
        <w:trPr>
          <w:jc w:val="center"/>
        </w:trPr>
        <w:tc>
          <w:tcPr>
            <w:tcW w:w="4106" w:type="dxa"/>
          </w:tcPr>
          <w:p w14:paraId="19490B8D" w14:textId="77777777" w:rsidR="00953934" w:rsidRPr="00953934" w:rsidRDefault="00953934" w:rsidP="00953934">
            <w:pPr>
              <w:rPr>
                <w:rFonts w:ascii="Times New Roman" w:hAnsi="Times New Roman"/>
                <w:sz w:val="24"/>
                <w:szCs w:val="24"/>
                <w:lang w:val="sr-Cyrl-RS"/>
              </w:rPr>
            </w:pPr>
            <w:r w:rsidRPr="00953934">
              <w:rPr>
                <w:rFonts w:ascii="Times New Roman" w:hAnsi="Times New Roman"/>
                <w:sz w:val="24"/>
                <w:szCs w:val="24"/>
                <w:lang w:val="sr-Cyrl-RS"/>
              </w:rPr>
              <w:t>Просвета и наука</w:t>
            </w:r>
          </w:p>
        </w:tc>
        <w:tc>
          <w:tcPr>
            <w:tcW w:w="4820" w:type="dxa"/>
          </w:tcPr>
          <w:p w14:paraId="224CE861" w14:textId="77777777" w:rsidR="00953934" w:rsidRPr="00953934" w:rsidRDefault="00953934" w:rsidP="00953934">
            <w:pPr>
              <w:jc w:val="center"/>
              <w:rPr>
                <w:rFonts w:ascii="Times New Roman" w:hAnsi="Times New Roman"/>
                <w:sz w:val="24"/>
                <w:szCs w:val="24"/>
                <w:lang w:val="sr-Cyrl-RS"/>
              </w:rPr>
            </w:pPr>
            <w:r w:rsidRPr="00953934">
              <w:rPr>
                <w:rFonts w:ascii="Times New Roman" w:hAnsi="Times New Roman"/>
                <w:sz w:val="24"/>
                <w:szCs w:val="24"/>
                <w:lang w:val="sr-Cyrl-RS"/>
              </w:rPr>
              <w:t>48</w:t>
            </w:r>
          </w:p>
        </w:tc>
      </w:tr>
      <w:tr w:rsidR="00953934" w:rsidRPr="00953934" w14:paraId="47853A8C" w14:textId="77777777" w:rsidTr="00FA2EB4">
        <w:tblPrEx>
          <w:tblLook w:val="04A0" w:firstRow="1" w:lastRow="0" w:firstColumn="1" w:lastColumn="0" w:noHBand="0" w:noVBand="1"/>
        </w:tblPrEx>
        <w:trPr>
          <w:jc w:val="center"/>
        </w:trPr>
        <w:tc>
          <w:tcPr>
            <w:tcW w:w="4106" w:type="dxa"/>
          </w:tcPr>
          <w:p w14:paraId="51E9153D" w14:textId="6071DA94" w:rsidR="00953934" w:rsidRPr="00953934" w:rsidRDefault="0065713F" w:rsidP="00953934">
            <w:pPr>
              <w:rPr>
                <w:rFonts w:ascii="Times New Roman" w:hAnsi="Times New Roman"/>
                <w:sz w:val="24"/>
                <w:szCs w:val="24"/>
                <w:lang w:val="sr-Cyrl-RS"/>
              </w:rPr>
            </w:pPr>
            <w:r>
              <w:rPr>
                <w:rFonts w:ascii="Times New Roman" w:hAnsi="Times New Roman"/>
                <w:sz w:val="24"/>
                <w:szCs w:val="24"/>
                <w:lang w:val="sr-Cyrl-RS"/>
              </w:rPr>
              <w:t>Ј</w:t>
            </w:r>
            <w:r w:rsidR="00953934" w:rsidRPr="00953934">
              <w:rPr>
                <w:rFonts w:ascii="Times New Roman" w:hAnsi="Times New Roman"/>
                <w:sz w:val="24"/>
                <w:szCs w:val="24"/>
                <w:lang w:val="sr-Cyrl-RS"/>
              </w:rPr>
              <w:t>авна предузећа/привредна друштва</w:t>
            </w:r>
            <w:r>
              <w:rPr>
                <w:rFonts w:ascii="Times New Roman" w:hAnsi="Times New Roman"/>
                <w:sz w:val="24"/>
                <w:szCs w:val="24"/>
                <w:lang w:val="sr-Cyrl-RS"/>
              </w:rPr>
              <w:t>-републички ниво</w:t>
            </w:r>
          </w:p>
        </w:tc>
        <w:tc>
          <w:tcPr>
            <w:tcW w:w="4820" w:type="dxa"/>
          </w:tcPr>
          <w:p w14:paraId="75E0AE22" w14:textId="77777777" w:rsidR="00953934" w:rsidRPr="00953934" w:rsidRDefault="00953934" w:rsidP="00953934">
            <w:pPr>
              <w:jc w:val="center"/>
              <w:rPr>
                <w:rFonts w:ascii="Times New Roman" w:hAnsi="Times New Roman"/>
                <w:sz w:val="24"/>
                <w:szCs w:val="24"/>
                <w:lang w:val="sr-Cyrl-RS"/>
              </w:rPr>
            </w:pPr>
            <w:r w:rsidRPr="00953934">
              <w:rPr>
                <w:rFonts w:ascii="Times New Roman" w:hAnsi="Times New Roman"/>
                <w:sz w:val="24"/>
                <w:szCs w:val="24"/>
                <w:lang w:val="sr-Cyrl-RS"/>
              </w:rPr>
              <w:t>63</w:t>
            </w:r>
          </w:p>
        </w:tc>
      </w:tr>
      <w:tr w:rsidR="00953934" w:rsidRPr="00953934" w14:paraId="57990E3C" w14:textId="77777777" w:rsidTr="00FA2EB4">
        <w:tblPrEx>
          <w:tblLook w:val="04A0" w:firstRow="1" w:lastRow="0" w:firstColumn="1" w:lastColumn="0" w:noHBand="0" w:noVBand="1"/>
        </w:tblPrEx>
        <w:trPr>
          <w:jc w:val="center"/>
        </w:trPr>
        <w:tc>
          <w:tcPr>
            <w:tcW w:w="4106" w:type="dxa"/>
          </w:tcPr>
          <w:p w14:paraId="5D23F1C9" w14:textId="77777777" w:rsidR="00953934" w:rsidRPr="00953934" w:rsidRDefault="00953934" w:rsidP="00953934">
            <w:pPr>
              <w:rPr>
                <w:rFonts w:ascii="Times New Roman" w:hAnsi="Times New Roman"/>
                <w:sz w:val="24"/>
                <w:szCs w:val="24"/>
                <w:lang w:val="sr-Cyrl-RS"/>
              </w:rPr>
            </w:pPr>
            <w:r w:rsidRPr="00953934">
              <w:rPr>
                <w:rFonts w:ascii="Times New Roman" w:hAnsi="Times New Roman"/>
                <w:sz w:val="24"/>
                <w:szCs w:val="24"/>
                <w:lang w:val="sr-Cyrl-RS"/>
              </w:rPr>
              <w:t>Јавна предузећа-локална самоуправа</w:t>
            </w:r>
          </w:p>
        </w:tc>
        <w:tc>
          <w:tcPr>
            <w:tcW w:w="4820" w:type="dxa"/>
          </w:tcPr>
          <w:p w14:paraId="46FF9F8F" w14:textId="77777777" w:rsidR="00953934" w:rsidRPr="00953934" w:rsidRDefault="00953934" w:rsidP="00953934">
            <w:pPr>
              <w:jc w:val="center"/>
              <w:rPr>
                <w:rFonts w:ascii="Times New Roman" w:hAnsi="Times New Roman"/>
                <w:sz w:val="24"/>
                <w:szCs w:val="24"/>
                <w:lang w:val="sr-Cyrl-RS"/>
              </w:rPr>
            </w:pPr>
            <w:r w:rsidRPr="00953934">
              <w:rPr>
                <w:rFonts w:ascii="Times New Roman" w:hAnsi="Times New Roman"/>
                <w:sz w:val="24"/>
                <w:szCs w:val="24"/>
                <w:lang w:val="sr-Cyrl-RS"/>
              </w:rPr>
              <w:t>62</w:t>
            </w:r>
          </w:p>
        </w:tc>
      </w:tr>
      <w:tr w:rsidR="00953934" w:rsidRPr="00953934" w14:paraId="10CCAAE0" w14:textId="77777777" w:rsidTr="00FA2EB4">
        <w:tblPrEx>
          <w:tblLook w:val="04A0" w:firstRow="1" w:lastRow="0" w:firstColumn="1" w:lastColumn="0" w:noHBand="0" w:noVBand="1"/>
        </w:tblPrEx>
        <w:trPr>
          <w:jc w:val="center"/>
        </w:trPr>
        <w:tc>
          <w:tcPr>
            <w:tcW w:w="4106" w:type="dxa"/>
          </w:tcPr>
          <w:p w14:paraId="25C3F31C" w14:textId="77777777" w:rsidR="00953934" w:rsidRPr="00953934" w:rsidRDefault="00953934" w:rsidP="00953934">
            <w:pPr>
              <w:rPr>
                <w:rFonts w:ascii="Times New Roman" w:hAnsi="Times New Roman"/>
                <w:sz w:val="24"/>
                <w:szCs w:val="24"/>
                <w:lang w:val="sr-Cyrl-RS"/>
              </w:rPr>
            </w:pPr>
            <w:r w:rsidRPr="00953934">
              <w:rPr>
                <w:rFonts w:ascii="Times New Roman" w:hAnsi="Times New Roman"/>
                <w:sz w:val="24"/>
                <w:szCs w:val="24"/>
                <w:lang w:val="sr-Cyrl-RS"/>
              </w:rPr>
              <w:t>Градска и општинска управа</w:t>
            </w:r>
          </w:p>
        </w:tc>
        <w:tc>
          <w:tcPr>
            <w:tcW w:w="4820" w:type="dxa"/>
          </w:tcPr>
          <w:p w14:paraId="69522E72" w14:textId="77777777" w:rsidR="00953934" w:rsidRPr="00953934" w:rsidRDefault="00953934" w:rsidP="00953934">
            <w:pPr>
              <w:jc w:val="center"/>
              <w:rPr>
                <w:rFonts w:ascii="Times New Roman" w:hAnsi="Times New Roman"/>
                <w:sz w:val="24"/>
                <w:szCs w:val="24"/>
                <w:lang w:val="sr-Cyrl-RS"/>
              </w:rPr>
            </w:pPr>
            <w:r w:rsidRPr="00953934">
              <w:rPr>
                <w:rFonts w:ascii="Times New Roman" w:hAnsi="Times New Roman"/>
                <w:sz w:val="24"/>
                <w:szCs w:val="24"/>
                <w:lang w:val="sr-Cyrl-RS"/>
              </w:rPr>
              <w:t>58</w:t>
            </w:r>
          </w:p>
        </w:tc>
      </w:tr>
      <w:tr w:rsidR="00953934" w:rsidRPr="00953934" w14:paraId="4335BD14" w14:textId="77777777" w:rsidTr="00FA2EB4">
        <w:tblPrEx>
          <w:tblLook w:val="04A0" w:firstRow="1" w:lastRow="0" w:firstColumn="1" w:lastColumn="0" w:noHBand="0" w:noVBand="1"/>
        </w:tblPrEx>
        <w:trPr>
          <w:jc w:val="center"/>
        </w:trPr>
        <w:tc>
          <w:tcPr>
            <w:tcW w:w="4106" w:type="dxa"/>
          </w:tcPr>
          <w:p w14:paraId="16C41697" w14:textId="77777777" w:rsidR="00953934" w:rsidRPr="00953934" w:rsidRDefault="00953934" w:rsidP="00953934">
            <w:pPr>
              <w:rPr>
                <w:rFonts w:ascii="Times New Roman" w:hAnsi="Times New Roman"/>
                <w:sz w:val="24"/>
                <w:szCs w:val="24"/>
                <w:lang w:val="sr-Cyrl-RS"/>
              </w:rPr>
            </w:pPr>
            <w:r w:rsidRPr="00953934">
              <w:rPr>
                <w:rFonts w:ascii="Times New Roman" w:hAnsi="Times New Roman"/>
                <w:sz w:val="24"/>
                <w:szCs w:val="24"/>
                <w:lang w:val="sr-Cyrl-RS"/>
              </w:rPr>
              <w:t>Удружења</w:t>
            </w:r>
          </w:p>
        </w:tc>
        <w:tc>
          <w:tcPr>
            <w:tcW w:w="4820" w:type="dxa"/>
          </w:tcPr>
          <w:p w14:paraId="7BA34FB5" w14:textId="77777777" w:rsidR="00953934" w:rsidRPr="00953934" w:rsidRDefault="00953934" w:rsidP="00953934">
            <w:pPr>
              <w:jc w:val="center"/>
              <w:rPr>
                <w:rFonts w:ascii="Times New Roman" w:hAnsi="Times New Roman"/>
                <w:sz w:val="24"/>
                <w:szCs w:val="24"/>
                <w:lang w:val="sr-Cyrl-RS"/>
              </w:rPr>
            </w:pPr>
            <w:r w:rsidRPr="00953934">
              <w:rPr>
                <w:rFonts w:ascii="Times New Roman" w:hAnsi="Times New Roman"/>
                <w:sz w:val="24"/>
                <w:szCs w:val="24"/>
                <w:lang w:val="sr-Cyrl-RS"/>
              </w:rPr>
              <w:t>36</w:t>
            </w:r>
          </w:p>
        </w:tc>
      </w:tr>
    </w:tbl>
    <w:p w14:paraId="7FA37883" w14:textId="77777777" w:rsidR="00953934" w:rsidRDefault="00953934" w:rsidP="00EC57D6">
      <w:pPr>
        <w:jc w:val="center"/>
        <w:rPr>
          <w:rFonts w:ascii="Times New Roman" w:eastAsia="Times New Roman" w:hAnsi="Times New Roman" w:cs="Times New Roman"/>
          <w:color w:val="000000" w:themeColor="text1"/>
          <w:sz w:val="24"/>
          <w:szCs w:val="24"/>
        </w:rPr>
      </w:pPr>
    </w:p>
    <w:p w14:paraId="3D532809" w14:textId="77777777" w:rsidR="0081466B" w:rsidRDefault="004F0DED">
      <w:pPr>
        <w:numPr>
          <w:ilvl w:val="0"/>
          <w:numId w:val="1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ПОРТАЛ ЈАВНИХ НАБАВКИ</w:t>
      </w:r>
    </w:p>
    <w:p w14:paraId="3A33B138" w14:textId="77777777" w:rsidR="00FC20EA" w:rsidRDefault="00FC20EA">
      <w:pPr>
        <w:jc w:val="both"/>
        <w:rPr>
          <w:rFonts w:ascii="Times New Roman" w:eastAsia="Times New Roman" w:hAnsi="Times New Roman" w:cs="Times New Roman"/>
          <w:sz w:val="24"/>
          <w:szCs w:val="24"/>
        </w:rPr>
      </w:pPr>
      <w:bookmarkStart w:id="5" w:name="_1t3h5sf" w:colFirst="0" w:colLast="0"/>
      <w:bookmarkEnd w:id="5"/>
    </w:p>
    <w:p w14:paraId="6C2283EA" w14:textId="395C9ADD" w:rsidR="00105BE6" w:rsidRDefault="00105BE6" w:rsidP="00105BE6">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првом полугодишту </w:t>
      </w:r>
      <w:r w:rsidRPr="003213E9">
        <w:rPr>
          <w:rFonts w:ascii="Times New Roman" w:eastAsia="Times New Roman" w:hAnsi="Times New Roman" w:cs="Times New Roman"/>
          <w:color w:val="auto"/>
          <w:sz w:val="24"/>
          <w:szCs w:val="24"/>
          <w:lang w:val="sr-Cyrl-RS"/>
        </w:rPr>
        <w:t>201</w:t>
      </w:r>
      <w:r w:rsidR="00021DE5" w:rsidRPr="003213E9">
        <w:rPr>
          <w:rFonts w:ascii="Times New Roman" w:eastAsia="Times New Roman" w:hAnsi="Times New Roman" w:cs="Times New Roman"/>
          <w:color w:val="auto"/>
          <w:sz w:val="24"/>
          <w:szCs w:val="24"/>
          <w:lang w:val="en-US"/>
        </w:rPr>
        <w:t>9</w:t>
      </w:r>
      <w:r>
        <w:rPr>
          <w:rFonts w:ascii="Times New Roman" w:eastAsia="Times New Roman" w:hAnsi="Times New Roman" w:cs="Times New Roman"/>
          <w:sz w:val="24"/>
          <w:szCs w:val="24"/>
          <w:lang w:val="sr-Cyrl-RS"/>
        </w:rPr>
        <w:t>.</w:t>
      </w:r>
      <w:r w:rsidR="00A91E45">
        <w:rPr>
          <w:rFonts w:ascii="Times New Roman" w:eastAsia="Times New Roman" w:hAnsi="Times New Roman" w:cs="Times New Roman"/>
          <w:sz w:val="24"/>
          <w:szCs w:val="24"/>
          <w:lang w:val="sr-Cyrl-RS"/>
        </w:rPr>
        <w:t xml:space="preserve"> године наручиоци су објавили</w:t>
      </w:r>
      <w:r>
        <w:rPr>
          <w:rFonts w:ascii="Times New Roman" w:eastAsia="Times New Roman" w:hAnsi="Times New Roman" w:cs="Times New Roman"/>
          <w:sz w:val="24"/>
          <w:szCs w:val="24"/>
          <w:lang w:val="sr-Cyrl-RS"/>
        </w:rPr>
        <w:t xml:space="preserve"> </w:t>
      </w:r>
      <w:r w:rsidRPr="003213E9">
        <w:rPr>
          <w:rFonts w:ascii="Times New Roman" w:eastAsia="Times New Roman" w:hAnsi="Times New Roman" w:cs="Times New Roman"/>
          <w:color w:val="auto"/>
          <w:sz w:val="24"/>
          <w:szCs w:val="24"/>
          <w:lang w:val="sr-Cyrl-RS"/>
        </w:rPr>
        <w:t>32.</w:t>
      </w:r>
      <w:r w:rsidR="00021DE5" w:rsidRPr="003213E9">
        <w:rPr>
          <w:rFonts w:ascii="Times New Roman" w:eastAsia="Times New Roman" w:hAnsi="Times New Roman" w:cs="Times New Roman"/>
          <w:color w:val="auto"/>
          <w:sz w:val="24"/>
          <w:szCs w:val="24"/>
          <w:lang w:val="en-US"/>
        </w:rPr>
        <w:t>934</w:t>
      </w:r>
      <w:r w:rsidRPr="003213E9">
        <w:rPr>
          <w:rFonts w:ascii="Times New Roman" w:eastAsia="Times New Roman" w:hAnsi="Times New Roman" w:cs="Times New Roman"/>
          <w:color w:val="auto"/>
          <w:sz w:val="24"/>
          <w:szCs w:val="24"/>
          <w:lang w:val="sr-Cyrl-RS"/>
        </w:rPr>
        <w:t xml:space="preserve"> </w:t>
      </w:r>
      <w:r>
        <w:rPr>
          <w:rFonts w:ascii="Times New Roman" w:eastAsia="Times New Roman" w:hAnsi="Times New Roman" w:cs="Times New Roman"/>
          <w:sz w:val="24"/>
          <w:szCs w:val="24"/>
          <w:lang w:val="sr-Cyrl-RS"/>
        </w:rPr>
        <w:t xml:space="preserve">јавних набавки на Порталу јавних набавки, а дневни број посета Порталу износио је </w:t>
      </w:r>
      <w:r w:rsidR="00021DE5" w:rsidRPr="003213E9">
        <w:rPr>
          <w:rFonts w:ascii="Times New Roman" w:eastAsia="Times New Roman" w:hAnsi="Times New Roman" w:cs="Times New Roman"/>
          <w:color w:val="auto"/>
          <w:sz w:val="24"/>
          <w:szCs w:val="24"/>
          <w:lang w:val="en-US"/>
        </w:rPr>
        <w:t>8.202</w:t>
      </w:r>
      <w:r w:rsidRPr="003213E9">
        <w:rPr>
          <w:rFonts w:ascii="Times New Roman" w:eastAsia="Times New Roman" w:hAnsi="Times New Roman" w:cs="Times New Roman"/>
          <w:color w:val="auto"/>
          <w:sz w:val="24"/>
          <w:szCs w:val="24"/>
          <w:lang w:val="sr-Cyrl-RS"/>
        </w:rPr>
        <w:t>.</w:t>
      </w:r>
    </w:p>
    <w:p w14:paraId="032B884B" w14:textId="19ABEDB5" w:rsidR="00105BE6" w:rsidRDefault="00105BE6" w:rsidP="00105BE6">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истом периоду Управа за јавне набавке објавила је на Порталу </w:t>
      </w:r>
      <w:r w:rsidR="00021DE5" w:rsidRPr="00A91E45">
        <w:rPr>
          <w:rFonts w:ascii="Times New Roman" w:eastAsia="Times New Roman" w:hAnsi="Times New Roman" w:cs="Times New Roman"/>
          <w:color w:val="auto"/>
          <w:sz w:val="24"/>
          <w:szCs w:val="24"/>
          <w:lang w:val="en-US"/>
        </w:rPr>
        <w:t>1.101</w:t>
      </w:r>
      <w:r w:rsidRPr="00A91E45">
        <w:rPr>
          <w:rFonts w:ascii="Times New Roman" w:eastAsia="Times New Roman" w:hAnsi="Times New Roman" w:cs="Times New Roman"/>
          <w:color w:val="auto"/>
          <w:sz w:val="24"/>
          <w:szCs w:val="24"/>
          <w:lang w:val="sr-Cyrl-RS"/>
        </w:rPr>
        <w:t xml:space="preserve"> </w:t>
      </w:r>
      <w:r>
        <w:rPr>
          <w:rFonts w:ascii="Times New Roman" w:eastAsia="Times New Roman" w:hAnsi="Times New Roman" w:cs="Times New Roman"/>
          <w:sz w:val="24"/>
          <w:szCs w:val="24"/>
          <w:lang w:val="sr-Cyrl-RS"/>
        </w:rPr>
        <w:t>мишљењ</w:t>
      </w:r>
      <w:r w:rsidR="002021C9">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 о основаности примене преговарачког поступка без објављивања позива за подношење понуда.</w:t>
      </w:r>
    </w:p>
    <w:p w14:paraId="38186875" w14:textId="7586A6AA" w:rsidR="00105BE6" w:rsidRDefault="00105BE6" w:rsidP="00105BE6">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складу са чланом 158. ЗЈН, Републичка комисија за заштиту права у поступцима јавних набавки објавила је </w:t>
      </w:r>
      <w:r w:rsidR="00021DE5" w:rsidRPr="00A91E45">
        <w:rPr>
          <w:rFonts w:ascii="Times New Roman" w:eastAsia="Times New Roman" w:hAnsi="Times New Roman" w:cs="Times New Roman"/>
          <w:color w:val="auto"/>
          <w:sz w:val="24"/>
          <w:szCs w:val="24"/>
          <w:lang w:val="en-US"/>
        </w:rPr>
        <w:t>483</w:t>
      </w:r>
      <w:r>
        <w:rPr>
          <w:rFonts w:ascii="Times New Roman" w:eastAsia="Times New Roman" w:hAnsi="Times New Roman" w:cs="Times New Roman"/>
          <w:sz w:val="24"/>
          <w:szCs w:val="24"/>
          <w:lang w:val="sr-Cyrl-RS"/>
        </w:rPr>
        <w:t xml:space="preserve"> одлуке о захт</w:t>
      </w:r>
      <w:r w:rsidR="007C5515">
        <w:rPr>
          <w:rFonts w:ascii="Times New Roman" w:eastAsia="Times New Roman" w:hAnsi="Times New Roman" w:cs="Times New Roman"/>
          <w:sz w:val="24"/>
          <w:szCs w:val="24"/>
          <w:lang w:val="en-US"/>
        </w:rPr>
        <w:t>е</w:t>
      </w:r>
      <w:r>
        <w:rPr>
          <w:rFonts w:ascii="Times New Roman" w:eastAsia="Times New Roman" w:hAnsi="Times New Roman" w:cs="Times New Roman"/>
          <w:sz w:val="24"/>
          <w:szCs w:val="24"/>
          <w:lang w:val="sr-Cyrl-RS"/>
        </w:rPr>
        <w:t>вима за заштиту права на Порталу јавних набавки.</w:t>
      </w:r>
    </w:p>
    <w:p w14:paraId="1B6C27BA" w14:textId="358AEAD8" w:rsidR="006B22A4" w:rsidRPr="00A91E45" w:rsidRDefault="006B22A4" w:rsidP="006B22A4">
      <w:pPr>
        <w:jc w:val="both"/>
        <w:rPr>
          <w:rFonts w:ascii="Times New Roman" w:eastAsia="Times New Roman" w:hAnsi="Times New Roman" w:cs="Times New Roman"/>
          <w:color w:val="auto"/>
          <w:sz w:val="24"/>
          <w:szCs w:val="24"/>
          <w:lang w:val="sr-Cyrl-RS"/>
        </w:rPr>
      </w:pPr>
      <w:bookmarkStart w:id="6" w:name="_4d34og8" w:colFirst="0" w:colLast="0"/>
      <w:bookmarkStart w:id="7" w:name="_MON_1567510847"/>
      <w:bookmarkEnd w:id="6"/>
      <w:bookmarkEnd w:id="7"/>
      <w:r w:rsidRPr="00A91E45">
        <w:rPr>
          <w:rFonts w:ascii="Times New Roman" w:eastAsia="Times New Roman" w:hAnsi="Times New Roman" w:cs="Times New Roman"/>
          <w:color w:val="auto"/>
          <w:sz w:val="24"/>
          <w:szCs w:val="24"/>
          <w:lang w:val="sr-Cyrl-RS"/>
        </w:rPr>
        <w:lastRenderedPageBreak/>
        <w:t>Број објављених планова на Порталу</w:t>
      </w:r>
      <w:r w:rsidR="00AC1081">
        <w:rPr>
          <w:rFonts w:ascii="Times New Roman" w:eastAsia="Times New Roman" w:hAnsi="Times New Roman" w:cs="Times New Roman"/>
          <w:color w:val="auto"/>
          <w:sz w:val="24"/>
          <w:szCs w:val="24"/>
          <w:lang w:val="sr-Cyrl-RS"/>
        </w:rPr>
        <w:t xml:space="preserve"> јавних набавки током првих полугодишта у периоду</w:t>
      </w:r>
      <w:r w:rsidRPr="00A91E45">
        <w:rPr>
          <w:rFonts w:ascii="Times New Roman" w:eastAsia="Times New Roman" w:hAnsi="Times New Roman" w:cs="Times New Roman"/>
          <w:color w:val="auto"/>
          <w:sz w:val="24"/>
          <w:szCs w:val="24"/>
          <w:lang w:val="sr-Cyrl-RS"/>
        </w:rPr>
        <w:t xml:space="preserve"> 2015-2019. године </w:t>
      </w:r>
      <w:r w:rsidR="00AC1081">
        <w:rPr>
          <w:rFonts w:ascii="Times New Roman" w:eastAsia="Times New Roman" w:hAnsi="Times New Roman" w:cs="Times New Roman"/>
          <w:color w:val="auto"/>
          <w:sz w:val="24"/>
          <w:szCs w:val="24"/>
          <w:lang w:val="sr-Cyrl-RS"/>
        </w:rPr>
        <w:t>приказан је на слици 10.</w:t>
      </w:r>
    </w:p>
    <w:p w14:paraId="5F49C2E7" w14:textId="3F48FCA7" w:rsidR="00CC4D24" w:rsidRDefault="006B22A4" w:rsidP="006B22A4">
      <w:pPr>
        <w:jc w:val="both"/>
        <w:rPr>
          <w:rFonts w:ascii="Times New Roman" w:eastAsia="Times New Roman" w:hAnsi="Times New Roman" w:cs="Times New Roman"/>
          <w:color w:val="FF0000"/>
          <w:sz w:val="24"/>
          <w:szCs w:val="24"/>
          <w:lang w:val="sr-Cyrl-CS"/>
        </w:rPr>
      </w:pPr>
      <w:r>
        <w:rPr>
          <w:rFonts w:ascii="Times New Roman" w:eastAsia="Times New Roman" w:hAnsi="Times New Roman" w:cs="Times New Roman"/>
          <w:color w:val="FF0000"/>
          <w:sz w:val="24"/>
          <w:szCs w:val="24"/>
          <w:lang w:val="sr-Cyrl-CS"/>
        </w:rPr>
        <w:t xml:space="preserve">            </w:t>
      </w:r>
    </w:p>
    <w:p w14:paraId="5A4EA1B6" w14:textId="56D222EF" w:rsidR="006B22A4" w:rsidRPr="00A91E45" w:rsidRDefault="006B22A4" w:rsidP="006B22A4">
      <w:pPr>
        <w:jc w:val="both"/>
        <w:rPr>
          <w:rFonts w:ascii="Times New Roman" w:eastAsia="Times New Roman" w:hAnsi="Times New Roman" w:cs="Times New Roman"/>
          <w:b/>
          <w:color w:val="FF0000"/>
          <w:sz w:val="24"/>
          <w:szCs w:val="24"/>
          <w:lang w:val="sr-Cyrl-RS"/>
        </w:rPr>
      </w:pPr>
      <w:r>
        <w:rPr>
          <w:rFonts w:ascii="Times New Roman" w:eastAsia="Times New Roman" w:hAnsi="Times New Roman" w:cs="Times New Roman"/>
          <w:color w:val="FF0000"/>
          <w:sz w:val="24"/>
          <w:szCs w:val="24"/>
          <w:lang w:val="sr-Cyrl-CS"/>
        </w:rPr>
        <w:t xml:space="preserve">  </w:t>
      </w:r>
      <w:r w:rsidR="00CC4D24">
        <w:rPr>
          <w:rFonts w:ascii="Times New Roman" w:eastAsia="Times New Roman" w:hAnsi="Times New Roman" w:cs="Times New Roman"/>
          <w:color w:val="FF0000"/>
          <w:sz w:val="24"/>
          <w:szCs w:val="24"/>
          <w:lang w:val="sr-Cyrl-CS"/>
        </w:rPr>
        <w:t xml:space="preserve">         </w:t>
      </w:r>
      <w:r w:rsidR="00166ED4" w:rsidRPr="00A91E45">
        <w:rPr>
          <w:rFonts w:ascii="Times New Roman" w:eastAsia="Times New Roman" w:hAnsi="Times New Roman" w:cs="Times New Roman"/>
          <w:b/>
          <w:color w:val="auto"/>
          <w:sz w:val="24"/>
          <w:szCs w:val="24"/>
          <w:lang w:val="sr-Cyrl-CS"/>
        </w:rPr>
        <w:t>С</w:t>
      </w:r>
      <w:r w:rsidRPr="00A91E45">
        <w:rPr>
          <w:rFonts w:ascii="Times New Roman" w:eastAsia="Times New Roman" w:hAnsi="Times New Roman" w:cs="Times New Roman"/>
          <w:b/>
          <w:color w:val="auto"/>
          <w:sz w:val="24"/>
          <w:szCs w:val="24"/>
          <w:lang w:val="sr-Cyrl-CS"/>
        </w:rPr>
        <w:t>лика</w:t>
      </w:r>
      <w:r w:rsidR="00166ED4" w:rsidRPr="00A91E45">
        <w:rPr>
          <w:rFonts w:ascii="Times New Roman" w:eastAsia="Times New Roman" w:hAnsi="Times New Roman" w:cs="Times New Roman"/>
          <w:b/>
          <w:color w:val="auto"/>
          <w:sz w:val="24"/>
          <w:szCs w:val="24"/>
          <w:lang w:val="en-US"/>
        </w:rPr>
        <w:t xml:space="preserve"> </w:t>
      </w:r>
      <w:r w:rsidR="003213E9" w:rsidRPr="00A91E45">
        <w:rPr>
          <w:rFonts w:ascii="Times New Roman" w:eastAsia="Times New Roman" w:hAnsi="Times New Roman" w:cs="Times New Roman"/>
          <w:b/>
          <w:color w:val="auto"/>
          <w:sz w:val="24"/>
          <w:szCs w:val="24"/>
          <w:lang w:val="sr-Cyrl-RS"/>
        </w:rPr>
        <w:t>10</w:t>
      </w:r>
    </w:p>
    <w:p w14:paraId="159E99BD" w14:textId="72625865" w:rsidR="006B22A4" w:rsidRDefault="004A6C05" w:rsidP="006B22A4">
      <w:pPr>
        <w:jc w:val="center"/>
        <w:rPr>
          <w:rFonts w:ascii="Times New Roman" w:eastAsia="Times New Roman" w:hAnsi="Times New Roman" w:cs="Times New Roman"/>
          <w:color w:val="FF0000"/>
          <w:sz w:val="24"/>
          <w:szCs w:val="24"/>
          <w:lang w:val="sr-Cyrl-RS"/>
        </w:rPr>
      </w:pPr>
      <w:r>
        <w:rPr>
          <w:noProof/>
          <w:lang w:val="sr-Cyrl-RS" w:eastAsia="sr-Cyrl-RS"/>
        </w:rPr>
        <w:drawing>
          <wp:inline distT="0" distB="0" distL="0" distR="0" wp14:anchorId="41E6064A" wp14:editId="0991FBBF">
            <wp:extent cx="5448300" cy="3514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858E430" w14:textId="42D0A5A6" w:rsidR="007B100A" w:rsidRDefault="007B100A" w:rsidP="002438F6">
      <w:pPr>
        <w:jc w:val="both"/>
        <w:rPr>
          <w:rFonts w:ascii="Times New Roman" w:eastAsia="Times New Roman" w:hAnsi="Times New Roman" w:cs="Times New Roman"/>
          <w:color w:val="FF0000"/>
          <w:sz w:val="24"/>
          <w:szCs w:val="24"/>
          <w:lang w:val="sr-Cyrl-RS"/>
        </w:rPr>
      </w:pPr>
    </w:p>
    <w:p w14:paraId="596FB722" w14:textId="15375975" w:rsidR="002438F6" w:rsidRDefault="002438F6" w:rsidP="002438F6">
      <w:pPr>
        <w:jc w:val="both"/>
        <w:rPr>
          <w:rFonts w:ascii="Times New Roman" w:eastAsia="Times New Roman" w:hAnsi="Times New Roman" w:cs="Times New Roman"/>
          <w:color w:val="FF0000"/>
          <w:sz w:val="24"/>
          <w:szCs w:val="24"/>
          <w:lang w:val="sr-Cyrl-RS"/>
        </w:rPr>
      </w:pPr>
    </w:p>
    <w:p w14:paraId="076F9DDF" w14:textId="2A55F490" w:rsidR="002438F6" w:rsidRDefault="002438F6" w:rsidP="002438F6">
      <w:pPr>
        <w:jc w:val="both"/>
        <w:rPr>
          <w:rFonts w:ascii="Times New Roman" w:eastAsia="Times New Roman" w:hAnsi="Times New Roman" w:cs="Times New Roman"/>
          <w:color w:val="FF0000"/>
          <w:sz w:val="24"/>
          <w:szCs w:val="24"/>
          <w:lang w:val="sr-Cyrl-RS"/>
        </w:rPr>
      </w:pPr>
    </w:p>
    <w:p w14:paraId="3E93FD79" w14:textId="3EDE6A6A" w:rsidR="002438F6" w:rsidRDefault="002438F6" w:rsidP="002438F6">
      <w:pPr>
        <w:jc w:val="both"/>
        <w:rPr>
          <w:rFonts w:ascii="Times New Roman" w:eastAsia="Times New Roman" w:hAnsi="Times New Roman" w:cs="Times New Roman"/>
          <w:color w:val="FF0000"/>
          <w:sz w:val="24"/>
          <w:szCs w:val="24"/>
          <w:lang w:val="sr-Cyrl-RS"/>
        </w:rPr>
      </w:pPr>
    </w:p>
    <w:p w14:paraId="75A54B88" w14:textId="33D11ABC" w:rsidR="002438F6" w:rsidRDefault="002438F6" w:rsidP="002438F6">
      <w:pPr>
        <w:jc w:val="both"/>
        <w:rPr>
          <w:rFonts w:ascii="Times New Roman" w:eastAsia="Times New Roman" w:hAnsi="Times New Roman" w:cs="Times New Roman"/>
          <w:color w:val="FF0000"/>
          <w:sz w:val="24"/>
          <w:szCs w:val="24"/>
          <w:lang w:val="sr-Cyrl-RS"/>
        </w:rPr>
      </w:pPr>
    </w:p>
    <w:p w14:paraId="77FB6CF8" w14:textId="268F11C9" w:rsidR="002438F6" w:rsidRDefault="002438F6" w:rsidP="002438F6">
      <w:pPr>
        <w:jc w:val="both"/>
        <w:rPr>
          <w:rFonts w:ascii="Times New Roman" w:eastAsia="Times New Roman" w:hAnsi="Times New Roman" w:cs="Times New Roman"/>
          <w:color w:val="FF0000"/>
          <w:sz w:val="24"/>
          <w:szCs w:val="24"/>
          <w:lang w:val="sr-Cyrl-RS"/>
        </w:rPr>
      </w:pPr>
    </w:p>
    <w:p w14:paraId="59AA021E" w14:textId="1758E1B8" w:rsidR="002438F6" w:rsidRDefault="002438F6" w:rsidP="002438F6">
      <w:pPr>
        <w:jc w:val="both"/>
        <w:rPr>
          <w:rFonts w:ascii="Times New Roman" w:eastAsia="Times New Roman" w:hAnsi="Times New Roman" w:cs="Times New Roman"/>
          <w:color w:val="FF0000"/>
          <w:sz w:val="24"/>
          <w:szCs w:val="24"/>
          <w:lang w:val="sr-Cyrl-RS"/>
        </w:rPr>
      </w:pPr>
    </w:p>
    <w:p w14:paraId="47D802A5" w14:textId="089349FC" w:rsidR="002438F6" w:rsidRDefault="002438F6" w:rsidP="002438F6">
      <w:pPr>
        <w:jc w:val="both"/>
        <w:rPr>
          <w:rFonts w:ascii="Times New Roman" w:eastAsia="Times New Roman" w:hAnsi="Times New Roman" w:cs="Times New Roman"/>
          <w:color w:val="FF0000"/>
          <w:sz w:val="24"/>
          <w:szCs w:val="24"/>
          <w:lang w:val="sr-Cyrl-RS"/>
        </w:rPr>
      </w:pPr>
    </w:p>
    <w:p w14:paraId="158A0252" w14:textId="3E048758" w:rsidR="002438F6" w:rsidRDefault="002438F6" w:rsidP="002438F6">
      <w:pPr>
        <w:jc w:val="both"/>
        <w:rPr>
          <w:rFonts w:ascii="Times New Roman" w:eastAsia="Times New Roman" w:hAnsi="Times New Roman" w:cs="Times New Roman"/>
          <w:color w:val="FF0000"/>
          <w:sz w:val="24"/>
          <w:szCs w:val="24"/>
          <w:lang w:val="sr-Cyrl-RS"/>
        </w:rPr>
      </w:pPr>
    </w:p>
    <w:p w14:paraId="4EC90EF6" w14:textId="2D8FAF5B" w:rsidR="002438F6" w:rsidRDefault="002438F6" w:rsidP="002438F6">
      <w:pPr>
        <w:jc w:val="both"/>
        <w:rPr>
          <w:rFonts w:ascii="Times New Roman" w:eastAsia="Times New Roman" w:hAnsi="Times New Roman" w:cs="Times New Roman"/>
          <w:color w:val="FF0000"/>
          <w:sz w:val="24"/>
          <w:szCs w:val="24"/>
          <w:lang w:val="sr-Cyrl-RS"/>
        </w:rPr>
      </w:pPr>
    </w:p>
    <w:p w14:paraId="4735E0F0" w14:textId="77777777" w:rsidR="0081466B" w:rsidRPr="00744641" w:rsidRDefault="004F0DED">
      <w:pPr>
        <w:numPr>
          <w:ilvl w:val="0"/>
          <w:numId w:val="1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УЧЕШЋЕ ДОМАЋИХ И СТРАНИХ ПОНУЂАЧА</w:t>
      </w:r>
    </w:p>
    <w:p w14:paraId="79033BAA" w14:textId="77777777" w:rsidR="00744641" w:rsidRDefault="00744641" w:rsidP="00744641">
      <w:pPr>
        <w:ind w:left="720"/>
        <w:contextualSpacing/>
        <w:jc w:val="both"/>
        <w:rPr>
          <w:rFonts w:ascii="Times New Roman" w:eastAsia="Times New Roman" w:hAnsi="Times New Roman" w:cs="Times New Roman"/>
          <w:sz w:val="24"/>
          <w:szCs w:val="24"/>
        </w:rPr>
      </w:pPr>
    </w:p>
    <w:p w14:paraId="0C14E451" w14:textId="512772DA" w:rsidR="00CE12D5" w:rsidRDefault="004F0DED" w:rsidP="00CE12D5">
      <w:pPr>
        <w:jc w:val="both"/>
        <w:rPr>
          <w:rFonts w:ascii="Times New Roman" w:eastAsia="Times New Roman" w:hAnsi="Times New Roman" w:cs="Times New Roman"/>
          <w:b/>
          <w:color w:val="auto"/>
          <w:sz w:val="24"/>
          <w:szCs w:val="24"/>
        </w:rPr>
      </w:pPr>
      <w:r>
        <w:rPr>
          <w:rFonts w:ascii="Times New Roman" w:eastAsia="Times New Roman" w:hAnsi="Times New Roman" w:cs="Times New Roman"/>
          <w:sz w:val="24"/>
          <w:szCs w:val="24"/>
        </w:rPr>
        <w:t>Учешће страних по</w:t>
      </w:r>
      <w:r w:rsidR="00105BE6">
        <w:rPr>
          <w:rFonts w:ascii="Times New Roman" w:eastAsia="Times New Roman" w:hAnsi="Times New Roman" w:cs="Times New Roman"/>
          <w:sz w:val="24"/>
          <w:szCs w:val="24"/>
        </w:rPr>
        <w:t>нуђача је, у прво</w:t>
      </w:r>
      <w:r w:rsidR="00CC4D24">
        <w:rPr>
          <w:rFonts w:ascii="Times New Roman" w:eastAsia="Times New Roman" w:hAnsi="Times New Roman" w:cs="Times New Roman"/>
          <w:sz w:val="24"/>
          <w:szCs w:val="24"/>
          <w:lang w:val="sr-Cyrl-RS"/>
        </w:rPr>
        <w:t>м</w:t>
      </w:r>
      <w:r w:rsidR="00105BE6">
        <w:rPr>
          <w:rFonts w:ascii="Times New Roman" w:eastAsia="Times New Roman" w:hAnsi="Times New Roman" w:cs="Times New Roman"/>
          <w:sz w:val="24"/>
          <w:szCs w:val="24"/>
        </w:rPr>
        <w:t xml:space="preserve"> </w:t>
      </w:r>
      <w:r w:rsidR="00CC4D24">
        <w:rPr>
          <w:rFonts w:ascii="Times New Roman" w:eastAsia="Times New Roman" w:hAnsi="Times New Roman" w:cs="Times New Roman"/>
          <w:sz w:val="24"/>
          <w:szCs w:val="24"/>
          <w:lang w:val="sr-Cyrl-RS"/>
        </w:rPr>
        <w:t>полугодишту</w:t>
      </w:r>
      <w:r w:rsidR="00105BE6">
        <w:rPr>
          <w:rFonts w:ascii="Times New Roman" w:eastAsia="Times New Roman" w:hAnsi="Times New Roman" w:cs="Times New Roman"/>
          <w:sz w:val="24"/>
          <w:szCs w:val="24"/>
        </w:rPr>
        <w:t xml:space="preserve"> </w:t>
      </w:r>
      <w:r w:rsidR="00105BE6" w:rsidRPr="00A91E45">
        <w:rPr>
          <w:rFonts w:ascii="Times New Roman" w:eastAsia="Times New Roman" w:hAnsi="Times New Roman" w:cs="Times New Roman"/>
          <w:color w:val="auto"/>
          <w:sz w:val="24"/>
          <w:szCs w:val="24"/>
        </w:rPr>
        <w:t>201</w:t>
      </w:r>
      <w:r w:rsidR="009C694B" w:rsidRPr="00A91E45">
        <w:rPr>
          <w:rFonts w:ascii="Times New Roman" w:eastAsia="Times New Roman" w:hAnsi="Times New Roman" w:cs="Times New Roman"/>
          <w:color w:val="auto"/>
          <w:sz w:val="24"/>
          <w:szCs w:val="24"/>
          <w:lang w:val="sr-Cyrl-RS"/>
        </w:rPr>
        <w:t>9</w:t>
      </w:r>
      <w:r w:rsidRPr="00A91E45">
        <w:rPr>
          <w:rFonts w:ascii="Times New Roman" w:eastAsia="Times New Roman" w:hAnsi="Times New Roman" w:cs="Times New Roman"/>
          <w:color w:val="auto"/>
          <w:sz w:val="24"/>
          <w:szCs w:val="24"/>
        </w:rPr>
        <w:t>.</w:t>
      </w:r>
      <w:r>
        <w:rPr>
          <w:rFonts w:ascii="Times New Roman" w:eastAsia="Times New Roman" w:hAnsi="Times New Roman" w:cs="Times New Roman"/>
          <w:sz w:val="24"/>
          <w:szCs w:val="24"/>
        </w:rPr>
        <w:t xml:space="preserve"> године, </w:t>
      </w:r>
      <w:r w:rsidR="00105BE6">
        <w:rPr>
          <w:rFonts w:ascii="Times New Roman" w:eastAsia="Times New Roman" w:hAnsi="Times New Roman" w:cs="Times New Roman"/>
          <w:sz w:val="24"/>
          <w:szCs w:val="24"/>
        </w:rPr>
        <w:t>износило 3</w:t>
      </w:r>
      <w:r>
        <w:rPr>
          <w:rFonts w:ascii="Times New Roman" w:eastAsia="Times New Roman" w:hAnsi="Times New Roman" w:cs="Times New Roman"/>
          <w:sz w:val="24"/>
          <w:szCs w:val="24"/>
        </w:rPr>
        <w:t>% од укупне вредно</w:t>
      </w:r>
      <w:r w:rsidR="000A7A67">
        <w:rPr>
          <w:rFonts w:ascii="Times New Roman" w:eastAsia="Times New Roman" w:hAnsi="Times New Roman" w:cs="Times New Roman"/>
          <w:sz w:val="24"/>
          <w:szCs w:val="24"/>
        </w:rPr>
        <w:t>с</w:t>
      </w:r>
      <w:r w:rsidR="00FC20EA">
        <w:rPr>
          <w:rFonts w:ascii="Times New Roman" w:eastAsia="Times New Roman" w:hAnsi="Times New Roman" w:cs="Times New Roman"/>
          <w:sz w:val="24"/>
          <w:szCs w:val="24"/>
        </w:rPr>
        <w:t xml:space="preserve">ти закључених уговора (Слика </w:t>
      </w:r>
      <w:r w:rsidR="00166ED4">
        <w:rPr>
          <w:rFonts w:ascii="Times New Roman" w:eastAsia="Times New Roman" w:hAnsi="Times New Roman" w:cs="Times New Roman"/>
          <w:sz w:val="24"/>
          <w:szCs w:val="24"/>
          <w:lang w:val="sr-Cyrl-RS"/>
        </w:rPr>
        <w:t>1</w:t>
      </w:r>
      <w:r w:rsidR="003213E9">
        <w:rPr>
          <w:rFonts w:ascii="Times New Roman" w:eastAsia="Times New Roman" w:hAnsi="Times New Roman" w:cs="Times New Roman"/>
          <w:sz w:val="24"/>
          <w:szCs w:val="24"/>
          <w:lang w:val="sr-Cyrl-RS"/>
        </w:rPr>
        <w:t>1</w:t>
      </w:r>
      <w:r w:rsidR="00EC57D6">
        <w:rPr>
          <w:rFonts w:ascii="Times New Roman" w:eastAsia="Times New Roman" w:hAnsi="Times New Roman" w:cs="Times New Roman"/>
          <w:sz w:val="24"/>
          <w:szCs w:val="24"/>
          <w:lang w:val="sr-Cyrl-RS"/>
        </w:rPr>
        <w:t>)</w:t>
      </w:r>
      <w:r w:rsidR="009A2451">
        <w:rPr>
          <w:rFonts w:ascii="Times New Roman" w:eastAsia="Times New Roman" w:hAnsi="Times New Roman" w:cs="Times New Roman"/>
          <w:b/>
          <w:color w:val="auto"/>
          <w:sz w:val="24"/>
          <w:szCs w:val="24"/>
        </w:rPr>
        <w:t xml:space="preserve"> </w:t>
      </w:r>
    </w:p>
    <w:p w14:paraId="186F494C" w14:textId="2E4599E7" w:rsidR="00A91E45" w:rsidRPr="00A91E45" w:rsidRDefault="00A91E45" w:rsidP="00CE12D5">
      <w:pPr>
        <w:jc w:val="both"/>
        <w:rPr>
          <w:lang w:val="sr-Cyrl-RS"/>
        </w:rPr>
      </w:pPr>
      <w:r>
        <w:rPr>
          <w:rFonts w:ascii="Times New Roman" w:eastAsia="Times New Roman" w:hAnsi="Times New Roman" w:cs="Times New Roman"/>
          <w:b/>
          <w:color w:val="auto"/>
          <w:sz w:val="24"/>
          <w:szCs w:val="24"/>
          <w:lang w:val="sr-Cyrl-RS"/>
        </w:rPr>
        <w:t xml:space="preserve">           </w:t>
      </w:r>
      <w:r w:rsidR="002438F6">
        <w:rPr>
          <w:rFonts w:ascii="Times New Roman" w:eastAsia="Times New Roman" w:hAnsi="Times New Roman" w:cs="Times New Roman"/>
          <w:b/>
          <w:color w:val="auto"/>
          <w:sz w:val="24"/>
          <w:szCs w:val="24"/>
          <w:lang w:val="sr-Cyrl-RS"/>
        </w:rPr>
        <w:t xml:space="preserve">   </w:t>
      </w:r>
      <w:r>
        <w:rPr>
          <w:rFonts w:ascii="Times New Roman" w:eastAsia="Times New Roman" w:hAnsi="Times New Roman" w:cs="Times New Roman"/>
          <w:b/>
          <w:color w:val="auto"/>
          <w:sz w:val="24"/>
          <w:szCs w:val="24"/>
          <w:lang w:val="sr-Cyrl-RS"/>
        </w:rPr>
        <w:t>Слика 11</w:t>
      </w:r>
    </w:p>
    <w:p w14:paraId="1887BF23" w14:textId="77777777" w:rsidR="0081466B" w:rsidRPr="00CE12D5" w:rsidRDefault="00CE12D5" w:rsidP="00953934">
      <w:pPr>
        <w:jc w:val="center"/>
      </w:pPr>
      <w:r>
        <w:rPr>
          <w:noProof/>
          <w:lang w:val="sr-Cyrl-RS" w:eastAsia="sr-Cyrl-RS"/>
        </w:rPr>
        <w:drawing>
          <wp:inline distT="0" distB="0" distL="0" distR="0" wp14:anchorId="287D014E" wp14:editId="4E85C027">
            <wp:extent cx="4533900" cy="26384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22F5BA" w14:textId="3E096268" w:rsidR="0081466B" w:rsidRPr="00744641" w:rsidRDefault="004F0DED">
      <w:pPr>
        <w:numPr>
          <w:ilvl w:val="0"/>
          <w:numId w:val="15"/>
        </w:numPr>
        <w:ind w:hanging="360"/>
        <w:contextualSpacing/>
        <w:jc w:val="both"/>
        <w:rPr>
          <w:rFonts w:ascii="Times New Roman" w:eastAsia="Times New Roman" w:hAnsi="Times New Roman" w:cs="Times New Roman"/>
          <w:sz w:val="24"/>
          <w:szCs w:val="24"/>
        </w:rPr>
      </w:pPr>
      <w:bookmarkStart w:id="8" w:name="_2s8eyo1"/>
      <w:bookmarkEnd w:id="8"/>
      <w:r>
        <w:rPr>
          <w:rFonts w:ascii="Times New Roman" w:eastAsia="Times New Roman" w:hAnsi="Times New Roman" w:cs="Times New Roman"/>
          <w:b/>
          <w:sz w:val="24"/>
          <w:szCs w:val="24"/>
        </w:rPr>
        <w:t>ИСХОДИ ПОСТУПАК</w:t>
      </w:r>
      <w:r w:rsidR="007C5515">
        <w:rPr>
          <w:rFonts w:ascii="Times New Roman" w:eastAsia="Times New Roman" w:hAnsi="Times New Roman" w:cs="Times New Roman"/>
          <w:b/>
          <w:sz w:val="24"/>
          <w:szCs w:val="24"/>
        </w:rPr>
        <w:t>А</w:t>
      </w:r>
    </w:p>
    <w:p w14:paraId="7939A0DB" w14:textId="77777777" w:rsidR="00744641" w:rsidRDefault="00744641" w:rsidP="00406D8E">
      <w:pPr>
        <w:ind w:left="720"/>
        <w:contextualSpacing/>
        <w:jc w:val="both"/>
        <w:rPr>
          <w:rFonts w:ascii="Times New Roman" w:eastAsia="Times New Roman" w:hAnsi="Times New Roman" w:cs="Times New Roman"/>
          <w:sz w:val="24"/>
          <w:szCs w:val="24"/>
        </w:rPr>
      </w:pPr>
    </w:p>
    <w:p w14:paraId="32DCEBEB" w14:textId="43220EEA" w:rsidR="00632425" w:rsidRPr="00881DBE" w:rsidRDefault="004F0DED">
      <w:pPr>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rPr>
        <w:t>Преглед исхода поступака ја</w:t>
      </w:r>
      <w:r w:rsidR="00310797">
        <w:rPr>
          <w:rFonts w:ascii="Times New Roman" w:eastAsia="Times New Roman" w:hAnsi="Times New Roman" w:cs="Times New Roman"/>
          <w:sz w:val="24"/>
          <w:szCs w:val="24"/>
        </w:rPr>
        <w:t xml:space="preserve">вних набавки (Табела </w:t>
      </w:r>
      <w:r w:rsidR="00C3428D">
        <w:rPr>
          <w:rFonts w:ascii="Times New Roman" w:eastAsia="Times New Roman" w:hAnsi="Times New Roman" w:cs="Times New Roman"/>
          <w:sz w:val="24"/>
          <w:szCs w:val="24"/>
          <w:lang w:val="sr-Cyrl-RS"/>
        </w:rPr>
        <w:t>1</w:t>
      </w:r>
      <w:r w:rsidR="00953934">
        <w:rPr>
          <w:rFonts w:ascii="Times New Roman" w:eastAsia="Times New Roman" w:hAnsi="Times New Roman" w:cs="Times New Roman"/>
          <w:sz w:val="24"/>
          <w:szCs w:val="24"/>
          <w:lang w:val="sr-Cyrl-RS"/>
        </w:rPr>
        <w:t>2</w:t>
      </w:r>
      <w:r w:rsidR="00310797">
        <w:rPr>
          <w:rFonts w:ascii="Times New Roman" w:eastAsia="Times New Roman" w:hAnsi="Times New Roman" w:cs="Times New Roman"/>
          <w:sz w:val="24"/>
          <w:szCs w:val="24"/>
        </w:rPr>
        <w:t xml:space="preserve">, Слика </w:t>
      </w:r>
      <w:r w:rsidR="00166ED4">
        <w:rPr>
          <w:rFonts w:ascii="Times New Roman" w:eastAsia="Times New Roman" w:hAnsi="Times New Roman" w:cs="Times New Roman"/>
          <w:sz w:val="24"/>
          <w:szCs w:val="24"/>
          <w:lang w:val="sr-Cyrl-RS"/>
        </w:rPr>
        <w:t>1</w:t>
      </w:r>
      <w:r w:rsidR="003213E9">
        <w:rPr>
          <w:rFonts w:ascii="Times New Roman" w:eastAsia="Times New Roman" w:hAnsi="Times New Roman" w:cs="Times New Roman"/>
          <w:sz w:val="24"/>
          <w:szCs w:val="24"/>
          <w:lang w:val="sr-Cyrl-RS"/>
        </w:rPr>
        <w:t>2</w:t>
      </w:r>
      <w:r w:rsidR="00105BE6">
        <w:rPr>
          <w:rFonts w:ascii="Times New Roman" w:eastAsia="Times New Roman" w:hAnsi="Times New Roman" w:cs="Times New Roman"/>
          <w:sz w:val="24"/>
          <w:szCs w:val="24"/>
        </w:rPr>
        <w:t>) показује да је 9</w:t>
      </w:r>
      <w:r w:rsidR="00C3428D">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 започетих поступа</w:t>
      </w:r>
      <w:r w:rsidR="00105BE6">
        <w:rPr>
          <w:rFonts w:ascii="Times New Roman" w:eastAsia="Times New Roman" w:hAnsi="Times New Roman" w:cs="Times New Roman"/>
          <w:sz w:val="24"/>
          <w:szCs w:val="24"/>
        </w:rPr>
        <w:t xml:space="preserve">ка успешно и окончано, док је </w:t>
      </w:r>
      <w:r w:rsidR="00C3428D">
        <w:rPr>
          <w:rFonts w:ascii="Times New Roman" w:eastAsia="Times New Roman" w:hAnsi="Times New Roman" w:cs="Times New Roman"/>
          <w:sz w:val="24"/>
          <w:szCs w:val="24"/>
          <w:lang w:val="sr-Cyrl-RS"/>
        </w:rPr>
        <w:t>9</w:t>
      </w:r>
      <w:r>
        <w:rPr>
          <w:rFonts w:ascii="Times New Roman" w:eastAsia="Times New Roman" w:hAnsi="Times New Roman" w:cs="Times New Roman"/>
          <w:sz w:val="24"/>
          <w:szCs w:val="24"/>
        </w:rPr>
        <w:t xml:space="preserve">% поступака обустављено од стране </w:t>
      </w:r>
      <w:r w:rsidR="00021DE5">
        <w:rPr>
          <w:rFonts w:ascii="Times New Roman" w:eastAsia="Times New Roman" w:hAnsi="Times New Roman" w:cs="Times New Roman"/>
          <w:sz w:val="24"/>
          <w:szCs w:val="24"/>
        </w:rPr>
        <w:t>наручилаца</w:t>
      </w:r>
      <w:r w:rsidR="00881DBE">
        <w:rPr>
          <w:rFonts w:ascii="Times New Roman" w:eastAsia="Times New Roman" w:hAnsi="Times New Roman" w:cs="Times New Roman"/>
          <w:sz w:val="24"/>
          <w:szCs w:val="24"/>
          <w:lang w:val="sr-Latn-RS"/>
        </w:rPr>
        <w:t>.</w:t>
      </w:r>
    </w:p>
    <w:p w14:paraId="605361AC" w14:textId="4727CC75" w:rsidR="0081466B" w:rsidRPr="00A91E45" w:rsidRDefault="00673431" w:rsidP="00632425">
      <w:pPr>
        <w:ind w:hanging="426"/>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lang w:val="sr-Cyrl-RS"/>
        </w:rPr>
        <w:t xml:space="preserve">   </w:t>
      </w:r>
      <w:r w:rsidR="004F0DED" w:rsidRPr="00A91E45">
        <w:rPr>
          <w:rFonts w:ascii="Times New Roman" w:eastAsia="Times New Roman" w:hAnsi="Times New Roman" w:cs="Times New Roman"/>
          <w:b/>
          <w:color w:val="auto"/>
          <w:sz w:val="24"/>
          <w:szCs w:val="24"/>
        </w:rPr>
        <w:t xml:space="preserve">Табела </w:t>
      </w:r>
      <w:r w:rsidR="00FD2427" w:rsidRPr="00A91E45">
        <w:rPr>
          <w:rFonts w:ascii="Times New Roman" w:eastAsia="Times New Roman" w:hAnsi="Times New Roman" w:cs="Times New Roman"/>
          <w:b/>
          <w:color w:val="auto"/>
          <w:sz w:val="24"/>
          <w:szCs w:val="24"/>
          <w:lang w:val="en-US"/>
        </w:rPr>
        <w:t>1</w:t>
      </w:r>
      <w:r w:rsidR="00953934" w:rsidRPr="00A91E45">
        <w:rPr>
          <w:rFonts w:ascii="Times New Roman" w:eastAsia="Times New Roman" w:hAnsi="Times New Roman" w:cs="Times New Roman"/>
          <w:b/>
          <w:color w:val="auto"/>
          <w:sz w:val="24"/>
          <w:szCs w:val="24"/>
          <w:lang w:val="sr-Cyrl-RS"/>
        </w:rPr>
        <w:t>2</w:t>
      </w:r>
      <w:r w:rsidR="00953934" w:rsidRPr="00A91E45">
        <w:rPr>
          <w:rFonts w:ascii="Times New Roman" w:eastAsia="Times New Roman" w:hAnsi="Times New Roman" w:cs="Times New Roman"/>
          <w:b/>
          <w:color w:val="auto"/>
          <w:sz w:val="24"/>
          <w:szCs w:val="24"/>
          <w:lang w:val="en-US"/>
        </w:rPr>
        <w:t xml:space="preserve"> </w:t>
      </w:r>
    </w:p>
    <w:tbl>
      <w:tblPr>
        <w:tblStyle w:val="a7"/>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6"/>
        <w:gridCol w:w="1554"/>
        <w:gridCol w:w="1177"/>
        <w:gridCol w:w="1554"/>
        <w:gridCol w:w="1177"/>
        <w:gridCol w:w="1216"/>
        <w:gridCol w:w="1132"/>
      </w:tblGrid>
      <w:tr w:rsidR="00A91E45" w:rsidRPr="00A91E45" w14:paraId="461D467C" w14:textId="77777777" w:rsidTr="002438F6">
        <w:trPr>
          <w:trHeight w:val="36"/>
          <w:jc w:val="center"/>
        </w:trPr>
        <w:tc>
          <w:tcPr>
            <w:tcW w:w="9616" w:type="dxa"/>
            <w:gridSpan w:val="7"/>
            <w:vAlign w:val="center"/>
          </w:tcPr>
          <w:p w14:paraId="79D6F260" w14:textId="77777777" w:rsidR="0081466B" w:rsidRPr="00A91E45" w:rsidRDefault="004F0DED" w:rsidP="00021DE5">
            <w:pPr>
              <w:tabs>
                <w:tab w:val="left" w:pos="1885"/>
              </w:tabs>
              <w:jc w:val="center"/>
              <w:rPr>
                <w:color w:val="auto"/>
                <w:sz w:val="24"/>
                <w:szCs w:val="24"/>
              </w:rPr>
            </w:pPr>
            <w:r w:rsidRPr="00A91E45">
              <w:rPr>
                <w:rFonts w:ascii="Times New Roman" w:eastAsia="Times New Roman" w:hAnsi="Times New Roman" w:cs="Times New Roman"/>
                <w:b/>
                <w:color w:val="auto"/>
                <w:sz w:val="24"/>
                <w:szCs w:val="24"/>
              </w:rPr>
              <w:t>Преглед исхода по</w:t>
            </w:r>
            <w:r w:rsidR="00ED763E" w:rsidRPr="00A91E45">
              <w:rPr>
                <w:rFonts w:ascii="Times New Roman" w:eastAsia="Times New Roman" w:hAnsi="Times New Roman" w:cs="Times New Roman"/>
                <w:b/>
                <w:color w:val="auto"/>
                <w:sz w:val="24"/>
                <w:szCs w:val="24"/>
              </w:rPr>
              <w:t>ступака у</w:t>
            </w:r>
            <w:r w:rsidR="008A0103" w:rsidRPr="00A91E45">
              <w:rPr>
                <w:rFonts w:ascii="Times New Roman" w:eastAsia="Times New Roman" w:hAnsi="Times New Roman" w:cs="Times New Roman"/>
                <w:b/>
                <w:color w:val="auto"/>
                <w:sz w:val="24"/>
                <w:szCs w:val="24"/>
              </w:rPr>
              <w:t xml:space="preserve"> првом полугодишту 201</w:t>
            </w:r>
            <w:r w:rsidR="00021DE5" w:rsidRPr="00A91E45">
              <w:rPr>
                <w:rFonts w:ascii="Times New Roman" w:eastAsia="Times New Roman" w:hAnsi="Times New Roman" w:cs="Times New Roman"/>
                <w:b/>
                <w:color w:val="auto"/>
                <w:sz w:val="24"/>
                <w:szCs w:val="24"/>
                <w:lang w:val="en-US"/>
              </w:rPr>
              <w:t>9</w:t>
            </w:r>
            <w:r w:rsidRPr="00A91E45">
              <w:rPr>
                <w:rFonts w:ascii="Times New Roman" w:eastAsia="Times New Roman" w:hAnsi="Times New Roman" w:cs="Times New Roman"/>
                <w:b/>
                <w:color w:val="auto"/>
                <w:sz w:val="24"/>
                <w:szCs w:val="24"/>
              </w:rPr>
              <w:t>. године</w:t>
            </w:r>
          </w:p>
        </w:tc>
      </w:tr>
      <w:tr w:rsidR="00A91E45" w:rsidRPr="00A91E45" w14:paraId="67E680C7" w14:textId="77777777" w:rsidTr="002438F6">
        <w:trPr>
          <w:trHeight w:val="1185"/>
          <w:jc w:val="center"/>
        </w:trPr>
        <w:tc>
          <w:tcPr>
            <w:tcW w:w="1806" w:type="dxa"/>
            <w:vAlign w:val="center"/>
          </w:tcPr>
          <w:p w14:paraId="6C25D564" w14:textId="77777777" w:rsidR="0081466B" w:rsidRPr="00A91E45" w:rsidRDefault="004F0DED" w:rsidP="00ED763E">
            <w:pPr>
              <w:tabs>
                <w:tab w:val="left" w:pos="1885"/>
              </w:tabs>
              <w:jc w:val="center"/>
              <w:rPr>
                <w:color w:val="auto"/>
                <w:sz w:val="20"/>
                <w:szCs w:val="20"/>
              </w:rPr>
            </w:pPr>
            <w:r w:rsidRPr="00A91E45">
              <w:rPr>
                <w:rFonts w:ascii="Times New Roman" w:eastAsia="Times New Roman" w:hAnsi="Times New Roman" w:cs="Times New Roman"/>
                <w:b/>
                <w:color w:val="auto"/>
                <w:sz w:val="20"/>
                <w:szCs w:val="20"/>
              </w:rPr>
              <w:t>Исход поступка</w:t>
            </w:r>
          </w:p>
        </w:tc>
        <w:tc>
          <w:tcPr>
            <w:tcW w:w="1554" w:type="dxa"/>
            <w:vAlign w:val="center"/>
          </w:tcPr>
          <w:p w14:paraId="02784F13" w14:textId="77777777" w:rsidR="0081466B" w:rsidRPr="00A91E45" w:rsidRDefault="004F0DED" w:rsidP="00ED763E">
            <w:pPr>
              <w:tabs>
                <w:tab w:val="left" w:pos="1885"/>
              </w:tabs>
              <w:jc w:val="center"/>
              <w:rPr>
                <w:color w:val="auto"/>
                <w:sz w:val="20"/>
                <w:szCs w:val="20"/>
              </w:rPr>
            </w:pPr>
            <w:r w:rsidRPr="00A91E45">
              <w:rPr>
                <w:rFonts w:ascii="Times New Roman" w:eastAsia="Times New Roman" w:hAnsi="Times New Roman" w:cs="Times New Roman"/>
                <w:b/>
                <w:color w:val="auto"/>
                <w:sz w:val="20"/>
                <w:szCs w:val="20"/>
              </w:rPr>
              <w:t>Број поступака велике вредности</w:t>
            </w:r>
          </w:p>
        </w:tc>
        <w:tc>
          <w:tcPr>
            <w:tcW w:w="1177" w:type="dxa"/>
            <w:vAlign w:val="center"/>
          </w:tcPr>
          <w:p w14:paraId="5C7E3530" w14:textId="77777777" w:rsidR="0081466B" w:rsidRPr="00A91E45" w:rsidRDefault="004F0DED" w:rsidP="00ED763E">
            <w:pPr>
              <w:tabs>
                <w:tab w:val="left" w:pos="1885"/>
              </w:tabs>
              <w:jc w:val="center"/>
              <w:rPr>
                <w:color w:val="auto"/>
                <w:sz w:val="20"/>
                <w:szCs w:val="20"/>
              </w:rPr>
            </w:pPr>
            <w:r w:rsidRPr="00A91E45">
              <w:rPr>
                <w:rFonts w:ascii="Times New Roman" w:eastAsia="Times New Roman" w:hAnsi="Times New Roman" w:cs="Times New Roman"/>
                <w:b/>
                <w:color w:val="auto"/>
                <w:sz w:val="20"/>
                <w:szCs w:val="20"/>
              </w:rPr>
              <w:t>%</w:t>
            </w:r>
          </w:p>
        </w:tc>
        <w:tc>
          <w:tcPr>
            <w:tcW w:w="1554" w:type="dxa"/>
            <w:vAlign w:val="center"/>
          </w:tcPr>
          <w:p w14:paraId="70CB4F80" w14:textId="77777777" w:rsidR="0081466B" w:rsidRPr="00A91E45" w:rsidRDefault="004F0DED" w:rsidP="00ED763E">
            <w:pPr>
              <w:tabs>
                <w:tab w:val="left" w:pos="1885"/>
              </w:tabs>
              <w:jc w:val="center"/>
              <w:rPr>
                <w:color w:val="auto"/>
                <w:sz w:val="20"/>
                <w:szCs w:val="20"/>
              </w:rPr>
            </w:pPr>
            <w:r w:rsidRPr="00A91E45">
              <w:rPr>
                <w:rFonts w:ascii="Times New Roman" w:eastAsia="Times New Roman" w:hAnsi="Times New Roman" w:cs="Times New Roman"/>
                <w:b/>
                <w:color w:val="auto"/>
                <w:sz w:val="20"/>
                <w:szCs w:val="20"/>
              </w:rPr>
              <w:t>Број поступака мале вредности</w:t>
            </w:r>
          </w:p>
        </w:tc>
        <w:tc>
          <w:tcPr>
            <w:tcW w:w="1177" w:type="dxa"/>
            <w:vAlign w:val="center"/>
          </w:tcPr>
          <w:p w14:paraId="42B5C2E8" w14:textId="77777777" w:rsidR="0081466B" w:rsidRPr="00A91E45" w:rsidRDefault="004F0DED" w:rsidP="00ED763E">
            <w:pPr>
              <w:tabs>
                <w:tab w:val="left" w:pos="1885"/>
              </w:tabs>
              <w:jc w:val="center"/>
              <w:rPr>
                <w:color w:val="auto"/>
                <w:sz w:val="20"/>
                <w:szCs w:val="20"/>
              </w:rPr>
            </w:pPr>
            <w:r w:rsidRPr="00A91E45">
              <w:rPr>
                <w:rFonts w:ascii="Times New Roman" w:eastAsia="Times New Roman" w:hAnsi="Times New Roman" w:cs="Times New Roman"/>
                <w:b/>
                <w:color w:val="auto"/>
                <w:sz w:val="20"/>
                <w:szCs w:val="20"/>
              </w:rPr>
              <w:t>%</w:t>
            </w:r>
          </w:p>
        </w:tc>
        <w:tc>
          <w:tcPr>
            <w:tcW w:w="1216" w:type="dxa"/>
            <w:vAlign w:val="center"/>
          </w:tcPr>
          <w:p w14:paraId="52031D37" w14:textId="77777777" w:rsidR="0081466B" w:rsidRPr="00A91E45" w:rsidRDefault="004F0DED" w:rsidP="00ED763E">
            <w:pPr>
              <w:tabs>
                <w:tab w:val="left" w:pos="1885"/>
              </w:tabs>
              <w:jc w:val="center"/>
              <w:rPr>
                <w:color w:val="auto"/>
                <w:sz w:val="20"/>
                <w:szCs w:val="20"/>
              </w:rPr>
            </w:pPr>
            <w:r w:rsidRPr="00A91E45">
              <w:rPr>
                <w:rFonts w:ascii="Times New Roman" w:eastAsia="Times New Roman" w:hAnsi="Times New Roman" w:cs="Times New Roman"/>
                <w:b/>
                <w:color w:val="auto"/>
                <w:sz w:val="20"/>
                <w:szCs w:val="20"/>
              </w:rPr>
              <w:t>Укупно</w:t>
            </w:r>
          </w:p>
        </w:tc>
        <w:tc>
          <w:tcPr>
            <w:tcW w:w="1129" w:type="dxa"/>
            <w:vAlign w:val="center"/>
          </w:tcPr>
          <w:p w14:paraId="5C84A623" w14:textId="77777777" w:rsidR="0081466B" w:rsidRPr="00A91E45" w:rsidRDefault="004F0DED" w:rsidP="00ED763E">
            <w:pPr>
              <w:tabs>
                <w:tab w:val="left" w:pos="1885"/>
              </w:tabs>
              <w:jc w:val="center"/>
              <w:rPr>
                <w:color w:val="auto"/>
                <w:sz w:val="20"/>
                <w:szCs w:val="20"/>
              </w:rPr>
            </w:pPr>
            <w:r w:rsidRPr="00A91E45">
              <w:rPr>
                <w:rFonts w:ascii="Times New Roman" w:eastAsia="Times New Roman" w:hAnsi="Times New Roman" w:cs="Times New Roman"/>
                <w:b/>
                <w:color w:val="auto"/>
                <w:sz w:val="20"/>
                <w:szCs w:val="20"/>
              </w:rPr>
              <w:t>%</w:t>
            </w:r>
          </w:p>
        </w:tc>
      </w:tr>
      <w:tr w:rsidR="00A91E45" w:rsidRPr="00A91E45" w14:paraId="54DC20D7" w14:textId="77777777" w:rsidTr="002438F6">
        <w:trPr>
          <w:trHeight w:val="497"/>
          <w:jc w:val="center"/>
        </w:trPr>
        <w:tc>
          <w:tcPr>
            <w:tcW w:w="1806" w:type="dxa"/>
            <w:vAlign w:val="center"/>
          </w:tcPr>
          <w:p w14:paraId="10E739FF" w14:textId="77777777" w:rsidR="00105BE6" w:rsidRPr="00A91E45" w:rsidRDefault="00105BE6" w:rsidP="00105BE6">
            <w:pPr>
              <w:tabs>
                <w:tab w:val="left" w:pos="1885"/>
              </w:tabs>
              <w:jc w:val="center"/>
              <w:rPr>
                <w:color w:val="auto"/>
                <w:sz w:val="20"/>
                <w:szCs w:val="20"/>
              </w:rPr>
            </w:pPr>
            <w:r w:rsidRPr="00A91E45">
              <w:rPr>
                <w:rFonts w:ascii="Times New Roman" w:eastAsia="Times New Roman" w:hAnsi="Times New Roman" w:cs="Times New Roman"/>
                <w:b/>
                <w:color w:val="auto"/>
                <w:sz w:val="20"/>
                <w:szCs w:val="20"/>
              </w:rPr>
              <w:t>Успешно спроведени</w:t>
            </w:r>
          </w:p>
        </w:tc>
        <w:tc>
          <w:tcPr>
            <w:tcW w:w="1554" w:type="dxa"/>
            <w:vAlign w:val="center"/>
          </w:tcPr>
          <w:p w14:paraId="11A8AE1A" w14:textId="77777777" w:rsidR="00105BE6" w:rsidRPr="00A91E45" w:rsidRDefault="007A6AB0" w:rsidP="00105BE6">
            <w:pPr>
              <w:tabs>
                <w:tab w:val="left" w:pos="1885"/>
              </w:tabs>
              <w:jc w:val="center"/>
              <w:rPr>
                <w:color w:val="auto"/>
                <w:sz w:val="20"/>
                <w:szCs w:val="20"/>
                <w:lang w:val="en-US"/>
              </w:rPr>
            </w:pPr>
            <w:r w:rsidRPr="00A91E45">
              <w:rPr>
                <w:rFonts w:ascii="Times New Roman" w:hAnsi="Times New Roman" w:cs="Times New Roman"/>
                <w:color w:val="auto"/>
                <w:sz w:val="20"/>
                <w:szCs w:val="20"/>
                <w:lang w:val="en-US"/>
              </w:rPr>
              <w:t>16.424</w:t>
            </w:r>
          </w:p>
        </w:tc>
        <w:tc>
          <w:tcPr>
            <w:tcW w:w="1177" w:type="dxa"/>
            <w:vAlign w:val="center"/>
          </w:tcPr>
          <w:p w14:paraId="0F2BD358" w14:textId="77777777" w:rsidR="00105BE6" w:rsidRPr="00A91E45" w:rsidRDefault="007A6AB0" w:rsidP="00105BE6">
            <w:pPr>
              <w:tabs>
                <w:tab w:val="left" w:pos="1885"/>
              </w:tabs>
              <w:jc w:val="center"/>
              <w:rPr>
                <w:color w:val="auto"/>
                <w:sz w:val="20"/>
                <w:szCs w:val="20"/>
                <w:lang w:val="en-US"/>
              </w:rPr>
            </w:pPr>
            <w:r w:rsidRPr="00A91E45">
              <w:rPr>
                <w:rFonts w:ascii="Times New Roman" w:hAnsi="Times New Roman" w:cs="Times New Roman"/>
                <w:color w:val="auto"/>
                <w:sz w:val="20"/>
                <w:szCs w:val="20"/>
                <w:lang w:val="en-US"/>
              </w:rPr>
              <w:t>91</w:t>
            </w:r>
          </w:p>
        </w:tc>
        <w:tc>
          <w:tcPr>
            <w:tcW w:w="1554" w:type="dxa"/>
            <w:vAlign w:val="center"/>
          </w:tcPr>
          <w:p w14:paraId="1F579DC7" w14:textId="77777777" w:rsidR="00105BE6" w:rsidRPr="00A91E45" w:rsidRDefault="007A6AB0" w:rsidP="00105BE6">
            <w:pPr>
              <w:tabs>
                <w:tab w:val="left" w:pos="1885"/>
              </w:tabs>
              <w:jc w:val="center"/>
              <w:rPr>
                <w:color w:val="auto"/>
                <w:sz w:val="20"/>
                <w:szCs w:val="20"/>
                <w:lang w:val="en-US"/>
              </w:rPr>
            </w:pPr>
            <w:r w:rsidRPr="00A91E45">
              <w:rPr>
                <w:rFonts w:ascii="Times New Roman" w:hAnsi="Times New Roman" w:cs="Times New Roman"/>
                <w:color w:val="auto"/>
                <w:sz w:val="20"/>
                <w:szCs w:val="20"/>
                <w:lang w:val="en-US"/>
              </w:rPr>
              <w:t>12.070</w:t>
            </w:r>
          </w:p>
        </w:tc>
        <w:tc>
          <w:tcPr>
            <w:tcW w:w="1177" w:type="dxa"/>
            <w:vAlign w:val="center"/>
          </w:tcPr>
          <w:p w14:paraId="7F4CA7B7" w14:textId="77777777" w:rsidR="00105BE6" w:rsidRPr="00A91E45" w:rsidRDefault="00105BE6" w:rsidP="00105BE6">
            <w:pPr>
              <w:tabs>
                <w:tab w:val="left" w:pos="1885"/>
              </w:tabs>
              <w:jc w:val="center"/>
              <w:rPr>
                <w:color w:val="auto"/>
                <w:sz w:val="20"/>
                <w:szCs w:val="20"/>
              </w:rPr>
            </w:pPr>
            <w:r w:rsidRPr="00A91E45">
              <w:rPr>
                <w:rFonts w:ascii="Times New Roman" w:hAnsi="Times New Roman" w:cs="Times New Roman"/>
                <w:color w:val="auto"/>
                <w:sz w:val="20"/>
                <w:szCs w:val="20"/>
                <w:lang w:val="sr-Cyrl-RS"/>
              </w:rPr>
              <w:t>92</w:t>
            </w:r>
          </w:p>
        </w:tc>
        <w:tc>
          <w:tcPr>
            <w:tcW w:w="1216" w:type="dxa"/>
            <w:vAlign w:val="center"/>
          </w:tcPr>
          <w:p w14:paraId="3ACB222C" w14:textId="77777777" w:rsidR="00105BE6" w:rsidRPr="00A91E45" w:rsidRDefault="00FD2427" w:rsidP="00105BE6">
            <w:pPr>
              <w:tabs>
                <w:tab w:val="left" w:pos="1885"/>
              </w:tabs>
              <w:jc w:val="center"/>
              <w:rPr>
                <w:color w:val="auto"/>
                <w:sz w:val="20"/>
                <w:szCs w:val="20"/>
                <w:lang w:val="en-US"/>
              </w:rPr>
            </w:pPr>
            <w:r w:rsidRPr="00A91E45">
              <w:rPr>
                <w:rFonts w:ascii="Times New Roman" w:hAnsi="Times New Roman" w:cs="Times New Roman"/>
                <w:color w:val="auto"/>
                <w:sz w:val="20"/>
                <w:szCs w:val="20"/>
                <w:lang w:val="en-US"/>
              </w:rPr>
              <w:t>28.494</w:t>
            </w:r>
          </w:p>
        </w:tc>
        <w:tc>
          <w:tcPr>
            <w:tcW w:w="1129" w:type="dxa"/>
            <w:vAlign w:val="center"/>
          </w:tcPr>
          <w:p w14:paraId="1DEAD438" w14:textId="77777777" w:rsidR="00105BE6" w:rsidRPr="00A91E45" w:rsidRDefault="00105BE6" w:rsidP="00FD2427">
            <w:pPr>
              <w:tabs>
                <w:tab w:val="left" w:pos="1885"/>
              </w:tabs>
              <w:jc w:val="center"/>
              <w:rPr>
                <w:color w:val="auto"/>
                <w:sz w:val="20"/>
                <w:szCs w:val="20"/>
                <w:lang w:val="en-US"/>
              </w:rPr>
            </w:pPr>
            <w:r w:rsidRPr="00A91E45">
              <w:rPr>
                <w:rFonts w:ascii="Times New Roman" w:hAnsi="Times New Roman" w:cs="Times New Roman"/>
                <w:color w:val="auto"/>
                <w:sz w:val="20"/>
                <w:szCs w:val="20"/>
                <w:lang w:val="sr-Cyrl-RS"/>
              </w:rPr>
              <w:t>9</w:t>
            </w:r>
            <w:r w:rsidR="00FD2427" w:rsidRPr="00A91E45">
              <w:rPr>
                <w:rFonts w:ascii="Times New Roman" w:hAnsi="Times New Roman" w:cs="Times New Roman"/>
                <w:color w:val="auto"/>
                <w:sz w:val="20"/>
                <w:szCs w:val="20"/>
                <w:lang w:val="en-US"/>
              </w:rPr>
              <w:t>1</w:t>
            </w:r>
          </w:p>
        </w:tc>
      </w:tr>
      <w:tr w:rsidR="00A91E45" w:rsidRPr="00A91E45" w14:paraId="7E4397F2" w14:textId="77777777" w:rsidTr="002438F6">
        <w:trPr>
          <w:trHeight w:val="36"/>
          <w:jc w:val="center"/>
        </w:trPr>
        <w:tc>
          <w:tcPr>
            <w:tcW w:w="1806" w:type="dxa"/>
            <w:vAlign w:val="center"/>
          </w:tcPr>
          <w:p w14:paraId="1BE4B04C" w14:textId="77777777" w:rsidR="00105BE6" w:rsidRPr="00A91E45" w:rsidRDefault="00105BE6" w:rsidP="00105BE6">
            <w:pPr>
              <w:tabs>
                <w:tab w:val="left" w:pos="1885"/>
              </w:tabs>
              <w:jc w:val="center"/>
              <w:rPr>
                <w:color w:val="auto"/>
                <w:sz w:val="20"/>
                <w:szCs w:val="20"/>
              </w:rPr>
            </w:pPr>
            <w:r w:rsidRPr="00A91E45">
              <w:rPr>
                <w:rFonts w:ascii="Times New Roman" w:eastAsia="Times New Roman" w:hAnsi="Times New Roman" w:cs="Times New Roman"/>
                <w:b/>
                <w:color w:val="auto"/>
                <w:sz w:val="20"/>
                <w:szCs w:val="20"/>
              </w:rPr>
              <w:t>Обустављени</w:t>
            </w:r>
          </w:p>
        </w:tc>
        <w:tc>
          <w:tcPr>
            <w:tcW w:w="1554" w:type="dxa"/>
            <w:vAlign w:val="center"/>
          </w:tcPr>
          <w:p w14:paraId="2F4C256F" w14:textId="77777777" w:rsidR="00105BE6" w:rsidRPr="00A91E45" w:rsidRDefault="007A6AB0" w:rsidP="00105BE6">
            <w:pPr>
              <w:tabs>
                <w:tab w:val="left" w:pos="1885"/>
              </w:tabs>
              <w:jc w:val="center"/>
              <w:rPr>
                <w:color w:val="auto"/>
                <w:sz w:val="20"/>
                <w:szCs w:val="20"/>
                <w:lang w:val="en-US"/>
              </w:rPr>
            </w:pPr>
            <w:r w:rsidRPr="00A91E45">
              <w:rPr>
                <w:rFonts w:ascii="Times New Roman" w:hAnsi="Times New Roman" w:cs="Times New Roman"/>
                <w:color w:val="auto"/>
                <w:sz w:val="20"/>
                <w:szCs w:val="20"/>
                <w:lang w:val="en-US"/>
              </w:rPr>
              <w:t>1.590</w:t>
            </w:r>
          </w:p>
        </w:tc>
        <w:tc>
          <w:tcPr>
            <w:tcW w:w="1177" w:type="dxa"/>
            <w:vAlign w:val="center"/>
          </w:tcPr>
          <w:p w14:paraId="1744D44A" w14:textId="77777777" w:rsidR="00105BE6" w:rsidRPr="00A91E45" w:rsidRDefault="007A6AB0" w:rsidP="00105BE6">
            <w:pPr>
              <w:tabs>
                <w:tab w:val="left" w:pos="1885"/>
              </w:tabs>
              <w:jc w:val="center"/>
              <w:rPr>
                <w:color w:val="auto"/>
                <w:sz w:val="20"/>
                <w:szCs w:val="20"/>
                <w:lang w:val="en-US"/>
              </w:rPr>
            </w:pPr>
            <w:r w:rsidRPr="00A91E45">
              <w:rPr>
                <w:rFonts w:ascii="Times New Roman" w:hAnsi="Times New Roman" w:cs="Times New Roman"/>
                <w:color w:val="auto"/>
                <w:sz w:val="20"/>
                <w:szCs w:val="20"/>
                <w:lang w:val="en-US"/>
              </w:rPr>
              <w:t>9</w:t>
            </w:r>
          </w:p>
        </w:tc>
        <w:tc>
          <w:tcPr>
            <w:tcW w:w="1554" w:type="dxa"/>
            <w:vAlign w:val="center"/>
          </w:tcPr>
          <w:p w14:paraId="4690E0DE" w14:textId="77777777" w:rsidR="00105BE6" w:rsidRPr="00A91E45" w:rsidRDefault="007A6AB0" w:rsidP="007A6AB0">
            <w:pPr>
              <w:tabs>
                <w:tab w:val="left" w:pos="1885"/>
              </w:tabs>
              <w:jc w:val="center"/>
              <w:rPr>
                <w:color w:val="auto"/>
                <w:sz w:val="20"/>
                <w:szCs w:val="20"/>
                <w:lang w:val="en-US"/>
              </w:rPr>
            </w:pPr>
            <w:r w:rsidRPr="00A91E45">
              <w:rPr>
                <w:rFonts w:ascii="Times New Roman" w:hAnsi="Times New Roman" w:cs="Times New Roman"/>
                <w:color w:val="auto"/>
                <w:sz w:val="20"/>
                <w:szCs w:val="20"/>
                <w:lang w:val="en-US"/>
              </w:rPr>
              <w:t>1.074</w:t>
            </w:r>
          </w:p>
        </w:tc>
        <w:tc>
          <w:tcPr>
            <w:tcW w:w="1177" w:type="dxa"/>
            <w:vAlign w:val="center"/>
          </w:tcPr>
          <w:p w14:paraId="3F0F7127" w14:textId="77777777" w:rsidR="00105BE6" w:rsidRPr="00A91E45" w:rsidRDefault="00105BE6" w:rsidP="00105BE6">
            <w:pPr>
              <w:tabs>
                <w:tab w:val="left" w:pos="1885"/>
              </w:tabs>
              <w:jc w:val="center"/>
              <w:rPr>
                <w:color w:val="auto"/>
                <w:sz w:val="20"/>
                <w:szCs w:val="20"/>
              </w:rPr>
            </w:pPr>
            <w:r w:rsidRPr="00A91E45">
              <w:rPr>
                <w:rFonts w:ascii="Times New Roman" w:hAnsi="Times New Roman" w:cs="Times New Roman"/>
                <w:color w:val="auto"/>
                <w:sz w:val="20"/>
                <w:szCs w:val="20"/>
                <w:lang w:val="sr-Cyrl-RS"/>
              </w:rPr>
              <w:t>8</w:t>
            </w:r>
          </w:p>
        </w:tc>
        <w:tc>
          <w:tcPr>
            <w:tcW w:w="1216" w:type="dxa"/>
            <w:vAlign w:val="center"/>
          </w:tcPr>
          <w:p w14:paraId="4E74AA1A" w14:textId="77777777" w:rsidR="00105BE6" w:rsidRPr="00A91E45" w:rsidRDefault="00FD2427" w:rsidP="00105BE6">
            <w:pPr>
              <w:tabs>
                <w:tab w:val="left" w:pos="1885"/>
              </w:tabs>
              <w:jc w:val="center"/>
              <w:rPr>
                <w:color w:val="auto"/>
                <w:sz w:val="20"/>
                <w:szCs w:val="20"/>
                <w:lang w:val="en-US"/>
              </w:rPr>
            </w:pPr>
            <w:r w:rsidRPr="00A91E45">
              <w:rPr>
                <w:rFonts w:ascii="Times New Roman" w:hAnsi="Times New Roman" w:cs="Times New Roman"/>
                <w:color w:val="auto"/>
                <w:sz w:val="20"/>
                <w:szCs w:val="20"/>
                <w:lang w:val="en-US"/>
              </w:rPr>
              <w:t>2.664</w:t>
            </w:r>
          </w:p>
        </w:tc>
        <w:tc>
          <w:tcPr>
            <w:tcW w:w="1129" w:type="dxa"/>
            <w:vAlign w:val="center"/>
          </w:tcPr>
          <w:p w14:paraId="6CAE857A" w14:textId="77777777" w:rsidR="00105BE6" w:rsidRPr="00A91E45" w:rsidRDefault="00FD2427" w:rsidP="00105BE6">
            <w:pPr>
              <w:tabs>
                <w:tab w:val="left" w:pos="1885"/>
              </w:tabs>
              <w:jc w:val="center"/>
              <w:rPr>
                <w:color w:val="auto"/>
                <w:sz w:val="20"/>
                <w:szCs w:val="20"/>
                <w:lang w:val="en-US"/>
              </w:rPr>
            </w:pPr>
            <w:r w:rsidRPr="00A91E45">
              <w:rPr>
                <w:rFonts w:ascii="Times New Roman" w:hAnsi="Times New Roman" w:cs="Times New Roman"/>
                <w:color w:val="auto"/>
                <w:sz w:val="20"/>
                <w:szCs w:val="20"/>
                <w:lang w:val="en-US"/>
              </w:rPr>
              <w:t>9</w:t>
            </w:r>
          </w:p>
        </w:tc>
      </w:tr>
      <w:tr w:rsidR="00A91E45" w:rsidRPr="00A91E45" w14:paraId="04C5BF99" w14:textId="77777777" w:rsidTr="002438F6">
        <w:trPr>
          <w:trHeight w:val="288"/>
          <w:jc w:val="center"/>
        </w:trPr>
        <w:tc>
          <w:tcPr>
            <w:tcW w:w="1806" w:type="dxa"/>
            <w:vAlign w:val="center"/>
          </w:tcPr>
          <w:p w14:paraId="02291E39" w14:textId="77777777" w:rsidR="00105BE6" w:rsidRPr="00A91E45" w:rsidRDefault="00105BE6" w:rsidP="00105BE6">
            <w:pPr>
              <w:tabs>
                <w:tab w:val="left" w:pos="1885"/>
              </w:tabs>
              <w:jc w:val="center"/>
              <w:rPr>
                <w:color w:val="auto"/>
                <w:sz w:val="20"/>
                <w:szCs w:val="20"/>
              </w:rPr>
            </w:pPr>
            <w:r w:rsidRPr="00A91E45">
              <w:rPr>
                <w:rFonts w:ascii="Times New Roman" w:eastAsia="Times New Roman" w:hAnsi="Times New Roman" w:cs="Times New Roman"/>
                <w:b/>
                <w:color w:val="auto"/>
                <w:sz w:val="20"/>
                <w:szCs w:val="20"/>
              </w:rPr>
              <w:t>Укупно</w:t>
            </w:r>
          </w:p>
        </w:tc>
        <w:tc>
          <w:tcPr>
            <w:tcW w:w="1554" w:type="dxa"/>
            <w:vAlign w:val="center"/>
          </w:tcPr>
          <w:p w14:paraId="7E791532" w14:textId="77777777" w:rsidR="00105BE6" w:rsidRPr="00A91E45" w:rsidRDefault="007A6AB0" w:rsidP="00105BE6">
            <w:pPr>
              <w:tabs>
                <w:tab w:val="left" w:pos="1885"/>
              </w:tabs>
              <w:jc w:val="center"/>
              <w:rPr>
                <w:color w:val="auto"/>
                <w:sz w:val="20"/>
                <w:szCs w:val="20"/>
                <w:lang w:val="en-US"/>
              </w:rPr>
            </w:pPr>
            <w:r w:rsidRPr="00A91E45">
              <w:rPr>
                <w:rFonts w:ascii="Times New Roman" w:hAnsi="Times New Roman" w:cs="Times New Roman"/>
                <w:b/>
                <w:color w:val="auto"/>
                <w:sz w:val="20"/>
                <w:szCs w:val="20"/>
                <w:lang w:val="en-US"/>
              </w:rPr>
              <w:t>18.014</w:t>
            </w:r>
          </w:p>
        </w:tc>
        <w:tc>
          <w:tcPr>
            <w:tcW w:w="1177" w:type="dxa"/>
            <w:vAlign w:val="center"/>
          </w:tcPr>
          <w:p w14:paraId="062F0A9E" w14:textId="77777777" w:rsidR="00105BE6" w:rsidRPr="00A91E45" w:rsidRDefault="00105BE6" w:rsidP="00105BE6">
            <w:pPr>
              <w:tabs>
                <w:tab w:val="left" w:pos="1885"/>
              </w:tabs>
              <w:jc w:val="center"/>
              <w:rPr>
                <w:color w:val="auto"/>
                <w:sz w:val="20"/>
                <w:szCs w:val="20"/>
              </w:rPr>
            </w:pPr>
            <w:r w:rsidRPr="00A91E45">
              <w:rPr>
                <w:rFonts w:ascii="Times New Roman" w:hAnsi="Times New Roman" w:cs="Times New Roman"/>
                <w:b/>
                <w:color w:val="auto"/>
                <w:sz w:val="20"/>
                <w:szCs w:val="20"/>
                <w:lang w:val="sr-Cyrl-RS"/>
              </w:rPr>
              <w:t>100</w:t>
            </w:r>
          </w:p>
        </w:tc>
        <w:tc>
          <w:tcPr>
            <w:tcW w:w="1554" w:type="dxa"/>
            <w:vAlign w:val="center"/>
          </w:tcPr>
          <w:p w14:paraId="55B705B8" w14:textId="77777777" w:rsidR="00105BE6" w:rsidRPr="00A91E45" w:rsidRDefault="00105BE6" w:rsidP="007A6AB0">
            <w:pPr>
              <w:tabs>
                <w:tab w:val="left" w:pos="1885"/>
              </w:tabs>
              <w:jc w:val="center"/>
              <w:rPr>
                <w:color w:val="auto"/>
                <w:sz w:val="20"/>
                <w:szCs w:val="20"/>
                <w:lang w:val="en-US"/>
              </w:rPr>
            </w:pPr>
            <w:r w:rsidRPr="00A91E45">
              <w:rPr>
                <w:rFonts w:ascii="Times New Roman" w:hAnsi="Times New Roman" w:cs="Times New Roman"/>
                <w:b/>
                <w:color w:val="auto"/>
                <w:sz w:val="20"/>
                <w:szCs w:val="20"/>
                <w:lang w:val="sr-Cyrl-RS"/>
              </w:rPr>
              <w:t>13.</w:t>
            </w:r>
            <w:r w:rsidR="007A6AB0" w:rsidRPr="00A91E45">
              <w:rPr>
                <w:rFonts w:ascii="Times New Roman" w:hAnsi="Times New Roman" w:cs="Times New Roman"/>
                <w:b/>
                <w:color w:val="auto"/>
                <w:sz w:val="20"/>
                <w:szCs w:val="20"/>
                <w:lang w:val="en-US"/>
              </w:rPr>
              <w:t>144</w:t>
            </w:r>
          </w:p>
        </w:tc>
        <w:tc>
          <w:tcPr>
            <w:tcW w:w="1177" w:type="dxa"/>
            <w:vAlign w:val="center"/>
          </w:tcPr>
          <w:p w14:paraId="69635821" w14:textId="77777777" w:rsidR="00105BE6" w:rsidRPr="00A91E45" w:rsidRDefault="00105BE6" w:rsidP="00105BE6">
            <w:pPr>
              <w:tabs>
                <w:tab w:val="left" w:pos="1885"/>
              </w:tabs>
              <w:jc w:val="center"/>
              <w:rPr>
                <w:color w:val="auto"/>
                <w:sz w:val="20"/>
                <w:szCs w:val="20"/>
              </w:rPr>
            </w:pPr>
            <w:r w:rsidRPr="00A91E45">
              <w:rPr>
                <w:rFonts w:ascii="Times New Roman" w:hAnsi="Times New Roman" w:cs="Times New Roman"/>
                <w:b/>
                <w:color w:val="auto"/>
                <w:sz w:val="20"/>
                <w:szCs w:val="20"/>
                <w:lang w:val="sr-Cyrl-RS"/>
              </w:rPr>
              <w:t>100</w:t>
            </w:r>
          </w:p>
        </w:tc>
        <w:tc>
          <w:tcPr>
            <w:tcW w:w="1216" w:type="dxa"/>
            <w:vAlign w:val="center"/>
          </w:tcPr>
          <w:p w14:paraId="2338E699" w14:textId="77777777" w:rsidR="00105BE6" w:rsidRPr="00A91E45" w:rsidRDefault="00FD2427" w:rsidP="00105BE6">
            <w:pPr>
              <w:tabs>
                <w:tab w:val="left" w:pos="1885"/>
              </w:tabs>
              <w:jc w:val="center"/>
              <w:rPr>
                <w:color w:val="auto"/>
                <w:sz w:val="20"/>
                <w:szCs w:val="20"/>
                <w:lang w:val="en-US"/>
              </w:rPr>
            </w:pPr>
            <w:r w:rsidRPr="00A91E45">
              <w:rPr>
                <w:rFonts w:ascii="Times New Roman" w:hAnsi="Times New Roman" w:cs="Times New Roman"/>
                <w:b/>
                <w:color w:val="auto"/>
                <w:sz w:val="20"/>
                <w:szCs w:val="20"/>
                <w:lang w:val="en-US"/>
              </w:rPr>
              <w:t>31.158</w:t>
            </w:r>
          </w:p>
        </w:tc>
        <w:tc>
          <w:tcPr>
            <w:tcW w:w="1129" w:type="dxa"/>
            <w:vAlign w:val="center"/>
          </w:tcPr>
          <w:p w14:paraId="58F331AE" w14:textId="77777777" w:rsidR="00105BE6" w:rsidRPr="00A91E45" w:rsidRDefault="00105BE6" w:rsidP="00105BE6">
            <w:pPr>
              <w:tabs>
                <w:tab w:val="left" w:pos="1885"/>
              </w:tabs>
              <w:jc w:val="center"/>
              <w:rPr>
                <w:color w:val="auto"/>
                <w:sz w:val="20"/>
                <w:szCs w:val="20"/>
              </w:rPr>
            </w:pPr>
            <w:r w:rsidRPr="00A91E45">
              <w:rPr>
                <w:rFonts w:ascii="Times New Roman" w:hAnsi="Times New Roman" w:cs="Times New Roman"/>
                <w:b/>
                <w:color w:val="auto"/>
                <w:sz w:val="20"/>
                <w:szCs w:val="20"/>
                <w:lang w:val="sr-Cyrl-RS"/>
              </w:rPr>
              <w:t>100</w:t>
            </w:r>
          </w:p>
        </w:tc>
      </w:tr>
    </w:tbl>
    <w:p w14:paraId="07CCC89D" w14:textId="77777777" w:rsidR="00673431" w:rsidRDefault="008743FC">
      <w:pPr>
        <w:jc w:val="both"/>
        <w:rPr>
          <w:rFonts w:ascii="Times New Roman" w:eastAsia="Times New Roman" w:hAnsi="Times New Roman" w:cs="Times New Roman"/>
          <w:b/>
          <w:color w:val="FF0000"/>
          <w:sz w:val="24"/>
          <w:szCs w:val="24"/>
          <w:lang w:val="sr-Cyrl-CS"/>
        </w:rPr>
      </w:pPr>
      <w:r>
        <w:rPr>
          <w:rFonts w:ascii="Times New Roman" w:eastAsia="Times New Roman" w:hAnsi="Times New Roman" w:cs="Times New Roman"/>
          <w:b/>
          <w:color w:val="FF0000"/>
          <w:sz w:val="24"/>
          <w:szCs w:val="24"/>
          <w:lang w:val="sr-Cyrl-CS"/>
        </w:rPr>
        <w:t xml:space="preserve">     </w:t>
      </w:r>
      <w:r w:rsidR="002438F6">
        <w:rPr>
          <w:rFonts w:ascii="Times New Roman" w:eastAsia="Times New Roman" w:hAnsi="Times New Roman" w:cs="Times New Roman"/>
          <w:b/>
          <w:color w:val="FF0000"/>
          <w:sz w:val="24"/>
          <w:szCs w:val="24"/>
          <w:lang w:val="sr-Cyrl-CS"/>
        </w:rPr>
        <w:t xml:space="preserve">     </w:t>
      </w:r>
    </w:p>
    <w:p w14:paraId="502A34DC" w14:textId="2DEAF3C8" w:rsidR="0081466B" w:rsidRPr="00EC57D6" w:rsidRDefault="002438F6">
      <w:pPr>
        <w:jc w:val="both"/>
        <w:rPr>
          <w:rFonts w:ascii="Times New Roman" w:eastAsia="Times New Roman" w:hAnsi="Times New Roman" w:cs="Times New Roman"/>
          <w:b/>
          <w:color w:val="C00000"/>
          <w:sz w:val="24"/>
          <w:szCs w:val="24"/>
          <w:lang w:val="sr-Cyrl-RS"/>
        </w:rPr>
      </w:pPr>
      <w:r>
        <w:rPr>
          <w:rFonts w:ascii="Times New Roman" w:eastAsia="Times New Roman" w:hAnsi="Times New Roman" w:cs="Times New Roman"/>
          <w:b/>
          <w:color w:val="FF0000"/>
          <w:sz w:val="24"/>
          <w:szCs w:val="24"/>
          <w:lang w:val="sr-Cyrl-CS"/>
        </w:rPr>
        <w:lastRenderedPageBreak/>
        <w:t xml:space="preserve"> </w:t>
      </w:r>
      <w:r w:rsidR="00673431">
        <w:rPr>
          <w:rFonts w:ascii="Times New Roman" w:eastAsia="Times New Roman" w:hAnsi="Times New Roman" w:cs="Times New Roman"/>
          <w:b/>
          <w:color w:val="FF0000"/>
          <w:sz w:val="24"/>
          <w:szCs w:val="24"/>
          <w:lang w:val="sr-Cyrl-CS"/>
        </w:rPr>
        <w:t xml:space="preserve">         </w:t>
      </w:r>
      <w:r>
        <w:rPr>
          <w:rFonts w:ascii="Times New Roman" w:eastAsia="Times New Roman" w:hAnsi="Times New Roman" w:cs="Times New Roman"/>
          <w:b/>
          <w:color w:val="FF0000"/>
          <w:sz w:val="24"/>
          <w:szCs w:val="24"/>
          <w:lang w:val="sr-Cyrl-CS"/>
        </w:rPr>
        <w:t xml:space="preserve"> </w:t>
      </w:r>
      <w:r w:rsidR="006F640F" w:rsidRPr="00A91E45">
        <w:rPr>
          <w:rFonts w:ascii="Times New Roman" w:eastAsia="Times New Roman" w:hAnsi="Times New Roman" w:cs="Times New Roman"/>
          <w:b/>
          <w:color w:val="auto"/>
          <w:sz w:val="24"/>
          <w:szCs w:val="24"/>
        </w:rPr>
        <w:t xml:space="preserve">Слика </w:t>
      </w:r>
      <w:r w:rsidR="00166ED4" w:rsidRPr="00A91E45">
        <w:rPr>
          <w:rFonts w:ascii="Times New Roman" w:eastAsia="Times New Roman" w:hAnsi="Times New Roman" w:cs="Times New Roman"/>
          <w:b/>
          <w:color w:val="auto"/>
          <w:sz w:val="24"/>
          <w:szCs w:val="24"/>
          <w:lang w:val="sr-Cyrl-RS"/>
        </w:rPr>
        <w:t>1</w:t>
      </w:r>
      <w:r w:rsidR="003213E9" w:rsidRPr="00A91E45">
        <w:rPr>
          <w:rFonts w:ascii="Times New Roman" w:eastAsia="Times New Roman" w:hAnsi="Times New Roman" w:cs="Times New Roman"/>
          <w:b/>
          <w:color w:val="auto"/>
          <w:sz w:val="24"/>
          <w:szCs w:val="24"/>
          <w:lang w:val="sr-Cyrl-RS"/>
        </w:rPr>
        <w:t>2</w:t>
      </w:r>
    </w:p>
    <w:p w14:paraId="7E3AAF9D" w14:textId="77777777" w:rsidR="0081466B" w:rsidRPr="00B65D17" w:rsidRDefault="009E472C" w:rsidP="00BF700A">
      <w:pPr>
        <w:jc w:val="center"/>
        <w:rPr>
          <w:lang w:val="sr-Cyrl-RS"/>
        </w:rPr>
      </w:pPr>
      <w:bookmarkStart w:id="9" w:name="_17dp8vu"/>
      <w:bookmarkStart w:id="10" w:name="_MON_1567513898"/>
      <w:bookmarkEnd w:id="9"/>
      <w:bookmarkEnd w:id="10"/>
      <w:r>
        <w:rPr>
          <w:noProof/>
          <w:lang w:val="sr-Cyrl-RS" w:eastAsia="sr-Cyrl-RS"/>
        </w:rPr>
        <w:drawing>
          <wp:inline distT="0" distB="0" distL="0" distR="0" wp14:anchorId="69E0E094" wp14:editId="17CD7606">
            <wp:extent cx="4893276" cy="3185917"/>
            <wp:effectExtent l="0" t="0" r="3175"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4C51B3B" w14:textId="27B3E5C0" w:rsidR="003A50AF" w:rsidRDefault="004F0D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Упоредни преглед заступљености основа за обуставу поступака од стране наручилаца</w:t>
      </w:r>
      <w:r w:rsidR="00E75CAC">
        <w:rPr>
          <w:rFonts w:ascii="Times New Roman" w:eastAsia="Times New Roman" w:hAnsi="Times New Roman" w:cs="Times New Roman"/>
          <w:sz w:val="24"/>
          <w:szCs w:val="24"/>
        </w:rPr>
        <w:t xml:space="preserve">, </w:t>
      </w:r>
      <w:r w:rsidR="00105BE6">
        <w:rPr>
          <w:rFonts w:ascii="Times New Roman" w:eastAsia="Times New Roman" w:hAnsi="Times New Roman" w:cs="Times New Roman"/>
          <w:sz w:val="24"/>
          <w:szCs w:val="24"/>
          <w:lang w:val="sr"/>
        </w:rPr>
        <w:t>у првом полугодишту 201</w:t>
      </w:r>
      <w:r w:rsidR="00C3428D">
        <w:rPr>
          <w:rFonts w:ascii="Times New Roman" w:eastAsia="Times New Roman" w:hAnsi="Times New Roman" w:cs="Times New Roman"/>
          <w:sz w:val="24"/>
          <w:szCs w:val="24"/>
          <w:lang w:val="sr-Cyrl-RS"/>
        </w:rPr>
        <w:t>9</w:t>
      </w:r>
      <w:r w:rsidR="00E75CAC">
        <w:rPr>
          <w:rFonts w:ascii="Times New Roman" w:eastAsia="Times New Roman" w:hAnsi="Times New Roman" w:cs="Times New Roman"/>
          <w:sz w:val="24"/>
          <w:szCs w:val="24"/>
          <w:lang w:val="sr"/>
        </w:rPr>
        <w:t>. у односу на исти период претходне године,</w:t>
      </w:r>
      <w:r w:rsidR="00E75CAC">
        <w:rPr>
          <w:rFonts w:ascii="Times New Roman" w:eastAsia="Times New Roman" w:hAnsi="Times New Roman" w:cs="Times New Roman"/>
          <w:sz w:val="24"/>
          <w:szCs w:val="24"/>
        </w:rPr>
        <w:t xml:space="preserve"> показује да није дошло до значајнијих промена</w:t>
      </w:r>
      <w:r w:rsidR="0095586D">
        <w:rPr>
          <w:rFonts w:ascii="Times New Roman" w:eastAsia="Times New Roman" w:hAnsi="Times New Roman" w:cs="Times New Roman"/>
          <w:sz w:val="24"/>
          <w:szCs w:val="24"/>
        </w:rPr>
        <w:t xml:space="preserve"> (Слика 13</w:t>
      </w:r>
      <w:r w:rsidR="003A50AF">
        <w:rPr>
          <w:rFonts w:ascii="Times New Roman" w:eastAsia="Times New Roman" w:hAnsi="Times New Roman" w:cs="Times New Roman"/>
          <w:sz w:val="24"/>
          <w:szCs w:val="24"/>
        </w:rPr>
        <w:t>)</w:t>
      </w:r>
      <w:r w:rsidR="00E75CAC">
        <w:rPr>
          <w:rFonts w:ascii="Times New Roman" w:eastAsia="Times New Roman" w:hAnsi="Times New Roman" w:cs="Times New Roman"/>
          <w:sz w:val="24"/>
          <w:szCs w:val="24"/>
        </w:rPr>
        <w:t>. Доминантан основ за обуставу поступка и даље представљ</w:t>
      </w:r>
      <w:r w:rsidR="00141FBF">
        <w:rPr>
          <w:rFonts w:ascii="Times New Roman" w:eastAsia="Times New Roman" w:hAnsi="Times New Roman" w:cs="Times New Roman"/>
          <w:sz w:val="24"/>
          <w:szCs w:val="24"/>
        </w:rPr>
        <w:t>ају случајеви када није</w:t>
      </w:r>
      <w:r w:rsidR="002021C9">
        <w:rPr>
          <w:rFonts w:ascii="Times New Roman" w:eastAsia="Times New Roman" w:hAnsi="Times New Roman" w:cs="Times New Roman"/>
          <w:sz w:val="24"/>
          <w:szCs w:val="24"/>
          <w:lang w:val="sr-Cyrl-RS"/>
        </w:rPr>
        <w:t xml:space="preserve"> прибављена</w:t>
      </w:r>
      <w:r w:rsidR="00141FBF">
        <w:rPr>
          <w:rFonts w:ascii="Times New Roman" w:eastAsia="Times New Roman" w:hAnsi="Times New Roman" w:cs="Times New Roman"/>
          <w:sz w:val="24"/>
          <w:szCs w:val="24"/>
        </w:rPr>
        <w:t xml:space="preserve"> ни</w:t>
      </w:r>
      <w:r w:rsidR="00E75CAC">
        <w:rPr>
          <w:rFonts w:ascii="Times New Roman" w:eastAsia="Times New Roman" w:hAnsi="Times New Roman" w:cs="Times New Roman"/>
          <w:sz w:val="24"/>
          <w:szCs w:val="24"/>
        </w:rPr>
        <w:t>једн</w:t>
      </w:r>
      <w:r w:rsidR="002021C9">
        <w:rPr>
          <w:rFonts w:ascii="Times New Roman" w:eastAsia="Times New Roman" w:hAnsi="Times New Roman" w:cs="Times New Roman"/>
          <w:sz w:val="24"/>
          <w:szCs w:val="24"/>
          <w:lang w:val="sr-Cyrl-RS"/>
        </w:rPr>
        <w:t>а</w:t>
      </w:r>
      <w:r w:rsidR="00E75CAC">
        <w:rPr>
          <w:rFonts w:ascii="Times New Roman" w:eastAsia="Times New Roman" w:hAnsi="Times New Roman" w:cs="Times New Roman"/>
          <w:sz w:val="24"/>
          <w:szCs w:val="24"/>
        </w:rPr>
        <w:t xml:space="preserve"> прихватљив</w:t>
      </w:r>
      <w:r w:rsidR="00CC4D24">
        <w:rPr>
          <w:rFonts w:ascii="Times New Roman" w:eastAsia="Times New Roman" w:hAnsi="Times New Roman" w:cs="Times New Roman"/>
          <w:sz w:val="24"/>
          <w:szCs w:val="24"/>
          <w:lang w:val="sr-Cyrl-RS"/>
        </w:rPr>
        <w:t>а</w:t>
      </w:r>
      <w:r w:rsidR="00E75CAC">
        <w:rPr>
          <w:rFonts w:ascii="Times New Roman" w:eastAsia="Times New Roman" w:hAnsi="Times New Roman" w:cs="Times New Roman"/>
          <w:sz w:val="24"/>
          <w:szCs w:val="24"/>
        </w:rPr>
        <w:t xml:space="preserve"> понуд</w:t>
      </w:r>
      <w:r w:rsidR="00CC4D24">
        <w:rPr>
          <w:rFonts w:ascii="Times New Roman" w:eastAsia="Times New Roman" w:hAnsi="Times New Roman" w:cs="Times New Roman"/>
          <w:sz w:val="24"/>
          <w:szCs w:val="24"/>
          <w:lang w:val="sr-Cyrl-RS"/>
        </w:rPr>
        <w:t>а</w:t>
      </w:r>
      <w:r w:rsidR="00E75CAC">
        <w:rPr>
          <w:rFonts w:ascii="Times New Roman" w:eastAsia="Times New Roman" w:hAnsi="Times New Roman" w:cs="Times New Roman"/>
          <w:sz w:val="24"/>
          <w:szCs w:val="24"/>
        </w:rPr>
        <w:t>, док је други по заступље</w:t>
      </w:r>
      <w:r w:rsidR="00141FBF">
        <w:rPr>
          <w:rFonts w:ascii="Times New Roman" w:eastAsia="Times New Roman" w:hAnsi="Times New Roman" w:cs="Times New Roman"/>
          <w:sz w:val="24"/>
          <w:szCs w:val="24"/>
        </w:rPr>
        <w:t xml:space="preserve">ности основ </w:t>
      </w:r>
      <w:r w:rsidR="00881DBE">
        <w:rPr>
          <w:rFonts w:ascii="Times New Roman" w:eastAsia="Times New Roman" w:hAnsi="Times New Roman" w:cs="Times New Roman"/>
          <w:sz w:val="24"/>
          <w:szCs w:val="24"/>
          <w:lang w:val="sr-Cyrl-RS"/>
        </w:rPr>
        <w:t>ка</w:t>
      </w:r>
      <w:r w:rsidR="00141FBF">
        <w:rPr>
          <w:rFonts w:ascii="Times New Roman" w:eastAsia="Times New Roman" w:hAnsi="Times New Roman" w:cs="Times New Roman"/>
          <w:sz w:val="24"/>
          <w:szCs w:val="24"/>
        </w:rPr>
        <w:t>да није приспела ни</w:t>
      </w:r>
      <w:r w:rsidR="00E75CAC">
        <w:rPr>
          <w:rFonts w:ascii="Times New Roman" w:eastAsia="Times New Roman" w:hAnsi="Times New Roman" w:cs="Times New Roman"/>
          <w:sz w:val="24"/>
          <w:szCs w:val="24"/>
        </w:rPr>
        <w:t>једна понуда. Ова два основа</w:t>
      </w:r>
      <w:r w:rsidR="003A50AF">
        <w:rPr>
          <w:rFonts w:ascii="Times New Roman" w:eastAsia="Times New Roman" w:hAnsi="Times New Roman" w:cs="Times New Roman"/>
          <w:sz w:val="24"/>
          <w:szCs w:val="24"/>
        </w:rPr>
        <w:t>, посматрана</w:t>
      </w:r>
      <w:r w:rsidR="00E75CAC">
        <w:rPr>
          <w:rFonts w:ascii="Times New Roman" w:eastAsia="Times New Roman" w:hAnsi="Times New Roman" w:cs="Times New Roman"/>
          <w:sz w:val="24"/>
          <w:szCs w:val="24"/>
        </w:rPr>
        <w:t xml:space="preserve"> збирно</w:t>
      </w:r>
      <w:r w:rsidR="003A50AF">
        <w:rPr>
          <w:rFonts w:ascii="Times New Roman" w:eastAsia="Times New Roman" w:hAnsi="Times New Roman" w:cs="Times New Roman"/>
          <w:sz w:val="24"/>
          <w:szCs w:val="24"/>
        </w:rPr>
        <w:t>, били су разлог за обуставу</w:t>
      </w:r>
      <w:r w:rsidR="00105BE6">
        <w:rPr>
          <w:rFonts w:ascii="Times New Roman" w:eastAsia="Times New Roman" w:hAnsi="Times New Roman" w:cs="Times New Roman"/>
          <w:sz w:val="24"/>
          <w:szCs w:val="24"/>
        </w:rPr>
        <w:t xml:space="preserve"> 3/4</w:t>
      </w:r>
      <w:r w:rsidR="00E75CAC">
        <w:rPr>
          <w:rFonts w:ascii="Times New Roman" w:eastAsia="Times New Roman" w:hAnsi="Times New Roman" w:cs="Times New Roman"/>
          <w:sz w:val="24"/>
          <w:szCs w:val="24"/>
        </w:rPr>
        <w:t xml:space="preserve"> </w:t>
      </w:r>
      <w:r w:rsidR="003A50AF">
        <w:rPr>
          <w:rFonts w:ascii="Times New Roman" w:eastAsia="Times New Roman" w:hAnsi="Times New Roman" w:cs="Times New Roman"/>
          <w:sz w:val="24"/>
          <w:szCs w:val="24"/>
        </w:rPr>
        <w:t xml:space="preserve">укупно </w:t>
      </w:r>
      <w:r w:rsidR="0082050A">
        <w:rPr>
          <w:rFonts w:ascii="Times New Roman" w:eastAsia="Times New Roman" w:hAnsi="Times New Roman" w:cs="Times New Roman"/>
          <w:sz w:val="24"/>
          <w:szCs w:val="24"/>
        </w:rPr>
        <w:t xml:space="preserve">обустављених поступака (Слика </w:t>
      </w:r>
      <w:r w:rsidR="00EC57D6">
        <w:rPr>
          <w:rFonts w:ascii="Times New Roman" w:eastAsia="Times New Roman" w:hAnsi="Times New Roman" w:cs="Times New Roman"/>
          <w:sz w:val="24"/>
          <w:szCs w:val="24"/>
          <w:lang w:val="sr-Cyrl-RS"/>
        </w:rPr>
        <w:t>1</w:t>
      </w:r>
      <w:r w:rsidR="00E32345">
        <w:rPr>
          <w:rFonts w:ascii="Times New Roman" w:eastAsia="Times New Roman" w:hAnsi="Times New Roman" w:cs="Times New Roman"/>
          <w:sz w:val="24"/>
          <w:szCs w:val="24"/>
          <w:lang w:val="sr-Cyrl-RS"/>
        </w:rPr>
        <w:t>3</w:t>
      </w:r>
      <w:r w:rsidR="00EC57D6">
        <w:rPr>
          <w:rFonts w:ascii="Times New Roman" w:eastAsia="Times New Roman" w:hAnsi="Times New Roman" w:cs="Times New Roman"/>
          <w:sz w:val="24"/>
          <w:szCs w:val="24"/>
          <w:lang w:val="sr-Cyrl-RS"/>
        </w:rPr>
        <w:t>)</w:t>
      </w:r>
      <w:r w:rsidR="003A50AF">
        <w:rPr>
          <w:rFonts w:ascii="Times New Roman" w:eastAsia="Times New Roman" w:hAnsi="Times New Roman" w:cs="Times New Roman"/>
          <w:sz w:val="24"/>
          <w:szCs w:val="24"/>
        </w:rPr>
        <w:t xml:space="preserve">. </w:t>
      </w:r>
    </w:p>
    <w:p w14:paraId="78B298EC" w14:textId="59D7D021" w:rsidR="0081466B" w:rsidRPr="009A2451" w:rsidRDefault="00BB0D88">
      <w:pPr>
        <w:jc w:val="both"/>
        <w:rPr>
          <w:rFonts w:ascii="Times New Roman" w:eastAsia="Times New Roman" w:hAnsi="Times New Roman" w:cs="Times New Roman"/>
          <w:color w:val="000000" w:themeColor="text1"/>
          <w:sz w:val="24"/>
          <w:szCs w:val="24"/>
        </w:rPr>
      </w:pPr>
      <w:r w:rsidRPr="009A2451">
        <w:rPr>
          <w:rFonts w:ascii="Times New Roman" w:eastAsia="Times New Roman" w:hAnsi="Times New Roman" w:cs="Times New Roman"/>
          <w:color w:val="000000" w:themeColor="text1"/>
          <w:sz w:val="24"/>
          <w:szCs w:val="24"/>
          <w:lang w:val="sr"/>
        </w:rPr>
        <w:t>Значајан</w:t>
      </w:r>
      <w:r w:rsidRPr="009A2451">
        <w:rPr>
          <w:rFonts w:ascii="Times New Roman" w:eastAsia="Times New Roman" w:hAnsi="Times New Roman" w:cs="Times New Roman"/>
          <w:color w:val="000000" w:themeColor="text1"/>
          <w:sz w:val="24"/>
          <w:szCs w:val="24"/>
        </w:rPr>
        <w:t xml:space="preserve"> број</w:t>
      </w:r>
      <w:r w:rsidR="004F0DED" w:rsidRPr="009A2451">
        <w:rPr>
          <w:rFonts w:ascii="Times New Roman" w:eastAsia="Times New Roman" w:hAnsi="Times New Roman" w:cs="Times New Roman"/>
          <w:color w:val="000000" w:themeColor="text1"/>
          <w:sz w:val="24"/>
          <w:szCs w:val="24"/>
        </w:rPr>
        <w:t xml:space="preserve"> случајева где ниједна понуда није поднета указује на </w:t>
      </w:r>
      <w:r w:rsidR="00B41399" w:rsidRPr="009A2451">
        <w:rPr>
          <w:rFonts w:ascii="Times New Roman" w:eastAsia="Times New Roman" w:hAnsi="Times New Roman" w:cs="Times New Roman"/>
          <w:color w:val="000000" w:themeColor="text1"/>
          <w:sz w:val="24"/>
          <w:szCs w:val="24"/>
        </w:rPr>
        <w:t xml:space="preserve">потребу </w:t>
      </w:r>
      <w:r w:rsidR="004F0DED" w:rsidRPr="009A2451">
        <w:rPr>
          <w:rFonts w:ascii="Times New Roman" w:eastAsia="Times New Roman" w:hAnsi="Times New Roman" w:cs="Times New Roman"/>
          <w:color w:val="000000" w:themeColor="text1"/>
          <w:sz w:val="24"/>
          <w:szCs w:val="24"/>
        </w:rPr>
        <w:t xml:space="preserve">да </w:t>
      </w:r>
      <w:r w:rsidRPr="009A2451">
        <w:rPr>
          <w:rFonts w:ascii="Times New Roman" w:eastAsia="Times New Roman" w:hAnsi="Times New Roman" w:cs="Times New Roman"/>
          <w:color w:val="000000" w:themeColor="text1"/>
          <w:sz w:val="24"/>
          <w:szCs w:val="24"/>
        </w:rPr>
        <w:t xml:space="preserve">се </w:t>
      </w:r>
      <w:r w:rsidR="004F0DED" w:rsidRPr="009A2451">
        <w:rPr>
          <w:rFonts w:ascii="Times New Roman" w:eastAsia="Times New Roman" w:hAnsi="Times New Roman" w:cs="Times New Roman"/>
          <w:color w:val="000000" w:themeColor="text1"/>
          <w:sz w:val="24"/>
          <w:szCs w:val="24"/>
        </w:rPr>
        <w:t>захтеви наручилаца у конкурсној документацији</w:t>
      </w:r>
      <w:r w:rsidRPr="009A2451">
        <w:rPr>
          <w:rFonts w:ascii="Times New Roman" w:eastAsia="Times New Roman" w:hAnsi="Times New Roman" w:cs="Times New Roman"/>
          <w:color w:val="000000" w:themeColor="text1"/>
          <w:sz w:val="24"/>
          <w:szCs w:val="24"/>
        </w:rPr>
        <w:t xml:space="preserve">, захваљујући претходно спроведеном истраживању тржишта, </w:t>
      </w:r>
      <w:r w:rsidR="004F0DED" w:rsidRPr="009A2451">
        <w:rPr>
          <w:rFonts w:ascii="Times New Roman" w:eastAsia="Times New Roman" w:hAnsi="Times New Roman" w:cs="Times New Roman"/>
          <w:color w:val="000000" w:themeColor="text1"/>
          <w:sz w:val="24"/>
          <w:szCs w:val="24"/>
        </w:rPr>
        <w:t>ускла</w:t>
      </w:r>
      <w:r w:rsidRPr="009A2451">
        <w:rPr>
          <w:rFonts w:ascii="Times New Roman" w:eastAsia="Times New Roman" w:hAnsi="Times New Roman" w:cs="Times New Roman"/>
          <w:color w:val="000000" w:themeColor="text1"/>
          <w:sz w:val="24"/>
          <w:szCs w:val="24"/>
        </w:rPr>
        <w:t xml:space="preserve">де </w:t>
      </w:r>
      <w:r w:rsidR="004F0DED" w:rsidRPr="009A2451">
        <w:rPr>
          <w:rFonts w:ascii="Times New Roman" w:eastAsia="Times New Roman" w:hAnsi="Times New Roman" w:cs="Times New Roman"/>
          <w:color w:val="000000" w:themeColor="text1"/>
          <w:sz w:val="24"/>
          <w:szCs w:val="24"/>
        </w:rPr>
        <w:t>са оним што се на тржишту нуди како би понуђачи могли да одгово</w:t>
      </w:r>
      <w:r w:rsidRPr="009A2451">
        <w:rPr>
          <w:rFonts w:ascii="Times New Roman" w:eastAsia="Times New Roman" w:hAnsi="Times New Roman" w:cs="Times New Roman"/>
          <w:color w:val="000000" w:themeColor="text1"/>
          <w:sz w:val="24"/>
          <w:szCs w:val="24"/>
        </w:rPr>
        <w:t xml:space="preserve">ре </w:t>
      </w:r>
      <w:r w:rsidR="002021C9">
        <w:rPr>
          <w:rFonts w:ascii="Times New Roman" w:eastAsia="Times New Roman" w:hAnsi="Times New Roman" w:cs="Times New Roman"/>
          <w:color w:val="000000" w:themeColor="text1"/>
          <w:sz w:val="24"/>
          <w:szCs w:val="24"/>
          <w:lang w:val="sr-Cyrl-RS"/>
        </w:rPr>
        <w:t xml:space="preserve">поднетом </w:t>
      </w:r>
      <w:r w:rsidRPr="009A2451">
        <w:rPr>
          <w:rFonts w:ascii="Times New Roman" w:eastAsia="Times New Roman" w:hAnsi="Times New Roman" w:cs="Times New Roman"/>
          <w:color w:val="000000" w:themeColor="text1"/>
          <w:sz w:val="24"/>
          <w:szCs w:val="24"/>
        </w:rPr>
        <w:t>понудом, као и да се успостави</w:t>
      </w:r>
      <w:r w:rsidR="004F0DED" w:rsidRPr="009A2451">
        <w:rPr>
          <w:rFonts w:ascii="Times New Roman" w:eastAsia="Times New Roman" w:hAnsi="Times New Roman" w:cs="Times New Roman"/>
          <w:color w:val="000000" w:themeColor="text1"/>
          <w:sz w:val="24"/>
          <w:szCs w:val="24"/>
        </w:rPr>
        <w:t xml:space="preserve"> </w:t>
      </w:r>
      <w:r w:rsidRPr="009A2451">
        <w:rPr>
          <w:rFonts w:ascii="Times New Roman" w:eastAsia="Times New Roman" w:hAnsi="Times New Roman" w:cs="Times New Roman"/>
          <w:color w:val="000000" w:themeColor="text1"/>
          <w:sz w:val="24"/>
          <w:szCs w:val="24"/>
        </w:rPr>
        <w:t xml:space="preserve">дијалог са понуђачима и </w:t>
      </w:r>
      <w:r w:rsidR="004F0DED" w:rsidRPr="009A2451">
        <w:rPr>
          <w:rFonts w:ascii="Times New Roman" w:eastAsia="Times New Roman" w:hAnsi="Times New Roman" w:cs="Times New Roman"/>
          <w:color w:val="000000" w:themeColor="text1"/>
          <w:sz w:val="24"/>
          <w:szCs w:val="24"/>
        </w:rPr>
        <w:t xml:space="preserve">тиме </w:t>
      </w:r>
      <w:r w:rsidRPr="009A2451">
        <w:rPr>
          <w:rFonts w:ascii="Times New Roman" w:eastAsia="Times New Roman" w:hAnsi="Times New Roman" w:cs="Times New Roman"/>
          <w:color w:val="000000" w:themeColor="text1"/>
          <w:sz w:val="24"/>
          <w:szCs w:val="24"/>
        </w:rPr>
        <w:t xml:space="preserve">покаже да </w:t>
      </w:r>
      <w:r w:rsidR="00DE6311">
        <w:rPr>
          <w:rFonts w:ascii="Times New Roman" w:eastAsia="Times New Roman" w:hAnsi="Times New Roman" w:cs="Times New Roman"/>
          <w:color w:val="000000" w:themeColor="text1"/>
          <w:sz w:val="24"/>
          <w:szCs w:val="24"/>
        </w:rPr>
        <w:t>поступци јавних набавки</w:t>
      </w:r>
      <w:r w:rsidR="00B41399" w:rsidRPr="009A2451">
        <w:rPr>
          <w:rFonts w:ascii="Times New Roman" w:eastAsia="Times New Roman" w:hAnsi="Times New Roman" w:cs="Times New Roman"/>
          <w:color w:val="000000" w:themeColor="text1"/>
          <w:sz w:val="24"/>
          <w:szCs w:val="24"/>
        </w:rPr>
        <w:t xml:space="preserve"> нису ”намештени” за неког</w:t>
      </w:r>
      <w:r w:rsidR="004F0DED" w:rsidRPr="009A2451">
        <w:rPr>
          <w:rFonts w:ascii="Times New Roman" w:eastAsia="Times New Roman" w:hAnsi="Times New Roman" w:cs="Times New Roman"/>
          <w:color w:val="000000" w:themeColor="text1"/>
          <w:sz w:val="24"/>
          <w:szCs w:val="24"/>
        </w:rPr>
        <w:t xml:space="preserve"> од њих</w:t>
      </w:r>
      <w:r w:rsidR="002021C9">
        <w:rPr>
          <w:rFonts w:ascii="Times New Roman" w:eastAsia="Times New Roman" w:hAnsi="Times New Roman" w:cs="Times New Roman"/>
          <w:color w:val="000000" w:themeColor="text1"/>
          <w:sz w:val="24"/>
          <w:szCs w:val="24"/>
          <w:lang w:val="sr-Cyrl-RS"/>
        </w:rPr>
        <w:t>,</w:t>
      </w:r>
      <w:r w:rsidRPr="009A2451">
        <w:rPr>
          <w:rFonts w:ascii="Times New Roman" w:eastAsia="Times New Roman" w:hAnsi="Times New Roman" w:cs="Times New Roman"/>
          <w:color w:val="000000" w:themeColor="text1"/>
          <w:sz w:val="24"/>
          <w:szCs w:val="24"/>
        </w:rPr>
        <w:t xml:space="preserve"> чиме се повећава кредибилитет поступака</w:t>
      </w:r>
      <w:r w:rsidR="004F0DED" w:rsidRPr="009A2451">
        <w:rPr>
          <w:rFonts w:ascii="Times New Roman" w:eastAsia="Times New Roman" w:hAnsi="Times New Roman" w:cs="Times New Roman"/>
          <w:color w:val="000000" w:themeColor="text1"/>
          <w:sz w:val="24"/>
          <w:szCs w:val="24"/>
        </w:rPr>
        <w:t xml:space="preserve">.     </w:t>
      </w:r>
    </w:p>
    <w:p w14:paraId="5936916B" w14:textId="77777777" w:rsidR="002438F6" w:rsidRDefault="002438F6">
      <w:pPr>
        <w:jc w:val="both"/>
        <w:rPr>
          <w:rFonts w:ascii="Times New Roman" w:eastAsia="Times New Roman" w:hAnsi="Times New Roman" w:cs="Times New Roman"/>
          <w:b/>
          <w:color w:val="auto"/>
          <w:sz w:val="24"/>
          <w:szCs w:val="24"/>
        </w:rPr>
      </w:pPr>
    </w:p>
    <w:p w14:paraId="4F1CB761" w14:textId="77777777" w:rsidR="002438F6" w:rsidRDefault="002438F6">
      <w:pPr>
        <w:jc w:val="both"/>
        <w:rPr>
          <w:rFonts w:ascii="Times New Roman" w:eastAsia="Times New Roman" w:hAnsi="Times New Roman" w:cs="Times New Roman"/>
          <w:b/>
          <w:color w:val="auto"/>
          <w:sz w:val="24"/>
          <w:szCs w:val="24"/>
        </w:rPr>
      </w:pPr>
    </w:p>
    <w:p w14:paraId="719E3F6B" w14:textId="77777777" w:rsidR="002438F6" w:rsidRDefault="002438F6">
      <w:pPr>
        <w:jc w:val="both"/>
        <w:rPr>
          <w:rFonts w:ascii="Times New Roman" w:eastAsia="Times New Roman" w:hAnsi="Times New Roman" w:cs="Times New Roman"/>
          <w:b/>
          <w:color w:val="auto"/>
          <w:sz w:val="24"/>
          <w:szCs w:val="24"/>
        </w:rPr>
      </w:pPr>
    </w:p>
    <w:p w14:paraId="34C0C01E" w14:textId="77777777" w:rsidR="002438F6" w:rsidRDefault="002438F6">
      <w:pPr>
        <w:jc w:val="both"/>
        <w:rPr>
          <w:rFonts w:ascii="Times New Roman" w:eastAsia="Times New Roman" w:hAnsi="Times New Roman" w:cs="Times New Roman"/>
          <w:b/>
          <w:color w:val="auto"/>
          <w:sz w:val="24"/>
          <w:szCs w:val="24"/>
        </w:rPr>
      </w:pPr>
    </w:p>
    <w:p w14:paraId="57CCA16E" w14:textId="77777777" w:rsidR="002438F6" w:rsidRDefault="002438F6">
      <w:pPr>
        <w:jc w:val="both"/>
        <w:rPr>
          <w:rFonts w:ascii="Times New Roman" w:eastAsia="Times New Roman" w:hAnsi="Times New Roman" w:cs="Times New Roman"/>
          <w:b/>
          <w:color w:val="auto"/>
          <w:sz w:val="24"/>
          <w:szCs w:val="24"/>
        </w:rPr>
      </w:pPr>
    </w:p>
    <w:p w14:paraId="2A694402" w14:textId="5007D6EA" w:rsidR="0081466B" w:rsidRPr="00881DBE" w:rsidRDefault="004F0DED">
      <w:pPr>
        <w:jc w:val="both"/>
        <w:rPr>
          <w:color w:val="auto"/>
          <w:lang w:val="sr-Cyrl-RS"/>
        </w:rPr>
      </w:pPr>
      <w:r w:rsidRPr="00881DBE">
        <w:rPr>
          <w:rFonts w:ascii="Times New Roman" w:eastAsia="Times New Roman" w:hAnsi="Times New Roman" w:cs="Times New Roman"/>
          <w:b/>
          <w:color w:val="auto"/>
          <w:sz w:val="24"/>
          <w:szCs w:val="24"/>
        </w:rPr>
        <w:lastRenderedPageBreak/>
        <w:t xml:space="preserve">Слика </w:t>
      </w:r>
      <w:r w:rsidR="00EC57D6" w:rsidRPr="00881DBE">
        <w:rPr>
          <w:rFonts w:ascii="Times New Roman" w:eastAsia="Times New Roman" w:hAnsi="Times New Roman" w:cs="Times New Roman"/>
          <w:b/>
          <w:color w:val="auto"/>
          <w:sz w:val="24"/>
          <w:szCs w:val="24"/>
          <w:lang w:val="sr-Cyrl-RS"/>
        </w:rPr>
        <w:t>1</w:t>
      </w:r>
      <w:r w:rsidR="003213E9" w:rsidRPr="00881DBE">
        <w:rPr>
          <w:rFonts w:ascii="Times New Roman" w:eastAsia="Times New Roman" w:hAnsi="Times New Roman" w:cs="Times New Roman"/>
          <w:b/>
          <w:color w:val="auto"/>
          <w:sz w:val="24"/>
          <w:szCs w:val="24"/>
          <w:lang w:val="sr-Cyrl-RS"/>
        </w:rPr>
        <w:t>3</w:t>
      </w:r>
    </w:p>
    <w:p w14:paraId="2362D420" w14:textId="77777777" w:rsidR="009E472C" w:rsidRDefault="001C658B" w:rsidP="001C658B">
      <w:pPr>
        <w:ind w:left="-142"/>
        <w:jc w:val="center"/>
        <w:rPr>
          <w:rFonts w:eastAsiaTheme="minorHAnsi"/>
          <w:color w:val="auto"/>
          <w:lang w:eastAsia="en-US"/>
        </w:rPr>
      </w:pPr>
      <w:r>
        <w:rPr>
          <w:noProof/>
          <w:lang w:val="sr-Cyrl-RS" w:eastAsia="sr-Cyrl-RS"/>
        </w:rPr>
        <w:drawing>
          <wp:inline distT="0" distB="0" distL="0" distR="0" wp14:anchorId="74556EC2" wp14:editId="48509125">
            <wp:extent cx="5905500" cy="36195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7BCD6FF" w14:textId="309CD34E" w:rsidR="0081466B" w:rsidRDefault="004F0DED">
      <w:pPr>
        <w:numPr>
          <w:ilvl w:val="0"/>
          <w:numId w:val="1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НАБАВКЕ ИЗУЗЕТЕ ОД ПРИМЕНЕ ЗАКОНА</w:t>
      </w:r>
    </w:p>
    <w:p w14:paraId="4290BC7E" w14:textId="77777777" w:rsidR="008631D5" w:rsidRDefault="008631D5" w:rsidP="00114215">
      <w:pPr>
        <w:autoSpaceDE w:val="0"/>
        <w:autoSpaceDN w:val="0"/>
        <w:adjustRightInd w:val="0"/>
        <w:spacing w:after="0"/>
        <w:jc w:val="both"/>
        <w:rPr>
          <w:rFonts w:ascii="Times New Roman" w:hAnsi="Times New Roman" w:cs="Times New Roman"/>
          <w:color w:val="auto"/>
          <w:sz w:val="24"/>
          <w:szCs w:val="24"/>
        </w:rPr>
      </w:pPr>
    </w:p>
    <w:p w14:paraId="0EF976E8" w14:textId="3FD745C6" w:rsidR="009E472C" w:rsidRDefault="001960F4" w:rsidP="00881DBE">
      <w:pPr>
        <w:autoSpaceDE w:val="0"/>
        <w:autoSpaceDN w:val="0"/>
        <w:adjustRightInd w:val="0"/>
        <w:spacing w:after="0"/>
        <w:jc w:val="both"/>
        <w:rPr>
          <w:rFonts w:ascii="Times New Roman" w:hAnsi="Times New Roman" w:cs="Times New Roman"/>
          <w:color w:val="000000" w:themeColor="text1"/>
          <w:sz w:val="24"/>
          <w:szCs w:val="24"/>
          <w:lang w:val="sr"/>
        </w:rPr>
      </w:pPr>
      <w:r w:rsidRPr="00406D8E">
        <w:rPr>
          <w:rFonts w:ascii="Times New Roman" w:hAnsi="Times New Roman" w:cs="Times New Roman"/>
          <w:color w:val="auto"/>
          <w:sz w:val="24"/>
          <w:szCs w:val="24"/>
        </w:rPr>
        <w:t>Набавке на које се није примењивао ЗЈН</w:t>
      </w:r>
      <w:r w:rsidR="00A528A8">
        <w:rPr>
          <w:rFonts w:ascii="Times New Roman" w:hAnsi="Times New Roman" w:cs="Times New Roman"/>
          <w:color w:val="auto"/>
          <w:sz w:val="24"/>
          <w:szCs w:val="24"/>
        </w:rPr>
        <w:t xml:space="preserve"> </w:t>
      </w:r>
      <w:r w:rsidR="00A528A8">
        <w:rPr>
          <w:rFonts w:ascii="Times New Roman" w:hAnsi="Times New Roman" w:cs="Times New Roman"/>
          <w:color w:val="auto"/>
          <w:sz w:val="24"/>
          <w:szCs w:val="24"/>
          <w:lang w:val="sr"/>
        </w:rPr>
        <w:t>учествовале су</w:t>
      </w:r>
      <w:r w:rsidRPr="00406D8E">
        <w:rPr>
          <w:rFonts w:ascii="Times New Roman" w:hAnsi="Times New Roman" w:cs="Times New Roman"/>
          <w:color w:val="auto"/>
          <w:sz w:val="24"/>
          <w:szCs w:val="24"/>
        </w:rPr>
        <w:t xml:space="preserve"> у у</w:t>
      </w:r>
      <w:r w:rsidR="00A528A8">
        <w:rPr>
          <w:rFonts w:ascii="Times New Roman" w:hAnsi="Times New Roman" w:cs="Times New Roman"/>
          <w:color w:val="auto"/>
          <w:sz w:val="24"/>
          <w:szCs w:val="24"/>
        </w:rPr>
        <w:t>купној уговореној вредности са</w:t>
      </w:r>
      <w:r w:rsidR="002A3601">
        <w:rPr>
          <w:rFonts w:ascii="Times New Roman" w:hAnsi="Times New Roman" w:cs="Times New Roman"/>
          <w:color w:val="auto"/>
          <w:sz w:val="24"/>
          <w:szCs w:val="24"/>
        </w:rPr>
        <w:t xml:space="preserve"> </w:t>
      </w:r>
      <w:r w:rsidR="002A3601" w:rsidRPr="00881DBE">
        <w:rPr>
          <w:rFonts w:ascii="Times New Roman" w:hAnsi="Times New Roman" w:cs="Times New Roman"/>
          <w:color w:val="auto"/>
          <w:sz w:val="24"/>
          <w:szCs w:val="24"/>
        </w:rPr>
        <w:t>2</w:t>
      </w:r>
      <w:r w:rsidR="00C3428D" w:rsidRPr="00881DBE">
        <w:rPr>
          <w:rFonts w:ascii="Times New Roman" w:hAnsi="Times New Roman" w:cs="Times New Roman"/>
          <w:color w:val="auto"/>
          <w:sz w:val="24"/>
          <w:szCs w:val="24"/>
          <w:lang w:val="sr-Cyrl-RS"/>
        </w:rPr>
        <w:t>9</w:t>
      </w:r>
      <w:r w:rsidRPr="00881DBE">
        <w:rPr>
          <w:rFonts w:ascii="Times New Roman" w:hAnsi="Times New Roman" w:cs="Times New Roman"/>
          <w:color w:val="auto"/>
          <w:sz w:val="24"/>
          <w:szCs w:val="24"/>
        </w:rPr>
        <w:t>%</w:t>
      </w:r>
      <w:r w:rsidRPr="00406D8E">
        <w:rPr>
          <w:rFonts w:ascii="Times New Roman" w:hAnsi="Times New Roman" w:cs="Times New Roman"/>
          <w:color w:val="auto"/>
          <w:sz w:val="24"/>
          <w:szCs w:val="24"/>
        </w:rPr>
        <w:t xml:space="preserve"> (Таб</w:t>
      </w:r>
      <w:r w:rsidR="003A50AF">
        <w:rPr>
          <w:rFonts w:ascii="Times New Roman" w:hAnsi="Times New Roman" w:cs="Times New Roman"/>
          <w:color w:val="auto"/>
          <w:sz w:val="24"/>
          <w:szCs w:val="24"/>
        </w:rPr>
        <w:t xml:space="preserve">ела </w:t>
      </w:r>
      <w:r w:rsidR="00C3428D">
        <w:rPr>
          <w:rFonts w:ascii="Times New Roman" w:hAnsi="Times New Roman" w:cs="Times New Roman"/>
          <w:color w:val="auto"/>
          <w:sz w:val="24"/>
          <w:szCs w:val="24"/>
          <w:lang w:val="sr-Cyrl-RS"/>
        </w:rPr>
        <w:t>1</w:t>
      </w:r>
      <w:r w:rsidR="00953934">
        <w:rPr>
          <w:rFonts w:ascii="Times New Roman" w:hAnsi="Times New Roman" w:cs="Times New Roman"/>
          <w:color w:val="auto"/>
          <w:sz w:val="24"/>
          <w:szCs w:val="24"/>
          <w:lang w:val="sr-Cyrl-RS"/>
        </w:rPr>
        <w:t>3</w:t>
      </w:r>
      <w:r w:rsidR="007F4053">
        <w:rPr>
          <w:rFonts w:ascii="Times New Roman" w:hAnsi="Times New Roman" w:cs="Times New Roman"/>
          <w:color w:val="auto"/>
          <w:sz w:val="24"/>
          <w:szCs w:val="24"/>
        </w:rPr>
        <w:t>)</w:t>
      </w:r>
      <w:r w:rsidR="00D47553">
        <w:rPr>
          <w:rFonts w:ascii="Times New Roman" w:hAnsi="Times New Roman" w:cs="Times New Roman"/>
          <w:color w:val="auto"/>
          <w:sz w:val="24"/>
          <w:szCs w:val="24"/>
        </w:rPr>
        <w:t>,</w:t>
      </w:r>
      <w:r w:rsidR="003A50AF">
        <w:rPr>
          <w:rFonts w:ascii="Times New Roman" w:hAnsi="Times New Roman" w:cs="Times New Roman"/>
          <w:color w:val="auto"/>
          <w:sz w:val="24"/>
          <w:szCs w:val="24"/>
        </w:rPr>
        <w:t xml:space="preserve"> што одговара нивоу учешћа из истог периода претходне године</w:t>
      </w:r>
      <w:r w:rsidR="007F4053">
        <w:rPr>
          <w:rFonts w:ascii="Times New Roman" w:hAnsi="Times New Roman" w:cs="Times New Roman"/>
          <w:color w:val="auto"/>
          <w:sz w:val="24"/>
          <w:szCs w:val="24"/>
        </w:rPr>
        <w:t xml:space="preserve">. </w:t>
      </w:r>
      <w:r w:rsidR="00114215">
        <w:rPr>
          <w:rFonts w:ascii="Times New Roman" w:hAnsi="Times New Roman" w:cs="Times New Roman"/>
          <w:color w:val="000000" w:themeColor="text1"/>
          <w:sz w:val="24"/>
          <w:szCs w:val="24"/>
          <w:lang w:val="sr"/>
        </w:rPr>
        <w:t xml:space="preserve">Посматрано по броју уговора, међу набавкама изузетим од примене ЗЈН </w:t>
      </w:r>
      <w:r w:rsidR="004A6BBD" w:rsidRPr="00881DBE">
        <w:rPr>
          <w:rFonts w:ascii="Times New Roman" w:hAnsi="Times New Roman" w:cs="Times New Roman"/>
          <w:color w:val="auto"/>
          <w:sz w:val="24"/>
          <w:szCs w:val="24"/>
          <w:lang w:val="sr"/>
        </w:rPr>
        <w:t>са 7</w:t>
      </w:r>
      <w:r w:rsidR="00C3428D" w:rsidRPr="00881DBE">
        <w:rPr>
          <w:rFonts w:ascii="Times New Roman" w:hAnsi="Times New Roman" w:cs="Times New Roman"/>
          <w:color w:val="auto"/>
          <w:sz w:val="24"/>
          <w:szCs w:val="24"/>
          <w:lang w:val="sr-Cyrl-RS"/>
        </w:rPr>
        <w:t>4</w:t>
      </w:r>
      <w:r w:rsidR="00B960E8" w:rsidRPr="00881DBE">
        <w:rPr>
          <w:rFonts w:ascii="Times New Roman" w:hAnsi="Times New Roman" w:cs="Times New Roman"/>
          <w:color w:val="auto"/>
          <w:sz w:val="24"/>
          <w:szCs w:val="24"/>
          <w:lang w:val="sr"/>
        </w:rPr>
        <w:t xml:space="preserve">% </w:t>
      </w:r>
      <w:r w:rsidR="00B960E8">
        <w:rPr>
          <w:rFonts w:ascii="Times New Roman" w:hAnsi="Times New Roman" w:cs="Times New Roman"/>
          <w:color w:val="000000" w:themeColor="text1"/>
          <w:sz w:val="24"/>
          <w:szCs w:val="24"/>
          <w:lang w:val="sr"/>
        </w:rPr>
        <w:t xml:space="preserve">учешћа </w:t>
      </w:r>
      <w:r w:rsidR="00114215">
        <w:rPr>
          <w:rFonts w:ascii="Times New Roman" w:hAnsi="Times New Roman" w:cs="Times New Roman"/>
          <w:color w:val="000000" w:themeColor="text1"/>
          <w:sz w:val="24"/>
          <w:szCs w:val="24"/>
          <w:lang w:val="sr"/>
        </w:rPr>
        <w:t xml:space="preserve">доминирају оне чија је вредност </w:t>
      </w:r>
      <w:r w:rsidR="00B960E8">
        <w:rPr>
          <w:rFonts w:ascii="Times New Roman" w:hAnsi="Times New Roman" w:cs="Times New Roman"/>
          <w:color w:val="000000" w:themeColor="text1"/>
          <w:sz w:val="24"/>
          <w:szCs w:val="24"/>
          <w:lang w:val="sr"/>
        </w:rPr>
        <w:t xml:space="preserve">била </w:t>
      </w:r>
      <w:r w:rsidR="00114215">
        <w:rPr>
          <w:rFonts w:ascii="Times New Roman" w:hAnsi="Times New Roman" w:cs="Times New Roman"/>
          <w:color w:val="000000" w:themeColor="text1"/>
          <w:sz w:val="24"/>
          <w:szCs w:val="24"/>
          <w:lang w:val="sr"/>
        </w:rPr>
        <w:t>испод 500.000 динара на годишњем нивоу</w:t>
      </w:r>
      <w:r w:rsidR="00B960E8">
        <w:rPr>
          <w:rFonts w:ascii="Times New Roman" w:hAnsi="Times New Roman" w:cs="Times New Roman"/>
          <w:color w:val="000000" w:themeColor="text1"/>
          <w:sz w:val="24"/>
          <w:szCs w:val="24"/>
          <w:lang w:val="sr"/>
        </w:rPr>
        <w:t xml:space="preserve"> (Табела 1</w:t>
      </w:r>
      <w:r w:rsidR="003213E9">
        <w:rPr>
          <w:rFonts w:ascii="Times New Roman" w:hAnsi="Times New Roman" w:cs="Times New Roman"/>
          <w:color w:val="000000" w:themeColor="text1"/>
          <w:sz w:val="24"/>
          <w:szCs w:val="24"/>
          <w:lang w:val="sr-Cyrl-RS"/>
        </w:rPr>
        <w:t>4</w:t>
      </w:r>
      <w:r w:rsidR="00B960E8">
        <w:rPr>
          <w:rFonts w:ascii="Times New Roman" w:hAnsi="Times New Roman" w:cs="Times New Roman"/>
          <w:color w:val="000000" w:themeColor="text1"/>
          <w:sz w:val="24"/>
          <w:szCs w:val="24"/>
          <w:lang w:val="sr"/>
        </w:rPr>
        <w:t>)</w:t>
      </w:r>
      <w:r w:rsidR="00881DBE">
        <w:rPr>
          <w:rFonts w:ascii="Times New Roman" w:hAnsi="Times New Roman" w:cs="Times New Roman"/>
          <w:color w:val="000000" w:themeColor="text1"/>
          <w:sz w:val="24"/>
          <w:szCs w:val="24"/>
          <w:lang w:val="sr"/>
        </w:rPr>
        <w:t xml:space="preserve">.  </w:t>
      </w:r>
    </w:p>
    <w:p w14:paraId="409C9C2A" w14:textId="77777777" w:rsidR="00881DBE" w:rsidRPr="00881DBE" w:rsidRDefault="00881DBE" w:rsidP="00881DBE">
      <w:pPr>
        <w:autoSpaceDE w:val="0"/>
        <w:autoSpaceDN w:val="0"/>
        <w:adjustRightInd w:val="0"/>
        <w:spacing w:after="0"/>
        <w:jc w:val="both"/>
        <w:rPr>
          <w:rFonts w:ascii="Times New Roman" w:hAnsi="Times New Roman" w:cs="Times New Roman"/>
          <w:color w:val="000000" w:themeColor="text1"/>
          <w:sz w:val="24"/>
          <w:szCs w:val="24"/>
          <w:lang w:val="sr"/>
        </w:rPr>
      </w:pPr>
    </w:p>
    <w:p w14:paraId="13536352" w14:textId="77777777" w:rsidR="001960F4" w:rsidRPr="00881DBE" w:rsidRDefault="001960F4" w:rsidP="001960F4">
      <w:pPr>
        <w:jc w:val="both"/>
        <w:rPr>
          <w:rFonts w:ascii="Times New Roman" w:hAnsi="Times New Roman" w:cs="Times New Roman"/>
          <w:b/>
          <w:color w:val="auto"/>
          <w:sz w:val="24"/>
          <w:szCs w:val="24"/>
          <w:lang w:val="sr-Cyrl-RS"/>
        </w:rPr>
      </w:pPr>
      <w:r w:rsidRPr="00881DBE">
        <w:rPr>
          <w:rFonts w:ascii="Times New Roman" w:hAnsi="Times New Roman" w:cs="Times New Roman"/>
          <w:b/>
          <w:color w:val="auto"/>
          <w:sz w:val="24"/>
          <w:szCs w:val="24"/>
        </w:rPr>
        <w:t>Табел</w:t>
      </w:r>
      <w:r w:rsidR="003A50AF" w:rsidRPr="00881DBE">
        <w:rPr>
          <w:rFonts w:ascii="Times New Roman" w:hAnsi="Times New Roman" w:cs="Times New Roman"/>
          <w:b/>
          <w:color w:val="auto"/>
          <w:sz w:val="24"/>
          <w:szCs w:val="24"/>
        </w:rPr>
        <w:t xml:space="preserve">а </w:t>
      </w:r>
      <w:r w:rsidR="00FD2427" w:rsidRPr="00881DBE">
        <w:rPr>
          <w:rFonts w:ascii="Times New Roman" w:hAnsi="Times New Roman" w:cs="Times New Roman"/>
          <w:b/>
          <w:color w:val="auto"/>
          <w:sz w:val="24"/>
          <w:szCs w:val="24"/>
          <w:lang w:val="en-US"/>
        </w:rPr>
        <w:t>1</w:t>
      </w:r>
      <w:r w:rsidR="00953934" w:rsidRPr="00881DBE">
        <w:rPr>
          <w:rFonts w:ascii="Times New Roman" w:hAnsi="Times New Roman" w:cs="Times New Roman"/>
          <w:b/>
          <w:color w:val="auto"/>
          <w:sz w:val="24"/>
          <w:szCs w:val="24"/>
          <w:lang w:val="sr-Cyrl-RS"/>
        </w:rPr>
        <w:t>3</w:t>
      </w:r>
    </w:p>
    <w:tbl>
      <w:tblPr>
        <w:tblStyle w:val="TableGrid11"/>
        <w:tblW w:w="4890" w:type="pct"/>
        <w:jc w:val="center"/>
        <w:tblLook w:val="0000" w:firstRow="0" w:lastRow="0" w:firstColumn="0" w:lastColumn="0" w:noHBand="0" w:noVBand="0"/>
      </w:tblPr>
      <w:tblGrid>
        <w:gridCol w:w="2089"/>
        <w:gridCol w:w="1511"/>
        <w:gridCol w:w="1809"/>
        <w:gridCol w:w="1554"/>
        <w:gridCol w:w="1855"/>
      </w:tblGrid>
      <w:tr w:rsidR="008631D5" w:rsidRPr="00A7348C" w14:paraId="4619FA67" w14:textId="77777777" w:rsidTr="008631D5">
        <w:trPr>
          <w:trHeight w:val="500"/>
          <w:jc w:val="center"/>
        </w:trPr>
        <w:tc>
          <w:tcPr>
            <w:tcW w:w="5000" w:type="pct"/>
            <w:gridSpan w:val="5"/>
            <w:vAlign w:val="center"/>
          </w:tcPr>
          <w:p w14:paraId="01160DBF" w14:textId="77777777" w:rsidR="008631D5" w:rsidRPr="00A7348C" w:rsidRDefault="008631D5" w:rsidP="005A086B">
            <w:pPr>
              <w:jc w:val="center"/>
              <w:rPr>
                <w:rFonts w:ascii="Times New Roman" w:eastAsiaTheme="minorEastAsia" w:hAnsi="Times New Roman" w:cs="Times New Roman"/>
                <w:b/>
                <w:sz w:val="24"/>
                <w:szCs w:val="24"/>
                <w:lang w:val="sr-Cyrl-CS" w:eastAsia="uz-Cyrl-UZ"/>
              </w:rPr>
            </w:pPr>
            <w:r w:rsidRPr="00A7348C">
              <w:rPr>
                <w:rFonts w:ascii="Times New Roman" w:eastAsiaTheme="minorEastAsia" w:hAnsi="Times New Roman" w:cs="Times New Roman"/>
                <w:b/>
                <w:sz w:val="24"/>
                <w:szCs w:val="24"/>
                <w:lang w:eastAsia="uz-Cyrl-UZ"/>
              </w:rPr>
              <w:t>Преглед свих набавки у Републици</w:t>
            </w:r>
            <w:r>
              <w:rPr>
                <w:rFonts w:ascii="Times New Roman" w:eastAsiaTheme="minorEastAsia" w:hAnsi="Times New Roman" w:cs="Times New Roman"/>
                <w:b/>
                <w:sz w:val="24"/>
                <w:szCs w:val="24"/>
                <w:lang w:eastAsia="uz-Cyrl-UZ"/>
              </w:rPr>
              <w:t xml:space="preserve"> Србији у првом полугодишту 201</w:t>
            </w:r>
            <w:r w:rsidR="005A086B">
              <w:rPr>
                <w:rFonts w:ascii="Times New Roman" w:eastAsiaTheme="minorEastAsia" w:hAnsi="Times New Roman" w:cs="Times New Roman"/>
                <w:b/>
                <w:sz w:val="24"/>
                <w:szCs w:val="24"/>
                <w:lang w:val="en-US" w:eastAsia="uz-Cyrl-UZ"/>
              </w:rPr>
              <w:t>9</w:t>
            </w:r>
            <w:r w:rsidR="005A086B">
              <w:rPr>
                <w:rFonts w:ascii="Times New Roman" w:eastAsiaTheme="minorEastAsia" w:hAnsi="Times New Roman" w:cs="Times New Roman"/>
                <w:b/>
                <w:sz w:val="24"/>
                <w:szCs w:val="24"/>
                <w:lang w:eastAsia="uz-Cyrl-UZ"/>
              </w:rPr>
              <w:t>.</w:t>
            </w:r>
            <w:r w:rsidRPr="00A7348C">
              <w:rPr>
                <w:rFonts w:ascii="Times New Roman" w:eastAsiaTheme="minorEastAsia" w:hAnsi="Times New Roman" w:cs="Times New Roman"/>
                <w:b/>
                <w:sz w:val="24"/>
                <w:szCs w:val="24"/>
                <w:lang w:eastAsia="uz-Cyrl-UZ"/>
              </w:rPr>
              <w:t xml:space="preserve"> годин</w:t>
            </w:r>
            <w:r w:rsidRPr="00A7348C">
              <w:rPr>
                <w:rFonts w:ascii="Times New Roman" w:eastAsiaTheme="minorEastAsia" w:hAnsi="Times New Roman" w:cs="Times New Roman"/>
                <w:b/>
                <w:sz w:val="24"/>
                <w:szCs w:val="24"/>
                <w:lang w:val="sr-Cyrl-CS" w:eastAsia="uz-Cyrl-UZ"/>
              </w:rPr>
              <w:t>е</w:t>
            </w:r>
          </w:p>
        </w:tc>
      </w:tr>
      <w:tr w:rsidR="008631D5" w:rsidRPr="00A7348C" w14:paraId="1334B052" w14:textId="77777777" w:rsidTr="008631D5">
        <w:tblPrEx>
          <w:tblLook w:val="04A0" w:firstRow="1" w:lastRow="0" w:firstColumn="1" w:lastColumn="0" w:noHBand="0" w:noVBand="1"/>
        </w:tblPrEx>
        <w:trPr>
          <w:jc w:val="center"/>
        </w:trPr>
        <w:tc>
          <w:tcPr>
            <w:tcW w:w="1184" w:type="pct"/>
            <w:vMerge w:val="restart"/>
            <w:vAlign w:val="center"/>
          </w:tcPr>
          <w:p w14:paraId="6DA82D17" w14:textId="77777777" w:rsidR="008631D5" w:rsidRPr="00A7348C" w:rsidRDefault="008631D5" w:rsidP="008631D5">
            <w:pPr>
              <w:jc w:val="center"/>
              <w:rPr>
                <w:rFonts w:ascii="Times New Roman" w:eastAsiaTheme="minorEastAsia" w:hAnsi="Times New Roman" w:cs="Times New Roman"/>
                <w:b/>
                <w:sz w:val="24"/>
                <w:szCs w:val="24"/>
                <w:lang w:eastAsia="uz-Cyrl-UZ"/>
              </w:rPr>
            </w:pPr>
            <w:r w:rsidRPr="00A7348C">
              <w:rPr>
                <w:rFonts w:ascii="Times New Roman" w:eastAsiaTheme="minorEastAsia" w:hAnsi="Times New Roman" w:cs="Times New Roman"/>
                <w:b/>
                <w:sz w:val="24"/>
                <w:szCs w:val="24"/>
                <w:lang w:eastAsia="uz-Cyrl-UZ"/>
              </w:rPr>
              <w:t>Врста набавки</w:t>
            </w:r>
          </w:p>
        </w:tc>
        <w:tc>
          <w:tcPr>
            <w:tcW w:w="857" w:type="pct"/>
            <w:vMerge w:val="restart"/>
            <w:vAlign w:val="center"/>
          </w:tcPr>
          <w:p w14:paraId="67D6B155" w14:textId="77777777" w:rsidR="008631D5" w:rsidRPr="00A7348C" w:rsidRDefault="008631D5" w:rsidP="008631D5">
            <w:pPr>
              <w:jc w:val="center"/>
              <w:rPr>
                <w:rFonts w:ascii="Times New Roman" w:eastAsiaTheme="minorEastAsia" w:hAnsi="Times New Roman" w:cs="Times New Roman"/>
                <w:b/>
                <w:sz w:val="24"/>
                <w:szCs w:val="24"/>
                <w:lang w:eastAsia="uz-Cyrl-UZ"/>
              </w:rPr>
            </w:pPr>
            <w:r w:rsidRPr="00A7348C">
              <w:rPr>
                <w:rFonts w:ascii="Times New Roman" w:eastAsiaTheme="minorEastAsia" w:hAnsi="Times New Roman" w:cs="Times New Roman"/>
                <w:b/>
                <w:sz w:val="24"/>
                <w:szCs w:val="24"/>
                <w:lang w:eastAsia="uz-Cyrl-UZ"/>
              </w:rPr>
              <w:t>Укупан број уговора</w:t>
            </w:r>
          </w:p>
        </w:tc>
        <w:tc>
          <w:tcPr>
            <w:tcW w:w="1026" w:type="pct"/>
            <w:vMerge w:val="restart"/>
            <w:vAlign w:val="center"/>
          </w:tcPr>
          <w:p w14:paraId="325DEBF6" w14:textId="77777777" w:rsidR="008631D5" w:rsidRPr="00A7348C" w:rsidRDefault="008631D5" w:rsidP="008631D5">
            <w:pPr>
              <w:jc w:val="center"/>
              <w:rPr>
                <w:rFonts w:ascii="Times New Roman" w:eastAsiaTheme="minorEastAsia" w:hAnsi="Times New Roman" w:cs="Times New Roman"/>
                <w:b/>
                <w:sz w:val="24"/>
                <w:szCs w:val="24"/>
                <w:lang w:eastAsia="uz-Cyrl-UZ"/>
              </w:rPr>
            </w:pPr>
            <w:r w:rsidRPr="00A7348C">
              <w:rPr>
                <w:rFonts w:ascii="Times New Roman" w:eastAsiaTheme="minorEastAsia" w:hAnsi="Times New Roman" w:cs="Times New Roman"/>
                <w:b/>
                <w:sz w:val="24"/>
                <w:szCs w:val="24"/>
                <w:lang w:eastAsia="uz-Cyrl-UZ"/>
              </w:rPr>
              <w:t>Укупна уговорена вредност*</w:t>
            </w:r>
          </w:p>
        </w:tc>
        <w:tc>
          <w:tcPr>
            <w:tcW w:w="1933" w:type="pct"/>
            <w:gridSpan w:val="2"/>
            <w:vAlign w:val="center"/>
          </w:tcPr>
          <w:p w14:paraId="58320D4A" w14:textId="77777777" w:rsidR="008631D5" w:rsidRPr="00A7348C" w:rsidRDefault="008631D5" w:rsidP="008631D5">
            <w:pPr>
              <w:jc w:val="center"/>
              <w:rPr>
                <w:rFonts w:ascii="Times New Roman" w:eastAsiaTheme="minorEastAsia" w:hAnsi="Times New Roman" w:cs="Times New Roman"/>
                <w:b/>
                <w:sz w:val="24"/>
                <w:szCs w:val="24"/>
                <w:lang w:eastAsia="uz-Cyrl-UZ"/>
              </w:rPr>
            </w:pPr>
            <w:r w:rsidRPr="00A7348C">
              <w:rPr>
                <w:rFonts w:ascii="Times New Roman" w:eastAsiaTheme="minorEastAsia" w:hAnsi="Times New Roman" w:cs="Times New Roman"/>
                <w:b/>
                <w:sz w:val="24"/>
                <w:szCs w:val="24"/>
                <w:lang w:eastAsia="uz-Cyrl-UZ"/>
              </w:rPr>
              <w:t>Заступљеност у свим набавкама</w:t>
            </w:r>
          </w:p>
        </w:tc>
      </w:tr>
      <w:tr w:rsidR="008631D5" w:rsidRPr="00A7348C" w14:paraId="399D97FB" w14:textId="77777777" w:rsidTr="008631D5">
        <w:tblPrEx>
          <w:tblLook w:val="04A0" w:firstRow="1" w:lastRow="0" w:firstColumn="1" w:lastColumn="0" w:noHBand="0" w:noVBand="1"/>
        </w:tblPrEx>
        <w:trPr>
          <w:jc w:val="center"/>
        </w:trPr>
        <w:tc>
          <w:tcPr>
            <w:tcW w:w="1184" w:type="pct"/>
            <w:vMerge/>
            <w:vAlign w:val="center"/>
          </w:tcPr>
          <w:p w14:paraId="675CE47F" w14:textId="77777777" w:rsidR="008631D5" w:rsidRPr="00A7348C" w:rsidRDefault="008631D5" w:rsidP="008631D5">
            <w:pPr>
              <w:jc w:val="center"/>
              <w:rPr>
                <w:rFonts w:ascii="Times New Roman" w:eastAsiaTheme="minorEastAsia" w:hAnsi="Times New Roman" w:cs="Times New Roman"/>
                <w:b/>
                <w:sz w:val="24"/>
                <w:szCs w:val="24"/>
                <w:lang w:eastAsia="uz-Cyrl-UZ"/>
              </w:rPr>
            </w:pPr>
          </w:p>
        </w:tc>
        <w:tc>
          <w:tcPr>
            <w:tcW w:w="857" w:type="pct"/>
            <w:vMerge/>
            <w:vAlign w:val="center"/>
          </w:tcPr>
          <w:p w14:paraId="71B6CA81" w14:textId="77777777" w:rsidR="008631D5" w:rsidRPr="00A7348C" w:rsidRDefault="008631D5" w:rsidP="008631D5">
            <w:pPr>
              <w:jc w:val="center"/>
              <w:rPr>
                <w:rFonts w:ascii="Times New Roman" w:eastAsiaTheme="minorEastAsia" w:hAnsi="Times New Roman" w:cs="Times New Roman"/>
                <w:b/>
                <w:sz w:val="24"/>
                <w:szCs w:val="24"/>
                <w:lang w:eastAsia="uz-Cyrl-UZ"/>
              </w:rPr>
            </w:pPr>
          </w:p>
        </w:tc>
        <w:tc>
          <w:tcPr>
            <w:tcW w:w="1026" w:type="pct"/>
            <w:vMerge/>
            <w:vAlign w:val="center"/>
          </w:tcPr>
          <w:p w14:paraId="0C83A60F" w14:textId="77777777" w:rsidR="008631D5" w:rsidRPr="00A7348C" w:rsidRDefault="008631D5" w:rsidP="008631D5">
            <w:pPr>
              <w:jc w:val="center"/>
              <w:rPr>
                <w:rFonts w:ascii="Times New Roman" w:eastAsiaTheme="minorEastAsia" w:hAnsi="Times New Roman" w:cs="Times New Roman"/>
                <w:b/>
                <w:sz w:val="24"/>
                <w:szCs w:val="24"/>
                <w:lang w:eastAsia="uz-Cyrl-UZ"/>
              </w:rPr>
            </w:pPr>
          </w:p>
        </w:tc>
        <w:tc>
          <w:tcPr>
            <w:tcW w:w="881" w:type="pct"/>
            <w:vAlign w:val="center"/>
          </w:tcPr>
          <w:p w14:paraId="31865635" w14:textId="77777777" w:rsidR="008631D5" w:rsidRPr="00A7348C" w:rsidRDefault="008631D5" w:rsidP="008631D5">
            <w:pPr>
              <w:jc w:val="center"/>
              <w:rPr>
                <w:rFonts w:ascii="Times New Roman" w:eastAsiaTheme="minorEastAsia" w:hAnsi="Times New Roman" w:cs="Times New Roman"/>
                <w:b/>
                <w:sz w:val="24"/>
                <w:szCs w:val="24"/>
                <w:lang w:eastAsia="uz-Cyrl-UZ"/>
              </w:rPr>
            </w:pPr>
            <w:r w:rsidRPr="00A7348C">
              <w:rPr>
                <w:rFonts w:ascii="Times New Roman" w:eastAsiaTheme="minorEastAsia" w:hAnsi="Times New Roman" w:cs="Times New Roman"/>
                <w:b/>
                <w:sz w:val="24"/>
                <w:szCs w:val="24"/>
                <w:lang w:eastAsia="uz-Cyrl-UZ"/>
              </w:rPr>
              <w:t>По броју</w:t>
            </w:r>
          </w:p>
          <w:p w14:paraId="09A5F10B" w14:textId="77777777" w:rsidR="008631D5" w:rsidRPr="00A7348C" w:rsidRDefault="008631D5" w:rsidP="008631D5">
            <w:pPr>
              <w:jc w:val="center"/>
              <w:rPr>
                <w:rFonts w:ascii="Times New Roman" w:eastAsiaTheme="minorEastAsia" w:hAnsi="Times New Roman" w:cs="Times New Roman"/>
                <w:b/>
                <w:sz w:val="24"/>
                <w:szCs w:val="24"/>
                <w:lang w:eastAsia="uz-Cyrl-UZ"/>
              </w:rPr>
            </w:pPr>
            <w:r w:rsidRPr="00A7348C">
              <w:rPr>
                <w:rFonts w:ascii="Times New Roman" w:eastAsiaTheme="minorEastAsia" w:hAnsi="Times New Roman" w:cs="Times New Roman"/>
                <w:b/>
                <w:sz w:val="24"/>
                <w:szCs w:val="24"/>
                <w:lang w:eastAsia="uz-Cyrl-UZ"/>
              </w:rPr>
              <w:t xml:space="preserve"> (у %)</w:t>
            </w:r>
          </w:p>
        </w:tc>
        <w:tc>
          <w:tcPr>
            <w:tcW w:w="1052" w:type="pct"/>
            <w:vAlign w:val="center"/>
          </w:tcPr>
          <w:p w14:paraId="3E1CF8E8" w14:textId="77777777" w:rsidR="008631D5" w:rsidRPr="00A7348C" w:rsidRDefault="008631D5" w:rsidP="008631D5">
            <w:pPr>
              <w:jc w:val="center"/>
              <w:rPr>
                <w:rFonts w:ascii="Times New Roman" w:eastAsiaTheme="minorEastAsia" w:hAnsi="Times New Roman" w:cs="Times New Roman"/>
                <w:b/>
                <w:sz w:val="24"/>
                <w:szCs w:val="24"/>
                <w:lang w:eastAsia="uz-Cyrl-UZ"/>
              </w:rPr>
            </w:pPr>
            <w:r w:rsidRPr="00A7348C">
              <w:rPr>
                <w:rFonts w:ascii="Times New Roman" w:eastAsiaTheme="minorEastAsia" w:hAnsi="Times New Roman" w:cs="Times New Roman"/>
                <w:b/>
                <w:sz w:val="24"/>
                <w:szCs w:val="24"/>
                <w:lang w:eastAsia="uz-Cyrl-UZ"/>
              </w:rPr>
              <w:t xml:space="preserve">По вредности </w:t>
            </w:r>
          </w:p>
          <w:p w14:paraId="7885A1D0" w14:textId="77777777" w:rsidR="008631D5" w:rsidRPr="00A7348C" w:rsidRDefault="008631D5" w:rsidP="008631D5">
            <w:pPr>
              <w:jc w:val="center"/>
              <w:rPr>
                <w:rFonts w:ascii="Times New Roman" w:eastAsiaTheme="minorEastAsia" w:hAnsi="Times New Roman" w:cs="Times New Roman"/>
                <w:b/>
                <w:sz w:val="24"/>
                <w:szCs w:val="24"/>
                <w:lang w:eastAsia="uz-Cyrl-UZ"/>
              </w:rPr>
            </w:pPr>
            <w:r w:rsidRPr="00A7348C">
              <w:rPr>
                <w:rFonts w:ascii="Times New Roman" w:eastAsiaTheme="minorEastAsia" w:hAnsi="Times New Roman" w:cs="Times New Roman"/>
                <w:b/>
                <w:sz w:val="24"/>
                <w:szCs w:val="24"/>
                <w:lang w:eastAsia="uz-Cyrl-UZ"/>
              </w:rPr>
              <w:t>(у %)</w:t>
            </w:r>
          </w:p>
        </w:tc>
      </w:tr>
      <w:tr w:rsidR="008631D5" w:rsidRPr="00A7348C" w14:paraId="600843D7" w14:textId="77777777" w:rsidTr="008631D5">
        <w:tblPrEx>
          <w:tblLook w:val="04A0" w:firstRow="1" w:lastRow="0" w:firstColumn="1" w:lastColumn="0" w:noHBand="0" w:noVBand="1"/>
        </w:tblPrEx>
        <w:trPr>
          <w:jc w:val="center"/>
        </w:trPr>
        <w:tc>
          <w:tcPr>
            <w:tcW w:w="1184" w:type="pct"/>
            <w:vAlign w:val="center"/>
          </w:tcPr>
          <w:p w14:paraId="6DDC55EB" w14:textId="77777777" w:rsidR="008631D5" w:rsidRPr="00D968B8" w:rsidRDefault="008631D5" w:rsidP="008631D5">
            <w:pPr>
              <w:jc w:val="center"/>
              <w:rPr>
                <w:rFonts w:ascii="Times New Roman" w:eastAsiaTheme="minorEastAsia" w:hAnsi="Times New Roman" w:cs="Times New Roman"/>
                <w:b/>
                <w:sz w:val="24"/>
                <w:szCs w:val="24"/>
                <w:lang w:val="sr-Cyrl-RS" w:eastAsia="uz-Cyrl-UZ"/>
              </w:rPr>
            </w:pPr>
            <w:r>
              <w:rPr>
                <w:rFonts w:ascii="Times New Roman" w:eastAsiaTheme="minorEastAsia" w:hAnsi="Times New Roman" w:cs="Times New Roman"/>
                <w:b/>
                <w:sz w:val="24"/>
                <w:szCs w:val="24"/>
                <w:lang w:val="sr-Cyrl-RS" w:eastAsia="uz-Cyrl-UZ"/>
              </w:rPr>
              <w:t>Јавне набавке</w:t>
            </w:r>
          </w:p>
        </w:tc>
        <w:tc>
          <w:tcPr>
            <w:tcW w:w="857" w:type="pct"/>
            <w:vAlign w:val="center"/>
          </w:tcPr>
          <w:p w14:paraId="38D8FB21" w14:textId="77777777" w:rsidR="008631D5" w:rsidRPr="00881DBE" w:rsidRDefault="005A086B" w:rsidP="008631D5">
            <w:pPr>
              <w:jc w:val="center"/>
              <w:rPr>
                <w:rFonts w:ascii="Times New Roman" w:eastAsiaTheme="minorEastAsia" w:hAnsi="Times New Roman" w:cs="Times New Roman"/>
                <w:sz w:val="24"/>
                <w:szCs w:val="24"/>
                <w:lang w:val="en-US" w:eastAsia="uz-Cyrl-UZ"/>
              </w:rPr>
            </w:pPr>
            <w:r w:rsidRPr="00881DBE">
              <w:rPr>
                <w:rFonts w:ascii="Times New Roman" w:eastAsiaTheme="minorEastAsia" w:hAnsi="Times New Roman" w:cs="Times New Roman"/>
                <w:sz w:val="24"/>
                <w:szCs w:val="24"/>
                <w:lang w:val="en-US" w:eastAsia="uz-Cyrl-UZ"/>
              </w:rPr>
              <w:t>60.696</w:t>
            </w:r>
          </w:p>
        </w:tc>
        <w:tc>
          <w:tcPr>
            <w:tcW w:w="1026" w:type="pct"/>
            <w:vAlign w:val="center"/>
          </w:tcPr>
          <w:p w14:paraId="7726E40C" w14:textId="77777777" w:rsidR="008631D5" w:rsidRPr="00881DBE" w:rsidRDefault="005A086B" w:rsidP="008631D5">
            <w:pPr>
              <w:jc w:val="center"/>
              <w:rPr>
                <w:rFonts w:ascii="Times New Roman" w:eastAsiaTheme="minorEastAsia" w:hAnsi="Times New Roman" w:cs="Times New Roman"/>
                <w:sz w:val="24"/>
                <w:szCs w:val="24"/>
                <w:lang w:val="en-US" w:eastAsia="uz-Cyrl-UZ"/>
              </w:rPr>
            </w:pPr>
            <w:r w:rsidRPr="00881DBE">
              <w:rPr>
                <w:rFonts w:ascii="Times New Roman" w:eastAsia="Times New Roman" w:hAnsi="Times New Roman" w:cs="Times New Roman"/>
                <w:sz w:val="24"/>
                <w:szCs w:val="24"/>
                <w:lang w:val="en-US"/>
              </w:rPr>
              <w:t>217.276.719</w:t>
            </w:r>
          </w:p>
        </w:tc>
        <w:tc>
          <w:tcPr>
            <w:tcW w:w="881" w:type="pct"/>
            <w:vAlign w:val="center"/>
          </w:tcPr>
          <w:p w14:paraId="2A079001" w14:textId="77777777" w:rsidR="008631D5" w:rsidRPr="00881DBE" w:rsidRDefault="008631D5" w:rsidP="00D10A3D">
            <w:pPr>
              <w:jc w:val="center"/>
              <w:rPr>
                <w:rFonts w:ascii="Times New Roman" w:eastAsiaTheme="minorEastAsia" w:hAnsi="Times New Roman" w:cs="Times New Roman"/>
                <w:sz w:val="24"/>
                <w:szCs w:val="24"/>
                <w:lang w:val="en-US" w:eastAsia="uz-Cyrl-UZ"/>
              </w:rPr>
            </w:pPr>
            <w:r w:rsidRPr="00881DBE">
              <w:rPr>
                <w:rFonts w:ascii="Times New Roman" w:eastAsiaTheme="minorEastAsia" w:hAnsi="Times New Roman" w:cs="Times New Roman"/>
                <w:sz w:val="24"/>
                <w:szCs w:val="24"/>
                <w:lang w:val="sr-Cyrl-RS" w:eastAsia="uz-Cyrl-UZ"/>
              </w:rPr>
              <w:t>2</w:t>
            </w:r>
            <w:r w:rsidR="00D10A3D" w:rsidRPr="00881DBE">
              <w:rPr>
                <w:rFonts w:ascii="Times New Roman" w:eastAsiaTheme="minorEastAsia" w:hAnsi="Times New Roman" w:cs="Times New Roman"/>
                <w:sz w:val="24"/>
                <w:szCs w:val="24"/>
                <w:lang w:val="en-US" w:eastAsia="uz-Cyrl-UZ"/>
              </w:rPr>
              <w:t>5</w:t>
            </w:r>
          </w:p>
        </w:tc>
        <w:tc>
          <w:tcPr>
            <w:tcW w:w="1052" w:type="pct"/>
            <w:vAlign w:val="center"/>
          </w:tcPr>
          <w:p w14:paraId="7F2C42B6" w14:textId="77777777" w:rsidR="008631D5" w:rsidRPr="00881DBE" w:rsidRDefault="00D10A3D" w:rsidP="008631D5">
            <w:pPr>
              <w:jc w:val="center"/>
              <w:rPr>
                <w:rFonts w:ascii="Times New Roman" w:eastAsiaTheme="minorEastAsia" w:hAnsi="Times New Roman" w:cs="Times New Roman"/>
                <w:sz w:val="24"/>
                <w:szCs w:val="24"/>
                <w:lang w:val="en-US" w:eastAsia="uz-Cyrl-UZ"/>
              </w:rPr>
            </w:pPr>
            <w:r w:rsidRPr="00881DBE">
              <w:rPr>
                <w:rFonts w:ascii="Times New Roman" w:eastAsiaTheme="minorEastAsia" w:hAnsi="Times New Roman" w:cs="Times New Roman"/>
                <w:sz w:val="24"/>
                <w:szCs w:val="24"/>
                <w:lang w:val="en-US" w:eastAsia="uz-Cyrl-UZ"/>
              </w:rPr>
              <w:t>71</w:t>
            </w:r>
          </w:p>
        </w:tc>
      </w:tr>
      <w:tr w:rsidR="008631D5" w:rsidRPr="00A7348C" w14:paraId="2D19BD67" w14:textId="77777777" w:rsidTr="008631D5">
        <w:tblPrEx>
          <w:tblLook w:val="04A0" w:firstRow="1" w:lastRow="0" w:firstColumn="1" w:lastColumn="0" w:noHBand="0" w:noVBand="1"/>
        </w:tblPrEx>
        <w:trPr>
          <w:jc w:val="center"/>
        </w:trPr>
        <w:tc>
          <w:tcPr>
            <w:tcW w:w="1184" w:type="pct"/>
            <w:vAlign w:val="center"/>
          </w:tcPr>
          <w:p w14:paraId="381F7589" w14:textId="77777777" w:rsidR="008631D5" w:rsidRPr="00D968B8" w:rsidRDefault="008631D5" w:rsidP="008631D5">
            <w:pPr>
              <w:jc w:val="center"/>
              <w:rPr>
                <w:rFonts w:ascii="Times New Roman" w:eastAsiaTheme="minorEastAsia" w:hAnsi="Times New Roman" w:cs="Times New Roman"/>
                <w:b/>
                <w:sz w:val="24"/>
                <w:szCs w:val="24"/>
                <w:lang w:val="sr-Cyrl-RS" w:eastAsia="uz-Cyrl-UZ"/>
              </w:rPr>
            </w:pPr>
            <w:r>
              <w:rPr>
                <w:rFonts w:ascii="Times New Roman" w:eastAsiaTheme="minorEastAsia" w:hAnsi="Times New Roman" w:cs="Times New Roman"/>
                <w:b/>
                <w:sz w:val="24"/>
                <w:szCs w:val="24"/>
                <w:lang w:eastAsia="uz-Cyrl-UZ"/>
              </w:rPr>
              <w:t>Н</w:t>
            </w:r>
            <w:r w:rsidRPr="00A7348C">
              <w:rPr>
                <w:rFonts w:ascii="Times New Roman" w:eastAsiaTheme="minorEastAsia" w:hAnsi="Times New Roman" w:cs="Times New Roman"/>
                <w:b/>
                <w:sz w:val="24"/>
                <w:szCs w:val="24"/>
                <w:lang w:eastAsia="uz-Cyrl-UZ"/>
              </w:rPr>
              <w:t>абавке</w:t>
            </w:r>
            <w:r>
              <w:rPr>
                <w:rFonts w:ascii="Times New Roman" w:eastAsiaTheme="minorEastAsia" w:hAnsi="Times New Roman" w:cs="Times New Roman"/>
                <w:b/>
                <w:sz w:val="24"/>
                <w:szCs w:val="24"/>
                <w:lang w:val="sr-Cyrl-RS" w:eastAsia="uz-Cyrl-UZ"/>
              </w:rPr>
              <w:t xml:space="preserve"> изузете од закона</w:t>
            </w:r>
          </w:p>
        </w:tc>
        <w:tc>
          <w:tcPr>
            <w:tcW w:w="857" w:type="pct"/>
            <w:vAlign w:val="center"/>
          </w:tcPr>
          <w:p w14:paraId="29ECC7DC" w14:textId="77777777" w:rsidR="008631D5" w:rsidRPr="00881DBE" w:rsidRDefault="005A086B" w:rsidP="008631D5">
            <w:pPr>
              <w:jc w:val="center"/>
              <w:rPr>
                <w:rFonts w:ascii="Times New Roman" w:eastAsiaTheme="minorEastAsia" w:hAnsi="Times New Roman" w:cs="Times New Roman"/>
                <w:sz w:val="24"/>
                <w:szCs w:val="24"/>
                <w:lang w:val="en-US" w:eastAsia="uz-Cyrl-UZ"/>
              </w:rPr>
            </w:pPr>
            <w:r w:rsidRPr="00881DBE">
              <w:rPr>
                <w:rFonts w:ascii="Times New Roman" w:eastAsiaTheme="minorEastAsia" w:hAnsi="Times New Roman" w:cs="Times New Roman"/>
                <w:sz w:val="24"/>
                <w:szCs w:val="24"/>
                <w:lang w:val="en-US" w:eastAsia="uz-Cyrl-UZ"/>
              </w:rPr>
              <w:t>182.918</w:t>
            </w:r>
          </w:p>
        </w:tc>
        <w:tc>
          <w:tcPr>
            <w:tcW w:w="1026" w:type="pct"/>
            <w:vAlign w:val="center"/>
          </w:tcPr>
          <w:p w14:paraId="7BBC1A82" w14:textId="77777777" w:rsidR="008631D5" w:rsidRPr="00881DBE" w:rsidRDefault="005A086B" w:rsidP="008631D5">
            <w:pPr>
              <w:jc w:val="center"/>
              <w:rPr>
                <w:rFonts w:ascii="Times New Roman" w:eastAsiaTheme="minorEastAsia" w:hAnsi="Times New Roman" w:cs="Times New Roman"/>
                <w:sz w:val="24"/>
                <w:szCs w:val="24"/>
                <w:lang w:val="en-US" w:eastAsia="uz-Cyrl-UZ"/>
              </w:rPr>
            </w:pPr>
            <w:r w:rsidRPr="00881DBE">
              <w:rPr>
                <w:rFonts w:ascii="Times New Roman" w:eastAsiaTheme="minorEastAsia" w:hAnsi="Times New Roman" w:cs="Times New Roman"/>
                <w:sz w:val="24"/>
                <w:szCs w:val="24"/>
                <w:lang w:val="en-US" w:eastAsia="uz-Cyrl-UZ"/>
              </w:rPr>
              <w:t>89.918.307</w:t>
            </w:r>
          </w:p>
        </w:tc>
        <w:tc>
          <w:tcPr>
            <w:tcW w:w="881" w:type="pct"/>
            <w:vAlign w:val="center"/>
          </w:tcPr>
          <w:p w14:paraId="7A51FA63" w14:textId="77777777" w:rsidR="008631D5" w:rsidRPr="00881DBE" w:rsidRDefault="00D10A3D" w:rsidP="008631D5">
            <w:pPr>
              <w:jc w:val="center"/>
              <w:rPr>
                <w:rFonts w:ascii="Times New Roman" w:eastAsiaTheme="minorEastAsia" w:hAnsi="Times New Roman" w:cs="Times New Roman"/>
                <w:sz w:val="24"/>
                <w:szCs w:val="24"/>
                <w:lang w:val="en-US" w:eastAsia="uz-Cyrl-UZ"/>
              </w:rPr>
            </w:pPr>
            <w:r w:rsidRPr="00881DBE">
              <w:rPr>
                <w:rFonts w:ascii="Times New Roman" w:eastAsiaTheme="minorEastAsia" w:hAnsi="Times New Roman" w:cs="Times New Roman"/>
                <w:sz w:val="24"/>
                <w:szCs w:val="24"/>
                <w:lang w:val="en-US" w:eastAsia="uz-Cyrl-UZ"/>
              </w:rPr>
              <w:t>75</w:t>
            </w:r>
          </w:p>
        </w:tc>
        <w:tc>
          <w:tcPr>
            <w:tcW w:w="1052" w:type="pct"/>
            <w:vAlign w:val="center"/>
          </w:tcPr>
          <w:p w14:paraId="35FFB043" w14:textId="77777777" w:rsidR="008631D5" w:rsidRPr="00881DBE" w:rsidRDefault="00D10A3D" w:rsidP="008631D5">
            <w:pPr>
              <w:jc w:val="center"/>
              <w:rPr>
                <w:rFonts w:ascii="Times New Roman" w:eastAsiaTheme="minorEastAsia" w:hAnsi="Times New Roman" w:cs="Times New Roman"/>
                <w:sz w:val="24"/>
                <w:szCs w:val="24"/>
                <w:lang w:val="en-US" w:eastAsia="uz-Cyrl-UZ"/>
              </w:rPr>
            </w:pPr>
            <w:r w:rsidRPr="00881DBE">
              <w:rPr>
                <w:rFonts w:ascii="Times New Roman" w:eastAsiaTheme="minorEastAsia" w:hAnsi="Times New Roman" w:cs="Times New Roman"/>
                <w:sz w:val="24"/>
                <w:szCs w:val="24"/>
                <w:lang w:val="en-US" w:eastAsia="uz-Cyrl-UZ"/>
              </w:rPr>
              <w:t>29</w:t>
            </w:r>
          </w:p>
        </w:tc>
      </w:tr>
      <w:tr w:rsidR="008631D5" w:rsidRPr="00A7348C" w14:paraId="4AFFF1C8" w14:textId="77777777" w:rsidTr="008631D5">
        <w:tblPrEx>
          <w:tblLook w:val="04A0" w:firstRow="1" w:lastRow="0" w:firstColumn="1" w:lastColumn="0" w:noHBand="0" w:noVBand="1"/>
        </w:tblPrEx>
        <w:trPr>
          <w:jc w:val="center"/>
        </w:trPr>
        <w:tc>
          <w:tcPr>
            <w:tcW w:w="1184" w:type="pct"/>
            <w:vAlign w:val="center"/>
          </w:tcPr>
          <w:p w14:paraId="4F83E1B2" w14:textId="77777777" w:rsidR="008631D5" w:rsidRPr="00A7348C" w:rsidRDefault="008631D5" w:rsidP="008631D5">
            <w:pPr>
              <w:jc w:val="center"/>
              <w:rPr>
                <w:rFonts w:ascii="Times New Roman" w:eastAsiaTheme="minorEastAsia" w:hAnsi="Times New Roman" w:cs="Times New Roman"/>
                <w:b/>
                <w:sz w:val="24"/>
                <w:szCs w:val="24"/>
                <w:lang w:eastAsia="uz-Cyrl-UZ"/>
              </w:rPr>
            </w:pPr>
            <w:r w:rsidRPr="00A7348C">
              <w:rPr>
                <w:rFonts w:ascii="Times New Roman" w:eastAsiaTheme="minorEastAsia" w:hAnsi="Times New Roman" w:cs="Times New Roman"/>
                <w:b/>
                <w:sz w:val="24"/>
                <w:szCs w:val="24"/>
                <w:lang w:eastAsia="uz-Cyrl-UZ"/>
              </w:rPr>
              <w:t>Укупно</w:t>
            </w:r>
          </w:p>
        </w:tc>
        <w:tc>
          <w:tcPr>
            <w:tcW w:w="857" w:type="pct"/>
            <w:vAlign w:val="center"/>
          </w:tcPr>
          <w:p w14:paraId="11765C3C" w14:textId="77777777" w:rsidR="008631D5" w:rsidRPr="00881DBE" w:rsidRDefault="005A086B" w:rsidP="008631D5">
            <w:pPr>
              <w:jc w:val="center"/>
              <w:rPr>
                <w:rFonts w:ascii="Times New Roman" w:eastAsiaTheme="minorEastAsia" w:hAnsi="Times New Roman" w:cs="Times New Roman"/>
                <w:b/>
                <w:sz w:val="24"/>
                <w:szCs w:val="24"/>
                <w:lang w:val="en-US" w:eastAsia="uz-Cyrl-UZ"/>
              </w:rPr>
            </w:pPr>
            <w:r w:rsidRPr="00881DBE">
              <w:rPr>
                <w:rFonts w:ascii="Times New Roman" w:eastAsiaTheme="minorEastAsia" w:hAnsi="Times New Roman" w:cs="Times New Roman"/>
                <w:b/>
                <w:sz w:val="24"/>
                <w:szCs w:val="24"/>
                <w:lang w:val="en-US" w:eastAsia="uz-Cyrl-UZ"/>
              </w:rPr>
              <w:t>243.614</w:t>
            </w:r>
          </w:p>
        </w:tc>
        <w:tc>
          <w:tcPr>
            <w:tcW w:w="1026" w:type="pct"/>
            <w:vAlign w:val="center"/>
          </w:tcPr>
          <w:p w14:paraId="04BD12DD" w14:textId="77777777" w:rsidR="008631D5" w:rsidRPr="00881DBE" w:rsidRDefault="00D10A3D" w:rsidP="008631D5">
            <w:pPr>
              <w:jc w:val="center"/>
              <w:rPr>
                <w:rFonts w:ascii="Times New Roman" w:eastAsiaTheme="minorEastAsia" w:hAnsi="Times New Roman" w:cs="Times New Roman"/>
                <w:b/>
                <w:sz w:val="24"/>
                <w:szCs w:val="24"/>
                <w:lang w:val="en-US" w:eastAsia="uz-Cyrl-UZ"/>
              </w:rPr>
            </w:pPr>
            <w:r w:rsidRPr="00881DBE">
              <w:rPr>
                <w:rFonts w:ascii="Times New Roman" w:eastAsiaTheme="minorEastAsia" w:hAnsi="Times New Roman" w:cs="Times New Roman"/>
                <w:b/>
                <w:sz w:val="24"/>
                <w:szCs w:val="24"/>
                <w:lang w:val="en-US" w:eastAsia="uz-Cyrl-UZ"/>
              </w:rPr>
              <w:t>307.195.026</w:t>
            </w:r>
          </w:p>
        </w:tc>
        <w:tc>
          <w:tcPr>
            <w:tcW w:w="881" w:type="pct"/>
            <w:vAlign w:val="center"/>
          </w:tcPr>
          <w:p w14:paraId="64894A13" w14:textId="77777777" w:rsidR="008631D5" w:rsidRPr="00881DBE" w:rsidRDefault="008631D5" w:rsidP="008631D5">
            <w:pPr>
              <w:jc w:val="center"/>
              <w:rPr>
                <w:rFonts w:ascii="Times New Roman" w:eastAsiaTheme="minorEastAsia" w:hAnsi="Times New Roman" w:cs="Times New Roman"/>
                <w:b/>
                <w:sz w:val="24"/>
                <w:szCs w:val="24"/>
                <w:lang w:val="sr-Cyrl-RS" w:eastAsia="uz-Cyrl-UZ"/>
              </w:rPr>
            </w:pPr>
            <w:r w:rsidRPr="00881DBE">
              <w:rPr>
                <w:rFonts w:ascii="Times New Roman" w:eastAsiaTheme="minorEastAsia" w:hAnsi="Times New Roman" w:cs="Times New Roman"/>
                <w:b/>
                <w:sz w:val="24"/>
                <w:szCs w:val="24"/>
                <w:lang w:val="sr-Cyrl-RS" w:eastAsia="uz-Cyrl-UZ"/>
              </w:rPr>
              <w:t>100</w:t>
            </w:r>
          </w:p>
        </w:tc>
        <w:tc>
          <w:tcPr>
            <w:tcW w:w="1052" w:type="pct"/>
            <w:vAlign w:val="center"/>
          </w:tcPr>
          <w:p w14:paraId="01EBB809" w14:textId="77777777" w:rsidR="008631D5" w:rsidRPr="00881DBE" w:rsidRDefault="008631D5" w:rsidP="008631D5">
            <w:pPr>
              <w:jc w:val="center"/>
              <w:rPr>
                <w:rFonts w:ascii="Times New Roman" w:eastAsiaTheme="minorEastAsia" w:hAnsi="Times New Roman" w:cs="Times New Roman"/>
                <w:b/>
                <w:sz w:val="24"/>
                <w:szCs w:val="24"/>
                <w:lang w:val="sr-Cyrl-RS" w:eastAsia="uz-Cyrl-UZ"/>
              </w:rPr>
            </w:pPr>
            <w:r w:rsidRPr="00881DBE">
              <w:rPr>
                <w:rFonts w:ascii="Times New Roman" w:eastAsiaTheme="minorEastAsia" w:hAnsi="Times New Roman" w:cs="Times New Roman"/>
                <w:b/>
                <w:sz w:val="24"/>
                <w:szCs w:val="24"/>
                <w:lang w:val="sr-Cyrl-RS" w:eastAsia="uz-Cyrl-UZ"/>
              </w:rPr>
              <w:t>100</w:t>
            </w:r>
          </w:p>
        </w:tc>
      </w:tr>
    </w:tbl>
    <w:p w14:paraId="57EB6E8F" w14:textId="77777777" w:rsidR="001960F4" w:rsidRPr="009612B0" w:rsidRDefault="008631D5" w:rsidP="009612B0">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1960F4">
        <w:rPr>
          <w:rFonts w:ascii="Times New Roman" w:hAnsi="Times New Roman" w:cs="Times New Roman"/>
          <w:sz w:val="24"/>
          <w:szCs w:val="24"/>
        </w:rPr>
        <w:t>*В</w:t>
      </w:r>
      <w:r w:rsidR="001960F4" w:rsidRPr="005E5329">
        <w:rPr>
          <w:rFonts w:ascii="Times New Roman" w:hAnsi="Times New Roman" w:cs="Times New Roman"/>
          <w:sz w:val="24"/>
          <w:szCs w:val="24"/>
        </w:rPr>
        <w:t>редности су изражене у хиљадама динара</w:t>
      </w:r>
    </w:p>
    <w:p w14:paraId="769FE6E8" w14:textId="24E774D2" w:rsidR="008631D5" w:rsidRDefault="008631D5" w:rsidP="008631D5">
      <w:pPr>
        <w:autoSpaceDE w:val="0"/>
        <w:autoSpaceDN w:val="0"/>
        <w:adjustRightInd w:val="0"/>
        <w:spacing w:after="0"/>
        <w:jc w:val="both"/>
        <w:rPr>
          <w:rFonts w:ascii="Times New Roman" w:hAnsi="Times New Roman" w:cs="Times New Roman"/>
          <w:color w:val="auto"/>
          <w:sz w:val="24"/>
          <w:szCs w:val="24"/>
          <w:lang w:val="sr-Cyrl-RS"/>
        </w:rPr>
      </w:pPr>
      <w:r w:rsidRPr="00BB0D88">
        <w:rPr>
          <w:rFonts w:ascii="Times New Roman" w:hAnsi="Times New Roman" w:cs="Times New Roman"/>
          <w:color w:val="000000" w:themeColor="text1"/>
          <w:sz w:val="24"/>
          <w:szCs w:val="24"/>
        </w:rPr>
        <w:lastRenderedPageBreak/>
        <w:t xml:space="preserve">На основу структуре набавки на које се ЗЈН није </w:t>
      </w:r>
      <w:r w:rsidR="00A35D7B">
        <w:rPr>
          <w:rFonts w:ascii="Times New Roman" w:hAnsi="Times New Roman" w:cs="Times New Roman"/>
          <w:color w:val="000000" w:themeColor="text1"/>
          <w:sz w:val="24"/>
          <w:szCs w:val="24"/>
        </w:rPr>
        <w:t>примењивао приказане у Табели 1</w:t>
      </w:r>
      <w:r w:rsidR="00953934">
        <w:rPr>
          <w:rFonts w:ascii="Times New Roman" w:hAnsi="Times New Roman" w:cs="Times New Roman"/>
          <w:color w:val="000000" w:themeColor="text1"/>
          <w:sz w:val="24"/>
          <w:szCs w:val="24"/>
          <w:lang w:val="sr-Cyrl-RS"/>
        </w:rPr>
        <w:t>4</w:t>
      </w:r>
      <w:r w:rsidRPr="00BB0D88">
        <w:rPr>
          <w:rFonts w:ascii="Times New Roman" w:hAnsi="Times New Roman" w:cs="Times New Roman"/>
          <w:color w:val="000000" w:themeColor="text1"/>
          <w:sz w:val="24"/>
          <w:szCs w:val="24"/>
        </w:rPr>
        <w:t xml:space="preserve">, произлази да највеће учешће у укупној вредности изузетака чине набавке </w:t>
      </w:r>
      <w:r>
        <w:rPr>
          <w:rFonts w:ascii="Times New Roman" w:hAnsi="Times New Roman" w:cs="Times New Roman"/>
          <w:color w:val="000000" w:themeColor="text1"/>
          <w:sz w:val="24"/>
          <w:szCs w:val="24"/>
        </w:rPr>
        <w:t xml:space="preserve">наручилаца </w:t>
      </w:r>
      <w:r w:rsidRPr="00BB0D88">
        <w:rPr>
          <w:rFonts w:ascii="Times New Roman" w:hAnsi="Times New Roman" w:cs="Times New Roman"/>
          <w:color w:val="000000" w:themeColor="text1"/>
          <w:sz w:val="24"/>
          <w:szCs w:val="24"/>
        </w:rPr>
        <w:t xml:space="preserve"> на основу члана </w:t>
      </w:r>
      <w:r w:rsidR="00E34BDE">
        <w:rPr>
          <w:rFonts w:ascii="Times New Roman" w:hAnsi="Times New Roman" w:cs="Times New Roman"/>
          <w:color w:val="000000" w:themeColor="text1"/>
          <w:sz w:val="24"/>
          <w:szCs w:val="24"/>
          <w:lang w:val="sr-Cyrl-RS"/>
        </w:rPr>
        <w:t>122</w:t>
      </w:r>
      <w:r w:rsidRPr="00BB0D88">
        <w:rPr>
          <w:rFonts w:ascii="Times New Roman" w:hAnsi="Times New Roman" w:cs="Times New Roman"/>
          <w:color w:val="000000" w:themeColor="text1"/>
          <w:sz w:val="24"/>
          <w:szCs w:val="24"/>
        </w:rPr>
        <w:t xml:space="preserve">. став. </w:t>
      </w:r>
      <w:r w:rsidR="00E34BDE">
        <w:rPr>
          <w:rFonts w:ascii="Times New Roman" w:hAnsi="Times New Roman" w:cs="Times New Roman"/>
          <w:color w:val="000000" w:themeColor="text1"/>
          <w:sz w:val="24"/>
          <w:szCs w:val="24"/>
          <w:lang w:val="sr-Cyrl-RS"/>
        </w:rPr>
        <w:t>1</w:t>
      </w:r>
      <w:r w:rsidRPr="00BB0D88">
        <w:rPr>
          <w:rFonts w:ascii="Times New Roman" w:hAnsi="Times New Roman" w:cs="Times New Roman"/>
          <w:color w:val="000000" w:themeColor="text1"/>
          <w:sz w:val="24"/>
          <w:szCs w:val="24"/>
        </w:rPr>
        <w:t xml:space="preserve">. </w:t>
      </w:r>
      <w:r w:rsidR="00E34BDE">
        <w:rPr>
          <w:rFonts w:ascii="Times New Roman" w:hAnsi="Times New Roman" w:cs="Times New Roman"/>
          <w:color w:val="000000" w:themeColor="text1"/>
          <w:sz w:val="24"/>
          <w:szCs w:val="24"/>
          <w:lang w:val="sr-Cyrl-RS"/>
        </w:rPr>
        <w:t>тачка 4)</w:t>
      </w:r>
      <w:r w:rsidRPr="00BB0D88">
        <w:rPr>
          <w:rFonts w:ascii="Times New Roman" w:hAnsi="Times New Roman" w:cs="Times New Roman"/>
          <w:color w:val="000000" w:themeColor="text1"/>
          <w:sz w:val="24"/>
          <w:szCs w:val="24"/>
        </w:rPr>
        <w:t>, односно набавк</w:t>
      </w:r>
      <w:r w:rsidR="006A48C7">
        <w:rPr>
          <w:rFonts w:ascii="Times New Roman" w:hAnsi="Times New Roman" w:cs="Times New Roman"/>
          <w:color w:val="000000" w:themeColor="text1"/>
          <w:sz w:val="24"/>
          <w:szCs w:val="24"/>
          <w:lang w:val="sr-Cyrl-RS"/>
        </w:rPr>
        <w:t>е</w:t>
      </w:r>
      <w:r w:rsidR="00E34BDE">
        <w:rPr>
          <w:rFonts w:ascii="Times New Roman" w:hAnsi="Times New Roman" w:cs="Times New Roman"/>
          <w:color w:val="000000" w:themeColor="text1"/>
          <w:sz w:val="24"/>
          <w:szCs w:val="24"/>
          <w:lang w:val="sr-Cyrl-RS"/>
        </w:rPr>
        <w:t xml:space="preserve"> енергије или горива за производњу енергије</w:t>
      </w:r>
      <w:r w:rsidR="00E34BDE">
        <w:rPr>
          <w:rFonts w:ascii="Times New Roman" w:hAnsi="Times New Roman" w:cs="Times New Roman"/>
          <w:color w:val="000000" w:themeColor="text1"/>
          <w:sz w:val="24"/>
          <w:szCs w:val="24"/>
        </w:rPr>
        <w:t xml:space="preserve"> </w:t>
      </w:r>
      <w:r w:rsidR="006C24A0">
        <w:rPr>
          <w:rFonts w:ascii="Times New Roman" w:hAnsi="Times New Roman" w:cs="Times New Roman"/>
          <w:color w:val="000000" w:themeColor="text1"/>
          <w:sz w:val="24"/>
          <w:szCs w:val="24"/>
          <w:lang w:val="sr-Cyrl-CS"/>
        </w:rPr>
        <w:t xml:space="preserve">са </w:t>
      </w:r>
      <w:r w:rsidR="006C24A0" w:rsidRPr="00881DBE">
        <w:rPr>
          <w:rFonts w:ascii="Times New Roman" w:hAnsi="Times New Roman" w:cs="Times New Roman"/>
          <w:color w:val="auto"/>
          <w:sz w:val="24"/>
          <w:szCs w:val="24"/>
          <w:lang w:val="sr-Cyrl-CS"/>
        </w:rPr>
        <w:t>25% вредности</w:t>
      </w:r>
      <w:r w:rsidRPr="00881DBE">
        <w:rPr>
          <w:rFonts w:ascii="Times New Roman" w:hAnsi="Times New Roman" w:cs="Times New Roman"/>
          <w:color w:val="auto"/>
          <w:sz w:val="24"/>
          <w:szCs w:val="24"/>
          <w:lang w:val="sr-Cyrl-CS"/>
        </w:rPr>
        <w:t>.</w:t>
      </w:r>
      <w:r w:rsidRPr="00881DBE">
        <w:rPr>
          <w:rFonts w:ascii="Times New Roman" w:hAnsi="Times New Roman" w:cs="Times New Roman"/>
          <w:color w:val="auto"/>
          <w:sz w:val="24"/>
          <w:szCs w:val="24"/>
        </w:rPr>
        <w:t xml:space="preserve"> Следе набавке</w:t>
      </w:r>
      <w:r w:rsidR="00317259" w:rsidRPr="00881DBE">
        <w:rPr>
          <w:rFonts w:ascii="Times New Roman" w:hAnsi="Times New Roman" w:cs="Times New Roman"/>
          <w:color w:val="auto"/>
          <w:sz w:val="24"/>
          <w:szCs w:val="24"/>
          <w:lang w:val="en-US"/>
        </w:rPr>
        <w:t xml:space="preserve"> </w:t>
      </w:r>
      <w:r w:rsidR="00317259" w:rsidRPr="00881DBE">
        <w:rPr>
          <w:rFonts w:ascii="Times New Roman" w:hAnsi="Times New Roman" w:cs="Times New Roman"/>
          <w:color w:val="auto"/>
          <w:sz w:val="24"/>
          <w:szCs w:val="24"/>
          <w:lang w:val="sr-Cyrl-RS"/>
        </w:rPr>
        <w:t>које су изузете</w:t>
      </w:r>
      <w:r w:rsidRPr="00881DBE">
        <w:rPr>
          <w:rFonts w:ascii="Times New Roman" w:hAnsi="Times New Roman" w:cs="Times New Roman"/>
          <w:color w:val="auto"/>
          <w:sz w:val="24"/>
          <w:szCs w:val="24"/>
        </w:rPr>
        <w:t xml:space="preserve"> </w:t>
      </w:r>
      <w:r w:rsidR="00317259" w:rsidRPr="00881DBE">
        <w:rPr>
          <w:rFonts w:ascii="Times New Roman" w:hAnsi="Times New Roman" w:cs="Times New Roman"/>
          <w:color w:val="auto"/>
          <w:sz w:val="24"/>
          <w:szCs w:val="24"/>
          <w:lang w:val="sr-Cyrl-RS"/>
        </w:rPr>
        <w:t>на</w:t>
      </w:r>
      <w:r w:rsidRPr="00881DBE">
        <w:rPr>
          <w:rFonts w:ascii="Times New Roman" w:hAnsi="Times New Roman" w:cs="Times New Roman"/>
          <w:color w:val="auto"/>
          <w:sz w:val="24"/>
          <w:szCs w:val="24"/>
        </w:rPr>
        <w:t xml:space="preserve"> основу члана </w:t>
      </w:r>
      <w:r w:rsidR="00E34BDE" w:rsidRPr="00881DBE">
        <w:rPr>
          <w:rFonts w:ascii="Times New Roman" w:hAnsi="Times New Roman" w:cs="Times New Roman"/>
          <w:color w:val="auto"/>
          <w:sz w:val="24"/>
          <w:szCs w:val="24"/>
          <w:lang w:val="sr-Cyrl-RS"/>
        </w:rPr>
        <w:t>39</w:t>
      </w:r>
      <w:r w:rsidRPr="00881DBE">
        <w:rPr>
          <w:rFonts w:ascii="Times New Roman" w:hAnsi="Times New Roman" w:cs="Times New Roman"/>
          <w:color w:val="auto"/>
          <w:sz w:val="24"/>
          <w:szCs w:val="24"/>
        </w:rPr>
        <w:t xml:space="preserve">. став </w:t>
      </w:r>
      <w:r w:rsidR="00E34BDE" w:rsidRPr="00881DBE">
        <w:rPr>
          <w:rFonts w:ascii="Times New Roman" w:hAnsi="Times New Roman" w:cs="Times New Roman"/>
          <w:color w:val="auto"/>
          <w:sz w:val="24"/>
          <w:szCs w:val="24"/>
          <w:lang w:val="sr-Cyrl-RS"/>
        </w:rPr>
        <w:t>2</w:t>
      </w:r>
      <w:r w:rsidRPr="00881DBE">
        <w:rPr>
          <w:rFonts w:ascii="Times New Roman" w:hAnsi="Times New Roman" w:cs="Times New Roman"/>
          <w:color w:val="auto"/>
          <w:sz w:val="24"/>
          <w:szCs w:val="24"/>
        </w:rPr>
        <w:t xml:space="preserve">. ЗЈН, односно набавке </w:t>
      </w:r>
      <w:r w:rsidR="00E34BDE" w:rsidRPr="00881DBE">
        <w:rPr>
          <w:rFonts w:ascii="Times New Roman" w:hAnsi="Times New Roman" w:cs="Times New Roman"/>
          <w:color w:val="auto"/>
          <w:sz w:val="24"/>
          <w:szCs w:val="24"/>
          <w:lang w:val="sr-Cyrl-RS"/>
        </w:rPr>
        <w:t xml:space="preserve">испод доњег лимита за јавне </w:t>
      </w:r>
      <w:r w:rsidRPr="00881DBE">
        <w:rPr>
          <w:rFonts w:ascii="Times New Roman" w:hAnsi="Times New Roman" w:cs="Times New Roman"/>
          <w:color w:val="auto"/>
          <w:sz w:val="24"/>
          <w:szCs w:val="24"/>
        </w:rPr>
        <w:t xml:space="preserve"> набавке</w:t>
      </w:r>
      <w:r w:rsidR="00E34BDE" w:rsidRPr="00881DBE">
        <w:rPr>
          <w:rFonts w:ascii="Times New Roman" w:hAnsi="Times New Roman" w:cs="Times New Roman"/>
          <w:color w:val="auto"/>
          <w:sz w:val="24"/>
          <w:szCs w:val="24"/>
          <w:lang w:val="sr-Cyrl-RS"/>
        </w:rPr>
        <w:t xml:space="preserve"> мале вредности</w:t>
      </w:r>
      <w:r w:rsidRPr="00881DBE">
        <w:rPr>
          <w:rFonts w:ascii="Times New Roman" w:hAnsi="Times New Roman" w:cs="Times New Roman"/>
          <w:color w:val="auto"/>
          <w:sz w:val="24"/>
          <w:szCs w:val="24"/>
        </w:rPr>
        <w:t>, које чине 2</w:t>
      </w:r>
      <w:r w:rsidR="00E34BDE" w:rsidRPr="00881DBE">
        <w:rPr>
          <w:rFonts w:ascii="Times New Roman" w:hAnsi="Times New Roman" w:cs="Times New Roman"/>
          <w:color w:val="auto"/>
          <w:sz w:val="24"/>
          <w:szCs w:val="24"/>
          <w:lang w:val="sr-Cyrl-CS"/>
        </w:rPr>
        <w:t>0</w:t>
      </w:r>
      <w:r w:rsidRPr="00881DBE">
        <w:rPr>
          <w:rFonts w:ascii="Times New Roman" w:hAnsi="Times New Roman" w:cs="Times New Roman"/>
          <w:color w:val="auto"/>
          <w:sz w:val="24"/>
          <w:szCs w:val="24"/>
        </w:rPr>
        <w:t xml:space="preserve">%. </w:t>
      </w:r>
      <w:r w:rsidR="006A48C7" w:rsidRPr="00881DBE">
        <w:rPr>
          <w:rFonts w:ascii="Times New Roman" w:hAnsi="Times New Roman" w:cs="Times New Roman"/>
          <w:color w:val="auto"/>
          <w:sz w:val="24"/>
          <w:szCs w:val="24"/>
          <w:lang w:val="sr-Cyrl-RS"/>
        </w:rPr>
        <w:t>На трећем месту су набавке на основу члана 7. став 1. тачка 1) ЗЈН, односно набавке од лица или организација које се у смислу овог закона сматрају наручиоцем и кој</w:t>
      </w:r>
      <w:r w:rsidR="000419A2">
        <w:rPr>
          <w:rFonts w:ascii="Times New Roman" w:hAnsi="Times New Roman" w:cs="Times New Roman"/>
          <w:color w:val="auto"/>
          <w:sz w:val="24"/>
          <w:szCs w:val="24"/>
          <w:lang w:val="sr-Cyrl-RS"/>
        </w:rPr>
        <w:t>и</w:t>
      </w:r>
      <w:r w:rsidR="006A48C7" w:rsidRPr="00881DBE">
        <w:rPr>
          <w:rFonts w:ascii="Times New Roman" w:hAnsi="Times New Roman" w:cs="Times New Roman"/>
          <w:color w:val="auto"/>
          <w:sz w:val="24"/>
          <w:szCs w:val="24"/>
          <w:lang w:val="sr-Cyrl-RS"/>
        </w:rPr>
        <w:t xml:space="preserve"> су носиоци искључивог права на обављање делатности која је предмет јавне набавке, које чине 19% вредности. </w:t>
      </w:r>
    </w:p>
    <w:p w14:paraId="126D8993" w14:textId="77777777" w:rsidR="00881DBE" w:rsidRPr="00881DBE" w:rsidRDefault="00881DBE" w:rsidP="008631D5">
      <w:pPr>
        <w:autoSpaceDE w:val="0"/>
        <w:autoSpaceDN w:val="0"/>
        <w:adjustRightInd w:val="0"/>
        <w:spacing w:after="0"/>
        <w:jc w:val="both"/>
        <w:rPr>
          <w:rFonts w:ascii="Times New Roman" w:hAnsi="Times New Roman" w:cs="Times New Roman"/>
          <w:color w:val="auto"/>
          <w:sz w:val="24"/>
          <w:szCs w:val="24"/>
          <w:lang w:val="sr-Cyrl-RS"/>
        </w:rPr>
      </w:pPr>
    </w:p>
    <w:p w14:paraId="179D1B42" w14:textId="77777777" w:rsidR="001960F4" w:rsidRPr="00881DBE" w:rsidRDefault="003A50AF" w:rsidP="00F859EF">
      <w:pPr>
        <w:spacing w:after="0" w:line="240" w:lineRule="auto"/>
        <w:ind w:hanging="567"/>
        <w:jc w:val="both"/>
        <w:rPr>
          <w:rFonts w:ascii="Times New Roman" w:hAnsi="Times New Roman" w:cs="Times New Roman"/>
          <w:b/>
          <w:color w:val="auto"/>
          <w:sz w:val="24"/>
          <w:szCs w:val="24"/>
          <w:lang w:val="sr-Cyrl-RS"/>
        </w:rPr>
      </w:pPr>
      <w:r w:rsidRPr="00881DBE">
        <w:rPr>
          <w:rFonts w:ascii="Times New Roman" w:hAnsi="Times New Roman" w:cs="Times New Roman"/>
          <w:b/>
          <w:color w:val="auto"/>
          <w:sz w:val="24"/>
          <w:szCs w:val="24"/>
        </w:rPr>
        <w:t>Табела 1</w:t>
      </w:r>
      <w:r w:rsidR="00953934" w:rsidRPr="00881DBE">
        <w:rPr>
          <w:rFonts w:ascii="Times New Roman" w:hAnsi="Times New Roman" w:cs="Times New Roman"/>
          <w:b/>
          <w:color w:val="auto"/>
          <w:sz w:val="24"/>
          <w:szCs w:val="24"/>
          <w:lang w:val="sr-Cyrl-RS"/>
        </w:rPr>
        <w:t>4</w:t>
      </w:r>
    </w:p>
    <w:tbl>
      <w:tblPr>
        <w:tblStyle w:val="TableGrid2"/>
        <w:tblW w:w="10004" w:type="dxa"/>
        <w:jc w:val="center"/>
        <w:tblLayout w:type="fixed"/>
        <w:tblLook w:val="04A0" w:firstRow="1" w:lastRow="0" w:firstColumn="1" w:lastColumn="0" w:noHBand="0" w:noVBand="1"/>
      </w:tblPr>
      <w:tblGrid>
        <w:gridCol w:w="3915"/>
        <w:gridCol w:w="1204"/>
        <w:gridCol w:w="1595"/>
        <w:gridCol w:w="1624"/>
        <w:gridCol w:w="1666"/>
      </w:tblGrid>
      <w:tr w:rsidR="008B7A28" w:rsidRPr="00881DBE" w14:paraId="3B5667CB" w14:textId="77777777" w:rsidTr="00945E07">
        <w:trPr>
          <w:trHeight w:val="502"/>
          <w:jc w:val="center"/>
        </w:trPr>
        <w:tc>
          <w:tcPr>
            <w:tcW w:w="10004" w:type="dxa"/>
            <w:gridSpan w:val="5"/>
            <w:vAlign w:val="center"/>
          </w:tcPr>
          <w:p w14:paraId="012B5FB7" w14:textId="77777777" w:rsidR="001960F4" w:rsidRPr="00881DBE" w:rsidRDefault="001960F4" w:rsidP="0019473A">
            <w:pPr>
              <w:jc w:val="center"/>
              <w:rPr>
                <w:rFonts w:ascii="Times New Roman" w:hAnsi="Times New Roman" w:cs="Times New Roman"/>
                <w:b/>
                <w:sz w:val="24"/>
                <w:szCs w:val="24"/>
              </w:rPr>
            </w:pPr>
            <w:r w:rsidRPr="00881DBE">
              <w:rPr>
                <w:rFonts w:ascii="Times New Roman" w:hAnsi="Times New Roman" w:cs="Times New Roman"/>
                <w:b/>
                <w:sz w:val="24"/>
                <w:szCs w:val="24"/>
              </w:rPr>
              <w:t xml:space="preserve">Подаци о набавкама на које се </w:t>
            </w:r>
            <w:r w:rsidR="00352D96" w:rsidRPr="00881DBE">
              <w:rPr>
                <w:rFonts w:ascii="Times New Roman" w:hAnsi="Times New Roman" w:cs="Times New Roman"/>
                <w:b/>
                <w:sz w:val="24"/>
                <w:szCs w:val="24"/>
              </w:rPr>
              <w:t>ЗЈН</w:t>
            </w:r>
            <w:r w:rsidRPr="00881DBE">
              <w:rPr>
                <w:rFonts w:ascii="Times New Roman" w:hAnsi="Times New Roman" w:cs="Times New Roman"/>
                <w:b/>
                <w:sz w:val="24"/>
                <w:szCs w:val="24"/>
              </w:rPr>
              <w:t xml:space="preserve"> не примењује по основама за изузеће</w:t>
            </w:r>
          </w:p>
          <w:p w14:paraId="78038D73" w14:textId="4206596B" w:rsidR="001960F4" w:rsidRPr="00881DBE" w:rsidRDefault="001960F4" w:rsidP="008B7A28">
            <w:pPr>
              <w:jc w:val="center"/>
              <w:rPr>
                <w:rFonts w:ascii="Times New Roman" w:hAnsi="Times New Roman" w:cs="Times New Roman"/>
                <w:b/>
                <w:sz w:val="24"/>
                <w:szCs w:val="24"/>
              </w:rPr>
            </w:pPr>
            <w:r w:rsidRPr="00881DBE">
              <w:rPr>
                <w:rFonts w:ascii="Times New Roman" w:hAnsi="Times New Roman" w:cs="Times New Roman"/>
                <w:b/>
                <w:sz w:val="24"/>
                <w:szCs w:val="24"/>
              </w:rPr>
              <w:t>у првом полугодишту 201</w:t>
            </w:r>
            <w:r w:rsidR="008B7A28">
              <w:rPr>
                <w:rFonts w:ascii="Times New Roman" w:hAnsi="Times New Roman" w:cs="Times New Roman"/>
                <w:b/>
                <w:sz w:val="24"/>
                <w:szCs w:val="24"/>
                <w:lang w:val="sr-Cyrl-RS"/>
              </w:rPr>
              <w:t>9</w:t>
            </w:r>
            <w:r w:rsidRPr="00881DBE">
              <w:rPr>
                <w:rFonts w:ascii="Times New Roman" w:hAnsi="Times New Roman" w:cs="Times New Roman"/>
                <w:b/>
                <w:sz w:val="24"/>
                <w:szCs w:val="24"/>
              </w:rPr>
              <w:t>. године</w:t>
            </w:r>
          </w:p>
        </w:tc>
      </w:tr>
      <w:tr w:rsidR="001960F4" w:rsidRPr="00881DBE" w14:paraId="3F425A6E" w14:textId="77777777" w:rsidTr="00945E07">
        <w:trPr>
          <w:trHeight w:val="686"/>
          <w:jc w:val="center"/>
        </w:trPr>
        <w:tc>
          <w:tcPr>
            <w:tcW w:w="3915" w:type="dxa"/>
            <w:vAlign w:val="center"/>
          </w:tcPr>
          <w:p w14:paraId="7CD8B53A" w14:textId="77777777" w:rsidR="001960F4" w:rsidRPr="00881DBE" w:rsidRDefault="001960F4" w:rsidP="0019473A">
            <w:pPr>
              <w:jc w:val="center"/>
              <w:rPr>
                <w:rFonts w:ascii="Times New Roman" w:hAnsi="Times New Roman" w:cs="Times New Roman"/>
                <w:b/>
              </w:rPr>
            </w:pPr>
            <w:r w:rsidRPr="00881DBE">
              <w:rPr>
                <w:rFonts w:ascii="Times New Roman" w:hAnsi="Times New Roman" w:cs="Times New Roman"/>
                <w:b/>
              </w:rPr>
              <w:t>Основ за изузеће</w:t>
            </w:r>
          </w:p>
          <w:p w14:paraId="20AD7426" w14:textId="77777777" w:rsidR="001960F4" w:rsidRPr="00881DBE" w:rsidRDefault="00352D96" w:rsidP="0019473A">
            <w:pPr>
              <w:jc w:val="center"/>
              <w:rPr>
                <w:rFonts w:ascii="Times New Roman" w:hAnsi="Times New Roman" w:cs="Times New Roman"/>
                <w:b/>
              </w:rPr>
            </w:pPr>
            <w:r w:rsidRPr="00881DBE">
              <w:rPr>
                <w:rFonts w:ascii="Times New Roman" w:hAnsi="Times New Roman" w:cs="Times New Roman"/>
                <w:b/>
              </w:rPr>
              <w:t>од примене ЗЈН</w:t>
            </w:r>
          </w:p>
        </w:tc>
        <w:tc>
          <w:tcPr>
            <w:tcW w:w="1204" w:type="dxa"/>
            <w:vAlign w:val="center"/>
          </w:tcPr>
          <w:p w14:paraId="394D95DE" w14:textId="77777777" w:rsidR="001960F4" w:rsidRPr="00881DBE" w:rsidRDefault="001960F4" w:rsidP="0019473A">
            <w:pPr>
              <w:jc w:val="center"/>
              <w:rPr>
                <w:rFonts w:ascii="Times New Roman" w:hAnsi="Times New Roman" w:cs="Times New Roman"/>
                <w:b/>
              </w:rPr>
            </w:pPr>
            <w:r w:rsidRPr="00881DBE">
              <w:rPr>
                <w:rFonts w:ascii="Times New Roman" w:hAnsi="Times New Roman" w:cs="Times New Roman"/>
                <w:b/>
              </w:rPr>
              <w:t>Број уговора</w:t>
            </w:r>
          </w:p>
        </w:tc>
        <w:tc>
          <w:tcPr>
            <w:tcW w:w="1595" w:type="dxa"/>
            <w:vAlign w:val="center"/>
          </w:tcPr>
          <w:p w14:paraId="707B4B19" w14:textId="77777777" w:rsidR="001960F4" w:rsidRPr="00881DBE" w:rsidRDefault="001960F4" w:rsidP="0019473A">
            <w:pPr>
              <w:tabs>
                <w:tab w:val="left" w:pos="1885"/>
              </w:tabs>
              <w:jc w:val="center"/>
              <w:rPr>
                <w:rFonts w:ascii="Times New Roman" w:eastAsia="Times New Roman" w:hAnsi="Times New Roman" w:cs="Times New Roman"/>
                <w:b/>
              </w:rPr>
            </w:pPr>
            <w:r w:rsidRPr="00881DBE">
              <w:rPr>
                <w:rFonts w:ascii="Times New Roman" w:eastAsia="Times New Roman" w:hAnsi="Times New Roman" w:cs="Times New Roman"/>
                <w:b/>
              </w:rPr>
              <w:t>Уговорена вредност без ПДВ-а</w:t>
            </w:r>
            <w:r w:rsidRPr="00881DBE">
              <w:rPr>
                <w:rFonts w:ascii="Times New Roman" w:hAnsi="Times New Roman" w:cs="Times New Roman"/>
                <w:b/>
              </w:rPr>
              <w:t>*</w:t>
            </w:r>
          </w:p>
        </w:tc>
        <w:tc>
          <w:tcPr>
            <w:tcW w:w="1624" w:type="dxa"/>
            <w:vAlign w:val="center"/>
          </w:tcPr>
          <w:p w14:paraId="44FCFC09" w14:textId="77777777" w:rsidR="001960F4" w:rsidRPr="00881DBE" w:rsidRDefault="001960F4" w:rsidP="0019473A">
            <w:pPr>
              <w:jc w:val="center"/>
              <w:rPr>
                <w:rFonts w:ascii="Times New Roman" w:hAnsi="Times New Roman" w:cs="Times New Roman"/>
                <w:b/>
              </w:rPr>
            </w:pPr>
            <w:r w:rsidRPr="00881DBE">
              <w:rPr>
                <w:rFonts w:ascii="Times New Roman" w:hAnsi="Times New Roman" w:cs="Times New Roman"/>
                <w:b/>
              </w:rPr>
              <w:t>Бројчана заступљеност</w:t>
            </w:r>
          </w:p>
          <w:p w14:paraId="385DCC26" w14:textId="77777777" w:rsidR="001960F4" w:rsidRPr="00881DBE" w:rsidRDefault="001960F4" w:rsidP="0019473A">
            <w:pPr>
              <w:jc w:val="center"/>
              <w:rPr>
                <w:rFonts w:ascii="Times New Roman" w:hAnsi="Times New Roman" w:cs="Times New Roman"/>
                <w:b/>
              </w:rPr>
            </w:pPr>
            <w:r w:rsidRPr="00881DBE">
              <w:rPr>
                <w:rFonts w:ascii="Times New Roman" w:eastAsia="Times New Roman" w:hAnsi="Times New Roman" w:cs="Times New Roman"/>
                <w:b/>
              </w:rPr>
              <w:t>(у %)</w:t>
            </w:r>
          </w:p>
        </w:tc>
        <w:tc>
          <w:tcPr>
            <w:tcW w:w="1666" w:type="dxa"/>
            <w:vAlign w:val="center"/>
          </w:tcPr>
          <w:p w14:paraId="016D9058" w14:textId="77777777" w:rsidR="001960F4" w:rsidRPr="00881DBE" w:rsidRDefault="001960F4" w:rsidP="0019473A">
            <w:pPr>
              <w:jc w:val="center"/>
              <w:rPr>
                <w:rFonts w:ascii="Times New Roman" w:hAnsi="Times New Roman" w:cs="Times New Roman"/>
                <w:b/>
              </w:rPr>
            </w:pPr>
            <w:r w:rsidRPr="00881DBE">
              <w:rPr>
                <w:rFonts w:ascii="Times New Roman" w:hAnsi="Times New Roman" w:cs="Times New Roman"/>
                <w:b/>
              </w:rPr>
              <w:t>Вредносна заступљеност</w:t>
            </w:r>
          </w:p>
          <w:p w14:paraId="63473ED5" w14:textId="77777777" w:rsidR="001960F4" w:rsidRPr="00881DBE" w:rsidRDefault="001960F4" w:rsidP="0019473A">
            <w:pPr>
              <w:jc w:val="center"/>
              <w:rPr>
                <w:rFonts w:ascii="Times New Roman" w:hAnsi="Times New Roman" w:cs="Times New Roman"/>
                <w:b/>
              </w:rPr>
            </w:pPr>
            <w:r w:rsidRPr="00881DBE">
              <w:rPr>
                <w:rFonts w:ascii="Times New Roman" w:eastAsia="Times New Roman" w:hAnsi="Times New Roman" w:cs="Times New Roman"/>
                <w:b/>
              </w:rPr>
              <w:t>(у %)</w:t>
            </w:r>
          </w:p>
        </w:tc>
      </w:tr>
      <w:tr w:rsidR="00E50E59" w:rsidRPr="00881DBE" w14:paraId="498B242D" w14:textId="77777777" w:rsidTr="00945E07">
        <w:trPr>
          <w:trHeight w:val="923"/>
          <w:jc w:val="center"/>
        </w:trPr>
        <w:tc>
          <w:tcPr>
            <w:tcW w:w="3915" w:type="dxa"/>
            <w:vAlign w:val="center"/>
          </w:tcPr>
          <w:p w14:paraId="6F940639" w14:textId="77777777" w:rsidR="00E50E59" w:rsidRPr="00881DBE" w:rsidRDefault="00E50E59" w:rsidP="00E50E59">
            <w:pPr>
              <w:jc w:val="center"/>
              <w:rPr>
                <w:rFonts w:ascii="Times New Roman" w:hAnsi="Times New Roman" w:cs="Times New Roman"/>
                <w:b/>
              </w:rPr>
            </w:pPr>
            <w:r w:rsidRPr="00881DBE">
              <w:rPr>
                <w:rFonts w:ascii="Times New Roman" w:hAnsi="Times New Roman" w:cs="Times New Roman"/>
                <w:b/>
              </w:rPr>
              <w:t>Чл. 7. ст. 1. тач. 1) ЗЈН</w:t>
            </w:r>
          </w:p>
          <w:p w14:paraId="1CBFB7DD" w14:textId="77777777" w:rsidR="00E50E59" w:rsidRPr="00881DBE" w:rsidRDefault="00E50E59" w:rsidP="00E50E59">
            <w:pPr>
              <w:jc w:val="center"/>
              <w:rPr>
                <w:rFonts w:ascii="Times New Roman" w:hAnsi="Times New Roman" w:cs="Times New Roman"/>
              </w:rPr>
            </w:pPr>
            <w:r w:rsidRPr="00881DBE">
              <w:rPr>
                <w:rFonts w:ascii="Times New Roman" w:hAnsi="Times New Roman" w:cs="Times New Roman"/>
              </w:rPr>
              <w:t>Искључиво право на обављање делатности која је предмет</w:t>
            </w:r>
          </w:p>
          <w:p w14:paraId="01FD5635" w14:textId="77777777" w:rsidR="00E50E59" w:rsidRPr="00881DBE" w:rsidRDefault="00E50E59" w:rsidP="00E50E59">
            <w:pPr>
              <w:jc w:val="center"/>
              <w:rPr>
                <w:rFonts w:ascii="Times New Roman" w:hAnsi="Times New Roman" w:cs="Times New Roman"/>
              </w:rPr>
            </w:pPr>
            <w:r w:rsidRPr="00881DBE">
              <w:rPr>
                <w:rFonts w:ascii="Times New Roman" w:hAnsi="Times New Roman" w:cs="Times New Roman"/>
              </w:rPr>
              <w:t>јавне набавке</w:t>
            </w:r>
          </w:p>
        </w:tc>
        <w:tc>
          <w:tcPr>
            <w:tcW w:w="1204" w:type="dxa"/>
            <w:vAlign w:val="center"/>
          </w:tcPr>
          <w:p w14:paraId="6EE0D637" w14:textId="77777777" w:rsidR="00E50E59" w:rsidRPr="00881DBE" w:rsidRDefault="00D10A3D" w:rsidP="00E50E59">
            <w:pPr>
              <w:jc w:val="center"/>
              <w:rPr>
                <w:rFonts w:ascii="Times New Roman" w:hAnsi="Times New Roman" w:cs="Times New Roman"/>
                <w:lang w:val="en-US"/>
              </w:rPr>
            </w:pPr>
            <w:r w:rsidRPr="00881DBE">
              <w:rPr>
                <w:rFonts w:ascii="Times New Roman" w:hAnsi="Times New Roman" w:cs="Times New Roman"/>
                <w:sz w:val="24"/>
                <w:szCs w:val="24"/>
                <w:lang w:val="en-US"/>
              </w:rPr>
              <w:t>21.417</w:t>
            </w:r>
          </w:p>
        </w:tc>
        <w:tc>
          <w:tcPr>
            <w:tcW w:w="1595" w:type="dxa"/>
            <w:vAlign w:val="center"/>
          </w:tcPr>
          <w:p w14:paraId="4286E735" w14:textId="77777777" w:rsidR="00E50E59" w:rsidRPr="00881DBE" w:rsidRDefault="00D10A3D" w:rsidP="00E50E59">
            <w:pPr>
              <w:jc w:val="center"/>
              <w:rPr>
                <w:rFonts w:ascii="Times New Roman" w:hAnsi="Times New Roman" w:cs="Times New Roman"/>
                <w:lang w:val="en-US"/>
              </w:rPr>
            </w:pPr>
            <w:r w:rsidRPr="00881DBE">
              <w:rPr>
                <w:rFonts w:ascii="Times New Roman" w:hAnsi="Times New Roman" w:cs="Times New Roman"/>
                <w:sz w:val="24"/>
                <w:szCs w:val="24"/>
                <w:lang w:val="en-US"/>
              </w:rPr>
              <w:t>17.166.177</w:t>
            </w:r>
          </w:p>
        </w:tc>
        <w:tc>
          <w:tcPr>
            <w:tcW w:w="1624" w:type="dxa"/>
            <w:tcBorders>
              <w:top w:val="single" w:sz="8" w:space="0" w:color="auto"/>
              <w:left w:val="nil"/>
              <w:bottom w:val="single" w:sz="8" w:space="0" w:color="auto"/>
              <w:right w:val="single" w:sz="8" w:space="0" w:color="auto"/>
            </w:tcBorders>
            <w:shd w:val="clear" w:color="auto" w:fill="auto"/>
            <w:vAlign w:val="center"/>
          </w:tcPr>
          <w:p w14:paraId="4C60A3F6" w14:textId="77777777" w:rsidR="00E50E59" w:rsidRPr="00881DBE" w:rsidRDefault="00E50E59" w:rsidP="00D10A3D">
            <w:pPr>
              <w:jc w:val="center"/>
              <w:rPr>
                <w:rFonts w:ascii="Times New Roman" w:hAnsi="Times New Roman" w:cs="Times New Roman"/>
                <w:lang w:val="en-US"/>
              </w:rPr>
            </w:pPr>
            <w:r w:rsidRPr="00881DBE">
              <w:rPr>
                <w:rFonts w:ascii="Times New Roman" w:hAnsi="Times New Roman" w:cs="Times New Roman"/>
                <w:sz w:val="24"/>
                <w:szCs w:val="24"/>
              </w:rPr>
              <w:t>1</w:t>
            </w:r>
            <w:r w:rsidR="00D10A3D" w:rsidRPr="00881DBE">
              <w:rPr>
                <w:rFonts w:ascii="Times New Roman" w:hAnsi="Times New Roman" w:cs="Times New Roman"/>
                <w:sz w:val="24"/>
                <w:szCs w:val="24"/>
                <w:lang w:val="en-US"/>
              </w:rPr>
              <w:t>2</w:t>
            </w:r>
          </w:p>
        </w:tc>
        <w:tc>
          <w:tcPr>
            <w:tcW w:w="1666" w:type="dxa"/>
            <w:tcBorders>
              <w:top w:val="single" w:sz="8" w:space="0" w:color="auto"/>
              <w:left w:val="nil"/>
              <w:bottom w:val="single" w:sz="8" w:space="0" w:color="auto"/>
              <w:right w:val="single" w:sz="4" w:space="0" w:color="auto"/>
            </w:tcBorders>
            <w:shd w:val="clear" w:color="auto" w:fill="auto"/>
            <w:vAlign w:val="center"/>
          </w:tcPr>
          <w:p w14:paraId="327EE7B0" w14:textId="77777777" w:rsidR="00E50E59" w:rsidRPr="00881DBE" w:rsidRDefault="00D10A3D" w:rsidP="00E50E59">
            <w:pPr>
              <w:jc w:val="center"/>
              <w:rPr>
                <w:rFonts w:ascii="Times New Roman" w:hAnsi="Times New Roman" w:cs="Times New Roman"/>
                <w:lang w:val="en-US"/>
              </w:rPr>
            </w:pPr>
            <w:r w:rsidRPr="00881DBE">
              <w:rPr>
                <w:rFonts w:ascii="Times New Roman" w:hAnsi="Times New Roman" w:cs="Times New Roman"/>
                <w:sz w:val="24"/>
                <w:szCs w:val="24"/>
                <w:lang w:val="en-US"/>
              </w:rPr>
              <w:t>19</w:t>
            </w:r>
          </w:p>
        </w:tc>
      </w:tr>
      <w:tr w:rsidR="00E50E59" w:rsidRPr="00881DBE" w14:paraId="43570AB7" w14:textId="77777777" w:rsidTr="00945E07">
        <w:trPr>
          <w:trHeight w:val="1400"/>
          <w:jc w:val="center"/>
        </w:trPr>
        <w:tc>
          <w:tcPr>
            <w:tcW w:w="3915" w:type="dxa"/>
            <w:vAlign w:val="center"/>
          </w:tcPr>
          <w:p w14:paraId="79F7B8FF" w14:textId="77777777" w:rsidR="00E50E59" w:rsidRPr="00881DBE" w:rsidRDefault="00E50E59" w:rsidP="00E50E59">
            <w:pPr>
              <w:jc w:val="center"/>
              <w:rPr>
                <w:rFonts w:ascii="Times New Roman" w:hAnsi="Times New Roman" w:cs="Times New Roman"/>
                <w:b/>
              </w:rPr>
            </w:pPr>
            <w:r w:rsidRPr="00881DBE">
              <w:rPr>
                <w:rFonts w:ascii="Times New Roman" w:hAnsi="Times New Roman" w:cs="Times New Roman"/>
                <w:b/>
              </w:rPr>
              <w:t>Чл. 7. ст. 1. тач. 2) и 2а) ЗЈН</w:t>
            </w:r>
          </w:p>
          <w:p w14:paraId="2F8108FF" w14:textId="77777777" w:rsidR="00E50E59" w:rsidRPr="00881DBE" w:rsidRDefault="00E50E59" w:rsidP="00E50E59">
            <w:pPr>
              <w:jc w:val="center"/>
              <w:rPr>
                <w:rFonts w:ascii="Times New Roman" w:hAnsi="Times New Roman" w:cs="Times New Roman"/>
              </w:rPr>
            </w:pPr>
            <w:r w:rsidRPr="00881DBE">
              <w:rPr>
                <w:rFonts w:ascii="Times New Roman" w:hAnsi="Times New Roman" w:cs="Times New Roman"/>
              </w:rPr>
              <w:t>Набавке из средстава страних кредита добијених од међународних организација и међународних финансијских институција, односно по основу међународних споразума</w:t>
            </w:r>
          </w:p>
        </w:tc>
        <w:tc>
          <w:tcPr>
            <w:tcW w:w="1204" w:type="dxa"/>
            <w:vAlign w:val="center"/>
          </w:tcPr>
          <w:p w14:paraId="0442E9F2" w14:textId="77777777" w:rsidR="00E50E59" w:rsidRPr="00881DBE" w:rsidRDefault="00D10A3D" w:rsidP="00E50E59">
            <w:pPr>
              <w:jc w:val="center"/>
              <w:rPr>
                <w:rFonts w:ascii="Times New Roman" w:hAnsi="Times New Roman" w:cs="Times New Roman"/>
                <w:lang w:val="en-US"/>
              </w:rPr>
            </w:pPr>
            <w:r w:rsidRPr="00881DBE">
              <w:rPr>
                <w:rFonts w:ascii="Times New Roman" w:hAnsi="Times New Roman" w:cs="Times New Roman"/>
                <w:sz w:val="24"/>
                <w:szCs w:val="24"/>
                <w:lang w:val="en-US"/>
              </w:rPr>
              <w:t>224</w:t>
            </w:r>
          </w:p>
        </w:tc>
        <w:tc>
          <w:tcPr>
            <w:tcW w:w="1595" w:type="dxa"/>
            <w:vAlign w:val="center"/>
          </w:tcPr>
          <w:p w14:paraId="16158B16" w14:textId="77777777" w:rsidR="00E50E59" w:rsidRPr="00881DBE" w:rsidRDefault="00D10A3D" w:rsidP="00E50E59">
            <w:pPr>
              <w:jc w:val="center"/>
              <w:rPr>
                <w:rFonts w:ascii="Times New Roman" w:hAnsi="Times New Roman" w:cs="Times New Roman"/>
                <w:lang w:val="en-US"/>
              </w:rPr>
            </w:pPr>
            <w:r w:rsidRPr="00881DBE">
              <w:rPr>
                <w:rFonts w:ascii="Times New Roman" w:hAnsi="Times New Roman" w:cs="Times New Roman"/>
                <w:sz w:val="24"/>
                <w:szCs w:val="24"/>
                <w:lang w:val="en-US"/>
              </w:rPr>
              <w:t>12.043.156</w:t>
            </w:r>
          </w:p>
        </w:tc>
        <w:tc>
          <w:tcPr>
            <w:tcW w:w="1624" w:type="dxa"/>
            <w:tcBorders>
              <w:top w:val="nil"/>
              <w:left w:val="nil"/>
              <w:bottom w:val="single" w:sz="8" w:space="0" w:color="auto"/>
              <w:right w:val="single" w:sz="8" w:space="0" w:color="auto"/>
            </w:tcBorders>
            <w:shd w:val="clear" w:color="auto" w:fill="auto"/>
            <w:vAlign w:val="center"/>
          </w:tcPr>
          <w:p w14:paraId="538577E0" w14:textId="77777777" w:rsidR="00E50E59" w:rsidRPr="00881DBE" w:rsidRDefault="00D10A3D" w:rsidP="00E50E59">
            <w:pPr>
              <w:jc w:val="center"/>
              <w:rPr>
                <w:rFonts w:ascii="Times New Roman" w:hAnsi="Times New Roman" w:cs="Times New Roman"/>
                <w:lang w:val="en-US"/>
              </w:rPr>
            </w:pPr>
            <w:r w:rsidRPr="00881DBE">
              <w:rPr>
                <w:rFonts w:ascii="Times New Roman" w:hAnsi="Times New Roman" w:cs="Times New Roman"/>
                <w:sz w:val="24"/>
                <w:szCs w:val="24"/>
                <w:lang w:val="en-US"/>
              </w:rPr>
              <w:t>0</w:t>
            </w:r>
          </w:p>
        </w:tc>
        <w:tc>
          <w:tcPr>
            <w:tcW w:w="1666" w:type="dxa"/>
            <w:tcBorders>
              <w:top w:val="nil"/>
              <w:left w:val="nil"/>
              <w:bottom w:val="single" w:sz="8" w:space="0" w:color="auto"/>
              <w:right w:val="single" w:sz="4" w:space="0" w:color="auto"/>
            </w:tcBorders>
            <w:shd w:val="clear" w:color="auto" w:fill="auto"/>
            <w:vAlign w:val="center"/>
          </w:tcPr>
          <w:p w14:paraId="42549EA5" w14:textId="77777777" w:rsidR="00E50E59" w:rsidRPr="00881DBE" w:rsidRDefault="00D10A3D" w:rsidP="00E50E59">
            <w:pPr>
              <w:jc w:val="center"/>
              <w:rPr>
                <w:rFonts w:ascii="Times New Roman" w:hAnsi="Times New Roman" w:cs="Times New Roman"/>
                <w:lang w:val="en-US"/>
              </w:rPr>
            </w:pPr>
            <w:r w:rsidRPr="00881DBE">
              <w:rPr>
                <w:rFonts w:ascii="Times New Roman" w:hAnsi="Times New Roman" w:cs="Times New Roman"/>
                <w:sz w:val="24"/>
                <w:szCs w:val="24"/>
                <w:lang w:val="en-US"/>
              </w:rPr>
              <w:t>13</w:t>
            </w:r>
          </w:p>
        </w:tc>
      </w:tr>
      <w:tr w:rsidR="00E50E59" w:rsidRPr="00881DBE" w14:paraId="6D9EE2CD" w14:textId="77777777" w:rsidTr="00945E07">
        <w:trPr>
          <w:trHeight w:val="923"/>
          <w:jc w:val="center"/>
        </w:trPr>
        <w:tc>
          <w:tcPr>
            <w:tcW w:w="3915" w:type="dxa"/>
            <w:vAlign w:val="center"/>
          </w:tcPr>
          <w:p w14:paraId="7D42E219" w14:textId="77777777" w:rsidR="00E50E59" w:rsidRPr="00881DBE" w:rsidRDefault="00E50E59" w:rsidP="00E50E59">
            <w:pPr>
              <w:jc w:val="center"/>
              <w:rPr>
                <w:rFonts w:ascii="Times New Roman" w:hAnsi="Times New Roman" w:cs="Times New Roman"/>
                <w:b/>
              </w:rPr>
            </w:pPr>
            <w:r w:rsidRPr="00881DBE">
              <w:rPr>
                <w:rFonts w:ascii="Times New Roman" w:hAnsi="Times New Roman" w:cs="Times New Roman"/>
                <w:b/>
              </w:rPr>
              <w:t>Чл. 7. ст. 1. тач. 12) ЗЈН</w:t>
            </w:r>
          </w:p>
          <w:p w14:paraId="09E8CE33" w14:textId="77777777" w:rsidR="00E50E59" w:rsidRPr="00881DBE" w:rsidRDefault="00E50E59" w:rsidP="00E50E59">
            <w:pPr>
              <w:jc w:val="center"/>
              <w:rPr>
                <w:rFonts w:ascii="Times New Roman" w:hAnsi="Times New Roman" w:cs="Times New Roman"/>
              </w:rPr>
            </w:pPr>
            <w:r w:rsidRPr="00881DBE">
              <w:rPr>
                <w:rFonts w:ascii="Times New Roman" w:hAnsi="Times New Roman" w:cs="Times New Roman"/>
              </w:rPr>
              <w:t>Заснивање радног односа и закључивање уговора о обављању привремених и повремених послова</w:t>
            </w:r>
          </w:p>
        </w:tc>
        <w:tc>
          <w:tcPr>
            <w:tcW w:w="1204" w:type="dxa"/>
            <w:vAlign w:val="center"/>
          </w:tcPr>
          <w:p w14:paraId="433B2A68" w14:textId="77777777" w:rsidR="00E50E59" w:rsidRPr="00881DBE" w:rsidRDefault="00D10A3D" w:rsidP="00E50E59">
            <w:pPr>
              <w:jc w:val="center"/>
              <w:rPr>
                <w:rFonts w:ascii="Times New Roman" w:hAnsi="Times New Roman" w:cs="Times New Roman"/>
                <w:lang w:val="en-US"/>
              </w:rPr>
            </w:pPr>
            <w:r w:rsidRPr="00881DBE">
              <w:rPr>
                <w:rFonts w:ascii="Times New Roman" w:hAnsi="Times New Roman" w:cs="Times New Roman"/>
                <w:sz w:val="24"/>
                <w:szCs w:val="24"/>
                <w:lang w:val="en-US"/>
              </w:rPr>
              <w:t>7.411</w:t>
            </w:r>
          </w:p>
        </w:tc>
        <w:tc>
          <w:tcPr>
            <w:tcW w:w="1595" w:type="dxa"/>
            <w:vAlign w:val="center"/>
          </w:tcPr>
          <w:p w14:paraId="4FD6B43E" w14:textId="77777777" w:rsidR="00E50E59" w:rsidRPr="00881DBE" w:rsidRDefault="00D10A3D" w:rsidP="00E50E59">
            <w:pPr>
              <w:jc w:val="center"/>
              <w:rPr>
                <w:rFonts w:ascii="Times New Roman" w:hAnsi="Times New Roman" w:cs="Times New Roman"/>
                <w:lang w:val="en-US"/>
              </w:rPr>
            </w:pPr>
            <w:r w:rsidRPr="00881DBE">
              <w:rPr>
                <w:rFonts w:ascii="Times New Roman" w:hAnsi="Times New Roman" w:cs="Times New Roman"/>
                <w:sz w:val="24"/>
                <w:szCs w:val="24"/>
                <w:lang w:val="en-US"/>
              </w:rPr>
              <w:t>1.002.519</w:t>
            </w:r>
          </w:p>
        </w:tc>
        <w:tc>
          <w:tcPr>
            <w:tcW w:w="1624" w:type="dxa"/>
            <w:tcBorders>
              <w:top w:val="nil"/>
              <w:left w:val="nil"/>
              <w:bottom w:val="single" w:sz="8" w:space="0" w:color="auto"/>
              <w:right w:val="single" w:sz="8" w:space="0" w:color="auto"/>
            </w:tcBorders>
            <w:shd w:val="clear" w:color="auto" w:fill="auto"/>
            <w:vAlign w:val="center"/>
          </w:tcPr>
          <w:p w14:paraId="7ACD8DE7" w14:textId="77777777" w:rsidR="00E50E59" w:rsidRPr="00881DBE" w:rsidRDefault="00B825C6" w:rsidP="00E50E59">
            <w:pPr>
              <w:jc w:val="center"/>
              <w:rPr>
                <w:rFonts w:ascii="Times New Roman" w:hAnsi="Times New Roman" w:cs="Times New Roman"/>
                <w:lang w:val="sr-Cyrl-RS"/>
              </w:rPr>
            </w:pPr>
            <w:r w:rsidRPr="00881DBE">
              <w:rPr>
                <w:rFonts w:ascii="Times New Roman" w:hAnsi="Times New Roman" w:cs="Times New Roman"/>
                <w:sz w:val="24"/>
                <w:szCs w:val="24"/>
                <w:lang w:val="sr-Cyrl-RS"/>
              </w:rPr>
              <w:t>5</w:t>
            </w:r>
          </w:p>
        </w:tc>
        <w:tc>
          <w:tcPr>
            <w:tcW w:w="1666" w:type="dxa"/>
            <w:tcBorders>
              <w:top w:val="nil"/>
              <w:left w:val="nil"/>
              <w:bottom w:val="single" w:sz="8" w:space="0" w:color="auto"/>
              <w:right w:val="single" w:sz="4" w:space="0" w:color="auto"/>
            </w:tcBorders>
            <w:shd w:val="clear" w:color="auto" w:fill="auto"/>
            <w:vAlign w:val="center"/>
          </w:tcPr>
          <w:p w14:paraId="3AC9DFE3" w14:textId="77777777" w:rsidR="00E50E59" w:rsidRPr="00881DBE" w:rsidRDefault="00E50E59" w:rsidP="00E50E59">
            <w:pPr>
              <w:jc w:val="center"/>
              <w:rPr>
                <w:rFonts w:ascii="Times New Roman" w:hAnsi="Times New Roman" w:cs="Times New Roman"/>
              </w:rPr>
            </w:pPr>
            <w:r w:rsidRPr="00881DBE">
              <w:rPr>
                <w:rFonts w:ascii="Times New Roman" w:hAnsi="Times New Roman" w:cs="Times New Roman"/>
                <w:sz w:val="24"/>
                <w:szCs w:val="24"/>
              </w:rPr>
              <w:t>1</w:t>
            </w:r>
          </w:p>
        </w:tc>
      </w:tr>
      <w:tr w:rsidR="00E50E59" w:rsidRPr="00881DBE" w14:paraId="791E637B" w14:textId="77777777" w:rsidTr="00945E07">
        <w:trPr>
          <w:trHeight w:val="699"/>
          <w:jc w:val="center"/>
        </w:trPr>
        <w:tc>
          <w:tcPr>
            <w:tcW w:w="3915" w:type="dxa"/>
            <w:vAlign w:val="center"/>
          </w:tcPr>
          <w:p w14:paraId="036FBC6D" w14:textId="77777777" w:rsidR="00E50E59" w:rsidRPr="00881DBE" w:rsidRDefault="00E50E59" w:rsidP="00E50E59">
            <w:pPr>
              <w:jc w:val="center"/>
              <w:rPr>
                <w:rFonts w:ascii="Times New Roman" w:hAnsi="Times New Roman" w:cs="Times New Roman"/>
                <w:b/>
              </w:rPr>
            </w:pPr>
            <w:r w:rsidRPr="00881DBE">
              <w:rPr>
                <w:rFonts w:ascii="Times New Roman" w:hAnsi="Times New Roman" w:cs="Times New Roman"/>
                <w:b/>
              </w:rPr>
              <w:t>Чл. 7. ст. 1. тач. 6) ЗЈН</w:t>
            </w:r>
          </w:p>
          <w:p w14:paraId="709C4F14" w14:textId="77777777" w:rsidR="00E50E59" w:rsidRPr="00881DBE" w:rsidRDefault="00E50E59" w:rsidP="00E50E59">
            <w:pPr>
              <w:jc w:val="center"/>
              <w:rPr>
                <w:rFonts w:ascii="Times New Roman" w:hAnsi="Times New Roman" w:cs="Times New Roman"/>
              </w:rPr>
            </w:pPr>
            <w:r w:rsidRPr="00881DBE">
              <w:rPr>
                <w:rFonts w:ascii="Times New Roman" w:hAnsi="Times New Roman" w:cs="Times New Roman"/>
              </w:rPr>
              <w:t>Набавке добара и услуга ради даље продаје, ради прераде и продаје</w:t>
            </w:r>
          </w:p>
        </w:tc>
        <w:tc>
          <w:tcPr>
            <w:tcW w:w="1204" w:type="dxa"/>
            <w:vAlign w:val="center"/>
          </w:tcPr>
          <w:p w14:paraId="379295EC" w14:textId="77777777" w:rsidR="00E50E59" w:rsidRPr="00881DBE" w:rsidRDefault="001B32B1" w:rsidP="00E50E59">
            <w:pPr>
              <w:jc w:val="center"/>
              <w:rPr>
                <w:rFonts w:ascii="Times New Roman" w:hAnsi="Times New Roman" w:cs="Times New Roman"/>
                <w:lang w:val="en-US"/>
              </w:rPr>
            </w:pPr>
            <w:r w:rsidRPr="00881DBE">
              <w:rPr>
                <w:rFonts w:ascii="Times New Roman" w:hAnsi="Times New Roman" w:cs="Times New Roman"/>
                <w:sz w:val="24"/>
                <w:szCs w:val="24"/>
                <w:lang w:val="en-US"/>
              </w:rPr>
              <w:t>10.222</w:t>
            </w:r>
          </w:p>
        </w:tc>
        <w:tc>
          <w:tcPr>
            <w:tcW w:w="1595" w:type="dxa"/>
            <w:vAlign w:val="center"/>
          </w:tcPr>
          <w:p w14:paraId="0D8E48B1" w14:textId="77777777" w:rsidR="00E50E59" w:rsidRPr="00881DBE" w:rsidRDefault="001B32B1" w:rsidP="00E50E59">
            <w:pPr>
              <w:jc w:val="center"/>
              <w:rPr>
                <w:rFonts w:ascii="Times New Roman" w:hAnsi="Times New Roman" w:cs="Times New Roman"/>
                <w:lang w:val="en-US"/>
              </w:rPr>
            </w:pPr>
            <w:r w:rsidRPr="00881DBE">
              <w:rPr>
                <w:rFonts w:ascii="Times New Roman" w:hAnsi="Times New Roman" w:cs="Times New Roman"/>
                <w:sz w:val="24"/>
                <w:szCs w:val="24"/>
                <w:lang w:val="en-US"/>
              </w:rPr>
              <w:t>3.437.318</w:t>
            </w:r>
          </w:p>
        </w:tc>
        <w:tc>
          <w:tcPr>
            <w:tcW w:w="1624" w:type="dxa"/>
            <w:tcBorders>
              <w:top w:val="nil"/>
              <w:left w:val="nil"/>
              <w:bottom w:val="single" w:sz="8" w:space="0" w:color="auto"/>
              <w:right w:val="single" w:sz="8" w:space="0" w:color="auto"/>
            </w:tcBorders>
            <w:shd w:val="clear" w:color="auto" w:fill="auto"/>
            <w:vAlign w:val="center"/>
          </w:tcPr>
          <w:p w14:paraId="26876C7E" w14:textId="5A657161" w:rsidR="00E50E59" w:rsidRPr="007C2B29" w:rsidRDefault="007C2B29" w:rsidP="00E50E59">
            <w:pPr>
              <w:jc w:val="center"/>
              <w:rPr>
                <w:rFonts w:ascii="Times New Roman" w:hAnsi="Times New Roman" w:cs="Times New Roman"/>
                <w:lang w:val="en-US"/>
              </w:rPr>
            </w:pPr>
            <w:r>
              <w:rPr>
                <w:rFonts w:ascii="Times New Roman" w:hAnsi="Times New Roman" w:cs="Times New Roman"/>
                <w:sz w:val="24"/>
                <w:szCs w:val="24"/>
                <w:lang w:val="en-US"/>
              </w:rPr>
              <w:t>5</w:t>
            </w:r>
          </w:p>
        </w:tc>
        <w:tc>
          <w:tcPr>
            <w:tcW w:w="1666" w:type="dxa"/>
            <w:tcBorders>
              <w:top w:val="nil"/>
              <w:left w:val="nil"/>
              <w:bottom w:val="single" w:sz="8" w:space="0" w:color="auto"/>
              <w:right w:val="single" w:sz="4" w:space="0" w:color="auto"/>
            </w:tcBorders>
            <w:shd w:val="clear" w:color="auto" w:fill="auto"/>
            <w:vAlign w:val="center"/>
          </w:tcPr>
          <w:p w14:paraId="3459EE79" w14:textId="77777777" w:rsidR="00E50E59" w:rsidRPr="00881DBE" w:rsidRDefault="001B32B1" w:rsidP="00E50E59">
            <w:pPr>
              <w:jc w:val="center"/>
              <w:rPr>
                <w:rFonts w:ascii="Times New Roman" w:hAnsi="Times New Roman" w:cs="Times New Roman"/>
                <w:lang w:val="en-US"/>
              </w:rPr>
            </w:pPr>
            <w:r w:rsidRPr="00881DBE">
              <w:rPr>
                <w:rFonts w:ascii="Times New Roman" w:hAnsi="Times New Roman" w:cs="Times New Roman"/>
                <w:sz w:val="24"/>
                <w:szCs w:val="24"/>
                <w:lang w:val="en-US"/>
              </w:rPr>
              <w:t>4</w:t>
            </w:r>
          </w:p>
        </w:tc>
      </w:tr>
      <w:tr w:rsidR="00E50E59" w:rsidRPr="00881DBE" w14:paraId="1D635F0A" w14:textId="77777777" w:rsidTr="00945E07">
        <w:trPr>
          <w:trHeight w:val="462"/>
          <w:jc w:val="center"/>
        </w:trPr>
        <w:tc>
          <w:tcPr>
            <w:tcW w:w="3915" w:type="dxa"/>
            <w:vAlign w:val="center"/>
          </w:tcPr>
          <w:p w14:paraId="1DDB697C" w14:textId="77777777" w:rsidR="00E50E59" w:rsidRPr="00881DBE" w:rsidRDefault="00E50E59" w:rsidP="00E50E59">
            <w:pPr>
              <w:jc w:val="center"/>
              <w:rPr>
                <w:rFonts w:ascii="Times New Roman" w:hAnsi="Times New Roman" w:cs="Times New Roman"/>
                <w:b/>
              </w:rPr>
            </w:pPr>
            <w:r w:rsidRPr="00881DBE">
              <w:rPr>
                <w:rFonts w:ascii="Times New Roman" w:hAnsi="Times New Roman" w:cs="Times New Roman"/>
                <w:b/>
              </w:rPr>
              <w:t xml:space="preserve">Члан 7а ЗЈН </w:t>
            </w:r>
            <w:r w:rsidRPr="00881DBE">
              <w:rPr>
                <w:rFonts w:ascii="Times New Roman" w:hAnsi="Times New Roman" w:cs="Times New Roman"/>
              </w:rPr>
              <w:t>набавке између повезаних лица</w:t>
            </w:r>
          </w:p>
        </w:tc>
        <w:tc>
          <w:tcPr>
            <w:tcW w:w="1204" w:type="dxa"/>
            <w:vAlign w:val="center"/>
          </w:tcPr>
          <w:p w14:paraId="056A8102" w14:textId="77777777" w:rsidR="00E50E59" w:rsidRPr="00881DBE" w:rsidRDefault="0073143B" w:rsidP="00E50E59">
            <w:pPr>
              <w:jc w:val="center"/>
              <w:rPr>
                <w:rFonts w:ascii="Times New Roman" w:hAnsi="Times New Roman" w:cs="Times New Roman"/>
                <w:lang w:val="en-US"/>
              </w:rPr>
            </w:pPr>
            <w:r w:rsidRPr="00881DBE">
              <w:rPr>
                <w:rFonts w:ascii="Times New Roman" w:hAnsi="Times New Roman" w:cs="Times New Roman"/>
                <w:sz w:val="24"/>
                <w:szCs w:val="24"/>
                <w:lang w:val="en-US"/>
              </w:rPr>
              <w:t>574</w:t>
            </w:r>
          </w:p>
        </w:tc>
        <w:tc>
          <w:tcPr>
            <w:tcW w:w="1595" w:type="dxa"/>
            <w:vAlign w:val="center"/>
          </w:tcPr>
          <w:p w14:paraId="61E3DDBA" w14:textId="77777777" w:rsidR="00E50E59" w:rsidRPr="00881DBE" w:rsidRDefault="0073143B" w:rsidP="00E50E59">
            <w:pPr>
              <w:jc w:val="center"/>
              <w:rPr>
                <w:rFonts w:ascii="Times New Roman" w:hAnsi="Times New Roman" w:cs="Times New Roman"/>
                <w:lang w:val="en-US"/>
              </w:rPr>
            </w:pPr>
            <w:r w:rsidRPr="00881DBE">
              <w:rPr>
                <w:rFonts w:ascii="Times New Roman" w:hAnsi="Times New Roman" w:cs="Times New Roman"/>
                <w:sz w:val="24"/>
                <w:szCs w:val="24"/>
                <w:lang w:val="en-US"/>
              </w:rPr>
              <w:t>11.947.025</w:t>
            </w:r>
          </w:p>
        </w:tc>
        <w:tc>
          <w:tcPr>
            <w:tcW w:w="1624" w:type="dxa"/>
            <w:tcBorders>
              <w:top w:val="nil"/>
              <w:left w:val="nil"/>
              <w:bottom w:val="single" w:sz="8" w:space="0" w:color="auto"/>
              <w:right w:val="single" w:sz="8" w:space="0" w:color="auto"/>
            </w:tcBorders>
            <w:shd w:val="clear" w:color="auto" w:fill="auto"/>
            <w:vAlign w:val="center"/>
          </w:tcPr>
          <w:p w14:paraId="7DBE04A7" w14:textId="77777777" w:rsidR="00E50E59" w:rsidRPr="00881DBE" w:rsidRDefault="00B825C6" w:rsidP="00E50E59">
            <w:pPr>
              <w:jc w:val="center"/>
              <w:rPr>
                <w:rFonts w:ascii="Times New Roman" w:hAnsi="Times New Roman" w:cs="Times New Roman"/>
                <w:lang w:val="sr-Cyrl-RS"/>
              </w:rPr>
            </w:pPr>
            <w:r w:rsidRPr="00881DBE">
              <w:rPr>
                <w:rFonts w:ascii="Times New Roman" w:hAnsi="Times New Roman" w:cs="Times New Roman"/>
                <w:sz w:val="24"/>
                <w:szCs w:val="24"/>
                <w:lang w:val="sr-Cyrl-RS"/>
              </w:rPr>
              <w:t>1</w:t>
            </w:r>
          </w:p>
        </w:tc>
        <w:tc>
          <w:tcPr>
            <w:tcW w:w="1666" w:type="dxa"/>
            <w:tcBorders>
              <w:top w:val="nil"/>
              <w:left w:val="nil"/>
              <w:bottom w:val="single" w:sz="8" w:space="0" w:color="auto"/>
              <w:right w:val="single" w:sz="4" w:space="0" w:color="auto"/>
            </w:tcBorders>
            <w:shd w:val="clear" w:color="auto" w:fill="auto"/>
            <w:vAlign w:val="center"/>
          </w:tcPr>
          <w:p w14:paraId="7DC583EF" w14:textId="77777777" w:rsidR="00E50E59" w:rsidRPr="00881DBE" w:rsidRDefault="0073143B" w:rsidP="00E50E59">
            <w:pPr>
              <w:jc w:val="center"/>
              <w:rPr>
                <w:rFonts w:ascii="Times New Roman" w:hAnsi="Times New Roman" w:cs="Times New Roman"/>
                <w:lang w:val="en-US"/>
              </w:rPr>
            </w:pPr>
            <w:r w:rsidRPr="00881DBE">
              <w:rPr>
                <w:rFonts w:ascii="Times New Roman" w:hAnsi="Times New Roman" w:cs="Times New Roman"/>
                <w:sz w:val="24"/>
                <w:szCs w:val="24"/>
                <w:lang w:val="en-US"/>
              </w:rPr>
              <w:t>13</w:t>
            </w:r>
          </w:p>
        </w:tc>
      </w:tr>
      <w:tr w:rsidR="00E50E59" w:rsidRPr="00881DBE" w14:paraId="5E6D905C" w14:textId="77777777" w:rsidTr="00945E07">
        <w:trPr>
          <w:trHeight w:val="699"/>
          <w:jc w:val="center"/>
        </w:trPr>
        <w:tc>
          <w:tcPr>
            <w:tcW w:w="3915" w:type="dxa"/>
            <w:vAlign w:val="center"/>
          </w:tcPr>
          <w:p w14:paraId="0841B5D0" w14:textId="77777777" w:rsidR="00E50E59" w:rsidRPr="00881DBE" w:rsidRDefault="00E50E59" w:rsidP="00E50E59">
            <w:pPr>
              <w:jc w:val="center"/>
              <w:rPr>
                <w:rFonts w:ascii="Times New Roman" w:hAnsi="Times New Roman" w:cs="Times New Roman"/>
                <w:b/>
              </w:rPr>
            </w:pPr>
            <w:r w:rsidRPr="00881DBE">
              <w:rPr>
                <w:rFonts w:ascii="Times New Roman" w:hAnsi="Times New Roman" w:cs="Times New Roman"/>
                <w:b/>
              </w:rPr>
              <w:t>Чл. 39. ст. 2. ЗЈН</w:t>
            </w:r>
          </w:p>
          <w:p w14:paraId="5BE8A25C" w14:textId="77777777" w:rsidR="00E50E59" w:rsidRPr="00881DBE" w:rsidRDefault="00E50E59" w:rsidP="00E50E59">
            <w:pPr>
              <w:jc w:val="center"/>
              <w:rPr>
                <w:rFonts w:ascii="Times New Roman" w:hAnsi="Times New Roman" w:cs="Times New Roman"/>
              </w:rPr>
            </w:pPr>
            <w:r w:rsidRPr="00881DBE">
              <w:rPr>
                <w:rFonts w:ascii="Times New Roman" w:hAnsi="Times New Roman" w:cs="Times New Roman"/>
              </w:rPr>
              <w:t>Набавке испод доњег лимита за јавне набавке мале вредности</w:t>
            </w:r>
          </w:p>
        </w:tc>
        <w:tc>
          <w:tcPr>
            <w:tcW w:w="1204" w:type="dxa"/>
            <w:vAlign w:val="center"/>
          </w:tcPr>
          <w:p w14:paraId="06A98D4D" w14:textId="77777777" w:rsidR="00E50E59" w:rsidRPr="00881DBE" w:rsidRDefault="0073143B" w:rsidP="00E50E59">
            <w:pPr>
              <w:jc w:val="center"/>
              <w:rPr>
                <w:rFonts w:ascii="Times New Roman" w:hAnsi="Times New Roman" w:cs="Times New Roman"/>
                <w:lang w:val="en-US"/>
              </w:rPr>
            </w:pPr>
            <w:r w:rsidRPr="00881DBE">
              <w:rPr>
                <w:rFonts w:ascii="Times New Roman" w:hAnsi="Times New Roman" w:cs="Times New Roman"/>
                <w:sz w:val="24"/>
                <w:szCs w:val="24"/>
                <w:lang w:val="en-US"/>
              </w:rPr>
              <w:t>134.312</w:t>
            </w:r>
          </w:p>
        </w:tc>
        <w:tc>
          <w:tcPr>
            <w:tcW w:w="1595" w:type="dxa"/>
            <w:vAlign w:val="center"/>
          </w:tcPr>
          <w:p w14:paraId="319E6956" w14:textId="77777777" w:rsidR="00E50E59" w:rsidRPr="00881DBE" w:rsidRDefault="0073143B" w:rsidP="00E50E59">
            <w:pPr>
              <w:jc w:val="center"/>
              <w:rPr>
                <w:rFonts w:ascii="Times New Roman" w:hAnsi="Times New Roman" w:cs="Times New Roman"/>
                <w:lang w:val="en-US"/>
              </w:rPr>
            </w:pPr>
            <w:r w:rsidRPr="00881DBE">
              <w:rPr>
                <w:rFonts w:ascii="Times New Roman" w:hAnsi="Times New Roman" w:cs="Times New Roman"/>
                <w:sz w:val="24"/>
                <w:szCs w:val="24"/>
                <w:lang w:val="en-US"/>
              </w:rPr>
              <w:t>17.742.348</w:t>
            </w:r>
          </w:p>
        </w:tc>
        <w:tc>
          <w:tcPr>
            <w:tcW w:w="1624" w:type="dxa"/>
            <w:tcBorders>
              <w:top w:val="nil"/>
              <w:left w:val="nil"/>
              <w:bottom w:val="single" w:sz="8" w:space="0" w:color="auto"/>
              <w:right w:val="single" w:sz="8" w:space="0" w:color="auto"/>
            </w:tcBorders>
            <w:shd w:val="clear" w:color="auto" w:fill="auto"/>
            <w:vAlign w:val="center"/>
          </w:tcPr>
          <w:p w14:paraId="253BE215" w14:textId="5D5AB2E8" w:rsidR="00E50E59" w:rsidRPr="007C2B29" w:rsidRDefault="0073143B" w:rsidP="007C2B29">
            <w:pPr>
              <w:jc w:val="center"/>
              <w:rPr>
                <w:rFonts w:ascii="Times New Roman" w:hAnsi="Times New Roman" w:cs="Times New Roman"/>
                <w:lang w:val="en-US"/>
              </w:rPr>
            </w:pPr>
            <w:r w:rsidRPr="00881DBE">
              <w:rPr>
                <w:rFonts w:ascii="Times New Roman" w:hAnsi="Times New Roman" w:cs="Times New Roman"/>
                <w:sz w:val="24"/>
                <w:szCs w:val="24"/>
                <w:lang w:val="en-US"/>
              </w:rPr>
              <w:t>7</w:t>
            </w:r>
            <w:r w:rsidR="007C2B29">
              <w:rPr>
                <w:rFonts w:ascii="Times New Roman" w:hAnsi="Times New Roman" w:cs="Times New Roman"/>
                <w:sz w:val="24"/>
                <w:szCs w:val="24"/>
                <w:lang w:val="en-US"/>
              </w:rPr>
              <w:t>3</w:t>
            </w:r>
          </w:p>
        </w:tc>
        <w:tc>
          <w:tcPr>
            <w:tcW w:w="1666" w:type="dxa"/>
            <w:tcBorders>
              <w:top w:val="nil"/>
              <w:left w:val="nil"/>
              <w:bottom w:val="single" w:sz="8" w:space="0" w:color="auto"/>
              <w:right w:val="single" w:sz="4" w:space="0" w:color="auto"/>
            </w:tcBorders>
            <w:shd w:val="clear" w:color="auto" w:fill="auto"/>
            <w:vAlign w:val="center"/>
          </w:tcPr>
          <w:p w14:paraId="055D114E" w14:textId="77777777" w:rsidR="00E50E59" w:rsidRPr="00881DBE" w:rsidRDefault="0073143B" w:rsidP="00E50E59">
            <w:pPr>
              <w:jc w:val="center"/>
              <w:rPr>
                <w:rFonts w:ascii="Times New Roman" w:hAnsi="Times New Roman" w:cs="Times New Roman"/>
                <w:lang w:val="en-US"/>
              </w:rPr>
            </w:pPr>
            <w:r w:rsidRPr="00881DBE">
              <w:rPr>
                <w:rFonts w:ascii="Times New Roman" w:hAnsi="Times New Roman" w:cs="Times New Roman"/>
                <w:sz w:val="24"/>
                <w:szCs w:val="24"/>
                <w:lang w:val="en-US"/>
              </w:rPr>
              <w:t>20</w:t>
            </w:r>
          </w:p>
        </w:tc>
      </w:tr>
      <w:tr w:rsidR="00E50E59" w:rsidRPr="00881DBE" w14:paraId="3944F473" w14:textId="77777777" w:rsidTr="00945E07">
        <w:trPr>
          <w:trHeight w:val="923"/>
          <w:jc w:val="center"/>
        </w:trPr>
        <w:tc>
          <w:tcPr>
            <w:tcW w:w="3915" w:type="dxa"/>
            <w:vAlign w:val="center"/>
          </w:tcPr>
          <w:p w14:paraId="2C480E03" w14:textId="77777777" w:rsidR="00E50E59" w:rsidRPr="00881DBE" w:rsidRDefault="00E50E59" w:rsidP="00E50E59">
            <w:pPr>
              <w:jc w:val="center"/>
              <w:rPr>
                <w:rFonts w:ascii="Times New Roman" w:hAnsi="Times New Roman" w:cs="Times New Roman"/>
                <w:b/>
              </w:rPr>
            </w:pPr>
            <w:r w:rsidRPr="00881DBE">
              <w:rPr>
                <w:rFonts w:ascii="Times New Roman" w:hAnsi="Times New Roman" w:cs="Times New Roman"/>
                <w:b/>
              </w:rPr>
              <w:t>Чл. 122. ст. 1. тач. 4) ЗЈН</w:t>
            </w:r>
          </w:p>
          <w:p w14:paraId="634E54D7" w14:textId="77777777" w:rsidR="00E50E59" w:rsidRPr="00881DBE" w:rsidRDefault="00E50E59" w:rsidP="00E50E59">
            <w:pPr>
              <w:jc w:val="center"/>
              <w:rPr>
                <w:rFonts w:ascii="Times New Roman" w:hAnsi="Times New Roman" w:cs="Times New Roman"/>
              </w:rPr>
            </w:pPr>
            <w:r w:rsidRPr="00881DBE">
              <w:rPr>
                <w:rFonts w:ascii="Times New Roman" w:hAnsi="Times New Roman" w:cs="Times New Roman"/>
              </w:rPr>
              <w:t>Набавка енергије или горива за производњу енергије</w:t>
            </w:r>
          </w:p>
          <w:p w14:paraId="4F19AE72" w14:textId="77777777" w:rsidR="00E50E59" w:rsidRPr="00881DBE" w:rsidRDefault="00E50E59" w:rsidP="00E50E59">
            <w:pPr>
              <w:jc w:val="center"/>
              <w:rPr>
                <w:rFonts w:ascii="Times New Roman" w:hAnsi="Times New Roman" w:cs="Times New Roman"/>
              </w:rPr>
            </w:pPr>
            <w:r w:rsidRPr="00881DBE">
              <w:rPr>
                <w:rFonts w:ascii="Times New Roman" w:hAnsi="Times New Roman" w:cs="Times New Roman"/>
              </w:rPr>
              <w:t>у области енергетике</w:t>
            </w:r>
          </w:p>
        </w:tc>
        <w:tc>
          <w:tcPr>
            <w:tcW w:w="1204" w:type="dxa"/>
            <w:vAlign w:val="center"/>
          </w:tcPr>
          <w:p w14:paraId="27462C4C" w14:textId="77777777" w:rsidR="00E50E59" w:rsidRPr="00881DBE" w:rsidRDefault="0073143B" w:rsidP="00E50E59">
            <w:pPr>
              <w:jc w:val="center"/>
              <w:rPr>
                <w:rFonts w:ascii="Times New Roman" w:hAnsi="Times New Roman" w:cs="Times New Roman"/>
                <w:lang w:val="en-US"/>
              </w:rPr>
            </w:pPr>
            <w:r w:rsidRPr="00881DBE">
              <w:rPr>
                <w:rFonts w:ascii="Times New Roman" w:hAnsi="Times New Roman" w:cs="Times New Roman"/>
                <w:sz w:val="24"/>
                <w:szCs w:val="24"/>
                <w:lang w:val="en-US"/>
              </w:rPr>
              <w:t>421</w:t>
            </w:r>
          </w:p>
        </w:tc>
        <w:tc>
          <w:tcPr>
            <w:tcW w:w="1595" w:type="dxa"/>
            <w:vAlign w:val="center"/>
          </w:tcPr>
          <w:p w14:paraId="4A1E3421" w14:textId="77777777" w:rsidR="00E50E59" w:rsidRPr="00881DBE" w:rsidRDefault="0073143B" w:rsidP="00E50E59">
            <w:pPr>
              <w:jc w:val="center"/>
              <w:rPr>
                <w:rFonts w:ascii="Times New Roman" w:hAnsi="Times New Roman" w:cs="Times New Roman"/>
                <w:lang w:val="en-US"/>
              </w:rPr>
            </w:pPr>
            <w:r w:rsidRPr="00881DBE">
              <w:rPr>
                <w:rFonts w:ascii="Times New Roman" w:hAnsi="Times New Roman" w:cs="Times New Roman"/>
                <w:sz w:val="24"/>
                <w:szCs w:val="24"/>
                <w:lang w:val="en-US"/>
              </w:rPr>
              <w:t>22.681.276</w:t>
            </w:r>
          </w:p>
        </w:tc>
        <w:tc>
          <w:tcPr>
            <w:tcW w:w="1624" w:type="dxa"/>
            <w:tcBorders>
              <w:top w:val="single" w:sz="8" w:space="0" w:color="auto"/>
              <w:left w:val="nil"/>
              <w:bottom w:val="single" w:sz="8" w:space="0" w:color="auto"/>
              <w:right w:val="single" w:sz="8" w:space="0" w:color="auto"/>
            </w:tcBorders>
            <w:shd w:val="clear" w:color="auto" w:fill="auto"/>
            <w:vAlign w:val="center"/>
          </w:tcPr>
          <w:p w14:paraId="03C2ABA3" w14:textId="77777777" w:rsidR="00E50E59" w:rsidRPr="00881DBE" w:rsidRDefault="00B825C6" w:rsidP="00E50E59">
            <w:pPr>
              <w:jc w:val="center"/>
              <w:rPr>
                <w:rFonts w:ascii="Times New Roman" w:hAnsi="Times New Roman" w:cs="Times New Roman"/>
                <w:lang w:val="sr-Cyrl-RS"/>
              </w:rPr>
            </w:pPr>
            <w:r w:rsidRPr="00881DBE">
              <w:rPr>
                <w:rFonts w:ascii="Times New Roman" w:hAnsi="Times New Roman" w:cs="Times New Roman"/>
                <w:sz w:val="24"/>
                <w:szCs w:val="24"/>
                <w:lang w:val="sr-Cyrl-RS"/>
              </w:rPr>
              <w:t>0</w:t>
            </w:r>
          </w:p>
        </w:tc>
        <w:tc>
          <w:tcPr>
            <w:tcW w:w="1666" w:type="dxa"/>
            <w:tcBorders>
              <w:top w:val="single" w:sz="8" w:space="0" w:color="auto"/>
              <w:left w:val="nil"/>
              <w:bottom w:val="single" w:sz="8" w:space="0" w:color="auto"/>
              <w:right w:val="single" w:sz="4" w:space="0" w:color="auto"/>
            </w:tcBorders>
            <w:shd w:val="clear" w:color="auto" w:fill="auto"/>
            <w:vAlign w:val="center"/>
          </w:tcPr>
          <w:p w14:paraId="5E3F30EE" w14:textId="77777777" w:rsidR="00E50E59" w:rsidRPr="00881DBE" w:rsidRDefault="0073143B" w:rsidP="00E50E59">
            <w:pPr>
              <w:jc w:val="center"/>
              <w:rPr>
                <w:rFonts w:ascii="Times New Roman" w:hAnsi="Times New Roman" w:cs="Times New Roman"/>
                <w:lang w:val="en-US"/>
              </w:rPr>
            </w:pPr>
            <w:r w:rsidRPr="00881DBE">
              <w:rPr>
                <w:rFonts w:ascii="Times New Roman" w:hAnsi="Times New Roman" w:cs="Times New Roman"/>
                <w:sz w:val="24"/>
                <w:szCs w:val="24"/>
                <w:lang w:val="en-US"/>
              </w:rPr>
              <w:t>25</w:t>
            </w:r>
          </w:p>
        </w:tc>
      </w:tr>
      <w:tr w:rsidR="00E50E59" w:rsidRPr="00881DBE" w14:paraId="0837F414" w14:textId="77777777" w:rsidTr="00945E07">
        <w:trPr>
          <w:trHeight w:val="265"/>
          <w:jc w:val="center"/>
        </w:trPr>
        <w:tc>
          <w:tcPr>
            <w:tcW w:w="3915" w:type="dxa"/>
            <w:vAlign w:val="center"/>
          </w:tcPr>
          <w:p w14:paraId="2562BF63" w14:textId="77777777" w:rsidR="00E50E59" w:rsidRPr="00881DBE" w:rsidRDefault="00E50E59" w:rsidP="00E50E59">
            <w:pPr>
              <w:jc w:val="center"/>
              <w:rPr>
                <w:rFonts w:ascii="Times New Roman" w:hAnsi="Times New Roman" w:cs="Times New Roman"/>
                <w:b/>
              </w:rPr>
            </w:pPr>
            <w:r w:rsidRPr="00881DBE">
              <w:rPr>
                <w:rFonts w:ascii="Times New Roman" w:hAnsi="Times New Roman" w:cs="Times New Roman"/>
                <w:b/>
              </w:rPr>
              <w:t>Чл. 7. ст. 1 тач. 10) ЗЈН</w:t>
            </w:r>
          </w:p>
        </w:tc>
        <w:tc>
          <w:tcPr>
            <w:tcW w:w="1204" w:type="dxa"/>
            <w:vAlign w:val="center"/>
          </w:tcPr>
          <w:p w14:paraId="58550A1C" w14:textId="77777777" w:rsidR="00E50E59" w:rsidRPr="00881DBE" w:rsidRDefault="0073143B" w:rsidP="00E50E59">
            <w:pPr>
              <w:jc w:val="center"/>
              <w:rPr>
                <w:rFonts w:ascii="Times New Roman" w:hAnsi="Times New Roman" w:cs="Times New Roman"/>
                <w:lang w:val="en-US"/>
              </w:rPr>
            </w:pPr>
            <w:r w:rsidRPr="00881DBE">
              <w:rPr>
                <w:rFonts w:ascii="Times New Roman" w:hAnsi="Times New Roman" w:cs="Times New Roman"/>
                <w:sz w:val="24"/>
                <w:szCs w:val="24"/>
                <w:lang w:val="en-US"/>
              </w:rPr>
              <w:t>4.465</w:t>
            </w:r>
          </w:p>
        </w:tc>
        <w:tc>
          <w:tcPr>
            <w:tcW w:w="1595" w:type="dxa"/>
            <w:vAlign w:val="center"/>
          </w:tcPr>
          <w:p w14:paraId="5171C982" w14:textId="77777777" w:rsidR="00E50E59" w:rsidRPr="00881DBE" w:rsidRDefault="0073143B" w:rsidP="00E50E59">
            <w:pPr>
              <w:jc w:val="center"/>
              <w:rPr>
                <w:lang w:val="en-US"/>
              </w:rPr>
            </w:pPr>
            <w:r w:rsidRPr="00881DBE">
              <w:rPr>
                <w:rFonts w:ascii="Times New Roman" w:hAnsi="Times New Roman" w:cs="Times New Roman"/>
                <w:sz w:val="24"/>
                <w:szCs w:val="24"/>
                <w:lang w:val="en-US"/>
              </w:rPr>
              <w:t>1.585.442</w:t>
            </w:r>
          </w:p>
        </w:tc>
        <w:tc>
          <w:tcPr>
            <w:tcW w:w="1624" w:type="dxa"/>
            <w:tcBorders>
              <w:top w:val="single" w:sz="8" w:space="0" w:color="auto"/>
              <w:left w:val="nil"/>
              <w:bottom w:val="single" w:sz="8" w:space="0" w:color="auto"/>
              <w:right w:val="single" w:sz="8" w:space="0" w:color="auto"/>
            </w:tcBorders>
            <w:shd w:val="clear" w:color="auto" w:fill="auto"/>
            <w:vAlign w:val="center"/>
          </w:tcPr>
          <w:p w14:paraId="154C6B4D" w14:textId="77777777" w:rsidR="00E50E59" w:rsidRPr="00881DBE" w:rsidRDefault="00E50E59" w:rsidP="00E50E59">
            <w:pPr>
              <w:jc w:val="center"/>
              <w:rPr>
                <w:rFonts w:ascii="Times New Roman" w:hAnsi="Times New Roman" w:cs="Times New Roman"/>
              </w:rPr>
            </w:pPr>
            <w:r w:rsidRPr="00881DBE">
              <w:rPr>
                <w:rFonts w:ascii="Times New Roman" w:hAnsi="Times New Roman" w:cs="Times New Roman"/>
                <w:sz w:val="24"/>
                <w:szCs w:val="24"/>
              </w:rPr>
              <w:t>2</w:t>
            </w:r>
          </w:p>
        </w:tc>
        <w:tc>
          <w:tcPr>
            <w:tcW w:w="1666" w:type="dxa"/>
            <w:tcBorders>
              <w:top w:val="single" w:sz="8" w:space="0" w:color="auto"/>
              <w:left w:val="nil"/>
              <w:bottom w:val="single" w:sz="8" w:space="0" w:color="auto"/>
              <w:right w:val="single" w:sz="4" w:space="0" w:color="auto"/>
            </w:tcBorders>
            <w:shd w:val="clear" w:color="auto" w:fill="auto"/>
            <w:vAlign w:val="center"/>
          </w:tcPr>
          <w:p w14:paraId="2FBD321B" w14:textId="77777777" w:rsidR="00E50E59" w:rsidRPr="00881DBE" w:rsidRDefault="00E50E59" w:rsidP="00E50E59">
            <w:pPr>
              <w:jc w:val="center"/>
              <w:rPr>
                <w:rFonts w:ascii="Times New Roman" w:hAnsi="Times New Roman" w:cs="Times New Roman"/>
              </w:rPr>
            </w:pPr>
            <w:r w:rsidRPr="00881DBE">
              <w:rPr>
                <w:rFonts w:ascii="Times New Roman" w:hAnsi="Times New Roman" w:cs="Times New Roman"/>
                <w:sz w:val="24"/>
                <w:szCs w:val="24"/>
              </w:rPr>
              <w:t>2</w:t>
            </w:r>
          </w:p>
        </w:tc>
      </w:tr>
      <w:tr w:rsidR="00E50E59" w:rsidRPr="00881DBE" w14:paraId="016D369F" w14:textId="77777777" w:rsidTr="00945E07">
        <w:trPr>
          <w:trHeight w:val="251"/>
          <w:jc w:val="center"/>
        </w:trPr>
        <w:tc>
          <w:tcPr>
            <w:tcW w:w="3915" w:type="dxa"/>
            <w:vAlign w:val="center"/>
          </w:tcPr>
          <w:p w14:paraId="659B5491" w14:textId="77777777" w:rsidR="00E50E59" w:rsidRPr="00881DBE" w:rsidRDefault="00E50E59" w:rsidP="00E50E59">
            <w:pPr>
              <w:jc w:val="center"/>
              <w:rPr>
                <w:rFonts w:ascii="Times New Roman" w:hAnsi="Times New Roman" w:cs="Times New Roman"/>
                <w:b/>
              </w:rPr>
            </w:pPr>
            <w:r w:rsidRPr="00881DBE">
              <w:rPr>
                <w:rFonts w:ascii="Times New Roman" w:hAnsi="Times New Roman" w:cs="Times New Roman"/>
                <w:b/>
              </w:rPr>
              <w:t>Остало</w:t>
            </w:r>
          </w:p>
        </w:tc>
        <w:tc>
          <w:tcPr>
            <w:tcW w:w="1204" w:type="dxa"/>
            <w:vAlign w:val="center"/>
          </w:tcPr>
          <w:p w14:paraId="13082C73" w14:textId="77777777" w:rsidR="00E50E59" w:rsidRPr="00881DBE" w:rsidRDefault="0073143B" w:rsidP="00E50E59">
            <w:pPr>
              <w:jc w:val="center"/>
              <w:rPr>
                <w:rFonts w:ascii="Times New Roman" w:hAnsi="Times New Roman" w:cs="Times New Roman"/>
                <w:lang w:val="en-US"/>
              </w:rPr>
            </w:pPr>
            <w:r w:rsidRPr="00881DBE">
              <w:rPr>
                <w:rFonts w:ascii="Times New Roman" w:hAnsi="Times New Roman" w:cs="Times New Roman"/>
                <w:sz w:val="24"/>
                <w:szCs w:val="24"/>
                <w:lang w:val="en-US"/>
              </w:rPr>
              <w:t>3.872</w:t>
            </w:r>
          </w:p>
        </w:tc>
        <w:tc>
          <w:tcPr>
            <w:tcW w:w="1595" w:type="dxa"/>
            <w:vAlign w:val="center"/>
          </w:tcPr>
          <w:p w14:paraId="3B9DEF3A" w14:textId="77777777" w:rsidR="00E50E59" w:rsidRPr="00881DBE" w:rsidRDefault="0073143B" w:rsidP="00E50E59">
            <w:pPr>
              <w:jc w:val="center"/>
              <w:rPr>
                <w:lang w:val="en-US"/>
              </w:rPr>
            </w:pPr>
            <w:r w:rsidRPr="00881DBE">
              <w:rPr>
                <w:rFonts w:ascii="Times New Roman" w:hAnsi="Times New Roman" w:cs="Times New Roman"/>
                <w:sz w:val="24"/>
                <w:szCs w:val="24"/>
                <w:lang w:val="en-US"/>
              </w:rPr>
              <w:t>2.313.046</w:t>
            </w:r>
          </w:p>
        </w:tc>
        <w:tc>
          <w:tcPr>
            <w:tcW w:w="1624" w:type="dxa"/>
            <w:tcBorders>
              <w:top w:val="single" w:sz="8" w:space="0" w:color="auto"/>
              <w:left w:val="nil"/>
              <w:bottom w:val="single" w:sz="8" w:space="0" w:color="auto"/>
              <w:right w:val="single" w:sz="8" w:space="0" w:color="auto"/>
            </w:tcBorders>
            <w:shd w:val="clear" w:color="auto" w:fill="auto"/>
            <w:vAlign w:val="center"/>
          </w:tcPr>
          <w:p w14:paraId="34EF476F" w14:textId="43D29B84" w:rsidR="00E50E59" w:rsidRPr="007C2B29" w:rsidRDefault="007C2B29" w:rsidP="00E50E59">
            <w:pPr>
              <w:jc w:val="center"/>
              <w:rPr>
                <w:rFonts w:ascii="Times New Roman" w:hAnsi="Times New Roman" w:cs="Times New Roman"/>
                <w:lang w:val="en-US"/>
              </w:rPr>
            </w:pPr>
            <w:r>
              <w:rPr>
                <w:rFonts w:ascii="Times New Roman" w:hAnsi="Times New Roman" w:cs="Times New Roman"/>
                <w:sz w:val="24"/>
                <w:szCs w:val="24"/>
                <w:lang w:val="en-US"/>
              </w:rPr>
              <w:t>2</w:t>
            </w:r>
          </w:p>
        </w:tc>
        <w:tc>
          <w:tcPr>
            <w:tcW w:w="1666" w:type="dxa"/>
            <w:tcBorders>
              <w:top w:val="single" w:sz="8" w:space="0" w:color="auto"/>
              <w:left w:val="nil"/>
              <w:bottom w:val="single" w:sz="8" w:space="0" w:color="auto"/>
              <w:right w:val="single" w:sz="4" w:space="0" w:color="auto"/>
            </w:tcBorders>
            <w:shd w:val="clear" w:color="auto" w:fill="auto"/>
            <w:vAlign w:val="center"/>
          </w:tcPr>
          <w:p w14:paraId="5A942C1D" w14:textId="77777777" w:rsidR="00E50E59" w:rsidRPr="00881DBE" w:rsidRDefault="0073143B" w:rsidP="00E50E59">
            <w:pPr>
              <w:jc w:val="center"/>
              <w:rPr>
                <w:rFonts w:ascii="Times New Roman" w:hAnsi="Times New Roman" w:cs="Times New Roman"/>
                <w:lang w:val="en-US"/>
              </w:rPr>
            </w:pPr>
            <w:r w:rsidRPr="00881DBE">
              <w:rPr>
                <w:rFonts w:ascii="Times New Roman" w:hAnsi="Times New Roman" w:cs="Times New Roman"/>
                <w:sz w:val="24"/>
                <w:szCs w:val="24"/>
                <w:lang w:val="en-US"/>
              </w:rPr>
              <w:t>3</w:t>
            </w:r>
          </w:p>
        </w:tc>
      </w:tr>
      <w:tr w:rsidR="00E50E59" w:rsidRPr="00881DBE" w14:paraId="66D77986" w14:textId="77777777" w:rsidTr="00945E07">
        <w:trPr>
          <w:trHeight w:val="128"/>
          <w:jc w:val="center"/>
        </w:trPr>
        <w:tc>
          <w:tcPr>
            <w:tcW w:w="3915" w:type="dxa"/>
            <w:vAlign w:val="center"/>
          </w:tcPr>
          <w:p w14:paraId="55D51C52" w14:textId="77777777" w:rsidR="00E50E59" w:rsidRPr="00881DBE" w:rsidRDefault="00E50E59" w:rsidP="00E50E59">
            <w:pPr>
              <w:jc w:val="center"/>
              <w:rPr>
                <w:rFonts w:ascii="Times New Roman" w:hAnsi="Times New Roman" w:cs="Times New Roman"/>
                <w:b/>
              </w:rPr>
            </w:pPr>
            <w:r w:rsidRPr="00881DBE">
              <w:rPr>
                <w:rFonts w:ascii="Times New Roman" w:hAnsi="Times New Roman" w:cs="Times New Roman"/>
                <w:b/>
              </w:rPr>
              <w:t>Укупно</w:t>
            </w:r>
          </w:p>
        </w:tc>
        <w:tc>
          <w:tcPr>
            <w:tcW w:w="1204" w:type="dxa"/>
            <w:vAlign w:val="center"/>
          </w:tcPr>
          <w:p w14:paraId="6BAC5638" w14:textId="77777777" w:rsidR="00E50E59" w:rsidRPr="00881DBE" w:rsidRDefault="0073143B" w:rsidP="00E50E59">
            <w:pPr>
              <w:jc w:val="center"/>
              <w:rPr>
                <w:rFonts w:ascii="Times New Roman" w:hAnsi="Times New Roman" w:cs="Times New Roman"/>
                <w:b/>
                <w:lang w:val="en-US"/>
              </w:rPr>
            </w:pPr>
            <w:r w:rsidRPr="00881DBE">
              <w:rPr>
                <w:rFonts w:ascii="Times New Roman" w:hAnsi="Times New Roman" w:cs="Times New Roman"/>
                <w:b/>
                <w:sz w:val="24"/>
                <w:szCs w:val="24"/>
                <w:lang w:val="en-US"/>
              </w:rPr>
              <w:t>182.918</w:t>
            </w:r>
          </w:p>
        </w:tc>
        <w:tc>
          <w:tcPr>
            <w:tcW w:w="1595" w:type="dxa"/>
            <w:vAlign w:val="center"/>
          </w:tcPr>
          <w:p w14:paraId="4D74A53E" w14:textId="77777777" w:rsidR="00E50E59" w:rsidRPr="00881DBE" w:rsidRDefault="00A20DA7" w:rsidP="00E50E59">
            <w:pPr>
              <w:jc w:val="center"/>
              <w:rPr>
                <w:rFonts w:ascii="Times New Roman" w:hAnsi="Times New Roman" w:cs="Times New Roman"/>
                <w:b/>
                <w:lang w:val="en-US"/>
              </w:rPr>
            </w:pPr>
            <w:r w:rsidRPr="00881DBE">
              <w:rPr>
                <w:rFonts w:ascii="Times New Roman" w:hAnsi="Times New Roman" w:cs="Times New Roman"/>
                <w:b/>
                <w:sz w:val="24"/>
                <w:szCs w:val="24"/>
                <w:lang w:val="en-US"/>
              </w:rPr>
              <w:t>89.918.307</w:t>
            </w:r>
          </w:p>
        </w:tc>
        <w:tc>
          <w:tcPr>
            <w:tcW w:w="1624" w:type="dxa"/>
            <w:tcBorders>
              <w:top w:val="single" w:sz="8" w:space="0" w:color="auto"/>
              <w:left w:val="nil"/>
              <w:bottom w:val="single" w:sz="8" w:space="0" w:color="auto"/>
              <w:right w:val="single" w:sz="8" w:space="0" w:color="auto"/>
            </w:tcBorders>
            <w:shd w:val="clear" w:color="auto" w:fill="auto"/>
            <w:vAlign w:val="bottom"/>
          </w:tcPr>
          <w:p w14:paraId="0EF421F4" w14:textId="77777777" w:rsidR="00E50E59" w:rsidRPr="00881DBE" w:rsidRDefault="00A20DA7" w:rsidP="00E50E59">
            <w:pPr>
              <w:jc w:val="center"/>
              <w:rPr>
                <w:rFonts w:ascii="Times New Roman" w:hAnsi="Times New Roman" w:cs="Times New Roman"/>
                <w:b/>
                <w:lang w:val="en-US"/>
              </w:rPr>
            </w:pPr>
            <w:r w:rsidRPr="00881DBE">
              <w:rPr>
                <w:rFonts w:ascii="Times New Roman" w:hAnsi="Times New Roman" w:cs="Times New Roman"/>
                <w:b/>
                <w:sz w:val="24"/>
                <w:szCs w:val="24"/>
                <w:lang w:val="en-US"/>
              </w:rPr>
              <w:t>100</w:t>
            </w:r>
          </w:p>
        </w:tc>
        <w:tc>
          <w:tcPr>
            <w:tcW w:w="1666" w:type="dxa"/>
            <w:tcBorders>
              <w:top w:val="single" w:sz="8" w:space="0" w:color="auto"/>
              <w:left w:val="single" w:sz="8" w:space="0" w:color="auto"/>
              <w:bottom w:val="single" w:sz="8" w:space="0" w:color="auto"/>
              <w:right w:val="single" w:sz="4" w:space="0" w:color="auto"/>
            </w:tcBorders>
            <w:shd w:val="clear" w:color="auto" w:fill="auto"/>
            <w:vAlign w:val="bottom"/>
          </w:tcPr>
          <w:p w14:paraId="46C74CBB" w14:textId="77777777" w:rsidR="00E50E59" w:rsidRPr="00881DBE" w:rsidRDefault="00E50E59" w:rsidP="00E50E59">
            <w:pPr>
              <w:jc w:val="center"/>
              <w:rPr>
                <w:rFonts w:ascii="Times New Roman" w:hAnsi="Times New Roman" w:cs="Times New Roman"/>
                <w:b/>
              </w:rPr>
            </w:pPr>
            <w:r w:rsidRPr="00881DBE">
              <w:rPr>
                <w:rFonts w:ascii="Times New Roman" w:hAnsi="Times New Roman" w:cs="Times New Roman"/>
                <w:b/>
                <w:sz w:val="24"/>
                <w:szCs w:val="24"/>
              </w:rPr>
              <w:t>100</w:t>
            </w:r>
          </w:p>
        </w:tc>
      </w:tr>
    </w:tbl>
    <w:p w14:paraId="735DF07A" w14:textId="2F6B6039" w:rsidR="001960F4" w:rsidRPr="009234CB" w:rsidRDefault="001960F4" w:rsidP="001960F4">
      <w:pPr>
        <w:jc w:val="both"/>
        <w:rPr>
          <w:rFonts w:ascii="Times New Roman" w:hAnsi="Times New Roman" w:cs="Times New Roman"/>
          <w:sz w:val="24"/>
          <w:szCs w:val="24"/>
        </w:rPr>
      </w:pPr>
      <w:r>
        <w:rPr>
          <w:rFonts w:ascii="Times New Roman" w:hAnsi="Times New Roman" w:cs="Times New Roman"/>
          <w:sz w:val="24"/>
          <w:szCs w:val="24"/>
        </w:rPr>
        <w:t>*В</w:t>
      </w:r>
      <w:r w:rsidRPr="005E5329">
        <w:rPr>
          <w:rFonts w:ascii="Times New Roman" w:hAnsi="Times New Roman" w:cs="Times New Roman"/>
          <w:sz w:val="24"/>
          <w:szCs w:val="24"/>
        </w:rPr>
        <w:t>редности су изражене у хиљадама динара</w:t>
      </w:r>
    </w:p>
    <w:p w14:paraId="1A55F076" w14:textId="6208B12A" w:rsidR="008631D5" w:rsidRPr="000419A2" w:rsidRDefault="008631D5" w:rsidP="008631D5">
      <w:pPr>
        <w:jc w:val="both"/>
        <w:rPr>
          <w:rFonts w:ascii="Times New Roman" w:hAnsi="Times New Roman" w:cs="Times New Roman"/>
          <w:color w:val="auto"/>
          <w:sz w:val="24"/>
          <w:szCs w:val="24"/>
        </w:rPr>
      </w:pPr>
      <w:r w:rsidRPr="000419A2">
        <w:rPr>
          <w:rFonts w:ascii="Times New Roman" w:hAnsi="Times New Roman" w:cs="Times New Roman"/>
          <w:color w:val="auto"/>
          <w:sz w:val="24"/>
          <w:szCs w:val="24"/>
        </w:rPr>
        <w:lastRenderedPageBreak/>
        <w:t>Набавке на које се није примењивао ЗЈН биле су најзаступљеније код јавних предузећа</w:t>
      </w:r>
      <w:r w:rsidR="00856843">
        <w:rPr>
          <w:rFonts w:ascii="Times New Roman" w:hAnsi="Times New Roman" w:cs="Times New Roman"/>
          <w:color w:val="auto"/>
          <w:sz w:val="24"/>
          <w:szCs w:val="24"/>
          <w:lang w:val="sr-Cyrl-RS"/>
        </w:rPr>
        <w:t>/привредних друштава</w:t>
      </w:r>
      <w:r w:rsidRPr="000419A2">
        <w:rPr>
          <w:rFonts w:ascii="Times New Roman" w:hAnsi="Times New Roman" w:cs="Times New Roman"/>
          <w:color w:val="auto"/>
          <w:sz w:val="24"/>
          <w:szCs w:val="24"/>
        </w:rPr>
        <w:t xml:space="preserve"> (3</w:t>
      </w:r>
      <w:r w:rsidR="006A48C7" w:rsidRPr="000419A2">
        <w:rPr>
          <w:rFonts w:ascii="Times New Roman" w:hAnsi="Times New Roman" w:cs="Times New Roman"/>
          <w:color w:val="auto"/>
          <w:sz w:val="24"/>
          <w:szCs w:val="24"/>
          <w:lang w:val="sr-Cyrl-RS"/>
        </w:rPr>
        <w:t>5</w:t>
      </w:r>
      <w:r w:rsidRPr="000419A2">
        <w:rPr>
          <w:rFonts w:ascii="Times New Roman" w:hAnsi="Times New Roman" w:cs="Times New Roman"/>
          <w:color w:val="auto"/>
          <w:sz w:val="24"/>
          <w:szCs w:val="24"/>
        </w:rPr>
        <w:t>%), градске и општинске управе (</w:t>
      </w:r>
      <w:r w:rsidR="006A48C7" w:rsidRPr="000419A2">
        <w:rPr>
          <w:rFonts w:ascii="Times New Roman" w:hAnsi="Times New Roman" w:cs="Times New Roman"/>
          <w:color w:val="auto"/>
          <w:sz w:val="24"/>
          <w:szCs w:val="24"/>
          <w:lang w:val="sr-Cyrl-RS"/>
        </w:rPr>
        <w:t>23</w:t>
      </w:r>
      <w:r w:rsidRPr="000419A2">
        <w:rPr>
          <w:rFonts w:ascii="Times New Roman" w:hAnsi="Times New Roman" w:cs="Times New Roman"/>
          <w:color w:val="auto"/>
          <w:sz w:val="24"/>
          <w:szCs w:val="24"/>
        </w:rPr>
        <w:t>%) и јавних предузећа у локалној самоуправи (</w:t>
      </w:r>
      <w:r w:rsidR="006A48C7" w:rsidRPr="000419A2">
        <w:rPr>
          <w:rFonts w:ascii="Times New Roman" w:hAnsi="Times New Roman" w:cs="Times New Roman"/>
          <w:color w:val="auto"/>
          <w:sz w:val="24"/>
          <w:szCs w:val="24"/>
          <w:lang w:val="sr-Cyrl-RS"/>
        </w:rPr>
        <w:t>18</w:t>
      </w:r>
      <w:r w:rsidRPr="000419A2">
        <w:rPr>
          <w:rFonts w:ascii="Times New Roman" w:hAnsi="Times New Roman" w:cs="Times New Roman"/>
          <w:color w:val="auto"/>
          <w:sz w:val="24"/>
          <w:szCs w:val="24"/>
        </w:rPr>
        <w:t xml:space="preserve">%), који су збирно учествовали са </w:t>
      </w:r>
      <w:r w:rsidR="006A48C7" w:rsidRPr="000419A2">
        <w:rPr>
          <w:rFonts w:ascii="Times New Roman" w:hAnsi="Times New Roman" w:cs="Times New Roman"/>
          <w:color w:val="auto"/>
          <w:sz w:val="24"/>
          <w:szCs w:val="24"/>
          <w:lang w:val="sr-Cyrl-RS"/>
        </w:rPr>
        <w:t>76</w:t>
      </w:r>
      <w:r w:rsidRPr="000419A2">
        <w:rPr>
          <w:rFonts w:ascii="Times New Roman" w:hAnsi="Times New Roman" w:cs="Times New Roman"/>
          <w:color w:val="auto"/>
          <w:sz w:val="24"/>
          <w:szCs w:val="24"/>
        </w:rPr>
        <w:t>% у укупној вредности набавки изузетих од примене ЗЈН (Табела 1</w:t>
      </w:r>
      <w:r w:rsidR="000419A2" w:rsidRPr="000419A2">
        <w:rPr>
          <w:rFonts w:ascii="Times New Roman" w:hAnsi="Times New Roman" w:cs="Times New Roman"/>
          <w:color w:val="auto"/>
          <w:sz w:val="24"/>
          <w:szCs w:val="24"/>
          <w:lang w:val="sr-Cyrl-RS"/>
        </w:rPr>
        <w:t>5</w:t>
      </w:r>
      <w:r w:rsidRPr="000419A2">
        <w:rPr>
          <w:rFonts w:ascii="Times New Roman" w:hAnsi="Times New Roman" w:cs="Times New Roman"/>
          <w:color w:val="auto"/>
          <w:sz w:val="24"/>
          <w:szCs w:val="24"/>
        </w:rPr>
        <w:t>).</w:t>
      </w:r>
    </w:p>
    <w:p w14:paraId="6DF6A838" w14:textId="77777777" w:rsidR="002914EF" w:rsidRDefault="008743FC" w:rsidP="001960F4">
      <w:pPr>
        <w:jc w:val="both"/>
        <w:rPr>
          <w:rFonts w:ascii="Times New Roman" w:hAnsi="Times New Roman" w:cs="Times New Roman"/>
          <w:b/>
          <w:color w:val="000000" w:themeColor="text1"/>
          <w:sz w:val="24"/>
          <w:szCs w:val="24"/>
          <w:lang w:val="sr-Cyrl-CS"/>
        </w:rPr>
      </w:pPr>
      <w:r>
        <w:rPr>
          <w:rFonts w:ascii="Times New Roman" w:hAnsi="Times New Roman" w:cs="Times New Roman"/>
          <w:b/>
          <w:color w:val="000000" w:themeColor="text1"/>
          <w:sz w:val="24"/>
          <w:szCs w:val="24"/>
        </w:rPr>
        <w:t xml:space="preserve">   </w:t>
      </w:r>
      <w:r w:rsidR="001960F4" w:rsidRPr="00FF0AD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lang w:val="sr-Cyrl-CS"/>
        </w:rPr>
        <w:t xml:space="preserve"> </w:t>
      </w:r>
    </w:p>
    <w:p w14:paraId="66713430" w14:textId="397495A7" w:rsidR="001960F4" w:rsidRPr="000419A2" w:rsidRDefault="006F2E5D" w:rsidP="001960F4">
      <w:pPr>
        <w:jc w:val="both"/>
        <w:rPr>
          <w:rFonts w:ascii="Times New Roman" w:hAnsi="Times New Roman" w:cs="Times New Roman"/>
          <w:b/>
          <w:color w:val="auto"/>
          <w:sz w:val="24"/>
          <w:szCs w:val="24"/>
          <w:lang w:val="sr-Cyrl-RS"/>
        </w:rPr>
      </w:pPr>
      <w:r w:rsidRPr="000419A2">
        <w:rPr>
          <w:rFonts w:ascii="Times New Roman" w:hAnsi="Times New Roman" w:cs="Times New Roman"/>
          <w:b/>
          <w:color w:val="auto"/>
          <w:sz w:val="24"/>
          <w:szCs w:val="24"/>
        </w:rPr>
        <w:t>Табела 1</w:t>
      </w:r>
      <w:r w:rsidR="00953934" w:rsidRPr="000419A2">
        <w:rPr>
          <w:rFonts w:ascii="Times New Roman" w:hAnsi="Times New Roman" w:cs="Times New Roman"/>
          <w:b/>
          <w:color w:val="auto"/>
          <w:sz w:val="24"/>
          <w:szCs w:val="24"/>
          <w:lang w:val="sr-Cyrl-RS"/>
        </w:rPr>
        <w:t>5</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1187"/>
        <w:gridCol w:w="1829"/>
        <w:gridCol w:w="1843"/>
        <w:gridCol w:w="1822"/>
      </w:tblGrid>
      <w:tr w:rsidR="001960F4" w:rsidRPr="000419A2" w14:paraId="29270190" w14:textId="77777777" w:rsidTr="008631D5">
        <w:trPr>
          <w:trHeight w:val="858"/>
          <w:jc w:val="center"/>
        </w:trPr>
        <w:tc>
          <w:tcPr>
            <w:tcW w:w="9288" w:type="dxa"/>
            <w:gridSpan w:val="5"/>
            <w:shd w:val="clear" w:color="auto" w:fill="auto"/>
            <w:vAlign w:val="center"/>
          </w:tcPr>
          <w:p w14:paraId="1FEC1245" w14:textId="77777777" w:rsidR="001960F4" w:rsidRPr="000419A2" w:rsidRDefault="001960F4" w:rsidP="00A602B4">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Преглед набавки изузетих од примене Закона</w:t>
            </w:r>
          </w:p>
          <w:p w14:paraId="3E85AC12" w14:textId="77777777" w:rsidR="001960F4" w:rsidRPr="000419A2" w:rsidRDefault="001960F4" w:rsidP="00FE520E">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 xml:space="preserve">по категоријама наручилаца у првом полугодишту </w:t>
            </w:r>
            <w:r w:rsidR="00FE520E" w:rsidRPr="000419A2">
              <w:rPr>
                <w:rFonts w:ascii="Times New Roman" w:eastAsia="Times New Roman" w:hAnsi="Times New Roman" w:cs="Times New Roman"/>
                <w:b/>
                <w:color w:val="auto"/>
                <w:sz w:val="24"/>
                <w:szCs w:val="24"/>
                <w:lang w:val="en-US"/>
              </w:rPr>
              <w:t>2019.</w:t>
            </w:r>
            <w:r w:rsidRPr="000419A2">
              <w:rPr>
                <w:rFonts w:ascii="Times New Roman" w:eastAsia="Times New Roman" w:hAnsi="Times New Roman" w:cs="Times New Roman"/>
                <w:b/>
                <w:color w:val="auto"/>
                <w:sz w:val="24"/>
                <w:szCs w:val="24"/>
              </w:rPr>
              <w:t xml:space="preserve"> године</w:t>
            </w:r>
          </w:p>
        </w:tc>
      </w:tr>
      <w:tr w:rsidR="001960F4" w:rsidRPr="000419A2" w14:paraId="3E5C31D4" w14:textId="77777777" w:rsidTr="008631D5">
        <w:trPr>
          <w:trHeight w:val="980"/>
          <w:jc w:val="center"/>
        </w:trPr>
        <w:tc>
          <w:tcPr>
            <w:tcW w:w="2607" w:type="dxa"/>
            <w:shd w:val="clear" w:color="auto" w:fill="auto"/>
            <w:vAlign w:val="center"/>
          </w:tcPr>
          <w:p w14:paraId="5873AEAD" w14:textId="77777777" w:rsidR="001960F4" w:rsidRPr="000419A2" w:rsidRDefault="001960F4" w:rsidP="00A602B4">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Категорија</w:t>
            </w:r>
          </w:p>
        </w:tc>
        <w:tc>
          <w:tcPr>
            <w:tcW w:w="1187" w:type="dxa"/>
            <w:shd w:val="clear" w:color="auto" w:fill="auto"/>
            <w:vAlign w:val="center"/>
          </w:tcPr>
          <w:p w14:paraId="690119FB" w14:textId="77777777" w:rsidR="001960F4" w:rsidRPr="000419A2" w:rsidRDefault="001960F4" w:rsidP="00A602B4">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Број уговора</w:t>
            </w:r>
          </w:p>
        </w:tc>
        <w:tc>
          <w:tcPr>
            <w:tcW w:w="1829" w:type="dxa"/>
            <w:shd w:val="clear" w:color="auto" w:fill="auto"/>
            <w:vAlign w:val="center"/>
          </w:tcPr>
          <w:p w14:paraId="6A4EAB0A" w14:textId="77777777" w:rsidR="001960F4" w:rsidRPr="000419A2" w:rsidRDefault="001960F4" w:rsidP="00A602B4">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Уговорена вредност</w:t>
            </w:r>
          </w:p>
          <w:p w14:paraId="67049E4F" w14:textId="77777777" w:rsidR="001960F4" w:rsidRPr="000419A2" w:rsidRDefault="001960F4" w:rsidP="00A602B4">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без ПДВ-а</w:t>
            </w:r>
            <w:r w:rsidRPr="000419A2">
              <w:rPr>
                <w:rFonts w:ascii="Times New Roman" w:hAnsi="Times New Roman" w:cs="Times New Roman"/>
                <w:b/>
                <w:color w:val="auto"/>
                <w:sz w:val="24"/>
                <w:szCs w:val="24"/>
              </w:rPr>
              <w:t>*</w:t>
            </w:r>
          </w:p>
          <w:p w14:paraId="373A2A52" w14:textId="77777777" w:rsidR="001960F4" w:rsidRPr="000419A2" w:rsidRDefault="001960F4" w:rsidP="00A602B4">
            <w:pPr>
              <w:tabs>
                <w:tab w:val="left" w:pos="1885"/>
              </w:tabs>
              <w:spacing w:after="0" w:line="240" w:lineRule="auto"/>
              <w:jc w:val="center"/>
              <w:rPr>
                <w:rFonts w:ascii="Times New Roman" w:eastAsia="Times New Roman" w:hAnsi="Times New Roman" w:cs="Times New Roman"/>
                <w:b/>
                <w:color w:val="auto"/>
                <w:sz w:val="24"/>
                <w:szCs w:val="24"/>
              </w:rPr>
            </w:pPr>
          </w:p>
        </w:tc>
        <w:tc>
          <w:tcPr>
            <w:tcW w:w="1843" w:type="dxa"/>
            <w:shd w:val="clear" w:color="auto" w:fill="auto"/>
            <w:vAlign w:val="center"/>
          </w:tcPr>
          <w:p w14:paraId="4D765BAA" w14:textId="77777777" w:rsidR="001960F4" w:rsidRPr="000419A2" w:rsidRDefault="001960F4" w:rsidP="00A602B4">
            <w:pPr>
              <w:jc w:val="center"/>
              <w:rPr>
                <w:rFonts w:ascii="Times New Roman" w:hAnsi="Times New Roman" w:cs="Times New Roman"/>
                <w:b/>
                <w:color w:val="auto"/>
                <w:sz w:val="24"/>
                <w:szCs w:val="24"/>
              </w:rPr>
            </w:pPr>
            <w:r w:rsidRPr="000419A2">
              <w:rPr>
                <w:rFonts w:ascii="Times New Roman" w:hAnsi="Times New Roman" w:cs="Times New Roman"/>
                <w:b/>
                <w:color w:val="auto"/>
                <w:sz w:val="24"/>
                <w:szCs w:val="24"/>
              </w:rPr>
              <w:t xml:space="preserve">Бројчана заступљеност </w:t>
            </w:r>
            <w:r w:rsidRPr="000419A2">
              <w:rPr>
                <w:rFonts w:ascii="Times New Roman" w:eastAsia="Times New Roman" w:hAnsi="Times New Roman" w:cs="Times New Roman"/>
                <w:b/>
                <w:color w:val="auto"/>
                <w:sz w:val="24"/>
                <w:szCs w:val="24"/>
              </w:rPr>
              <w:t>(у %)</w:t>
            </w:r>
          </w:p>
        </w:tc>
        <w:tc>
          <w:tcPr>
            <w:tcW w:w="1822" w:type="dxa"/>
            <w:shd w:val="clear" w:color="auto" w:fill="auto"/>
            <w:vAlign w:val="center"/>
          </w:tcPr>
          <w:p w14:paraId="50A7545C" w14:textId="77777777" w:rsidR="001960F4" w:rsidRPr="000419A2" w:rsidRDefault="001960F4" w:rsidP="00A602B4">
            <w:pPr>
              <w:jc w:val="center"/>
              <w:rPr>
                <w:rFonts w:ascii="Times New Roman" w:hAnsi="Times New Roman" w:cs="Times New Roman"/>
                <w:b/>
                <w:color w:val="auto"/>
                <w:sz w:val="24"/>
                <w:szCs w:val="24"/>
              </w:rPr>
            </w:pPr>
            <w:r w:rsidRPr="000419A2">
              <w:rPr>
                <w:rFonts w:ascii="Times New Roman" w:hAnsi="Times New Roman" w:cs="Times New Roman"/>
                <w:b/>
                <w:color w:val="auto"/>
                <w:sz w:val="24"/>
                <w:szCs w:val="24"/>
              </w:rPr>
              <w:t xml:space="preserve">Вредносна заступљеност </w:t>
            </w:r>
            <w:r w:rsidRPr="000419A2">
              <w:rPr>
                <w:rFonts w:ascii="Times New Roman" w:eastAsia="Times New Roman" w:hAnsi="Times New Roman" w:cs="Times New Roman"/>
                <w:b/>
                <w:color w:val="auto"/>
                <w:sz w:val="24"/>
                <w:szCs w:val="24"/>
              </w:rPr>
              <w:t>(у %)</w:t>
            </w:r>
          </w:p>
        </w:tc>
      </w:tr>
      <w:tr w:rsidR="00FE520E" w:rsidRPr="000419A2" w14:paraId="3D8EC3F9" w14:textId="77777777" w:rsidTr="00A35D7B">
        <w:trPr>
          <w:jc w:val="center"/>
        </w:trPr>
        <w:tc>
          <w:tcPr>
            <w:tcW w:w="2607" w:type="dxa"/>
            <w:shd w:val="clear" w:color="auto" w:fill="auto"/>
            <w:vAlign w:val="center"/>
          </w:tcPr>
          <w:p w14:paraId="71F054C6" w14:textId="77777777" w:rsidR="00FE520E" w:rsidRPr="000419A2" w:rsidRDefault="00FE520E" w:rsidP="00FE520E">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Органи државне управе</w:t>
            </w:r>
          </w:p>
        </w:tc>
        <w:tc>
          <w:tcPr>
            <w:tcW w:w="1187" w:type="dxa"/>
            <w:tcBorders>
              <w:top w:val="single" w:sz="4" w:space="0" w:color="auto"/>
              <w:left w:val="nil"/>
              <w:bottom w:val="single" w:sz="4" w:space="0" w:color="auto"/>
              <w:right w:val="single" w:sz="4" w:space="0" w:color="auto"/>
            </w:tcBorders>
            <w:shd w:val="clear" w:color="auto" w:fill="auto"/>
            <w:vAlign w:val="center"/>
          </w:tcPr>
          <w:p w14:paraId="2BF12A10"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6.725</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5DE784A6"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11.974.019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D8B02B"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4</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34EB2F9F"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13</w:t>
            </w:r>
          </w:p>
        </w:tc>
      </w:tr>
      <w:tr w:rsidR="00FE520E" w:rsidRPr="000419A2" w14:paraId="15E8BE3D" w14:textId="77777777" w:rsidTr="00A35D7B">
        <w:trPr>
          <w:jc w:val="center"/>
        </w:trPr>
        <w:tc>
          <w:tcPr>
            <w:tcW w:w="2607" w:type="dxa"/>
            <w:shd w:val="clear" w:color="auto" w:fill="auto"/>
            <w:vAlign w:val="center"/>
          </w:tcPr>
          <w:p w14:paraId="2900FFCD" w14:textId="77777777" w:rsidR="00FE520E" w:rsidRPr="000419A2" w:rsidRDefault="00FE520E" w:rsidP="00FE520E">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Правосуђе</w:t>
            </w:r>
          </w:p>
        </w:tc>
        <w:tc>
          <w:tcPr>
            <w:tcW w:w="1187" w:type="dxa"/>
            <w:tcBorders>
              <w:top w:val="single" w:sz="4" w:space="0" w:color="auto"/>
              <w:left w:val="nil"/>
              <w:bottom w:val="single" w:sz="4" w:space="0" w:color="auto"/>
              <w:right w:val="single" w:sz="4" w:space="0" w:color="auto"/>
            </w:tcBorders>
            <w:shd w:val="clear" w:color="auto" w:fill="auto"/>
            <w:vAlign w:val="center"/>
          </w:tcPr>
          <w:p w14:paraId="266214DF"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2.865</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1BC767BC"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181.832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E35E07"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2</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6C9B1E5D"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0</w:t>
            </w:r>
          </w:p>
        </w:tc>
      </w:tr>
      <w:tr w:rsidR="00FE520E" w:rsidRPr="000419A2" w14:paraId="5C3F7CB1" w14:textId="77777777" w:rsidTr="00A35D7B">
        <w:trPr>
          <w:jc w:val="center"/>
        </w:trPr>
        <w:tc>
          <w:tcPr>
            <w:tcW w:w="2607" w:type="dxa"/>
            <w:shd w:val="clear" w:color="auto" w:fill="auto"/>
            <w:vAlign w:val="center"/>
          </w:tcPr>
          <w:p w14:paraId="1CD6E5BB" w14:textId="77777777" w:rsidR="00FE520E" w:rsidRPr="000419A2" w:rsidRDefault="00FE520E" w:rsidP="00FE520E">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Здравство и социјална заштита</w:t>
            </w:r>
          </w:p>
        </w:tc>
        <w:tc>
          <w:tcPr>
            <w:tcW w:w="1187" w:type="dxa"/>
            <w:tcBorders>
              <w:top w:val="single" w:sz="4" w:space="0" w:color="auto"/>
              <w:left w:val="nil"/>
              <w:bottom w:val="single" w:sz="4" w:space="0" w:color="auto"/>
              <w:right w:val="single" w:sz="4" w:space="0" w:color="auto"/>
            </w:tcBorders>
            <w:shd w:val="clear" w:color="auto" w:fill="auto"/>
            <w:vAlign w:val="center"/>
          </w:tcPr>
          <w:p w14:paraId="7B37F9EB"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17.008</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2D7B950C"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2.945.321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11BDC1"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9</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38A9917F"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3</w:t>
            </w:r>
          </w:p>
        </w:tc>
      </w:tr>
      <w:tr w:rsidR="00FE520E" w:rsidRPr="000419A2" w14:paraId="024DF920" w14:textId="77777777" w:rsidTr="00A35D7B">
        <w:trPr>
          <w:jc w:val="center"/>
        </w:trPr>
        <w:tc>
          <w:tcPr>
            <w:tcW w:w="2607" w:type="dxa"/>
            <w:shd w:val="clear" w:color="auto" w:fill="auto"/>
            <w:vAlign w:val="center"/>
          </w:tcPr>
          <w:p w14:paraId="0A9F7E0D" w14:textId="77777777" w:rsidR="00FE520E" w:rsidRPr="000419A2" w:rsidRDefault="00FE520E" w:rsidP="00FE520E">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Култура</w:t>
            </w:r>
          </w:p>
        </w:tc>
        <w:tc>
          <w:tcPr>
            <w:tcW w:w="1187" w:type="dxa"/>
            <w:tcBorders>
              <w:top w:val="single" w:sz="4" w:space="0" w:color="auto"/>
              <w:left w:val="nil"/>
              <w:bottom w:val="single" w:sz="4" w:space="0" w:color="auto"/>
              <w:right w:val="single" w:sz="4" w:space="0" w:color="auto"/>
            </w:tcBorders>
            <w:shd w:val="clear" w:color="auto" w:fill="auto"/>
            <w:vAlign w:val="center"/>
          </w:tcPr>
          <w:p w14:paraId="23B373D8"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16.290</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366FE502"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887.473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B158C3"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9</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17A72548"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1</w:t>
            </w:r>
          </w:p>
        </w:tc>
      </w:tr>
      <w:tr w:rsidR="00FE520E" w:rsidRPr="000419A2" w14:paraId="4ABAED16" w14:textId="77777777" w:rsidTr="00A35D7B">
        <w:trPr>
          <w:jc w:val="center"/>
        </w:trPr>
        <w:tc>
          <w:tcPr>
            <w:tcW w:w="2607" w:type="dxa"/>
            <w:shd w:val="clear" w:color="auto" w:fill="auto"/>
            <w:vAlign w:val="center"/>
          </w:tcPr>
          <w:p w14:paraId="045AFC6C" w14:textId="77777777" w:rsidR="00FE520E" w:rsidRPr="000419A2" w:rsidRDefault="00FE520E" w:rsidP="00FE520E">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Просвета и наука</w:t>
            </w:r>
          </w:p>
        </w:tc>
        <w:tc>
          <w:tcPr>
            <w:tcW w:w="1187" w:type="dxa"/>
            <w:tcBorders>
              <w:top w:val="single" w:sz="4" w:space="0" w:color="auto"/>
              <w:left w:val="nil"/>
              <w:bottom w:val="single" w:sz="4" w:space="0" w:color="auto"/>
              <w:right w:val="single" w:sz="4" w:space="0" w:color="auto"/>
            </w:tcBorders>
            <w:shd w:val="clear" w:color="auto" w:fill="auto"/>
            <w:vAlign w:val="center"/>
          </w:tcPr>
          <w:p w14:paraId="31926CC4"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74.711</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59636825"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5.500.041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9F32F0"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lang w:val="sr-Cyrl-RS"/>
              </w:rPr>
            </w:pPr>
            <w:r w:rsidRPr="000419A2">
              <w:rPr>
                <w:rFonts w:ascii="Times New Roman" w:hAnsi="Times New Roman" w:cs="Times New Roman"/>
                <w:color w:val="auto"/>
              </w:rPr>
              <w:t>4</w:t>
            </w:r>
            <w:r w:rsidR="00B825C6" w:rsidRPr="000419A2">
              <w:rPr>
                <w:rFonts w:ascii="Times New Roman" w:hAnsi="Times New Roman" w:cs="Times New Roman"/>
                <w:color w:val="auto"/>
                <w:lang w:val="sr-Cyrl-RS"/>
              </w:rPr>
              <w:t>0</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5771FB1A" w14:textId="77777777" w:rsidR="00FE520E" w:rsidRPr="000419A2" w:rsidRDefault="00B825C6" w:rsidP="00A35D7B">
            <w:pPr>
              <w:tabs>
                <w:tab w:val="left" w:pos="1885"/>
              </w:tabs>
              <w:spacing w:after="0" w:line="240" w:lineRule="auto"/>
              <w:jc w:val="center"/>
              <w:rPr>
                <w:rFonts w:ascii="Times New Roman" w:eastAsia="Times New Roman" w:hAnsi="Times New Roman" w:cs="Times New Roman"/>
                <w:color w:val="auto"/>
                <w:sz w:val="24"/>
                <w:szCs w:val="24"/>
                <w:lang w:val="sr-Cyrl-RS"/>
              </w:rPr>
            </w:pPr>
            <w:r w:rsidRPr="000419A2">
              <w:rPr>
                <w:rFonts w:ascii="Times New Roman" w:hAnsi="Times New Roman" w:cs="Times New Roman"/>
                <w:color w:val="auto"/>
                <w:lang w:val="sr-Cyrl-RS"/>
              </w:rPr>
              <w:t>7</w:t>
            </w:r>
          </w:p>
        </w:tc>
      </w:tr>
      <w:tr w:rsidR="00FE520E" w:rsidRPr="000419A2" w14:paraId="5522E5C8" w14:textId="77777777" w:rsidTr="00A35D7B">
        <w:trPr>
          <w:jc w:val="center"/>
        </w:trPr>
        <w:tc>
          <w:tcPr>
            <w:tcW w:w="2607" w:type="dxa"/>
            <w:shd w:val="clear" w:color="auto" w:fill="auto"/>
            <w:vAlign w:val="center"/>
          </w:tcPr>
          <w:p w14:paraId="00263A44" w14:textId="6AD2A5E4" w:rsidR="00FE520E" w:rsidRPr="0065713F" w:rsidRDefault="007C5515" w:rsidP="00FE520E">
            <w:pPr>
              <w:tabs>
                <w:tab w:val="left" w:pos="1885"/>
              </w:tabs>
              <w:spacing w:after="0" w:line="240" w:lineRule="auto"/>
              <w:jc w:val="center"/>
              <w:rPr>
                <w:rFonts w:ascii="Times New Roman" w:eastAsia="Times New Roman" w:hAnsi="Times New Roman" w:cs="Times New Roman"/>
                <w:b/>
                <w:color w:val="auto"/>
                <w:sz w:val="24"/>
                <w:szCs w:val="24"/>
                <w:lang w:val="sr-Cyrl-RS"/>
              </w:rPr>
            </w:pPr>
            <w:r>
              <w:rPr>
                <w:rFonts w:ascii="Times New Roman" w:eastAsia="Times New Roman" w:hAnsi="Times New Roman" w:cs="Times New Roman"/>
                <w:b/>
                <w:color w:val="auto"/>
                <w:sz w:val="24"/>
                <w:szCs w:val="24"/>
                <w:lang w:val="en-US"/>
              </w:rPr>
              <w:t>Ј</w:t>
            </w:r>
            <w:r w:rsidR="00FE520E" w:rsidRPr="000419A2">
              <w:rPr>
                <w:rFonts w:ascii="Times New Roman" w:eastAsia="Times New Roman" w:hAnsi="Times New Roman" w:cs="Times New Roman"/>
                <w:b/>
                <w:color w:val="auto"/>
                <w:sz w:val="24"/>
                <w:szCs w:val="24"/>
              </w:rPr>
              <w:t>авна предузећа/привредна друштва</w:t>
            </w:r>
            <w:r w:rsidR="0065713F">
              <w:rPr>
                <w:rFonts w:ascii="Times New Roman" w:eastAsia="Times New Roman" w:hAnsi="Times New Roman" w:cs="Times New Roman"/>
                <w:b/>
                <w:color w:val="auto"/>
                <w:sz w:val="24"/>
                <w:szCs w:val="24"/>
                <w:lang w:val="en-US"/>
              </w:rPr>
              <w:t>-</w:t>
            </w:r>
            <w:r w:rsidR="0065713F">
              <w:rPr>
                <w:rFonts w:ascii="Times New Roman" w:eastAsia="Times New Roman" w:hAnsi="Times New Roman" w:cs="Times New Roman"/>
                <w:b/>
                <w:color w:val="auto"/>
                <w:sz w:val="24"/>
                <w:szCs w:val="24"/>
                <w:lang w:val="sr-Cyrl-RS"/>
              </w:rPr>
              <w:t>републички ниво</w:t>
            </w:r>
          </w:p>
        </w:tc>
        <w:tc>
          <w:tcPr>
            <w:tcW w:w="1187" w:type="dxa"/>
            <w:tcBorders>
              <w:top w:val="single" w:sz="4" w:space="0" w:color="auto"/>
              <w:left w:val="nil"/>
              <w:bottom w:val="single" w:sz="4" w:space="0" w:color="auto"/>
              <w:right w:val="single" w:sz="4" w:space="0" w:color="auto"/>
            </w:tcBorders>
            <w:shd w:val="clear" w:color="auto" w:fill="auto"/>
            <w:vAlign w:val="center"/>
          </w:tcPr>
          <w:p w14:paraId="5595EAF0"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11.861</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7362E7C8"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31.158.464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62CFC7"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6</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4DC9E354"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35</w:t>
            </w:r>
          </w:p>
        </w:tc>
      </w:tr>
      <w:tr w:rsidR="00FE520E" w:rsidRPr="000419A2" w14:paraId="75CE8CA1" w14:textId="77777777" w:rsidTr="00A35D7B">
        <w:trPr>
          <w:jc w:val="center"/>
        </w:trPr>
        <w:tc>
          <w:tcPr>
            <w:tcW w:w="2607" w:type="dxa"/>
            <w:shd w:val="clear" w:color="auto" w:fill="auto"/>
            <w:vAlign w:val="center"/>
          </w:tcPr>
          <w:p w14:paraId="36D60272" w14:textId="77777777" w:rsidR="00FE520E" w:rsidRPr="000419A2" w:rsidRDefault="00FE520E" w:rsidP="00FE520E">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Јавна предузећа-локална самоуправа</w:t>
            </w:r>
          </w:p>
        </w:tc>
        <w:tc>
          <w:tcPr>
            <w:tcW w:w="1187" w:type="dxa"/>
            <w:tcBorders>
              <w:top w:val="single" w:sz="4" w:space="0" w:color="auto"/>
              <w:left w:val="nil"/>
              <w:bottom w:val="single" w:sz="4" w:space="0" w:color="auto"/>
              <w:right w:val="single" w:sz="4" w:space="0" w:color="auto"/>
            </w:tcBorders>
            <w:shd w:val="clear" w:color="auto" w:fill="auto"/>
            <w:vAlign w:val="center"/>
          </w:tcPr>
          <w:p w14:paraId="4B28B29E"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32.373</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7359441E"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16.262.015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97223E"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lang w:val="sr-Cyrl-CS"/>
              </w:rPr>
            </w:pPr>
            <w:r w:rsidRPr="000419A2">
              <w:rPr>
                <w:rFonts w:ascii="Times New Roman" w:hAnsi="Times New Roman" w:cs="Times New Roman"/>
                <w:color w:val="auto"/>
              </w:rPr>
              <w:t>18</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3B097B5E"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18</w:t>
            </w:r>
          </w:p>
        </w:tc>
      </w:tr>
      <w:tr w:rsidR="00FE520E" w:rsidRPr="000419A2" w14:paraId="7F64107A" w14:textId="77777777" w:rsidTr="00A35D7B">
        <w:trPr>
          <w:jc w:val="center"/>
        </w:trPr>
        <w:tc>
          <w:tcPr>
            <w:tcW w:w="2607" w:type="dxa"/>
            <w:shd w:val="clear" w:color="auto" w:fill="auto"/>
            <w:vAlign w:val="center"/>
          </w:tcPr>
          <w:p w14:paraId="0FF5E145" w14:textId="77777777" w:rsidR="00FE520E" w:rsidRPr="000419A2" w:rsidRDefault="00FE520E" w:rsidP="00FE520E">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Градска и општинска управа</w:t>
            </w:r>
          </w:p>
        </w:tc>
        <w:tc>
          <w:tcPr>
            <w:tcW w:w="1187" w:type="dxa"/>
            <w:tcBorders>
              <w:top w:val="single" w:sz="4" w:space="0" w:color="auto"/>
              <w:left w:val="nil"/>
              <w:bottom w:val="single" w:sz="4" w:space="0" w:color="auto"/>
              <w:right w:val="single" w:sz="4" w:space="0" w:color="auto"/>
            </w:tcBorders>
            <w:shd w:val="clear" w:color="auto" w:fill="auto"/>
            <w:vAlign w:val="center"/>
          </w:tcPr>
          <w:p w14:paraId="66CFD361"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17.875</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DED1CBC"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20.771.604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7432BD"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10</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30CB395A"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23</w:t>
            </w:r>
          </w:p>
        </w:tc>
      </w:tr>
      <w:tr w:rsidR="00FE520E" w:rsidRPr="000419A2" w14:paraId="280AD69A" w14:textId="77777777" w:rsidTr="00A35D7B">
        <w:trPr>
          <w:jc w:val="center"/>
        </w:trPr>
        <w:tc>
          <w:tcPr>
            <w:tcW w:w="2607" w:type="dxa"/>
            <w:shd w:val="clear" w:color="auto" w:fill="auto"/>
            <w:vAlign w:val="center"/>
          </w:tcPr>
          <w:p w14:paraId="3CD90FE8" w14:textId="77777777" w:rsidR="00FE520E" w:rsidRPr="000419A2" w:rsidRDefault="00FE520E" w:rsidP="00FE520E">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Удружења</w:t>
            </w:r>
          </w:p>
        </w:tc>
        <w:tc>
          <w:tcPr>
            <w:tcW w:w="1187" w:type="dxa"/>
            <w:tcBorders>
              <w:top w:val="single" w:sz="4" w:space="0" w:color="auto"/>
              <w:left w:val="nil"/>
              <w:bottom w:val="single" w:sz="4" w:space="0" w:color="auto"/>
              <w:right w:val="single" w:sz="4" w:space="0" w:color="auto"/>
            </w:tcBorders>
            <w:shd w:val="clear" w:color="auto" w:fill="auto"/>
            <w:vAlign w:val="center"/>
          </w:tcPr>
          <w:p w14:paraId="6E440D39"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3.133</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3BC2AA9"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228.963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BD5F0D"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lang w:val="sr-Cyrl-CS"/>
              </w:rPr>
            </w:pPr>
            <w:r w:rsidRPr="000419A2">
              <w:rPr>
                <w:rFonts w:ascii="Times New Roman" w:hAnsi="Times New Roman" w:cs="Times New Roman"/>
                <w:color w:val="auto"/>
              </w:rPr>
              <w:t>2</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0FF43E68"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0</w:t>
            </w:r>
          </w:p>
        </w:tc>
      </w:tr>
      <w:tr w:rsidR="00FE520E" w:rsidRPr="000419A2" w14:paraId="408274D4" w14:textId="77777777" w:rsidTr="00A35D7B">
        <w:trPr>
          <w:jc w:val="center"/>
        </w:trPr>
        <w:tc>
          <w:tcPr>
            <w:tcW w:w="2607" w:type="dxa"/>
            <w:shd w:val="clear" w:color="auto" w:fill="auto"/>
            <w:vAlign w:val="center"/>
          </w:tcPr>
          <w:p w14:paraId="42D79BFA" w14:textId="77777777" w:rsidR="00FE520E" w:rsidRPr="000419A2" w:rsidRDefault="00FE520E" w:rsidP="00FE520E">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Фондације и задужбине</w:t>
            </w:r>
          </w:p>
        </w:tc>
        <w:tc>
          <w:tcPr>
            <w:tcW w:w="1187" w:type="dxa"/>
            <w:tcBorders>
              <w:top w:val="single" w:sz="4" w:space="0" w:color="auto"/>
              <w:left w:val="nil"/>
              <w:bottom w:val="single" w:sz="4" w:space="0" w:color="auto"/>
              <w:right w:val="single" w:sz="4" w:space="0" w:color="auto"/>
            </w:tcBorders>
            <w:shd w:val="clear" w:color="auto" w:fill="auto"/>
            <w:vAlign w:val="center"/>
          </w:tcPr>
          <w:p w14:paraId="64878AFA"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77</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3EEB8BC3"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8.575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5D83BD"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0</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3793E9F0"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color w:val="auto"/>
                <w:sz w:val="24"/>
                <w:szCs w:val="24"/>
              </w:rPr>
            </w:pPr>
            <w:r w:rsidRPr="000419A2">
              <w:rPr>
                <w:rFonts w:ascii="Times New Roman" w:hAnsi="Times New Roman" w:cs="Times New Roman"/>
                <w:color w:val="auto"/>
              </w:rPr>
              <w:t>0</w:t>
            </w:r>
          </w:p>
        </w:tc>
      </w:tr>
      <w:tr w:rsidR="00FE520E" w:rsidRPr="000419A2" w14:paraId="2CD01C54" w14:textId="77777777" w:rsidTr="00A35D7B">
        <w:trPr>
          <w:jc w:val="center"/>
        </w:trPr>
        <w:tc>
          <w:tcPr>
            <w:tcW w:w="2607" w:type="dxa"/>
            <w:shd w:val="clear" w:color="auto" w:fill="auto"/>
            <w:vAlign w:val="center"/>
          </w:tcPr>
          <w:p w14:paraId="67C8BE48" w14:textId="77777777" w:rsidR="00FE520E" w:rsidRPr="000419A2" w:rsidRDefault="00FE520E" w:rsidP="00FE520E">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eastAsia="Times New Roman" w:hAnsi="Times New Roman" w:cs="Times New Roman"/>
                <w:b/>
                <w:color w:val="auto"/>
                <w:sz w:val="24"/>
                <w:szCs w:val="24"/>
              </w:rPr>
              <w:t>Укупно</w:t>
            </w:r>
          </w:p>
        </w:tc>
        <w:tc>
          <w:tcPr>
            <w:tcW w:w="1187" w:type="dxa"/>
            <w:tcBorders>
              <w:top w:val="single" w:sz="4" w:space="0" w:color="auto"/>
              <w:left w:val="nil"/>
              <w:bottom w:val="single" w:sz="4" w:space="0" w:color="auto"/>
              <w:right w:val="single" w:sz="4" w:space="0" w:color="auto"/>
            </w:tcBorders>
            <w:shd w:val="clear" w:color="auto" w:fill="auto"/>
            <w:vAlign w:val="center"/>
          </w:tcPr>
          <w:p w14:paraId="1B38C51F"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b/>
                <w:color w:val="auto"/>
                <w:sz w:val="24"/>
                <w:szCs w:val="24"/>
                <w:lang w:val="sr-Cyrl-CS"/>
              </w:rPr>
            </w:pPr>
            <w:r w:rsidRPr="000419A2">
              <w:rPr>
                <w:rFonts w:ascii="Times New Roman" w:hAnsi="Times New Roman" w:cs="Times New Roman"/>
                <w:b/>
                <w:color w:val="auto"/>
              </w:rPr>
              <w:t>182.918</w:t>
            </w:r>
          </w:p>
        </w:tc>
        <w:tc>
          <w:tcPr>
            <w:tcW w:w="1829" w:type="dxa"/>
            <w:tcBorders>
              <w:top w:val="single" w:sz="4" w:space="0" w:color="auto"/>
              <w:left w:val="single" w:sz="4" w:space="0" w:color="auto"/>
              <w:bottom w:val="single" w:sz="4" w:space="0" w:color="auto"/>
              <w:right w:val="nil"/>
            </w:tcBorders>
            <w:shd w:val="clear" w:color="auto" w:fill="auto"/>
            <w:vAlign w:val="center"/>
          </w:tcPr>
          <w:p w14:paraId="6BEEFE7E"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b/>
                <w:color w:val="auto"/>
                <w:sz w:val="24"/>
                <w:szCs w:val="24"/>
                <w:lang w:val="en-US"/>
              </w:rPr>
            </w:pPr>
            <w:r w:rsidRPr="000419A2">
              <w:rPr>
                <w:rFonts w:ascii="Times New Roman" w:hAnsi="Times New Roman" w:cs="Times New Roman"/>
                <w:b/>
                <w:color w:val="auto"/>
                <w:lang w:val="en-US"/>
              </w:rPr>
              <w:t>89.918.307</w:t>
            </w:r>
          </w:p>
        </w:tc>
        <w:tc>
          <w:tcPr>
            <w:tcW w:w="1843" w:type="dxa"/>
            <w:tcBorders>
              <w:top w:val="single" w:sz="4" w:space="0" w:color="auto"/>
            </w:tcBorders>
            <w:shd w:val="clear" w:color="auto" w:fill="auto"/>
            <w:vAlign w:val="center"/>
          </w:tcPr>
          <w:p w14:paraId="4AA60582" w14:textId="77777777" w:rsidR="00FE520E" w:rsidRPr="000419A2" w:rsidRDefault="00B825C6" w:rsidP="00A35D7B">
            <w:pPr>
              <w:tabs>
                <w:tab w:val="left" w:pos="1885"/>
              </w:tabs>
              <w:spacing w:after="0" w:line="240" w:lineRule="auto"/>
              <w:jc w:val="center"/>
              <w:rPr>
                <w:rFonts w:ascii="Times New Roman" w:eastAsia="Times New Roman" w:hAnsi="Times New Roman" w:cs="Times New Roman"/>
                <w:b/>
                <w:color w:val="auto"/>
                <w:sz w:val="24"/>
                <w:szCs w:val="24"/>
                <w:lang w:val="sr-Cyrl-RS"/>
              </w:rPr>
            </w:pPr>
            <w:r w:rsidRPr="000419A2">
              <w:rPr>
                <w:rFonts w:ascii="Times New Roman" w:hAnsi="Times New Roman" w:cs="Times New Roman"/>
                <w:b/>
                <w:color w:val="auto"/>
                <w:lang w:val="sr-Cyrl-RS"/>
              </w:rPr>
              <w:t>100</w:t>
            </w:r>
          </w:p>
        </w:tc>
        <w:tc>
          <w:tcPr>
            <w:tcW w:w="1822" w:type="dxa"/>
            <w:tcBorders>
              <w:top w:val="single" w:sz="4" w:space="0" w:color="auto"/>
            </w:tcBorders>
            <w:shd w:val="clear" w:color="auto" w:fill="auto"/>
            <w:vAlign w:val="center"/>
          </w:tcPr>
          <w:p w14:paraId="5E2E2F0E" w14:textId="77777777" w:rsidR="00FE520E" w:rsidRPr="000419A2" w:rsidRDefault="00FE520E" w:rsidP="00A35D7B">
            <w:pPr>
              <w:tabs>
                <w:tab w:val="left" w:pos="1885"/>
              </w:tabs>
              <w:spacing w:after="0" w:line="240" w:lineRule="auto"/>
              <w:jc w:val="center"/>
              <w:rPr>
                <w:rFonts w:ascii="Times New Roman" w:eastAsia="Times New Roman" w:hAnsi="Times New Roman" w:cs="Times New Roman"/>
                <w:b/>
                <w:color w:val="auto"/>
                <w:sz w:val="24"/>
                <w:szCs w:val="24"/>
              </w:rPr>
            </w:pPr>
            <w:r w:rsidRPr="000419A2">
              <w:rPr>
                <w:rFonts w:ascii="Times New Roman" w:hAnsi="Times New Roman" w:cs="Times New Roman"/>
                <w:b/>
                <w:color w:val="auto"/>
              </w:rPr>
              <w:t>100</w:t>
            </w:r>
          </w:p>
        </w:tc>
      </w:tr>
    </w:tbl>
    <w:p w14:paraId="46DBA01A" w14:textId="3A2E97CF" w:rsidR="001960F4" w:rsidRPr="00C847C1" w:rsidRDefault="001960F4" w:rsidP="001960F4">
      <w:pPr>
        <w:jc w:val="both"/>
        <w:rPr>
          <w:rFonts w:ascii="Times New Roman" w:hAnsi="Times New Roman" w:cs="Times New Roman"/>
        </w:rPr>
      </w:pPr>
      <w:r>
        <w:rPr>
          <w:rFonts w:ascii="Times New Roman" w:hAnsi="Times New Roman" w:cs="Times New Roman"/>
        </w:rPr>
        <w:t>*В</w:t>
      </w:r>
      <w:r w:rsidRPr="00C847C1">
        <w:rPr>
          <w:rFonts w:ascii="Times New Roman" w:hAnsi="Times New Roman" w:cs="Times New Roman"/>
        </w:rPr>
        <w:t>редности су изражене у хиљадама динара</w:t>
      </w:r>
    </w:p>
    <w:p w14:paraId="7299DA43" w14:textId="382C6F7B" w:rsidR="004F43C5" w:rsidRPr="000419A2" w:rsidRDefault="0065713F" w:rsidP="004F43C5">
      <w:pPr>
        <w:jc w:val="both"/>
        <w:rPr>
          <w:color w:val="auto"/>
          <w:lang w:val="sr-Latn-RS"/>
        </w:rPr>
      </w:pPr>
      <w:r>
        <w:rPr>
          <w:rFonts w:ascii="Times New Roman" w:hAnsi="Times New Roman" w:cs="Times New Roman"/>
          <w:color w:val="000000" w:themeColor="text1"/>
          <w:sz w:val="24"/>
          <w:szCs w:val="24"/>
          <w:lang w:val="sr-Cyrl-RS"/>
        </w:rPr>
        <w:t>Ј</w:t>
      </w:r>
      <w:r w:rsidR="005C5E5F">
        <w:rPr>
          <w:rFonts w:ascii="Times New Roman" w:hAnsi="Times New Roman" w:cs="Times New Roman"/>
          <w:color w:val="000000" w:themeColor="text1"/>
          <w:sz w:val="24"/>
          <w:szCs w:val="24"/>
        </w:rPr>
        <w:t>авна предузећа</w:t>
      </w:r>
      <w:r w:rsidR="00856843">
        <w:rPr>
          <w:rFonts w:ascii="Times New Roman" w:hAnsi="Times New Roman" w:cs="Times New Roman"/>
          <w:color w:val="000000" w:themeColor="text1"/>
          <w:sz w:val="24"/>
          <w:szCs w:val="24"/>
          <w:lang w:val="sr-Cyrl-RS"/>
        </w:rPr>
        <w:t>/привредна друштва</w:t>
      </w:r>
      <w:r w:rsidR="005C5E5F">
        <w:rPr>
          <w:rFonts w:ascii="Times New Roman" w:hAnsi="Times New Roman" w:cs="Times New Roman"/>
          <w:color w:val="000000" w:themeColor="text1"/>
          <w:sz w:val="24"/>
          <w:szCs w:val="24"/>
        </w:rPr>
        <w:t xml:space="preserve"> су </w:t>
      </w:r>
      <w:r w:rsidR="005C5E5F" w:rsidRPr="000419A2">
        <w:rPr>
          <w:rFonts w:ascii="Times New Roman" w:hAnsi="Times New Roman" w:cs="Times New Roman"/>
          <w:color w:val="auto"/>
          <w:sz w:val="24"/>
          <w:szCs w:val="24"/>
        </w:rPr>
        <w:t>87</w:t>
      </w:r>
      <w:r w:rsidR="004F43C5" w:rsidRPr="000419A2">
        <w:rPr>
          <w:rFonts w:ascii="Times New Roman" w:hAnsi="Times New Roman" w:cs="Times New Roman"/>
          <w:color w:val="auto"/>
          <w:sz w:val="24"/>
          <w:szCs w:val="24"/>
        </w:rPr>
        <w:t>% вредности ових набавки спровела по следећа три основа:</w:t>
      </w:r>
      <w:r w:rsidR="004F43C5" w:rsidRPr="000419A2">
        <w:rPr>
          <w:color w:val="auto"/>
        </w:rPr>
        <w:t xml:space="preserve"> </w:t>
      </w:r>
    </w:p>
    <w:p w14:paraId="13572DDC" w14:textId="77777777" w:rsidR="004F43C5" w:rsidRPr="000419A2" w:rsidRDefault="004F43C5" w:rsidP="004F43C5">
      <w:pPr>
        <w:pStyle w:val="ListParagraph"/>
        <w:numPr>
          <w:ilvl w:val="0"/>
          <w:numId w:val="35"/>
        </w:numPr>
        <w:jc w:val="both"/>
      </w:pPr>
      <w:r w:rsidRPr="000419A2">
        <w:rPr>
          <w:rFonts w:ascii="Times New Roman" w:hAnsi="Times New Roman" w:cs="Times New Roman"/>
          <w:sz w:val="24"/>
          <w:szCs w:val="24"/>
        </w:rPr>
        <w:t>набавке по основу члана 7а у случају када надзирано правно лице које је наручилац, закључује уговор са наручиоцем који врши надзор над њим или са другим правним лицем над који</w:t>
      </w:r>
      <w:r w:rsidR="005C5E5F" w:rsidRPr="000419A2">
        <w:rPr>
          <w:rFonts w:ascii="Times New Roman" w:hAnsi="Times New Roman" w:cs="Times New Roman"/>
          <w:sz w:val="24"/>
          <w:szCs w:val="24"/>
        </w:rPr>
        <w:t>м исти наручилац врши надзор (33</w:t>
      </w:r>
      <w:r w:rsidRPr="000419A2">
        <w:rPr>
          <w:rFonts w:ascii="Times New Roman" w:hAnsi="Times New Roman" w:cs="Times New Roman"/>
          <w:sz w:val="24"/>
          <w:szCs w:val="24"/>
        </w:rPr>
        <w:t>%);</w:t>
      </w:r>
    </w:p>
    <w:p w14:paraId="12870B98" w14:textId="77777777" w:rsidR="004F43C5" w:rsidRPr="000419A2" w:rsidRDefault="004F43C5" w:rsidP="004F43C5">
      <w:pPr>
        <w:pStyle w:val="ListParagraph"/>
        <w:numPr>
          <w:ilvl w:val="0"/>
          <w:numId w:val="35"/>
        </w:numPr>
        <w:jc w:val="both"/>
      </w:pPr>
      <w:r w:rsidRPr="000419A2">
        <w:rPr>
          <w:rFonts w:ascii="Times New Roman" w:hAnsi="Times New Roman" w:cs="Times New Roman"/>
          <w:sz w:val="24"/>
          <w:szCs w:val="24"/>
        </w:rPr>
        <w:lastRenderedPageBreak/>
        <w:t>набавке</w:t>
      </w:r>
      <w:r w:rsidRPr="000419A2">
        <w:rPr>
          <w:rFonts w:ascii="Times New Roman" w:hAnsi="Times New Roman" w:cs="Times New Roman"/>
          <w:sz w:val="24"/>
          <w:szCs w:val="24"/>
          <w:lang w:val="en-US"/>
        </w:rPr>
        <w:t xml:space="preserve"> </w:t>
      </w:r>
      <w:r w:rsidRPr="000419A2">
        <w:rPr>
          <w:rFonts w:ascii="Times New Roman" w:hAnsi="Times New Roman" w:cs="Times New Roman"/>
          <w:sz w:val="24"/>
          <w:szCs w:val="24"/>
        </w:rPr>
        <w:t>по основу члана 122. став 1. тачка 4) ЗЈН, односно у случају када наручилац који се бави делатношћу у области енергетике из члана 119. став 1. ЗЈН, набавља енергију или г</w:t>
      </w:r>
      <w:r w:rsidR="005C5E5F" w:rsidRPr="000419A2">
        <w:rPr>
          <w:rFonts w:ascii="Times New Roman" w:hAnsi="Times New Roman" w:cs="Times New Roman"/>
          <w:sz w:val="24"/>
          <w:szCs w:val="24"/>
        </w:rPr>
        <w:t>ориво за производњу енергије (39</w:t>
      </w:r>
      <w:r w:rsidRPr="000419A2">
        <w:rPr>
          <w:rFonts w:ascii="Times New Roman" w:hAnsi="Times New Roman" w:cs="Times New Roman"/>
          <w:sz w:val="24"/>
          <w:szCs w:val="24"/>
        </w:rPr>
        <w:t xml:space="preserve">%); </w:t>
      </w:r>
    </w:p>
    <w:p w14:paraId="61D4824F" w14:textId="77777777" w:rsidR="004F43C5" w:rsidRPr="000419A2" w:rsidRDefault="004F43C5" w:rsidP="004F43C5">
      <w:pPr>
        <w:pStyle w:val="ListParagraph"/>
        <w:numPr>
          <w:ilvl w:val="0"/>
          <w:numId w:val="35"/>
        </w:numPr>
        <w:jc w:val="both"/>
      </w:pPr>
      <w:r w:rsidRPr="000419A2">
        <w:rPr>
          <w:rFonts w:ascii="Times New Roman" w:hAnsi="Times New Roman" w:cs="Times New Roman"/>
          <w:sz w:val="24"/>
          <w:szCs w:val="24"/>
        </w:rPr>
        <w:t xml:space="preserve">набавке по основу члана 7. став 1. тачка 2) подтачка 2) ЗЈН, у случају набавки, односно конкурса за дизајн које су наручиоци обавезни да спроведу у складу са поступцима набавки установљеним </w:t>
      </w:r>
      <w:r w:rsidRPr="000419A2">
        <w:rPr>
          <w:rFonts w:ascii="Times New Roman" w:hAnsi="Times New Roman" w:cs="Times New Roman"/>
          <w:sz w:val="24"/>
          <w:szCs w:val="24"/>
          <w:lang w:val="sr-Cyrl-RS"/>
        </w:rPr>
        <w:t xml:space="preserve">актом о донацији </w:t>
      </w:r>
      <w:r w:rsidR="005C5E5F" w:rsidRPr="000419A2">
        <w:rPr>
          <w:rFonts w:ascii="Times New Roman" w:hAnsi="Times New Roman" w:cs="Times New Roman"/>
          <w:sz w:val="24"/>
          <w:szCs w:val="24"/>
        </w:rPr>
        <w:t>(15</w:t>
      </w:r>
      <w:r w:rsidRPr="000419A2">
        <w:rPr>
          <w:rFonts w:ascii="Times New Roman" w:hAnsi="Times New Roman" w:cs="Times New Roman"/>
          <w:sz w:val="24"/>
          <w:szCs w:val="24"/>
        </w:rPr>
        <w:t>%);</w:t>
      </w:r>
    </w:p>
    <w:p w14:paraId="30980477" w14:textId="77777777" w:rsidR="004F43C5" w:rsidRPr="000419A2" w:rsidRDefault="002914EF" w:rsidP="004F43C5">
      <w:pPr>
        <w:jc w:val="both"/>
        <w:rPr>
          <w:rFonts w:ascii="Times New Roman" w:hAnsi="Times New Roman" w:cs="Times New Roman"/>
          <w:color w:val="auto"/>
          <w:sz w:val="24"/>
          <w:szCs w:val="24"/>
          <w:lang w:val="en-GB"/>
        </w:rPr>
      </w:pPr>
      <w:r w:rsidRPr="000419A2">
        <w:rPr>
          <w:rFonts w:ascii="Times New Roman" w:hAnsi="Times New Roman" w:cs="Times New Roman"/>
          <w:color w:val="auto"/>
          <w:sz w:val="24"/>
          <w:szCs w:val="24"/>
        </w:rPr>
        <w:t>Градска и општинска управа је</w:t>
      </w:r>
      <w:r w:rsidR="00E76192" w:rsidRPr="000419A2">
        <w:rPr>
          <w:rFonts w:ascii="Times New Roman" w:hAnsi="Times New Roman" w:cs="Times New Roman"/>
          <w:color w:val="auto"/>
          <w:sz w:val="24"/>
          <w:szCs w:val="24"/>
        </w:rPr>
        <w:t xml:space="preserve"> 90</w:t>
      </w:r>
      <w:r w:rsidR="004F43C5" w:rsidRPr="000419A2">
        <w:rPr>
          <w:rFonts w:ascii="Times New Roman" w:hAnsi="Times New Roman" w:cs="Times New Roman"/>
          <w:color w:val="auto"/>
          <w:sz w:val="24"/>
          <w:szCs w:val="24"/>
        </w:rPr>
        <w:t xml:space="preserve">% вредности ових набавки спровела по </w:t>
      </w:r>
      <w:r w:rsidR="004D2FD6" w:rsidRPr="000419A2">
        <w:rPr>
          <w:rFonts w:ascii="Times New Roman" w:hAnsi="Times New Roman" w:cs="Times New Roman"/>
          <w:color w:val="auto"/>
          <w:sz w:val="24"/>
          <w:szCs w:val="24"/>
        </w:rPr>
        <w:t xml:space="preserve">следећа </w:t>
      </w:r>
      <w:r w:rsidR="004D2FD6" w:rsidRPr="000419A2">
        <w:rPr>
          <w:rFonts w:ascii="Times New Roman" w:hAnsi="Times New Roman" w:cs="Times New Roman"/>
          <w:color w:val="auto"/>
          <w:sz w:val="24"/>
          <w:szCs w:val="24"/>
          <w:lang w:val="sr-Cyrl-CS"/>
        </w:rPr>
        <w:t>три</w:t>
      </w:r>
      <w:r w:rsidR="004F43C5" w:rsidRPr="000419A2">
        <w:rPr>
          <w:rFonts w:ascii="Times New Roman" w:hAnsi="Times New Roman" w:cs="Times New Roman"/>
          <w:color w:val="auto"/>
          <w:sz w:val="24"/>
          <w:szCs w:val="24"/>
        </w:rPr>
        <w:t xml:space="preserve"> основа:</w:t>
      </w:r>
    </w:p>
    <w:p w14:paraId="52F0150F" w14:textId="77777777" w:rsidR="004F43C5" w:rsidRPr="000419A2" w:rsidRDefault="004F43C5" w:rsidP="004F43C5">
      <w:pPr>
        <w:pStyle w:val="ListParagraph"/>
        <w:numPr>
          <w:ilvl w:val="0"/>
          <w:numId w:val="36"/>
        </w:numPr>
        <w:jc w:val="both"/>
        <w:rPr>
          <w:rFonts w:ascii="Times New Roman" w:hAnsi="Times New Roman" w:cs="Times New Roman"/>
          <w:sz w:val="24"/>
          <w:szCs w:val="24"/>
        </w:rPr>
      </w:pPr>
      <w:r w:rsidRPr="000419A2">
        <w:rPr>
          <w:rFonts w:ascii="Times New Roman" w:hAnsi="Times New Roman" w:cs="Times New Roman"/>
          <w:sz w:val="24"/>
          <w:szCs w:val="24"/>
        </w:rPr>
        <w:t>набавке по основу члана 7. став 1. тачка 1)</w:t>
      </w:r>
      <w:r w:rsidRPr="000419A2">
        <w:rPr>
          <w:rFonts w:ascii="Times New Roman" w:hAnsi="Times New Roman" w:cs="Times New Roman"/>
          <w:sz w:val="24"/>
          <w:szCs w:val="24"/>
          <w:lang w:val="sr-Cyrl-RS"/>
        </w:rPr>
        <w:t>, у случају набавки од лица и организација које се у смислу овог закона сматрају наручиоцем и које су носиоци искључивог права на обављање делатн</w:t>
      </w:r>
      <w:r w:rsidR="00E76192" w:rsidRPr="000419A2">
        <w:rPr>
          <w:rFonts w:ascii="Times New Roman" w:hAnsi="Times New Roman" w:cs="Times New Roman"/>
          <w:sz w:val="24"/>
          <w:szCs w:val="24"/>
          <w:lang w:val="sr-Cyrl-RS"/>
        </w:rPr>
        <w:t>ости која је предмет набавке (51</w:t>
      </w:r>
      <w:r w:rsidRPr="000419A2">
        <w:rPr>
          <w:rFonts w:ascii="Times New Roman" w:hAnsi="Times New Roman" w:cs="Times New Roman"/>
          <w:sz w:val="24"/>
          <w:szCs w:val="24"/>
          <w:lang w:val="sr-Cyrl-RS"/>
        </w:rPr>
        <w:t>%)</w:t>
      </w:r>
    </w:p>
    <w:p w14:paraId="5F64B365" w14:textId="77777777" w:rsidR="004F43C5" w:rsidRPr="000419A2" w:rsidRDefault="004F43C5" w:rsidP="004F43C5">
      <w:pPr>
        <w:pStyle w:val="ListParagraph"/>
        <w:numPr>
          <w:ilvl w:val="0"/>
          <w:numId w:val="36"/>
        </w:numPr>
        <w:jc w:val="both"/>
        <w:rPr>
          <w:rFonts w:ascii="Times New Roman" w:hAnsi="Times New Roman" w:cs="Times New Roman"/>
          <w:sz w:val="24"/>
          <w:szCs w:val="24"/>
        </w:rPr>
      </w:pPr>
      <w:r w:rsidRPr="000419A2">
        <w:rPr>
          <w:rFonts w:ascii="Times New Roman" w:hAnsi="Times New Roman" w:cs="Times New Roman"/>
          <w:sz w:val="24"/>
          <w:szCs w:val="24"/>
        </w:rPr>
        <w:t>набавке по основу члана</w:t>
      </w:r>
      <w:r w:rsidRPr="000419A2">
        <w:rPr>
          <w:rFonts w:ascii="Times New Roman" w:hAnsi="Times New Roman" w:cs="Times New Roman"/>
          <w:sz w:val="24"/>
          <w:szCs w:val="24"/>
          <w:lang w:val="sr-Cyrl-RS"/>
        </w:rPr>
        <w:t xml:space="preserve"> 39. став 2, у случају набавки чија вредност није већа од доњег лимита за јавне набавке мале вредности</w:t>
      </w:r>
      <w:r w:rsidR="00E76192" w:rsidRPr="000419A2">
        <w:rPr>
          <w:rFonts w:ascii="Times New Roman" w:hAnsi="Times New Roman" w:cs="Times New Roman"/>
          <w:sz w:val="24"/>
          <w:szCs w:val="24"/>
          <w:lang w:val="sr-Cyrl-RS"/>
        </w:rPr>
        <w:t xml:space="preserve"> (27</w:t>
      </w:r>
      <w:r w:rsidR="00872C47" w:rsidRPr="000419A2">
        <w:rPr>
          <w:rFonts w:ascii="Times New Roman" w:hAnsi="Times New Roman" w:cs="Times New Roman"/>
          <w:sz w:val="24"/>
          <w:szCs w:val="24"/>
          <w:lang w:val="sr-Cyrl-RS"/>
        </w:rPr>
        <w:t>%);</w:t>
      </w:r>
    </w:p>
    <w:p w14:paraId="35430674" w14:textId="77777777" w:rsidR="00E76192" w:rsidRPr="000419A2" w:rsidRDefault="00E76192" w:rsidP="004F43C5">
      <w:pPr>
        <w:pStyle w:val="ListParagraph"/>
        <w:numPr>
          <w:ilvl w:val="0"/>
          <w:numId w:val="36"/>
        </w:numPr>
        <w:jc w:val="both"/>
        <w:rPr>
          <w:rFonts w:ascii="Times New Roman" w:hAnsi="Times New Roman" w:cs="Times New Roman"/>
          <w:sz w:val="24"/>
          <w:szCs w:val="24"/>
        </w:rPr>
      </w:pPr>
      <w:r w:rsidRPr="000419A2">
        <w:rPr>
          <w:rFonts w:ascii="Times New Roman" w:hAnsi="Times New Roman" w:cs="Times New Roman"/>
          <w:sz w:val="24"/>
          <w:szCs w:val="24"/>
        </w:rPr>
        <w:t xml:space="preserve">набавке по основу члана 7. став 1. тачка 2) подтачка 2) ЗЈН, у случају набавки, односно конкурса за дизајн које су наручиоци обавезни да спроведу у складу са поступцима набавки установљеним </w:t>
      </w:r>
      <w:r w:rsidRPr="000419A2">
        <w:rPr>
          <w:rFonts w:ascii="Times New Roman" w:hAnsi="Times New Roman" w:cs="Times New Roman"/>
          <w:sz w:val="24"/>
          <w:szCs w:val="24"/>
          <w:lang w:val="sr-Cyrl-RS"/>
        </w:rPr>
        <w:t>актом о донацији</w:t>
      </w:r>
      <w:r w:rsidRPr="000419A2">
        <w:rPr>
          <w:rFonts w:ascii="Times New Roman" w:hAnsi="Times New Roman" w:cs="Times New Roman"/>
          <w:sz w:val="24"/>
          <w:szCs w:val="24"/>
          <w:lang w:val="en-GB"/>
        </w:rPr>
        <w:t xml:space="preserve"> (12%)</w:t>
      </w:r>
    </w:p>
    <w:p w14:paraId="675B6508" w14:textId="77777777" w:rsidR="004F43C5" w:rsidRPr="000419A2" w:rsidRDefault="004F43C5" w:rsidP="004F43C5">
      <w:pPr>
        <w:jc w:val="both"/>
        <w:rPr>
          <w:rFonts w:ascii="Times New Roman" w:hAnsi="Times New Roman" w:cs="Times New Roman"/>
          <w:color w:val="auto"/>
          <w:sz w:val="24"/>
          <w:szCs w:val="24"/>
          <w:lang w:val="sr-Cyrl-RS"/>
        </w:rPr>
      </w:pPr>
      <w:r w:rsidRPr="000419A2">
        <w:rPr>
          <w:rFonts w:ascii="Times New Roman" w:hAnsi="Times New Roman" w:cs="Times New Roman"/>
          <w:color w:val="auto"/>
          <w:sz w:val="24"/>
          <w:szCs w:val="24"/>
          <w:lang w:val="sr-Cyrl-RS"/>
        </w:rPr>
        <w:t>Јавна предузећа-локалн</w:t>
      </w:r>
      <w:r w:rsidR="004D2FD6" w:rsidRPr="000419A2">
        <w:rPr>
          <w:rFonts w:ascii="Times New Roman" w:hAnsi="Times New Roman" w:cs="Times New Roman"/>
          <w:color w:val="auto"/>
          <w:sz w:val="24"/>
          <w:szCs w:val="24"/>
          <w:lang w:val="sr-Cyrl-RS"/>
        </w:rPr>
        <w:t xml:space="preserve">а самоуправа су </w:t>
      </w:r>
      <w:r w:rsidR="00B03324" w:rsidRPr="000419A2">
        <w:rPr>
          <w:rFonts w:ascii="Times New Roman" w:hAnsi="Times New Roman" w:cs="Times New Roman"/>
          <w:color w:val="auto"/>
          <w:sz w:val="24"/>
          <w:szCs w:val="24"/>
          <w:lang w:val="sr-Cyrl-RS"/>
        </w:rPr>
        <w:t>93</w:t>
      </w:r>
      <w:r w:rsidR="002914EF" w:rsidRPr="000419A2">
        <w:rPr>
          <w:rFonts w:ascii="Times New Roman" w:hAnsi="Times New Roman" w:cs="Times New Roman"/>
          <w:color w:val="auto"/>
          <w:sz w:val="24"/>
          <w:szCs w:val="24"/>
          <w:lang w:val="sr-Cyrl-RS"/>
        </w:rPr>
        <w:t>% вредности ов</w:t>
      </w:r>
      <w:r w:rsidRPr="000419A2">
        <w:rPr>
          <w:rFonts w:ascii="Times New Roman" w:hAnsi="Times New Roman" w:cs="Times New Roman"/>
          <w:color w:val="auto"/>
          <w:sz w:val="24"/>
          <w:szCs w:val="24"/>
          <w:lang w:val="sr-Cyrl-RS"/>
        </w:rPr>
        <w:t xml:space="preserve">их набавки спровели по следећа два основа: </w:t>
      </w:r>
    </w:p>
    <w:p w14:paraId="383FDC64" w14:textId="77777777" w:rsidR="004F43C5" w:rsidRPr="000419A2" w:rsidRDefault="004F43C5" w:rsidP="004F43C5">
      <w:pPr>
        <w:pStyle w:val="ListParagraph"/>
        <w:numPr>
          <w:ilvl w:val="0"/>
          <w:numId w:val="37"/>
        </w:numPr>
        <w:jc w:val="both"/>
      </w:pPr>
      <w:r w:rsidRPr="000419A2">
        <w:rPr>
          <w:rFonts w:ascii="Times New Roman" w:hAnsi="Times New Roman" w:cs="Times New Roman"/>
          <w:sz w:val="24"/>
          <w:szCs w:val="24"/>
        </w:rPr>
        <w:t>набавке</w:t>
      </w:r>
      <w:r w:rsidRPr="000419A2">
        <w:rPr>
          <w:rFonts w:ascii="Times New Roman" w:hAnsi="Times New Roman" w:cs="Times New Roman"/>
          <w:sz w:val="24"/>
          <w:szCs w:val="24"/>
          <w:lang w:val="en-US"/>
        </w:rPr>
        <w:t xml:space="preserve"> </w:t>
      </w:r>
      <w:r w:rsidRPr="000419A2">
        <w:rPr>
          <w:rFonts w:ascii="Times New Roman" w:hAnsi="Times New Roman" w:cs="Times New Roman"/>
          <w:sz w:val="24"/>
          <w:szCs w:val="24"/>
        </w:rPr>
        <w:t>по основу члана 122. став 1. тачка 4) ЗЈН, односно у случају када наручилац који се бави делатношћу у области енергетике из члана 119. став 1. ЗЈН, набавља енергију или г</w:t>
      </w:r>
      <w:r w:rsidR="004D2FD6" w:rsidRPr="000419A2">
        <w:rPr>
          <w:rFonts w:ascii="Times New Roman" w:hAnsi="Times New Roman" w:cs="Times New Roman"/>
          <w:sz w:val="24"/>
          <w:szCs w:val="24"/>
        </w:rPr>
        <w:t>ориво за производњу енергије (6</w:t>
      </w:r>
      <w:r w:rsidRPr="000419A2">
        <w:rPr>
          <w:rFonts w:ascii="Times New Roman" w:hAnsi="Times New Roman" w:cs="Times New Roman"/>
          <w:sz w:val="24"/>
          <w:szCs w:val="24"/>
        </w:rPr>
        <w:t xml:space="preserve">4%); </w:t>
      </w:r>
    </w:p>
    <w:p w14:paraId="04F6C52B" w14:textId="77777777" w:rsidR="004F43C5" w:rsidRPr="000419A2" w:rsidRDefault="004F43C5" w:rsidP="004F43C5">
      <w:pPr>
        <w:pStyle w:val="ListParagraph"/>
        <w:numPr>
          <w:ilvl w:val="0"/>
          <w:numId w:val="37"/>
        </w:numPr>
        <w:jc w:val="both"/>
        <w:rPr>
          <w:rFonts w:ascii="Times New Roman" w:hAnsi="Times New Roman" w:cs="Times New Roman"/>
          <w:sz w:val="24"/>
          <w:szCs w:val="24"/>
          <w:lang w:val="sr-Cyrl-RS"/>
        </w:rPr>
      </w:pPr>
      <w:r w:rsidRPr="000419A2">
        <w:rPr>
          <w:rFonts w:ascii="Times New Roman" w:hAnsi="Times New Roman" w:cs="Times New Roman"/>
          <w:sz w:val="24"/>
          <w:szCs w:val="24"/>
        </w:rPr>
        <w:t>набавке по основу члана 7. став 1. тачка 1)</w:t>
      </w:r>
      <w:r w:rsidRPr="000419A2">
        <w:rPr>
          <w:rFonts w:ascii="Times New Roman" w:hAnsi="Times New Roman" w:cs="Times New Roman"/>
          <w:sz w:val="24"/>
          <w:szCs w:val="24"/>
          <w:lang w:val="sr-Cyrl-RS"/>
        </w:rPr>
        <w:t>, у случају набавки од лица и организација које се у смислу овог закона сматрају наручиоцем и које су носиоци искључивог права на обављање делатн</w:t>
      </w:r>
      <w:r w:rsidR="004D2FD6" w:rsidRPr="000419A2">
        <w:rPr>
          <w:rFonts w:ascii="Times New Roman" w:hAnsi="Times New Roman" w:cs="Times New Roman"/>
          <w:sz w:val="24"/>
          <w:szCs w:val="24"/>
          <w:lang w:val="sr-Cyrl-RS"/>
        </w:rPr>
        <w:t>ости која је предмет набавке (20</w:t>
      </w:r>
      <w:r w:rsidRPr="000419A2">
        <w:rPr>
          <w:rFonts w:ascii="Times New Roman" w:hAnsi="Times New Roman" w:cs="Times New Roman"/>
          <w:sz w:val="24"/>
          <w:szCs w:val="24"/>
          <w:lang w:val="sr-Cyrl-RS"/>
        </w:rPr>
        <w:t>%)</w:t>
      </w:r>
    </w:p>
    <w:p w14:paraId="09F6B820" w14:textId="77777777" w:rsidR="00B03324" w:rsidRPr="000419A2" w:rsidRDefault="00B03324" w:rsidP="004F43C5">
      <w:pPr>
        <w:pStyle w:val="ListParagraph"/>
        <w:numPr>
          <w:ilvl w:val="0"/>
          <w:numId w:val="37"/>
        </w:numPr>
        <w:jc w:val="both"/>
        <w:rPr>
          <w:rFonts w:ascii="Times New Roman" w:hAnsi="Times New Roman" w:cs="Times New Roman"/>
          <w:sz w:val="24"/>
          <w:szCs w:val="24"/>
          <w:lang w:val="sr-Cyrl-RS"/>
        </w:rPr>
      </w:pPr>
      <w:r w:rsidRPr="000419A2">
        <w:rPr>
          <w:rFonts w:ascii="Times New Roman" w:hAnsi="Times New Roman" w:cs="Times New Roman"/>
          <w:sz w:val="24"/>
          <w:szCs w:val="24"/>
        </w:rPr>
        <w:t>набавке по основу члана</w:t>
      </w:r>
      <w:r w:rsidRPr="000419A2">
        <w:rPr>
          <w:rFonts w:ascii="Times New Roman" w:hAnsi="Times New Roman" w:cs="Times New Roman"/>
          <w:sz w:val="24"/>
          <w:szCs w:val="24"/>
          <w:lang w:val="sr-Cyrl-RS"/>
        </w:rPr>
        <w:t xml:space="preserve"> 39. став 2, у случају набавки чија вредност није већа од доњег лимита за јавне набавке мале вредности (9%)</w:t>
      </w:r>
    </w:p>
    <w:p w14:paraId="59024B43" w14:textId="77777777" w:rsidR="0031432B" w:rsidRPr="00FF0ADA" w:rsidRDefault="0031432B" w:rsidP="0031432B">
      <w:pPr>
        <w:pStyle w:val="ListParagraph"/>
        <w:jc w:val="both"/>
        <w:rPr>
          <w:color w:val="FF0000"/>
          <w:lang w:val="en-US"/>
        </w:rPr>
      </w:pPr>
    </w:p>
    <w:p w14:paraId="480E268D" w14:textId="77777777" w:rsidR="0081466B" w:rsidRDefault="004F0DED">
      <w:pPr>
        <w:numPr>
          <w:ilvl w:val="0"/>
          <w:numId w:val="15"/>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ОКВИРНИ СПОРАЗУМИ</w:t>
      </w:r>
    </w:p>
    <w:p w14:paraId="61E9C790" w14:textId="77777777" w:rsidR="0081466B" w:rsidRDefault="0081466B">
      <w:pPr>
        <w:spacing w:after="0"/>
        <w:ind w:left="720"/>
        <w:jc w:val="both"/>
      </w:pPr>
    </w:p>
    <w:p w14:paraId="6099BF12" w14:textId="284E4310" w:rsidR="00D37580" w:rsidRPr="00BD431F" w:rsidRDefault="00D37580" w:rsidP="00325640">
      <w:pPr>
        <w:spacing w:after="0"/>
        <w:ind w:left="-142"/>
        <w:jc w:val="both"/>
        <w:rPr>
          <w:rFonts w:ascii="Times New Roman" w:eastAsia="TimesNewRomanPSMT" w:hAnsi="Times New Roman" w:cs="Times New Roman"/>
          <w:color w:val="auto"/>
          <w:sz w:val="24"/>
          <w:szCs w:val="24"/>
          <w:lang w:val="sr-Cyrl-CS"/>
        </w:rPr>
      </w:pPr>
      <w:r w:rsidRPr="00BD431F">
        <w:rPr>
          <w:rFonts w:ascii="Times New Roman" w:eastAsia="TimesNewRomanPSMT" w:hAnsi="Times New Roman" w:cs="Times New Roman"/>
          <w:color w:val="auto"/>
          <w:sz w:val="24"/>
          <w:szCs w:val="24"/>
          <w:lang w:val="sr-Cyrl-CS"/>
        </w:rPr>
        <w:t xml:space="preserve">Примена оквирног споразума </w:t>
      </w:r>
      <w:r w:rsidR="00A127F4">
        <w:rPr>
          <w:rFonts w:ascii="Times New Roman" w:eastAsia="TimesNewRomanPSMT" w:hAnsi="Times New Roman" w:cs="Times New Roman"/>
          <w:color w:val="auto"/>
          <w:sz w:val="24"/>
          <w:szCs w:val="24"/>
          <w:lang w:val="sr-Cyrl-CS"/>
        </w:rPr>
        <w:t xml:space="preserve">(ОС) </w:t>
      </w:r>
      <w:r w:rsidRPr="00BD431F">
        <w:rPr>
          <w:rFonts w:ascii="Times New Roman" w:eastAsia="TimesNewRomanPSMT" w:hAnsi="Times New Roman" w:cs="Times New Roman"/>
          <w:color w:val="auto"/>
          <w:sz w:val="24"/>
          <w:szCs w:val="24"/>
          <w:lang w:val="sr-Cyrl-CS"/>
        </w:rPr>
        <w:t>значајно доприноси ефикасности и економичности спровођења поступака јавних набавки, с обзиром</w:t>
      </w:r>
      <w:r w:rsidR="000419A2">
        <w:rPr>
          <w:rFonts w:ascii="Times New Roman" w:eastAsia="TimesNewRomanPSMT" w:hAnsi="Times New Roman" w:cs="Times New Roman"/>
          <w:color w:val="auto"/>
          <w:sz w:val="24"/>
          <w:szCs w:val="24"/>
          <w:lang w:val="sr-Cyrl-CS"/>
        </w:rPr>
        <w:t xml:space="preserve"> на то</w:t>
      </w:r>
      <w:r w:rsidRPr="00BD431F">
        <w:rPr>
          <w:rFonts w:ascii="Times New Roman" w:eastAsia="TimesNewRomanPSMT" w:hAnsi="Times New Roman" w:cs="Times New Roman"/>
          <w:color w:val="auto"/>
          <w:sz w:val="24"/>
          <w:szCs w:val="24"/>
          <w:lang w:val="sr-Cyrl-CS"/>
        </w:rPr>
        <w:t xml:space="preserve"> да се на основу једног поступка јавне набавке може закључити више уговора, као и да се</w:t>
      </w:r>
      <w:r w:rsidR="000419A2">
        <w:rPr>
          <w:rFonts w:ascii="Times New Roman" w:eastAsia="TimesNewRomanPSMT" w:hAnsi="Times New Roman" w:cs="Times New Roman"/>
          <w:color w:val="auto"/>
          <w:sz w:val="24"/>
          <w:szCs w:val="24"/>
          <w:lang w:val="sr-Cyrl-CS"/>
        </w:rPr>
        <w:t xml:space="preserve"> уговор</w:t>
      </w:r>
      <w:r w:rsidRPr="00BD431F">
        <w:rPr>
          <w:rFonts w:ascii="Times New Roman" w:eastAsia="TimesNewRomanPSMT" w:hAnsi="Times New Roman" w:cs="Times New Roman"/>
          <w:color w:val="auto"/>
          <w:sz w:val="24"/>
          <w:szCs w:val="24"/>
          <w:lang w:val="sr-Cyrl-CS"/>
        </w:rPr>
        <w:t xml:space="preserve"> може закључити од стране више наручилаца и са више понуђача. Концепт оквирног споразума обезбеђује закључење уговора о јавним набавкама добара, радова и</w:t>
      </w:r>
      <w:r w:rsidR="004A1B59">
        <w:rPr>
          <w:rFonts w:ascii="Times New Roman" w:eastAsia="TimesNewRomanPSMT" w:hAnsi="Times New Roman" w:cs="Times New Roman"/>
          <w:color w:val="auto"/>
          <w:sz w:val="24"/>
          <w:szCs w:val="24"/>
          <w:lang w:val="sr-Cyrl-CS"/>
        </w:rPr>
        <w:t xml:space="preserve"> услуга којима не </w:t>
      </w:r>
      <w:r w:rsidRPr="00BD431F">
        <w:rPr>
          <w:rFonts w:ascii="Times New Roman" w:eastAsia="TimesNewRomanPSMT" w:hAnsi="Times New Roman" w:cs="Times New Roman"/>
          <w:color w:val="auto"/>
          <w:sz w:val="24"/>
          <w:szCs w:val="24"/>
          <w:lang w:val="sr-Cyrl-CS"/>
        </w:rPr>
        <w:t>претходе дуготрајне процедуре са неизвесним исходом.</w:t>
      </w:r>
    </w:p>
    <w:p w14:paraId="0543F4A1" w14:textId="77777777" w:rsidR="00A04844" w:rsidRPr="00BD431F" w:rsidRDefault="00A04844" w:rsidP="00D37580">
      <w:pPr>
        <w:spacing w:after="0"/>
        <w:ind w:left="-142"/>
        <w:jc w:val="both"/>
        <w:rPr>
          <w:rFonts w:ascii="Times New Roman" w:eastAsia="TimesNewRomanPSMT" w:hAnsi="Times New Roman" w:cs="Times New Roman"/>
          <w:color w:val="auto"/>
          <w:sz w:val="24"/>
          <w:szCs w:val="24"/>
          <w:lang w:val="sr-Cyrl-CS"/>
        </w:rPr>
      </w:pPr>
    </w:p>
    <w:p w14:paraId="45861161" w14:textId="53F2EAB4" w:rsidR="00953934" w:rsidRPr="002438F6" w:rsidRDefault="006931C4" w:rsidP="00147936">
      <w:pPr>
        <w:spacing w:after="0"/>
        <w:ind w:left="-142"/>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Број закључених оквирних споразума приказан је у табели 16.</w:t>
      </w:r>
    </w:p>
    <w:p w14:paraId="3305C388" w14:textId="6DA58FBA" w:rsidR="00A04844" w:rsidRPr="000419A2" w:rsidRDefault="00953934" w:rsidP="002438F6">
      <w:pPr>
        <w:jc w:val="both"/>
        <w:rPr>
          <w:color w:val="auto"/>
          <w:lang w:val="sr-Cyrl-RS"/>
        </w:rPr>
      </w:pPr>
      <w:r>
        <w:rPr>
          <w:rFonts w:ascii="Times New Roman" w:eastAsia="Times New Roman" w:hAnsi="Times New Roman" w:cs="Times New Roman"/>
          <w:b/>
          <w:color w:val="FF0000"/>
          <w:sz w:val="24"/>
          <w:szCs w:val="24"/>
        </w:rPr>
        <w:lastRenderedPageBreak/>
        <w:t xml:space="preserve"> </w:t>
      </w:r>
      <w:r w:rsidR="006931C4">
        <w:rPr>
          <w:rFonts w:ascii="Times New Roman" w:eastAsia="Times New Roman" w:hAnsi="Times New Roman" w:cs="Times New Roman"/>
          <w:b/>
          <w:color w:val="auto"/>
          <w:sz w:val="24"/>
          <w:szCs w:val="24"/>
          <w:lang w:val="sr-Cyrl-RS"/>
        </w:rPr>
        <w:t xml:space="preserve">  </w:t>
      </w:r>
      <w:r w:rsidR="00A04844" w:rsidRPr="000419A2">
        <w:rPr>
          <w:rFonts w:ascii="Times New Roman" w:eastAsia="Times New Roman" w:hAnsi="Times New Roman" w:cs="Times New Roman"/>
          <w:b/>
          <w:color w:val="auto"/>
          <w:sz w:val="24"/>
          <w:szCs w:val="24"/>
        </w:rPr>
        <w:t>Табела 1</w:t>
      </w:r>
      <w:r w:rsidRPr="000419A2">
        <w:rPr>
          <w:rFonts w:ascii="Times New Roman" w:eastAsia="Times New Roman" w:hAnsi="Times New Roman" w:cs="Times New Roman"/>
          <w:b/>
          <w:color w:val="auto"/>
          <w:sz w:val="24"/>
          <w:szCs w:val="24"/>
          <w:lang w:val="sr-Cyrl-RS"/>
        </w:rPr>
        <w:t>6</w:t>
      </w:r>
    </w:p>
    <w:tbl>
      <w:tblPr>
        <w:tblStyle w:val="TableGrid"/>
        <w:tblW w:w="0" w:type="auto"/>
        <w:tblInd w:w="175" w:type="dxa"/>
        <w:tblLook w:val="04A0" w:firstRow="1" w:lastRow="0" w:firstColumn="1" w:lastColumn="0" w:noHBand="0" w:noVBand="1"/>
      </w:tblPr>
      <w:tblGrid>
        <w:gridCol w:w="1850"/>
        <w:gridCol w:w="1177"/>
        <w:gridCol w:w="1116"/>
        <w:gridCol w:w="1278"/>
        <w:gridCol w:w="1268"/>
        <w:gridCol w:w="1151"/>
        <w:gridCol w:w="1001"/>
      </w:tblGrid>
      <w:tr w:rsidR="00FE520E" w:rsidRPr="000419A2" w14:paraId="0B1523BA" w14:textId="77777777" w:rsidTr="00FE520E">
        <w:trPr>
          <w:trHeight w:val="620"/>
        </w:trPr>
        <w:tc>
          <w:tcPr>
            <w:tcW w:w="1850" w:type="dxa"/>
            <w:vMerge w:val="restart"/>
          </w:tcPr>
          <w:p w14:paraId="7F2B07FA" w14:textId="77777777" w:rsidR="00FE520E" w:rsidRPr="000419A2" w:rsidRDefault="00FE520E" w:rsidP="001C27B6">
            <w:pPr>
              <w:jc w:val="center"/>
              <w:rPr>
                <w:rFonts w:ascii="Times New Roman" w:hAnsi="Times New Roman" w:cs="Times New Roman"/>
                <w:b/>
                <w:color w:val="auto"/>
                <w:sz w:val="24"/>
                <w:szCs w:val="24"/>
              </w:rPr>
            </w:pPr>
            <w:r w:rsidRPr="000419A2">
              <w:rPr>
                <w:rFonts w:ascii="Times New Roman" w:hAnsi="Times New Roman" w:cs="Times New Roman"/>
                <w:b/>
                <w:color w:val="auto"/>
                <w:sz w:val="24"/>
                <w:szCs w:val="24"/>
              </w:rPr>
              <w:t>Број закључених оквирних споразума</w:t>
            </w:r>
          </w:p>
        </w:tc>
        <w:tc>
          <w:tcPr>
            <w:tcW w:w="1177" w:type="dxa"/>
          </w:tcPr>
          <w:p w14:paraId="30DDFE47" w14:textId="77777777" w:rsidR="00FE520E" w:rsidRPr="000419A2" w:rsidRDefault="00FE520E" w:rsidP="001C27B6">
            <w:pPr>
              <w:jc w:val="center"/>
              <w:rPr>
                <w:rFonts w:ascii="Times New Roman" w:hAnsi="Times New Roman" w:cs="Times New Roman"/>
                <w:b/>
                <w:color w:val="auto"/>
                <w:sz w:val="24"/>
                <w:szCs w:val="24"/>
              </w:rPr>
            </w:pPr>
            <w:r w:rsidRPr="000419A2">
              <w:rPr>
                <w:rFonts w:ascii="Times New Roman" w:hAnsi="Times New Roman" w:cs="Times New Roman"/>
                <w:b/>
                <w:color w:val="auto"/>
                <w:sz w:val="24"/>
                <w:szCs w:val="24"/>
              </w:rPr>
              <w:t>201</w:t>
            </w:r>
            <w:r w:rsidRPr="000419A2">
              <w:rPr>
                <w:rFonts w:ascii="Times New Roman" w:hAnsi="Times New Roman" w:cs="Times New Roman"/>
                <w:b/>
                <w:color w:val="auto"/>
                <w:sz w:val="24"/>
                <w:szCs w:val="24"/>
                <w:lang w:val="en-US"/>
              </w:rPr>
              <w:t>4</w:t>
            </w:r>
            <w:r w:rsidRPr="000419A2">
              <w:rPr>
                <w:rFonts w:ascii="Times New Roman" w:hAnsi="Times New Roman" w:cs="Times New Roman"/>
                <w:b/>
                <w:color w:val="auto"/>
                <w:sz w:val="24"/>
                <w:szCs w:val="24"/>
              </w:rPr>
              <w:t>.</w:t>
            </w:r>
          </w:p>
          <w:p w14:paraId="4F70B864" w14:textId="77777777" w:rsidR="00FE520E" w:rsidRPr="000419A2" w:rsidRDefault="00FE520E" w:rsidP="001C27B6">
            <w:pPr>
              <w:jc w:val="center"/>
              <w:rPr>
                <w:rFonts w:ascii="Times New Roman" w:hAnsi="Times New Roman" w:cs="Times New Roman"/>
                <w:b/>
                <w:color w:val="auto"/>
                <w:sz w:val="24"/>
                <w:szCs w:val="24"/>
              </w:rPr>
            </w:pPr>
            <w:r w:rsidRPr="000419A2">
              <w:rPr>
                <w:rFonts w:ascii="Times New Roman" w:hAnsi="Times New Roman" w:cs="Times New Roman"/>
                <w:b/>
                <w:color w:val="auto"/>
                <w:sz w:val="24"/>
                <w:szCs w:val="24"/>
              </w:rPr>
              <w:t>1 П</w:t>
            </w:r>
          </w:p>
        </w:tc>
        <w:tc>
          <w:tcPr>
            <w:tcW w:w="1116" w:type="dxa"/>
          </w:tcPr>
          <w:p w14:paraId="325EC2EC" w14:textId="77777777" w:rsidR="00FE520E" w:rsidRPr="000419A2" w:rsidRDefault="00FE520E" w:rsidP="001C27B6">
            <w:pPr>
              <w:jc w:val="center"/>
              <w:rPr>
                <w:rFonts w:ascii="Times New Roman" w:hAnsi="Times New Roman" w:cs="Times New Roman"/>
                <w:b/>
                <w:color w:val="auto"/>
                <w:sz w:val="24"/>
                <w:szCs w:val="24"/>
              </w:rPr>
            </w:pPr>
            <w:r w:rsidRPr="000419A2">
              <w:rPr>
                <w:rFonts w:ascii="Times New Roman" w:hAnsi="Times New Roman" w:cs="Times New Roman"/>
                <w:b/>
                <w:color w:val="auto"/>
                <w:sz w:val="24"/>
                <w:szCs w:val="24"/>
              </w:rPr>
              <w:t>201</w:t>
            </w:r>
            <w:r w:rsidRPr="000419A2">
              <w:rPr>
                <w:rFonts w:ascii="Times New Roman" w:hAnsi="Times New Roman" w:cs="Times New Roman"/>
                <w:b/>
                <w:color w:val="auto"/>
                <w:sz w:val="24"/>
                <w:szCs w:val="24"/>
                <w:lang w:val="en-US"/>
              </w:rPr>
              <w:t>5</w:t>
            </w:r>
            <w:r w:rsidRPr="000419A2">
              <w:rPr>
                <w:rFonts w:ascii="Times New Roman" w:hAnsi="Times New Roman" w:cs="Times New Roman"/>
                <w:b/>
                <w:color w:val="auto"/>
                <w:sz w:val="24"/>
                <w:szCs w:val="24"/>
              </w:rPr>
              <w:t>.</w:t>
            </w:r>
          </w:p>
          <w:p w14:paraId="7868B577" w14:textId="77777777" w:rsidR="00FE520E" w:rsidRPr="000419A2" w:rsidRDefault="00FE520E" w:rsidP="001C27B6">
            <w:pPr>
              <w:jc w:val="center"/>
              <w:rPr>
                <w:rFonts w:ascii="Times New Roman" w:hAnsi="Times New Roman" w:cs="Times New Roman"/>
                <w:b/>
                <w:color w:val="auto"/>
                <w:sz w:val="24"/>
                <w:szCs w:val="24"/>
              </w:rPr>
            </w:pPr>
            <w:r w:rsidRPr="000419A2">
              <w:rPr>
                <w:rFonts w:ascii="Times New Roman" w:hAnsi="Times New Roman" w:cs="Times New Roman"/>
                <w:b/>
                <w:color w:val="auto"/>
                <w:sz w:val="24"/>
                <w:szCs w:val="24"/>
                <w:lang w:val="en-US"/>
              </w:rPr>
              <w:t xml:space="preserve">1 </w:t>
            </w:r>
            <w:r w:rsidRPr="000419A2">
              <w:rPr>
                <w:rFonts w:ascii="Times New Roman" w:hAnsi="Times New Roman" w:cs="Times New Roman"/>
                <w:b/>
                <w:color w:val="auto"/>
                <w:sz w:val="24"/>
                <w:szCs w:val="24"/>
              </w:rPr>
              <w:t>П</w:t>
            </w:r>
          </w:p>
        </w:tc>
        <w:tc>
          <w:tcPr>
            <w:tcW w:w="1278" w:type="dxa"/>
          </w:tcPr>
          <w:p w14:paraId="64069F59" w14:textId="77777777" w:rsidR="00FE520E" w:rsidRPr="000419A2" w:rsidRDefault="00FE520E" w:rsidP="001C27B6">
            <w:pPr>
              <w:jc w:val="center"/>
              <w:rPr>
                <w:rFonts w:ascii="Times New Roman" w:hAnsi="Times New Roman" w:cs="Times New Roman"/>
                <w:b/>
                <w:color w:val="auto"/>
                <w:sz w:val="24"/>
                <w:szCs w:val="24"/>
              </w:rPr>
            </w:pPr>
            <w:r w:rsidRPr="000419A2">
              <w:rPr>
                <w:rFonts w:ascii="Times New Roman" w:hAnsi="Times New Roman" w:cs="Times New Roman"/>
                <w:b/>
                <w:color w:val="auto"/>
                <w:sz w:val="24"/>
                <w:szCs w:val="24"/>
              </w:rPr>
              <w:t>2016.</w:t>
            </w:r>
          </w:p>
          <w:p w14:paraId="6D1C02C1" w14:textId="77777777" w:rsidR="00FE520E" w:rsidRPr="000419A2" w:rsidRDefault="00FE520E" w:rsidP="001C27B6">
            <w:pPr>
              <w:jc w:val="center"/>
              <w:rPr>
                <w:rFonts w:ascii="Times New Roman" w:hAnsi="Times New Roman" w:cs="Times New Roman"/>
                <w:b/>
                <w:color w:val="auto"/>
                <w:sz w:val="24"/>
                <w:szCs w:val="24"/>
              </w:rPr>
            </w:pPr>
            <w:r w:rsidRPr="000419A2">
              <w:rPr>
                <w:rFonts w:ascii="Times New Roman" w:hAnsi="Times New Roman" w:cs="Times New Roman"/>
                <w:b/>
                <w:color w:val="auto"/>
                <w:sz w:val="24"/>
                <w:szCs w:val="24"/>
              </w:rPr>
              <w:t>1 П</w:t>
            </w:r>
          </w:p>
        </w:tc>
        <w:tc>
          <w:tcPr>
            <w:tcW w:w="1268" w:type="dxa"/>
          </w:tcPr>
          <w:p w14:paraId="66A295C1" w14:textId="77777777" w:rsidR="00FE520E" w:rsidRPr="000419A2" w:rsidRDefault="00FE520E" w:rsidP="00242A7F">
            <w:pPr>
              <w:jc w:val="center"/>
              <w:rPr>
                <w:rFonts w:ascii="Times New Roman" w:hAnsi="Times New Roman" w:cs="Times New Roman"/>
                <w:b/>
                <w:color w:val="auto"/>
                <w:sz w:val="24"/>
                <w:szCs w:val="24"/>
              </w:rPr>
            </w:pPr>
            <w:r w:rsidRPr="000419A2">
              <w:rPr>
                <w:rFonts w:ascii="Times New Roman" w:hAnsi="Times New Roman" w:cs="Times New Roman"/>
                <w:b/>
                <w:color w:val="auto"/>
                <w:sz w:val="24"/>
                <w:szCs w:val="24"/>
              </w:rPr>
              <w:t>201</w:t>
            </w:r>
            <w:r w:rsidRPr="000419A2">
              <w:rPr>
                <w:rFonts w:ascii="Times New Roman" w:hAnsi="Times New Roman" w:cs="Times New Roman"/>
                <w:b/>
                <w:color w:val="auto"/>
                <w:sz w:val="24"/>
                <w:szCs w:val="24"/>
                <w:lang w:val="en-US"/>
              </w:rPr>
              <w:t>7</w:t>
            </w:r>
            <w:r w:rsidRPr="000419A2">
              <w:rPr>
                <w:rFonts w:ascii="Times New Roman" w:hAnsi="Times New Roman" w:cs="Times New Roman"/>
                <w:b/>
                <w:color w:val="auto"/>
                <w:sz w:val="24"/>
                <w:szCs w:val="24"/>
              </w:rPr>
              <w:t>.</w:t>
            </w:r>
          </w:p>
          <w:p w14:paraId="0657FFD5" w14:textId="77777777" w:rsidR="00FE520E" w:rsidRPr="000419A2" w:rsidRDefault="00FE520E" w:rsidP="00242A7F">
            <w:pPr>
              <w:jc w:val="center"/>
              <w:rPr>
                <w:rFonts w:ascii="Times New Roman" w:hAnsi="Times New Roman" w:cs="Times New Roman"/>
                <w:b/>
                <w:color w:val="auto"/>
                <w:sz w:val="24"/>
                <w:szCs w:val="24"/>
              </w:rPr>
            </w:pPr>
            <w:r w:rsidRPr="000419A2">
              <w:rPr>
                <w:rFonts w:ascii="Times New Roman" w:hAnsi="Times New Roman" w:cs="Times New Roman"/>
                <w:b/>
                <w:color w:val="auto"/>
                <w:sz w:val="24"/>
                <w:szCs w:val="24"/>
              </w:rPr>
              <w:t>1 П</w:t>
            </w:r>
          </w:p>
        </w:tc>
        <w:tc>
          <w:tcPr>
            <w:tcW w:w="1151" w:type="dxa"/>
          </w:tcPr>
          <w:p w14:paraId="78FE4560" w14:textId="77777777" w:rsidR="00FE520E" w:rsidRPr="000419A2" w:rsidRDefault="00FE520E" w:rsidP="00242A7F">
            <w:pPr>
              <w:jc w:val="center"/>
              <w:rPr>
                <w:rFonts w:ascii="Times New Roman" w:hAnsi="Times New Roman" w:cs="Times New Roman"/>
                <w:b/>
                <w:color w:val="auto"/>
                <w:sz w:val="24"/>
                <w:szCs w:val="24"/>
                <w:lang w:val="sr-Latn-RS"/>
              </w:rPr>
            </w:pPr>
            <w:r w:rsidRPr="000419A2">
              <w:rPr>
                <w:rFonts w:ascii="Times New Roman" w:hAnsi="Times New Roman" w:cs="Times New Roman"/>
                <w:b/>
                <w:color w:val="auto"/>
                <w:sz w:val="24"/>
                <w:szCs w:val="24"/>
                <w:lang w:val="sr-Latn-RS"/>
              </w:rPr>
              <w:t>2018.</w:t>
            </w:r>
          </w:p>
          <w:p w14:paraId="4DB85A27" w14:textId="77777777" w:rsidR="00FE520E" w:rsidRPr="000419A2" w:rsidRDefault="00FE520E" w:rsidP="00242A7F">
            <w:pPr>
              <w:jc w:val="center"/>
              <w:rPr>
                <w:rFonts w:ascii="Times New Roman" w:hAnsi="Times New Roman" w:cs="Times New Roman"/>
                <w:b/>
                <w:color w:val="auto"/>
                <w:sz w:val="24"/>
                <w:szCs w:val="24"/>
                <w:lang w:val="sr-Cyrl-RS"/>
              </w:rPr>
            </w:pPr>
            <w:r w:rsidRPr="000419A2">
              <w:rPr>
                <w:rFonts w:ascii="Times New Roman" w:hAnsi="Times New Roman" w:cs="Times New Roman"/>
                <w:b/>
                <w:color w:val="auto"/>
                <w:sz w:val="24"/>
                <w:szCs w:val="24"/>
                <w:lang w:val="sr-Latn-RS"/>
              </w:rPr>
              <w:t xml:space="preserve">1 </w:t>
            </w:r>
            <w:r w:rsidRPr="000419A2">
              <w:rPr>
                <w:rFonts w:ascii="Times New Roman" w:hAnsi="Times New Roman" w:cs="Times New Roman"/>
                <w:b/>
                <w:color w:val="auto"/>
                <w:sz w:val="24"/>
                <w:szCs w:val="24"/>
                <w:lang w:val="sr-Cyrl-RS"/>
              </w:rPr>
              <w:t>П</w:t>
            </w:r>
          </w:p>
        </w:tc>
        <w:tc>
          <w:tcPr>
            <w:tcW w:w="1001" w:type="dxa"/>
          </w:tcPr>
          <w:p w14:paraId="346761C3" w14:textId="77777777" w:rsidR="00FE520E" w:rsidRPr="000419A2" w:rsidRDefault="00FE520E" w:rsidP="00242A7F">
            <w:pPr>
              <w:jc w:val="center"/>
              <w:rPr>
                <w:rFonts w:ascii="Times New Roman" w:hAnsi="Times New Roman" w:cs="Times New Roman"/>
                <w:b/>
                <w:color w:val="auto"/>
                <w:sz w:val="24"/>
                <w:szCs w:val="24"/>
                <w:lang w:val="sr-Latn-RS"/>
              </w:rPr>
            </w:pPr>
            <w:r w:rsidRPr="000419A2">
              <w:rPr>
                <w:rFonts w:ascii="Times New Roman" w:hAnsi="Times New Roman" w:cs="Times New Roman"/>
                <w:b/>
                <w:color w:val="auto"/>
                <w:sz w:val="24"/>
                <w:szCs w:val="24"/>
                <w:lang w:val="sr-Latn-RS"/>
              </w:rPr>
              <w:t>2019.</w:t>
            </w:r>
          </w:p>
          <w:p w14:paraId="7D1E3646" w14:textId="77777777" w:rsidR="00FE520E" w:rsidRPr="000419A2" w:rsidRDefault="00FE520E" w:rsidP="00242A7F">
            <w:pPr>
              <w:jc w:val="center"/>
              <w:rPr>
                <w:rFonts w:ascii="Times New Roman" w:hAnsi="Times New Roman" w:cs="Times New Roman"/>
                <w:b/>
                <w:color w:val="auto"/>
                <w:sz w:val="24"/>
                <w:szCs w:val="24"/>
                <w:lang w:val="sr-Cyrl-RS"/>
              </w:rPr>
            </w:pPr>
            <w:r w:rsidRPr="000419A2">
              <w:rPr>
                <w:rFonts w:ascii="Times New Roman" w:hAnsi="Times New Roman" w:cs="Times New Roman"/>
                <w:b/>
                <w:color w:val="auto"/>
                <w:sz w:val="24"/>
                <w:szCs w:val="24"/>
                <w:lang w:val="sr-Cyrl-RS"/>
              </w:rPr>
              <w:t>1 П</w:t>
            </w:r>
          </w:p>
        </w:tc>
      </w:tr>
      <w:tr w:rsidR="00FE520E" w:rsidRPr="000419A2" w14:paraId="07D54BEB" w14:textId="77777777" w:rsidTr="009E472C">
        <w:tc>
          <w:tcPr>
            <w:tcW w:w="1850" w:type="dxa"/>
            <w:vMerge/>
          </w:tcPr>
          <w:p w14:paraId="450859A2" w14:textId="77777777" w:rsidR="00FE520E" w:rsidRPr="000419A2" w:rsidRDefault="00FE520E" w:rsidP="001C27B6">
            <w:pPr>
              <w:jc w:val="center"/>
              <w:rPr>
                <w:rFonts w:ascii="Times New Roman" w:hAnsi="Times New Roman" w:cs="Times New Roman"/>
                <w:b/>
                <w:color w:val="auto"/>
                <w:sz w:val="24"/>
                <w:szCs w:val="24"/>
              </w:rPr>
            </w:pPr>
          </w:p>
        </w:tc>
        <w:tc>
          <w:tcPr>
            <w:tcW w:w="1177" w:type="dxa"/>
            <w:vAlign w:val="center"/>
          </w:tcPr>
          <w:p w14:paraId="6C636521" w14:textId="77777777" w:rsidR="00FE520E" w:rsidRPr="000419A2" w:rsidRDefault="00FE520E" w:rsidP="009E472C">
            <w:pPr>
              <w:jc w:val="center"/>
              <w:rPr>
                <w:rFonts w:ascii="Times New Roman" w:hAnsi="Times New Roman" w:cs="Times New Roman"/>
                <w:color w:val="auto"/>
                <w:sz w:val="24"/>
                <w:szCs w:val="24"/>
                <w:lang w:val="en-US"/>
              </w:rPr>
            </w:pPr>
            <w:r w:rsidRPr="000419A2">
              <w:rPr>
                <w:rFonts w:ascii="Times New Roman" w:hAnsi="Times New Roman" w:cs="Times New Roman"/>
                <w:color w:val="auto"/>
                <w:sz w:val="24"/>
                <w:szCs w:val="24"/>
                <w:lang w:val="en-US"/>
              </w:rPr>
              <w:t>280</w:t>
            </w:r>
          </w:p>
        </w:tc>
        <w:tc>
          <w:tcPr>
            <w:tcW w:w="1116" w:type="dxa"/>
            <w:vAlign w:val="center"/>
          </w:tcPr>
          <w:p w14:paraId="3C2B958E" w14:textId="77777777" w:rsidR="00FE520E" w:rsidRPr="000419A2" w:rsidRDefault="00FE520E" w:rsidP="009E472C">
            <w:pPr>
              <w:jc w:val="center"/>
              <w:rPr>
                <w:rFonts w:ascii="Times New Roman" w:hAnsi="Times New Roman" w:cs="Times New Roman"/>
                <w:color w:val="auto"/>
                <w:sz w:val="24"/>
                <w:szCs w:val="24"/>
                <w:lang w:val="en-US"/>
              </w:rPr>
            </w:pPr>
            <w:r w:rsidRPr="000419A2">
              <w:rPr>
                <w:rFonts w:ascii="Times New Roman" w:hAnsi="Times New Roman" w:cs="Times New Roman"/>
                <w:color w:val="auto"/>
                <w:sz w:val="24"/>
                <w:szCs w:val="24"/>
                <w:lang w:val="en-US"/>
              </w:rPr>
              <w:t>640</w:t>
            </w:r>
          </w:p>
        </w:tc>
        <w:tc>
          <w:tcPr>
            <w:tcW w:w="1278" w:type="dxa"/>
            <w:vAlign w:val="center"/>
          </w:tcPr>
          <w:p w14:paraId="6F153815" w14:textId="77777777" w:rsidR="00FE520E" w:rsidRPr="000419A2" w:rsidRDefault="00FE520E" w:rsidP="009E472C">
            <w:pPr>
              <w:jc w:val="center"/>
              <w:rPr>
                <w:rFonts w:ascii="Times New Roman" w:hAnsi="Times New Roman" w:cs="Times New Roman"/>
                <w:color w:val="auto"/>
                <w:sz w:val="24"/>
                <w:szCs w:val="24"/>
              </w:rPr>
            </w:pPr>
            <w:r w:rsidRPr="000419A2">
              <w:rPr>
                <w:rFonts w:ascii="Times New Roman" w:hAnsi="Times New Roman" w:cs="Times New Roman"/>
                <w:color w:val="auto"/>
                <w:sz w:val="24"/>
                <w:szCs w:val="24"/>
              </w:rPr>
              <w:t>1.109</w:t>
            </w:r>
          </w:p>
        </w:tc>
        <w:tc>
          <w:tcPr>
            <w:tcW w:w="1268" w:type="dxa"/>
            <w:vAlign w:val="center"/>
          </w:tcPr>
          <w:p w14:paraId="1C15731E" w14:textId="77777777" w:rsidR="00FE520E" w:rsidRPr="000419A2" w:rsidRDefault="00FE520E" w:rsidP="009E472C">
            <w:pPr>
              <w:jc w:val="center"/>
              <w:rPr>
                <w:rFonts w:ascii="Times New Roman" w:hAnsi="Times New Roman" w:cs="Times New Roman"/>
                <w:color w:val="auto"/>
                <w:sz w:val="24"/>
                <w:szCs w:val="24"/>
                <w:lang w:val="en-US"/>
              </w:rPr>
            </w:pPr>
            <w:r w:rsidRPr="000419A2">
              <w:rPr>
                <w:rFonts w:ascii="Times New Roman" w:hAnsi="Times New Roman" w:cs="Times New Roman"/>
                <w:color w:val="auto"/>
                <w:sz w:val="24"/>
                <w:szCs w:val="24"/>
                <w:lang w:val="en-US"/>
              </w:rPr>
              <w:t>1.785</w:t>
            </w:r>
          </w:p>
        </w:tc>
        <w:tc>
          <w:tcPr>
            <w:tcW w:w="1151" w:type="dxa"/>
            <w:vAlign w:val="center"/>
          </w:tcPr>
          <w:p w14:paraId="7DEE188A" w14:textId="77777777" w:rsidR="00FE520E" w:rsidRPr="000419A2" w:rsidRDefault="00FE520E" w:rsidP="009E472C">
            <w:pPr>
              <w:jc w:val="center"/>
              <w:rPr>
                <w:rFonts w:ascii="Times New Roman" w:hAnsi="Times New Roman" w:cs="Times New Roman"/>
                <w:color w:val="auto"/>
                <w:sz w:val="24"/>
                <w:szCs w:val="24"/>
                <w:lang w:val="sr-Cyrl-RS"/>
              </w:rPr>
            </w:pPr>
            <w:r w:rsidRPr="000419A2">
              <w:rPr>
                <w:rFonts w:ascii="Times New Roman" w:hAnsi="Times New Roman" w:cs="Times New Roman"/>
                <w:color w:val="auto"/>
                <w:sz w:val="24"/>
                <w:szCs w:val="24"/>
                <w:lang w:val="sr-Cyrl-RS"/>
              </w:rPr>
              <w:t>1.923</w:t>
            </w:r>
          </w:p>
        </w:tc>
        <w:tc>
          <w:tcPr>
            <w:tcW w:w="1001" w:type="dxa"/>
            <w:vAlign w:val="center"/>
          </w:tcPr>
          <w:p w14:paraId="323073C0" w14:textId="77777777" w:rsidR="00FE520E" w:rsidRPr="000419A2" w:rsidRDefault="00961F00" w:rsidP="009E472C">
            <w:pPr>
              <w:jc w:val="center"/>
              <w:rPr>
                <w:rFonts w:ascii="Times New Roman" w:hAnsi="Times New Roman" w:cs="Times New Roman"/>
                <w:color w:val="auto"/>
                <w:sz w:val="24"/>
                <w:szCs w:val="24"/>
                <w:lang w:val="sr-Cyrl-RS"/>
              </w:rPr>
            </w:pPr>
            <w:r w:rsidRPr="000419A2">
              <w:rPr>
                <w:rFonts w:ascii="Times New Roman" w:hAnsi="Times New Roman" w:cs="Times New Roman"/>
                <w:color w:val="auto"/>
                <w:sz w:val="24"/>
                <w:szCs w:val="24"/>
                <w:lang w:val="sr-Cyrl-RS"/>
              </w:rPr>
              <w:t>1.426</w:t>
            </w:r>
          </w:p>
        </w:tc>
      </w:tr>
    </w:tbl>
    <w:p w14:paraId="1CCE2E92" w14:textId="77777777" w:rsidR="00D37580" w:rsidRPr="00D37580" w:rsidRDefault="00D37580">
      <w:pPr>
        <w:spacing w:after="0"/>
        <w:ind w:left="-142"/>
        <w:jc w:val="both"/>
      </w:pPr>
    </w:p>
    <w:p w14:paraId="2CDD535C" w14:textId="11291F96" w:rsidR="0081466B" w:rsidRPr="006262E1" w:rsidRDefault="000419A2">
      <w:pPr>
        <w:jc w:val="both"/>
        <w:rPr>
          <w:color w:val="auto"/>
          <w:lang w:val="sr-Cyrl-CS"/>
        </w:rPr>
      </w:pPr>
      <w:r w:rsidRPr="000419A2">
        <w:rPr>
          <w:rFonts w:ascii="Times New Roman" w:eastAsia="Times New Roman" w:hAnsi="Times New Roman" w:cs="Times New Roman"/>
          <w:color w:val="auto"/>
          <w:sz w:val="24"/>
          <w:szCs w:val="24"/>
          <w:lang w:val="sr-Cyrl-RS"/>
        </w:rPr>
        <w:t>На</w:t>
      </w:r>
      <w:r w:rsidR="004F0DED" w:rsidRPr="000419A2">
        <w:rPr>
          <w:rFonts w:ascii="Times New Roman" w:eastAsia="Times New Roman" w:hAnsi="Times New Roman" w:cs="Times New Roman"/>
          <w:color w:val="auto"/>
          <w:sz w:val="24"/>
          <w:szCs w:val="24"/>
        </w:rPr>
        <w:t xml:space="preserve"> основу оквирних спо</w:t>
      </w:r>
      <w:r w:rsidR="00A127F4" w:rsidRPr="000419A2">
        <w:rPr>
          <w:rFonts w:ascii="Times New Roman" w:eastAsia="Times New Roman" w:hAnsi="Times New Roman" w:cs="Times New Roman"/>
          <w:color w:val="auto"/>
          <w:sz w:val="24"/>
          <w:szCs w:val="24"/>
        </w:rPr>
        <w:t>раз</w:t>
      </w:r>
      <w:r w:rsidR="007C4064" w:rsidRPr="000419A2">
        <w:rPr>
          <w:rFonts w:ascii="Times New Roman" w:eastAsia="Times New Roman" w:hAnsi="Times New Roman" w:cs="Times New Roman"/>
          <w:color w:val="auto"/>
          <w:sz w:val="24"/>
          <w:szCs w:val="24"/>
        </w:rPr>
        <w:t>ума, у првом полугодишту 2019</w:t>
      </w:r>
      <w:r w:rsidR="004F0DED" w:rsidRPr="000419A2">
        <w:rPr>
          <w:rFonts w:ascii="Times New Roman" w:eastAsia="Times New Roman" w:hAnsi="Times New Roman" w:cs="Times New Roman"/>
          <w:color w:val="auto"/>
          <w:sz w:val="24"/>
          <w:szCs w:val="24"/>
        </w:rPr>
        <w:t>. године, закључено је</w:t>
      </w:r>
      <w:r w:rsidR="004F0DED" w:rsidRPr="000419A2">
        <w:rPr>
          <w:rFonts w:ascii="Times New Roman" w:eastAsia="Times New Roman" w:hAnsi="Times New Roman" w:cs="Times New Roman"/>
          <w:b/>
          <w:color w:val="auto"/>
          <w:sz w:val="24"/>
          <w:szCs w:val="24"/>
        </w:rPr>
        <w:t xml:space="preserve"> </w:t>
      </w:r>
      <w:r w:rsidR="00A127F4" w:rsidRPr="000419A2">
        <w:rPr>
          <w:rFonts w:ascii="Times New Roman" w:eastAsia="Times New Roman" w:hAnsi="Times New Roman" w:cs="Times New Roman"/>
          <w:color w:val="auto"/>
          <w:sz w:val="24"/>
          <w:szCs w:val="24"/>
        </w:rPr>
        <w:t>преко</w:t>
      </w:r>
      <w:r w:rsidR="007C4064" w:rsidRPr="000419A2">
        <w:rPr>
          <w:rFonts w:ascii="Times New Roman" w:eastAsia="Times New Roman" w:hAnsi="Times New Roman" w:cs="Times New Roman"/>
          <w:color w:val="auto"/>
          <w:sz w:val="24"/>
          <w:szCs w:val="24"/>
        </w:rPr>
        <w:t xml:space="preserve"> седамнаест</w:t>
      </w:r>
      <w:r w:rsidR="004F0DED" w:rsidRPr="000419A2">
        <w:rPr>
          <w:rFonts w:ascii="Times New Roman" w:eastAsia="Times New Roman" w:hAnsi="Times New Roman" w:cs="Times New Roman"/>
          <w:color w:val="auto"/>
          <w:sz w:val="24"/>
          <w:szCs w:val="24"/>
        </w:rPr>
        <w:t xml:space="preserve"> хиљада уговора </w:t>
      </w:r>
      <w:r w:rsidR="00A127F4" w:rsidRPr="000419A2">
        <w:rPr>
          <w:rFonts w:ascii="Times New Roman" w:eastAsia="Times New Roman" w:hAnsi="Times New Roman" w:cs="Times New Roman"/>
          <w:color w:val="auto"/>
          <w:sz w:val="24"/>
          <w:szCs w:val="24"/>
        </w:rPr>
        <w:t xml:space="preserve">чија је </w:t>
      </w:r>
      <w:r w:rsidR="00FB5978" w:rsidRPr="000419A2">
        <w:rPr>
          <w:rFonts w:ascii="Times New Roman" w:eastAsia="Times New Roman" w:hAnsi="Times New Roman" w:cs="Times New Roman"/>
          <w:color w:val="auto"/>
          <w:sz w:val="24"/>
          <w:szCs w:val="24"/>
          <w:lang w:val="sr"/>
        </w:rPr>
        <w:t xml:space="preserve">укупна </w:t>
      </w:r>
      <w:r w:rsidR="007C4064" w:rsidRPr="000419A2">
        <w:rPr>
          <w:rFonts w:ascii="Times New Roman" w:eastAsia="Times New Roman" w:hAnsi="Times New Roman" w:cs="Times New Roman"/>
          <w:color w:val="auto"/>
          <w:sz w:val="24"/>
          <w:szCs w:val="24"/>
        </w:rPr>
        <w:t>вредност била за 49</w:t>
      </w:r>
      <w:r w:rsidR="004A0D54" w:rsidRPr="000419A2">
        <w:rPr>
          <w:rFonts w:ascii="Times New Roman" w:eastAsia="Times New Roman" w:hAnsi="Times New Roman" w:cs="Times New Roman"/>
          <w:color w:val="auto"/>
          <w:sz w:val="24"/>
          <w:szCs w:val="24"/>
        </w:rPr>
        <w:t>%</w:t>
      </w:r>
      <w:r w:rsidR="00A127F4" w:rsidRPr="000419A2">
        <w:rPr>
          <w:rFonts w:ascii="Times New Roman" w:eastAsia="Times New Roman" w:hAnsi="Times New Roman" w:cs="Times New Roman"/>
          <w:color w:val="auto"/>
          <w:sz w:val="24"/>
          <w:szCs w:val="24"/>
        </w:rPr>
        <w:t xml:space="preserve"> већа у односу на исти период претходне године (Табела 1</w:t>
      </w:r>
      <w:r w:rsidR="00953934" w:rsidRPr="000419A2">
        <w:rPr>
          <w:rFonts w:ascii="Times New Roman" w:eastAsia="Times New Roman" w:hAnsi="Times New Roman" w:cs="Times New Roman"/>
          <w:color w:val="auto"/>
          <w:sz w:val="24"/>
          <w:szCs w:val="24"/>
          <w:lang w:val="sr-Cyrl-RS"/>
        </w:rPr>
        <w:t>7</w:t>
      </w:r>
      <w:r w:rsidR="004F0DED" w:rsidRPr="000419A2">
        <w:rPr>
          <w:rFonts w:ascii="Times New Roman" w:eastAsia="Times New Roman" w:hAnsi="Times New Roman" w:cs="Times New Roman"/>
          <w:color w:val="auto"/>
          <w:sz w:val="24"/>
          <w:szCs w:val="24"/>
        </w:rPr>
        <w:t xml:space="preserve">). </w:t>
      </w:r>
      <w:r w:rsidR="006262E1" w:rsidRPr="000419A2">
        <w:rPr>
          <w:rFonts w:ascii="Times New Roman" w:eastAsia="Times New Roman" w:hAnsi="Times New Roman" w:cs="Times New Roman"/>
          <w:color w:val="auto"/>
          <w:sz w:val="24"/>
          <w:szCs w:val="24"/>
          <w:lang w:val="sr-Cyrl-CS"/>
        </w:rPr>
        <w:t>Ист</w:t>
      </w:r>
      <w:r w:rsidR="007C4064" w:rsidRPr="000419A2">
        <w:rPr>
          <w:rFonts w:ascii="Times New Roman" w:eastAsia="Times New Roman" w:hAnsi="Times New Roman" w:cs="Times New Roman"/>
          <w:color w:val="auto"/>
          <w:sz w:val="24"/>
          <w:szCs w:val="24"/>
          <w:lang w:val="sr-Cyrl-CS"/>
        </w:rPr>
        <w:t>овремено, релативно учешће порасло</w:t>
      </w:r>
      <w:r w:rsidR="006262E1" w:rsidRPr="000419A2">
        <w:rPr>
          <w:rFonts w:ascii="Times New Roman" w:eastAsia="Times New Roman" w:hAnsi="Times New Roman" w:cs="Times New Roman"/>
          <w:color w:val="auto"/>
          <w:sz w:val="24"/>
          <w:szCs w:val="24"/>
          <w:lang w:val="sr-Cyrl-CS"/>
        </w:rPr>
        <w:t xml:space="preserve"> је</w:t>
      </w:r>
      <w:r w:rsidR="007C4064" w:rsidRPr="000419A2">
        <w:rPr>
          <w:rFonts w:ascii="Times New Roman" w:eastAsia="Times New Roman" w:hAnsi="Times New Roman" w:cs="Times New Roman"/>
          <w:color w:val="auto"/>
          <w:sz w:val="24"/>
          <w:szCs w:val="24"/>
          <w:lang w:val="sr-Cyrl-CS"/>
        </w:rPr>
        <w:t xml:space="preserve"> са 16% на 23</w:t>
      </w:r>
      <w:r w:rsidR="00872C47" w:rsidRPr="000419A2">
        <w:rPr>
          <w:rFonts w:ascii="Times New Roman" w:eastAsia="Times New Roman" w:hAnsi="Times New Roman" w:cs="Times New Roman"/>
          <w:color w:val="auto"/>
          <w:sz w:val="24"/>
          <w:szCs w:val="24"/>
          <w:lang w:val="sr-Cyrl-CS"/>
        </w:rPr>
        <w:t>% учешћа</w:t>
      </w:r>
      <w:r w:rsidR="00872C47">
        <w:rPr>
          <w:rFonts w:ascii="Times New Roman" w:eastAsia="Times New Roman" w:hAnsi="Times New Roman" w:cs="Times New Roman"/>
          <w:color w:val="auto"/>
          <w:sz w:val="24"/>
          <w:szCs w:val="24"/>
          <w:lang w:val="sr-Cyrl-CS"/>
        </w:rPr>
        <w:t>.</w:t>
      </w:r>
    </w:p>
    <w:p w14:paraId="41D3AC5D" w14:textId="77777777" w:rsidR="0081466B" w:rsidRPr="000419A2" w:rsidRDefault="004F0DED" w:rsidP="00961F00">
      <w:pPr>
        <w:ind w:hanging="284"/>
        <w:jc w:val="both"/>
        <w:rPr>
          <w:rFonts w:ascii="Times New Roman" w:eastAsia="Times New Roman" w:hAnsi="Times New Roman" w:cs="Times New Roman"/>
          <w:b/>
          <w:color w:val="auto"/>
          <w:sz w:val="24"/>
          <w:szCs w:val="24"/>
          <w:lang w:val="sr-Cyrl-RS"/>
        </w:rPr>
      </w:pPr>
      <w:r w:rsidRPr="000419A2">
        <w:rPr>
          <w:rFonts w:ascii="Times New Roman" w:eastAsia="Times New Roman" w:hAnsi="Times New Roman" w:cs="Times New Roman"/>
          <w:b/>
          <w:color w:val="auto"/>
          <w:sz w:val="24"/>
          <w:szCs w:val="24"/>
        </w:rPr>
        <w:t>Табела 1</w:t>
      </w:r>
      <w:r w:rsidR="00953934" w:rsidRPr="000419A2">
        <w:rPr>
          <w:rFonts w:ascii="Times New Roman" w:eastAsia="Times New Roman" w:hAnsi="Times New Roman" w:cs="Times New Roman"/>
          <w:b/>
          <w:color w:val="auto"/>
          <w:sz w:val="24"/>
          <w:szCs w:val="24"/>
          <w:lang w:val="sr-Cyrl-RS"/>
        </w:rPr>
        <w:t>7</w:t>
      </w:r>
    </w:p>
    <w:tbl>
      <w:tblPr>
        <w:tblStyle w:val="ac"/>
        <w:tblW w:w="9498" w:type="dxa"/>
        <w:jc w:val="center"/>
        <w:tblLayout w:type="fixed"/>
        <w:tblLook w:val="0400" w:firstRow="0" w:lastRow="0" w:firstColumn="0" w:lastColumn="0" w:noHBand="0" w:noVBand="1"/>
      </w:tblPr>
      <w:tblGrid>
        <w:gridCol w:w="1524"/>
        <w:gridCol w:w="713"/>
        <w:gridCol w:w="1559"/>
        <w:gridCol w:w="1024"/>
        <w:gridCol w:w="1134"/>
        <w:gridCol w:w="850"/>
        <w:gridCol w:w="1560"/>
        <w:gridCol w:w="1134"/>
      </w:tblGrid>
      <w:tr w:rsidR="0081466B" w:rsidRPr="000419A2" w14:paraId="71D377E8" w14:textId="77777777">
        <w:trPr>
          <w:trHeight w:val="640"/>
          <w:jc w:val="center"/>
        </w:trPr>
        <w:tc>
          <w:tcPr>
            <w:tcW w:w="9498" w:type="dxa"/>
            <w:gridSpan w:val="8"/>
            <w:tcBorders>
              <w:top w:val="single" w:sz="8" w:space="0" w:color="000000"/>
              <w:left w:val="single" w:sz="8" w:space="0" w:color="000000"/>
              <w:bottom w:val="single" w:sz="8" w:space="0" w:color="000000"/>
              <w:right w:val="single" w:sz="8" w:space="0" w:color="000000"/>
            </w:tcBorders>
            <w:tcMar>
              <w:left w:w="108" w:type="dxa"/>
              <w:right w:w="108" w:type="dxa"/>
            </w:tcMar>
          </w:tcPr>
          <w:p w14:paraId="7088519C" w14:textId="77777777" w:rsidR="0081466B" w:rsidRPr="000419A2" w:rsidRDefault="004F0DED">
            <w:pPr>
              <w:spacing w:after="0"/>
              <w:jc w:val="center"/>
              <w:rPr>
                <w:rFonts w:ascii="Times New Roman" w:hAnsi="Times New Roman" w:cs="Times New Roman"/>
                <w:color w:val="auto"/>
              </w:rPr>
            </w:pPr>
            <w:r w:rsidRPr="000419A2">
              <w:rPr>
                <w:rFonts w:ascii="Times New Roman" w:eastAsia="Times New Roman" w:hAnsi="Times New Roman" w:cs="Times New Roman"/>
                <w:b/>
                <w:color w:val="auto"/>
                <w:sz w:val="24"/>
                <w:szCs w:val="24"/>
              </w:rPr>
              <w:t xml:space="preserve">Упоредни преглед закључених уговора на основу оквирних споразума </w:t>
            </w:r>
          </w:p>
          <w:p w14:paraId="38AFC81B" w14:textId="77777777" w:rsidR="0081466B" w:rsidRPr="000419A2" w:rsidRDefault="00800ABA">
            <w:pPr>
              <w:spacing w:after="0"/>
              <w:jc w:val="center"/>
              <w:rPr>
                <w:rFonts w:ascii="Times New Roman" w:hAnsi="Times New Roman" w:cs="Times New Roman"/>
                <w:color w:val="auto"/>
              </w:rPr>
            </w:pPr>
            <w:r w:rsidRPr="000419A2">
              <w:rPr>
                <w:rFonts w:ascii="Times New Roman" w:eastAsia="Times New Roman" w:hAnsi="Times New Roman" w:cs="Times New Roman"/>
                <w:b/>
                <w:color w:val="auto"/>
                <w:sz w:val="24"/>
                <w:szCs w:val="24"/>
              </w:rPr>
              <w:t>у првом полугодишту 201</w:t>
            </w:r>
            <w:r w:rsidR="00961F00" w:rsidRPr="000419A2">
              <w:rPr>
                <w:rFonts w:ascii="Times New Roman" w:eastAsia="Times New Roman" w:hAnsi="Times New Roman" w:cs="Times New Roman"/>
                <w:b/>
                <w:color w:val="auto"/>
                <w:sz w:val="24"/>
                <w:szCs w:val="24"/>
                <w:lang w:val="sr-Cyrl-RS"/>
              </w:rPr>
              <w:t>8</w:t>
            </w:r>
            <w:r w:rsidRPr="000419A2">
              <w:rPr>
                <w:rFonts w:ascii="Times New Roman" w:eastAsia="Times New Roman" w:hAnsi="Times New Roman" w:cs="Times New Roman"/>
                <w:b/>
                <w:color w:val="auto"/>
                <w:sz w:val="24"/>
                <w:szCs w:val="24"/>
              </w:rPr>
              <w:t xml:space="preserve">. и </w:t>
            </w:r>
            <w:r w:rsidR="00961F00" w:rsidRPr="000419A2">
              <w:rPr>
                <w:rFonts w:ascii="Times New Roman" w:eastAsia="Times New Roman" w:hAnsi="Times New Roman" w:cs="Times New Roman"/>
                <w:b/>
                <w:color w:val="auto"/>
                <w:sz w:val="24"/>
                <w:szCs w:val="24"/>
                <w:lang w:val="sr-Cyrl-RS"/>
              </w:rPr>
              <w:t xml:space="preserve"> </w:t>
            </w:r>
            <w:r w:rsidRPr="000419A2">
              <w:rPr>
                <w:rFonts w:ascii="Times New Roman" w:eastAsia="Times New Roman" w:hAnsi="Times New Roman" w:cs="Times New Roman"/>
                <w:b/>
                <w:color w:val="auto"/>
                <w:sz w:val="24"/>
                <w:szCs w:val="24"/>
              </w:rPr>
              <w:t>201</w:t>
            </w:r>
            <w:r w:rsidR="00961F00" w:rsidRPr="000419A2">
              <w:rPr>
                <w:rFonts w:ascii="Times New Roman" w:eastAsia="Times New Roman" w:hAnsi="Times New Roman" w:cs="Times New Roman"/>
                <w:b/>
                <w:color w:val="auto"/>
                <w:sz w:val="24"/>
                <w:szCs w:val="24"/>
                <w:lang w:val="sr-Cyrl-RS"/>
              </w:rPr>
              <w:t>9</w:t>
            </w:r>
            <w:r w:rsidR="004F0DED" w:rsidRPr="000419A2">
              <w:rPr>
                <w:rFonts w:ascii="Times New Roman" w:eastAsia="Times New Roman" w:hAnsi="Times New Roman" w:cs="Times New Roman"/>
                <w:b/>
                <w:color w:val="auto"/>
                <w:sz w:val="24"/>
                <w:szCs w:val="24"/>
              </w:rPr>
              <w:t xml:space="preserve">. године и њихово учешће </w:t>
            </w:r>
          </w:p>
          <w:p w14:paraId="4A9C8628" w14:textId="77777777" w:rsidR="0081466B" w:rsidRPr="000419A2" w:rsidRDefault="004F0DED">
            <w:pPr>
              <w:spacing w:after="0"/>
              <w:jc w:val="center"/>
              <w:rPr>
                <w:rFonts w:ascii="Times New Roman" w:hAnsi="Times New Roman" w:cs="Times New Roman"/>
                <w:color w:val="auto"/>
              </w:rPr>
            </w:pPr>
            <w:r w:rsidRPr="000419A2">
              <w:rPr>
                <w:rFonts w:ascii="Times New Roman" w:eastAsia="Times New Roman" w:hAnsi="Times New Roman" w:cs="Times New Roman"/>
                <w:b/>
                <w:color w:val="auto"/>
                <w:sz w:val="24"/>
                <w:szCs w:val="24"/>
              </w:rPr>
              <w:t>у укупном броју и вредности уговора о јавним набавкама</w:t>
            </w:r>
          </w:p>
        </w:tc>
      </w:tr>
      <w:tr w:rsidR="0081466B" w:rsidRPr="000419A2" w14:paraId="08107C32" w14:textId="77777777">
        <w:trPr>
          <w:trHeight w:val="220"/>
          <w:jc w:val="center"/>
        </w:trPr>
        <w:tc>
          <w:tcPr>
            <w:tcW w:w="4820" w:type="dxa"/>
            <w:gridSpan w:val="4"/>
            <w:tcBorders>
              <w:top w:val="nil"/>
              <w:left w:val="single" w:sz="8" w:space="0" w:color="000000"/>
              <w:bottom w:val="single" w:sz="8" w:space="0" w:color="000000"/>
              <w:right w:val="single" w:sz="8" w:space="0" w:color="000000"/>
            </w:tcBorders>
            <w:tcMar>
              <w:left w:w="108" w:type="dxa"/>
              <w:right w:w="108" w:type="dxa"/>
            </w:tcMar>
            <w:vAlign w:val="center"/>
          </w:tcPr>
          <w:p w14:paraId="58ABF524" w14:textId="77777777" w:rsidR="0081466B" w:rsidRPr="000419A2" w:rsidRDefault="00800ABA" w:rsidP="00961F00">
            <w:pPr>
              <w:spacing w:before="100" w:after="100" w:line="240" w:lineRule="auto"/>
              <w:jc w:val="center"/>
              <w:rPr>
                <w:rFonts w:ascii="Times New Roman" w:hAnsi="Times New Roman" w:cs="Times New Roman"/>
                <w:color w:val="auto"/>
              </w:rPr>
            </w:pPr>
            <w:r w:rsidRPr="000419A2">
              <w:rPr>
                <w:rFonts w:ascii="Times New Roman" w:eastAsia="Times New Roman" w:hAnsi="Times New Roman" w:cs="Times New Roman"/>
                <w:b/>
                <w:color w:val="auto"/>
                <w:sz w:val="24"/>
                <w:szCs w:val="24"/>
              </w:rPr>
              <w:t>201</w:t>
            </w:r>
            <w:r w:rsidR="00961F00" w:rsidRPr="000419A2">
              <w:rPr>
                <w:rFonts w:ascii="Times New Roman" w:eastAsia="Times New Roman" w:hAnsi="Times New Roman" w:cs="Times New Roman"/>
                <w:b/>
                <w:color w:val="auto"/>
                <w:sz w:val="24"/>
                <w:szCs w:val="24"/>
                <w:lang w:val="sr-Cyrl-RS"/>
              </w:rPr>
              <w:t>8</w:t>
            </w:r>
            <w:r w:rsidR="004F0DED" w:rsidRPr="000419A2">
              <w:rPr>
                <w:rFonts w:ascii="Times New Roman" w:eastAsia="Times New Roman" w:hAnsi="Times New Roman" w:cs="Times New Roman"/>
                <w:b/>
                <w:color w:val="auto"/>
                <w:sz w:val="24"/>
                <w:szCs w:val="24"/>
              </w:rPr>
              <w:t>. 1П</w:t>
            </w:r>
          </w:p>
        </w:tc>
        <w:tc>
          <w:tcPr>
            <w:tcW w:w="4678" w:type="dxa"/>
            <w:gridSpan w:val="4"/>
            <w:tcBorders>
              <w:top w:val="nil"/>
              <w:left w:val="nil"/>
              <w:bottom w:val="single" w:sz="8" w:space="0" w:color="000000"/>
              <w:right w:val="single" w:sz="8" w:space="0" w:color="000000"/>
            </w:tcBorders>
            <w:tcMar>
              <w:left w:w="108" w:type="dxa"/>
              <w:right w:w="108" w:type="dxa"/>
            </w:tcMar>
            <w:vAlign w:val="center"/>
          </w:tcPr>
          <w:p w14:paraId="57E85BA4" w14:textId="77777777" w:rsidR="0081466B" w:rsidRPr="000419A2" w:rsidRDefault="00800ABA" w:rsidP="00961F00">
            <w:pPr>
              <w:spacing w:before="100" w:after="100" w:line="240" w:lineRule="auto"/>
              <w:jc w:val="center"/>
              <w:rPr>
                <w:rFonts w:ascii="Times New Roman" w:hAnsi="Times New Roman" w:cs="Times New Roman"/>
                <w:color w:val="auto"/>
              </w:rPr>
            </w:pPr>
            <w:r w:rsidRPr="000419A2">
              <w:rPr>
                <w:rFonts w:ascii="Times New Roman" w:eastAsia="Times New Roman" w:hAnsi="Times New Roman" w:cs="Times New Roman"/>
                <w:b/>
                <w:color w:val="auto"/>
                <w:sz w:val="24"/>
                <w:szCs w:val="24"/>
              </w:rPr>
              <w:t>201</w:t>
            </w:r>
            <w:r w:rsidR="00961F00" w:rsidRPr="000419A2">
              <w:rPr>
                <w:rFonts w:ascii="Times New Roman" w:eastAsia="Times New Roman" w:hAnsi="Times New Roman" w:cs="Times New Roman"/>
                <w:b/>
                <w:color w:val="auto"/>
                <w:sz w:val="24"/>
                <w:szCs w:val="24"/>
                <w:lang w:val="sr-Cyrl-RS"/>
              </w:rPr>
              <w:t>9</w:t>
            </w:r>
            <w:r w:rsidR="004F0DED" w:rsidRPr="000419A2">
              <w:rPr>
                <w:rFonts w:ascii="Times New Roman" w:eastAsia="Times New Roman" w:hAnsi="Times New Roman" w:cs="Times New Roman"/>
                <w:b/>
                <w:color w:val="auto"/>
                <w:sz w:val="24"/>
                <w:szCs w:val="24"/>
              </w:rPr>
              <w:t>. 1П</w:t>
            </w:r>
          </w:p>
        </w:tc>
      </w:tr>
      <w:tr w:rsidR="0081466B" w:rsidRPr="000419A2" w14:paraId="36DFFAB6" w14:textId="77777777" w:rsidTr="00961F00">
        <w:trPr>
          <w:trHeight w:val="540"/>
          <w:jc w:val="center"/>
        </w:trPr>
        <w:tc>
          <w:tcPr>
            <w:tcW w:w="1524" w:type="dxa"/>
            <w:tcBorders>
              <w:top w:val="nil"/>
              <w:left w:val="single" w:sz="8" w:space="0" w:color="000000"/>
              <w:bottom w:val="single" w:sz="8" w:space="0" w:color="000000"/>
              <w:right w:val="single" w:sz="8" w:space="0" w:color="000000"/>
            </w:tcBorders>
            <w:tcMar>
              <w:left w:w="108" w:type="dxa"/>
              <w:right w:w="108" w:type="dxa"/>
            </w:tcMar>
            <w:vAlign w:val="center"/>
          </w:tcPr>
          <w:p w14:paraId="7B7946ED" w14:textId="77777777" w:rsidR="0081466B" w:rsidRPr="000419A2" w:rsidRDefault="004F0DED">
            <w:pPr>
              <w:spacing w:before="100" w:after="100" w:line="240" w:lineRule="auto"/>
              <w:jc w:val="center"/>
              <w:rPr>
                <w:rFonts w:ascii="Times New Roman" w:hAnsi="Times New Roman" w:cs="Times New Roman"/>
                <w:color w:val="auto"/>
              </w:rPr>
            </w:pPr>
            <w:r w:rsidRPr="000419A2">
              <w:rPr>
                <w:rFonts w:ascii="Times New Roman" w:eastAsia="Times New Roman" w:hAnsi="Times New Roman" w:cs="Times New Roman"/>
                <w:b/>
                <w:color w:val="auto"/>
                <w:sz w:val="24"/>
                <w:szCs w:val="24"/>
              </w:rPr>
              <w:t>Број уговора</w:t>
            </w:r>
          </w:p>
        </w:tc>
        <w:tc>
          <w:tcPr>
            <w:tcW w:w="713" w:type="dxa"/>
            <w:tcBorders>
              <w:top w:val="nil"/>
              <w:left w:val="nil"/>
              <w:bottom w:val="single" w:sz="8" w:space="0" w:color="000000"/>
              <w:right w:val="single" w:sz="8" w:space="0" w:color="000000"/>
            </w:tcBorders>
            <w:tcMar>
              <w:left w:w="108" w:type="dxa"/>
              <w:right w:w="108" w:type="dxa"/>
            </w:tcMar>
            <w:vAlign w:val="center"/>
          </w:tcPr>
          <w:p w14:paraId="76A2FE36" w14:textId="77777777" w:rsidR="0081466B" w:rsidRPr="000419A2" w:rsidRDefault="004F0DED">
            <w:pPr>
              <w:spacing w:before="100" w:after="100" w:line="240" w:lineRule="auto"/>
              <w:jc w:val="center"/>
              <w:rPr>
                <w:rFonts w:ascii="Times New Roman" w:hAnsi="Times New Roman" w:cs="Times New Roman"/>
                <w:color w:val="auto"/>
              </w:rPr>
            </w:pPr>
            <w:r w:rsidRPr="000419A2">
              <w:rPr>
                <w:rFonts w:ascii="Times New Roman" w:eastAsia="Times New Roman" w:hAnsi="Times New Roman" w:cs="Times New Roman"/>
                <w:b/>
                <w:color w:val="auto"/>
                <w:sz w:val="24"/>
                <w:szCs w:val="24"/>
              </w:rPr>
              <w:t>%</w:t>
            </w:r>
          </w:p>
        </w:tc>
        <w:tc>
          <w:tcPr>
            <w:tcW w:w="1559" w:type="dxa"/>
            <w:tcBorders>
              <w:top w:val="nil"/>
              <w:left w:val="nil"/>
              <w:bottom w:val="single" w:sz="8" w:space="0" w:color="000000"/>
              <w:right w:val="single" w:sz="8" w:space="0" w:color="000000"/>
            </w:tcBorders>
            <w:tcMar>
              <w:left w:w="108" w:type="dxa"/>
              <w:right w:w="108" w:type="dxa"/>
            </w:tcMar>
            <w:vAlign w:val="center"/>
          </w:tcPr>
          <w:p w14:paraId="65FF513B" w14:textId="77777777" w:rsidR="0081466B" w:rsidRPr="000419A2" w:rsidRDefault="004F0DED">
            <w:pPr>
              <w:spacing w:before="100" w:after="100" w:line="240" w:lineRule="auto"/>
              <w:jc w:val="center"/>
              <w:rPr>
                <w:rFonts w:ascii="Times New Roman" w:hAnsi="Times New Roman" w:cs="Times New Roman"/>
                <w:color w:val="auto"/>
              </w:rPr>
            </w:pPr>
            <w:r w:rsidRPr="000419A2">
              <w:rPr>
                <w:rFonts w:ascii="Times New Roman" w:eastAsia="Times New Roman" w:hAnsi="Times New Roman" w:cs="Times New Roman"/>
                <w:b/>
                <w:color w:val="auto"/>
                <w:sz w:val="24"/>
                <w:szCs w:val="24"/>
              </w:rPr>
              <w:t>Уговорена вредност без ПДВ-а*</w:t>
            </w:r>
          </w:p>
        </w:tc>
        <w:tc>
          <w:tcPr>
            <w:tcW w:w="1024" w:type="dxa"/>
            <w:tcBorders>
              <w:top w:val="nil"/>
              <w:left w:val="nil"/>
              <w:bottom w:val="single" w:sz="8" w:space="0" w:color="000000"/>
              <w:right w:val="single" w:sz="8" w:space="0" w:color="000000"/>
            </w:tcBorders>
            <w:tcMar>
              <w:left w:w="108" w:type="dxa"/>
              <w:right w:w="108" w:type="dxa"/>
            </w:tcMar>
            <w:vAlign w:val="center"/>
          </w:tcPr>
          <w:p w14:paraId="0EDC28C4" w14:textId="77777777" w:rsidR="0081466B" w:rsidRPr="000419A2" w:rsidRDefault="004F0DED">
            <w:pPr>
              <w:spacing w:before="100" w:after="100" w:line="240" w:lineRule="auto"/>
              <w:jc w:val="center"/>
              <w:rPr>
                <w:rFonts w:ascii="Times New Roman" w:hAnsi="Times New Roman" w:cs="Times New Roman"/>
                <w:color w:val="auto"/>
              </w:rPr>
            </w:pPr>
            <w:r w:rsidRPr="000419A2">
              <w:rPr>
                <w:rFonts w:ascii="Times New Roman" w:eastAsia="Times New Roman" w:hAnsi="Times New Roman" w:cs="Times New Roman"/>
                <w:b/>
                <w:color w:val="auto"/>
                <w:sz w:val="24"/>
                <w:szCs w:val="24"/>
              </w:rPr>
              <w:t>%</w:t>
            </w:r>
          </w:p>
        </w:tc>
        <w:tc>
          <w:tcPr>
            <w:tcW w:w="1134" w:type="dxa"/>
            <w:tcBorders>
              <w:top w:val="nil"/>
              <w:left w:val="nil"/>
              <w:bottom w:val="single" w:sz="8" w:space="0" w:color="000000"/>
              <w:right w:val="single" w:sz="8" w:space="0" w:color="000000"/>
            </w:tcBorders>
            <w:tcMar>
              <w:left w:w="108" w:type="dxa"/>
              <w:right w:w="108" w:type="dxa"/>
            </w:tcMar>
            <w:vAlign w:val="center"/>
          </w:tcPr>
          <w:p w14:paraId="2F14A2FF" w14:textId="77777777" w:rsidR="0081466B" w:rsidRPr="000419A2" w:rsidRDefault="004F0DED">
            <w:pPr>
              <w:spacing w:before="100" w:after="100" w:line="240" w:lineRule="auto"/>
              <w:jc w:val="center"/>
              <w:rPr>
                <w:rFonts w:ascii="Times New Roman" w:hAnsi="Times New Roman" w:cs="Times New Roman"/>
                <w:color w:val="auto"/>
              </w:rPr>
            </w:pPr>
            <w:r w:rsidRPr="000419A2">
              <w:rPr>
                <w:rFonts w:ascii="Times New Roman" w:eastAsia="Times New Roman" w:hAnsi="Times New Roman" w:cs="Times New Roman"/>
                <w:b/>
                <w:color w:val="auto"/>
                <w:sz w:val="24"/>
                <w:szCs w:val="24"/>
              </w:rPr>
              <w:t>Број уговора</w:t>
            </w:r>
          </w:p>
        </w:tc>
        <w:tc>
          <w:tcPr>
            <w:tcW w:w="850" w:type="dxa"/>
            <w:tcBorders>
              <w:top w:val="nil"/>
              <w:left w:val="nil"/>
              <w:bottom w:val="single" w:sz="8" w:space="0" w:color="000000"/>
              <w:right w:val="single" w:sz="8" w:space="0" w:color="000000"/>
            </w:tcBorders>
            <w:tcMar>
              <w:left w:w="108" w:type="dxa"/>
              <w:right w:w="108" w:type="dxa"/>
            </w:tcMar>
            <w:vAlign w:val="center"/>
          </w:tcPr>
          <w:p w14:paraId="45BDE887" w14:textId="77777777" w:rsidR="0081466B" w:rsidRPr="000419A2" w:rsidRDefault="004F0DED">
            <w:pPr>
              <w:spacing w:before="100" w:after="100" w:line="240" w:lineRule="auto"/>
              <w:jc w:val="center"/>
              <w:rPr>
                <w:rFonts w:ascii="Times New Roman" w:hAnsi="Times New Roman" w:cs="Times New Roman"/>
                <w:color w:val="auto"/>
              </w:rPr>
            </w:pPr>
            <w:r w:rsidRPr="000419A2">
              <w:rPr>
                <w:rFonts w:ascii="Times New Roman" w:eastAsia="Times New Roman" w:hAnsi="Times New Roman" w:cs="Times New Roman"/>
                <w:b/>
                <w:color w:val="auto"/>
                <w:sz w:val="24"/>
                <w:szCs w:val="24"/>
              </w:rPr>
              <w:t>%</w:t>
            </w:r>
          </w:p>
        </w:tc>
        <w:tc>
          <w:tcPr>
            <w:tcW w:w="1560" w:type="dxa"/>
            <w:tcBorders>
              <w:top w:val="nil"/>
              <w:left w:val="nil"/>
              <w:bottom w:val="single" w:sz="8" w:space="0" w:color="000000"/>
              <w:right w:val="single" w:sz="8" w:space="0" w:color="000000"/>
            </w:tcBorders>
            <w:tcMar>
              <w:left w:w="108" w:type="dxa"/>
              <w:right w:w="108" w:type="dxa"/>
            </w:tcMar>
            <w:vAlign w:val="center"/>
          </w:tcPr>
          <w:p w14:paraId="218E5F5B" w14:textId="77777777" w:rsidR="0081466B" w:rsidRPr="000419A2" w:rsidRDefault="004F0DED">
            <w:pPr>
              <w:spacing w:before="100" w:after="100" w:line="240" w:lineRule="auto"/>
              <w:jc w:val="center"/>
              <w:rPr>
                <w:rFonts w:ascii="Times New Roman" w:hAnsi="Times New Roman" w:cs="Times New Roman"/>
                <w:color w:val="auto"/>
              </w:rPr>
            </w:pPr>
            <w:r w:rsidRPr="000419A2">
              <w:rPr>
                <w:rFonts w:ascii="Times New Roman" w:eastAsia="Times New Roman" w:hAnsi="Times New Roman" w:cs="Times New Roman"/>
                <w:b/>
                <w:color w:val="auto"/>
                <w:sz w:val="24"/>
                <w:szCs w:val="24"/>
              </w:rPr>
              <w:t>Уговорена вредност без ПДВ-а*</w:t>
            </w:r>
          </w:p>
        </w:tc>
        <w:tc>
          <w:tcPr>
            <w:tcW w:w="1134" w:type="dxa"/>
            <w:tcBorders>
              <w:top w:val="nil"/>
              <w:left w:val="nil"/>
              <w:bottom w:val="single" w:sz="8" w:space="0" w:color="000000"/>
              <w:right w:val="single" w:sz="8" w:space="0" w:color="000000"/>
            </w:tcBorders>
            <w:tcMar>
              <w:left w:w="108" w:type="dxa"/>
              <w:right w:w="108" w:type="dxa"/>
            </w:tcMar>
            <w:vAlign w:val="center"/>
          </w:tcPr>
          <w:p w14:paraId="6DECF781" w14:textId="77777777" w:rsidR="0081466B" w:rsidRPr="000419A2" w:rsidRDefault="004F0DED">
            <w:pPr>
              <w:spacing w:before="100" w:after="100" w:line="240" w:lineRule="auto"/>
              <w:jc w:val="center"/>
              <w:rPr>
                <w:rFonts w:ascii="Times New Roman" w:hAnsi="Times New Roman" w:cs="Times New Roman"/>
                <w:color w:val="auto"/>
              </w:rPr>
            </w:pPr>
            <w:r w:rsidRPr="000419A2">
              <w:rPr>
                <w:rFonts w:ascii="Times New Roman" w:eastAsia="Times New Roman" w:hAnsi="Times New Roman" w:cs="Times New Roman"/>
                <w:b/>
                <w:color w:val="auto"/>
                <w:sz w:val="24"/>
                <w:szCs w:val="24"/>
              </w:rPr>
              <w:t>%</w:t>
            </w:r>
          </w:p>
        </w:tc>
      </w:tr>
      <w:tr w:rsidR="00961F00" w:rsidRPr="000419A2" w14:paraId="4E926D14" w14:textId="77777777" w:rsidTr="00961F00">
        <w:trPr>
          <w:trHeight w:val="980"/>
          <w:jc w:val="center"/>
        </w:trPr>
        <w:tc>
          <w:tcPr>
            <w:tcW w:w="152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9A1F2DB" w14:textId="77777777" w:rsidR="00961F00" w:rsidRPr="000419A2" w:rsidRDefault="00961F00" w:rsidP="00961F00">
            <w:pPr>
              <w:spacing w:before="100" w:after="100" w:line="240" w:lineRule="auto"/>
              <w:jc w:val="center"/>
              <w:rPr>
                <w:rFonts w:ascii="Times New Roman" w:hAnsi="Times New Roman" w:cs="Times New Roman"/>
                <w:color w:val="auto"/>
              </w:rPr>
            </w:pPr>
            <w:r w:rsidRPr="000419A2">
              <w:rPr>
                <w:rFonts w:ascii="Times New Roman" w:hAnsi="Times New Roman" w:cs="Times New Roman"/>
                <w:color w:val="auto"/>
                <w:lang w:val="sr-Latn-RS"/>
              </w:rPr>
              <w:t>15.327</w:t>
            </w:r>
          </w:p>
        </w:tc>
        <w:tc>
          <w:tcPr>
            <w:tcW w:w="713" w:type="dxa"/>
            <w:tcBorders>
              <w:top w:val="nil"/>
              <w:left w:val="nil"/>
              <w:bottom w:val="single" w:sz="8" w:space="0" w:color="000000"/>
              <w:right w:val="single" w:sz="8" w:space="0" w:color="000000"/>
            </w:tcBorders>
            <w:tcMar>
              <w:left w:w="108" w:type="dxa"/>
              <w:right w:w="108" w:type="dxa"/>
            </w:tcMar>
            <w:vAlign w:val="center"/>
          </w:tcPr>
          <w:p w14:paraId="64EE941F" w14:textId="77777777" w:rsidR="00961F00" w:rsidRPr="000419A2" w:rsidRDefault="00961F00" w:rsidP="00961F00">
            <w:pPr>
              <w:spacing w:before="100" w:after="100" w:line="240" w:lineRule="auto"/>
              <w:jc w:val="center"/>
              <w:rPr>
                <w:rFonts w:ascii="Times New Roman" w:hAnsi="Times New Roman" w:cs="Times New Roman"/>
                <w:color w:val="auto"/>
              </w:rPr>
            </w:pPr>
            <w:r w:rsidRPr="000419A2">
              <w:rPr>
                <w:rFonts w:ascii="Times New Roman" w:hAnsi="Times New Roman" w:cs="Times New Roman"/>
                <w:color w:val="auto"/>
                <w:lang w:val="sr-Latn-RS"/>
              </w:rPr>
              <w:t>25</w:t>
            </w:r>
          </w:p>
        </w:tc>
        <w:tc>
          <w:tcPr>
            <w:tcW w:w="1559" w:type="dxa"/>
            <w:tcBorders>
              <w:top w:val="nil"/>
              <w:left w:val="nil"/>
              <w:bottom w:val="single" w:sz="8" w:space="0" w:color="000000"/>
              <w:right w:val="single" w:sz="8" w:space="0" w:color="000000"/>
            </w:tcBorders>
            <w:tcMar>
              <w:left w:w="108" w:type="dxa"/>
              <w:right w:w="108" w:type="dxa"/>
            </w:tcMar>
            <w:vAlign w:val="center"/>
          </w:tcPr>
          <w:p w14:paraId="2FB55DED" w14:textId="77777777" w:rsidR="00961F00" w:rsidRPr="000419A2" w:rsidRDefault="00961F00" w:rsidP="00961F00">
            <w:pPr>
              <w:spacing w:before="100" w:after="100" w:line="240" w:lineRule="auto"/>
              <w:jc w:val="center"/>
              <w:rPr>
                <w:rFonts w:ascii="Times New Roman" w:hAnsi="Times New Roman" w:cs="Times New Roman"/>
                <w:color w:val="auto"/>
              </w:rPr>
            </w:pPr>
            <w:r w:rsidRPr="000419A2">
              <w:rPr>
                <w:rFonts w:ascii="Times New Roman" w:hAnsi="Times New Roman" w:cs="Times New Roman"/>
                <w:color w:val="auto"/>
              </w:rPr>
              <w:t>29</w:t>
            </w:r>
            <w:r w:rsidRPr="000419A2">
              <w:rPr>
                <w:rFonts w:ascii="Times New Roman" w:hAnsi="Times New Roman" w:cs="Times New Roman"/>
                <w:color w:val="auto"/>
                <w:lang w:val="sr-Cyrl-RS"/>
              </w:rPr>
              <w:t>.</w:t>
            </w:r>
            <w:r w:rsidRPr="000419A2">
              <w:rPr>
                <w:rFonts w:ascii="Times New Roman" w:hAnsi="Times New Roman" w:cs="Times New Roman"/>
                <w:color w:val="auto"/>
                <w:lang w:val="sr-Latn-RS"/>
              </w:rPr>
              <w:t>866.153</w:t>
            </w:r>
          </w:p>
        </w:tc>
        <w:tc>
          <w:tcPr>
            <w:tcW w:w="1024" w:type="dxa"/>
            <w:tcBorders>
              <w:top w:val="nil"/>
              <w:left w:val="nil"/>
              <w:bottom w:val="single" w:sz="8" w:space="0" w:color="000000"/>
              <w:right w:val="single" w:sz="8" w:space="0" w:color="000000"/>
            </w:tcBorders>
            <w:tcMar>
              <w:left w:w="108" w:type="dxa"/>
              <w:right w:w="108" w:type="dxa"/>
            </w:tcMar>
            <w:vAlign w:val="center"/>
          </w:tcPr>
          <w:p w14:paraId="5BE11FD1" w14:textId="77777777" w:rsidR="00961F00" w:rsidRPr="000419A2" w:rsidRDefault="00961F00" w:rsidP="00961F00">
            <w:pPr>
              <w:spacing w:before="100" w:after="100" w:line="240" w:lineRule="auto"/>
              <w:jc w:val="center"/>
              <w:rPr>
                <w:rFonts w:ascii="Times New Roman" w:hAnsi="Times New Roman" w:cs="Times New Roman"/>
                <w:color w:val="auto"/>
              </w:rPr>
            </w:pPr>
            <w:r w:rsidRPr="000419A2">
              <w:rPr>
                <w:rFonts w:ascii="Times New Roman" w:hAnsi="Times New Roman" w:cs="Times New Roman"/>
                <w:color w:val="auto"/>
                <w:lang w:val="sr-Cyrl-RS"/>
              </w:rPr>
              <w:t>16</w:t>
            </w:r>
          </w:p>
        </w:tc>
        <w:tc>
          <w:tcPr>
            <w:tcW w:w="1134" w:type="dxa"/>
            <w:tcBorders>
              <w:top w:val="nil"/>
              <w:left w:val="nil"/>
              <w:bottom w:val="single" w:sz="8" w:space="0" w:color="000000"/>
              <w:right w:val="single" w:sz="8" w:space="0" w:color="000000"/>
            </w:tcBorders>
            <w:tcMar>
              <w:left w:w="108" w:type="dxa"/>
              <w:right w:w="108" w:type="dxa"/>
            </w:tcMar>
            <w:vAlign w:val="center"/>
          </w:tcPr>
          <w:p w14:paraId="668E8325" w14:textId="77777777" w:rsidR="00961F00" w:rsidRPr="000419A2" w:rsidRDefault="00961F00" w:rsidP="00961F00">
            <w:pPr>
              <w:spacing w:before="100" w:after="100" w:line="240" w:lineRule="auto"/>
              <w:jc w:val="center"/>
              <w:rPr>
                <w:rFonts w:ascii="Times New Roman" w:hAnsi="Times New Roman" w:cs="Times New Roman"/>
                <w:color w:val="auto"/>
                <w:lang w:val="sr-Cyrl-RS"/>
              </w:rPr>
            </w:pPr>
            <w:r w:rsidRPr="000419A2">
              <w:rPr>
                <w:rFonts w:ascii="Times New Roman" w:hAnsi="Times New Roman" w:cs="Times New Roman"/>
                <w:color w:val="auto"/>
                <w:lang w:val="sr-Cyrl-RS"/>
              </w:rPr>
              <w:t>17.863</w:t>
            </w:r>
          </w:p>
        </w:tc>
        <w:tc>
          <w:tcPr>
            <w:tcW w:w="850" w:type="dxa"/>
            <w:tcBorders>
              <w:top w:val="nil"/>
              <w:left w:val="nil"/>
              <w:bottom w:val="single" w:sz="8" w:space="0" w:color="000000"/>
              <w:right w:val="single" w:sz="8" w:space="0" w:color="000000"/>
            </w:tcBorders>
            <w:tcMar>
              <w:left w:w="108" w:type="dxa"/>
              <w:right w:w="108" w:type="dxa"/>
            </w:tcMar>
            <w:vAlign w:val="center"/>
          </w:tcPr>
          <w:p w14:paraId="044A03B4" w14:textId="77777777" w:rsidR="00961F00" w:rsidRPr="000419A2" w:rsidRDefault="00961F00" w:rsidP="00961F00">
            <w:pPr>
              <w:spacing w:before="100" w:after="100" w:line="240" w:lineRule="auto"/>
              <w:jc w:val="center"/>
              <w:rPr>
                <w:rFonts w:ascii="Times New Roman" w:hAnsi="Times New Roman" w:cs="Times New Roman"/>
                <w:color w:val="auto"/>
                <w:lang w:val="sr-Cyrl-RS"/>
              </w:rPr>
            </w:pPr>
            <w:r w:rsidRPr="000419A2">
              <w:rPr>
                <w:rFonts w:ascii="Times New Roman" w:hAnsi="Times New Roman" w:cs="Times New Roman"/>
                <w:color w:val="auto"/>
                <w:lang w:val="sr-Cyrl-RS"/>
              </w:rPr>
              <w:t>46</w:t>
            </w:r>
          </w:p>
        </w:tc>
        <w:tc>
          <w:tcPr>
            <w:tcW w:w="1560" w:type="dxa"/>
            <w:tcBorders>
              <w:top w:val="nil"/>
              <w:left w:val="nil"/>
              <w:bottom w:val="single" w:sz="8" w:space="0" w:color="000000"/>
              <w:right w:val="single" w:sz="8" w:space="0" w:color="000000"/>
            </w:tcBorders>
            <w:tcMar>
              <w:left w:w="108" w:type="dxa"/>
              <w:right w:w="108" w:type="dxa"/>
            </w:tcMar>
            <w:vAlign w:val="center"/>
          </w:tcPr>
          <w:p w14:paraId="267CBB07" w14:textId="77777777" w:rsidR="00961F00" w:rsidRPr="000419A2" w:rsidRDefault="00961F00" w:rsidP="00961F00">
            <w:pPr>
              <w:spacing w:before="100" w:after="100" w:line="240" w:lineRule="auto"/>
              <w:jc w:val="center"/>
              <w:rPr>
                <w:rFonts w:ascii="Times New Roman" w:hAnsi="Times New Roman" w:cs="Times New Roman"/>
                <w:color w:val="auto"/>
                <w:lang w:val="sr-Cyrl-RS"/>
              </w:rPr>
            </w:pPr>
            <w:r w:rsidRPr="000419A2">
              <w:rPr>
                <w:rFonts w:ascii="Times New Roman" w:hAnsi="Times New Roman" w:cs="Times New Roman"/>
                <w:color w:val="auto"/>
                <w:lang w:val="sr-Cyrl-RS"/>
              </w:rPr>
              <w:t>44.576.806</w:t>
            </w:r>
          </w:p>
        </w:tc>
        <w:tc>
          <w:tcPr>
            <w:tcW w:w="1134" w:type="dxa"/>
            <w:tcBorders>
              <w:top w:val="nil"/>
              <w:left w:val="nil"/>
              <w:bottom w:val="single" w:sz="8" w:space="0" w:color="000000"/>
              <w:right w:val="single" w:sz="8" w:space="0" w:color="000000"/>
            </w:tcBorders>
            <w:tcMar>
              <w:left w:w="108" w:type="dxa"/>
              <w:right w:w="108" w:type="dxa"/>
            </w:tcMar>
            <w:vAlign w:val="center"/>
          </w:tcPr>
          <w:p w14:paraId="1A1FBC95" w14:textId="77777777" w:rsidR="00961F00" w:rsidRPr="000419A2" w:rsidRDefault="00961F00" w:rsidP="00961F00">
            <w:pPr>
              <w:spacing w:before="100" w:after="100" w:line="240" w:lineRule="auto"/>
              <w:jc w:val="center"/>
              <w:rPr>
                <w:rFonts w:ascii="Times New Roman" w:hAnsi="Times New Roman" w:cs="Times New Roman"/>
                <w:color w:val="auto"/>
                <w:lang w:val="sr-Cyrl-RS"/>
              </w:rPr>
            </w:pPr>
            <w:r w:rsidRPr="000419A2">
              <w:rPr>
                <w:rFonts w:ascii="Times New Roman" w:hAnsi="Times New Roman" w:cs="Times New Roman"/>
                <w:color w:val="auto"/>
                <w:lang w:val="sr-Cyrl-RS"/>
              </w:rPr>
              <w:t>23</w:t>
            </w:r>
          </w:p>
        </w:tc>
      </w:tr>
    </w:tbl>
    <w:p w14:paraId="626F8702" w14:textId="77777777" w:rsidR="0081466B" w:rsidRDefault="004F0DED">
      <w:pPr>
        <w:jc w:val="both"/>
      </w:pPr>
      <w:r>
        <w:rPr>
          <w:rFonts w:ascii="Times New Roman" w:eastAsia="Times New Roman" w:hAnsi="Times New Roman" w:cs="Times New Roman"/>
          <w:b/>
        </w:rPr>
        <w:t>*</w:t>
      </w:r>
      <w:r>
        <w:rPr>
          <w:rFonts w:ascii="Times New Roman" w:eastAsia="Times New Roman" w:hAnsi="Times New Roman" w:cs="Times New Roman"/>
        </w:rPr>
        <w:t>Вредности су изражене у хиљадама динара</w:t>
      </w:r>
    </w:p>
    <w:p w14:paraId="6B9B4365" w14:textId="77777777" w:rsidR="0081466B" w:rsidRPr="00620ABD" w:rsidRDefault="00A75D51">
      <w:pPr>
        <w:spacing w:after="0"/>
        <w:jc w:val="both"/>
        <w:rPr>
          <w:color w:val="auto"/>
        </w:rPr>
      </w:pPr>
      <w:r w:rsidRPr="00620ABD">
        <w:rPr>
          <w:rFonts w:ascii="Times New Roman" w:eastAsia="Times New Roman" w:hAnsi="Times New Roman" w:cs="Times New Roman"/>
          <w:color w:val="auto"/>
          <w:sz w:val="24"/>
          <w:szCs w:val="24"/>
        </w:rPr>
        <w:t xml:space="preserve">Оквирни споразуми </w:t>
      </w:r>
      <w:r w:rsidR="004F0DED" w:rsidRPr="00620ABD">
        <w:rPr>
          <w:rFonts w:ascii="Times New Roman" w:eastAsia="Times New Roman" w:hAnsi="Times New Roman" w:cs="Times New Roman"/>
          <w:color w:val="auto"/>
          <w:sz w:val="24"/>
          <w:szCs w:val="24"/>
        </w:rPr>
        <w:t xml:space="preserve">најчешће </w:t>
      </w:r>
      <w:r w:rsidRPr="00620ABD">
        <w:rPr>
          <w:rFonts w:ascii="Times New Roman" w:eastAsia="Times New Roman" w:hAnsi="Times New Roman" w:cs="Times New Roman"/>
          <w:color w:val="auto"/>
          <w:sz w:val="24"/>
          <w:szCs w:val="24"/>
        </w:rPr>
        <w:t xml:space="preserve">се </w:t>
      </w:r>
      <w:r w:rsidR="004F0DED" w:rsidRPr="00620ABD">
        <w:rPr>
          <w:rFonts w:ascii="Times New Roman" w:eastAsia="Times New Roman" w:hAnsi="Times New Roman" w:cs="Times New Roman"/>
          <w:color w:val="auto"/>
          <w:sz w:val="24"/>
          <w:szCs w:val="24"/>
        </w:rPr>
        <w:t>закључују код поступака обједињених</w:t>
      </w:r>
      <w:r w:rsidRPr="00620ABD">
        <w:rPr>
          <w:rFonts w:ascii="Times New Roman" w:eastAsia="Times New Roman" w:hAnsi="Times New Roman" w:cs="Times New Roman"/>
          <w:color w:val="auto"/>
          <w:sz w:val="24"/>
          <w:szCs w:val="24"/>
        </w:rPr>
        <w:t>, односно централизованих јавних</w:t>
      </w:r>
      <w:r w:rsidR="004F0DED" w:rsidRPr="00620ABD">
        <w:rPr>
          <w:rFonts w:ascii="Times New Roman" w:eastAsia="Times New Roman" w:hAnsi="Times New Roman" w:cs="Times New Roman"/>
          <w:color w:val="auto"/>
          <w:sz w:val="24"/>
          <w:szCs w:val="24"/>
        </w:rPr>
        <w:t xml:space="preserve"> набавки. </w:t>
      </w:r>
      <w:r w:rsidR="00C06111" w:rsidRPr="00620ABD">
        <w:rPr>
          <w:rFonts w:ascii="Times New Roman" w:eastAsia="Times New Roman" w:hAnsi="Times New Roman" w:cs="Times New Roman"/>
          <w:color w:val="auto"/>
          <w:sz w:val="24"/>
          <w:szCs w:val="24"/>
        </w:rPr>
        <w:t xml:space="preserve">Поред тога, наручиоци их закључују и </w:t>
      </w:r>
      <w:r w:rsidRPr="00620ABD">
        <w:rPr>
          <w:rFonts w:ascii="Times New Roman" w:eastAsia="Times New Roman" w:hAnsi="Times New Roman" w:cs="Times New Roman"/>
          <w:color w:val="auto"/>
          <w:sz w:val="24"/>
          <w:szCs w:val="24"/>
        </w:rPr>
        <w:t>за сопствене</w:t>
      </w:r>
      <w:r w:rsidR="004F0DED" w:rsidRPr="00620ABD">
        <w:rPr>
          <w:rFonts w:ascii="Times New Roman" w:eastAsia="Times New Roman" w:hAnsi="Times New Roman" w:cs="Times New Roman"/>
          <w:color w:val="auto"/>
          <w:sz w:val="24"/>
          <w:szCs w:val="24"/>
        </w:rPr>
        <w:t xml:space="preserve"> потребе. </w:t>
      </w:r>
    </w:p>
    <w:p w14:paraId="3E757A92" w14:textId="77777777" w:rsidR="00A04844" w:rsidRPr="00620ABD" w:rsidRDefault="00A04844">
      <w:pPr>
        <w:spacing w:after="0"/>
        <w:jc w:val="both"/>
        <w:rPr>
          <w:rFonts w:ascii="Times New Roman" w:eastAsia="Times New Roman" w:hAnsi="Times New Roman" w:cs="Times New Roman"/>
          <w:b/>
          <w:color w:val="auto"/>
          <w:sz w:val="24"/>
          <w:szCs w:val="24"/>
        </w:rPr>
      </w:pPr>
    </w:p>
    <w:p w14:paraId="3BEBF6B3" w14:textId="77777777" w:rsidR="00147936" w:rsidRDefault="00A75D51" w:rsidP="009B1379">
      <w:pPr>
        <w:spacing w:after="0"/>
        <w:jc w:val="both"/>
        <w:rPr>
          <w:rFonts w:ascii="Times New Roman" w:eastAsia="Times New Roman" w:hAnsi="Times New Roman" w:cs="Times New Roman"/>
          <w:color w:val="FF0000"/>
          <w:sz w:val="24"/>
          <w:szCs w:val="24"/>
        </w:rPr>
      </w:pPr>
      <w:r w:rsidRPr="00620ABD">
        <w:rPr>
          <w:rFonts w:ascii="Times New Roman" w:eastAsia="Times New Roman" w:hAnsi="Times New Roman" w:cs="Times New Roman"/>
          <w:color w:val="auto"/>
          <w:sz w:val="24"/>
          <w:szCs w:val="24"/>
        </w:rPr>
        <w:t>У првом полугодишту</w:t>
      </w:r>
      <w:r w:rsidR="00A33B20">
        <w:rPr>
          <w:rFonts w:ascii="Times New Roman" w:eastAsia="Times New Roman" w:hAnsi="Times New Roman" w:cs="Times New Roman"/>
          <w:color w:val="auto"/>
          <w:sz w:val="24"/>
          <w:szCs w:val="24"/>
        </w:rPr>
        <w:t xml:space="preserve"> 2019</w:t>
      </w:r>
      <w:r w:rsidR="004C112A" w:rsidRPr="00620ABD">
        <w:rPr>
          <w:rFonts w:ascii="Times New Roman" w:eastAsia="Times New Roman" w:hAnsi="Times New Roman" w:cs="Times New Roman"/>
          <w:color w:val="auto"/>
          <w:sz w:val="24"/>
          <w:szCs w:val="24"/>
        </w:rPr>
        <w:t>. године,</w:t>
      </w:r>
      <w:r w:rsidR="00C06111" w:rsidRPr="00620ABD">
        <w:rPr>
          <w:rFonts w:ascii="Times New Roman" w:eastAsia="Times New Roman" w:hAnsi="Times New Roman" w:cs="Times New Roman"/>
          <w:color w:val="auto"/>
          <w:sz w:val="24"/>
          <w:szCs w:val="24"/>
        </w:rPr>
        <w:t xml:space="preserve"> најзаступљ</w:t>
      </w:r>
      <w:r w:rsidR="00FB5978">
        <w:rPr>
          <w:rFonts w:ascii="Times New Roman" w:eastAsia="Times New Roman" w:hAnsi="Times New Roman" w:cs="Times New Roman"/>
          <w:color w:val="auto"/>
          <w:sz w:val="24"/>
          <w:szCs w:val="24"/>
        </w:rPr>
        <w:t>енији предмети у</w:t>
      </w:r>
      <w:r w:rsidR="00872C47">
        <w:rPr>
          <w:rFonts w:ascii="Times New Roman" w:eastAsia="Times New Roman" w:hAnsi="Times New Roman" w:cs="Times New Roman"/>
          <w:color w:val="auto"/>
          <w:sz w:val="24"/>
          <w:szCs w:val="24"/>
          <w:lang w:val="sr-Cyrl-CS"/>
        </w:rPr>
        <w:t xml:space="preserve"> вредности</w:t>
      </w:r>
      <w:r w:rsidR="00FB5978">
        <w:rPr>
          <w:rFonts w:ascii="Times New Roman" w:eastAsia="Times New Roman" w:hAnsi="Times New Roman" w:cs="Times New Roman"/>
          <w:color w:val="auto"/>
          <w:sz w:val="24"/>
          <w:szCs w:val="24"/>
        </w:rPr>
        <w:t xml:space="preserve"> ОС</w:t>
      </w:r>
      <w:r w:rsidR="00C06111" w:rsidRPr="00620ABD">
        <w:rPr>
          <w:rFonts w:ascii="Times New Roman" w:eastAsia="Times New Roman" w:hAnsi="Times New Roman" w:cs="Times New Roman"/>
          <w:color w:val="auto"/>
          <w:sz w:val="24"/>
          <w:szCs w:val="24"/>
        </w:rPr>
        <w:t xml:space="preserve"> били су</w:t>
      </w:r>
      <w:r w:rsidR="00A127F4">
        <w:rPr>
          <w:rFonts w:ascii="Times New Roman" w:eastAsia="Times New Roman" w:hAnsi="Times New Roman" w:cs="Times New Roman"/>
          <w:color w:val="auto"/>
          <w:sz w:val="24"/>
          <w:szCs w:val="24"/>
        </w:rPr>
        <w:t>:</w:t>
      </w:r>
      <w:r w:rsidR="00C06111" w:rsidRPr="00620ABD">
        <w:rPr>
          <w:rFonts w:ascii="Times New Roman" w:eastAsia="Times New Roman" w:hAnsi="Times New Roman" w:cs="Times New Roman"/>
          <w:color w:val="auto"/>
          <w:sz w:val="24"/>
          <w:szCs w:val="24"/>
        </w:rPr>
        <w:t xml:space="preserve"> медицинска опрема, фармацеутски производи</w:t>
      </w:r>
      <w:r w:rsidR="00A33B20">
        <w:rPr>
          <w:rFonts w:ascii="Times New Roman" w:eastAsia="Times New Roman" w:hAnsi="Times New Roman" w:cs="Times New Roman"/>
          <w:color w:val="auto"/>
          <w:sz w:val="24"/>
          <w:szCs w:val="24"/>
        </w:rPr>
        <w:t xml:space="preserve"> и производи за личну негу</w:t>
      </w:r>
      <w:r w:rsidR="00CC5988">
        <w:rPr>
          <w:rFonts w:ascii="Times New Roman" w:eastAsia="Times New Roman" w:hAnsi="Times New Roman" w:cs="Times New Roman"/>
          <w:color w:val="auto"/>
          <w:sz w:val="24"/>
          <w:szCs w:val="24"/>
          <w:lang w:val="sr-Cyrl-CS"/>
        </w:rPr>
        <w:t xml:space="preserve"> (57%)</w:t>
      </w:r>
      <w:r w:rsidR="00A33B20">
        <w:rPr>
          <w:rFonts w:ascii="Times New Roman" w:eastAsia="Times New Roman" w:hAnsi="Times New Roman" w:cs="Times New Roman"/>
          <w:color w:val="auto"/>
          <w:sz w:val="24"/>
          <w:szCs w:val="24"/>
          <w:lang w:val="sr-Cyrl-CS"/>
        </w:rPr>
        <w:t>, грађевински радови</w:t>
      </w:r>
      <w:r w:rsidR="00CC5988">
        <w:rPr>
          <w:rFonts w:ascii="Times New Roman" w:eastAsia="Times New Roman" w:hAnsi="Times New Roman" w:cs="Times New Roman"/>
          <w:color w:val="auto"/>
          <w:sz w:val="24"/>
          <w:szCs w:val="24"/>
          <w:lang w:val="sr-Cyrl-CS"/>
        </w:rPr>
        <w:t xml:space="preserve"> (10%)</w:t>
      </w:r>
      <w:r w:rsidR="00A33B20">
        <w:rPr>
          <w:rFonts w:ascii="Times New Roman" w:eastAsia="Times New Roman" w:hAnsi="Times New Roman" w:cs="Times New Roman"/>
          <w:color w:val="auto"/>
          <w:sz w:val="24"/>
          <w:szCs w:val="24"/>
          <w:lang w:val="sr-Cyrl-CS"/>
        </w:rPr>
        <w:t>, нафтни деривати гориво и електрична енергија</w:t>
      </w:r>
      <w:r w:rsidR="00A33B20">
        <w:rPr>
          <w:rFonts w:ascii="Times New Roman" w:eastAsia="Times New Roman" w:hAnsi="Times New Roman" w:cs="Times New Roman"/>
          <w:color w:val="auto"/>
          <w:sz w:val="24"/>
          <w:szCs w:val="24"/>
        </w:rPr>
        <w:t xml:space="preserve"> </w:t>
      </w:r>
      <w:r w:rsidR="00CC5988">
        <w:rPr>
          <w:rFonts w:ascii="Times New Roman" w:eastAsia="Times New Roman" w:hAnsi="Times New Roman" w:cs="Times New Roman"/>
          <w:color w:val="auto"/>
          <w:sz w:val="24"/>
          <w:szCs w:val="24"/>
          <w:lang w:val="sr-Cyrl-CS"/>
        </w:rPr>
        <w:t xml:space="preserve">(7%), </w:t>
      </w:r>
      <w:r w:rsidR="00C06111" w:rsidRPr="00620ABD">
        <w:rPr>
          <w:rFonts w:ascii="Times New Roman" w:eastAsia="Times New Roman" w:hAnsi="Times New Roman" w:cs="Times New Roman"/>
          <w:color w:val="auto"/>
          <w:sz w:val="24"/>
          <w:szCs w:val="24"/>
        </w:rPr>
        <w:t>(Табела</w:t>
      </w:r>
      <w:r w:rsidR="007C4064">
        <w:rPr>
          <w:rFonts w:ascii="Times New Roman" w:eastAsia="Times New Roman" w:hAnsi="Times New Roman" w:cs="Times New Roman"/>
          <w:color w:val="auto"/>
          <w:sz w:val="24"/>
          <w:szCs w:val="24"/>
        </w:rPr>
        <w:t xml:space="preserve"> 1</w:t>
      </w:r>
      <w:r w:rsidR="00953934">
        <w:rPr>
          <w:rFonts w:ascii="Times New Roman" w:eastAsia="Times New Roman" w:hAnsi="Times New Roman" w:cs="Times New Roman"/>
          <w:color w:val="auto"/>
          <w:sz w:val="24"/>
          <w:szCs w:val="24"/>
          <w:lang w:val="sr-Cyrl-RS"/>
        </w:rPr>
        <w:t>8</w:t>
      </w:r>
      <w:r w:rsidR="00C06111" w:rsidRPr="00620ABD">
        <w:rPr>
          <w:rFonts w:ascii="Times New Roman" w:eastAsia="Times New Roman" w:hAnsi="Times New Roman" w:cs="Times New Roman"/>
          <w:color w:val="auto"/>
          <w:sz w:val="24"/>
          <w:szCs w:val="24"/>
        </w:rPr>
        <w:t>).</w:t>
      </w:r>
      <w:r w:rsidR="00C06111">
        <w:rPr>
          <w:rFonts w:ascii="Times New Roman" w:eastAsia="Times New Roman" w:hAnsi="Times New Roman" w:cs="Times New Roman"/>
          <w:color w:val="FF0000"/>
          <w:sz w:val="24"/>
          <w:szCs w:val="24"/>
        </w:rPr>
        <w:t xml:space="preserve"> </w:t>
      </w:r>
    </w:p>
    <w:p w14:paraId="66640BB0" w14:textId="77777777" w:rsidR="00166ED4" w:rsidRDefault="00166ED4" w:rsidP="009B1379">
      <w:pPr>
        <w:spacing w:after="0"/>
        <w:jc w:val="both"/>
        <w:rPr>
          <w:rFonts w:ascii="Times New Roman" w:eastAsia="Times New Roman" w:hAnsi="Times New Roman" w:cs="Times New Roman"/>
          <w:color w:val="FF0000"/>
          <w:sz w:val="24"/>
          <w:szCs w:val="24"/>
        </w:rPr>
      </w:pPr>
    </w:p>
    <w:p w14:paraId="272156E6" w14:textId="77777777" w:rsidR="00166ED4" w:rsidRDefault="00166ED4" w:rsidP="009B1379">
      <w:pPr>
        <w:spacing w:after="0"/>
        <w:jc w:val="both"/>
        <w:rPr>
          <w:rFonts w:ascii="Times New Roman" w:eastAsia="Times New Roman" w:hAnsi="Times New Roman" w:cs="Times New Roman"/>
          <w:color w:val="FF0000"/>
          <w:sz w:val="24"/>
          <w:szCs w:val="24"/>
        </w:rPr>
      </w:pPr>
    </w:p>
    <w:p w14:paraId="450F87FA" w14:textId="77777777" w:rsidR="00166ED4" w:rsidRDefault="00166ED4" w:rsidP="009B1379">
      <w:pPr>
        <w:spacing w:after="0"/>
        <w:jc w:val="both"/>
        <w:rPr>
          <w:rFonts w:ascii="Times New Roman" w:eastAsia="Times New Roman" w:hAnsi="Times New Roman" w:cs="Times New Roman"/>
          <w:color w:val="FF0000"/>
          <w:sz w:val="24"/>
          <w:szCs w:val="24"/>
        </w:rPr>
      </w:pPr>
    </w:p>
    <w:p w14:paraId="7FE0542A" w14:textId="77777777" w:rsidR="00166ED4" w:rsidRDefault="00166ED4" w:rsidP="009B1379">
      <w:pPr>
        <w:spacing w:after="0"/>
        <w:jc w:val="both"/>
        <w:rPr>
          <w:rFonts w:ascii="Times New Roman" w:eastAsia="Times New Roman" w:hAnsi="Times New Roman" w:cs="Times New Roman"/>
          <w:color w:val="FF0000"/>
          <w:sz w:val="24"/>
          <w:szCs w:val="24"/>
        </w:rPr>
      </w:pPr>
    </w:p>
    <w:p w14:paraId="5C09C0FF" w14:textId="77777777" w:rsidR="00166ED4" w:rsidRDefault="00166ED4" w:rsidP="009B1379">
      <w:pPr>
        <w:spacing w:after="0"/>
        <w:jc w:val="both"/>
        <w:rPr>
          <w:rFonts w:ascii="Times New Roman" w:eastAsia="Times New Roman" w:hAnsi="Times New Roman" w:cs="Times New Roman"/>
          <w:color w:val="FF0000"/>
          <w:sz w:val="24"/>
          <w:szCs w:val="24"/>
        </w:rPr>
      </w:pPr>
    </w:p>
    <w:p w14:paraId="7D3DECA5" w14:textId="77777777" w:rsidR="00166ED4" w:rsidRDefault="00166ED4" w:rsidP="009B1379">
      <w:pPr>
        <w:spacing w:after="0"/>
        <w:jc w:val="both"/>
        <w:rPr>
          <w:rFonts w:ascii="Times New Roman" w:eastAsia="Times New Roman" w:hAnsi="Times New Roman" w:cs="Times New Roman"/>
          <w:color w:val="FF0000"/>
          <w:sz w:val="24"/>
          <w:szCs w:val="24"/>
        </w:rPr>
      </w:pPr>
    </w:p>
    <w:p w14:paraId="4BAC795E" w14:textId="77777777" w:rsidR="00166ED4" w:rsidRDefault="00166ED4" w:rsidP="009B1379">
      <w:pPr>
        <w:spacing w:after="0"/>
        <w:jc w:val="both"/>
        <w:rPr>
          <w:rFonts w:ascii="Times New Roman" w:eastAsia="Times New Roman" w:hAnsi="Times New Roman" w:cs="Times New Roman"/>
          <w:color w:val="FF0000"/>
          <w:sz w:val="24"/>
          <w:szCs w:val="24"/>
        </w:rPr>
      </w:pPr>
    </w:p>
    <w:p w14:paraId="3E667341" w14:textId="623C5995" w:rsidR="0081466B" w:rsidRPr="000419A2" w:rsidRDefault="009B1379" w:rsidP="00B825C6">
      <w:pPr>
        <w:spacing w:after="0"/>
        <w:ind w:left="-284" w:hanging="142"/>
        <w:jc w:val="both"/>
        <w:rPr>
          <w:rFonts w:ascii="Times New Roman" w:eastAsia="Times New Roman" w:hAnsi="Times New Roman" w:cs="Times New Roman"/>
          <w:b/>
          <w:color w:val="auto"/>
          <w:sz w:val="24"/>
          <w:szCs w:val="24"/>
          <w:lang w:val="sr-Cyrl-RS"/>
        </w:rPr>
      </w:pPr>
      <w:r>
        <w:rPr>
          <w:rFonts w:ascii="Times New Roman" w:eastAsia="Times New Roman" w:hAnsi="Times New Roman" w:cs="Times New Roman"/>
          <w:b/>
          <w:color w:val="FF0000"/>
          <w:sz w:val="24"/>
          <w:szCs w:val="24"/>
        </w:rPr>
        <w:lastRenderedPageBreak/>
        <w:t xml:space="preserve"> </w:t>
      </w:r>
      <w:r w:rsidR="009E472C">
        <w:rPr>
          <w:rFonts w:ascii="Times New Roman" w:eastAsia="Times New Roman" w:hAnsi="Times New Roman" w:cs="Times New Roman"/>
          <w:b/>
          <w:color w:val="FF0000"/>
          <w:sz w:val="24"/>
          <w:szCs w:val="24"/>
          <w:lang w:val="sr-Cyrl-RS"/>
        </w:rPr>
        <w:t xml:space="preserve">  </w:t>
      </w:r>
      <w:r w:rsidR="00480840">
        <w:rPr>
          <w:rFonts w:ascii="Times New Roman" w:eastAsia="Times New Roman" w:hAnsi="Times New Roman" w:cs="Times New Roman"/>
          <w:b/>
          <w:color w:val="FF0000"/>
          <w:sz w:val="24"/>
          <w:szCs w:val="24"/>
          <w:lang w:val="sr-Cyrl-RS"/>
        </w:rPr>
        <w:t xml:space="preserve"> </w:t>
      </w:r>
      <w:r w:rsidR="009E472C">
        <w:rPr>
          <w:rFonts w:ascii="Times New Roman" w:eastAsia="Times New Roman" w:hAnsi="Times New Roman" w:cs="Times New Roman"/>
          <w:b/>
          <w:color w:val="FF0000"/>
          <w:sz w:val="24"/>
          <w:szCs w:val="24"/>
          <w:lang w:val="sr-Cyrl-RS"/>
        </w:rPr>
        <w:t xml:space="preserve"> </w:t>
      </w:r>
      <w:r w:rsidR="00A127F4" w:rsidRPr="000419A2">
        <w:rPr>
          <w:rFonts w:ascii="Times New Roman" w:eastAsia="Times New Roman" w:hAnsi="Times New Roman" w:cs="Times New Roman"/>
          <w:b/>
          <w:color w:val="auto"/>
          <w:sz w:val="24"/>
          <w:szCs w:val="24"/>
        </w:rPr>
        <w:t>Табела 1</w:t>
      </w:r>
      <w:r w:rsidR="00953934" w:rsidRPr="000419A2">
        <w:rPr>
          <w:rFonts w:ascii="Times New Roman" w:eastAsia="Times New Roman" w:hAnsi="Times New Roman" w:cs="Times New Roman"/>
          <w:b/>
          <w:color w:val="auto"/>
          <w:sz w:val="24"/>
          <w:szCs w:val="24"/>
          <w:lang w:val="sr-Cyrl-RS"/>
        </w:rPr>
        <w:t>8</w:t>
      </w:r>
    </w:p>
    <w:tbl>
      <w:tblPr>
        <w:tblW w:w="9202" w:type="dxa"/>
        <w:jc w:val="center"/>
        <w:tblLayout w:type="fixed"/>
        <w:tblLook w:val="0400" w:firstRow="0" w:lastRow="0" w:firstColumn="0" w:lastColumn="0" w:noHBand="0" w:noVBand="1"/>
      </w:tblPr>
      <w:tblGrid>
        <w:gridCol w:w="6106"/>
        <w:gridCol w:w="1769"/>
        <w:gridCol w:w="1327"/>
      </w:tblGrid>
      <w:tr w:rsidR="004C112A" w:rsidRPr="00A04153" w14:paraId="6122CD93" w14:textId="77777777" w:rsidTr="000419A2">
        <w:trPr>
          <w:trHeight w:val="294"/>
          <w:jc w:val="center"/>
        </w:trPr>
        <w:tc>
          <w:tcPr>
            <w:tcW w:w="61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604CD7" w14:textId="77777777" w:rsidR="004C112A" w:rsidRPr="00A04153" w:rsidRDefault="00C06111" w:rsidP="00045171">
            <w:pPr>
              <w:spacing w:before="100" w:after="100" w:line="240" w:lineRule="auto"/>
              <w:jc w:val="center"/>
              <w:rPr>
                <w:rFonts w:ascii="Times New Roman" w:eastAsia="Times New Roman" w:hAnsi="Times New Roman" w:cs="Times New Roman"/>
                <w:b/>
                <w:color w:val="000000" w:themeColor="text1"/>
                <w:sz w:val="24"/>
                <w:szCs w:val="24"/>
              </w:rPr>
            </w:pPr>
            <w:r w:rsidRPr="00A04153">
              <w:rPr>
                <w:rFonts w:ascii="Times New Roman" w:eastAsia="Times New Roman" w:hAnsi="Times New Roman" w:cs="Times New Roman"/>
                <w:b/>
                <w:color w:val="000000" w:themeColor="text1"/>
                <w:sz w:val="24"/>
                <w:szCs w:val="24"/>
              </w:rPr>
              <w:t>Најзаступљенији предмети</w:t>
            </w:r>
            <w:r w:rsidR="004C112A" w:rsidRPr="00A04153">
              <w:rPr>
                <w:rFonts w:ascii="Times New Roman" w:eastAsia="Times New Roman" w:hAnsi="Times New Roman" w:cs="Times New Roman"/>
                <w:b/>
                <w:color w:val="000000" w:themeColor="text1"/>
                <w:sz w:val="24"/>
                <w:szCs w:val="24"/>
              </w:rPr>
              <w:t xml:space="preserve"> набавки </w:t>
            </w:r>
          </w:p>
          <w:p w14:paraId="3870D834" w14:textId="69BED337" w:rsidR="004C112A" w:rsidRPr="000419A2" w:rsidRDefault="004C112A" w:rsidP="000419A2">
            <w:pPr>
              <w:spacing w:before="100" w:after="100" w:line="240" w:lineRule="auto"/>
              <w:jc w:val="center"/>
              <w:rPr>
                <w:color w:val="000000" w:themeColor="text1"/>
                <w:lang w:val="sr-Cyrl-RS"/>
              </w:rPr>
            </w:pPr>
            <w:r w:rsidRPr="00A04153">
              <w:rPr>
                <w:rFonts w:ascii="Times New Roman" w:eastAsia="Times New Roman" w:hAnsi="Times New Roman" w:cs="Times New Roman"/>
                <w:b/>
                <w:color w:val="000000" w:themeColor="text1"/>
                <w:sz w:val="24"/>
                <w:szCs w:val="24"/>
              </w:rPr>
              <w:t xml:space="preserve">по вредности уговора закључених на основу </w:t>
            </w:r>
            <w:r w:rsidR="000419A2">
              <w:rPr>
                <w:rFonts w:ascii="Times New Roman" w:eastAsia="Times New Roman" w:hAnsi="Times New Roman" w:cs="Times New Roman"/>
                <w:b/>
                <w:color w:val="000000" w:themeColor="text1"/>
                <w:sz w:val="24"/>
                <w:szCs w:val="24"/>
                <w:lang w:val="sr-Cyrl-RS"/>
              </w:rPr>
              <w:t>ОС</w:t>
            </w:r>
          </w:p>
        </w:tc>
        <w:tc>
          <w:tcPr>
            <w:tcW w:w="1769" w:type="dxa"/>
            <w:tcBorders>
              <w:top w:val="single" w:sz="8" w:space="0" w:color="000000"/>
              <w:left w:val="nil"/>
              <w:bottom w:val="single" w:sz="8" w:space="0" w:color="000000"/>
              <w:right w:val="single" w:sz="8" w:space="0" w:color="000000"/>
            </w:tcBorders>
            <w:tcMar>
              <w:left w:w="108" w:type="dxa"/>
              <w:right w:w="108" w:type="dxa"/>
            </w:tcMar>
            <w:vAlign w:val="center"/>
          </w:tcPr>
          <w:p w14:paraId="5C2325B8" w14:textId="77777777" w:rsidR="004C112A" w:rsidRPr="00A04153" w:rsidRDefault="004C112A" w:rsidP="00045171">
            <w:pPr>
              <w:spacing w:before="100" w:after="100" w:line="240" w:lineRule="auto"/>
              <w:jc w:val="center"/>
              <w:rPr>
                <w:color w:val="000000" w:themeColor="text1"/>
              </w:rPr>
            </w:pPr>
            <w:r w:rsidRPr="00A04153">
              <w:rPr>
                <w:rFonts w:ascii="Times New Roman" w:eastAsia="Times New Roman" w:hAnsi="Times New Roman" w:cs="Times New Roman"/>
                <w:b/>
                <w:color w:val="000000" w:themeColor="text1"/>
                <w:sz w:val="24"/>
                <w:szCs w:val="24"/>
              </w:rPr>
              <w:t>Уговорена вредност без ПДВ-а*</w:t>
            </w:r>
          </w:p>
        </w:tc>
        <w:tc>
          <w:tcPr>
            <w:tcW w:w="1327" w:type="dxa"/>
            <w:tcBorders>
              <w:top w:val="single" w:sz="8" w:space="0" w:color="000000"/>
              <w:left w:val="nil"/>
              <w:bottom w:val="single" w:sz="8" w:space="0" w:color="000000"/>
              <w:right w:val="single" w:sz="8" w:space="0" w:color="000000"/>
            </w:tcBorders>
            <w:tcMar>
              <w:left w:w="108" w:type="dxa"/>
              <w:right w:w="108" w:type="dxa"/>
            </w:tcMar>
            <w:vAlign w:val="center"/>
          </w:tcPr>
          <w:p w14:paraId="4B6AF416" w14:textId="77777777" w:rsidR="004C112A" w:rsidRPr="00A04153" w:rsidRDefault="004C112A" w:rsidP="00045171">
            <w:pPr>
              <w:spacing w:before="100" w:after="100" w:line="240" w:lineRule="auto"/>
              <w:jc w:val="center"/>
              <w:rPr>
                <w:color w:val="000000" w:themeColor="text1"/>
              </w:rPr>
            </w:pPr>
            <w:r w:rsidRPr="00A04153">
              <w:rPr>
                <w:rFonts w:ascii="Times New Roman" w:eastAsia="Times New Roman" w:hAnsi="Times New Roman" w:cs="Times New Roman"/>
                <w:b/>
                <w:color w:val="000000" w:themeColor="text1"/>
                <w:sz w:val="24"/>
                <w:szCs w:val="24"/>
              </w:rPr>
              <w:t>%</w:t>
            </w:r>
          </w:p>
        </w:tc>
      </w:tr>
      <w:tr w:rsidR="00C3257B" w:rsidRPr="00A04153" w14:paraId="5579D90B" w14:textId="77777777" w:rsidTr="000419A2">
        <w:trPr>
          <w:trHeight w:val="294"/>
          <w:jc w:val="center"/>
        </w:trPr>
        <w:tc>
          <w:tcPr>
            <w:tcW w:w="6106" w:type="dxa"/>
            <w:tcBorders>
              <w:top w:val="nil"/>
              <w:left w:val="single" w:sz="8" w:space="0" w:color="000000"/>
              <w:bottom w:val="single" w:sz="8" w:space="0" w:color="000000"/>
              <w:right w:val="single" w:sz="8" w:space="0" w:color="000000"/>
            </w:tcBorders>
            <w:tcMar>
              <w:left w:w="108" w:type="dxa"/>
              <w:right w:w="108" w:type="dxa"/>
            </w:tcMar>
            <w:vAlign w:val="center"/>
          </w:tcPr>
          <w:p w14:paraId="0F357B96" w14:textId="77777777" w:rsidR="00C3257B" w:rsidRPr="00A04153" w:rsidRDefault="00C3257B" w:rsidP="00C3257B">
            <w:pPr>
              <w:spacing w:before="100" w:after="100" w:line="240" w:lineRule="auto"/>
              <w:jc w:val="center"/>
              <w:rPr>
                <w:color w:val="000000" w:themeColor="text1"/>
              </w:rPr>
            </w:pPr>
            <w:r w:rsidRPr="00A04153">
              <w:rPr>
                <w:rFonts w:ascii="Times New Roman" w:eastAsia="Times New Roman" w:hAnsi="Times New Roman" w:cs="Times New Roman"/>
                <w:color w:val="000000" w:themeColor="text1"/>
                <w:sz w:val="24"/>
                <w:szCs w:val="24"/>
              </w:rPr>
              <w:t>Медицинска опрема, фармацеутски производи, производи за личну негу</w:t>
            </w:r>
          </w:p>
        </w:tc>
        <w:tc>
          <w:tcPr>
            <w:tcW w:w="1769" w:type="dxa"/>
            <w:tcBorders>
              <w:top w:val="nil"/>
              <w:left w:val="nil"/>
              <w:bottom w:val="single" w:sz="8" w:space="0" w:color="000000"/>
              <w:right w:val="single" w:sz="8" w:space="0" w:color="000000"/>
            </w:tcBorders>
            <w:tcMar>
              <w:left w:w="108" w:type="dxa"/>
              <w:right w:w="108" w:type="dxa"/>
            </w:tcMar>
            <w:vAlign w:val="center"/>
          </w:tcPr>
          <w:p w14:paraId="11D2F4A6" w14:textId="77777777" w:rsidR="00C3257B" w:rsidRPr="00E37B06" w:rsidRDefault="002768FB" w:rsidP="00C3257B">
            <w:pPr>
              <w:spacing w:before="100" w:after="100" w:line="240" w:lineRule="auto"/>
              <w:jc w:val="center"/>
              <w:rPr>
                <w:rFonts w:ascii="Times New Roman" w:hAnsi="Times New Roman" w:cs="Times New Roman"/>
                <w:color w:val="000000" w:themeColor="text1"/>
              </w:rPr>
            </w:pPr>
            <w:r w:rsidRPr="002768FB">
              <w:rPr>
                <w:rFonts w:ascii="Times New Roman" w:hAnsi="Times New Roman" w:cs="Times New Roman"/>
                <w:sz w:val="24"/>
                <w:szCs w:val="24"/>
              </w:rPr>
              <w:t>25</w:t>
            </w:r>
            <w:r>
              <w:rPr>
                <w:rFonts w:ascii="Times New Roman" w:hAnsi="Times New Roman" w:cs="Times New Roman"/>
                <w:sz w:val="24"/>
                <w:szCs w:val="24"/>
                <w:lang w:val="en-GB"/>
              </w:rPr>
              <w:t>.</w:t>
            </w:r>
            <w:r w:rsidRPr="002768FB">
              <w:rPr>
                <w:rFonts w:ascii="Times New Roman" w:hAnsi="Times New Roman" w:cs="Times New Roman"/>
                <w:sz w:val="24"/>
                <w:szCs w:val="24"/>
              </w:rPr>
              <w:t>494</w:t>
            </w:r>
            <w:r>
              <w:rPr>
                <w:rFonts w:ascii="Times New Roman" w:hAnsi="Times New Roman" w:cs="Times New Roman"/>
                <w:sz w:val="24"/>
                <w:szCs w:val="24"/>
                <w:lang w:val="en-GB"/>
              </w:rPr>
              <w:t>.</w:t>
            </w:r>
            <w:r w:rsidRPr="002768FB">
              <w:rPr>
                <w:rFonts w:ascii="Times New Roman" w:hAnsi="Times New Roman" w:cs="Times New Roman"/>
                <w:sz w:val="24"/>
                <w:szCs w:val="24"/>
              </w:rPr>
              <w:t>577</w:t>
            </w:r>
          </w:p>
        </w:tc>
        <w:tc>
          <w:tcPr>
            <w:tcW w:w="1327" w:type="dxa"/>
            <w:tcBorders>
              <w:top w:val="nil"/>
              <w:left w:val="nil"/>
              <w:bottom w:val="single" w:sz="8" w:space="0" w:color="000000"/>
              <w:right w:val="single" w:sz="8" w:space="0" w:color="000000"/>
            </w:tcBorders>
            <w:tcMar>
              <w:left w:w="108" w:type="dxa"/>
              <w:right w:w="108" w:type="dxa"/>
            </w:tcMar>
            <w:vAlign w:val="bottom"/>
          </w:tcPr>
          <w:p w14:paraId="65003EE6" w14:textId="77777777" w:rsidR="00C3257B" w:rsidRPr="002768FB" w:rsidRDefault="002768FB" w:rsidP="00C3257B">
            <w:pPr>
              <w:spacing w:after="240" w:line="240" w:lineRule="auto"/>
              <w:jc w:val="center"/>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57</w:t>
            </w:r>
          </w:p>
        </w:tc>
      </w:tr>
      <w:tr w:rsidR="00C3257B" w:rsidRPr="00A04153" w14:paraId="17694D47" w14:textId="77777777" w:rsidTr="000419A2">
        <w:trPr>
          <w:trHeight w:val="294"/>
          <w:jc w:val="center"/>
        </w:trPr>
        <w:tc>
          <w:tcPr>
            <w:tcW w:w="6106" w:type="dxa"/>
            <w:tcBorders>
              <w:top w:val="nil"/>
              <w:left w:val="single" w:sz="8" w:space="0" w:color="000000"/>
              <w:bottom w:val="single" w:sz="8" w:space="0" w:color="000000"/>
              <w:right w:val="single" w:sz="8" w:space="0" w:color="000000"/>
            </w:tcBorders>
            <w:tcMar>
              <w:left w:w="108" w:type="dxa"/>
              <w:right w:w="108" w:type="dxa"/>
            </w:tcMar>
            <w:vAlign w:val="center"/>
          </w:tcPr>
          <w:p w14:paraId="3E884C85" w14:textId="77777777" w:rsidR="00C3257B" w:rsidRPr="00A04153" w:rsidRDefault="00C3257B" w:rsidP="00C3257B">
            <w:pPr>
              <w:spacing w:before="100" w:after="100" w:line="240" w:lineRule="auto"/>
              <w:jc w:val="center"/>
              <w:rPr>
                <w:color w:val="000000" w:themeColor="text1"/>
              </w:rPr>
            </w:pPr>
            <w:r w:rsidRPr="00A04153">
              <w:rPr>
                <w:rFonts w:ascii="Times New Roman" w:eastAsia="Times New Roman" w:hAnsi="Times New Roman" w:cs="Times New Roman"/>
                <w:color w:val="000000" w:themeColor="text1"/>
                <w:sz w:val="24"/>
                <w:szCs w:val="24"/>
              </w:rPr>
              <w:t>Грађевински радови</w:t>
            </w:r>
          </w:p>
        </w:tc>
        <w:tc>
          <w:tcPr>
            <w:tcW w:w="1769" w:type="dxa"/>
            <w:tcBorders>
              <w:top w:val="nil"/>
              <w:left w:val="nil"/>
              <w:bottom w:val="single" w:sz="8" w:space="0" w:color="000000"/>
              <w:right w:val="single" w:sz="8" w:space="0" w:color="000000"/>
            </w:tcBorders>
            <w:tcMar>
              <w:left w:w="108" w:type="dxa"/>
              <w:right w:w="108" w:type="dxa"/>
            </w:tcMar>
            <w:vAlign w:val="center"/>
          </w:tcPr>
          <w:p w14:paraId="0DEC55C6" w14:textId="77777777" w:rsidR="00C3257B" w:rsidRPr="00E37B06" w:rsidRDefault="002768FB" w:rsidP="00C3257B">
            <w:pPr>
              <w:spacing w:before="100" w:after="100" w:line="240" w:lineRule="auto"/>
              <w:jc w:val="center"/>
              <w:rPr>
                <w:rFonts w:ascii="Times New Roman" w:hAnsi="Times New Roman" w:cs="Times New Roman"/>
                <w:color w:val="000000" w:themeColor="text1"/>
              </w:rPr>
            </w:pPr>
            <w:r w:rsidRPr="002768FB">
              <w:rPr>
                <w:rFonts w:ascii="Times New Roman" w:hAnsi="Times New Roman" w:cs="Times New Roman"/>
                <w:sz w:val="24"/>
                <w:szCs w:val="24"/>
              </w:rPr>
              <w:t>4.481.796</w:t>
            </w:r>
          </w:p>
        </w:tc>
        <w:tc>
          <w:tcPr>
            <w:tcW w:w="1327" w:type="dxa"/>
            <w:tcBorders>
              <w:top w:val="nil"/>
              <w:left w:val="nil"/>
              <w:bottom w:val="single" w:sz="8" w:space="0" w:color="000000"/>
              <w:right w:val="single" w:sz="8" w:space="0" w:color="000000"/>
            </w:tcBorders>
            <w:tcMar>
              <w:left w:w="108" w:type="dxa"/>
              <w:right w:w="108" w:type="dxa"/>
            </w:tcMar>
            <w:vAlign w:val="bottom"/>
          </w:tcPr>
          <w:p w14:paraId="3EA33D09" w14:textId="77777777" w:rsidR="00C3257B" w:rsidRPr="002768FB" w:rsidRDefault="002768FB" w:rsidP="00C3257B">
            <w:pPr>
              <w:spacing w:before="100" w:after="100" w:line="240" w:lineRule="auto"/>
              <w:jc w:val="center"/>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10</w:t>
            </w:r>
          </w:p>
        </w:tc>
      </w:tr>
      <w:tr w:rsidR="00C3257B" w:rsidRPr="00A04153" w14:paraId="328132A6" w14:textId="77777777" w:rsidTr="000419A2">
        <w:trPr>
          <w:trHeight w:val="294"/>
          <w:jc w:val="center"/>
        </w:trPr>
        <w:tc>
          <w:tcPr>
            <w:tcW w:w="6106" w:type="dxa"/>
            <w:tcBorders>
              <w:top w:val="nil"/>
              <w:left w:val="single" w:sz="8" w:space="0" w:color="000000"/>
              <w:bottom w:val="single" w:sz="8" w:space="0" w:color="000000"/>
              <w:right w:val="single" w:sz="8" w:space="0" w:color="000000"/>
            </w:tcBorders>
            <w:tcMar>
              <w:left w:w="108" w:type="dxa"/>
              <w:right w:w="108" w:type="dxa"/>
            </w:tcMar>
            <w:vAlign w:val="center"/>
          </w:tcPr>
          <w:p w14:paraId="3DC64973" w14:textId="77777777" w:rsidR="00C3257B" w:rsidRPr="00A04153" w:rsidRDefault="00C3257B" w:rsidP="00C3257B">
            <w:pPr>
              <w:spacing w:before="100" w:after="100" w:line="240" w:lineRule="auto"/>
              <w:jc w:val="center"/>
              <w:rPr>
                <w:color w:val="000000" w:themeColor="text1"/>
              </w:rPr>
            </w:pPr>
            <w:r w:rsidRPr="00A04153">
              <w:rPr>
                <w:rFonts w:ascii="Times New Roman" w:eastAsia="Times New Roman" w:hAnsi="Times New Roman" w:cs="Times New Roman"/>
                <w:color w:val="000000" w:themeColor="text1"/>
                <w:sz w:val="24"/>
                <w:szCs w:val="24"/>
              </w:rPr>
              <w:t>Нафтни деривати, гориво, електрична енергија</w:t>
            </w:r>
          </w:p>
        </w:tc>
        <w:tc>
          <w:tcPr>
            <w:tcW w:w="1769" w:type="dxa"/>
            <w:tcBorders>
              <w:top w:val="nil"/>
              <w:left w:val="nil"/>
              <w:bottom w:val="single" w:sz="8" w:space="0" w:color="000000"/>
              <w:right w:val="single" w:sz="8" w:space="0" w:color="000000"/>
            </w:tcBorders>
            <w:tcMar>
              <w:left w:w="108" w:type="dxa"/>
              <w:right w:w="108" w:type="dxa"/>
            </w:tcMar>
            <w:vAlign w:val="center"/>
          </w:tcPr>
          <w:p w14:paraId="7AFCA481" w14:textId="77777777" w:rsidR="00C3257B" w:rsidRPr="00E37B06" w:rsidRDefault="002768FB" w:rsidP="00C3257B">
            <w:pPr>
              <w:spacing w:before="100" w:after="100" w:line="240" w:lineRule="auto"/>
              <w:jc w:val="center"/>
              <w:rPr>
                <w:rFonts w:ascii="Times New Roman" w:hAnsi="Times New Roman" w:cs="Times New Roman"/>
                <w:color w:val="000000" w:themeColor="text1"/>
              </w:rPr>
            </w:pPr>
            <w:r w:rsidRPr="002768FB">
              <w:rPr>
                <w:rFonts w:ascii="Times New Roman" w:hAnsi="Times New Roman" w:cs="Times New Roman"/>
                <w:sz w:val="24"/>
                <w:szCs w:val="24"/>
              </w:rPr>
              <w:t>3.018.040</w:t>
            </w:r>
          </w:p>
        </w:tc>
        <w:tc>
          <w:tcPr>
            <w:tcW w:w="1327" w:type="dxa"/>
            <w:tcBorders>
              <w:top w:val="nil"/>
              <w:left w:val="nil"/>
              <w:bottom w:val="single" w:sz="8" w:space="0" w:color="000000"/>
              <w:right w:val="single" w:sz="8" w:space="0" w:color="000000"/>
            </w:tcBorders>
            <w:tcMar>
              <w:left w:w="108" w:type="dxa"/>
              <w:right w:w="108" w:type="dxa"/>
            </w:tcMar>
            <w:vAlign w:val="bottom"/>
          </w:tcPr>
          <w:p w14:paraId="493FE000" w14:textId="77777777" w:rsidR="00C3257B" w:rsidRPr="002768FB" w:rsidRDefault="002768FB" w:rsidP="00C3257B">
            <w:pPr>
              <w:spacing w:before="100" w:after="100" w:line="240" w:lineRule="auto"/>
              <w:jc w:val="center"/>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7</w:t>
            </w:r>
          </w:p>
        </w:tc>
      </w:tr>
      <w:tr w:rsidR="002768FB" w:rsidRPr="00A04153" w14:paraId="2C2944CE" w14:textId="77777777" w:rsidTr="000419A2">
        <w:trPr>
          <w:trHeight w:val="294"/>
          <w:jc w:val="center"/>
        </w:trPr>
        <w:tc>
          <w:tcPr>
            <w:tcW w:w="6106" w:type="dxa"/>
            <w:tcBorders>
              <w:top w:val="nil"/>
              <w:left w:val="single" w:sz="8" w:space="0" w:color="000000"/>
              <w:bottom w:val="single" w:sz="8" w:space="0" w:color="000000"/>
              <w:right w:val="single" w:sz="8" w:space="0" w:color="000000"/>
            </w:tcBorders>
            <w:tcMar>
              <w:left w:w="108" w:type="dxa"/>
              <w:right w:w="108" w:type="dxa"/>
            </w:tcMar>
            <w:vAlign w:val="center"/>
          </w:tcPr>
          <w:p w14:paraId="2180CB32" w14:textId="77777777" w:rsidR="002768FB" w:rsidRPr="00A04153" w:rsidRDefault="002768FB" w:rsidP="002768FB">
            <w:pPr>
              <w:spacing w:before="100" w:after="100" w:line="240" w:lineRule="auto"/>
              <w:jc w:val="center"/>
              <w:rPr>
                <w:color w:val="000000" w:themeColor="text1"/>
              </w:rPr>
            </w:pPr>
            <w:r>
              <w:rPr>
                <w:rFonts w:ascii="Times New Roman" w:eastAsia="Times New Roman" w:hAnsi="Times New Roman" w:cs="Times New Roman"/>
                <w:color w:val="000000" w:themeColor="text1"/>
                <w:sz w:val="24"/>
                <w:szCs w:val="24"/>
              </w:rPr>
              <w:t>Храна и пиће</w:t>
            </w:r>
          </w:p>
        </w:tc>
        <w:tc>
          <w:tcPr>
            <w:tcW w:w="1769" w:type="dxa"/>
            <w:tcBorders>
              <w:top w:val="nil"/>
              <w:left w:val="nil"/>
              <w:bottom w:val="single" w:sz="8" w:space="0" w:color="000000"/>
              <w:right w:val="single" w:sz="8" w:space="0" w:color="000000"/>
            </w:tcBorders>
            <w:tcMar>
              <w:left w:w="108" w:type="dxa"/>
              <w:right w:w="108" w:type="dxa"/>
            </w:tcMar>
            <w:vAlign w:val="center"/>
          </w:tcPr>
          <w:p w14:paraId="64FFFC2D" w14:textId="77777777" w:rsidR="002768FB" w:rsidRPr="00E37B06" w:rsidRDefault="002768FB" w:rsidP="002768FB">
            <w:pPr>
              <w:spacing w:before="100" w:after="100" w:line="240" w:lineRule="auto"/>
              <w:jc w:val="center"/>
              <w:rPr>
                <w:rFonts w:ascii="Times New Roman" w:hAnsi="Times New Roman" w:cs="Times New Roman"/>
                <w:color w:val="000000" w:themeColor="text1"/>
              </w:rPr>
            </w:pPr>
            <w:r w:rsidRPr="002768FB">
              <w:rPr>
                <w:rFonts w:ascii="Times New Roman" w:hAnsi="Times New Roman" w:cs="Times New Roman"/>
                <w:sz w:val="24"/>
                <w:szCs w:val="24"/>
              </w:rPr>
              <w:t>1.737.711</w:t>
            </w:r>
          </w:p>
        </w:tc>
        <w:tc>
          <w:tcPr>
            <w:tcW w:w="1327" w:type="dxa"/>
            <w:tcBorders>
              <w:top w:val="nil"/>
              <w:left w:val="nil"/>
              <w:bottom w:val="single" w:sz="8" w:space="0" w:color="000000"/>
              <w:right w:val="single" w:sz="8" w:space="0" w:color="000000"/>
            </w:tcBorders>
            <w:tcMar>
              <w:left w:w="108" w:type="dxa"/>
              <w:right w:w="108" w:type="dxa"/>
            </w:tcMar>
            <w:vAlign w:val="bottom"/>
          </w:tcPr>
          <w:p w14:paraId="4B7A4155" w14:textId="77777777" w:rsidR="002768FB" w:rsidRPr="002768FB" w:rsidRDefault="002768FB" w:rsidP="002768FB">
            <w:pPr>
              <w:spacing w:before="100" w:after="100" w:line="240" w:lineRule="auto"/>
              <w:jc w:val="center"/>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4</w:t>
            </w:r>
          </w:p>
        </w:tc>
      </w:tr>
      <w:tr w:rsidR="002768FB" w:rsidRPr="00A04153" w14:paraId="3C06600C" w14:textId="77777777" w:rsidTr="000419A2">
        <w:trPr>
          <w:trHeight w:val="294"/>
          <w:jc w:val="center"/>
        </w:trPr>
        <w:tc>
          <w:tcPr>
            <w:tcW w:w="6106" w:type="dxa"/>
            <w:tcBorders>
              <w:top w:val="nil"/>
              <w:left w:val="single" w:sz="8" w:space="0" w:color="000000"/>
              <w:bottom w:val="single" w:sz="8" w:space="0" w:color="000000"/>
              <w:right w:val="single" w:sz="8" w:space="0" w:color="000000"/>
            </w:tcBorders>
            <w:tcMar>
              <w:left w:w="108" w:type="dxa"/>
              <w:right w:w="108" w:type="dxa"/>
            </w:tcMar>
            <w:vAlign w:val="center"/>
          </w:tcPr>
          <w:p w14:paraId="46414E07" w14:textId="77777777" w:rsidR="002768FB" w:rsidRPr="002768FB" w:rsidRDefault="002768FB" w:rsidP="002768FB">
            <w:pPr>
              <w:spacing w:before="100" w:after="100" w:line="240" w:lineRule="auto"/>
              <w:jc w:val="center"/>
              <w:rPr>
                <w:color w:val="000000" w:themeColor="text1"/>
                <w:lang w:val="sr-Cyrl-RS"/>
              </w:rPr>
            </w:pPr>
            <w:r>
              <w:rPr>
                <w:rFonts w:ascii="Times New Roman" w:eastAsia="Times New Roman" w:hAnsi="Times New Roman" w:cs="Times New Roman"/>
                <w:color w:val="000000" w:themeColor="text1"/>
                <w:sz w:val="24"/>
                <w:szCs w:val="24"/>
                <w:lang w:val="sr-Cyrl-RS"/>
              </w:rPr>
              <w:t>Услуге одржавања и поправки</w:t>
            </w:r>
          </w:p>
        </w:tc>
        <w:tc>
          <w:tcPr>
            <w:tcW w:w="1769" w:type="dxa"/>
            <w:tcBorders>
              <w:top w:val="nil"/>
              <w:left w:val="nil"/>
              <w:bottom w:val="single" w:sz="8" w:space="0" w:color="000000"/>
              <w:right w:val="single" w:sz="8" w:space="0" w:color="000000"/>
            </w:tcBorders>
            <w:tcMar>
              <w:left w:w="108" w:type="dxa"/>
              <w:right w:w="108" w:type="dxa"/>
            </w:tcMar>
            <w:vAlign w:val="center"/>
          </w:tcPr>
          <w:p w14:paraId="525B4F6A" w14:textId="77777777" w:rsidR="002768FB" w:rsidRPr="00E37B06" w:rsidRDefault="002768FB" w:rsidP="002768FB">
            <w:pPr>
              <w:spacing w:before="100" w:after="100" w:line="240" w:lineRule="auto"/>
              <w:jc w:val="center"/>
              <w:rPr>
                <w:rFonts w:ascii="Times New Roman" w:hAnsi="Times New Roman" w:cs="Times New Roman"/>
                <w:color w:val="000000" w:themeColor="text1"/>
              </w:rPr>
            </w:pPr>
            <w:r w:rsidRPr="002768FB">
              <w:rPr>
                <w:rFonts w:ascii="Times New Roman" w:hAnsi="Times New Roman" w:cs="Times New Roman"/>
                <w:sz w:val="24"/>
                <w:szCs w:val="24"/>
              </w:rPr>
              <w:t>1.556.622</w:t>
            </w:r>
          </w:p>
        </w:tc>
        <w:tc>
          <w:tcPr>
            <w:tcW w:w="1327" w:type="dxa"/>
            <w:tcBorders>
              <w:top w:val="nil"/>
              <w:left w:val="nil"/>
              <w:bottom w:val="single" w:sz="8" w:space="0" w:color="000000"/>
              <w:right w:val="single" w:sz="8" w:space="0" w:color="000000"/>
            </w:tcBorders>
            <w:tcMar>
              <w:left w:w="108" w:type="dxa"/>
              <w:right w:w="108" w:type="dxa"/>
            </w:tcMar>
            <w:vAlign w:val="bottom"/>
          </w:tcPr>
          <w:p w14:paraId="14026C6D" w14:textId="77777777" w:rsidR="002768FB" w:rsidRPr="002768FB" w:rsidRDefault="002768FB" w:rsidP="002768FB">
            <w:pPr>
              <w:spacing w:before="100" w:after="100" w:line="240" w:lineRule="auto"/>
              <w:jc w:val="center"/>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3</w:t>
            </w:r>
          </w:p>
        </w:tc>
      </w:tr>
      <w:tr w:rsidR="002768FB" w:rsidRPr="00A04153" w14:paraId="6D4C350C" w14:textId="77777777" w:rsidTr="000419A2">
        <w:trPr>
          <w:trHeight w:val="294"/>
          <w:jc w:val="center"/>
        </w:trPr>
        <w:tc>
          <w:tcPr>
            <w:tcW w:w="6106" w:type="dxa"/>
            <w:tcBorders>
              <w:top w:val="nil"/>
              <w:left w:val="single" w:sz="8" w:space="0" w:color="000000"/>
              <w:bottom w:val="single" w:sz="8" w:space="0" w:color="000000"/>
              <w:right w:val="single" w:sz="8" w:space="0" w:color="000000"/>
            </w:tcBorders>
            <w:tcMar>
              <w:left w:w="108" w:type="dxa"/>
              <w:right w:w="108" w:type="dxa"/>
            </w:tcMar>
            <w:vAlign w:val="center"/>
          </w:tcPr>
          <w:p w14:paraId="5B9F8D04" w14:textId="77777777" w:rsidR="002768FB" w:rsidRPr="00A04153" w:rsidRDefault="002768FB" w:rsidP="002768FB">
            <w:pPr>
              <w:spacing w:before="100" w:after="100" w:line="240" w:lineRule="auto"/>
              <w:jc w:val="center"/>
              <w:rPr>
                <w:rFonts w:ascii="Times New Roman" w:hAnsi="Times New Roman" w:cs="Times New Roman"/>
                <w:color w:val="000000" w:themeColor="text1"/>
              </w:rPr>
            </w:pPr>
            <w:r w:rsidRPr="00A04153">
              <w:rPr>
                <w:rFonts w:ascii="Times New Roman" w:hAnsi="Times New Roman" w:cs="Times New Roman"/>
                <w:color w:val="000000" w:themeColor="text1"/>
                <w:sz w:val="24"/>
              </w:rPr>
              <w:t>Остало</w:t>
            </w:r>
          </w:p>
        </w:tc>
        <w:tc>
          <w:tcPr>
            <w:tcW w:w="1769" w:type="dxa"/>
            <w:tcBorders>
              <w:top w:val="nil"/>
              <w:left w:val="nil"/>
              <w:bottom w:val="single" w:sz="8" w:space="0" w:color="000000"/>
              <w:right w:val="single" w:sz="8" w:space="0" w:color="000000"/>
            </w:tcBorders>
            <w:tcMar>
              <w:left w:w="108" w:type="dxa"/>
              <w:right w:w="108" w:type="dxa"/>
            </w:tcMar>
            <w:vAlign w:val="center"/>
          </w:tcPr>
          <w:p w14:paraId="12F1B86F" w14:textId="77777777" w:rsidR="002768FB" w:rsidRPr="00E37B06" w:rsidRDefault="002768FB" w:rsidP="002768FB">
            <w:pPr>
              <w:spacing w:before="100" w:after="100" w:line="240" w:lineRule="auto"/>
              <w:jc w:val="center"/>
              <w:rPr>
                <w:rFonts w:ascii="Times New Roman" w:hAnsi="Times New Roman" w:cs="Times New Roman"/>
                <w:color w:val="000000" w:themeColor="text1"/>
              </w:rPr>
            </w:pPr>
            <w:r w:rsidRPr="002768FB">
              <w:rPr>
                <w:rFonts w:ascii="Times New Roman" w:hAnsi="Times New Roman" w:cs="Times New Roman"/>
                <w:color w:val="000000" w:themeColor="text1"/>
              </w:rPr>
              <w:t>8.288.060</w:t>
            </w:r>
          </w:p>
        </w:tc>
        <w:tc>
          <w:tcPr>
            <w:tcW w:w="1327" w:type="dxa"/>
            <w:tcBorders>
              <w:top w:val="nil"/>
              <w:left w:val="nil"/>
              <w:bottom w:val="single" w:sz="8" w:space="0" w:color="000000"/>
              <w:right w:val="single" w:sz="8" w:space="0" w:color="000000"/>
            </w:tcBorders>
            <w:tcMar>
              <w:left w:w="108" w:type="dxa"/>
              <w:right w:w="108" w:type="dxa"/>
            </w:tcMar>
            <w:vAlign w:val="bottom"/>
          </w:tcPr>
          <w:p w14:paraId="5E3D35F7" w14:textId="77777777" w:rsidR="002768FB" w:rsidRPr="002768FB" w:rsidRDefault="002768FB" w:rsidP="002768FB">
            <w:pPr>
              <w:spacing w:before="100" w:after="100" w:line="240" w:lineRule="auto"/>
              <w:jc w:val="center"/>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19</w:t>
            </w:r>
          </w:p>
        </w:tc>
      </w:tr>
      <w:tr w:rsidR="002768FB" w:rsidRPr="00A04153" w14:paraId="680F385F" w14:textId="77777777" w:rsidTr="000419A2">
        <w:trPr>
          <w:trHeight w:val="87"/>
          <w:jc w:val="center"/>
        </w:trPr>
        <w:tc>
          <w:tcPr>
            <w:tcW w:w="6106" w:type="dxa"/>
            <w:tcBorders>
              <w:top w:val="nil"/>
              <w:left w:val="single" w:sz="8" w:space="0" w:color="000000"/>
              <w:bottom w:val="single" w:sz="8" w:space="0" w:color="000000"/>
              <w:right w:val="single" w:sz="8" w:space="0" w:color="000000"/>
            </w:tcBorders>
            <w:tcMar>
              <w:left w:w="108" w:type="dxa"/>
              <w:right w:w="108" w:type="dxa"/>
            </w:tcMar>
            <w:vAlign w:val="center"/>
          </w:tcPr>
          <w:p w14:paraId="1F9BF1EA" w14:textId="77777777" w:rsidR="002768FB" w:rsidRPr="00A04153" w:rsidRDefault="002768FB" w:rsidP="002768FB">
            <w:pPr>
              <w:spacing w:before="100" w:after="100" w:line="240" w:lineRule="auto"/>
              <w:jc w:val="center"/>
              <w:rPr>
                <w:rFonts w:ascii="Times New Roman" w:hAnsi="Times New Roman" w:cs="Times New Roman"/>
                <w:b/>
                <w:color w:val="000000" w:themeColor="text1"/>
              </w:rPr>
            </w:pPr>
            <w:r w:rsidRPr="00A04153">
              <w:rPr>
                <w:rFonts w:ascii="Times New Roman" w:hAnsi="Times New Roman" w:cs="Times New Roman"/>
                <w:b/>
                <w:color w:val="000000" w:themeColor="text1"/>
              </w:rPr>
              <w:t>Укупно</w:t>
            </w:r>
          </w:p>
        </w:tc>
        <w:tc>
          <w:tcPr>
            <w:tcW w:w="1769" w:type="dxa"/>
            <w:tcBorders>
              <w:top w:val="nil"/>
              <w:left w:val="nil"/>
              <w:bottom w:val="single" w:sz="8" w:space="0" w:color="000000"/>
              <w:right w:val="single" w:sz="8" w:space="0" w:color="000000"/>
            </w:tcBorders>
            <w:tcMar>
              <w:left w:w="108" w:type="dxa"/>
              <w:right w:w="108" w:type="dxa"/>
            </w:tcMar>
            <w:vAlign w:val="center"/>
          </w:tcPr>
          <w:p w14:paraId="3C9C6EDB" w14:textId="77777777" w:rsidR="002768FB" w:rsidRPr="00E37B06" w:rsidRDefault="002768FB" w:rsidP="002768FB">
            <w:pPr>
              <w:spacing w:before="100" w:after="100" w:line="240" w:lineRule="auto"/>
              <w:jc w:val="center"/>
              <w:rPr>
                <w:rFonts w:ascii="Times New Roman" w:hAnsi="Times New Roman" w:cs="Times New Roman"/>
                <w:b/>
                <w:color w:val="000000" w:themeColor="text1"/>
              </w:rPr>
            </w:pPr>
            <w:r w:rsidRPr="002768FB">
              <w:rPr>
                <w:rFonts w:ascii="Times New Roman" w:hAnsi="Times New Roman" w:cs="Times New Roman"/>
                <w:b/>
                <w:color w:val="000000" w:themeColor="text1"/>
              </w:rPr>
              <w:t>44.576.806</w:t>
            </w:r>
          </w:p>
        </w:tc>
        <w:tc>
          <w:tcPr>
            <w:tcW w:w="1327" w:type="dxa"/>
            <w:tcBorders>
              <w:top w:val="nil"/>
              <w:left w:val="nil"/>
              <w:bottom w:val="single" w:sz="8" w:space="0" w:color="000000"/>
              <w:right w:val="single" w:sz="8" w:space="0" w:color="000000"/>
            </w:tcBorders>
            <w:tcMar>
              <w:left w:w="108" w:type="dxa"/>
              <w:right w:w="108" w:type="dxa"/>
            </w:tcMar>
            <w:vAlign w:val="bottom"/>
          </w:tcPr>
          <w:p w14:paraId="5855A106" w14:textId="77777777" w:rsidR="002768FB" w:rsidRPr="002768FB" w:rsidRDefault="002768FB" w:rsidP="002768FB">
            <w:pPr>
              <w:spacing w:before="100" w:after="100" w:line="240" w:lineRule="auto"/>
              <w:jc w:val="center"/>
              <w:rPr>
                <w:rFonts w:ascii="Times New Roman" w:hAnsi="Times New Roman" w:cs="Times New Roman"/>
                <w:b/>
                <w:color w:val="000000" w:themeColor="text1"/>
                <w:lang w:val="sr-Cyrl-RS"/>
              </w:rPr>
            </w:pPr>
            <w:r>
              <w:rPr>
                <w:rFonts w:ascii="Times New Roman" w:hAnsi="Times New Roman" w:cs="Times New Roman"/>
                <w:b/>
                <w:color w:val="000000" w:themeColor="text1"/>
                <w:lang w:val="sr-Cyrl-RS"/>
              </w:rPr>
              <w:t>100</w:t>
            </w:r>
          </w:p>
        </w:tc>
      </w:tr>
    </w:tbl>
    <w:p w14:paraId="2AF28282" w14:textId="77777777" w:rsidR="0081466B" w:rsidRDefault="00620ABD" w:rsidP="00EB451D">
      <w:pPr>
        <w:spacing w:after="0"/>
        <w:jc w:val="both"/>
      </w:pPr>
      <w:r>
        <w:t>*</w:t>
      </w:r>
      <w:r w:rsidRPr="00EB451D">
        <w:rPr>
          <w:rFonts w:ascii="Times New Roman" w:hAnsi="Times New Roman" w:cs="Times New Roman"/>
        </w:rPr>
        <w:t>Вредности су изражене у хиљадама динара</w:t>
      </w:r>
    </w:p>
    <w:p w14:paraId="34858194" w14:textId="77777777" w:rsidR="00620ABD" w:rsidRPr="00620ABD" w:rsidRDefault="00620ABD" w:rsidP="000419A2">
      <w:pPr>
        <w:pStyle w:val="ListParagraph"/>
        <w:spacing w:after="0"/>
        <w:ind w:left="1050"/>
        <w:jc w:val="center"/>
      </w:pPr>
    </w:p>
    <w:p w14:paraId="00C8E821" w14:textId="77777777" w:rsidR="0081466B" w:rsidRDefault="004F0DED">
      <w:pPr>
        <w:numPr>
          <w:ilvl w:val="0"/>
          <w:numId w:val="1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ЦЕНТРАЛИЗОВАНЕ ЈАВНЕ НАБАВКЕ </w:t>
      </w:r>
    </w:p>
    <w:p w14:paraId="367DF9E7" w14:textId="77777777" w:rsidR="00A77120" w:rsidRDefault="00A77120">
      <w:pPr>
        <w:spacing w:after="0"/>
        <w:jc w:val="both"/>
        <w:rPr>
          <w:rFonts w:ascii="Times New Roman" w:eastAsia="Times New Roman" w:hAnsi="Times New Roman" w:cs="Times New Roman"/>
          <w:sz w:val="24"/>
          <w:szCs w:val="24"/>
        </w:rPr>
      </w:pPr>
    </w:p>
    <w:p w14:paraId="19E8EA70" w14:textId="0067D76F" w:rsidR="0081466B" w:rsidRDefault="004F0DED">
      <w:pPr>
        <w:spacing w:after="0"/>
        <w:jc w:val="both"/>
      </w:pPr>
      <w:r>
        <w:rPr>
          <w:rFonts w:ascii="Times New Roman" w:eastAsia="Times New Roman" w:hAnsi="Times New Roman" w:cs="Times New Roman"/>
          <w:sz w:val="24"/>
          <w:szCs w:val="24"/>
        </w:rPr>
        <w:t>Центр</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лиз</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циј</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ј</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вних н</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б</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вки </w:t>
      </w:r>
      <w:r w:rsidR="001608AC">
        <w:rPr>
          <w:rFonts w:ascii="Times New Roman" w:eastAsia="Times New Roman" w:hAnsi="Times New Roman" w:cs="Times New Roman"/>
          <w:sz w:val="24"/>
          <w:szCs w:val="24"/>
        </w:rPr>
        <w:t>омогућава</w:t>
      </w:r>
      <w:r>
        <w:rPr>
          <w:rFonts w:ascii="Times New Roman" w:eastAsia="Times New Roman" w:hAnsi="Times New Roman" w:cs="Times New Roman"/>
          <w:sz w:val="24"/>
          <w:szCs w:val="24"/>
        </w:rPr>
        <w:t xml:space="preserve"> </w:t>
      </w:r>
      <w:r w:rsidR="001608AC">
        <w:rPr>
          <w:rFonts w:ascii="Times New Roman" w:eastAsia="Times New Roman" w:hAnsi="Times New Roman" w:cs="Times New Roman"/>
          <w:sz w:val="24"/>
          <w:szCs w:val="24"/>
        </w:rPr>
        <w:t>наручиоцима да оств</w:t>
      </w:r>
      <w:r w:rsidR="007C5515">
        <w:rPr>
          <w:rFonts w:ascii="Times New Roman" w:eastAsia="Times New Roman" w:hAnsi="Times New Roman" w:cs="Times New Roman"/>
          <w:sz w:val="24"/>
          <w:szCs w:val="24"/>
        </w:rPr>
        <w:t>а</w:t>
      </w:r>
      <w:r w:rsidR="001608AC">
        <w:rPr>
          <w:rFonts w:ascii="Times New Roman" w:eastAsia="Times New Roman" w:hAnsi="Times New Roman" w:cs="Times New Roman"/>
          <w:sz w:val="24"/>
          <w:szCs w:val="24"/>
        </w:rPr>
        <w:t>ре уштеде</w:t>
      </w:r>
      <w:r>
        <w:rPr>
          <w:rFonts w:ascii="Times New Roman" w:eastAsia="Times New Roman" w:hAnsi="Times New Roman" w:cs="Times New Roman"/>
          <w:sz w:val="24"/>
          <w:szCs w:val="24"/>
        </w:rPr>
        <w:t xml:space="preserve"> </w:t>
      </w:r>
      <w:r w:rsidR="001608AC">
        <w:rPr>
          <w:rFonts w:ascii="Times New Roman" w:eastAsia="Times New Roman" w:hAnsi="Times New Roman" w:cs="Times New Roman"/>
          <w:sz w:val="24"/>
          <w:szCs w:val="24"/>
        </w:rPr>
        <w:t>по основ</w:t>
      </w:r>
      <w:r w:rsidR="001C3286">
        <w:rPr>
          <w:rFonts w:ascii="Times New Roman" w:eastAsia="Times New Roman" w:hAnsi="Times New Roman" w:cs="Times New Roman"/>
          <w:sz w:val="24"/>
          <w:szCs w:val="24"/>
        </w:rPr>
        <w:t>у укрупњавања на страни тражње</w:t>
      </w:r>
      <w:r w:rsidR="00393D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Централизација јавних набавки се остварује обједињавањем н</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б</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вки које се </w:t>
      </w:r>
      <w:r w:rsidR="001C3286">
        <w:rPr>
          <w:rFonts w:ascii="Times New Roman" w:eastAsia="Times New Roman" w:hAnsi="Times New Roman" w:cs="Times New Roman"/>
          <w:sz w:val="24"/>
          <w:szCs w:val="24"/>
        </w:rPr>
        <w:t xml:space="preserve">потом </w:t>
      </w:r>
      <w:r>
        <w:rPr>
          <w:rFonts w:ascii="Times New Roman" w:eastAsia="Times New Roman" w:hAnsi="Times New Roman" w:cs="Times New Roman"/>
          <w:sz w:val="24"/>
          <w:szCs w:val="24"/>
        </w:rPr>
        <w:t>спроводе преко тел</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з</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центр</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лизов</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не ј</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вне н</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б</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вке и</w:t>
      </w:r>
      <w:r w:rsidR="001C3286">
        <w:rPr>
          <w:rFonts w:ascii="Times New Roman" w:eastAsia="Times New Roman" w:hAnsi="Times New Roman" w:cs="Times New Roman"/>
          <w:sz w:val="24"/>
          <w:szCs w:val="24"/>
        </w:rPr>
        <w:t xml:space="preserve">ли </w:t>
      </w:r>
      <w:r>
        <w:rPr>
          <w:rFonts w:ascii="Times New Roman" w:eastAsia="Times New Roman" w:hAnsi="Times New Roman" w:cs="Times New Roman"/>
          <w:sz w:val="24"/>
          <w:szCs w:val="24"/>
        </w:rPr>
        <w:t>сп</w:t>
      </w:r>
      <w:r w:rsidR="001C3286">
        <w:rPr>
          <w:rFonts w:ascii="Times New Roman" w:eastAsia="Times New Roman" w:hAnsi="Times New Roman" w:cs="Times New Roman"/>
          <w:sz w:val="24"/>
          <w:szCs w:val="24"/>
        </w:rPr>
        <w:t>ровођењем</w:t>
      </w:r>
      <w:r>
        <w:rPr>
          <w:rFonts w:ascii="Times New Roman" w:eastAsia="Times New Roman" w:hAnsi="Times New Roman" w:cs="Times New Roman"/>
          <w:sz w:val="24"/>
          <w:szCs w:val="24"/>
        </w:rPr>
        <w:t xml:space="preserve"> поступк</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ј</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вне н</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б</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вке од стр</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не више н</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ручил</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ц</w:t>
      </w:r>
      <w:r w:rsidR="007C551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(заједничка јавна набавка). </w:t>
      </w:r>
    </w:p>
    <w:p w14:paraId="17768FA0" w14:textId="77777777" w:rsidR="0081466B" w:rsidRPr="001608AC" w:rsidRDefault="0081466B">
      <w:pPr>
        <w:spacing w:after="0"/>
        <w:ind w:firstLine="708"/>
        <w:jc w:val="both"/>
        <w:rPr>
          <w:lang w:val="en-US"/>
        </w:rPr>
      </w:pPr>
    </w:p>
    <w:p w14:paraId="3A70A4CC" w14:textId="77777777" w:rsidR="00620ABD" w:rsidRPr="000419A2" w:rsidRDefault="00353F00" w:rsidP="009612B0">
      <w:pPr>
        <w:ind w:left="-7"/>
        <w:jc w:val="both"/>
        <w:rPr>
          <w:rFonts w:ascii="Times New Roman" w:eastAsia="Times New Roman" w:hAnsi="Times New Roman" w:cs="Times New Roman"/>
          <w:color w:val="auto"/>
          <w:sz w:val="24"/>
          <w:szCs w:val="24"/>
        </w:rPr>
      </w:pPr>
      <w:r w:rsidRPr="000419A2">
        <w:rPr>
          <w:rFonts w:ascii="Times New Roman" w:eastAsia="Times New Roman" w:hAnsi="Times New Roman" w:cs="Times New Roman"/>
          <w:color w:val="auto"/>
          <w:sz w:val="24"/>
          <w:szCs w:val="24"/>
        </w:rPr>
        <w:t xml:space="preserve">Учешће </w:t>
      </w:r>
      <w:r w:rsidR="004F0DED" w:rsidRPr="000419A2">
        <w:rPr>
          <w:rFonts w:ascii="Times New Roman" w:eastAsia="Times New Roman" w:hAnsi="Times New Roman" w:cs="Times New Roman"/>
          <w:color w:val="auto"/>
          <w:sz w:val="24"/>
          <w:szCs w:val="24"/>
        </w:rPr>
        <w:t>централизованих јавних н</w:t>
      </w:r>
      <w:r w:rsidRPr="000419A2">
        <w:rPr>
          <w:rFonts w:ascii="Times New Roman" w:eastAsia="Times New Roman" w:hAnsi="Times New Roman" w:cs="Times New Roman"/>
          <w:color w:val="auto"/>
          <w:sz w:val="24"/>
          <w:szCs w:val="24"/>
        </w:rPr>
        <w:t>абавки у укупној вредн</w:t>
      </w:r>
      <w:r w:rsidR="00EA135C" w:rsidRPr="000419A2">
        <w:rPr>
          <w:rFonts w:ascii="Times New Roman" w:eastAsia="Times New Roman" w:hAnsi="Times New Roman" w:cs="Times New Roman"/>
          <w:color w:val="auto"/>
          <w:sz w:val="24"/>
          <w:szCs w:val="24"/>
        </w:rPr>
        <w:t>ости закључених уговора повећало</w:t>
      </w:r>
      <w:r w:rsidR="00166C95" w:rsidRPr="000419A2">
        <w:rPr>
          <w:rFonts w:ascii="Times New Roman" w:eastAsia="Times New Roman" w:hAnsi="Times New Roman" w:cs="Times New Roman"/>
          <w:color w:val="auto"/>
          <w:sz w:val="24"/>
          <w:szCs w:val="24"/>
        </w:rPr>
        <w:t xml:space="preserve"> се са</w:t>
      </w:r>
      <w:r w:rsidR="00EA135C" w:rsidRPr="000419A2">
        <w:rPr>
          <w:rFonts w:ascii="Times New Roman" w:eastAsia="Times New Roman" w:hAnsi="Times New Roman" w:cs="Times New Roman"/>
          <w:color w:val="auto"/>
          <w:sz w:val="24"/>
          <w:szCs w:val="24"/>
        </w:rPr>
        <w:t xml:space="preserve"> 10</w:t>
      </w:r>
      <w:r w:rsidRPr="000419A2">
        <w:rPr>
          <w:rFonts w:ascii="Times New Roman" w:eastAsia="Times New Roman" w:hAnsi="Times New Roman" w:cs="Times New Roman"/>
          <w:color w:val="auto"/>
          <w:sz w:val="24"/>
          <w:szCs w:val="24"/>
        </w:rPr>
        <w:t>%</w:t>
      </w:r>
      <w:r w:rsidR="00EA135C" w:rsidRPr="000419A2">
        <w:rPr>
          <w:rFonts w:ascii="Times New Roman" w:eastAsia="Times New Roman" w:hAnsi="Times New Roman" w:cs="Times New Roman"/>
          <w:color w:val="auto"/>
          <w:sz w:val="24"/>
          <w:szCs w:val="24"/>
          <w:lang w:val="sr-Cyrl-RS"/>
        </w:rPr>
        <w:t xml:space="preserve"> на 15</w:t>
      </w:r>
      <w:r w:rsidR="00166C95" w:rsidRPr="000419A2">
        <w:rPr>
          <w:rFonts w:ascii="Times New Roman" w:eastAsia="Times New Roman" w:hAnsi="Times New Roman" w:cs="Times New Roman"/>
          <w:color w:val="auto"/>
          <w:sz w:val="24"/>
          <w:szCs w:val="24"/>
          <w:lang w:val="sr-Cyrl-RS"/>
        </w:rPr>
        <w:t>%</w:t>
      </w:r>
      <w:r w:rsidR="00166C95" w:rsidRPr="000419A2">
        <w:rPr>
          <w:rFonts w:ascii="Times New Roman" w:eastAsia="Times New Roman" w:hAnsi="Times New Roman" w:cs="Times New Roman"/>
          <w:color w:val="auto"/>
          <w:sz w:val="24"/>
          <w:szCs w:val="24"/>
        </w:rPr>
        <w:t xml:space="preserve"> у односу на исти период</w:t>
      </w:r>
      <w:r w:rsidR="00EA135C" w:rsidRPr="000419A2">
        <w:rPr>
          <w:rFonts w:ascii="Times New Roman" w:eastAsia="Times New Roman" w:hAnsi="Times New Roman" w:cs="Times New Roman"/>
          <w:color w:val="auto"/>
          <w:sz w:val="24"/>
          <w:szCs w:val="24"/>
        </w:rPr>
        <w:t xml:space="preserve"> претходне године (Табела 1</w:t>
      </w:r>
      <w:r w:rsidR="00953934" w:rsidRPr="000419A2">
        <w:rPr>
          <w:rFonts w:ascii="Times New Roman" w:eastAsia="Times New Roman" w:hAnsi="Times New Roman" w:cs="Times New Roman"/>
          <w:color w:val="auto"/>
          <w:sz w:val="24"/>
          <w:szCs w:val="24"/>
          <w:lang w:val="sr-Cyrl-RS"/>
        </w:rPr>
        <w:t>9</w:t>
      </w:r>
      <w:r w:rsidR="004F0DED" w:rsidRPr="000419A2">
        <w:rPr>
          <w:rFonts w:ascii="Times New Roman" w:eastAsia="Times New Roman" w:hAnsi="Times New Roman" w:cs="Times New Roman"/>
          <w:color w:val="auto"/>
          <w:sz w:val="24"/>
          <w:szCs w:val="24"/>
        </w:rPr>
        <w:t>).</w:t>
      </w:r>
    </w:p>
    <w:p w14:paraId="0E6EFE61" w14:textId="77777777" w:rsidR="0081466B" w:rsidRPr="000419A2" w:rsidRDefault="004F0DED" w:rsidP="00961F00">
      <w:pPr>
        <w:ind w:left="-284"/>
        <w:jc w:val="both"/>
        <w:rPr>
          <w:color w:val="auto"/>
          <w:lang w:val="sr-Cyrl-RS"/>
        </w:rPr>
      </w:pPr>
      <w:r w:rsidRPr="00961F00">
        <w:rPr>
          <w:rFonts w:ascii="Times New Roman" w:eastAsia="Times New Roman" w:hAnsi="Times New Roman" w:cs="Times New Roman"/>
          <w:b/>
          <w:color w:val="C00000"/>
          <w:sz w:val="24"/>
          <w:szCs w:val="24"/>
        </w:rPr>
        <w:t xml:space="preserve"> </w:t>
      </w:r>
      <w:r w:rsidRPr="000419A2">
        <w:rPr>
          <w:rFonts w:ascii="Times New Roman" w:eastAsia="Times New Roman" w:hAnsi="Times New Roman" w:cs="Times New Roman"/>
          <w:b/>
          <w:color w:val="auto"/>
          <w:sz w:val="24"/>
          <w:szCs w:val="24"/>
        </w:rPr>
        <w:t>Табела 1</w:t>
      </w:r>
      <w:r w:rsidR="00953934" w:rsidRPr="000419A2">
        <w:rPr>
          <w:rFonts w:ascii="Times New Roman" w:eastAsia="Times New Roman" w:hAnsi="Times New Roman" w:cs="Times New Roman"/>
          <w:b/>
          <w:color w:val="auto"/>
          <w:sz w:val="24"/>
          <w:szCs w:val="24"/>
          <w:lang w:val="sr-Cyrl-RS"/>
        </w:rPr>
        <w:t>9</w:t>
      </w:r>
    </w:p>
    <w:tbl>
      <w:tblPr>
        <w:tblStyle w:val="ad"/>
        <w:tblW w:w="9306" w:type="dxa"/>
        <w:jc w:val="center"/>
        <w:tblLayout w:type="fixed"/>
        <w:tblLook w:val="0400" w:firstRow="0" w:lastRow="0" w:firstColumn="0" w:lastColumn="0" w:noHBand="0" w:noVBand="1"/>
      </w:tblPr>
      <w:tblGrid>
        <w:gridCol w:w="1124"/>
        <w:gridCol w:w="440"/>
        <w:gridCol w:w="1693"/>
        <w:gridCol w:w="951"/>
        <w:gridCol w:w="1244"/>
        <w:gridCol w:w="806"/>
        <w:gridCol w:w="1882"/>
        <w:gridCol w:w="1166"/>
      </w:tblGrid>
      <w:tr w:rsidR="000419A2" w:rsidRPr="000419A2" w14:paraId="6A547F16" w14:textId="77777777" w:rsidTr="000419A2">
        <w:trPr>
          <w:trHeight w:val="657"/>
          <w:jc w:val="center"/>
        </w:trPr>
        <w:tc>
          <w:tcPr>
            <w:tcW w:w="9306" w:type="dxa"/>
            <w:gridSpan w:val="8"/>
            <w:tcBorders>
              <w:top w:val="single" w:sz="8" w:space="0" w:color="000000"/>
              <w:left w:val="single" w:sz="8" w:space="0" w:color="000000"/>
              <w:bottom w:val="single" w:sz="8" w:space="0" w:color="000000"/>
              <w:right w:val="single" w:sz="8" w:space="0" w:color="000000"/>
            </w:tcBorders>
            <w:tcMar>
              <w:left w:w="108" w:type="dxa"/>
              <w:right w:w="108" w:type="dxa"/>
            </w:tcMar>
          </w:tcPr>
          <w:p w14:paraId="532181AA" w14:textId="77777777" w:rsidR="0081466B" w:rsidRPr="000419A2" w:rsidRDefault="004F0DED">
            <w:pPr>
              <w:spacing w:after="0" w:line="240" w:lineRule="auto"/>
              <w:jc w:val="center"/>
              <w:rPr>
                <w:color w:val="auto"/>
              </w:rPr>
            </w:pPr>
            <w:r w:rsidRPr="000419A2">
              <w:rPr>
                <w:rFonts w:ascii="Times New Roman" w:eastAsia="Times New Roman" w:hAnsi="Times New Roman" w:cs="Times New Roman"/>
                <w:b/>
                <w:color w:val="auto"/>
                <w:sz w:val="24"/>
                <w:szCs w:val="24"/>
              </w:rPr>
              <w:t>Упоредни преглед закључених уговора</w:t>
            </w:r>
          </w:p>
          <w:p w14:paraId="477839F6" w14:textId="5EC7B9B9" w:rsidR="0081466B" w:rsidRPr="000419A2" w:rsidRDefault="004F0DED" w:rsidP="000419A2">
            <w:pPr>
              <w:spacing w:after="0" w:line="240" w:lineRule="auto"/>
              <w:jc w:val="center"/>
              <w:rPr>
                <w:color w:val="auto"/>
              </w:rPr>
            </w:pPr>
            <w:r w:rsidRPr="000419A2">
              <w:rPr>
                <w:rFonts w:ascii="Times New Roman" w:eastAsia="Times New Roman" w:hAnsi="Times New Roman" w:cs="Times New Roman"/>
                <w:b/>
                <w:color w:val="auto"/>
                <w:sz w:val="24"/>
                <w:szCs w:val="24"/>
              </w:rPr>
              <w:t xml:space="preserve">на основу централизованих јавних </w:t>
            </w:r>
            <w:r w:rsidR="00171D05" w:rsidRPr="000419A2">
              <w:rPr>
                <w:rFonts w:ascii="Times New Roman" w:eastAsia="Times New Roman" w:hAnsi="Times New Roman" w:cs="Times New Roman"/>
                <w:b/>
                <w:color w:val="auto"/>
                <w:sz w:val="24"/>
                <w:szCs w:val="24"/>
              </w:rPr>
              <w:t xml:space="preserve">набавки </w:t>
            </w:r>
          </w:p>
        </w:tc>
      </w:tr>
      <w:tr w:rsidR="000419A2" w:rsidRPr="000419A2" w14:paraId="492AB3BB" w14:textId="77777777" w:rsidTr="000419A2">
        <w:trPr>
          <w:trHeight w:val="311"/>
          <w:jc w:val="center"/>
        </w:trPr>
        <w:tc>
          <w:tcPr>
            <w:tcW w:w="4208" w:type="dxa"/>
            <w:gridSpan w:val="4"/>
            <w:tcBorders>
              <w:top w:val="nil"/>
              <w:left w:val="single" w:sz="8" w:space="0" w:color="000000"/>
              <w:bottom w:val="single" w:sz="8" w:space="0" w:color="000000"/>
              <w:right w:val="single" w:sz="8" w:space="0" w:color="000000"/>
            </w:tcBorders>
            <w:tcMar>
              <w:left w:w="108" w:type="dxa"/>
              <w:right w:w="108" w:type="dxa"/>
            </w:tcMar>
            <w:vAlign w:val="center"/>
          </w:tcPr>
          <w:p w14:paraId="469C5E56" w14:textId="77777777" w:rsidR="0081466B" w:rsidRPr="000419A2" w:rsidRDefault="00C3257B" w:rsidP="00961F00">
            <w:pPr>
              <w:spacing w:before="100" w:after="100" w:line="240" w:lineRule="auto"/>
              <w:jc w:val="center"/>
              <w:rPr>
                <w:color w:val="auto"/>
              </w:rPr>
            </w:pPr>
            <w:r w:rsidRPr="000419A2">
              <w:rPr>
                <w:rFonts w:ascii="Times New Roman" w:eastAsia="Times New Roman" w:hAnsi="Times New Roman" w:cs="Times New Roman"/>
                <w:b/>
                <w:color w:val="auto"/>
                <w:sz w:val="24"/>
                <w:szCs w:val="24"/>
              </w:rPr>
              <w:t>201</w:t>
            </w:r>
            <w:r w:rsidR="00961F00" w:rsidRPr="000419A2">
              <w:rPr>
                <w:rFonts w:ascii="Times New Roman" w:eastAsia="Times New Roman" w:hAnsi="Times New Roman" w:cs="Times New Roman"/>
                <w:b/>
                <w:color w:val="auto"/>
                <w:sz w:val="24"/>
                <w:szCs w:val="24"/>
                <w:lang w:val="sr-Cyrl-RS"/>
              </w:rPr>
              <w:t>8</w:t>
            </w:r>
            <w:r w:rsidR="004F0DED" w:rsidRPr="000419A2">
              <w:rPr>
                <w:rFonts w:ascii="Times New Roman" w:eastAsia="Times New Roman" w:hAnsi="Times New Roman" w:cs="Times New Roman"/>
                <w:b/>
                <w:color w:val="auto"/>
                <w:sz w:val="24"/>
                <w:szCs w:val="24"/>
              </w:rPr>
              <w:t>. 1П</w:t>
            </w:r>
          </w:p>
        </w:tc>
        <w:tc>
          <w:tcPr>
            <w:tcW w:w="5098" w:type="dxa"/>
            <w:gridSpan w:val="4"/>
            <w:tcBorders>
              <w:top w:val="nil"/>
              <w:left w:val="nil"/>
              <w:bottom w:val="single" w:sz="8" w:space="0" w:color="000000"/>
              <w:right w:val="single" w:sz="8" w:space="0" w:color="000000"/>
            </w:tcBorders>
            <w:tcMar>
              <w:left w:w="108" w:type="dxa"/>
              <w:right w:w="108" w:type="dxa"/>
            </w:tcMar>
            <w:vAlign w:val="center"/>
          </w:tcPr>
          <w:p w14:paraId="77DBDFEE" w14:textId="77777777" w:rsidR="0081466B" w:rsidRPr="000419A2" w:rsidRDefault="00171D05" w:rsidP="00961F00">
            <w:pPr>
              <w:spacing w:before="100" w:after="100" w:line="240" w:lineRule="auto"/>
              <w:jc w:val="center"/>
              <w:rPr>
                <w:color w:val="auto"/>
              </w:rPr>
            </w:pPr>
            <w:r w:rsidRPr="000419A2">
              <w:rPr>
                <w:rFonts w:ascii="Times New Roman" w:eastAsia="Times New Roman" w:hAnsi="Times New Roman" w:cs="Times New Roman"/>
                <w:b/>
                <w:color w:val="auto"/>
                <w:sz w:val="24"/>
                <w:szCs w:val="24"/>
              </w:rPr>
              <w:t>201</w:t>
            </w:r>
            <w:r w:rsidR="00961F00" w:rsidRPr="000419A2">
              <w:rPr>
                <w:rFonts w:ascii="Times New Roman" w:eastAsia="Times New Roman" w:hAnsi="Times New Roman" w:cs="Times New Roman"/>
                <w:b/>
                <w:color w:val="auto"/>
                <w:sz w:val="24"/>
                <w:szCs w:val="24"/>
                <w:lang w:val="sr-Cyrl-RS"/>
              </w:rPr>
              <w:t>9</w:t>
            </w:r>
            <w:r w:rsidR="004F0DED" w:rsidRPr="000419A2">
              <w:rPr>
                <w:rFonts w:ascii="Times New Roman" w:eastAsia="Times New Roman" w:hAnsi="Times New Roman" w:cs="Times New Roman"/>
                <w:b/>
                <w:color w:val="auto"/>
                <w:sz w:val="24"/>
                <w:szCs w:val="24"/>
              </w:rPr>
              <w:t>. 1П</w:t>
            </w:r>
          </w:p>
        </w:tc>
      </w:tr>
      <w:tr w:rsidR="000419A2" w:rsidRPr="000419A2" w14:paraId="276BC332" w14:textId="77777777" w:rsidTr="00187C37">
        <w:trPr>
          <w:trHeight w:val="965"/>
          <w:jc w:val="center"/>
        </w:trPr>
        <w:tc>
          <w:tcPr>
            <w:tcW w:w="1124" w:type="dxa"/>
            <w:tcBorders>
              <w:top w:val="nil"/>
              <w:left w:val="single" w:sz="8" w:space="0" w:color="000000"/>
              <w:bottom w:val="single" w:sz="8" w:space="0" w:color="000000"/>
              <w:right w:val="single" w:sz="8" w:space="0" w:color="000000"/>
            </w:tcBorders>
            <w:tcMar>
              <w:left w:w="108" w:type="dxa"/>
              <w:right w:w="108" w:type="dxa"/>
            </w:tcMar>
            <w:vAlign w:val="center"/>
          </w:tcPr>
          <w:p w14:paraId="063DF9F5" w14:textId="77777777" w:rsidR="0081466B" w:rsidRPr="000419A2" w:rsidRDefault="004F0DED">
            <w:pPr>
              <w:spacing w:before="100" w:after="100" w:line="240" w:lineRule="auto"/>
              <w:jc w:val="center"/>
              <w:rPr>
                <w:color w:val="auto"/>
              </w:rPr>
            </w:pPr>
            <w:r w:rsidRPr="000419A2">
              <w:rPr>
                <w:rFonts w:ascii="Times New Roman" w:eastAsia="Times New Roman" w:hAnsi="Times New Roman" w:cs="Times New Roman"/>
                <w:b/>
                <w:color w:val="auto"/>
                <w:sz w:val="24"/>
                <w:szCs w:val="24"/>
              </w:rPr>
              <w:t>Број уговора</w:t>
            </w:r>
          </w:p>
        </w:tc>
        <w:tc>
          <w:tcPr>
            <w:tcW w:w="440" w:type="dxa"/>
            <w:tcBorders>
              <w:top w:val="nil"/>
              <w:left w:val="nil"/>
              <w:bottom w:val="single" w:sz="8" w:space="0" w:color="000000"/>
              <w:right w:val="single" w:sz="8" w:space="0" w:color="000000"/>
            </w:tcBorders>
            <w:tcMar>
              <w:left w:w="108" w:type="dxa"/>
              <w:right w:w="108" w:type="dxa"/>
            </w:tcMar>
            <w:vAlign w:val="center"/>
          </w:tcPr>
          <w:p w14:paraId="12AAEA7F" w14:textId="77777777" w:rsidR="0081466B" w:rsidRPr="000419A2" w:rsidRDefault="004F0DED">
            <w:pPr>
              <w:spacing w:before="100" w:after="100" w:line="240" w:lineRule="auto"/>
              <w:jc w:val="center"/>
              <w:rPr>
                <w:color w:val="auto"/>
              </w:rPr>
            </w:pPr>
            <w:r w:rsidRPr="000419A2">
              <w:rPr>
                <w:rFonts w:ascii="Times New Roman" w:eastAsia="Times New Roman" w:hAnsi="Times New Roman" w:cs="Times New Roman"/>
                <w:b/>
                <w:color w:val="auto"/>
                <w:sz w:val="24"/>
                <w:szCs w:val="24"/>
              </w:rPr>
              <w:t>%</w:t>
            </w:r>
          </w:p>
        </w:tc>
        <w:tc>
          <w:tcPr>
            <w:tcW w:w="1693" w:type="dxa"/>
            <w:tcBorders>
              <w:top w:val="nil"/>
              <w:left w:val="nil"/>
              <w:bottom w:val="single" w:sz="8" w:space="0" w:color="000000"/>
              <w:right w:val="single" w:sz="8" w:space="0" w:color="000000"/>
            </w:tcBorders>
            <w:tcMar>
              <w:left w:w="108" w:type="dxa"/>
              <w:right w:w="108" w:type="dxa"/>
            </w:tcMar>
            <w:vAlign w:val="center"/>
          </w:tcPr>
          <w:p w14:paraId="41F2D058" w14:textId="77777777" w:rsidR="0081466B" w:rsidRPr="000419A2" w:rsidRDefault="004F0DED">
            <w:pPr>
              <w:spacing w:before="100" w:after="100" w:line="240" w:lineRule="auto"/>
              <w:jc w:val="center"/>
              <w:rPr>
                <w:color w:val="auto"/>
              </w:rPr>
            </w:pPr>
            <w:r w:rsidRPr="000419A2">
              <w:rPr>
                <w:rFonts w:ascii="Times New Roman" w:eastAsia="Times New Roman" w:hAnsi="Times New Roman" w:cs="Times New Roman"/>
                <w:b/>
                <w:color w:val="auto"/>
                <w:sz w:val="24"/>
                <w:szCs w:val="24"/>
              </w:rPr>
              <w:t>Уговорена вредност без ПДВ-а*</w:t>
            </w:r>
          </w:p>
        </w:tc>
        <w:tc>
          <w:tcPr>
            <w:tcW w:w="951" w:type="dxa"/>
            <w:tcBorders>
              <w:top w:val="nil"/>
              <w:left w:val="nil"/>
              <w:bottom w:val="single" w:sz="8" w:space="0" w:color="000000"/>
              <w:right w:val="single" w:sz="8" w:space="0" w:color="000000"/>
            </w:tcBorders>
            <w:tcMar>
              <w:left w:w="108" w:type="dxa"/>
              <w:right w:w="108" w:type="dxa"/>
            </w:tcMar>
            <w:vAlign w:val="center"/>
          </w:tcPr>
          <w:p w14:paraId="1B2FA161" w14:textId="77777777" w:rsidR="0081466B" w:rsidRPr="000419A2" w:rsidRDefault="004F0DED">
            <w:pPr>
              <w:spacing w:before="100" w:after="100" w:line="240" w:lineRule="auto"/>
              <w:jc w:val="center"/>
              <w:rPr>
                <w:color w:val="auto"/>
              </w:rPr>
            </w:pPr>
            <w:r w:rsidRPr="000419A2">
              <w:rPr>
                <w:rFonts w:ascii="Times New Roman" w:eastAsia="Times New Roman" w:hAnsi="Times New Roman" w:cs="Times New Roman"/>
                <w:b/>
                <w:color w:val="auto"/>
                <w:sz w:val="24"/>
                <w:szCs w:val="24"/>
              </w:rPr>
              <w:t>%</w:t>
            </w:r>
          </w:p>
        </w:tc>
        <w:tc>
          <w:tcPr>
            <w:tcW w:w="1244" w:type="dxa"/>
            <w:tcBorders>
              <w:top w:val="nil"/>
              <w:left w:val="nil"/>
              <w:bottom w:val="single" w:sz="8" w:space="0" w:color="000000"/>
              <w:right w:val="single" w:sz="8" w:space="0" w:color="000000"/>
            </w:tcBorders>
            <w:tcMar>
              <w:left w:w="108" w:type="dxa"/>
              <w:right w:w="108" w:type="dxa"/>
            </w:tcMar>
            <w:vAlign w:val="center"/>
          </w:tcPr>
          <w:p w14:paraId="0D4EBED0" w14:textId="77777777" w:rsidR="0081466B" w:rsidRPr="000419A2" w:rsidRDefault="004F0DED">
            <w:pPr>
              <w:spacing w:before="100" w:after="100" w:line="240" w:lineRule="auto"/>
              <w:jc w:val="center"/>
              <w:rPr>
                <w:color w:val="auto"/>
              </w:rPr>
            </w:pPr>
            <w:r w:rsidRPr="000419A2">
              <w:rPr>
                <w:rFonts w:ascii="Times New Roman" w:eastAsia="Times New Roman" w:hAnsi="Times New Roman" w:cs="Times New Roman"/>
                <w:b/>
                <w:color w:val="auto"/>
                <w:sz w:val="24"/>
                <w:szCs w:val="24"/>
              </w:rPr>
              <w:t>Број уговора</w:t>
            </w:r>
          </w:p>
        </w:tc>
        <w:tc>
          <w:tcPr>
            <w:tcW w:w="806" w:type="dxa"/>
            <w:tcBorders>
              <w:top w:val="nil"/>
              <w:left w:val="nil"/>
              <w:bottom w:val="single" w:sz="8" w:space="0" w:color="000000"/>
              <w:right w:val="single" w:sz="8" w:space="0" w:color="000000"/>
            </w:tcBorders>
            <w:tcMar>
              <w:left w:w="108" w:type="dxa"/>
              <w:right w:w="108" w:type="dxa"/>
            </w:tcMar>
            <w:vAlign w:val="center"/>
          </w:tcPr>
          <w:p w14:paraId="20FAEA5C" w14:textId="77777777" w:rsidR="0081466B" w:rsidRPr="000419A2" w:rsidRDefault="004F0DED">
            <w:pPr>
              <w:spacing w:before="100" w:after="100" w:line="240" w:lineRule="auto"/>
              <w:jc w:val="center"/>
              <w:rPr>
                <w:color w:val="auto"/>
              </w:rPr>
            </w:pPr>
            <w:r w:rsidRPr="000419A2">
              <w:rPr>
                <w:rFonts w:ascii="Times New Roman" w:eastAsia="Times New Roman" w:hAnsi="Times New Roman" w:cs="Times New Roman"/>
                <w:b/>
                <w:color w:val="auto"/>
                <w:sz w:val="24"/>
                <w:szCs w:val="24"/>
              </w:rPr>
              <w:t>%</w:t>
            </w:r>
          </w:p>
        </w:tc>
        <w:tc>
          <w:tcPr>
            <w:tcW w:w="1882" w:type="dxa"/>
            <w:tcBorders>
              <w:top w:val="nil"/>
              <w:left w:val="nil"/>
              <w:bottom w:val="single" w:sz="8" w:space="0" w:color="000000"/>
              <w:right w:val="single" w:sz="8" w:space="0" w:color="000000"/>
            </w:tcBorders>
            <w:tcMar>
              <w:left w:w="108" w:type="dxa"/>
              <w:right w:w="108" w:type="dxa"/>
            </w:tcMar>
            <w:vAlign w:val="center"/>
          </w:tcPr>
          <w:p w14:paraId="54FD991F" w14:textId="77777777" w:rsidR="0081466B" w:rsidRPr="000419A2" w:rsidRDefault="004F0DED">
            <w:pPr>
              <w:spacing w:before="100" w:after="100" w:line="240" w:lineRule="auto"/>
              <w:jc w:val="center"/>
              <w:rPr>
                <w:color w:val="auto"/>
              </w:rPr>
            </w:pPr>
            <w:r w:rsidRPr="000419A2">
              <w:rPr>
                <w:rFonts w:ascii="Times New Roman" w:eastAsia="Times New Roman" w:hAnsi="Times New Roman" w:cs="Times New Roman"/>
                <w:b/>
                <w:color w:val="auto"/>
                <w:sz w:val="24"/>
                <w:szCs w:val="24"/>
              </w:rPr>
              <w:t>Уговорена вредност без ПДВ-а*</w:t>
            </w:r>
          </w:p>
        </w:tc>
        <w:tc>
          <w:tcPr>
            <w:tcW w:w="1166" w:type="dxa"/>
            <w:tcBorders>
              <w:top w:val="nil"/>
              <w:left w:val="nil"/>
              <w:bottom w:val="single" w:sz="8" w:space="0" w:color="000000"/>
              <w:right w:val="single" w:sz="8" w:space="0" w:color="000000"/>
            </w:tcBorders>
            <w:tcMar>
              <w:left w:w="108" w:type="dxa"/>
              <w:right w:w="108" w:type="dxa"/>
            </w:tcMar>
            <w:vAlign w:val="center"/>
          </w:tcPr>
          <w:p w14:paraId="1FE821F7" w14:textId="77777777" w:rsidR="0081466B" w:rsidRPr="000419A2" w:rsidRDefault="004F0DED">
            <w:pPr>
              <w:spacing w:before="100" w:after="100" w:line="240" w:lineRule="auto"/>
              <w:jc w:val="center"/>
              <w:rPr>
                <w:color w:val="auto"/>
              </w:rPr>
            </w:pPr>
            <w:r w:rsidRPr="000419A2">
              <w:rPr>
                <w:rFonts w:ascii="Times New Roman" w:eastAsia="Times New Roman" w:hAnsi="Times New Roman" w:cs="Times New Roman"/>
                <w:b/>
                <w:color w:val="auto"/>
                <w:sz w:val="24"/>
                <w:szCs w:val="24"/>
              </w:rPr>
              <w:t>%</w:t>
            </w:r>
          </w:p>
        </w:tc>
      </w:tr>
      <w:tr w:rsidR="000419A2" w:rsidRPr="000419A2" w14:paraId="5AF44C70" w14:textId="77777777" w:rsidTr="00187C37">
        <w:trPr>
          <w:trHeight w:val="455"/>
          <w:jc w:val="center"/>
        </w:trPr>
        <w:tc>
          <w:tcPr>
            <w:tcW w:w="1124" w:type="dxa"/>
            <w:tcBorders>
              <w:top w:val="nil"/>
              <w:left w:val="single" w:sz="8" w:space="0" w:color="000000"/>
              <w:bottom w:val="single" w:sz="8" w:space="0" w:color="000000"/>
              <w:right w:val="single" w:sz="8" w:space="0" w:color="000000"/>
            </w:tcBorders>
            <w:tcMar>
              <w:left w:w="108" w:type="dxa"/>
              <w:right w:w="108" w:type="dxa"/>
            </w:tcMar>
          </w:tcPr>
          <w:p w14:paraId="6C2C0D0F" w14:textId="77777777" w:rsidR="00961F00" w:rsidRPr="00856843" w:rsidRDefault="00961F00" w:rsidP="00961F00">
            <w:pPr>
              <w:spacing w:before="100" w:after="100" w:line="240" w:lineRule="auto"/>
              <w:jc w:val="center"/>
              <w:rPr>
                <w:rFonts w:ascii="Times New Roman" w:hAnsi="Times New Roman" w:cs="Times New Roman"/>
                <w:color w:val="auto"/>
              </w:rPr>
            </w:pPr>
            <w:r w:rsidRPr="00856843">
              <w:rPr>
                <w:rFonts w:ascii="Times New Roman" w:hAnsi="Times New Roman" w:cs="Times New Roman"/>
                <w:color w:val="auto"/>
              </w:rPr>
              <w:t>6.338</w:t>
            </w:r>
          </w:p>
        </w:tc>
        <w:tc>
          <w:tcPr>
            <w:tcW w:w="440" w:type="dxa"/>
            <w:tcBorders>
              <w:top w:val="nil"/>
              <w:left w:val="nil"/>
              <w:bottom w:val="single" w:sz="8" w:space="0" w:color="000000"/>
              <w:right w:val="single" w:sz="8" w:space="0" w:color="000000"/>
            </w:tcBorders>
            <w:tcMar>
              <w:left w:w="108" w:type="dxa"/>
              <w:right w:w="108" w:type="dxa"/>
            </w:tcMar>
          </w:tcPr>
          <w:p w14:paraId="70FDE59E" w14:textId="77777777" w:rsidR="00961F00" w:rsidRPr="00856843" w:rsidRDefault="00961F00" w:rsidP="00961F00">
            <w:pPr>
              <w:spacing w:before="100" w:after="100" w:line="240" w:lineRule="auto"/>
              <w:jc w:val="center"/>
              <w:rPr>
                <w:rFonts w:ascii="Times New Roman" w:hAnsi="Times New Roman" w:cs="Times New Roman"/>
                <w:color w:val="auto"/>
              </w:rPr>
            </w:pPr>
            <w:r w:rsidRPr="00856843">
              <w:rPr>
                <w:rFonts w:ascii="Times New Roman" w:hAnsi="Times New Roman" w:cs="Times New Roman"/>
                <w:color w:val="auto"/>
              </w:rPr>
              <w:t>11</w:t>
            </w:r>
          </w:p>
        </w:tc>
        <w:tc>
          <w:tcPr>
            <w:tcW w:w="1693" w:type="dxa"/>
            <w:tcBorders>
              <w:top w:val="nil"/>
              <w:left w:val="nil"/>
              <w:bottom w:val="single" w:sz="8" w:space="0" w:color="000000"/>
              <w:right w:val="single" w:sz="8" w:space="0" w:color="000000"/>
            </w:tcBorders>
            <w:tcMar>
              <w:left w:w="108" w:type="dxa"/>
              <w:right w:w="108" w:type="dxa"/>
            </w:tcMar>
          </w:tcPr>
          <w:p w14:paraId="575ED143" w14:textId="77777777" w:rsidR="00961F00" w:rsidRPr="00856843" w:rsidRDefault="00961F00" w:rsidP="00961F00">
            <w:pPr>
              <w:spacing w:before="100" w:after="100" w:line="240" w:lineRule="auto"/>
              <w:jc w:val="center"/>
              <w:rPr>
                <w:rFonts w:ascii="Times New Roman" w:hAnsi="Times New Roman" w:cs="Times New Roman"/>
                <w:color w:val="auto"/>
              </w:rPr>
            </w:pPr>
            <w:r w:rsidRPr="00856843">
              <w:rPr>
                <w:rFonts w:ascii="Times New Roman" w:hAnsi="Times New Roman" w:cs="Times New Roman"/>
                <w:color w:val="auto"/>
              </w:rPr>
              <w:t>18.495.976</w:t>
            </w:r>
          </w:p>
        </w:tc>
        <w:tc>
          <w:tcPr>
            <w:tcW w:w="951" w:type="dxa"/>
            <w:tcBorders>
              <w:top w:val="nil"/>
              <w:left w:val="nil"/>
              <w:bottom w:val="single" w:sz="8" w:space="0" w:color="000000"/>
              <w:right w:val="single" w:sz="8" w:space="0" w:color="000000"/>
            </w:tcBorders>
            <w:tcMar>
              <w:left w:w="108" w:type="dxa"/>
              <w:right w:w="108" w:type="dxa"/>
            </w:tcMar>
          </w:tcPr>
          <w:p w14:paraId="6B8EE2B6" w14:textId="77777777" w:rsidR="00961F00" w:rsidRPr="00856843" w:rsidRDefault="00961F00" w:rsidP="00961F00">
            <w:pPr>
              <w:spacing w:before="100" w:after="100" w:line="240" w:lineRule="auto"/>
              <w:jc w:val="center"/>
              <w:rPr>
                <w:rFonts w:ascii="Times New Roman" w:hAnsi="Times New Roman" w:cs="Times New Roman"/>
                <w:color w:val="auto"/>
              </w:rPr>
            </w:pPr>
            <w:r w:rsidRPr="00856843">
              <w:rPr>
                <w:rFonts w:ascii="Times New Roman" w:hAnsi="Times New Roman" w:cs="Times New Roman"/>
                <w:color w:val="auto"/>
              </w:rPr>
              <w:t>10</w:t>
            </w:r>
          </w:p>
        </w:tc>
        <w:tc>
          <w:tcPr>
            <w:tcW w:w="1244" w:type="dxa"/>
            <w:tcBorders>
              <w:top w:val="nil"/>
              <w:left w:val="nil"/>
              <w:bottom w:val="single" w:sz="8" w:space="0" w:color="000000"/>
              <w:right w:val="single" w:sz="8" w:space="0" w:color="000000"/>
            </w:tcBorders>
            <w:tcMar>
              <w:left w:w="108" w:type="dxa"/>
              <w:right w:w="108" w:type="dxa"/>
            </w:tcMar>
            <w:vAlign w:val="center"/>
          </w:tcPr>
          <w:p w14:paraId="639C451E" w14:textId="77777777" w:rsidR="00961F00" w:rsidRPr="00856843" w:rsidRDefault="00961F00" w:rsidP="00961F00">
            <w:pPr>
              <w:spacing w:before="100" w:after="100" w:line="240" w:lineRule="auto"/>
              <w:jc w:val="center"/>
              <w:rPr>
                <w:rFonts w:ascii="Times New Roman" w:hAnsi="Times New Roman" w:cs="Times New Roman"/>
                <w:color w:val="auto"/>
                <w:lang w:val="sr-Cyrl-RS"/>
              </w:rPr>
            </w:pPr>
            <w:r w:rsidRPr="00856843">
              <w:rPr>
                <w:rFonts w:ascii="Times New Roman" w:hAnsi="Times New Roman" w:cs="Times New Roman"/>
                <w:color w:val="auto"/>
                <w:lang w:val="sr-Cyrl-RS"/>
              </w:rPr>
              <w:t>8.454</w:t>
            </w:r>
          </w:p>
        </w:tc>
        <w:tc>
          <w:tcPr>
            <w:tcW w:w="806" w:type="dxa"/>
            <w:tcBorders>
              <w:top w:val="nil"/>
              <w:left w:val="nil"/>
              <w:bottom w:val="single" w:sz="8" w:space="0" w:color="000000"/>
              <w:right w:val="single" w:sz="8" w:space="0" w:color="000000"/>
            </w:tcBorders>
            <w:tcMar>
              <w:left w:w="108" w:type="dxa"/>
              <w:right w:w="108" w:type="dxa"/>
            </w:tcMar>
            <w:vAlign w:val="center"/>
          </w:tcPr>
          <w:p w14:paraId="7D148A67" w14:textId="77777777" w:rsidR="00961F00" w:rsidRPr="00856843" w:rsidRDefault="00961F00" w:rsidP="00961F00">
            <w:pPr>
              <w:spacing w:before="100" w:after="100" w:line="240" w:lineRule="auto"/>
              <w:jc w:val="center"/>
              <w:rPr>
                <w:rFonts w:ascii="Times New Roman" w:hAnsi="Times New Roman" w:cs="Times New Roman"/>
                <w:color w:val="auto"/>
                <w:lang w:val="sr-Cyrl-RS"/>
              </w:rPr>
            </w:pPr>
            <w:r w:rsidRPr="00856843">
              <w:rPr>
                <w:rFonts w:ascii="Times New Roman" w:hAnsi="Times New Roman" w:cs="Times New Roman"/>
                <w:color w:val="auto"/>
                <w:lang w:val="sr-Cyrl-RS"/>
              </w:rPr>
              <w:t>22</w:t>
            </w:r>
          </w:p>
        </w:tc>
        <w:tc>
          <w:tcPr>
            <w:tcW w:w="1882" w:type="dxa"/>
            <w:tcBorders>
              <w:top w:val="nil"/>
              <w:left w:val="nil"/>
              <w:bottom w:val="single" w:sz="8" w:space="0" w:color="000000"/>
              <w:right w:val="single" w:sz="8" w:space="0" w:color="000000"/>
            </w:tcBorders>
            <w:tcMar>
              <w:left w:w="108" w:type="dxa"/>
              <w:right w:w="108" w:type="dxa"/>
            </w:tcMar>
            <w:vAlign w:val="center"/>
          </w:tcPr>
          <w:p w14:paraId="180E90F3" w14:textId="77777777" w:rsidR="00961F00" w:rsidRPr="00856843" w:rsidRDefault="00961F00" w:rsidP="00961F00">
            <w:pPr>
              <w:spacing w:before="100" w:after="100" w:line="240" w:lineRule="auto"/>
              <w:jc w:val="center"/>
              <w:rPr>
                <w:rFonts w:ascii="Times New Roman" w:hAnsi="Times New Roman" w:cs="Times New Roman"/>
                <w:color w:val="auto"/>
                <w:lang w:val="sr-Cyrl-RS"/>
              </w:rPr>
            </w:pPr>
            <w:r w:rsidRPr="00856843">
              <w:rPr>
                <w:rFonts w:ascii="Times New Roman" w:hAnsi="Times New Roman" w:cs="Times New Roman"/>
                <w:color w:val="auto"/>
                <w:lang w:val="sr-Cyrl-RS"/>
              </w:rPr>
              <w:t>30.501.817</w:t>
            </w:r>
          </w:p>
        </w:tc>
        <w:tc>
          <w:tcPr>
            <w:tcW w:w="1166" w:type="dxa"/>
            <w:tcBorders>
              <w:top w:val="nil"/>
              <w:left w:val="nil"/>
              <w:bottom w:val="single" w:sz="8" w:space="0" w:color="000000"/>
              <w:right w:val="single" w:sz="8" w:space="0" w:color="000000"/>
            </w:tcBorders>
            <w:tcMar>
              <w:left w:w="108" w:type="dxa"/>
              <w:right w:w="108" w:type="dxa"/>
            </w:tcMar>
            <w:vAlign w:val="center"/>
          </w:tcPr>
          <w:p w14:paraId="01DB73C0" w14:textId="77777777" w:rsidR="00961F00" w:rsidRPr="00856843" w:rsidRDefault="00961F00" w:rsidP="00961F00">
            <w:pPr>
              <w:spacing w:before="100" w:after="100" w:line="240" w:lineRule="auto"/>
              <w:jc w:val="center"/>
              <w:rPr>
                <w:rFonts w:ascii="Times New Roman" w:hAnsi="Times New Roman" w:cs="Times New Roman"/>
                <w:color w:val="auto"/>
                <w:lang w:val="sr-Cyrl-RS"/>
              </w:rPr>
            </w:pPr>
            <w:r w:rsidRPr="00856843">
              <w:rPr>
                <w:rFonts w:ascii="Times New Roman" w:hAnsi="Times New Roman" w:cs="Times New Roman"/>
                <w:color w:val="auto"/>
                <w:lang w:val="sr-Cyrl-RS"/>
              </w:rPr>
              <w:t>15</w:t>
            </w:r>
          </w:p>
        </w:tc>
      </w:tr>
    </w:tbl>
    <w:p w14:paraId="69254DAA" w14:textId="77777777" w:rsidR="009612B0" w:rsidRPr="009612B0" w:rsidRDefault="009612B0" w:rsidP="00385C1E">
      <w:pPr>
        <w:spacing w:after="0"/>
        <w:jc w:val="both"/>
        <w:rPr>
          <w:rFonts w:ascii="Times New Roman" w:eastAsia="Times New Roman" w:hAnsi="Times New Roman" w:cs="Times New Roman"/>
          <w:color w:val="000000" w:themeColor="text1"/>
          <w:sz w:val="24"/>
          <w:szCs w:val="24"/>
        </w:rPr>
      </w:pPr>
      <w:r w:rsidRPr="009612B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C63270">
        <w:rPr>
          <w:rFonts w:ascii="Times New Roman" w:eastAsia="Times New Roman" w:hAnsi="Times New Roman" w:cs="Times New Roman"/>
          <w:color w:val="000000" w:themeColor="text1"/>
        </w:rPr>
        <w:t>вредности су исказане у хиљадама динара</w:t>
      </w:r>
    </w:p>
    <w:p w14:paraId="57214F98" w14:textId="77777777" w:rsidR="00DE5886" w:rsidRDefault="00DE5886">
      <w:pPr>
        <w:spacing w:after="0"/>
        <w:jc w:val="both"/>
        <w:rPr>
          <w:rFonts w:ascii="Times New Roman" w:eastAsia="Times New Roman" w:hAnsi="Times New Roman" w:cs="Times New Roman"/>
          <w:color w:val="000000" w:themeColor="text1"/>
          <w:sz w:val="24"/>
          <w:szCs w:val="24"/>
        </w:rPr>
      </w:pPr>
    </w:p>
    <w:p w14:paraId="33F75615" w14:textId="5586D350" w:rsidR="0081466B" w:rsidRPr="00353F00" w:rsidRDefault="004F0DED">
      <w:pPr>
        <w:spacing w:after="0"/>
        <w:jc w:val="both"/>
        <w:rPr>
          <w:color w:val="000000" w:themeColor="text1"/>
        </w:rPr>
      </w:pPr>
      <w:r w:rsidRPr="00353F00">
        <w:rPr>
          <w:rFonts w:ascii="Times New Roman" w:eastAsia="Times New Roman" w:hAnsi="Times New Roman" w:cs="Times New Roman"/>
          <w:color w:val="000000" w:themeColor="text1"/>
          <w:sz w:val="24"/>
          <w:szCs w:val="24"/>
        </w:rPr>
        <w:t>Доминантан удео у</w:t>
      </w:r>
      <w:r w:rsidR="00872C47">
        <w:rPr>
          <w:rFonts w:ascii="Times New Roman" w:eastAsia="Times New Roman" w:hAnsi="Times New Roman" w:cs="Times New Roman"/>
          <w:color w:val="000000" w:themeColor="text1"/>
          <w:sz w:val="24"/>
          <w:szCs w:val="24"/>
          <w:lang w:val="sr-Cyrl-CS"/>
        </w:rPr>
        <w:t xml:space="preserve"> вредности</w:t>
      </w:r>
      <w:r w:rsidR="00872C47">
        <w:rPr>
          <w:rFonts w:ascii="Times New Roman" w:eastAsia="Times New Roman" w:hAnsi="Times New Roman" w:cs="Times New Roman"/>
          <w:color w:val="000000" w:themeColor="text1"/>
          <w:sz w:val="24"/>
          <w:szCs w:val="24"/>
        </w:rPr>
        <w:t xml:space="preserve"> централизованих јавних набавк</w:t>
      </w:r>
      <w:r w:rsidR="00384CA5">
        <w:rPr>
          <w:rFonts w:ascii="Times New Roman" w:eastAsia="Times New Roman" w:hAnsi="Times New Roman" w:cs="Times New Roman"/>
          <w:color w:val="000000" w:themeColor="text1"/>
          <w:sz w:val="24"/>
          <w:szCs w:val="24"/>
          <w:lang w:val="sr-Cyrl-RS"/>
        </w:rPr>
        <w:t>и</w:t>
      </w:r>
      <w:r w:rsidRPr="00353F00">
        <w:rPr>
          <w:rFonts w:ascii="Times New Roman" w:eastAsia="Times New Roman" w:hAnsi="Times New Roman" w:cs="Times New Roman"/>
          <w:color w:val="000000" w:themeColor="text1"/>
          <w:sz w:val="24"/>
          <w:szCs w:val="24"/>
        </w:rPr>
        <w:t xml:space="preserve">, </w:t>
      </w:r>
      <w:r w:rsidR="00A77120" w:rsidRPr="00353F00">
        <w:rPr>
          <w:rFonts w:ascii="Times New Roman" w:eastAsia="Times New Roman" w:hAnsi="Times New Roman" w:cs="Times New Roman"/>
          <w:color w:val="000000" w:themeColor="text1"/>
          <w:sz w:val="24"/>
          <w:szCs w:val="24"/>
        </w:rPr>
        <w:t xml:space="preserve">у </w:t>
      </w:r>
      <w:r w:rsidR="00360B34">
        <w:rPr>
          <w:rFonts w:ascii="Times New Roman" w:eastAsia="Times New Roman" w:hAnsi="Times New Roman" w:cs="Times New Roman"/>
          <w:color w:val="000000" w:themeColor="text1"/>
          <w:sz w:val="24"/>
          <w:szCs w:val="24"/>
        </w:rPr>
        <w:t>првом полугодишту 2019</w:t>
      </w:r>
      <w:r w:rsidRPr="00353F00">
        <w:rPr>
          <w:rFonts w:ascii="Times New Roman" w:eastAsia="Times New Roman" w:hAnsi="Times New Roman" w:cs="Times New Roman"/>
          <w:color w:val="000000" w:themeColor="text1"/>
          <w:sz w:val="24"/>
          <w:szCs w:val="24"/>
        </w:rPr>
        <w:t>. годин</w:t>
      </w:r>
      <w:r w:rsidR="001C3286" w:rsidRPr="00353F00">
        <w:rPr>
          <w:rFonts w:ascii="Times New Roman" w:eastAsia="Times New Roman" w:hAnsi="Times New Roman" w:cs="Times New Roman"/>
          <w:color w:val="000000" w:themeColor="text1"/>
          <w:sz w:val="24"/>
          <w:szCs w:val="24"/>
        </w:rPr>
        <w:t xml:space="preserve">е, имали су медицинска опрема, </w:t>
      </w:r>
      <w:r w:rsidRPr="00353F00">
        <w:rPr>
          <w:rFonts w:ascii="Times New Roman" w:eastAsia="Times New Roman" w:hAnsi="Times New Roman" w:cs="Times New Roman"/>
          <w:color w:val="000000" w:themeColor="text1"/>
          <w:sz w:val="24"/>
          <w:szCs w:val="24"/>
        </w:rPr>
        <w:t xml:space="preserve">фармацеутски производи </w:t>
      </w:r>
      <w:r w:rsidR="001C3286" w:rsidRPr="00353F00">
        <w:rPr>
          <w:rFonts w:ascii="Times New Roman" w:eastAsia="Times New Roman" w:hAnsi="Times New Roman" w:cs="Times New Roman"/>
          <w:color w:val="000000" w:themeColor="text1"/>
          <w:sz w:val="24"/>
          <w:szCs w:val="24"/>
        </w:rPr>
        <w:t xml:space="preserve">и производи за личну негу </w:t>
      </w:r>
      <w:r w:rsidR="00FA4DCB">
        <w:rPr>
          <w:rFonts w:ascii="Times New Roman" w:eastAsia="Times New Roman" w:hAnsi="Times New Roman" w:cs="Times New Roman"/>
          <w:color w:val="000000" w:themeColor="text1"/>
          <w:sz w:val="24"/>
          <w:szCs w:val="24"/>
        </w:rPr>
        <w:t>(88</w:t>
      </w:r>
      <w:r w:rsidRPr="00353F00">
        <w:rPr>
          <w:rFonts w:ascii="Times New Roman" w:eastAsia="Times New Roman" w:hAnsi="Times New Roman" w:cs="Times New Roman"/>
          <w:color w:val="000000" w:themeColor="text1"/>
          <w:sz w:val="24"/>
          <w:szCs w:val="24"/>
        </w:rPr>
        <w:t>%), а</w:t>
      </w:r>
      <w:r w:rsidR="00353F00" w:rsidRPr="00353F00">
        <w:rPr>
          <w:rFonts w:ascii="Times New Roman" w:eastAsia="Times New Roman" w:hAnsi="Times New Roman" w:cs="Times New Roman"/>
          <w:color w:val="000000" w:themeColor="text1"/>
          <w:sz w:val="24"/>
          <w:szCs w:val="24"/>
        </w:rPr>
        <w:t xml:space="preserve"> значајније</w:t>
      </w:r>
      <w:r w:rsidRPr="00353F00">
        <w:rPr>
          <w:rFonts w:ascii="Times New Roman" w:eastAsia="Times New Roman" w:hAnsi="Times New Roman" w:cs="Times New Roman"/>
          <w:color w:val="000000" w:themeColor="text1"/>
          <w:sz w:val="24"/>
          <w:szCs w:val="24"/>
        </w:rPr>
        <w:t xml:space="preserve"> учешће имали су</w:t>
      </w:r>
      <w:r w:rsidR="00411FD5" w:rsidRPr="00353F00">
        <w:rPr>
          <w:rFonts w:ascii="Times New Roman" w:eastAsia="Times New Roman" w:hAnsi="Times New Roman" w:cs="Times New Roman"/>
          <w:color w:val="000000" w:themeColor="text1"/>
          <w:sz w:val="24"/>
          <w:szCs w:val="24"/>
        </w:rPr>
        <w:t xml:space="preserve"> </w:t>
      </w:r>
      <w:r w:rsidR="00353F00" w:rsidRPr="00353F00">
        <w:rPr>
          <w:rFonts w:ascii="Times New Roman" w:eastAsia="Times New Roman" w:hAnsi="Times New Roman" w:cs="Times New Roman"/>
          <w:color w:val="000000" w:themeColor="text1"/>
          <w:sz w:val="24"/>
          <w:szCs w:val="24"/>
        </w:rPr>
        <w:t xml:space="preserve">и </w:t>
      </w:r>
      <w:r w:rsidR="00411FD5" w:rsidRPr="00353F00">
        <w:rPr>
          <w:rFonts w:ascii="Times New Roman" w:eastAsia="Times New Roman" w:hAnsi="Times New Roman" w:cs="Times New Roman"/>
          <w:color w:val="000000" w:themeColor="text1"/>
          <w:sz w:val="24"/>
          <w:szCs w:val="24"/>
        </w:rPr>
        <w:t>нафтни деривати, гориво и електрична енергија као</w:t>
      </w:r>
      <w:r w:rsidRPr="00353F00">
        <w:rPr>
          <w:rFonts w:ascii="Times New Roman" w:eastAsia="Times New Roman" w:hAnsi="Times New Roman" w:cs="Times New Roman"/>
          <w:color w:val="000000" w:themeColor="text1"/>
          <w:sz w:val="24"/>
          <w:szCs w:val="24"/>
        </w:rPr>
        <w:t xml:space="preserve"> и грађевински радови </w:t>
      </w:r>
      <w:r w:rsidR="00FA4DCB">
        <w:rPr>
          <w:rFonts w:ascii="Times New Roman" w:eastAsia="Times New Roman" w:hAnsi="Times New Roman" w:cs="Times New Roman"/>
          <w:color w:val="000000" w:themeColor="text1"/>
          <w:sz w:val="24"/>
          <w:szCs w:val="24"/>
        </w:rPr>
        <w:t xml:space="preserve">(Табела </w:t>
      </w:r>
      <w:r w:rsidR="00953934">
        <w:rPr>
          <w:rFonts w:ascii="Times New Roman" w:eastAsia="Times New Roman" w:hAnsi="Times New Roman" w:cs="Times New Roman"/>
          <w:color w:val="000000" w:themeColor="text1"/>
          <w:sz w:val="24"/>
          <w:szCs w:val="24"/>
          <w:lang w:val="sr-Cyrl-RS"/>
        </w:rPr>
        <w:t>20)</w:t>
      </w:r>
      <w:r w:rsidR="00353F00" w:rsidRPr="00353F00">
        <w:rPr>
          <w:rFonts w:ascii="Times New Roman" w:eastAsia="Times New Roman" w:hAnsi="Times New Roman" w:cs="Times New Roman"/>
          <w:color w:val="000000" w:themeColor="text1"/>
          <w:sz w:val="24"/>
          <w:szCs w:val="24"/>
        </w:rPr>
        <w:t xml:space="preserve">. То су уједно предмети набавки који су били најзаступљенији </w:t>
      </w:r>
      <w:r w:rsidR="00B27E6E">
        <w:rPr>
          <w:rFonts w:ascii="Times New Roman" w:eastAsia="Times New Roman" w:hAnsi="Times New Roman" w:cs="Times New Roman"/>
          <w:color w:val="000000" w:themeColor="text1"/>
          <w:sz w:val="24"/>
          <w:szCs w:val="24"/>
          <w:lang w:val="sr-Cyrl-RS"/>
        </w:rPr>
        <w:t>у</w:t>
      </w:r>
      <w:r w:rsidR="00856843">
        <w:rPr>
          <w:rFonts w:ascii="Times New Roman" w:eastAsia="Times New Roman" w:hAnsi="Times New Roman" w:cs="Times New Roman"/>
          <w:color w:val="000000" w:themeColor="text1"/>
          <w:sz w:val="24"/>
          <w:szCs w:val="24"/>
          <w:lang w:val="sr-Cyrl-RS"/>
        </w:rPr>
        <w:t xml:space="preserve"> </w:t>
      </w:r>
      <w:r w:rsidR="00B27E6E">
        <w:rPr>
          <w:rFonts w:ascii="Times New Roman" w:eastAsia="Times New Roman" w:hAnsi="Times New Roman" w:cs="Times New Roman"/>
          <w:color w:val="000000" w:themeColor="text1"/>
          <w:sz w:val="24"/>
          <w:szCs w:val="24"/>
          <w:lang w:val="sr-Cyrl-RS"/>
        </w:rPr>
        <w:t>случају закључења</w:t>
      </w:r>
      <w:r w:rsidR="00353F00" w:rsidRPr="00353F00">
        <w:rPr>
          <w:rFonts w:ascii="Times New Roman" w:eastAsia="Times New Roman" w:hAnsi="Times New Roman" w:cs="Times New Roman"/>
          <w:color w:val="000000" w:themeColor="text1"/>
          <w:sz w:val="24"/>
          <w:szCs w:val="24"/>
        </w:rPr>
        <w:t xml:space="preserve"> оквирних споразума (Табела 1</w:t>
      </w:r>
      <w:r w:rsidR="000419A2">
        <w:rPr>
          <w:rFonts w:ascii="Times New Roman" w:eastAsia="Times New Roman" w:hAnsi="Times New Roman" w:cs="Times New Roman"/>
          <w:color w:val="000000" w:themeColor="text1"/>
          <w:sz w:val="24"/>
          <w:szCs w:val="24"/>
          <w:lang w:val="sr-Cyrl-RS"/>
        </w:rPr>
        <w:t>8</w:t>
      </w:r>
      <w:r w:rsidR="00353F00" w:rsidRPr="00353F00">
        <w:rPr>
          <w:rFonts w:ascii="Times New Roman" w:eastAsia="Times New Roman" w:hAnsi="Times New Roman" w:cs="Times New Roman"/>
          <w:color w:val="000000" w:themeColor="text1"/>
          <w:sz w:val="24"/>
          <w:szCs w:val="24"/>
        </w:rPr>
        <w:t xml:space="preserve">). Ово подударање се објашњава тиме да се оквирни споразуми највише користе управо код централизованих јавних набавки. </w:t>
      </w:r>
    </w:p>
    <w:p w14:paraId="32AE31A1" w14:textId="77777777" w:rsidR="0081466B" w:rsidRDefault="0081466B">
      <w:pPr>
        <w:spacing w:after="0"/>
        <w:jc w:val="both"/>
        <w:rPr>
          <w:color w:val="000000" w:themeColor="text1"/>
        </w:rPr>
      </w:pPr>
    </w:p>
    <w:p w14:paraId="4E41B1E1" w14:textId="77777777" w:rsidR="0081466B" w:rsidRPr="000419A2" w:rsidRDefault="004F0DED" w:rsidP="00B825C6">
      <w:pPr>
        <w:ind w:hanging="284"/>
        <w:jc w:val="both"/>
        <w:rPr>
          <w:color w:val="auto"/>
          <w:lang w:val="sr-Cyrl-RS"/>
        </w:rPr>
      </w:pPr>
      <w:r w:rsidRPr="000419A2">
        <w:rPr>
          <w:rFonts w:ascii="Times New Roman" w:eastAsia="Times New Roman" w:hAnsi="Times New Roman" w:cs="Times New Roman"/>
          <w:b/>
          <w:color w:val="auto"/>
          <w:sz w:val="24"/>
          <w:szCs w:val="24"/>
        </w:rPr>
        <w:t xml:space="preserve">Табела </w:t>
      </w:r>
      <w:r w:rsidR="00953934" w:rsidRPr="000419A2">
        <w:rPr>
          <w:rFonts w:ascii="Times New Roman" w:eastAsia="Times New Roman" w:hAnsi="Times New Roman" w:cs="Times New Roman"/>
          <w:b/>
          <w:color w:val="auto"/>
          <w:sz w:val="24"/>
          <w:szCs w:val="24"/>
          <w:lang w:val="sr-Cyrl-RS"/>
        </w:rPr>
        <w:t>20</w:t>
      </w:r>
    </w:p>
    <w:tbl>
      <w:tblPr>
        <w:tblStyle w:val="ae"/>
        <w:tblW w:w="9440" w:type="dxa"/>
        <w:jc w:val="center"/>
        <w:tblLayout w:type="fixed"/>
        <w:tblLook w:val="0400" w:firstRow="0" w:lastRow="0" w:firstColumn="0" w:lastColumn="0" w:noHBand="0" w:noVBand="1"/>
      </w:tblPr>
      <w:tblGrid>
        <w:gridCol w:w="6210"/>
        <w:gridCol w:w="1890"/>
        <w:gridCol w:w="1340"/>
      </w:tblGrid>
      <w:tr w:rsidR="0081466B" w14:paraId="36316528" w14:textId="77777777" w:rsidTr="00601383">
        <w:trPr>
          <w:trHeight w:val="300"/>
          <w:jc w:val="center"/>
        </w:trPr>
        <w:tc>
          <w:tcPr>
            <w:tcW w:w="62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951F08F" w14:textId="77777777" w:rsidR="0081466B" w:rsidRDefault="004F0DED">
            <w:pPr>
              <w:spacing w:before="100" w:after="100" w:line="240" w:lineRule="auto"/>
              <w:jc w:val="center"/>
            </w:pPr>
            <w:r>
              <w:rPr>
                <w:rFonts w:ascii="Times New Roman" w:eastAsia="Times New Roman" w:hAnsi="Times New Roman" w:cs="Times New Roman"/>
                <w:b/>
                <w:sz w:val="24"/>
                <w:szCs w:val="24"/>
              </w:rPr>
              <w:t>Првих пет најзаступљенијих предмета код централизованих набавки</w:t>
            </w:r>
          </w:p>
        </w:tc>
        <w:tc>
          <w:tcPr>
            <w:tcW w:w="1890" w:type="dxa"/>
            <w:tcBorders>
              <w:top w:val="single" w:sz="8" w:space="0" w:color="000000"/>
              <w:left w:val="nil"/>
              <w:bottom w:val="single" w:sz="8" w:space="0" w:color="000000"/>
              <w:right w:val="single" w:sz="8" w:space="0" w:color="000000"/>
            </w:tcBorders>
            <w:tcMar>
              <w:left w:w="108" w:type="dxa"/>
              <w:right w:w="108" w:type="dxa"/>
            </w:tcMar>
            <w:vAlign w:val="center"/>
          </w:tcPr>
          <w:p w14:paraId="67868666" w14:textId="77777777" w:rsidR="0081466B" w:rsidRDefault="004F0DED">
            <w:pPr>
              <w:spacing w:before="100" w:after="100" w:line="240" w:lineRule="auto"/>
              <w:jc w:val="center"/>
            </w:pPr>
            <w:r>
              <w:rPr>
                <w:rFonts w:ascii="Times New Roman" w:eastAsia="Times New Roman" w:hAnsi="Times New Roman" w:cs="Times New Roman"/>
                <w:b/>
                <w:sz w:val="24"/>
                <w:szCs w:val="24"/>
              </w:rPr>
              <w:t>Уговорена вредност без ПДВ-а*</w:t>
            </w:r>
          </w:p>
        </w:tc>
        <w:tc>
          <w:tcPr>
            <w:tcW w:w="1340" w:type="dxa"/>
            <w:tcBorders>
              <w:top w:val="single" w:sz="8" w:space="0" w:color="000000"/>
              <w:left w:val="nil"/>
              <w:bottom w:val="single" w:sz="8" w:space="0" w:color="000000"/>
              <w:right w:val="single" w:sz="8" w:space="0" w:color="000000"/>
            </w:tcBorders>
            <w:tcMar>
              <w:left w:w="108" w:type="dxa"/>
              <w:right w:w="108" w:type="dxa"/>
            </w:tcMar>
            <w:vAlign w:val="center"/>
          </w:tcPr>
          <w:p w14:paraId="2EDED8D6" w14:textId="77777777" w:rsidR="0081466B" w:rsidRDefault="004F0DED">
            <w:pPr>
              <w:spacing w:before="100" w:after="100" w:line="240" w:lineRule="auto"/>
              <w:jc w:val="center"/>
            </w:pPr>
            <w:r>
              <w:rPr>
                <w:rFonts w:ascii="Times New Roman" w:eastAsia="Times New Roman" w:hAnsi="Times New Roman" w:cs="Times New Roman"/>
                <w:b/>
                <w:sz w:val="24"/>
                <w:szCs w:val="24"/>
              </w:rPr>
              <w:t>%</w:t>
            </w:r>
          </w:p>
        </w:tc>
      </w:tr>
      <w:tr w:rsidR="00AC473E" w14:paraId="7E093916" w14:textId="77777777" w:rsidTr="005F4712">
        <w:trPr>
          <w:trHeight w:val="300"/>
          <w:jc w:val="center"/>
        </w:trPr>
        <w:tc>
          <w:tcPr>
            <w:tcW w:w="6210" w:type="dxa"/>
            <w:tcBorders>
              <w:top w:val="nil"/>
              <w:left w:val="single" w:sz="8" w:space="0" w:color="000000"/>
              <w:bottom w:val="single" w:sz="8" w:space="0" w:color="000000"/>
              <w:right w:val="single" w:sz="8" w:space="0" w:color="000000"/>
            </w:tcBorders>
            <w:tcMar>
              <w:left w:w="108" w:type="dxa"/>
              <w:right w:w="108" w:type="dxa"/>
            </w:tcMar>
            <w:vAlign w:val="center"/>
          </w:tcPr>
          <w:p w14:paraId="20027A16" w14:textId="77777777" w:rsidR="00AC473E" w:rsidRDefault="00AC473E" w:rsidP="00AC473E">
            <w:pPr>
              <w:spacing w:before="100" w:after="100" w:line="240" w:lineRule="auto"/>
              <w:jc w:val="center"/>
            </w:pPr>
            <w:r>
              <w:rPr>
                <w:rFonts w:ascii="Times New Roman" w:eastAsia="Times New Roman" w:hAnsi="Times New Roman" w:cs="Times New Roman"/>
                <w:sz w:val="24"/>
                <w:szCs w:val="24"/>
              </w:rPr>
              <w:t>Медицинска опрема, фармацеутски производи, производи за личну негу</w:t>
            </w:r>
          </w:p>
        </w:tc>
        <w:tc>
          <w:tcPr>
            <w:tcW w:w="1890"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bottom"/>
          </w:tcPr>
          <w:p w14:paraId="1A126D92" w14:textId="77777777" w:rsidR="00AC473E" w:rsidRPr="00353F00" w:rsidRDefault="00E929FC" w:rsidP="00AC473E">
            <w:pPr>
              <w:spacing w:before="100" w:after="240" w:line="240" w:lineRule="auto"/>
              <w:jc w:val="center"/>
              <w:rPr>
                <w:rFonts w:ascii="Times New Roman" w:hAnsi="Times New Roman" w:cs="Times New Roman"/>
                <w:color w:val="000000" w:themeColor="text1"/>
              </w:rPr>
            </w:pPr>
            <w:r w:rsidRPr="00E929FC">
              <w:rPr>
                <w:rFonts w:ascii="Times New Roman" w:hAnsi="Times New Roman" w:cs="Times New Roman"/>
                <w:color w:val="000000" w:themeColor="text1"/>
              </w:rPr>
              <w:t>26.853.279</w:t>
            </w:r>
          </w:p>
        </w:tc>
        <w:tc>
          <w:tcPr>
            <w:tcW w:w="1340" w:type="dxa"/>
            <w:tcBorders>
              <w:top w:val="nil"/>
              <w:left w:val="single" w:sz="8" w:space="0" w:color="000000"/>
              <w:bottom w:val="single" w:sz="8" w:space="0" w:color="000000"/>
              <w:right w:val="single" w:sz="8" w:space="0" w:color="000000"/>
            </w:tcBorders>
            <w:tcMar>
              <w:left w:w="108" w:type="dxa"/>
              <w:right w:w="108" w:type="dxa"/>
            </w:tcMar>
            <w:vAlign w:val="center"/>
          </w:tcPr>
          <w:p w14:paraId="500229C5" w14:textId="77777777" w:rsidR="00AC473E" w:rsidRPr="00E929FC" w:rsidRDefault="00E929FC" w:rsidP="00AC473E">
            <w:pPr>
              <w:spacing w:before="100" w:after="100" w:line="240" w:lineRule="auto"/>
              <w:jc w:val="center"/>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88</w:t>
            </w:r>
          </w:p>
        </w:tc>
      </w:tr>
      <w:tr w:rsidR="00AC473E" w14:paraId="46D260C7" w14:textId="77777777" w:rsidTr="005F4712">
        <w:trPr>
          <w:trHeight w:val="300"/>
          <w:jc w:val="center"/>
        </w:trPr>
        <w:tc>
          <w:tcPr>
            <w:tcW w:w="6210" w:type="dxa"/>
            <w:tcBorders>
              <w:top w:val="nil"/>
              <w:left w:val="single" w:sz="8" w:space="0" w:color="000000"/>
              <w:bottom w:val="single" w:sz="8" w:space="0" w:color="000000"/>
              <w:right w:val="single" w:sz="8" w:space="0" w:color="000000"/>
            </w:tcBorders>
            <w:tcMar>
              <w:left w:w="108" w:type="dxa"/>
              <w:right w:w="108" w:type="dxa"/>
            </w:tcMar>
            <w:vAlign w:val="center"/>
          </w:tcPr>
          <w:p w14:paraId="42E00EFB" w14:textId="77777777" w:rsidR="00AC473E" w:rsidRDefault="00AC473E" w:rsidP="00AC473E">
            <w:pPr>
              <w:spacing w:before="100" w:after="100" w:line="240" w:lineRule="auto"/>
              <w:jc w:val="center"/>
            </w:pPr>
            <w:r>
              <w:rPr>
                <w:rFonts w:ascii="Times New Roman" w:eastAsia="Times New Roman" w:hAnsi="Times New Roman" w:cs="Times New Roman"/>
                <w:sz w:val="24"/>
                <w:szCs w:val="24"/>
              </w:rPr>
              <w:t>Нафтни деривати, гориво, електрична енергија</w:t>
            </w:r>
          </w:p>
        </w:tc>
        <w:tc>
          <w:tcPr>
            <w:tcW w:w="1890"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bottom"/>
          </w:tcPr>
          <w:p w14:paraId="28AB951E" w14:textId="77777777" w:rsidR="00AC473E" w:rsidRPr="00353F00" w:rsidRDefault="00E929FC" w:rsidP="00AC473E">
            <w:pPr>
              <w:spacing w:before="100" w:after="100" w:line="240" w:lineRule="auto"/>
              <w:jc w:val="center"/>
              <w:rPr>
                <w:rFonts w:ascii="Times New Roman" w:hAnsi="Times New Roman" w:cs="Times New Roman"/>
                <w:color w:val="000000" w:themeColor="text1"/>
              </w:rPr>
            </w:pPr>
            <w:r w:rsidRPr="00E929FC">
              <w:rPr>
                <w:rFonts w:ascii="Times New Roman" w:hAnsi="Times New Roman" w:cs="Times New Roman"/>
                <w:color w:val="000000" w:themeColor="text1"/>
              </w:rPr>
              <w:t>1.899.323</w:t>
            </w:r>
          </w:p>
        </w:tc>
        <w:tc>
          <w:tcPr>
            <w:tcW w:w="1340" w:type="dxa"/>
            <w:tcBorders>
              <w:top w:val="nil"/>
              <w:left w:val="single" w:sz="8" w:space="0" w:color="000000"/>
              <w:bottom w:val="single" w:sz="8" w:space="0" w:color="000000"/>
              <w:right w:val="single" w:sz="8" w:space="0" w:color="000000"/>
            </w:tcBorders>
            <w:tcMar>
              <w:left w:w="108" w:type="dxa"/>
              <w:right w:w="108" w:type="dxa"/>
            </w:tcMar>
            <w:vAlign w:val="center"/>
          </w:tcPr>
          <w:p w14:paraId="598462E2" w14:textId="77777777" w:rsidR="00AC473E" w:rsidRPr="00E929FC" w:rsidRDefault="00E929FC" w:rsidP="00AC473E">
            <w:pPr>
              <w:spacing w:before="100" w:after="100" w:line="240" w:lineRule="auto"/>
              <w:jc w:val="center"/>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6</w:t>
            </w:r>
          </w:p>
        </w:tc>
      </w:tr>
      <w:tr w:rsidR="00E929FC" w14:paraId="0007BE84" w14:textId="77777777" w:rsidTr="005F4712">
        <w:trPr>
          <w:trHeight w:val="300"/>
          <w:jc w:val="center"/>
        </w:trPr>
        <w:tc>
          <w:tcPr>
            <w:tcW w:w="6210" w:type="dxa"/>
            <w:tcBorders>
              <w:top w:val="nil"/>
              <w:left w:val="single" w:sz="8" w:space="0" w:color="000000"/>
              <w:bottom w:val="single" w:sz="8" w:space="0" w:color="000000"/>
              <w:right w:val="single" w:sz="8" w:space="0" w:color="000000"/>
            </w:tcBorders>
            <w:tcMar>
              <w:left w:w="108" w:type="dxa"/>
              <w:right w:w="108" w:type="dxa"/>
            </w:tcMar>
            <w:vAlign w:val="center"/>
          </w:tcPr>
          <w:p w14:paraId="0FD7829F" w14:textId="77777777" w:rsidR="00E929FC" w:rsidRPr="008D7568" w:rsidRDefault="00E929FC" w:rsidP="00E929FC">
            <w:pPr>
              <w:spacing w:before="100" w:after="100" w:line="240" w:lineRule="auto"/>
              <w:jc w:val="center"/>
            </w:pPr>
            <w:r>
              <w:rPr>
                <w:rFonts w:ascii="Times New Roman" w:eastAsia="Times New Roman" w:hAnsi="Times New Roman" w:cs="Times New Roman"/>
                <w:sz w:val="24"/>
                <w:szCs w:val="24"/>
              </w:rPr>
              <w:t>Грађевински радови</w:t>
            </w:r>
          </w:p>
        </w:tc>
        <w:tc>
          <w:tcPr>
            <w:tcW w:w="1890"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bottom"/>
          </w:tcPr>
          <w:p w14:paraId="59BAB672" w14:textId="77777777" w:rsidR="00E929FC" w:rsidRPr="00353F00" w:rsidRDefault="00E929FC" w:rsidP="00E929FC">
            <w:pPr>
              <w:spacing w:before="100" w:after="100" w:line="240" w:lineRule="auto"/>
              <w:jc w:val="center"/>
              <w:rPr>
                <w:rFonts w:ascii="Times New Roman" w:hAnsi="Times New Roman" w:cs="Times New Roman"/>
                <w:color w:val="000000" w:themeColor="text1"/>
              </w:rPr>
            </w:pPr>
            <w:r w:rsidRPr="00E929FC">
              <w:rPr>
                <w:rFonts w:ascii="Times New Roman" w:hAnsi="Times New Roman" w:cs="Times New Roman"/>
                <w:color w:val="000000" w:themeColor="text1"/>
              </w:rPr>
              <w:t>446.924</w:t>
            </w:r>
          </w:p>
        </w:tc>
        <w:tc>
          <w:tcPr>
            <w:tcW w:w="1340" w:type="dxa"/>
            <w:tcBorders>
              <w:top w:val="nil"/>
              <w:left w:val="single" w:sz="8" w:space="0" w:color="000000"/>
              <w:bottom w:val="single" w:sz="8" w:space="0" w:color="000000"/>
              <w:right w:val="single" w:sz="8" w:space="0" w:color="000000"/>
            </w:tcBorders>
            <w:tcMar>
              <w:left w:w="108" w:type="dxa"/>
              <w:right w:w="108" w:type="dxa"/>
            </w:tcMar>
            <w:vAlign w:val="center"/>
          </w:tcPr>
          <w:p w14:paraId="6AF62574" w14:textId="77777777" w:rsidR="00E929FC" w:rsidRPr="00E929FC" w:rsidRDefault="00E929FC" w:rsidP="00E929FC">
            <w:pPr>
              <w:spacing w:before="100" w:after="100" w:line="240" w:lineRule="auto"/>
              <w:jc w:val="center"/>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2</w:t>
            </w:r>
          </w:p>
        </w:tc>
      </w:tr>
      <w:tr w:rsidR="00E929FC" w14:paraId="766DD9A0" w14:textId="77777777" w:rsidTr="005F4712">
        <w:trPr>
          <w:trHeight w:val="300"/>
          <w:jc w:val="center"/>
        </w:trPr>
        <w:tc>
          <w:tcPr>
            <w:tcW w:w="6210" w:type="dxa"/>
            <w:tcBorders>
              <w:top w:val="nil"/>
              <w:left w:val="single" w:sz="8" w:space="0" w:color="000000"/>
              <w:bottom w:val="single" w:sz="8" w:space="0" w:color="000000"/>
              <w:right w:val="single" w:sz="8" w:space="0" w:color="000000"/>
            </w:tcBorders>
            <w:tcMar>
              <w:left w:w="108" w:type="dxa"/>
              <w:right w:w="108" w:type="dxa"/>
            </w:tcMar>
            <w:vAlign w:val="center"/>
          </w:tcPr>
          <w:p w14:paraId="44248CAB" w14:textId="77777777" w:rsidR="00E929FC" w:rsidRPr="008D7568" w:rsidRDefault="00E929FC" w:rsidP="00E929FC">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Канцеларијске и рачунарске машине</w:t>
            </w:r>
          </w:p>
        </w:tc>
        <w:tc>
          <w:tcPr>
            <w:tcW w:w="1890"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bottom"/>
          </w:tcPr>
          <w:p w14:paraId="4935573C" w14:textId="77777777" w:rsidR="00E929FC" w:rsidRPr="00353F00" w:rsidRDefault="00E929FC" w:rsidP="00E929FC">
            <w:pPr>
              <w:spacing w:before="100" w:after="100" w:line="240" w:lineRule="auto"/>
              <w:jc w:val="center"/>
              <w:rPr>
                <w:rFonts w:ascii="Times New Roman" w:eastAsia="Times New Roman" w:hAnsi="Times New Roman" w:cs="Times New Roman"/>
                <w:color w:val="000000" w:themeColor="text1"/>
                <w:sz w:val="24"/>
                <w:szCs w:val="24"/>
              </w:rPr>
            </w:pPr>
            <w:r w:rsidRPr="00E929FC">
              <w:rPr>
                <w:rFonts w:ascii="Times New Roman" w:eastAsia="Times New Roman" w:hAnsi="Times New Roman" w:cs="Times New Roman"/>
                <w:color w:val="000000" w:themeColor="text1"/>
                <w:sz w:val="24"/>
                <w:szCs w:val="24"/>
              </w:rPr>
              <w:t>358.417</w:t>
            </w:r>
          </w:p>
        </w:tc>
        <w:tc>
          <w:tcPr>
            <w:tcW w:w="1340" w:type="dxa"/>
            <w:tcBorders>
              <w:top w:val="nil"/>
              <w:left w:val="single" w:sz="8" w:space="0" w:color="000000"/>
              <w:bottom w:val="single" w:sz="8" w:space="0" w:color="000000"/>
              <w:right w:val="single" w:sz="8" w:space="0" w:color="000000"/>
            </w:tcBorders>
            <w:tcMar>
              <w:left w:w="108" w:type="dxa"/>
              <w:right w:w="108" w:type="dxa"/>
            </w:tcMar>
            <w:vAlign w:val="center"/>
          </w:tcPr>
          <w:p w14:paraId="1E607B7B" w14:textId="77777777" w:rsidR="00E929FC" w:rsidRPr="00E929FC" w:rsidRDefault="00E929FC" w:rsidP="00E929FC">
            <w:pPr>
              <w:spacing w:before="100" w:after="100" w:line="240" w:lineRule="auto"/>
              <w:jc w:val="center"/>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1</w:t>
            </w:r>
          </w:p>
        </w:tc>
      </w:tr>
      <w:tr w:rsidR="00E929FC" w14:paraId="6C0BEAB3" w14:textId="77777777" w:rsidTr="005F4712">
        <w:trPr>
          <w:trHeight w:val="300"/>
          <w:jc w:val="center"/>
        </w:trPr>
        <w:tc>
          <w:tcPr>
            <w:tcW w:w="6210" w:type="dxa"/>
            <w:tcBorders>
              <w:top w:val="nil"/>
              <w:left w:val="single" w:sz="8" w:space="0" w:color="000000"/>
              <w:bottom w:val="single" w:sz="8" w:space="0" w:color="000000"/>
              <w:right w:val="single" w:sz="8" w:space="0" w:color="000000"/>
            </w:tcBorders>
            <w:tcMar>
              <w:left w:w="108" w:type="dxa"/>
              <w:right w:w="108" w:type="dxa"/>
            </w:tcMar>
            <w:vAlign w:val="center"/>
          </w:tcPr>
          <w:p w14:paraId="6F42B4F3" w14:textId="77777777" w:rsidR="00E929FC" w:rsidRPr="00E929FC" w:rsidRDefault="00E929FC" w:rsidP="00E929FC">
            <w:pPr>
              <w:spacing w:before="100" w:after="10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Опрема и помоћни производи за превоз</w:t>
            </w:r>
          </w:p>
        </w:tc>
        <w:tc>
          <w:tcPr>
            <w:tcW w:w="1890"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bottom"/>
          </w:tcPr>
          <w:p w14:paraId="6D24C8C8" w14:textId="77777777" w:rsidR="00E929FC" w:rsidRPr="00353F00" w:rsidRDefault="00E929FC" w:rsidP="00E929FC">
            <w:pPr>
              <w:spacing w:before="100" w:after="100" w:line="240" w:lineRule="auto"/>
              <w:jc w:val="center"/>
              <w:rPr>
                <w:rFonts w:ascii="Times New Roman" w:eastAsia="Times New Roman" w:hAnsi="Times New Roman" w:cs="Times New Roman"/>
                <w:color w:val="000000" w:themeColor="text1"/>
                <w:sz w:val="24"/>
                <w:szCs w:val="24"/>
              </w:rPr>
            </w:pPr>
            <w:r w:rsidRPr="00E929FC">
              <w:rPr>
                <w:rFonts w:ascii="Times New Roman" w:eastAsia="Times New Roman" w:hAnsi="Times New Roman" w:cs="Times New Roman"/>
                <w:color w:val="000000" w:themeColor="text1"/>
                <w:sz w:val="24"/>
                <w:szCs w:val="24"/>
              </w:rPr>
              <w:t>273.416</w:t>
            </w:r>
          </w:p>
        </w:tc>
        <w:tc>
          <w:tcPr>
            <w:tcW w:w="1340" w:type="dxa"/>
            <w:tcBorders>
              <w:top w:val="nil"/>
              <w:left w:val="single" w:sz="8" w:space="0" w:color="000000"/>
              <w:bottom w:val="single" w:sz="8" w:space="0" w:color="000000"/>
              <w:right w:val="single" w:sz="8" w:space="0" w:color="000000"/>
            </w:tcBorders>
            <w:tcMar>
              <w:left w:w="108" w:type="dxa"/>
              <w:right w:w="108" w:type="dxa"/>
            </w:tcMar>
            <w:vAlign w:val="center"/>
          </w:tcPr>
          <w:p w14:paraId="3737A043" w14:textId="77777777" w:rsidR="00E929FC" w:rsidRPr="00E929FC" w:rsidRDefault="00E929FC" w:rsidP="00E929FC">
            <w:pPr>
              <w:spacing w:before="100" w:after="100" w:line="240" w:lineRule="auto"/>
              <w:jc w:val="cente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1</w:t>
            </w:r>
          </w:p>
        </w:tc>
      </w:tr>
      <w:tr w:rsidR="00E929FC" w14:paraId="27810494" w14:textId="77777777" w:rsidTr="005F4712">
        <w:trPr>
          <w:trHeight w:val="300"/>
          <w:jc w:val="center"/>
        </w:trPr>
        <w:tc>
          <w:tcPr>
            <w:tcW w:w="6210" w:type="dxa"/>
            <w:tcBorders>
              <w:top w:val="nil"/>
              <w:left w:val="single" w:sz="8" w:space="0" w:color="000000"/>
              <w:bottom w:val="single" w:sz="8" w:space="0" w:color="000000"/>
              <w:right w:val="single" w:sz="8" w:space="0" w:color="000000"/>
            </w:tcBorders>
            <w:tcMar>
              <w:left w:w="108" w:type="dxa"/>
              <w:right w:w="108" w:type="dxa"/>
            </w:tcMar>
            <w:vAlign w:val="center"/>
          </w:tcPr>
          <w:p w14:paraId="2037D65B" w14:textId="77777777" w:rsidR="00E929FC" w:rsidRPr="004C3064" w:rsidRDefault="00E929FC" w:rsidP="00E929FC">
            <w:pPr>
              <w:spacing w:before="100" w:after="100" w:line="240" w:lineRule="auto"/>
              <w:jc w:val="center"/>
              <w:rPr>
                <w:rFonts w:ascii="Times New Roman" w:hAnsi="Times New Roman" w:cs="Times New Roman"/>
                <w:sz w:val="24"/>
                <w:szCs w:val="24"/>
              </w:rPr>
            </w:pPr>
            <w:r w:rsidRPr="004C3064">
              <w:rPr>
                <w:rFonts w:ascii="Times New Roman" w:hAnsi="Times New Roman" w:cs="Times New Roman"/>
                <w:sz w:val="24"/>
                <w:szCs w:val="24"/>
              </w:rPr>
              <w:t>Остало</w:t>
            </w:r>
          </w:p>
        </w:tc>
        <w:tc>
          <w:tcPr>
            <w:tcW w:w="1890" w:type="dxa"/>
            <w:tcBorders>
              <w:top w:val="single" w:sz="8" w:space="0" w:color="000000"/>
              <w:left w:val="nil"/>
              <w:bottom w:val="single" w:sz="8" w:space="0" w:color="000000"/>
              <w:right w:val="single" w:sz="8" w:space="0" w:color="000000"/>
            </w:tcBorders>
            <w:tcMar>
              <w:left w:w="108" w:type="dxa"/>
              <w:right w:w="108" w:type="dxa"/>
            </w:tcMar>
            <w:vAlign w:val="center"/>
          </w:tcPr>
          <w:p w14:paraId="19272851" w14:textId="77777777" w:rsidR="00E929FC" w:rsidRPr="00353F00" w:rsidRDefault="00E929FC" w:rsidP="00E929FC">
            <w:pPr>
              <w:spacing w:before="100" w:after="100" w:line="240" w:lineRule="auto"/>
              <w:jc w:val="center"/>
              <w:rPr>
                <w:rFonts w:ascii="Times New Roman" w:hAnsi="Times New Roman" w:cs="Times New Roman"/>
                <w:color w:val="000000" w:themeColor="text1"/>
                <w:sz w:val="24"/>
                <w:szCs w:val="24"/>
              </w:rPr>
            </w:pPr>
            <w:r w:rsidRPr="00E929FC">
              <w:rPr>
                <w:rFonts w:ascii="Times New Roman" w:hAnsi="Times New Roman" w:cs="Times New Roman"/>
                <w:color w:val="000000" w:themeColor="text1"/>
                <w:sz w:val="24"/>
                <w:szCs w:val="24"/>
              </w:rPr>
              <w:t>670.458</w:t>
            </w:r>
          </w:p>
        </w:tc>
        <w:tc>
          <w:tcPr>
            <w:tcW w:w="1340" w:type="dxa"/>
            <w:tcBorders>
              <w:top w:val="nil"/>
              <w:left w:val="nil"/>
              <w:bottom w:val="single" w:sz="8" w:space="0" w:color="000000"/>
              <w:right w:val="single" w:sz="8" w:space="0" w:color="000000"/>
            </w:tcBorders>
            <w:tcMar>
              <w:left w:w="108" w:type="dxa"/>
              <w:right w:w="108" w:type="dxa"/>
            </w:tcMar>
            <w:vAlign w:val="center"/>
          </w:tcPr>
          <w:p w14:paraId="0E427B4D" w14:textId="77777777" w:rsidR="00E929FC" w:rsidRPr="00E929FC" w:rsidRDefault="00E929FC" w:rsidP="00E929FC">
            <w:pPr>
              <w:spacing w:before="100" w:after="100" w:line="240" w:lineRule="auto"/>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2</w:t>
            </w:r>
          </w:p>
        </w:tc>
      </w:tr>
      <w:tr w:rsidR="00E929FC" w14:paraId="25E68267" w14:textId="77777777" w:rsidTr="00601383">
        <w:trPr>
          <w:trHeight w:val="300"/>
          <w:jc w:val="center"/>
        </w:trPr>
        <w:tc>
          <w:tcPr>
            <w:tcW w:w="6210" w:type="dxa"/>
            <w:tcBorders>
              <w:top w:val="nil"/>
              <w:left w:val="single" w:sz="8" w:space="0" w:color="000000"/>
              <w:bottom w:val="single" w:sz="8" w:space="0" w:color="000000"/>
              <w:right w:val="single" w:sz="8" w:space="0" w:color="000000"/>
            </w:tcBorders>
            <w:tcMar>
              <w:left w:w="108" w:type="dxa"/>
              <w:right w:w="108" w:type="dxa"/>
            </w:tcMar>
            <w:vAlign w:val="center"/>
          </w:tcPr>
          <w:p w14:paraId="1B995FCF" w14:textId="77777777" w:rsidR="00E929FC" w:rsidRPr="00A90732" w:rsidRDefault="00E929FC" w:rsidP="00E929FC">
            <w:pPr>
              <w:spacing w:before="100" w:after="100" w:line="240" w:lineRule="auto"/>
              <w:jc w:val="center"/>
              <w:rPr>
                <w:rFonts w:ascii="Times New Roman" w:hAnsi="Times New Roman" w:cs="Times New Roman"/>
                <w:sz w:val="24"/>
                <w:szCs w:val="24"/>
              </w:rPr>
            </w:pPr>
            <w:r w:rsidRPr="00A90732">
              <w:rPr>
                <w:rFonts w:ascii="Times New Roman" w:hAnsi="Times New Roman" w:cs="Times New Roman"/>
                <w:sz w:val="24"/>
                <w:szCs w:val="24"/>
              </w:rPr>
              <w:t>Укупно</w:t>
            </w:r>
          </w:p>
        </w:tc>
        <w:tc>
          <w:tcPr>
            <w:tcW w:w="1890" w:type="dxa"/>
            <w:tcBorders>
              <w:top w:val="nil"/>
              <w:left w:val="nil"/>
              <w:bottom w:val="single" w:sz="8" w:space="0" w:color="000000"/>
              <w:right w:val="single" w:sz="8" w:space="0" w:color="000000"/>
            </w:tcBorders>
            <w:tcMar>
              <w:left w:w="108" w:type="dxa"/>
              <w:right w:w="108" w:type="dxa"/>
            </w:tcMar>
            <w:vAlign w:val="center"/>
          </w:tcPr>
          <w:p w14:paraId="65FD4AF5" w14:textId="77777777" w:rsidR="00E929FC" w:rsidRPr="00E929FC" w:rsidRDefault="00E929FC" w:rsidP="00E929FC">
            <w:pPr>
              <w:spacing w:before="100" w:after="100" w:line="240" w:lineRule="auto"/>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30.501.817</w:t>
            </w:r>
          </w:p>
        </w:tc>
        <w:tc>
          <w:tcPr>
            <w:tcW w:w="1340" w:type="dxa"/>
            <w:tcBorders>
              <w:top w:val="nil"/>
              <w:left w:val="nil"/>
              <w:bottom w:val="single" w:sz="8" w:space="0" w:color="000000"/>
              <w:right w:val="single" w:sz="8" w:space="0" w:color="000000"/>
            </w:tcBorders>
            <w:tcMar>
              <w:left w:w="108" w:type="dxa"/>
              <w:right w:w="108" w:type="dxa"/>
            </w:tcMar>
            <w:vAlign w:val="center"/>
          </w:tcPr>
          <w:p w14:paraId="41319323" w14:textId="77777777" w:rsidR="00E929FC" w:rsidRPr="00E929FC" w:rsidRDefault="00E929FC" w:rsidP="00E929FC">
            <w:pPr>
              <w:spacing w:before="100" w:after="100" w:line="240" w:lineRule="auto"/>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100</w:t>
            </w:r>
          </w:p>
        </w:tc>
      </w:tr>
    </w:tbl>
    <w:p w14:paraId="17257759" w14:textId="77777777" w:rsidR="0081466B" w:rsidRDefault="004F0DED">
      <w:pPr>
        <w:jc w:val="both"/>
        <w:rPr>
          <w:rFonts w:ascii="Times New Roman" w:eastAsia="Times New Roman" w:hAnsi="Times New Roman" w:cs="Times New Roman"/>
        </w:rPr>
      </w:pPr>
      <w:r>
        <w:rPr>
          <w:rFonts w:ascii="Times New Roman" w:eastAsia="Times New Roman" w:hAnsi="Times New Roman" w:cs="Times New Roman"/>
        </w:rPr>
        <w:t xml:space="preserve">        *Вредности су изражене у хиљадама динара</w:t>
      </w:r>
    </w:p>
    <w:p w14:paraId="13604137" w14:textId="77777777" w:rsidR="005628BF" w:rsidRDefault="005628BF">
      <w:pPr>
        <w:jc w:val="both"/>
        <w:rPr>
          <w:rFonts w:ascii="Times New Roman" w:eastAsia="Times New Roman" w:hAnsi="Times New Roman" w:cs="Times New Roman"/>
        </w:rPr>
      </w:pPr>
    </w:p>
    <w:p w14:paraId="6EB29114" w14:textId="1DD91ABA" w:rsidR="0028000E" w:rsidRPr="000419A2" w:rsidRDefault="0028000E">
      <w:pPr>
        <w:jc w:val="both"/>
        <w:rPr>
          <w:rFonts w:ascii="Times New Roman" w:eastAsia="Times New Roman" w:hAnsi="Times New Roman" w:cs="Times New Roman"/>
          <w:b/>
          <w:color w:val="auto"/>
          <w:sz w:val="24"/>
          <w:szCs w:val="24"/>
          <w:lang w:val="sr-Cyrl-RS"/>
        </w:rPr>
      </w:pPr>
      <w:r w:rsidRPr="000419A2">
        <w:rPr>
          <w:rFonts w:ascii="Times New Roman" w:eastAsia="Times New Roman" w:hAnsi="Times New Roman" w:cs="Times New Roman"/>
          <w:b/>
          <w:color w:val="auto"/>
          <w:sz w:val="24"/>
          <w:szCs w:val="24"/>
          <w:lang w:val="en-US"/>
        </w:rPr>
        <w:t>X</w:t>
      </w:r>
      <w:r w:rsidR="002710A5">
        <w:rPr>
          <w:rFonts w:ascii="Times New Roman" w:eastAsia="Times New Roman" w:hAnsi="Times New Roman" w:cs="Times New Roman"/>
          <w:b/>
          <w:color w:val="auto"/>
          <w:sz w:val="24"/>
          <w:szCs w:val="24"/>
          <w:lang w:val="sr-Latn-RS"/>
        </w:rPr>
        <w:t>I</w:t>
      </w:r>
      <w:r w:rsidRPr="000419A2">
        <w:rPr>
          <w:rFonts w:ascii="Times New Roman" w:eastAsia="Times New Roman" w:hAnsi="Times New Roman" w:cs="Times New Roman"/>
          <w:b/>
          <w:color w:val="auto"/>
          <w:sz w:val="24"/>
          <w:szCs w:val="24"/>
          <w:lang w:val="en-US"/>
        </w:rPr>
        <w:t xml:space="preserve">. </w:t>
      </w:r>
      <w:r w:rsidRPr="000419A2">
        <w:rPr>
          <w:rFonts w:ascii="Times New Roman" w:eastAsia="Times New Roman" w:hAnsi="Times New Roman" w:cs="Times New Roman"/>
          <w:b/>
          <w:color w:val="auto"/>
          <w:sz w:val="24"/>
          <w:szCs w:val="24"/>
          <w:lang w:val="sr-Cyrl-RS"/>
        </w:rPr>
        <w:t xml:space="preserve">РЕЗЕРВИСАНЕ ЈАВНЕ НАБАВКЕ </w:t>
      </w:r>
    </w:p>
    <w:p w14:paraId="53748BA6" w14:textId="0E6CA1AC" w:rsidR="009D210E" w:rsidRPr="000419A2" w:rsidRDefault="009D210E">
      <w:pPr>
        <w:jc w:val="both"/>
        <w:rPr>
          <w:rFonts w:ascii="Times New Roman" w:eastAsia="Times New Roman" w:hAnsi="Times New Roman" w:cs="Times New Roman"/>
          <w:color w:val="auto"/>
          <w:sz w:val="24"/>
          <w:szCs w:val="24"/>
          <w:lang w:val="sr-Cyrl-RS"/>
        </w:rPr>
      </w:pPr>
      <w:r w:rsidRPr="000419A2">
        <w:rPr>
          <w:rFonts w:ascii="Times New Roman" w:eastAsia="Times New Roman" w:hAnsi="Times New Roman" w:cs="Times New Roman"/>
          <w:color w:val="auto"/>
          <w:sz w:val="24"/>
          <w:szCs w:val="24"/>
          <w:lang w:val="sr-Cyrl-RS"/>
        </w:rPr>
        <w:t xml:space="preserve">У спровођење поступака јавних набавки све више се </w:t>
      </w:r>
      <w:r w:rsidR="00AA132E" w:rsidRPr="000419A2">
        <w:rPr>
          <w:rFonts w:ascii="Times New Roman" w:eastAsia="Times New Roman" w:hAnsi="Times New Roman" w:cs="Times New Roman"/>
          <w:color w:val="auto"/>
          <w:sz w:val="24"/>
          <w:szCs w:val="24"/>
          <w:lang w:val="sr-Cyrl-RS"/>
        </w:rPr>
        <w:t>интегришу</w:t>
      </w:r>
      <w:r w:rsidRPr="000419A2">
        <w:rPr>
          <w:rFonts w:ascii="Times New Roman" w:eastAsia="Times New Roman" w:hAnsi="Times New Roman" w:cs="Times New Roman"/>
          <w:color w:val="auto"/>
          <w:sz w:val="24"/>
          <w:szCs w:val="24"/>
          <w:lang w:val="sr-Cyrl-RS"/>
        </w:rPr>
        <w:t xml:space="preserve"> социјални критеријуми који узимају у обзир питања као што су могућности за запошљавање од</w:t>
      </w:r>
      <w:r w:rsidR="00856843">
        <w:rPr>
          <w:rFonts w:ascii="Times New Roman" w:eastAsia="Times New Roman" w:hAnsi="Times New Roman" w:cs="Times New Roman"/>
          <w:color w:val="auto"/>
          <w:sz w:val="24"/>
          <w:szCs w:val="24"/>
          <w:lang w:val="sr-Cyrl-RS"/>
        </w:rPr>
        <w:t>р</w:t>
      </w:r>
      <w:r w:rsidRPr="000419A2">
        <w:rPr>
          <w:rFonts w:ascii="Times New Roman" w:eastAsia="Times New Roman" w:hAnsi="Times New Roman" w:cs="Times New Roman"/>
          <w:color w:val="auto"/>
          <w:sz w:val="24"/>
          <w:szCs w:val="24"/>
          <w:lang w:val="sr-Cyrl-RS"/>
        </w:rPr>
        <w:t xml:space="preserve">еђених категорија </w:t>
      </w:r>
      <w:r w:rsidR="004B4FB4" w:rsidRPr="000419A2">
        <w:rPr>
          <w:rFonts w:ascii="Times New Roman" w:eastAsia="Times New Roman" w:hAnsi="Times New Roman" w:cs="Times New Roman"/>
          <w:color w:val="auto"/>
          <w:sz w:val="24"/>
          <w:szCs w:val="24"/>
          <w:lang w:val="sr-Cyrl-RS"/>
        </w:rPr>
        <w:t>становништва (млади, незапослени дужи низ година и особе са инвалидитетом), усаглашеност са радним и социјалним правима, социјално укључивање и једнаке могућности, поштовање стандарда приступачности за све кориснике</w:t>
      </w:r>
      <w:r w:rsidR="00AA132E" w:rsidRPr="000419A2">
        <w:rPr>
          <w:rFonts w:ascii="Times New Roman" w:eastAsia="Times New Roman" w:hAnsi="Times New Roman" w:cs="Times New Roman"/>
          <w:color w:val="auto"/>
          <w:sz w:val="24"/>
          <w:szCs w:val="24"/>
          <w:lang w:val="sr-Cyrl-RS"/>
        </w:rPr>
        <w:t xml:space="preserve">. </w:t>
      </w:r>
      <w:r w:rsidR="004B4FB4" w:rsidRPr="000419A2">
        <w:rPr>
          <w:rFonts w:ascii="Times New Roman" w:eastAsia="Times New Roman" w:hAnsi="Times New Roman" w:cs="Times New Roman"/>
          <w:color w:val="auto"/>
          <w:sz w:val="24"/>
          <w:szCs w:val="24"/>
          <w:lang w:val="sr-Cyrl-RS"/>
        </w:rPr>
        <w:t xml:space="preserve"> </w:t>
      </w:r>
    </w:p>
    <w:p w14:paraId="391E41FC" w14:textId="77777777" w:rsidR="0028000E" w:rsidRPr="000419A2" w:rsidRDefault="002105AE">
      <w:pPr>
        <w:jc w:val="both"/>
        <w:rPr>
          <w:rFonts w:ascii="Times New Roman" w:hAnsi="Times New Roman" w:cs="Times New Roman"/>
          <w:color w:val="auto"/>
          <w:sz w:val="24"/>
          <w:szCs w:val="24"/>
          <w:lang w:val="sr-Cyrl-RS"/>
        </w:rPr>
      </w:pPr>
      <w:r w:rsidRPr="000419A2">
        <w:rPr>
          <w:rFonts w:ascii="Times New Roman" w:hAnsi="Times New Roman" w:cs="Times New Roman"/>
          <w:color w:val="auto"/>
          <w:sz w:val="24"/>
          <w:szCs w:val="24"/>
          <w:lang w:val="sr-Cyrl-RS"/>
        </w:rPr>
        <w:t>У циљу  укључивања организација и привредних субјеката који запошљавају особе са инвалидитетом, наручиоци могу,  у складу са ЗЈН, спроводити поступке јавн</w:t>
      </w:r>
      <w:r w:rsidR="00E419A4" w:rsidRPr="000419A2">
        <w:rPr>
          <w:rFonts w:ascii="Times New Roman" w:hAnsi="Times New Roman" w:cs="Times New Roman"/>
          <w:color w:val="auto"/>
          <w:sz w:val="24"/>
          <w:szCs w:val="24"/>
          <w:lang w:val="sr-Cyrl-RS"/>
        </w:rPr>
        <w:t>их</w:t>
      </w:r>
      <w:r w:rsidRPr="000419A2">
        <w:rPr>
          <w:rFonts w:ascii="Times New Roman" w:hAnsi="Times New Roman" w:cs="Times New Roman"/>
          <w:color w:val="auto"/>
          <w:sz w:val="24"/>
          <w:szCs w:val="24"/>
          <w:lang w:val="sr-Cyrl-RS"/>
        </w:rPr>
        <w:t xml:space="preserve"> набавк</w:t>
      </w:r>
      <w:r w:rsidR="00E419A4" w:rsidRPr="000419A2">
        <w:rPr>
          <w:rFonts w:ascii="Times New Roman" w:hAnsi="Times New Roman" w:cs="Times New Roman"/>
          <w:color w:val="auto"/>
          <w:sz w:val="24"/>
          <w:szCs w:val="24"/>
          <w:lang w:val="sr-Cyrl-RS"/>
        </w:rPr>
        <w:t>и</w:t>
      </w:r>
      <w:r w:rsidRPr="000419A2">
        <w:rPr>
          <w:rFonts w:ascii="Times New Roman" w:hAnsi="Times New Roman" w:cs="Times New Roman"/>
          <w:color w:val="auto"/>
          <w:sz w:val="24"/>
          <w:szCs w:val="24"/>
          <w:lang w:val="sr-Cyrl-RS"/>
        </w:rPr>
        <w:t xml:space="preserve"> у којима ће круг потенцијалних понуђача бити ограничен само на наведене субјекте (тзв. ,,резервисане набавке“). </w:t>
      </w:r>
      <w:r w:rsidR="00132908" w:rsidRPr="000419A2">
        <w:rPr>
          <w:rFonts w:ascii="Times New Roman" w:hAnsi="Times New Roman" w:cs="Times New Roman"/>
          <w:color w:val="auto"/>
          <w:sz w:val="24"/>
          <w:szCs w:val="24"/>
          <w:lang w:val="sr-Cyrl-RS"/>
        </w:rPr>
        <w:t xml:space="preserve"> </w:t>
      </w:r>
      <w:r w:rsidR="00B27E6E" w:rsidRPr="000419A2">
        <w:rPr>
          <w:rFonts w:ascii="Times New Roman" w:hAnsi="Times New Roman" w:cs="Times New Roman"/>
          <w:color w:val="auto"/>
          <w:sz w:val="24"/>
          <w:szCs w:val="24"/>
          <w:lang w:val="sr-Cyrl-RS"/>
        </w:rPr>
        <w:t>Промоцијом и подстицањем</w:t>
      </w:r>
      <w:r w:rsidR="00132908" w:rsidRPr="000419A2">
        <w:rPr>
          <w:rFonts w:ascii="Times New Roman" w:hAnsi="Times New Roman" w:cs="Times New Roman"/>
          <w:color w:val="auto"/>
          <w:sz w:val="24"/>
          <w:szCs w:val="24"/>
          <w:lang w:val="sr-Cyrl-RS"/>
        </w:rPr>
        <w:t xml:space="preserve"> социјалног аспекта јавних набавки </w:t>
      </w:r>
      <w:r w:rsidR="00132908" w:rsidRPr="000419A2">
        <w:rPr>
          <w:rFonts w:ascii="Times New Roman" w:hAnsi="Times New Roman" w:cs="Times New Roman"/>
          <w:color w:val="auto"/>
          <w:sz w:val="24"/>
          <w:szCs w:val="24"/>
          <w:lang w:val="sr-Cyrl-RS"/>
        </w:rPr>
        <w:lastRenderedPageBreak/>
        <w:t>даје се допринос развоју пре</w:t>
      </w:r>
      <w:r w:rsidR="00E419A4" w:rsidRPr="000419A2">
        <w:rPr>
          <w:rFonts w:ascii="Times New Roman" w:hAnsi="Times New Roman" w:cs="Times New Roman"/>
          <w:color w:val="auto"/>
          <w:sz w:val="24"/>
          <w:szCs w:val="24"/>
          <w:lang w:val="sr-Cyrl-RS"/>
        </w:rPr>
        <w:t>дузетништва , нарочито малих и средњих предузећа, као и социјалних предузећа а са друге стране, остварују се циљеви инклузивног развоја</w:t>
      </w:r>
      <w:r w:rsidR="00AA132E" w:rsidRPr="000419A2">
        <w:rPr>
          <w:rFonts w:ascii="Times New Roman" w:hAnsi="Times New Roman" w:cs="Times New Roman"/>
          <w:color w:val="auto"/>
          <w:sz w:val="24"/>
          <w:szCs w:val="24"/>
          <w:lang w:val="sr-Cyrl-RS"/>
        </w:rPr>
        <w:t xml:space="preserve">.  </w:t>
      </w:r>
    </w:p>
    <w:p w14:paraId="58D642DA" w14:textId="305E3830" w:rsidR="00AA132E" w:rsidRPr="000419A2" w:rsidRDefault="00486387">
      <w:p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 xml:space="preserve">Број и вредност резервисаних јавних набавки у првим полугодиштима 2019. и 2018. године приказан је у табели </w:t>
      </w:r>
      <w:r w:rsidRPr="000419A2">
        <w:rPr>
          <w:rFonts w:ascii="Times New Roman" w:hAnsi="Times New Roman" w:cs="Times New Roman"/>
          <w:color w:val="auto"/>
          <w:sz w:val="24"/>
          <w:szCs w:val="24"/>
          <w:lang w:val="sr-Cyrl-RS"/>
        </w:rPr>
        <w:t>2</w:t>
      </w:r>
      <w:r>
        <w:rPr>
          <w:rFonts w:ascii="Times New Roman" w:hAnsi="Times New Roman" w:cs="Times New Roman"/>
          <w:color w:val="auto"/>
          <w:sz w:val="24"/>
          <w:szCs w:val="24"/>
          <w:lang w:val="sr-Cyrl-RS"/>
        </w:rPr>
        <w:t>1</w:t>
      </w:r>
      <w:r w:rsidRPr="000419A2">
        <w:rPr>
          <w:rFonts w:ascii="Times New Roman" w:hAnsi="Times New Roman" w:cs="Times New Roman"/>
          <w:color w:val="auto"/>
          <w:sz w:val="24"/>
          <w:szCs w:val="24"/>
          <w:lang w:val="sr-Cyrl-RS"/>
        </w:rPr>
        <w:t xml:space="preserve">. </w:t>
      </w:r>
      <w:r>
        <w:rPr>
          <w:rFonts w:ascii="Times New Roman" w:hAnsi="Times New Roman" w:cs="Times New Roman"/>
          <w:color w:val="auto"/>
          <w:sz w:val="24"/>
          <w:szCs w:val="24"/>
          <w:lang w:val="sr-Cyrl-RS"/>
        </w:rPr>
        <w:t>,док је к</w:t>
      </w:r>
      <w:r w:rsidR="00AA132E" w:rsidRPr="000419A2">
        <w:rPr>
          <w:rFonts w:ascii="Times New Roman" w:hAnsi="Times New Roman" w:cs="Times New Roman"/>
          <w:color w:val="auto"/>
          <w:sz w:val="24"/>
          <w:szCs w:val="24"/>
          <w:lang w:val="sr-Cyrl-RS"/>
        </w:rPr>
        <w:t>ретање броја и вредн</w:t>
      </w:r>
      <w:r w:rsidR="00B93437" w:rsidRPr="000419A2">
        <w:rPr>
          <w:rFonts w:ascii="Times New Roman" w:hAnsi="Times New Roman" w:cs="Times New Roman"/>
          <w:color w:val="auto"/>
          <w:sz w:val="24"/>
          <w:szCs w:val="24"/>
          <w:lang w:val="sr-Cyrl-RS"/>
        </w:rPr>
        <w:t>о</w:t>
      </w:r>
      <w:r w:rsidR="00AA132E" w:rsidRPr="000419A2">
        <w:rPr>
          <w:rFonts w:ascii="Times New Roman" w:hAnsi="Times New Roman" w:cs="Times New Roman"/>
          <w:color w:val="auto"/>
          <w:sz w:val="24"/>
          <w:szCs w:val="24"/>
          <w:lang w:val="sr-Cyrl-RS"/>
        </w:rPr>
        <w:t xml:space="preserve">сти резервисаних јавних набавки </w:t>
      </w:r>
      <w:r w:rsidR="00945E07">
        <w:rPr>
          <w:rFonts w:ascii="Times New Roman" w:hAnsi="Times New Roman" w:cs="Times New Roman"/>
          <w:color w:val="auto"/>
          <w:sz w:val="24"/>
          <w:szCs w:val="24"/>
          <w:lang w:val="sr-Latn-RS"/>
        </w:rPr>
        <w:t xml:space="preserve">у претходним годинама </w:t>
      </w:r>
      <w:r w:rsidR="00AA132E" w:rsidRPr="000419A2">
        <w:rPr>
          <w:rFonts w:ascii="Times New Roman" w:hAnsi="Times New Roman" w:cs="Times New Roman"/>
          <w:color w:val="auto"/>
          <w:sz w:val="24"/>
          <w:szCs w:val="24"/>
          <w:lang w:val="sr-Cyrl-RS"/>
        </w:rPr>
        <w:t xml:space="preserve">приказано </w:t>
      </w:r>
      <w:r w:rsidR="00B93437" w:rsidRPr="000419A2">
        <w:rPr>
          <w:rFonts w:ascii="Times New Roman" w:hAnsi="Times New Roman" w:cs="Times New Roman"/>
          <w:color w:val="auto"/>
          <w:sz w:val="24"/>
          <w:szCs w:val="24"/>
          <w:lang w:val="sr-Cyrl-RS"/>
        </w:rPr>
        <w:t xml:space="preserve">је </w:t>
      </w:r>
      <w:r w:rsidR="00AA132E" w:rsidRPr="000419A2">
        <w:rPr>
          <w:rFonts w:ascii="Times New Roman" w:hAnsi="Times New Roman" w:cs="Times New Roman"/>
          <w:color w:val="auto"/>
          <w:sz w:val="24"/>
          <w:szCs w:val="24"/>
          <w:lang w:val="sr-Cyrl-RS"/>
        </w:rPr>
        <w:t>у Табел</w:t>
      </w:r>
      <w:r w:rsidR="00945E07">
        <w:rPr>
          <w:rFonts w:ascii="Times New Roman" w:hAnsi="Times New Roman" w:cs="Times New Roman"/>
          <w:color w:val="auto"/>
          <w:sz w:val="24"/>
          <w:szCs w:val="24"/>
          <w:lang w:val="sr-Cyrl-RS"/>
        </w:rPr>
        <w:t>и</w:t>
      </w:r>
      <w:r w:rsidR="00AA132E" w:rsidRPr="000419A2">
        <w:rPr>
          <w:rFonts w:ascii="Times New Roman" w:hAnsi="Times New Roman" w:cs="Times New Roman"/>
          <w:color w:val="auto"/>
          <w:sz w:val="24"/>
          <w:szCs w:val="24"/>
          <w:lang w:val="sr-Cyrl-RS"/>
        </w:rPr>
        <w:t xml:space="preserve"> </w:t>
      </w:r>
      <w:r>
        <w:rPr>
          <w:rFonts w:ascii="Times New Roman" w:hAnsi="Times New Roman" w:cs="Times New Roman"/>
          <w:color w:val="auto"/>
          <w:sz w:val="24"/>
          <w:szCs w:val="24"/>
          <w:lang w:val="sr-Cyrl-RS"/>
        </w:rPr>
        <w:t>22.</w:t>
      </w:r>
    </w:p>
    <w:p w14:paraId="7926920D" w14:textId="77777777" w:rsidR="00B27E6E" w:rsidRPr="000419A2" w:rsidRDefault="00B27E6E" w:rsidP="00B27E6E">
      <w:pPr>
        <w:jc w:val="both"/>
        <w:rPr>
          <w:rFonts w:ascii="Times New Roman" w:eastAsia="Times New Roman" w:hAnsi="Times New Roman" w:cs="Times New Roman"/>
          <w:color w:val="auto"/>
          <w:lang w:val="sr-Cyrl-RS"/>
        </w:rPr>
      </w:pPr>
      <w:r w:rsidRPr="000419A2">
        <w:rPr>
          <w:rFonts w:ascii="Times New Roman" w:eastAsia="Times New Roman" w:hAnsi="Times New Roman" w:cs="Times New Roman"/>
          <w:color w:val="auto"/>
          <w:lang w:val="sr-Cyrl-RS"/>
        </w:rPr>
        <w:t xml:space="preserve">                                  </w:t>
      </w:r>
    </w:p>
    <w:p w14:paraId="2BC88270" w14:textId="5D2B472D" w:rsidR="00B27E6E" w:rsidRPr="000419A2" w:rsidRDefault="00953934" w:rsidP="00B27E6E">
      <w:pPr>
        <w:jc w:val="both"/>
        <w:rPr>
          <w:rFonts w:ascii="Times New Roman" w:eastAsia="Times New Roman" w:hAnsi="Times New Roman" w:cs="Times New Roman"/>
          <w:b/>
          <w:color w:val="auto"/>
          <w:sz w:val="24"/>
          <w:szCs w:val="24"/>
          <w:lang w:val="sr-Cyrl-RS"/>
        </w:rPr>
      </w:pPr>
      <w:r w:rsidRPr="000419A2">
        <w:rPr>
          <w:rFonts w:ascii="Times New Roman" w:eastAsia="Times New Roman" w:hAnsi="Times New Roman" w:cs="Times New Roman"/>
          <w:color w:val="auto"/>
          <w:lang w:val="sr-Cyrl-RS"/>
        </w:rPr>
        <w:t xml:space="preserve"> </w:t>
      </w:r>
      <w:r w:rsidR="00B27E6E" w:rsidRPr="000419A2">
        <w:rPr>
          <w:rFonts w:ascii="Times New Roman" w:eastAsia="Times New Roman" w:hAnsi="Times New Roman" w:cs="Times New Roman"/>
          <w:b/>
          <w:color w:val="auto"/>
          <w:sz w:val="24"/>
          <w:szCs w:val="24"/>
          <w:lang w:val="sr-Cyrl-RS"/>
        </w:rPr>
        <w:t>Табела 2</w:t>
      </w:r>
      <w:r w:rsidR="00486387">
        <w:rPr>
          <w:rFonts w:ascii="Times New Roman" w:eastAsia="Times New Roman" w:hAnsi="Times New Roman" w:cs="Times New Roman"/>
          <w:b/>
          <w:color w:val="auto"/>
          <w:sz w:val="24"/>
          <w:szCs w:val="24"/>
          <w:lang w:val="sr-Cyrl-RS"/>
        </w:rPr>
        <w:t>1</w:t>
      </w:r>
    </w:p>
    <w:tbl>
      <w:tblPr>
        <w:tblStyle w:val="TableGrid3"/>
        <w:tblW w:w="0" w:type="auto"/>
        <w:jc w:val="center"/>
        <w:tblLook w:val="04A0" w:firstRow="1" w:lastRow="0" w:firstColumn="1" w:lastColumn="0" w:noHBand="0" w:noVBand="1"/>
      </w:tblPr>
      <w:tblGrid>
        <w:gridCol w:w="3382"/>
        <w:gridCol w:w="2191"/>
        <w:gridCol w:w="3437"/>
      </w:tblGrid>
      <w:tr w:rsidR="000419A2" w:rsidRPr="000419A2" w14:paraId="3CFACB06" w14:textId="77777777" w:rsidTr="000419A2">
        <w:trPr>
          <w:trHeight w:val="630"/>
          <w:jc w:val="center"/>
        </w:trPr>
        <w:tc>
          <w:tcPr>
            <w:tcW w:w="9010" w:type="dxa"/>
            <w:gridSpan w:val="3"/>
            <w:vAlign w:val="center"/>
          </w:tcPr>
          <w:p w14:paraId="5A8C639D" w14:textId="77777777" w:rsidR="000419A2" w:rsidRDefault="00B27E6E" w:rsidP="00B27E6E">
            <w:pPr>
              <w:jc w:val="center"/>
              <w:rPr>
                <w:b/>
                <w:szCs w:val="24"/>
                <w:lang w:val="sr-Cyrl-CS"/>
              </w:rPr>
            </w:pPr>
            <w:r w:rsidRPr="000419A2">
              <w:rPr>
                <w:b/>
                <w:szCs w:val="24"/>
                <w:lang w:val="sr-Cyrl-CS"/>
              </w:rPr>
              <w:t>Број и вредност резервисаних јавних набавки у првом полугодишту</w:t>
            </w:r>
          </w:p>
          <w:p w14:paraId="4640BF61" w14:textId="2790013E" w:rsidR="00B27E6E" w:rsidRPr="000419A2" w:rsidRDefault="00B27E6E" w:rsidP="00B27E6E">
            <w:pPr>
              <w:jc w:val="center"/>
              <w:rPr>
                <w:b/>
                <w:szCs w:val="24"/>
                <w:lang w:val="sr-Cyrl-CS"/>
              </w:rPr>
            </w:pPr>
            <w:r w:rsidRPr="000419A2">
              <w:rPr>
                <w:b/>
                <w:szCs w:val="24"/>
                <w:lang w:val="sr-Cyrl-CS"/>
              </w:rPr>
              <w:t xml:space="preserve"> 2018. и 2019. године</w:t>
            </w:r>
          </w:p>
        </w:tc>
      </w:tr>
      <w:tr w:rsidR="000419A2" w:rsidRPr="000419A2" w14:paraId="30BC7754" w14:textId="77777777" w:rsidTr="008B7A28">
        <w:trPr>
          <w:trHeight w:val="314"/>
          <w:jc w:val="center"/>
        </w:trPr>
        <w:tc>
          <w:tcPr>
            <w:tcW w:w="3382" w:type="dxa"/>
            <w:vAlign w:val="center"/>
          </w:tcPr>
          <w:p w14:paraId="7C4B7666" w14:textId="77777777" w:rsidR="00B27E6E" w:rsidRPr="000419A2" w:rsidRDefault="00B27E6E" w:rsidP="00B27E6E">
            <w:pPr>
              <w:jc w:val="center"/>
            </w:pPr>
            <w:r w:rsidRPr="000419A2">
              <w:t>Година</w:t>
            </w:r>
          </w:p>
        </w:tc>
        <w:tc>
          <w:tcPr>
            <w:tcW w:w="2191" w:type="dxa"/>
            <w:vAlign w:val="center"/>
          </w:tcPr>
          <w:p w14:paraId="760A235C" w14:textId="77777777" w:rsidR="00B27E6E" w:rsidRPr="000419A2" w:rsidRDefault="00B27E6E" w:rsidP="00B27E6E">
            <w:pPr>
              <w:jc w:val="center"/>
              <w:rPr>
                <w:b/>
                <w:lang w:val="sr-Cyrl-CS"/>
              </w:rPr>
            </w:pPr>
            <w:r w:rsidRPr="000419A2">
              <w:rPr>
                <w:b/>
                <w:lang w:val="sr-Cyrl-CS"/>
              </w:rPr>
              <w:t>2018. 1П</w:t>
            </w:r>
          </w:p>
        </w:tc>
        <w:tc>
          <w:tcPr>
            <w:tcW w:w="3437" w:type="dxa"/>
            <w:vAlign w:val="center"/>
          </w:tcPr>
          <w:p w14:paraId="7DFB6772" w14:textId="77777777" w:rsidR="00B27E6E" w:rsidRPr="000419A2" w:rsidRDefault="00B27E6E" w:rsidP="00B27E6E">
            <w:pPr>
              <w:jc w:val="center"/>
              <w:rPr>
                <w:b/>
                <w:lang w:val="sr-Cyrl-CS"/>
              </w:rPr>
            </w:pPr>
            <w:r w:rsidRPr="000419A2">
              <w:rPr>
                <w:b/>
                <w:lang w:val="sr-Cyrl-CS"/>
              </w:rPr>
              <w:t>2019. 1П</w:t>
            </w:r>
          </w:p>
        </w:tc>
      </w:tr>
      <w:tr w:rsidR="000419A2" w:rsidRPr="000419A2" w14:paraId="421CE023" w14:textId="77777777" w:rsidTr="008B7A28">
        <w:trPr>
          <w:trHeight w:val="314"/>
          <w:jc w:val="center"/>
        </w:trPr>
        <w:tc>
          <w:tcPr>
            <w:tcW w:w="3382" w:type="dxa"/>
            <w:vAlign w:val="center"/>
          </w:tcPr>
          <w:p w14:paraId="493A8F2E" w14:textId="77777777" w:rsidR="00B27E6E" w:rsidRPr="000419A2" w:rsidRDefault="00B27E6E" w:rsidP="00B27E6E">
            <w:pPr>
              <w:jc w:val="center"/>
              <w:rPr>
                <w:lang w:val="sr-Cyrl-CS"/>
              </w:rPr>
            </w:pPr>
            <w:r w:rsidRPr="000419A2">
              <w:rPr>
                <w:lang w:val="sr-Cyrl-CS"/>
              </w:rPr>
              <w:t>Број</w:t>
            </w:r>
          </w:p>
        </w:tc>
        <w:tc>
          <w:tcPr>
            <w:tcW w:w="2191" w:type="dxa"/>
            <w:vAlign w:val="center"/>
          </w:tcPr>
          <w:p w14:paraId="6693C45B" w14:textId="77777777" w:rsidR="00B27E6E" w:rsidRPr="000419A2" w:rsidRDefault="00B27E6E" w:rsidP="00B27E6E">
            <w:pPr>
              <w:jc w:val="center"/>
              <w:rPr>
                <w:lang w:val="sr-Cyrl-CS"/>
              </w:rPr>
            </w:pPr>
            <w:r w:rsidRPr="000419A2">
              <w:rPr>
                <w:lang w:val="sr-Cyrl-CS"/>
              </w:rPr>
              <w:t>35</w:t>
            </w:r>
          </w:p>
        </w:tc>
        <w:tc>
          <w:tcPr>
            <w:tcW w:w="3437" w:type="dxa"/>
            <w:vAlign w:val="center"/>
          </w:tcPr>
          <w:p w14:paraId="4DE0BF6F" w14:textId="77777777" w:rsidR="00B27E6E" w:rsidRPr="000419A2" w:rsidRDefault="00B27E6E" w:rsidP="00B27E6E">
            <w:pPr>
              <w:jc w:val="center"/>
              <w:rPr>
                <w:lang w:val="sr-Cyrl-CS"/>
              </w:rPr>
            </w:pPr>
            <w:r w:rsidRPr="000419A2">
              <w:rPr>
                <w:lang w:val="sr-Cyrl-CS"/>
              </w:rPr>
              <w:t>47</w:t>
            </w:r>
          </w:p>
        </w:tc>
      </w:tr>
      <w:tr w:rsidR="000419A2" w:rsidRPr="000419A2" w14:paraId="781B55DB" w14:textId="77777777" w:rsidTr="008B7A28">
        <w:trPr>
          <w:trHeight w:val="314"/>
          <w:jc w:val="center"/>
        </w:trPr>
        <w:tc>
          <w:tcPr>
            <w:tcW w:w="3382" w:type="dxa"/>
            <w:vAlign w:val="center"/>
          </w:tcPr>
          <w:p w14:paraId="68CF7E3F" w14:textId="1DA0D453" w:rsidR="00B27E6E" w:rsidRPr="000419A2" w:rsidRDefault="00B27E6E" w:rsidP="00B27E6E">
            <w:pPr>
              <w:jc w:val="center"/>
              <w:rPr>
                <w:lang w:val="sr-Cyrl-CS"/>
              </w:rPr>
            </w:pPr>
            <w:r w:rsidRPr="000419A2">
              <w:rPr>
                <w:lang w:val="sr-Cyrl-CS"/>
              </w:rPr>
              <w:t>Вредност</w:t>
            </w:r>
            <w:r w:rsidR="008B7A28">
              <w:rPr>
                <w:lang w:val="sr-Cyrl-CS"/>
              </w:rPr>
              <w:t>*</w:t>
            </w:r>
          </w:p>
        </w:tc>
        <w:tc>
          <w:tcPr>
            <w:tcW w:w="2191" w:type="dxa"/>
            <w:vAlign w:val="center"/>
          </w:tcPr>
          <w:p w14:paraId="7B2B276D" w14:textId="77777777" w:rsidR="00B27E6E" w:rsidRPr="000419A2" w:rsidRDefault="00B27E6E" w:rsidP="00B27E6E">
            <w:pPr>
              <w:jc w:val="center"/>
              <w:rPr>
                <w:lang w:val="sr-Cyrl-CS"/>
              </w:rPr>
            </w:pPr>
            <w:r w:rsidRPr="000419A2">
              <w:rPr>
                <w:lang w:val="sr-Cyrl-CS"/>
              </w:rPr>
              <w:t>335.140</w:t>
            </w:r>
          </w:p>
        </w:tc>
        <w:tc>
          <w:tcPr>
            <w:tcW w:w="3437" w:type="dxa"/>
            <w:vAlign w:val="center"/>
          </w:tcPr>
          <w:p w14:paraId="41947A0F" w14:textId="77777777" w:rsidR="00B27E6E" w:rsidRPr="000419A2" w:rsidRDefault="00B27E6E" w:rsidP="00B27E6E">
            <w:pPr>
              <w:jc w:val="center"/>
              <w:rPr>
                <w:lang w:val="sr-Cyrl-CS"/>
              </w:rPr>
            </w:pPr>
            <w:r w:rsidRPr="000419A2">
              <w:rPr>
                <w:lang w:val="sr-Cyrl-CS"/>
              </w:rPr>
              <w:t>292.416</w:t>
            </w:r>
          </w:p>
        </w:tc>
      </w:tr>
    </w:tbl>
    <w:p w14:paraId="4BB9AC8B" w14:textId="49C192DA" w:rsidR="00B27E6E" w:rsidRDefault="008B7A28" w:rsidP="00B27E6E">
      <w:pPr>
        <w:jc w:val="both"/>
        <w:rPr>
          <w:rFonts w:ascii="Times New Roman" w:eastAsia="Times New Roman" w:hAnsi="Times New Roman" w:cs="Times New Roman"/>
          <w:color w:val="auto"/>
        </w:rPr>
      </w:pPr>
      <w:r>
        <w:rPr>
          <w:rFonts w:ascii="Times New Roman" w:eastAsia="Times New Roman" w:hAnsi="Times New Roman" w:cs="Times New Roman"/>
          <w:color w:val="auto"/>
          <w:lang w:val="sr-Cyrl-RS"/>
        </w:rPr>
        <w:t>*</w:t>
      </w:r>
      <w:r w:rsidRPr="000419A2">
        <w:rPr>
          <w:rFonts w:ascii="Times New Roman" w:eastAsia="Times New Roman" w:hAnsi="Times New Roman" w:cs="Times New Roman"/>
          <w:color w:val="auto"/>
        </w:rPr>
        <w:t>Вредности су изражене у хиљадама динара</w:t>
      </w:r>
    </w:p>
    <w:p w14:paraId="464A49FB" w14:textId="77777777" w:rsidR="00486387" w:rsidRPr="000419A2" w:rsidRDefault="00486387" w:rsidP="00486387">
      <w:pPr>
        <w:jc w:val="both"/>
        <w:rPr>
          <w:rFonts w:ascii="Times New Roman" w:hAnsi="Times New Roman" w:cs="Times New Roman"/>
          <w:b/>
          <w:color w:val="auto"/>
          <w:sz w:val="24"/>
          <w:szCs w:val="24"/>
          <w:lang w:val="sr-Cyrl-RS"/>
        </w:rPr>
      </w:pPr>
      <w:r>
        <w:rPr>
          <w:rFonts w:ascii="Times New Roman" w:hAnsi="Times New Roman" w:cs="Times New Roman"/>
          <w:b/>
          <w:color w:val="auto"/>
          <w:sz w:val="24"/>
          <w:szCs w:val="24"/>
          <w:lang w:val="sr-Cyrl-RS"/>
        </w:rPr>
        <w:t xml:space="preserve">                </w:t>
      </w:r>
      <w:r w:rsidRPr="000419A2">
        <w:rPr>
          <w:rFonts w:ascii="Times New Roman" w:hAnsi="Times New Roman" w:cs="Times New Roman"/>
          <w:b/>
          <w:color w:val="auto"/>
          <w:sz w:val="24"/>
          <w:szCs w:val="24"/>
          <w:lang w:val="sr-Cyrl-RS"/>
        </w:rPr>
        <w:t xml:space="preserve">Табела </w:t>
      </w:r>
      <w:r>
        <w:rPr>
          <w:rFonts w:ascii="Times New Roman" w:hAnsi="Times New Roman" w:cs="Times New Roman"/>
          <w:b/>
          <w:color w:val="auto"/>
          <w:sz w:val="24"/>
          <w:szCs w:val="24"/>
          <w:lang w:val="sr-Cyrl-RS"/>
        </w:rPr>
        <w:t>22</w:t>
      </w:r>
    </w:p>
    <w:tbl>
      <w:tblPr>
        <w:tblStyle w:val="TableGrid1"/>
        <w:tblW w:w="0" w:type="auto"/>
        <w:jc w:val="center"/>
        <w:tblLook w:val="04A0" w:firstRow="1" w:lastRow="0" w:firstColumn="1" w:lastColumn="0" w:noHBand="0" w:noVBand="1"/>
      </w:tblPr>
      <w:tblGrid>
        <w:gridCol w:w="1502"/>
        <w:gridCol w:w="1502"/>
        <w:gridCol w:w="1503"/>
        <w:gridCol w:w="1503"/>
        <w:gridCol w:w="1116"/>
      </w:tblGrid>
      <w:tr w:rsidR="00486387" w:rsidRPr="000419A2" w14:paraId="503907DB" w14:textId="77777777" w:rsidTr="001A198A">
        <w:trPr>
          <w:jc w:val="center"/>
        </w:trPr>
        <w:tc>
          <w:tcPr>
            <w:tcW w:w="7126" w:type="dxa"/>
            <w:gridSpan w:val="5"/>
            <w:vAlign w:val="center"/>
          </w:tcPr>
          <w:p w14:paraId="2B04EB64" w14:textId="77777777" w:rsidR="00486387" w:rsidRPr="000419A2" w:rsidRDefault="00486387" w:rsidP="001A198A">
            <w:pPr>
              <w:jc w:val="center"/>
              <w:rPr>
                <w:b/>
                <w:lang w:val="sr-Cyrl-CS"/>
              </w:rPr>
            </w:pPr>
            <w:r w:rsidRPr="000419A2">
              <w:rPr>
                <w:b/>
                <w:lang w:val="sr-Cyrl-CS"/>
              </w:rPr>
              <w:t>Број и вредност резервисаних јавних набавки</w:t>
            </w:r>
          </w:p>
          <w:p w14:paraId="76C7208F" w14:textId="77777777" w:rsidR="00486387" w:rsidRPr="000419A2" w:rsidRDefault="00486387" w:rsidP="001A198A">
            <w:pPr>
              <w:jc w:val="center"/>
              <w:rPr>
                <w:lang w:val="sr-Cyrl-CS"/>
              </w:rPr>
            </w:pPr>
          </w:p>
        </w:tc>
      </w:tr>
      <w:tr w:rsidR="00486387" w:rsidRPr="000419A2" w14:paraId="30BF4FFD" w14:textId="77777777" w:rsidTr="001A198A">
        <w:trPr>
          <w:jc w:val="center"/>
        </w:trPr>
        <w:tc>
          <w:tcPr>
            <w:tcW w:w="1502" w:type="dxa"/>
            <w:vAlign w:val="center"/>
          </w:tcPr>
          <w:p w14:paraId="36EF4AC7" w14:textId="77777777" w:rsidR="00486387" w:rsidRPr="000419A2" w:rsidRDefault="00486387" w:rsidP="001A198A">
            <w:pPr>
              <w:jc w:val="center"/>
            </w:pPr>
            <w:r w:rsidRPr="000419A2">
              <w:t>Година</w:t>
            </w:r>
          </w:p>
        </w:tc>
        <w:tc>
          <w:tcPr>
            <w:tcW w:w="1502" w:type="dxa"/>
            <w:vAlign w:val="center"/>
          </w:tcPr>
          <w:p w14:paraId="1514958E" w14:textId="77777777" w:rsidR="00486387" w:rsidRPr="008B7A28" w:rsidRDefault="00486387" w:rsidP="001A198A">
            <w:pPr>
              <w:jc w:val="center"/>
              <w:rPr>
                <w:b/>
                <w:lang w:val="sr-Cyrl-CS"/>
              </w:rPr>
            </w:pPr>
            <w:r w:rsidRPr="008B7A28">
              <w:rPr>
                <w:b/>
                <w:lang w:val="sr-Cyrl-CS"/>
              </w:rPr>
              <w:t>2015.</w:t>
            </w:r>
          </w:p>
        </w:tc>
        <w:tc>
          <w:tcPr>
            <w:tcW w:w="1503" w:type="dxa"/>
            <w:vAlign w:val="center"/>
          </w:tcPr>
          <w:p w14:paraId="51BA1338" w14:textId="77777777" w:rsidR="00486387" w:rsidRPr="008B7A28" w:rsidRDefault="00486387" w:rsidP="001A198A">
            <w:pPr>
              <w:jc w:val="center"/>
              <w:rPr>
                <w:b/>
                <w:lang w:val="sr-Cyrl-CS"/>
              </w:rPr>
            </w:pPr>
            <w:r w:rsidRPr="008B7A28">
              <w:rPr>
                <w:b/>
                <w:lang w:val="sr-Cyrl-CS"/>
              </w:rPr>
              <w:t>2016.</w:t>
            </w:r>
          </w:p>
        </w:tc>
        <w:tc>
          <w:tcPr>
            <w:tcW w:w="1503" w:type="dxa"/>
            <w:vAlign w:val="center"/>
          </w:tcPr>
          <w:p w14:paraId="6A8032BE" w14:textId="77777777" w:rsidR="00486387" w:rsidRPr="008B7A28" w:rsidRDefault="00486387" w:rsidP="001A198A">
            <w:pPr>
              <w:jc w:val="center"/>
              <w:rPr>
                <w:b/>
                <w:lang w:val="sr-Cyrl-CS"/>
              </w:rPr>
            </w:pPr>
            <w:r w:rsidRPr="008B7A28">
              <w:rPr>
                <w:b/>
                <w:lang w:val="sr-Cyrl-CS"/>
              </w:rPr>
              <w:t>2017.</w:t>
            </w:r>
          </w:p>
        </w:tc>
        <w:tc>
          <w:tcPr>
            <w:tcW w:w="1116" w:type="dxa"/>
            <w:vAlign w:val="center"/>
          </w:tcPr>
          <w:p w14:paraId="53279656" w14:textId="77777777" w:rsidR="00486387" w:rsidRPr="008B7A28" w:rsidRDefault="00486387" w:rsidP="001A198A">
            <w:pPr>
              <w:jc w:val="center"/>
              <w:rPr>
                <w:b/>
                <w:lang w:val="sr-Cyrl-CS"/>
              </w:rPr>
            </w:pPr>
            <w:r w:rsidRPr="008B7A28">
              <w:rPr>
                <w:b/>
                <w:lang w:val="sr-Cyrl-CS"/>
              </w:rPr>
              <w:t>2018.</w:t>
            </w:r>
          </w:p>
        </w:tc>
      </w:tr>
      <w:tr w:rsidR="00486387" w:rsidRPr="000419A2" w14:paraId="4E50923A" w14:textId="77777777" w:rsidTr="001A198A">
        <w:trPr>
          <w:jc w:val="center"/>
        </w:trPr>
        <w:tc>
          <w:tcPr>
            <w:tcW w:w="1502" w:type="dxa"/>
            <w:vAlign w:val="center"/>
          </w:tcPr>
          <w:p w14:paraId="366C6238" w14:textId="77777777" w:rsidR="00486387" w:rsidRPr="000419A2" w:rsidRDefault="00486387" w:rsidP="001A198A">
            <w:pPr>
              <w:jc w:val="center"/>
              <w:rPr>
                <w:lang w:val="sr-Cyrl-CS"/>
              </w:rPr>
            </w:pPr>
            <w:r w:rsidRPr="000419A2">
              <w:rPr>
                <w:lang w:val="sr-Cyrl-CS"/>
              </w:rPr>
              <w:t>Број</w:t>
            </w:r>
          </w:p>
        </w:tc>
        <w:tc>
          <w:tcPr>
            <w:tcW w:w="1502" w:type="dxa"/>
            <w:vAlign w:val="center"/>
          </w:tcPr>
          <w:p w14:paraId="7700D8DB" w14:textId="77777777" w:rsidR="00486387" w:rsidRPr="000419A2" w:rsidRDefault="00486387" w:rsidP="001A198A">
            <w:pPr>
              <w:jc w:val="center"/>
              <w:rPr>
                <w:lang w:val="sr-Cyrl-CS"/>
              </w:rPr>
            </w:pPr>
            <w:r w:rsidRPr="000419A2">
              <w:rPr>
                <w:lang w:val="sr-Cyrl-CS"/>
              </w:rPr>
              <w:t>126</w:t>
            </w:r>
          </w:p>
        </w:tc>
        <w:tc>
          <w:tcPr>
            <w:tcW w:w="1503" w:type="dxa"/>
            <w:vAlign w:val="center"/>
          </w:tcPr>
          <w:p w14:paraId="768C3394" w14:textId="77777777" w:rsidR="00486387" w:rsidRPr="000419A2" w:rsidRDefault="00486387" w:rsidP="001A198A">
            <w:pPr>
              <w:jc w:val="center"/>
              <w:rPr>
                <w:lang w:val="sr-Cyrl-CS"/>
              </w:rPr>
            </w:pPr>
            <w:r w:rsidRPr="000419A2">
              <w:rPr>
                <w:lang w:val="sr-Cyrl-CS"/>
              </w:rPr>
              <w:t>105</w:t>
            </w:r>
          </w:p>
        </w:tc>
        <w:tc>
          <w:tcPr>
            <w:tcW w:w="1503" w:type="dxa"/>
            <w:vAlign w:val="center"/>
          </w:tcPr>
          <w:p w14:paraId="7BA3B5DD" w14:textId="77777777" w:rsidR="00486387" w:rsidRPr="000419A2" w:rsidRDefault="00486387" w:rsidP="001A198A">
            <w:pPr>
              <w:jc w:val="center"/>
              <w:rPr>
                <w:lang w:val="sr-Cyrl-CS"/>
              </w:rPr>
            </w:pPr>
            <w:r w:rsidRPr="000419A2">
              <w:rPr>
                <w:lang w:val="sr-Cyrl-CS"/>
              </w:rPr>
              <w:t>87</w:t>
            </w:r>
          </w:p>
        </w:tc>
        <w:tc>
          <w:tcPr>
            <w:tcW w:w="1116" w:type="dxa"/>
            <w:vAlign w:val="center"/>
          </w:tcPr>
          <w:p w14:paraId="5284DE4A" w14:textId="77777777" w:rsidR="00486387" w:rsidRPr="000419A2" w:rsidRDefault="00486387" w:rsidP="001A198A">
            <w:pPr>
              <w:jc w:val="center"/>
              <w:rPr>
                <w:lang w:val="sr-Cyrl-CS"/>
              </w:rPr>
            </w:pPr>
            <w:r w:rsidRPr="000419A2">
              <w:rPr>
                <w:lang w:val="sr-Cyrl-CS"/>
              </w:rPr>
              <w:t>84</w:t>
            </w:r>
          </w:p>
        </w:tc>
      </w:tr>
      <w:tr w:rsidR="00486387" w:rsidRPr="000419A2" w14:paraId="2D6AE6FE" w14:textId="77777777" w:rsidTr="001A198A">
        <w:trPr>
          <w:jc w:val="center"/>
        </w:trPr>
        <w:tc>
          <w:tcPr>
            <w:tcW w:w="1502" w:type="dxa"/>
            <w:vAlign w:val="center"/>
          </w:tcPr>
          <w:p w14:paraId="040690A4" w14:textId="77777777" w:rsidR="00486387" w:rsidRPr="000419A2" w:rsidRDefault="00486387" w:rsidP="001A198A">
            <w:pPr>
              <w:jc w:val="center"/>
              <w:rPr>
                <w:lang w:val="sr-Cyrl-CS"/>
              </w:rPr>
            </w:pPr>
            <w:r w:rsidRPr="000419A2">
              <w:rPr>
                <w:lang w:val="sr-Cyrl-CS"/>
              </w:rPr>
              <w:t>Вредност*</w:t>
            </w:r>
          </w:p>
        </w:tc>
        <w:tc>
          <w:tcPr>
            <w:tcW w:w="1502" w:type="dxa"/>
            <w:vAlign w:val="center"/>
          </w:tcPr>
          <w:p w14:paraId="0AE7A7B1" w14:textId="77777777" w:rsidR="00486387" w:rsidRPr="000419A2" w:rsidRDefault="00486387" w:rsidP="001A198A">
            <w:pPr>
              <w:jc w:val="center"/>
              <w:rPr>
                <w:lang w:val="sr-Cyrl-CS"/>
              </w:rPr>
            </w:pPr>
            <w:r w:rsidRPr="000419A2">
              <w:rPr>
                <w:lang w:val="sr-Cyrl-CS"/>
              </w:rPr>
              <w:t>634.966</w:t>
            </w:r>
          </w:p>
        </w:tc>
        <w:tc>
          <w:tcPr>
            <w:tcW w:w="1503" w:type="dxa"/>
            <w:vAlign w:val="center"/>
          </w:tcPr>
          <w:p w14:paraId="7418E90B" w14:textId="77777777" w:rsidR="00486387" w:rsidRPr="000419A2" w:rsidRDefault="00486387" w:rsidP="001A198A">
            <w:pPr>
              <w:jc w:val="center"/>
              <w:rPr>
                <w:lang w:val="sr-Cyrl-CS"/>
              </w:rPr>
            </w:pPr>
            <w:r w:rsidRPr="000419A2">
              <w:rPr>
                <w:lang w:val="sr-Cyrl-CS"/>
              </w:rPr>
              <w:t>743.695</w:t>
            </w:r>
          </w:p>
        </w:tc>
        <w:tc>
          <w:tcPr>
            <w:tcW w:w="1503" w:type="dxa"/>
            <w:vAlign w:val="center"/>
          </w:tcPr>
          <w:p w14:paraId="7AB15097" w14:textId="77777777" w:rsidR="00486387" w:rsidRPr="000419A2" w:rsidRDefault="00486387" w:rsidP="001A198A">
            <w:pPr>
              <w:jc w:val="center"/>
              <w:rPr>
                <w:lang w:val="sr-Cyrl-CS"/>
              </w:rPr>
            </w:pPr>
            <w:r w:rsidRPr="000419A2">
              <w:rPr>
                <w:lang w:val="sr-Cyrl-CS"/>
              </w:rPr>
              <w:t>544.752</w:t>
            </w:r>
          </w:p>
        </w:tc>
        <w:tc>
          <w:tcPr>
            <w:tcW w:w="1116" w:type="dxa"/>
            <w:vAlign w:val="center"/>
          </w:tcPr>
          <w:p w14:paraId="7F6DABF6" w14:textId="77777777" w:rsidR="00486387" w:rsidRPr="000419A2" w:rsidRDefault="00486387" w:rsidP="001A198A">
            <w:pPr>
              <w:jc w:val="center"/>
              <w:rPr>
                <w:lang w:val="sr-Cyrl-CS"/>
              </w:rPr>
            </w:pPr>
            <w:r w:rsidRPr="000419A2">
              <w:rPr>
                <w:lang w:val="sr-Cyrl-CS"/>
              </w:rPr>
              <w:t>663.103</w:t>
            </w:r>
          </w:p>
        </w:tc>
      </w:tr>
    </w:tbl>
    <w:p w14:paraId="792C6407" w14:textId="77777777" w:rsidR="00486387" w:rsidRPr="000419A2" w:rsidRDefault="00486387" w:rsidP="00486387">
      <w:pPr>
        <w:rPr>
          <w:rFonts w:ascii="Times New Roman" w:eastAsia="Times New Roman" w:hAnsi="Times New Roman" w:cs="Times New Roman"/>
          <w:color w:val="auto"/>
        </w:rPr>
      </w:pPr>
      <w:r>
        <w:rPr>
          <w:rFonts w:ascii="Times New Roman" w:hAnsi="Times New Roman" w:cs="Times New Roman"/>
          <w:color w:val="auto"/>
          <w:lang w:val="sr-Cyrl-RS"/>
        </w:rPr>
        <w:t xml:space="preserve">                 </w:t>
      </w:r>
      <w:r w:rsidRPr="000419A2">
        <w:rPr>
          <w:rFonts w:ascii="Times New Roman" w:hAnsi="Times New Roman" w:cs="Times New Roman"/>
          <w:color w:val="auto"/>
          <w:lang w:val="sr-Cyrl-RS"/>
        </w:rPr>
        <w:t>*</w:t>
      </w:r>
      <w:r w:rsidRPr="000419A2">
        <w:rPr>
          <w:rFonts w:ascii="Times New Roman" w:eastAsia="Times New Roman" w:hAnsi="Times New Roman" w:cs="Times New Roman"/>
          <w:color w:val="auto"/>
        </w:rPr>
        <w:t xml:space="preserve"> Вредности су изражене у хиљадама динара</w:t>
      </w:r>
    </w:p>
    <w:p w14:paraId="222B9016" w14:textId="77777777" w:rsidR="00486387" w:rsidRPr="000419A2" w:rsidRDefault="00486387" w:rsidP="00B27E6E">
      <w:pPr>
        <w:jc w:val="both"/>
        <w:rPr>
          <w:rFonts w:ascii="Times New Roman" w:eastAsia="Times New Roman" w:hAnsi="Times New Roman" w:cs="Times New Roman"/>
          <w:color w:val="auto"/>
          <w:lang w:val="sr-Cyrl-RS"/>
        </w:rPr>
      </w:pPr>
    </w:p>
    <w:p w14:paraId="51448A0E" w14:textId="77777777" w:rsidR="00AA132E" w:rsidRPr="00B27E6E" w:rsidRDefault="00AA132E">
      <w:pPr>
        <w:jc w:val="both"/>
        <w:rPr>
          <w:rFonts w:ascii="Times New Roman" w:hAnsi="Times New Roman" w:cs="Times New Roman"/>
          <w:color w:val="auto"/>
          <w:lang w:val="sr-Cyrl-RS"/>
        </w:rPr>
      </w:pPr>
    </w:p>
    <w:p w14:paraId="4D711094" w14:textId="3858E242" w:rsidR="0081466B" w:rsidRDefault="0028000E" w:rsidP="0028000E">
      <w:pPr>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X</w:t>
      </w:r>
      <w:r w:rsidR="002710A5">
        <w:rPr>
          <w:rFonts w:ascii="Times New Roman" w:eastAsia="Times New Roman" w:hAnsi="Times New Roman" w:cs="Times New Roman"/>
          <w:b/>
          <w:sz w:val="24"/>
          <w:szCs w:val="24"/>
          <w:lang w:val="en-US"/>
        </w:rPr>
        <w:t>II</w:t>
      </w:r>
      <w:r>
        <w:rPr>
          <w:rFonts w:ascii="Times New Roman" w:eastAsia="Times New Roman" w:hAnsi="Times New Roman" w:cs="Times New Roman"/>
          <w:b/>
          <w:sz w:val="24"/>
          <w:szCs w:val="24"/>
          <w:lang w:val="en-US"/>
        </w:rPr>
        <w:t xml:space="preserve">. </w:t>
      </w:r>
      <w:r w:rsidR="004F0DED">
        <w:rPr>
          <w:rFonts w:ascii="Times New Roman" w:eastAsia="Times New Roman" w:hAnsi="Times New Roman" w:cs="Times New Roman"/>
          <w:b/>
          <w:sz w:val="24"/>
          <w:szCs w:val="24"/>
        </w:rPr>
        <w:t>ПРИМЕНА КРИТЕРИЈУМА ЗА ИЗБОР НАЈПОВОЉНИЈЕ</w:t>
      </w:r>
      <w:r w:rsidR="009C4679">
        <w:rPr>
          <w:rFonts w:ascii="Times New Roman" w:eastAsia="Times New Roman" w:hAnsi="Times New Roman" w:cs="Times New Roman"/>
          <w:b/>
          <w:sz w:val="24"/>
          <w:szCs w:val="24"/>
        </w:rPr>
        <w:t xml:space="preserve"> ПОНУДЕ </w:t>
      </w:r>
    </w:p>
    <w:p w14:paraId="0595E146" w14:textId="77777777" w:rsidR="00B11287" w:rsidRDefault="00B11287">
      <w:pPr>
        <w:jc w:val="both"/>
        <w:rPr>
          <w:rFonts w:ascii="Times New Roman" w:eastAsia="Times New Roman" w:hAnsi="Times New Roman" w:cs="Times New Roman"/>
          <w:sz w:val="24"/>
          <w:szCs w:val="24"/>
        </w:rPr>
      </w:pPr>
    </w:p>
    <w:p w14:paraId="61EFF64C" w14:textId="77777777" w:rsidR="0081466B" w:rsidRDefault="004F0D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F9479D">
        <w:rPr>
          <w:rFonts w:ascii="Times New Roman" w:eastAsia="Times New Roman" w:hAnsi="Times New Roman" w:cs="Times New Roman"/>
          <w:sz w:val="24"/>
          <w:szCs w:val="24"/>
        </w:rPr>
        <w:t xml:space="preserve">ЈН </w:t>
      </w:r>
      <w:r>
        <w:rPr>
          <w:rFonts w:ascii="Times New Roman" w:eastAsia="Times New Roman" w:hAnsi="Times New Roman" w:cs="Times New Roman"/>
          <w:sz w:val="24"/>
          <w:szCs w:val="24"/>
        </w:rPr>
        <w:t>предвиђа две врсте критеријума за оцењивање понуда</w:t>
      </w:r>
      <w:r w:rsidR="009C46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4679">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критеријум економски најповољније понуде (ЕНП) и </w:t>
      </w:r>
      <w:r w:rsidR="009C4679">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критеријум најниже понуђене цене. Избор између критеријума најниже цене и ЕНП наручилац врши у зависности од предмета јавне набавке.</w:t>
      </w:r>
    </w:p>
    <w:p w14:paraId="4DC8A078" w14:textId="40A55D2D" w:rsidR="008743FC" w:rsidRDefault="00A41B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првом полугодишту 2019</w:t>
      </w:r>
      <w:r w:rsidR="009C4679">
        <w:rPr>
          <w:rFonts w:ascii="Times New Roman" w:eastAsia="Times New Roman" w:hAnsi="Times New Roman" w:cs="Times New Roman"/>
          <w:sz w:val="24"/>
          <w:szCs w:val="24"/>
        </w:rPr>
        <w:t>. године, критеријум ЕНП кориш</w:t>
      </w:r>
      <w:r>
        <w:rPr>
          <w:rFonts w:ascii="Times New Roman" w:eastAsia="Times New Roman" w:hAnsi="Times New Roman" w:cs="Times New Roman"/>
          <w:sz w:val="24"/>
          <w:szCs w:val="24"/>
        </w:rPr>
        <w:t>ћен је у 10</w:t>
      </w:r>
      <w:r w:rsidR="00383C7E">
        <w:rPr>
          <w:rFonts w:ascii="Times New Roman" w:eastAsia="Times New Roman" w:hAnsi="Times New Roman" w:cs="Times New Roman"/>
          <w:sz w:val="24"/>
          <w:szCs w:val="24"/>
        </w:rPr>
        <w:t>% поступака</w:t>
      </w:r>
      <w:r w:rsidR="009C4679">
        <w:rPr>
          <w:rFonts w:ascii="Times New Roman" w:eastAsia="Times New Roman" w:hAnsi="Times New Roman" w:cs="Times New Roman"/>
          <w:sz w:val="24"/>
          <w:szCs w:val="24"/>
        </w:rPr>
        <w:t>, док је критеријум најни</w:t>
      </w:r>
      <w:r>
        <w:rPr>
          <w:rFonts w:ascii="Times New Roman" w:eastAsia="Times New Roman" w:hAnsi="Times New Roman" w:cs="Times New Roman"/>
          <w:sz w:val="24"/>
          <w:szCs w:val="24"/>
        </w:rPr>
        <w:t>же цене примењен у преосталих 90</w:t>
      </w:r>
      <w:r w:rsidR="009C4679">
        <w:rPr>
          <w:rFonts w:ascii="Times New Roman" w:eastAsia="Times New Roman" w:hAnsi="Times New Roman" w:cs="Times New Roman"/>
          <w:sz w:val="24"/>
          <w:szCs w:val="24"/>
        </w:rPr>
        <w:t>% случајева</w:t>
      </w:r>
      <w:r>
        <w:rPr>
          <w:rFonts w:ascii="Times New Roman" w:eastAsia="Times New Roman" w:hAnsi="Times New Roman" w:cs="Times New Roman"/>
          <w:sz w:val="24"/>
          <w:szCs w:val="24"/>
        </w:rPr>
        <w:t xml:space="preserve">,  што је лошији резултат него </w:t>
      </w:r>
      <w:r w:rsidR="00856843">
        <w:rPr>
          <w:rFonts w:ascii="Times New Roman" w:eastAsia="Times New Roman" w:hAnsi="Times New Roman" w:cs="Times New Roman"/>
          <w:sz w:val="24"/>
          <w:szCs w:val="24"/>
          <w:lang w:val="sr-Cyrl-RS"/>
        </w:rPr>
        <w:t xml:space="preserve">у истом периоду </w:t>
      </w:r>
      <w:r w:rsidR="0082050A">
        <w:rPr>
          <w:rFonts w:ascii="Times New Roman" w:eastAsia="Times New Roman" w:hAnsi="Times New Roman" w:cs="Times New Roman"/>
          <w:sz w:val="24"/>
          <w:szCs w:val="24"/>
        </w:rPr>
        <w:t>претходне године (Слика 1</w:t>
      </w:r>
      <w:r w:rsidR="000419A2">
        <w:rPr>
          <w:rFonts w:ascii="Times New Roman" w:eastAsia="Times New Roman" w:hAnsi="Times New Roman" w:cs="Times New Roman"/>
          <w:sz w:val="24"/>
          <w:szCs w:val="24"/>
          <w:lang w:val="sr-Cyrl-RS"/>
        </w:rPr>
        <w:t>4</w:t>
      </w:r>
      <w:r w:rsidR="00A95406">
        <w:rPr>
          <w:rFonts w:ascii="Times New Roman" w:eastAsia="Times New Roman" w:hAnsi="Times New Roman" w:cs="Times New Roman"/>
          <w:sz w:val="24"/>
          <w:szCs w:val="24"/>
        </w:rPr>
        <w:t>)</w:t>
      </w:r>
      <w:r w:rsidR="009C4679">
        <w:rPr>
          <w:rFonts w:ascii="Times New Roman" w:eastAsia="Times New Roman" w:hAnsi="Times New Roman" w:cs="Times New Roman"/>
          <w:sz w:val="24"/>
          <w:szCs w:val="24"/>
        </w:rPr>
        <w:t xml:space="preserve">. </w:t>
      </w:r>
      <w:r w:rsidR="008A2083">
        <w:rPr>
          <w:rFonts w:ascii="Times New Roman" w:eastAsia="Times New Roman" w:hAnsi="Times New Roman" w:cs="Times New Roman"/>
          <w:sz w:val="24"/>
          <w:szCs w:val="24"/>
          <w:lang w:val="sr-Cyrl-RS"/>
        </w:rPr>
        <w:t>Другачија</w:t>
      </w:r>
      <w:r w:rsidR="00383C7E">
        <w:rPr>
          <w:rFonts w:ascii="Times New Roman" w:eastAsia="Times New Roman" w:hAnsi="Times New Roman" w:cs="Times New Roman"/>
          <w:sz w:val="24"/>
          <w:szCs w:val="24"/>
        </w:rPr>
        <w:t xml:space="preserve"> сразмера постоји у земљама региона које су чланице ЕУ. У </w:t>
      </w:r>
      <w:r w:rsidR="008A2083">
        <w:rPr>
          <w:rFonts w:ascii="Times New Roman" w:eastAsia="Times New Roman" w:hAnsi="Times New Roman" w:cs="Times New Roman"/>
          <w:sz w:val="24"/>
          <w:szCs w:val="24"/>
          <w:lang w:val="sr-Cyrl-RS"/>
        </w:rPr>
        <w:t xml:space="preserve">Хрватској </w:t>
      </w:r>
      <w:r w:rsidR="00383C7E">
        <w:rPr>
          <w:rFonts w:ascii="Times New Roman" w:eastAsia="Times New Roman" w:hAnsi="Times New Roman" w:cs="Times New Roman"/>
          <w:sz w:val="24"/>
          <w:szCs w:val="24"/>
        </w:rPr>
        <w:t xml:space="preserve"> је, у 201</w:t>
      </w:r>
      <w:r w:rsidR="008A2083">
        <w:rPr>
          <w:rFonts w:ascii="Times New Roman" w:eastAsia="Times New Roman" w:hAnsi="Times New Roman" w:cs="Times New Roman"/>
          <w:sz w:val="24"/>
          <w:szCs w:val="24"/>
          <w:lang w:val="en-US"/>
        </w:rPr>
        <w:t>8</w:t>
      </w:r>
      <w:r w:rsidR="00383C7E">
        <w:rPr>
          <w:rFonts w:ascii="Times New Roman" w:eastAsia="Times New Roman" w:hAnsi="Times New Roman" w:cs="Times New Roman"/>
          <w:sz w:val="24"/>
          <w:szCs w:val="24"/>
        </w:rPr>
        <w:t xml:space="preserve">. години, критеријум ЕНП </w:t>
      </w:r>
      <w:r w:rsidR="00383C7E">
        <w:rPr>
          <w:rFonts w:ascii="Times New Roman" w:eastAsia="Times New Roman" w:hAnsi="Times New Roman" w:cs="Times New Roman"/>
          <w:sz w:val="24"/>
          <w:szCs w:val="24"/>
        </w:rPr>
        <w:lastRenderedPageBreak/>
        <w:t xml:space="preserve">примењен у </w:t>
      </w:r>
      <w:r w:rsidR="008A2083">
        <w:rPr>
          <w:rFonts w:ascii="Times New Roman" w:eastAsia="Times New Roman" w:hAnsi="Times New Roman" w:cs="Times New Roman"/>
          <w:sz w:val="24"/>
          <w:szCs w:val="24"/>
          <w:lang w:val="sr-Cyrl-RS"/>
        </w:rPr>
        <w:t>6</w:t>
      </w:r>
      <w:r w:rsidR="008A2083">
        <w:rPr>
          <w:rFonts w:ascii="Times New Roman" w:eastAsia="Times New Roman" w:hAnsi="Times New Roman" w:cs="Times New Roman"/>
          <w:sz w:val="24"/>
          <w:szCs w:val="24"/>
          <w:lang w:val="en-US"/>
        </w:rPr>
        <w:t>6</w:t>
      </w:r>
      <w:r w:rsidR="00383C7E">
        <w:rPr>
          <w:rFonts w:ascii="Times New Roman" w:eastAsia="Times New Roman" w:hAnsi="Times New Roman" w:cs="Times New Roman"/>
          <w:sz w:val="24"/>
          <w:szCs w:val="24"/>
        </w:rPr>
        <w:t xml:space="preserve">% поступака, у </w:t>
      </w:r>
      <w:r w:rsidR="008A2083">
        <w:rPr>
          <w:rFonts w:ascii="Times New Roman" w:eastAsia="Times New Roman" w:hAnsi="Times New Roman" w:cs="Times New Roman"/>
          <w:sz w:val="24"/>
          <w:szCs w:val="24"/>
          <w:lang w:val="sr-Cyrl-RS"/>
        </w:rPr>
        <w:t xml:space="preserve">Мађарској </w:t>
      </w:r>
      <w:r w:rsidR="00383C7E">
        <w:rPr>
          <w:rFonts w:ascii="Times New Roman" w:eastAsia="Times New Roman" w:hAnsi="Times New Roman" w:cs="Times New Roman"/>
          <w:sz w:val="24"/>
          <w:szCs w:val="24"/>
        </w:rPr>
        <w:t xml:space="preserve">у </w:t>
      </w:r>
      <w:r w:rsidR="008A2083">
        <w:rPr>
          <w:rFonts w:ascii="Times New Roman" w:eastAsia="Times New Roman" w:hAnsi="Times New Roman" w:cs="Times New Roman"/>
          <w:sz w:val="24"/>
          <w:szCs w:val="24"/>
          <w:lang w:val="sr-Cyrl-RS"/>
        </w:rPr>
        <w:t>5</w:t>
      </w:r>
      <w:r w:rsidR="008A2083">
        <w:rPr>
          <w:rFonts w:ascii="Times New Roman" w:eastAsia="Times New Roman" w:hAnsi="Times New Roman" w:cs="Times New Roman"/>
          <w:sz w:val="24"/>
          <w:szCs w:val="24"/>
          <w:lang w:val="en-US"/>
        </w:rPr>
        <w:t>6</w:t>
      </w:r>
      <w:r w:rsidR="00383C7E">
        <w:rPr>
          <w:rFonts w:ascii="Times New Roman" w:eastAsia="Times New Roman" w:hAnsi="Times New Roman" w:cs="Times New Roman"/>
          <w:sz w:val="24"/>
          <w:szCs w:val="24"/>
        </w:rPr>
        <w:t xml:space="preserve">%, </w:t>
      </w:r>
      <w:r w:rsidR="008A2083">
        <w:rPr>
          <w:rFonts w:ascii="Times New Roman" w:eastAsia="Times New Roman" w:hAnsi="Times New Roman" w:cs="Times New Roman"/>
          <w:sz w:val="24"/>
          <w:szCs w:val="24"/>
          <w:lang w:val="sr"/>
        </w:rPr>
        <w:t xml:space="preserve">у </w:t>
      </w:r>
      <w:r w:rsidR="00383C7E">
        <w:rPr>
          <w:rFonts w:ascii="Times New Roman" w:eastAsia="Times New Roman" w:hAnsi="Times New Roman" w:cs="Times New Roman"/>
          <w:sz w:val="24"/>
          <w:szCs w:val="24"/>
          <w:lang w:val="sr"/>
        </w:rPr>
        <w:t xml:space="preserve"> </w:t>
      </w:r>
      <w:r w:rsidR="008A2083">
        <w:rPr>
          <w:rFonts w:ascii="Times New Roman" w:eastAsia="Times New Roman" w:hAnsi="Times New Roman" w:cs="Times New Roman"/>
          <w:sz w:val="24"/>
          <w:szCs w:val="24"/>
          <w:lang w:val="sr-Cyrl-RS"/>
        </w:rPr>
        <w:t>Бугарској у 16</w:t>
      </w:r>
      <w:r w:rsidR="00383C7E">
        <w:rPr>
          <w:rFonts w:ascii="Times New Roman" w:eastAsia="Times New Roman" w:hAnsi="Times New Roman" w:cs="Times New Roman"/>
          <w:sz w:val="24"/>
          <w:szCs w:val="24"/>
          <w:lang w:val="sr"/>
        </w:rPr>
        <w:t xml:space="preserve">%, </w:t>
      </w:r>
      <w:r w:rsidR="00A95406">
        <w:rPr>
          <w:rFonts w:ascii="Times New Roman" w:eastAsia="Times New Roman" w:hAnsi="Times New Roman" w:cs="Times New Roman"/>
          <w:sz w:val="24"/>
          <w:szCs w:val="24"/>
          <w:lang w:val="sr"/>
        </w:rPr>
        <w:t xml:space="preserve">у </w:t>
      </w:r>
      <w:r w:rsidR="00383C7E">
        <w:rPr>
          <w:rFonts w:ascii="Times New Roman" w:eastAsia="Times New Roman" w:hAnsi="Times New Roman" w:cs="Times New Roman"/>
          <w:sz w:val="24"/>
          <w:szCs w:val="24"/>
          <w:lang w:val="sr"/>
        </w:rPr>
        <w:t xml:space="preserve">Румунији </w:t>
      </w:r>
      <w:r w:rsidR="00A95406">
        <w:rPr>
          <w:rFonts w:ascii="Times New Roman" w:eastAsia="Times New Roman" w:hAnsi="Times New Roman" w:cs="Times New Roman"/>
          <w:sz w:val="24"/>
          <w:szCs w:val="24"/>
          <w:lang w:val="sr"/>
        </w:rPr>
        <w:t xml:space="preserve">у </w:t>
      </w:r>
      <w:r w:rsidR="008A2083">
        <w:rPr>
          <w:rFonts w:ascii="Times New Roman" w:eastAsia="Times New Roman" w:hAnsi="Times New Roman" w:cs="Times New Roman"/>
          <w:sz w:val="24"/>
          <w:szCs w:val="24"/>
          <w:lang w:val="sr"/>
        </w:rPr>
        <w:t>14</w:t>
      </w:r>
      <w:r w:rsidR="00383C7E">
        <w:rPr>
          <w:rFonts w:ascii="Times New Roman" w:eastAsia="Times New Roman" w:hAnsi="Times New Roman" w:cs="Times New Roman"/>
          <w:sz w:val="24"/>
          <w:szCs w:val="24"/>
          <w:lang w:val="sr"/>
        </w:rPr>
        <w:t>% поступака</w:t>
      </w:r>
      <w:r w:rsidR="008A2083">
        <w:rPr>
          <w:rFonts w:ascii="Times New Roman" w:eastAsia="Times New Roman" w:hAnsi="Times New Roman" w:cs="Times New Roman"/>
          <w:sz w:val="24"/>
          <w:szCs w:val="24"/>
          <w:lang w:val="sr-Cyrl-RS"/>
        </w:rPr>
        <w:t xml:space="preserve">, док је у Словачкој наведени критеријум био заступљен у </w:t>
      </w:r>
      <w:r w:rsidR="00CB39A7">
        <w:rPr>
          <w:rFonts w:ascii="Times New Roman" w:eastAsia="Times New Roman" w:hAnsi="Times New Roman" w:cs="Times New Roman"/>
          <w:sz w:val="24"/>
          <w:szCs w:val="24"/>
          <w:lang w:val="sr-Cyrl-RS"/>
        </w:rPr>
        <w:t xml:space="preserve"> свега </w:t>
      </w:r>
      <w:r w:rsidR="008A2083">
        <w:rPr>
          <w:rFonts w:ascii="Times New Roman" w:eastAsia="Times New Roman" w:hAnsi="Times New Roman" w:cs="Times New Roman"/>
          <w:sz w:val="24"/>
          <w:szCs w:val="24"/>
          <w:lang w:val="sr-Cyrl-RS"/>
        </w:rPr>
        <w:t>4% случајева</w:t>
      </w:r>
      <w:r w:rsidR="004B3371">
        <w:rPr>
          <w:rStyle w:val="FootnoteReference"/>
          <w:rFonts w:ascii="Times New Roman" w:eastAsia="Times New Roman" w:hAnsi="Times New Roman" w:cs="Times New Roman"/>
          <w:sz w:val="24"/>
          <w:szCs w:val="24"/>
          <w:lang w:val="sr-Cyrl-RS"/>
        </w:rPr>
        <w:footnoteReference w:id="4"/>
      </w:r>
      <w:r w:rsidR="008A2083">
        <w:rPr>
          <w:rFonts w:ascii="Times New Roman" w:eastAsia="Times New Roman" w:hAnsi="Times New Roman" w:cs="Times New Roman"/>
          <w:sz w:val="24"/>
          <w:szCs w:val="24"/>
          <w:lang w:val="sr-Cyrl-RS"/>
        </w:rPr>
        <w:t>.</w:t>
      </w:r>
      <w:r w:rsidR="008743FC">
        <w:rPr>
          <w:rFonts w:ascii="Times New Roman" w:eastAsia="Times New Roman" w:hAnsi="Times New Roman" w:cs="Times New Roman"/>
          <w:b/>
          <w:sz w:val="24"/>
          <w:szCs w:val="24"/>
        </w:rPr>
        <w:t xml:space="preserve">                      </w:t>
      </w:r>
      <w:r w:rsidR="006374CB">
        <w:rPr>
          <w:rFonts w:ascii="Times New Roman" w:eastAsia="Times New Roman" w:hAnsi="Times New Roman" w:cs="Times New Roman"/>
          <w:b/>
          <w:sz w:val="24"/>
          <w:szCs w:val="24"/>
        </w:rPr>
        <w:t xml:space="preserve">           </w:t>
      </w:r>
    </w:p>
    <w:p w14:paraId="24C0F3C9" w14:textId="77777777" w:rsidR="00954AD9" w:rsidRDefault="00997A1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54C1A6E" w14:textId="2354344A" w:rsidR="0081466B" w:rsidRDefault="00954AD9">
      <w:pPr>
        <w:jc w:val="both"/>
      </w:pPr>
      <w:r>
        <w:rPr>
          <w:rFonts w:ascii="Times New Roman" w:eastAsia="Times New Roman" w:hAnsi="Times New Roman" w:cs="Times New Roman"/>
          <w:b/>
          <w:sz w:val="24"/>
          <w:szCs w:val="24"/>
          <w:lang w:val="sr-Cyrl-CS"/>
        </w:rPr>
        <w:t xml:space="preserve">   </w:t>
      </w:r>
      <w:r w:rsidR="009E472C">
        <w:rPr>
          <w:rFonts w:ascii="Times New Roman" w:eastAsia="Times New Roman" w:hAnsi="Times New Roman" w:cs="Times New Roman"/>
          <w:b/>
          <w:sz w:val="24"/>
          <w:szCs w:val="24"/>
        </w:rPr>
        <w:t xml:space="preserve"> </w:t>
      </w:r>
      <w:r w:rsidR="0082050A" w:rsidRPr="000419A2">
        <w:rPr>
          <w:rFonts w:ascii="Times New Roman" w:eastAsia="Times New Roman" w:hAnsi="Times New Roman" w:cs="Times New Roman"/>
          <w:b/>
          <w:color w:val="auto"/>
          <w:sz w:val="24"/>
          <w:szCs w:val="24"/>
        </w:rPr>
        <w:t>Слика 1</w:t>
      </w:r>
      <w:r w:rsidR="000419A2">
        <w:rPr>
          <w:rFonts w:ascii="Times New Roman" w:eastAsia="Times New Roman" w:hAnsi="Times New Roman" w:cs="Times New Roman"/>
          <w:b/>
          <w:color w:val="auto"/>
          <w:sz w:val="24"/>
          <w:szCs w:val="24"/>
          <w:lang w:val="sr-Cyrl-RS"/>
        </w:rPr>
        <w:t>4</w:t>
      </w:r>
      <w:r w:rsidR="004F0DED" w:rsidRPr="000419A2">
        <w:rPr>
          <w:rFonts w:ascii="Times New Roman" w:eastAsia="Times New Roman" w:hAnsi="Times New Roman" w:cs="Times New Roman"/>
          <w:b/>
          <w:color w:val="auto"/>
          <w:sz w:val="24"/>
          <w:szCs w:val="24"/>
        </w:rPr>
        <w:t xml:space="preserve">  </w:t>
      </w:r>
    </w:p>
    <w:p w14:paraId="039EDA50" w14:textId="77777777" w:rsidR="00A95406" w:rsidRPr="00E506F3" w:rsidRDefault="00997A12" w:rsidP="00E506F3">
      <w:pPr>
        <w:jc w:val="center"/>
      </w:pPr>
      <w:bookmarkStart w:id="11" w:name="_lnxbz9" w:colFirst="0" w:colLast="0"/>
      <w:bookmarkEnd w:id="11"/>
      <w:r>
        <w:rPr>
          <w:noProof/>
          <w:lang w:val="sr-Cyrl-RS" w:eastAsia="sr-Cyrl-RS"/>
        </w:rPr>
        <w:drawing>
          <wp:inline distT="0" distB="0" distL="0" distR="0" wp14:anchorId="30FDA8A2" wp14:editId="1AAFC71B">
            <wp:extent cx="5467350" cy="3176270"/>
            <wp:effectExtent l="0" t="0" r="0" b="50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029D55B" w14:textId="77777777" w:rsidR="0081466B" w:rsidRDefault="0081466B">
      <w:pPr>
        <w:jc w:val="both"/>
      </w:pPr>
    </w:p>
    <w:p w14:paraId="5FEAB090" w14:textId="362BE256" w:rsidR="0081466B" w:rsidRDefault="00314D60">
      <w:pPr>
        <w:jc w:val="both"/>
      </w:pPr>
      <w:r>
        <w:rPr>
          <w:rFonts w:ascii="Times New Roman" w:eastAsia="Times New Roman" w:hAnsi="Times New Roman" w:cs="Times New Roman"/>
          <w:b/>
          <w:sz w:val="24"/>
          <w:szCs w:val="24"/>
          <w:lang w:val="en-US"/>
        </w:rPr>
        <w:t>XIII</w:t>
      </w:r>
      <w:r w:rsidR="007E77D0">
        <w:rPr>
          <w:rFonts w:ascii="Times New Roman" w:eastAsia="Times New Roman" w:hAnsi="Times New Roman" w:cs="Times New Roman"/>
          <w:b/>
          <w:sz w:val="24"/>
          <w:szCs w:val="24"/>
          <w:lang w:val="en-US"/>
        </w:rPr>
        <w:t>.</w:t>
      </w:r>
      <w:r w:rsidR="00CE5193">
        <w:rPr>
          <w:rFonts w:ascii="Times New Roman" w:eastAsia="Times New Roman" w:hAnsi="Times New Roman" w:cs="Times New Roman"/>
          <w:b/>
          <w:sz w:val="24"/>
          <w:szCs w:val="24"/>
          <w:lang w:val="en-US"/>
        </w:rPr>
        <w:tab/>
      </w:r>
      <w:r w:rsidR="004F0DED">
        <w:rPr>
          <w:rFonts w:ascii="Times New Roman" w:eastAsia="Times New Roman" w:hAnsi="Times New Roman" w:cs="Times New Roman"/>
          <w:b/>
          <w:sz w:val="24"/>
          <w:szCs w:val="24"/>
        </w:rPr>
        <w:t xml:space="preserve">АКТИВНОСТИ УПРАВЕ </w:t>
      </w:r>
    </w:p>
    <w:p w14:paraId="49848078" w14:textId="77777777" w:rsidR="0081466B" w:rsidRDefault="0081466B">
      <w:pPr>
        <w:spacing w:after="0"/>
        <w:jc w:val="both"/>
      </w:pPr>
    </w:p>
    <w:p w14:paraId="7B4162FE" w14:textId="77777777" w:rsidR="004F5F81" w:rsidRPr="003B44DC" w:rsidRDefault="004F5F81" w:rsidP="004F5F81">
      <w:pPr>
        <w:jc w:val="both"/>
        <w:rPr>
          <w:rFonts w:ascii="Times New Roman" w:eastAsia="Times New Roman" w:hAnsi="Times New Roman" w:cs="Times New Roman"/>
          <w:b/>
          <w:color w:val="auto"/>
          <w:sz w:val="24"/>
          <w:szCs w:val="24"/>
        </w:rPr>
      </w:pPr>
      <w:r w:rsidRPr="003B44DC">
        <w:rPr>
          <w:rFonts w:ascii="Times New Roman" w:eastAsia="Times New Roman" w:hAnsi="Times New Roman" w:cs="Times New Roman"/>
          <w:b/>
          <w:color w:val="auto"/>
          <w:sz w:val="24"/>
          <w:szCs w:val="24"/>
        </w:rPr>
        <w:t xml:space="preserve">Процес придруживања ЕУ </w:t>
      </w:r>
    </w:p>
    <w:p w14:paraId="08717547" w14:textId="25AC98FA" w:rsidR="00FF54AF" w:rsidRDefault="00FF54AF" w:rsidP="00FF54AF">
      <w:pPr>
        <w:spacing w:after="0"/>
        <w:jc w:val="both"/>
        <w:rPr>
          <w:rFonts w:ascii="Times New Roman" w:hAnsi="Times New Roman"/>
          <w:color w:val="auto"/>
          <w:sz w:val="24"/>
          <w:szCs w:val="24"/>
          <w:lang w:val="sr-Cyrl-RS"/>
        </w:rPr>
      </w:pPr>
      <w:r w:rsidRPr="00FF54AF">
        <w:rPr>
          <w:rFonts w:ascii="Times New Roman" w:hAnsi="Times New Roman"/>
          <w:color w:val="auto"/>
          <w:sz w:val="24"/>
          <w:szCs w:val="24"/>
          <w:lang w:val="sr-Cyrl-RS"/>
        </w:rPr>
        <w:t>Стратегијом</w:t>
      </w:r>
      <w:r w:rsidR="00384CA5">
        <w:rPr>
          <w:rFonts w:ascii="Times New Roman" w:hAnsi="Times New Roman"/>
          <w:color w:val="auto"/>
          <w:sz w:val="24"/>
          <w:szCs w:val="24"/>
          <w:lang w:val="sr-Cyrl-RS"/>
        </w:rPr>
        <w:t xml:space="preserve"> развоја јавних набавки</w:t>
      </w:r>
      <w:r w:rsidRPr="00FF54AF">
        <w:rPr>
          <w:rFonts w:ascii="Times New Roman" w:hAnsi="Times New Roman"/>
          <w:color w:val="auto"/>
          <w:sz w:val="24"/>
          <w:szCs w:val="24"/>
          <w:lang w:val="sr-Cyrl-RS"/>
        </w:rPr>
        <w:t xml:space="preserve"> и годишњим акционим плановима су одређени планови, активности и временски оквир у којем Република Србија планира да потпуно усагласи </w:t>
      </w:r>
      <w:r w:rsidR="00384CA5">
        <w:rPr>
          <w:rFonts w:ascii="Times New Roman" w:hAnsi="Times New Roman"/>
          <w:color w:val="auto"/>
          <w:sz w:val="24"/>
          <w:szCs w:val="24"/>
          <w:lang w:val="sr-Cyrl-RS"/>
        </w:rPr>
        <w:t xml:space="preserve">домаћу регулативу </w:t>
      </w:r>
      <w:r w:rsidRPr="00FF54AF">
        <w:rPr>
          <w:rFonts w:ascii="Times New Roman" w:hAnsi="Times New Roman"/>
          <w:color w:val="auto"/>
          <w:sz w:val="24"/>
          <w:szCs w:val="24"/>
          <w:lang w:val="sr-Cyrl-RS"/>
        </w:rPr>
        <w:t>са захтевима из правних тековина ЕУ у области јавних набавки, што укључује правилан и потпун пренос правних тековина, те тако друга фаза процеса потпуног усклађивања обухвата доношење новог ЗЈН и Закона о ЈППК. С тим у вези, Предлог ЗЈН усвојен је на седници Владе 23. септембра</w:t>
      </w:r>
      <w:r w:rsidR="00592AB0">
        <w:rPr>
          <w:rFonts w:ascii="Times New Roman" w:hAnsi="Times New Roman"/>
          <w:color w:val="auto"/>
          <w:sz w:val="24"/>
          <w:szCs w:val="24"/>
          <w:lang w:val="sr-Cyrl-RS"/>
        </w:rPr>
        <w:t xml:space="preserve"> 2019</w:t>
      </w:r>
      <w:r w:rsidRPr="00FF54AF">
        <w:rPr>
          <w:rFonts w:ascii="Times New Roman" w:hAnsi="Times New Roman"/>
          <w:color w:val="auto"/>
          <w:sz w:val="24"/>
          <w:szCs w:val="24"/>
          <w:lang w:val="sr-Cyrl-RS"/>
        </w:rPr>
        <w:t>. Нови ЗЈН усклађен је са коментарима Европске комисије.</w:t>
      </w:r>
    </w:p>
    <w:p w14:paraId="54926B3C" w14:textId="77777777" w:rsidR="00480840" w:rsidRPr="00FF54AF" w:rsidRDefault="00480840" w:rsidP="00FF54AF">
      <w:pPr>
        <w:spacing w:after="0"/>
        <w:jc w:val="both"/>
        <w:rPr>
          <w:rFonts w:ascii="Times New Roman" w:hAnsi="Times New Roman"/>
          <w:color w:val="auto"/>
          <w:sz w:val="24"/>
          <w:szCs w:val="24"/>
          <w:lang w:val="sr-Cyrl-RS"/>
        </w:rPr>
      </w:pPr>
    </w:p>
    <w:p w14:paraId="03ACC949" w14:textId="18CE7026" w:rsidR="00FF54AF" w:rsidRPr="00FF54AF" w:rsidRDefault="00FF54AF" w:rsidP="00FF54AF">
      <w:pPr>
        <w:spacing w:after="0"/>
        <w:jc w:val="both"/>
        <w:rPr>
          <w:rFonts w:ascii="Times New Roman" w:hAnsi="Times New Roman"/>
          <w:color w:val="auto"/>
          <w:sz w:val="24"/>
          <w:szCs w:val="24"/>
          <w:lang w:val="sr-Cyrl-RS"/>
        </w:rPr>
      </w:pPr>
      <w:r w:rsidRPr="00FF54AF">
        <w:rPr>
          <w:rFonts w:ascii="Times New Roman" w:hAnsi="Times New Roman"/>
          <w:color w:val="auto"/>
          <w:sz w:val="24"/>
          <w:szCs w:val="24"/>
          <w:lang w:val="sr-Cyrl-RS"/>
        </w:rPr>
        <w:lastRenderedPageBreak/>
        <w:t xml:space="preserve">Такође, </w:t>
      </w:r>
      <w:r w:rsidRPr="00FF54AF">
        <w:rPr>
          <w:rFonts w:ascii="Times New Roman" w:hAnsi="Times New Roman"/>
          <w:color w:val="auto"/>
          <w:sz w:val="24"/>
          <w:szCs w:val="24"/>
        </w:rPr>
        <w:t>У</w:t>
      </w:r>
      <w:r w:rsidRPr="00FF54AF">
        <w:rPr>
          <w:rFonts w:ascii="Times New Roman" w:hAnsi="Times New Roman"/>
          <w:color w:val="auto"/>
          <w:sz w:val="24"/>
          <w:szCs w:val="24"/>
          <w:lang w:val="sr-Cyrl-RS"/>
        </w:rPr>
        <w:t>права</w:t>
      </w:r>
      <w:r w:rsidRPr="00FF54AF">
        <w:rPr>
          <w:rFonts w:ascii="Times New Roman" w:hAnsi="Times New Roman"/>
          <w:color w:val="auto"/>
          <w:sz w:val="24"/>
          <w:szCs w:val="24"/>
        </w:rPr>
        <w:t xml:space="preserve"> </w:t>
      </w:r>
      <w:r w:rsidR="00592AB0">
        <w:rPr>
          <w:rFonts w:ascii="Times New Roman" w:hAnsi="Times New Roman"/>
          <w:color w:val="auto"/>
          <w:sz w:val="24"/>
          <w:szCs w:val="24"/>
          <w:lang w:val="sr-Cyrl-RS"/>
        </w:rPr>
        <w:t xml:space="preserve">је </w:t>
      </w:r>
      <w:r w:rsidRPr="00FF54AF">
        <w:rPr>
          <w:rFonts w:ascii="Times New Roman" w:hAnsi="Times New Roman"/>
          <w:color w:val="auto"/>
          <w:sz w:val="24"/>
          <w:szCs w:val="24"/>
        </w:rPr>
        <w:t>израдила Предлог</w:t>
      </w:r>
      <w:r w:rsidRPr="00FF54AF">
        <w:rPr>
          <w:rFonts w:ascii="Times New Roman" w:hAnsi="Times New Roman"/>
          <w:color w:val="auto"/>
          <w:sz w:val="24"/>
          <w:szCs w:val="24"/>
          <w:lang w:val="sr-Cyrl-RS"/>
        </w:rPr>
        <w:t xml:space="preserve"> с</w:t>
      </w:r>
      <w:r w:rsidRPr="00FF54AF">
        <w:rPr>
          <w:rFonts w:ascii="Times New Roman" w:hAnsi="Times New Roman"/>
          <w:color w:val="auto"/>
          <w:sz w:val="24"/>
          <w:szCs w:val="24"/>
        </w:rPr>
        <w:t xml:space="preserve">тратегије за развој јавних набавки у Републици Србији за период 2019 </w:t>
      </w:r>
      <w:r w:rsidR="00AA0A06">
        <w:rPr>
          <w:rFonts w:ascii="Times New Roman" w:hAnsi="Times New Roman"/>
          <w:color w:val="auto"/>
          <w:sz w:val="24"/>
          <w:szCs w:val="24"/>
        </w:rPr>
        <w:t>–</w:t>
      </w:r>
      <w:r w:rsidRPr="00FF54AF">
        <w:rPr>
          <w:rFonts w:ascii="Times New Roman" w:hAnsi="Times New Roman"/>
          <w:color w:val="auto"/>
          <w:sz w:val="24"/>
          <w:szCs w:val="24"/>
        </w:rPr>
        <w:t xml:space="preserve"> 2023</w:t>
      </w:r>
      <w:r w:rsidR="00AA0A06">
        <w:rPr>
          <w:rFonts w:ascii="Times New Roman" w:hAnsi="Times New Roman"/>
          <w:color w:val="auto"/>
          <w:sz w:val="24"/>
          <w:szCs w:val="24"/>
          <w:lang w:val="sr-Cyrl-RS"/>
        </w:rPr>
        <w:t>.година</w:t>
      </w:r>
      <w:r w:rsidRPr="00FF54AF">
        <w:rPr>
          <w:rFonts w:ascii="Times New Roman" w:hAnsi="Times New Roman"/>
          <w:color w:val="auto"/>
          <w:sz w:val="24"/>
          <w:szCs w:val="24"/>
        </w:rPr>
        <w:t>, у циљу дефинисања правца даљег развоја система јавних набавки и стварања модерног и ефикасног система јавних набавки. С тим у вези, организован</w:t>
      </w:r>
      <w:r w:rsidRPr="00FF54AF">
        <w:rPr>
          <w:rFonts w:ascii="Times New Roman" w:hAnsi="Times New Roman"/>
          <w:color w:val="auto"/>
          <w:sz w:val="24"/>
          <w:szCs w:val="24"/>
          <w:lang w:val="sr-Cyrl-RS"/>
        </w:rPr>
        <w:t>а</w:t>
      </w:r>
      <w:r w:rsidRPr="00FF54AF">
        <w:rPr>
          <w:rFonts w:ascii="Times New Roman" w:hAnsi="Times New Roman"/>
          <w:color w:val="auto"/>
          <w:sz w:val="24"/>
          <w:szCs w:val="24"/>
        </w:rPr>
        <w:t xml:space="preserve"> је</w:t>
      </w:r>
      <w:r w:rsidRPr="00FF54AF">
        <w:rPr>
          <w:rFonts w:ascii="Times New Roman" w:hAnsi="Times New Roman"/>
          <w:color w:val="auto"/>
          <w:sz w:val="24"/>
          <w:szCs w:val="24"/>
          <w:lang w:val="sr-Cyrl-RS"/>
        </w:rPr>
        <w:t xml:space="preserve"> јавна расправа током 2019. године и </w:t>
      </w:r>
      <w:r w:rsidR="00592AB0">
        <w:rPr>
          <w:rFonts w:ascii="Times New Roman" w:hAnsi="Times New Roman"/>
          <w:color w:val="auto"/>
          <w:sz w:val="24"/>
          <w:szCs w:val="24"/>
          <w:lang w:val="sr-Cyrl-RS"/>
        </w:rPr>
        <w:t xml:space="preserve">наведена </w:t>
      </w:r>
      <w:r w:rsidRPr="00FF54AF">
        <w:rPr>
          <w:rFonts w:ascii="Times New Roman" w:hAnsi="Times New Roman"/>
          <w:color w:val="auto"/>
          <w:sz w:val="24"/>
          <w:szCs w:val="24"/>
          <w:lang w:val="sr-Cyrl-RS"/>
        </w:rPr>
        <w:t xml:space="preserve">стратегија се налази у </w:t>
      </w:r>
      <w:r w:rsidR="00592AB0">
        <w:rPr>
          <w:rFonts w:ascii="Times New Roman" w:hAnsi="Times New Roman"/>
          <w:color w:val="auto"/>
          <w:sz w:val="24"/>
          <w:szCs w:val="24"/>
          <w:lang w:val="sr-Cyrl-RS"/>
        </w:rPr>
        <w:t>фази</w:t>
      </w:r>
      <w:r w:rsidRPr="00FF54AF">
        <w:rPr>
          <w:rFonts w:ascii="Times New Roman" w:hAnsi="Times New Roman"/>
          <w:color w:val="auto"/>
          <w:sz w:val="24"/>
          <w:szCs w:val="24"/>
          <w:lang w:val="sr-Cyrl-RS"/>
        </w:rPr>
        <w:t xml:space="preserve"> прикупљања мишљења од</w:t>
      </w:r>
      <w:r w:rsidR="00592AB0">
        <w:rPr>
          <w:rFonts w:ascii="Times New Roman" w:hAnsi="Times New Roman"/>
          <w:color w:val="auto"/>
          <w:sz w:val="24"/>
          <w:szCs w:val="24"/>
          <w:lang w:val="sr-Cyrl-RS"/>
        </w:rPr>
        <w:t xml:space="preserve"> старне</w:t>
      </w:r>
      <w:r w:rsidRPr="00FF54AF">
        <w:rPr>
          <w:rFonts w:ascii="Times New Roman" w:hAnsi="Times New Roman"/>
          <w:color w:val="auto"/>
          <w:sz w:val="24"/>
          <w:szCs w:val="24"/>
          <w:lang w:val="sr-Cyrl-RS"/>
        </w:rPr>
        <w:t xml:space="preserve"> релевантних органа јавне управе ради усвајања на </w:t>
      </w:r>
      <w:r w:rsidR="00592AB0">
        <w:rPr>
          <w:rFonts w:ascii="Times New Roman" w:hAnsi="Times New Roman"/>
          <w:color w:val="auto"/>
          <w:sz w:val="24"/>
          <w:szCs w:val="24"/>
          <w:lang w:val="sr-Cyrl-RS"/>
        </w:rPr>
        <w:t xml:space="preserve">седници </w:t>
      </w:r>
      <w:r w:rsidRPr="00FF54AF">
        <w:rPr>
          <w:rFonts w:ascii="Times New Roman" w:hAnsi="Times New Roman"/>
          <w:color w:val="auto"/>
          <w:sz w:val="24"/>
          <w:szCs w:val="24"/>
          <w:lang w:val="sr-Cyrl-RS"/>
        </w:rPr>
        <w:t>Влад</w:t>
      </w:r>
      <w:r w:rsidR="00592AB0">
        <w:rPr>
          <w:rFonts w:ascii="Times New Roman" w:hAnsi="Times New Roman"/>
          <w:color w:val="auto"/>
          <w:sz w:val="24"/>
          <w:szCs w:val="24"/>
          <w:lang w:val="sr-Cyrl-RS"/>
        </w:rPr>
        <w:t>е</w:t>
      </w:r>
      <w:r w:rsidRPr="00FF54AF">
        <w:rPr>
          <w:rFonts w:ascii="Times New Roman" w:hAnsi="Times New Roman"/>
          <w:color w:val="auto"/>
          <w:sz w:val="24"/>
          <w:szCs w:val="24"/>
          <w:lang w:val="sr-Cyrl-RS"/>
        </w:rPr>
        <w:t>.</w:t>
      </w:r>
    </w:p>
    <w:p w14:paraId="16B2BA9B" w14:textId="098BB62B" w:rsidR="00FF54AF" w:rsidRPr="00FF54AF" w:rsidRDefault="00FF54AF" w:rsidP="00FF54AF">
      <w:pPr>
        <w:spacing w:after="0"/>
        <w:jc w:val="both"/>
        <w:rPr>
          <w:rFonts w:ascii="Times New Roman" w:hAnsi="Times New Roman"/>
          <w:color w:val="auto"/>
          <w:sz w:val="24"/>
          <w:szCs w:val="24"/>
        </w:rPr>
      </w:pPr>
      <w:r w:rsidRPr="00FF54AF">
        <w:rPr>
          <w:rFonts w:ascii="Times New Roman" w:hAnsi="Times New Roman"/>
          <w:color w:val="auto"/>
          <w:sz w:val="24"/>
          <w:szCs w:val="24"/>
          <w:lang w:val="sr-Cyrl-RS"/>
        </w:rPr>
        <w:t>УЈН</w:t>
      </w:r>
      <w:r w:rsidRPr="00FF54AF">
        <w:rPr>
          <w:rFonts w:ascii="Times New Roman" w:hAnsi="Times New Roman"/>
          <w:color w:val="auto"/>
          <w:sz w:val="24"/>
          <w:szCs w:val="24"/>
          <w:lang w:val="en-US"/>
        </w:rPr>
        <w:t xml:space="preserve"> је усвојила </w:t>
      </w:r>
      <w:r w:rsidRPr="00FF54AF">
        <w:rPr>
          <w:rFonts w:ascii="Times New Roman" w:hAnsi="Times New Roman"/>
          <w:color w:val="auto"/>
          <w:sz w:val="24"/>
          <w:szCs w:val="24"/>
          <w:lang w:val="sr-Cyrl-RS"/>
        </w:rPr>
        <w:t xml:space="preserve">и </w:t>
      </w:r>
      <w:r w:rsidRPr="00FF54AF">
        <w:rPr>
          <w:rFonts w:ascii="Times New Roman" w:hAnsi="Times New Roman"/>
          <w:color w:val="auto"/>
          <w:sz w:val="24"/>
          <w:szCs w:val="24"/>
          <w:lang w:val="en-US"/>
        </w:rPr>
        <w:t xml:space="preserve">нови Правилник о унутрашњем уређењу и систематизацији радних места у Управи </w:t>
      </w:r>
      <w:r w:rsidRPr="00FF54AF">
        <w:rPr>
          <w:rFonts w:ascii="Times New Roman" w:hAnsi="Times New Roman"/>
          <w:color w:val="auto"/>
          <w:sz w:val="24"/>
          <w:szCs w:val="24"/>
          <w:lang w:val="sr-Cyrl-RS"/>
        </w:rPr>
        <w:t>за јавне набавке Број: 110-00-5/2019-1</w:t>
      </w:r>
      <w:r w:rsidRPr="00FF54AF">
        <w:rPr>
          <w:rFonts w:ascii="Times New Roman" w:hAnsi="Times New Roman"/>
          <w:color w:val="auto"/>
          <w:sz w:val="24"/>
          <w:szCs w:val="24"/>
          <w:lang w:val="en-US"/>
        </w:rPr>
        <w:t xml:space="preserve"> </w:t>
      </w:r>
      <w:r w:rsidRPr="00FF54AF">
        <w:rPr>
          <w:rFonts w:ascii="Times New Roman" w:hAnsi="Times New Roman"/>
          <w:color w:val="auto"/>
          <w:sz w:val="24"/>
          <w:szCs w:val="24"/>
          <w:lang w:val="sr-Cyrl-RS"/>
        </w:rPr>
        <w:t>од</w:t>
      </w:r>
      <w:r w:rsidRPr="00FF54AF">
        <w:rPr>
          <w:rFonts w:ascii="Times New Roman" w:hAnsi="Times New Roman"/>
          <w:color w:val="auto"/>
          <w:sz w:val="24"/>
          <w:szCs w:val="24"/>
          <w:lang w:val="en-US"/>
        </w:rPr>
        <w:t xml:space="preserve"> </w:t>
      </w:r>
      <w:r w:rsidRPr="00FF54AF">
        <w:rPr>
          <w:rFonts w:ascii="Times New Roman" w:hAnsi="Times New Roman"/>
          <w:color w:val="auto"/>
          <w:sz w:val="24"/>
          <w:szCs w:val="24"/>
          <w:lang w:val="sr-Cyrl-RS"/>
        </w:rPr>
        <w:t>20. марта</w:t>
      </w:r>
      <w:r w:rsidRPr="00FF54AF">
        <w:rPr>
          <w:rFonts w:ascii="Times New Roman" w:hAnsi="Times New Roman"/>
          <w:color w:val="auto"/>
          <w:sz w:val="24"/>
          <w:szCs w:val="24"/>
          <w:lang w:val="en-US"/>
        </w:rPr>
        <w:t xml:space="preserve"> 2019. године</w:t>
      </w:r>
      <w:r w:rsidRPr="00FF54AF">
        <w:rPr>
          <w:rFonts w:ascii="Times New Roman" w:hAnsi="Times New Roman"/>
          <w:color w:val="auto"/>
          <w:sz w:val="24"/>
          <w:szCs w:val="24"/>
          <w:lang w:val="sr-Cyrl-RS"/>
        </w:rPr>
        <w:t>, који је усклађен са новим прописима у области државних службеника и неопходним компетенција</w:t>
      </w:r>
      <w:r w:rsidR="00480840">
        <w:rPr>
          <w:rFonts w:ascii="Times New Roman" w:hAnsi="Times New Roman"/>
          <w:color w:val="auto"/>
          <w:sz w:val="24"/>
          <w:szCs w:val="24"/>
          <w:lang w:val="sr-Cyrl-RS"/>
        </w:rPr>
        <w:t>ма</w:t>
      </w:r>
      <w:r w:rsidRPr="00FF54AF">
        <w:rPr>
          <w:rFonts w:ascii="Times New Roman" w:hAnsi="Times New Roman"/>
          <w:color w:val="auto"/>
          <w:sz w:val="24"/>
          <w:szCs w:val="24"/>
          <w:lang w:val="sr-Cyrl-RS"/>
        </w:rPr>
        <w:t xml:space="preserve"> државних службеника</w:t>
      </w:r>
      <w:r w:rsidRPr="00FF54AF">
        <w:rPr>
          <w:rFonts w:ascii="Times New Roman" w:hAnsi="Times New Roman"/>
          <w:color w:val="auto"/>
          <w:sz w:val="24"/>
          <w:szCs w:val="24"/>
          <w:lang w:val="en-US"/>
        </w:rPr>
        <w:t xml:space="preserve">, </w:t>
      </w:r>
      <w:r w:rsidRPr="00FF54AF">
        <w:rPr>
          <w:rFonts w:ascii="Times New Roman" w:hAnsi="Times New Roman"/>
          <w:color w:val="auto"/>
          <w:sz w:val="24"/>
          <w:szCs w:val="24"/>
          <w:lang w:val="sr-Cyrl-RS"/>
        </w:rPr>
        <w:t xml:space="preserve">али </w:t>
      </w:r>
      <w:r w:rsidRPr="00FF54AF">
        <w:rPr>
          <w:rFonts w:ascii="Times New Roman" w:hAnsi="Times New Roman"/>
          <w:color w:val="auto"/>
          <w:sz w:val="24"/>
          <w:szCs w:val="24"/>
          <w:lang w:val="en-US"/>
        </w:rPr>
        <w:t xml:space="preserve">је повећана </w:t>
      </w:r>
      <w:r w:rsidRPr="00FF54AF">
        <w:rPr>
          <w:rFonts w:ascii="Times New Roman" w:hAnsi="Times New Roman"/>
          <w:color w:val="auto"/>
          <w:sz w:val="24"/>
          <w:szCs w:val="24"/>
          <w:lang w:val="sr-Cyrl-RS"/>
        </w:rPr>
        <w:t xml:space="preserve">и </w:t>
      </w:r>
      <w:r w:rsidRPr="00FF54AF">
        <w:rPr>
          <w:rFonts w:ascii="Times New Roman" w:hAnsi="Times New Roman"/>
          <w:color w:val="auto"/>
          <w:sz w:val="24"/>
          <w:szCs w:val="24"/>
          <w:lang w:val="en-US"/>
        </w:rPr>
        <w:t>могућност запослења</w:t>
      </w:r>
      <w:r w:rsidRPr="00FF54AF">
        <w:rPr>
          <w:rFonts w:ascii="Times New Roman" w:hAnsi="Times New Roman"/>
          <w:color w:val="auto"/>
          <w:sz w:val="24"/>
          <w:szCs w:val="24"/>
          <w:lang w:val="sr-Cyrl-RS"/>
        </w:rPr>
        <w:t xml:space="preserve"> за још два државна службеника,</w:t>
      </w:r>
      <w:r w:rsidRPr="00FF54AF">
        <w:rPr>
          <w:rFonts w:ascii="Times New Roman" w:hAnsi="Times New Roman"/>
          <w:color w:val="auto"/>
          <w:sz w:val="24"/>
          <w:szCs w:val="24"/>
          <w:lang w:val="en-US"/>
        </w:rPr>
        <w:t xml:space="preserve"> са 36 на 38 лица</w:t>
      </w:r>
      <w:r w:rsidRPr="00FF54AF">
        <w:rPr>
          <w:rFonts w:ascii="Times New Roman" w:hAnsi="Times New Roman"/>
          <w:color w:val="auto"/>
          <w:sz w:val="24"/>
          <w:szCs w:val="24"/>
          <w:lang w:val="sr-Cyrl-RS"/>
        </w:rPr>
        <w:t>, што ће омогућити даље јачање капацитета Управе.</w:t>
      </w:r>
      <w:r w:rsidR="00931A28">
        <w:rPr>
          <w:rFonts w:ascii="Times New Roman" w:hAnsi="Times New Roman"/>
          <w:color w:val="auto"/>
          <w:sz w:val="24"/>
          <w:szCs w:val="24"/>
          <w:lang w:val="sr-Cyrl-RS"/>
        </w:rPr>
        <w:t xml:space="preserve"> У току је конкурс за попуњавање седам радних места, за девет извршилаца. </w:t>
      </w:r>
    </w:p>
    <w:p w14:paraId="756966FF" w14:textId="77777777" w:rsidR="002E0F16" w:rsidRPr="00FF54AF" w:rsidRDefault="002E0F16" w:rsidP="004F5F81">
      <w:pPr>
        <w:spacing w:after="0"/>
        <w:jc w:val="both"/>
        <w:outlineLvl w:val="5"/>
        <w:rPr>
          <w:rFonts w:ascii="Times New Roman" w:eastAsia="Times New Roman" w:hAnsi="Times New Roman" w:cs="Times New Roman"/>
          <w:b/>
          <w:bCs/>
          <w:color w:val="auto"/>
          <w:sz w:val="24"/>
          <w:szCs w:val="24"/>
        </w:rPr>
      </w:pPr>
    </w:p>
    <w:p w14:paraId="67A12F08" w14:textId="77777777" w:rsidR="004F5F81" w:rsidRPr="00FF54AF" w:rsidRDefault="004F5F81" w:rsidP="004F5F81">
      <w:pPr>
        <w:spacing w:after="0"/>
        <w:jc w:val="both"/>
        <w:outlineLvl w:val="5"/>
        <w:rPr>
          <w:rFonts w:ascii="Times New Roman" w:eastAsia="Times New Roman" w:hAnsi="Times New Roman" w:cs="Times New Roman"/>
          <w:b/>
          <w:bCs/>
          <w:color w:val="auto"/>
          <w:sz w:val="24"/>
          <w:szCs w:val="24"/>
        </w:rPr>
      </w:pPr>
      <w:r w:rsidRPr="00FF54AF">
        <w:rPr>
          <w:rFonts w:ascii="Times New Roman" w:eastAsia="Times New Roman" w:hAnsi="Times New Roman" w:cs="Times New Roman"/>
          <w:b/>
          <w:bCs/>
          <w:color w:val="auto"/>
          <w:sz w:val="24"/>
          <w:szCs w:val="24"/>
        </w:rPr>
        <w:t>Упутства, модели</w:t>
      </w:r>
    </w:p>
    <w:p w14:paraId="2D96436A" w14:textId="77777777" w:rsidR="004F5F81" w:rsidRPr="00FF54AF" w:rsidRDefault="004F5F81" w:rsidP="004F5F81">
      <w:pPr>
        <w:spacing w:after="0"/>
        <w:jc w:val="both"/>
        <w:rPr>
          <w:rFonts w:ascii="Times New Roman" w:hAnsi="Times New Roman" w:cs="Times New Roman"/>
          <w:noProof/>
          <w:color w:val="auto"/>
          <w:spacing w:val="-4"/>
          <w:sz w:val="24"/>
          <w:szCs w:val="24"/>
          <w:lang w:val="sr-Cyrl-CS"/>
        </w:rPr>
      </w:pPr>
    </w:p>
    <w:p w14:paraId="32B7DC46" w14:textId="6BBD2591" w:rsidR="00143D27" w:rsidRDefault="005B6873" w:rsidP="005B6873">
      <w:pPr>
        <w:spacing w:after="0"/>
        <w:jc w:val="both"/>
        <w:rPr>
          <w:rFonts w:ascii="Times New Roman" w:hAnsi="Times New Roman" w:cs="Times New Roman"/>
          <w:noProof/>
          <w:color w:val="auto"/>
          <w:spacing w:val="-4"/>
          <w:sz w:val="24"/>
          <w:szCs w:val="24"/>
          <w:lang w:val="sr-Cyrl-RS"/>
        </w:rPr>
      </w:pPr>
      <w:r w:rsidRPr="00FF54AF">
        <w:rPr>
          <w:rFonts w:ascii="Times New Roman" w:hAnsi="Times New Roman" w:cs="Times New Roman"/>
          <w:noProof/>
          <w:color w:val="auto"/>
          <w:spacing w:val="-4"/>
          <w:sz w:val="24"/>
          <w:szCs w:val="24"/>
          <w:lang w:val="sr-Cyrl-RS"/>
        </w:rPr>
        <w:t>У прво</w:t>
      </w:r>
      <w:r w:rsidR="004673DA">
        <w:rPr>
          <w:rFonts w:ascii="Times New Roman" w:hAnsi="Times New Roman" w:cs="Times New Roman"/>
          <w:noProof/>
          <w:color w:val="auto"/>
          <w:spacing w:val="-4"/>
          <w:sz w:val="24"/>
          <w:szCs w:val="24"/>
          <w:lang w:val="sr-Cyrl-RS"/>
        </w:rPr>
        <w:t>м</w:t>
      </w:r>
      <w:r w:rsidRPr="00FF54AF">
        <w:rPr>
          <w:rFonts w:ascii="Times New Roman" w:hAnsi="Times New Roman" w:cs="Times New Roman"/>
          <w:noProof/>
          <w:color w:val="auto"/>
          <w:spacing w:val="-4"/>
          <w:sz w:val="24"/>
          <w:szCs w:val="24"/>
          <w:lang w:val="sr-Cyrl-RS"/>
        </w:rPr>
        <w:t xml:space="preserve"> пол</w:t>
      </w:r>
      <w:r w:rsidR="004673DA">
        <w:rPr>
          <w:rFonts w:ascii="Times New Roman" w:hAnsi="Times New Roman" w:cs="Times New Roman"/>
          <w:noProof/>
          <w:color w:val="auto"/>
          <w:spacing w:val="-4"/>
          <w:sz w:val="24"/>
          <w:szCs w:val="24"/>
          <w:lang w:val="sr-Cyrl-RS"/>
        </w:rPr>
        <w:t>угодишту</w:t>
      </w:r>
      <w:r w:rsidRPr="00FF54AF">
        <w:rPr>
          <w:rFonts w:ascii="Times New Roman" w:hAnsi="Times New Roman" w:cs="Times New Roman"/>
          <w:noProof/>
          <w:color w:val="auto"/>
          <w:spacing w:val="-4"/>
          <w:sz w:val="24"/>
          <w:szCs w:val="24"/>
          <w:lang w:val="sr-Cyrl-RS"/>
        </w:rPr>
        <w:t xml:space="preserve"> 2019. године израђени</w:t>
      </w:r>
      <w:r w:rsidRPr="00FF54AF">
        <w:rPr>
          <w:rFonts w:ascii="Times New Roman" w:hAnsi="Times New Roman" w:cs="Times New Roman"/>
          <w:noProof/>
          <w:color w:val="auto"/>
          <w:spacing w:val="-4"/>
          <w:sz w:val="24"/>
          <w:szCs w:val="24"/>
          <w:lang w:val="sr-Latn-RS"/>
        </w:rPr>
        <w:t xml:space="preserve"> </w:t>
      </w:r>
      <w:r w:rsidRPr="00FF54AF">
        <w:rPr>
          <w:rFonts w:ascii="Times New Roman" w:hAnsi="Times New Roman" w:cs="Times New Roman"/>
          <w:noProof/>
          <w:color w:val="auto"/>
          <w:spacing w:val="-4"/>
          <w:sz w:val="24"/>
          <w:szCs w:val="24"/>
          <w:lang w:val="sr-Cyrl-RS"/>
        </w:rPr>
        <w:t>су след</w:t>
      </w:r>
      <w:r w:rsidR="004673DA">
        <w:rPr>
          <w:rFonts w:ascii="Times New Roman" w:hAnsi="Times New Roman" w:cs="Times New Roman"/>
          <w:noProof/>
          <w:color w:val="auto"/>
          <w:spacing w:val="-4"/>
          <w:sz w:val="24"/>
          <w:szCs w:val="24"/>
          <w:lang w:val="sr-Cyrl-RS"/>
        </w:rPr>
        <w:t>е</w:t>
      </w:r>
      <w:r w:rsidRPr="00FF54AF">
        <w:rPr>
          <w:rFonts w:ascii="Times New Roman" w:hAnsi="Times New Roman" w:cs="Times New Roman"/>
          <w:noProof/>
          <w:color w:val="auto"/>
          <w:spacing w:val="-4"/>
          <w:sz w:val="24"/>
          <w:szCs w:val="24"/>
          <w:lang w:val="sr-Cyrl-RS"/>
        </w:rPr>
        <w:t>ћи аналитички документи: 1) Анализа са предлозима унапређења рада УЈН везано за комуникацију са заинтересованом јавношћу и организационе структуре Управе за јавне набавке у погледу примене новог Закона о јавним набавкама; 2) Анализа тренутног стања неправилности у јавним набавкама са препорукама за унапређење мера за њихово еф</w:t>
      </w:r>
      <w:r w:rsidR="009351DF">
        <w:rPr>
          <w:rFonts w:ascii="Times New Roman" w:hAnsi="Times New Roman" w:cs="Times New Roman"/>
          <w:noProof/>
          <w:color w:val="auto"/>
          <w:spacing w:val="-4"/>
          <w:sz w:val="24"/>
          <w:szCs w:val="24"/>
          <w:lang w:val="sr-Cyrl-RS"/>
        </w:rPr>
        <w:t>икасно препознавање и кажњавање.</w:t>
      </w:r>
    </w:p>
    <w:p w14:paraId="78A4F67F" w14:textId="70758EA3" w:rsidR="002E0F16" w:rsidRPr="00FF54AF" w:rsidRDefault="00143D27" w:rsidP="005B6873">
      <w:pPr>
        <w:spacing w:after="0"/>
        <w:jc w:val="both"/>
        <w:rPr>
          <w:rFonts w:ascii="Times New Roman" w:hAnsi="Times New Roman" w:cs="Times New Roman"/>
          <w:noProof/>
          <w:color w:val="auto"/>
          <w:spacing w:val="-4"/>
          <w:sz w:val="24"/>
          <w:szCs w:val="24"/>
          <w:lang w:val="sr-Cyrl-RS"/>
        </w:rPr>
      </w:pPr>
      <w:r>
        <w:rPr>
          <w:rFonts w:ascii="Times New Roman" w:hAnsi="Times New Roman" w:cs="Times New Roman"/>
          <w:noProof/>
          <w:color w:val="auto"/>
          <w:spacing w:val="-4"/>
          <w:sz w:val="24"/>
          <w:szCs w:val="24"/>
          <w:lang w:val="sr-Cyrl-RS"/>
        </w:rPr>
        <w:t>Такође</w:t>
      </w:r>
      <w:r w:rsidR="004673DA">
        <w:rPr>
          <w:rFonts w:ascii="Times New Roman" w:hAnsi="Times New Roman" w:cs="Times New Roman"/>
          <w:noProof/>
          <w:color w:val="auto"/>
          <w:spacing w:val="-4"/>
          <w:sz w:val="24"/>
          <w:szCs w:val="24"/>
          <w:lang w:val="sr-Cyrl-RS"/>
        </w:rPr>
        <w:t>,</w:t>
      </w:r>
      <w:r>
        <w:rPr>
          <w:rFonts w:ascii="Times New Roman" w:hAnsi="Times New Roman" w:cs="Times New Roman"/>
          <w:noProof/>
          <w:color w:val="auto"/>
          <w:spacing w:val="-4"/>
          <w:sz w:val="24"/>
          <w:szCs w:val="24"/>
          <w:lang w:val="sr-Cyrl-RS"/>
        </w:rPr>
        <w:t xml:space="preserve"> извршено је унапређење </w:t>
      </w:r>
      <w:r w:rsidR="005B6873" w:rsidRPr="00FF54AF">
        <w:rPr>
          <w:rFonts w:ascii="Times New Roman" w:hAnsi="Times New Roman" w:cs="Times New Roman"/>
          <w:noProof/>
          <w:color w:val="auto"/>
          <w:spacing w:val="-4"/>
          <w:sz w:val="24"/>
          <w:szCs w:val="24"/>
          <w:lang w:val="sr-Cyrl-RS"/>
        </w:rPr>
        <w:t>општег речника набавки</w:t>
      </w:r>
      <w:r>
        <w:rPr>
          <w:rFonts w:ascii="Times New Roman" w:hAnsi="Times New Roman" w:cs="Times New Roman"/>
          <w:noProof/>
          <w:color w:val="auto"/>
          <w:spacing w:val="-4"/>
          <w:sz w:val="24"/>
          <w:szCs w:val="24"/>
          <w:lang w:val="sr-Cyrl-RS"/>
        </w:rPr>
        <w:t xml:space="preserve"> са циљем да се одређени изрази прилагоде корисницима.</w:t>
      </w:r>
      <w:r w:rsidR="004673DA">
        <w:rPr>
          <w:rFonts w:ascii="Times New Roman" w:hAnsi="Times New Roman" w:cs="Times New Roman"/>
          <w:noProof/>
          <w:color w:val="auto"/>
          <w:spacing w:val="-4"/>
          <w:sz w:val="24"/>
          <w:szCs w:val="24"/>
          <w:lang w:val="sr-Cyrl-RS"/>
        </w:rPr>
        <w:t xml:space="preserve"> </w:t>
      </w:r>
    </w:p>
    <w:p w14:paraId="6B9160CB" w14:textId="77777777" w:rsidR="004F5F81" w:rsidRPr="00FF54AF" w:rsidRDefault="004F5F81" w:rsidP="004F5F81">
      <w:pPr>
        <w:spacing w:after="0"/>
        <w:jc w:val="both"/>
        <w:rPr>
          <w:rFonts w:ascii="Times New Roman" w:hAnsi="Times New Roman" w:cs="Times New Roman"/>
          <w:b/>
          <w:noProof/>
          <w:color w:val="auto"/>
          <w:spacing w:val="-4"/>
          <w:sz w:val="24"/>
          <w:szCs w:val="24"/>
          <w:lang w:val="sr-Cyrl-CS"/>
        </w:rPr>
      </w:pPr>
    </w:p>
    <w:p w14:paraId="433B32EC" w14:textId="77777777" w:rsidR="004F5F81" w:rsidRPr="00FF54AF" w:rsidRDefault="004F5F81" w:rsidP="004F5F81">
      <w:pPr>
        <w:spacing w:after="0"/>
        <w:jc w:val="both"/>
        <w:rPr>
          <w:rFonts w:ascii="Times New Roman" w:hAnsi="Times New Roman" w:cs="Times New Roman"/>
          <w:b/>
          <w:noProof/>
          <w:color w:val="auto"/>
          <w:spacing w:val="-4"/>
          <w:sz w:val="24"/>
          <w:szCs w:val="24"/>
          <w:lang w:val="sr-Cyrl-CS"/>
        </w:rPr>
      </w:pPr>
      <w:r w:rsidRPr="00FF54AF">
        <w:rPr>
          <w:rFonts w:ascii="Times New Roman" w:hAnsi="Times New Roman" w:cs="Times New Roman"/>
          <w:b/>
          <w:noProof/>
          <w:color w:val="auto"/>
          <w:spacing w:val="-4"/>
          <w:sz w:val="24"/>
          <w:szCs w:val="24"/>
          <w:lang w:val="sr-Cyrl-CS"/>
        </w:rPr>
        <w:t>Сертификација службеника за јавне набавке</w:t>
      </w:r>
    </w:p>
    <w:p w14:paraId="511D6638" w14:textId="77777777" w:rsidR="004F5F81" w:rsidRPr="00FF54AF" w:rsidRDefault="004F5F81" w:rsidP="004F5F81">
      <w:pPr>
        <w:spacing w:after="0"/>
        <w:jc w:val="both"/>
        <w:rPr>
          <w:rFonts w:ascii="Times New Roman" w:hAnsi="Times New Roman" w:cs="Times New Roman"/>
          <w:b/>
          <w:noProof/>
          <w:color w:val="auto"/>
          <w:spacing w:val="-4"/>
          <w:sz w:val="24"/>
          <w:szCs w:val="24"/>
          <w:lang w:val="sr-Cyrl-CS"/>
        </w:rPr>
      </w:pPr>
    </w:p>
    <w:p w14:paraId="6FE74E0E" w14:textId="2CD48766" w:rsidR="002E0F16" w:rsidRPr="00FF54AF" w:rsidRDefault="005B6873" w:rsidP="002E0F16">
      <w:pPr>
        <w:spacing w:after="0"/>
        <w:jc w:val="both"/>
        <w:rPr>
          <w:rFonts w:ascii="Times New Roman" w:hAnsi="Times New Roman" w:cs="Times New Roman"/>
          <w:noProof/>
          <w:color w:val="auto"/>
          <w:spacing w:val="-4"/>
          <w:sz w:val="24"/>
          <w:szCs w:val="24"/>
          <w:lang w:val="en-US"/>
        </w:rPr>
      </w:pPr>
      <w:r w:rsidRPr="00FF54AF">
        <w:rPr>
          <w:rFonts w:ascii="Times New Roman" w:hAnsi="Times New Roman" w:cs="Times New Roman"/>
          <w:noProof/>
          <w:color w:val="auto"/>
          <w:spacing w:val="-4"/>
          <w:sz w:val="24"/>
          <w:szCs w:val="24"/>
          <w:lang w:val="en-US"/>
        </w:rPr>
        <w:t>У прво</w:t>
      </w:r>
      <w:r w:rsidR="004673DA">
        <w:rPr>
          <w:rFonts w:ascii="Times New Roman" w:hAnsi="Times New Roman" w:cs="Times New Roman"/>
          <w:noProof/>
          <w:color w:val="auto"/>
          <w:spacing w:val="-4"/>
          <w:sz w:val="24"/>
          <w:szCs w:val="24"/>
          <w:lang w:val="sr-Cyrl-RS"/>
        </w:rPr>
        <w:t>м</w:t>
      </w:r>
      <w:r w:rsidRPr="00FF54AF">
        <w:rPr>
          <w:rFonts w:ascii="Times New Roman" w:hAnsi="Times New Roman" w:cs="Times New Roman"/>
          <w:noProof/>
          <w:color w:val="auto"/>
          <w:spacing w:val="-4"/>
          <w:sz w:val="24"/>
          <w:szCs w:val="24"/>
          <w:lang w:val="en-US"/>
        </w:rPr>
        <w:t xml:space="preserve"> </w:t>
      </w:r>
      <w:r w:rsidR="004673DA">
        <w:rPr>
          <w:rFonts w:ascii="Times New Roman" w:hAnsi="Times New Roman" w:cs="Times New Roman"/>
          <w:noProof/>
          <w:color w:val="auto"/>
          <w:spacing w:val="-4"/>
          <w:sz w:val="24"/>
          <w:szCs w:val="24"/>
          <w:lang w:val="sr-Cyrl-RS"/>
        </w:rPr>
        <w:t>полугодишту</w:t>
      </w:r>
      <w:r w:rsidRPr="00FF54AF">
        <w:rPr>
          <w:rFonts w:ascii="Times New Roman" w:hAnsi="Times New Roman" w:cs="Times New Roman"/>
          <w:noProof/>
          <w:color w:val="auto"/>
          <w:spacing w:val="-4"/>
          <w:sz w:val="24"/>
          <w:szCs w:val="24"/>
          <w:lang w:val="en-US"/>
        </w:rPr>
        <w:t xml:space="preserve"> 2019</w:t>
      </w:r>
      <w:r w:rsidR="00BA65B0" w:rsidRPr="00FF54AF">
        <w:rPr>
          <w:rFonts w:ascii="Times New Roman" w:hAnsi="Times New Roman" w:cs="Times New Roman"/>
          <w:noProof/>
          <w:color w:val="auto"/>
          <w:spacing w:val="-4"/>
          <w:sz w:val="24"/>
          <w:szCs w:val="24"/>
          <w:lang w:val="en-US"/>
        </w:rPr>
        <w:t>. године, одржано је 12</w:t>
      </w:r>
      <w:r w:rsidR="002E0F16" w:rsidRPr="00FF54AF">
        <w:rPr>
          <w:rFonts w:ascii="Times New Roman" w:hAnsi="Times New Roman" w:cs="Times New Roman"/>
          <w:noProof/>
          <w:color w:val="auto"/>
          <w:spacing w:val="-4"/>
          <w:sz w:val="24"/>
          <w:szCs w:val="24"/>
          <w:lang w:val="en-US"/>
        </w:rPr>
        <w:t xml:space="preserve"> испита за службеника за јавне набавке, на </w:t>
      </w:r>
      <w:r w:rsidR="00BA65B0" w:rsidRPr="00FF54AF">
        <w:rPr>
          <w:rFonts w:ascii="Times New Roman" w:hAnsi="Times New Roman" w:cs="Times New Roman"/>
          <w:noProof/>
          <w:color w:val="auto"/>
          <w:spacing w:val="-4"/>
          <w:sz w:val="24"/>
          <w:szCs w:val="24"/>
          <w:lang w:val="en-US"/>
        </w:rPr>
        <w:t>којима је полагало 344 кандидата, а положило 198</w:t>
      </w:r>
      <w:r w:rsidR="002E0F16" w:rsidRPr="00FF54AF">
        <w:rPr>
          <w:rFonts w:ascii="Times New Roman" w:hAnsi="Times New Roman" w:cs="Times New Roman"/>
          <w:noProof/>
          <w:color w:val="auto"/>
          <w:spacing w:val="-4"/>
          <w:sz w:val="24"/>
          <w:szCs w:val="24"/>
          <w:lang w:val="en-US"/>
        </w:rPr>
        <w:t>. Испити су организовани сваког месеца, у сарадњи са Републичком комисијом за заштиту права у поступцима јавних набавки</w:t>
      </w:r>
      <w:r w:rsidR="002E0F16" w:rsidRPr="00FF54AF">
        <w:rPr>
          <w:rFonts w:ascii="Times New Roman" w:hAnsi="Times New Roman" w:cs="Times New Roman"/>
          <w:noProof/>
          <w:color w:val="auto"/>
          <w:spacing w:val="-4"/>
          <w:sz w:val="24"/>
          <w:szCs w:val="24"/>
        </w:rPr>
        <w:t xml:space="preserve"> (у даљем тексту: Републичка комисија)</w:t>
      </w:r>
      <w:r w:rsidR="002E0F16" w:rsidRPr="00FF54AF">
        <w:rPr>
          <w:rFonts w:ascii="Times New Roman" w:hAnsi="Times New Roman" w:cs="Times New Roman"/>
          <w:noProof/>
          <w:color w:val="auto"/>
          <w:spacing w:val="-4"/>
          <w:sz w:val="24"/>
          <w:szCs w:val="24"/>
          <w:lang w:val="en-US"/>
        </w:rPr>
        <w:t>, у складу са бројем пристиглих пријава.</w:t>
      </w:r>
    </w:p>
    <w:p w14:paraId="17AA5584" w14:textId="77777777" w:rsidR="002E0F16" w:rsidRPr="00FF54AF" w:rsidRDefault="002E0F16" w:rsidP="002E0F16">
      <w:pPr>
        <w:spacing w:after="0"/>
        <w:jc w:val="both"/>
        <w:rPr>
          <w:rFonts w:ascii="Times New Roman" w:hAnsi="Times New Roman" w:cs="Times New Roman"/>
          <w:noProof/>
          <w:color w:val="auto"/>
          <w:spacing w:val="-4"/>
          <w:sz w:val="24"/>
          <w:szCs w:val="24"/>
          <w:lang w:val="en-US"/>
        </w:rPr>
      </w:pPr>
      <w:r w:rsidRPr="00FF54AF">
        <w:rPr>
          <w:rFonts w:ascii="Times New Roman" w:hAnsi="Times New Roman" w:cs="Times New Roman"/>
          <w:noProof/>
          <w:color w:val="auto"/>
          <w:spacing w:val="-4"/>
          <w:sz w:val="24"/>
          <w:szCs w:val="24"/>
          <w:lang w:val="en-US"/>
        </w:rPr>
        <w:t> </w:t>
      </w:r>
    </w:p>
    <w:p w14:paraId="7C9F681D" w14:textId="70BDB557" w:rsidR="002E0F16" w:rsidRPr="00FF54AF" w:rsidRDefault="002E0F16" w:rsidP="002E0F16">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en-US"/>
        </w:rPr>
        <w:t>Ако се погледају подаци од октобра 2014. године, када је започет други циклус сертификације службеника за јавне набавке, за</w:t>
      </w:r>
      <w:r w:rsidR="00A07434" w:rsidRPr="00FF54AF">
        <w:rPr>
          <w:rFonts w:ascii="Times New Roman" w:hAnsi="Times New Roman" w:cs="Times New Roman"/>
          <w:noProof/>
          <w:color w:val="auto"/>
          <w:spacing w:val="-4"/>
          <w:sz w:val="24"/>
          <w:szCs w:val="24"/>
          <w:lang w:val="en-US"/>
        </w:rPr>
        <w:t>кључно са првих шест месеци 2019. године, организовано је 132</w:t>
      </w:r>
      <w:r w:rsidRPr="00FF54AF">
        <w:rPr>
          <w:rFonts w:ascii="Times New Roman" w:hAnsi="Times New Roman" w:cs="Times New Roman"/>
          <w:noProof/>
          <w:color w:val="auto"/>
          <w:spacing w:val="-4"/>
          <w:sz w:val="24"/>
          <w:szCs w:val="24"/>
          <w:lang w:val="en-US"/>
        </w:rPr>
        <w:t xml:space="preserve"> испита, </w:t>
      </w:r>
      <w:r w:rsidRPr="00FF54AF">
        <w:rPr>
          <w:rFonts w:ascii="Times New Roman" w:hAnsi="Times New Roman" w:cs="Times New Roman"/>
          <w:noProof/>
          <w:color w:val="auto"/>
          <w:spacing w:val="-4"/>
          <w:sz w:val="24"/>
          <w:szCs w:val="24"/>
          <w:lang w:val="sr-Cyrl-CS"/>
        </w:rPr>
        <w:t>на којима је укупно полагало</w:t>
      </w:r>
      <w:r w:rsidR="00A07434" w:rsidRPr="00FF54AF">
        <w:rPr>
          <w:rFonts w:ascii="Times New Roman" w:hAnsi="Times New Roman" w:cs="Times New Roman"/>
          <w:noProof/>
          <w:color w:val="auto"/>
          <w:spacing w:val="-4"/>
          <w:sz w:val="24"/>
          <w:szCs w:val="24"/>
          <w:lang w:val="sr-Cyrl-CS"/>
        </w:rPr>
        <w:t xml:space="preserve"> 4.429</w:t>
      </w:r>
      <w:r w:rsidRPr="00FF54AF">
        <w:rPr>
          <w:rFonts w:ascii="Times New Roman" w:hAnsi="Times New Roman" w:cs="Times New Roman"/>
          <w:noProof/>
          <w:color w:val="auto"/>
          <w:spacing w:val="-4"/>
          <w:sz w:val="24"/>
          <w:szCs w:val="24"/>
          <w:lang w:val="sr-Cyrl-CS"/>
        </w:rPr>
        <w:t xml:space="preserve"> кандидата, од којих је 2.</w:t>
      </w:r>
      <w:r w:rsidR="00A07434" w:rsidRPr="00FF54AF">
        <w:rPr>
          <w:rFonts w:ascii="Times New Roman" w:hAnsi="Times New Roman" w:cs="Times New Roman"/>
          <w:noProof/>
          <w:color w:val="auto"/>
          <w:spacing w:val="-4"/>
          <w:sz w:val="24"/>
          <w:szCs w:val="24"/>
        </w:rPr>
        <w:t xml:space="preserve">624 </w:t>
      </w:r>
      <w:r w:rsidRPr="00FF54AF">
        <w:rPr>
          <w:rFonts w:ascii="Times New Roman" w:hAnsi="Times New Roman" w:cs="Times New Roman"/>
          <w:noProof/>
          <w:color w:val="auto"/>
          <w:spacing w:val="-4"/>
          <w:sz w:val="24"/>
          <w:szCs w:val="24"/>
          <w:lang w:val="sr-Cyrl-CS"/>
        </w:rPr>
        <w:t>положило испит и стекло сертификат за службеника за јавне набавке.</w:t>
      </w:r>
    </w:p>
    <w:p w14:paraId="0A6A2576" w14:textId="77777777" w:rsidR="00CC5CC1" w:rsidRPr="00FF54AF" w:rsidRDefault="00CC5CC1" w:rsidP="004F5F81">
      <w:pPr>
        <w:spacing w:after="0"/>
        <w:jc w:val="both"/>
        <w:rPr>
          <w:rFonts w:ascii="Times New Roman" w:hAnsi="Times New Roman" w:cs="Times New Roman"/>
          <w:noProof/>
          <w:color w:val="auto"/>
          <w:spacing w:val="-4"/>
          <w:sz w:val="24"/>
          <w:szCs w:val="24"/>
          <w:lang w:val="sr-Cyrl-CS"/>
        </w:rPr>
      </w:pPr>
    </w:p>
    <w:p w14:paraId="252BDC56" w14:textId="77777777" w:rsidR="004F5F81" w:rsidRPr="00FF54AF" w:rsidRDefault="004F5F81" w:rsidP="004F5F81">
      <w:pPr>
        <w:spacing w:after="0"/>
        <w:jc w:val="both"/>
        <w:rPr>
          <w:rFonts w:ascii="Times New Roman" w:hAnsi="Times New Roman" w:cs="Times New Roman"/>
          <w:b/>
          <w:noProof/>
          <w:color w:val="auto"/>
          <w:spacing w:val="-4"/>
          <w:sz w:val="24"/>
          <w:szCs w:val="24"/>
          <w:lang w:val="sr"/>
        </w:rPr>
      </w:pPr>
      <w:r w:rsidRPr="00FF54AF">
        <w:rPr>
          <w:rFonts w:ascii="Times New Roman" w:hAnsi="Times New Roman" w:cs="Times New Roman"/>
          <w:b/>
          <w:noProof/>
          <w:color w:val="auto"/>
          <w:spacing w:val="-4"/>
          <w:sz w:val="24"/>
          <w:szCs w:val="24"/>
          <w:lang w:val="sr"/>
        </w:rPr>
        <w:t>Обуке</w:t>
      </w:r>
    </w:p>
    <w:p w14:paraId="1EB09920" w14:textId="77777777" w:rsidR="004F5F81" w:rsidRPr="00FF54AF" w:rsidRDefault="004F5F81" w:rsidP="004F5F81">
      <w:pPr>
        <w:spacing w:after="0"/>
        <w:jc w:val="both"/>
        <w:rPr>
          <w:rFonts w:ascii="Times New Roman" w:hAnsi="Times New Roman" w:cs="Times New Roman"/>
          <w:noProof/>
          <w:color w:val="auto"/>
          <w:spacing w:val="-4"/>
          <w:sz w:val="24"/>
          <w:szCs w:val="24"/>
          <w:lang w:val="sr-Cyrl-CS"/>
        </w:rPr>
      </w:pPr>
    </w:p>
    <w:p w14:paraId="2D4413AC"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У оквиру пројекта „Подршка даљем унапређењу система јавних набавки у Србији</w:t>
      </w:r>
      <w:r w:rsidRPr="00FF54AF">
        <w:rPr>
          <w:rFonts w:ascii="Times New Roman" w:hAnsi="Times New Roman" w:cs="Times New Roman"/>
          <w:noProof/>
          <w:color w:val="auto"/>
          <w:spacing w:val="-4"/>
          <w:sz w:val="24"/>
          <w:szCs w:val="24"/>
          <w:lang w:val="sr-Latn-RS"/>
        </w:rPr>
        <w:t>“</w:t>
      </w:r>
      <w:r w:rsidRPr="00FF54AF">
        <w:rPr>
          <w:rFonts w:ascii="Times New Roman" w:hAnsi="Times New Roman" w:cs="Times New Roman"/>
          <w:noProof/>
          <w:color w:val="auto"/>
          <w:spacing w:val="-4"/>
          <w:sz w:val="24"/>
          <w:szCs w:val="24"/>
          <w:lang w:val="sr-Cyrl-CS"/>
        </w:rPr>
        <w:t xml:space="preserve"> ИПА 2013, </w:t>
      </w:r>
      <w:r w:rsidRPr="00FF54AF">
        <w:rPr>
          <w:rFonts w:ascii="Times New Roman" w:hAnsi="Times New Roman" w:cs="Times New Roman"/>
          <w:noProof/>
          <w:color w:val="auto"/>
          <w:spacing w:val="-4"/>
          <w:sz w:val="24"/>
          <w:szCs w:val="24"/>
          <w:lang w:val="sr-Cyrl-RS"/>
        </w:rPr>
        <w:t xml:space="preserve">заједно </w:t>
      </w:r>
      <w:r w:rsidRPr="00FF54AF">
        <w:rPr>
          <w:rFonts w:ascii="Times New Roman" w:hAnsi="Times New Roman" w:cs="Times New Roman"/>
          <w:noProof/>
          <w:color w:val="auto"/>
          <w:spacing w:val="-4"/>
          <w:sz w:val="24"/>
          <w:szCs w:val="24"/>
          <w:lang w:val="sr-Cyrl-CS"/>
        </w:rPr>
        <w:t xml:space="preserve">са СИГМА, заједничком иницијативом ОЕЦД-а и ЕУ, организована је  радионица под називом „Јавно-приватна партнерства и концесије у светлу одредби и праксе </w:t>
      </w:r>
      <w:r w:rsidRPr="00FF54AF">
        <w:rPr>
          <w:rFonts w:ascii="Times New Roman" w:hAnsi="Times New Roman" w:cs="Times New Roman"/>
          <w:noProof/>
          <w:color w:val="auto"/>
          <w:spacing w:val="-4"/>
          <w:sz w:val="24"/>
          <w:szCs w:val="24"/>
          <w:lang w:val="sr-Cyrl-CS"/>
        </w:rPr>
        <w:lastRenderedPageBreak/>
        <w:t>Европске уније“. Радионица је одржана у Београду, 24. јануара, а у њој су учествовали представници УЈН, Комисије за јавно-приватно партнерство, Државне ревизорске институције, Привредне коморе Србије, наручилаца и давалаца концесије. Експерти су учесницима представили главне аспекте јавно-приватног партнерства - од преноса ризика на приватног партнера у области дизајнирања, управљања, финансирања и одржавања, до концепта сарадње, који је кључан за постојање овог облика партнерства између јавног и приватног сектора. Такође је било речи о јавно-приватном партнерству у Европској унији, случајевима Европског суда правде, а учесници су такође имали прилику чути о разликама између концесија и уговора о јавним набавкама.</w:t>
      </w:r>
    </w:p>
    <w:p w14:paraId="27B368AE"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28C3A1B8"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У сарадњи са СИГМА, заједничком иницијативом ОЕЦД-а и ЕУ, у оквиру пројекта „Подршка даљем унапређењу система јавних набавки у Србији“ ИПА 2013, организована је радионица под називом „Поступци јавних набавки са посебним нагласком на конкуретни дијалог са преговорима и иновационим партнерствима“, која је одржана у Београду, 25. јануара. Током радионице, која је настала као комбинација презентација и студија случаја, учесници из УЈН и других институција, као и представници наручилаца имали су прилику да се упознају са историјом јавних набавки у ЕУ, тренутним моделима и најновијом праксом за спровођење партнерских односа са иновацијама. Током радионице, учесници су такође имали прилику да виде практичне случајеве како се овај нови поступак спроводи и који су његови ефекти.</w:t>
      </w:r>
    </w:p>
    <w:p w14:paraId="741FE6C2"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06E4954B"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Представник УЈН учествовао је на радионици под називом „Један сектор, једна прича“, коју је организовало Министарство за европске интеграције. Неке од тема биле су општа концепција стратешких оквира комуникације, акциони план и концепт интерактивних комуникацијских алата, а разговарано је и о појединим секторским стратешким оквирима. Радионица је одржана у Београду 28. јануара.</w:t>
      </w:r>
    </w:p>
    <w:p w14:paraId="0A40189E"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268D1A12"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Представник УЈН учествовао је на радионици под називом „Обрада анализа и података - нацрт програма“, која је одржана у Београду од 6. до 7. фебруара. Главне теме биле су искуство „Транспарентности Србије“ у обради и анализи података путем снимања извештаја, методе прикупљања података и Ексел за анализу података.</w:t>
      </w:r>
    </w:p>
    <w:p w14:paraId="0E2DEEDF"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13319BAF"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На радионици: „Нацрти имплементираних прописа према нацрту новог Закона о јавним набавкама“, стручњаци који раде на пројекту „Подршка даљем унапређењу система јавних набавки у Србији“ ИПА 2013 и представници УЈН говорили су о нацртима имплементираних прописа припремљених у вези с нацртом новог Закона о јавним набавкама. Радионица је одржана у Београду, 7. фебруара.</w:t>
      </w:r>
    </w:p>
    <w:p w14:paraId="712E44AA"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170D2186" w14:textId="625AA519"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 xml:space="preserve">Пројекат „Подршка даљем унапређењу система јавних набавки у Србији“ ИПА 2013 организовао је обуку за запослене у УЈН. Тема обуке била је нова веб страница УЈН. </w:t>
      </w:r>
      <w:r w:rsidRPr="00FF54AF">
        <w:rPr>
          <w:rFonts w:ascii="Times New Roman" w:hAnsi="Times New Roman" w:cs="Times New Roman"/>
          <w:noProof/>
          <w:color w:val="auto"/>
          <w:spacing w:val="-4"/>
          <w:sz w:val="24"/>
          <w:szCs w:val="24"/>
          <w:lang w:val="sr-Cyrl-CS"/>
        </w:rPr>
        <w:lastRenderedPageBreak/>
        <w:t xml:space="preserve">Представљено је како да се управља елементима веб странице у вези са садржајем, дизајном, структуром веб локације и како се управља ажурирањем веб страница - вестима, документима, текстовима, чланцима, фотографијама итд. </w:t>
      </w:r>
      <w:r w:rsidR="004673DA">
        <w:rPr>
          <w:rFonts w:ascii="Times New Roman" w:hAnsi="Times New Roman" w:cs="Times New Roman"/>
          <w:noProof/>
          <w:color w:val="auto"/>
          <w:spacing w:val="-4"/>
          <w:sz w:val="24"/>
          <w:szCs w:val="24"/>
          <w:lang w:val="sr-Cyrl-CS"/>
        </w:rPr>
        <w:t xml:space="preserve">Обука </w:t>
      </w:r>
      <w:r w:rsidRPr="00FF54AF">
        <w:rPr>
          <w:rFonts w:ascii="Times New Roman" w:hAnsi="Times New Roman" w:cs="Times New Roman"/>
          <w:noProof/>
          <w:color w:val="auto"/>
          <w:spacing w:val="-4"/>
          <w:sz w:val="24"/>
          <w:szCs w:val="24"/>
          <w:lang w:val="sr-Cyrl-CS"/>
        </w:rPr>
        <w:t xml:space="preserve"> је одржан</w:t>
      </w:r>
      <w:r w:rsidR="004673DA">
        <w:rPr>
          <w:rFonts w:ascii="Times New Roman" w:hAnsi="Times New Roman" w:cs="Times New Roman"/>
          <w:noProof/>
          <w:color w:val="auto"/>
          <w:spacing w:val="-4"/>
          <w:sz w:val="24"/>
          <w:szCs w:val="24"/>
          <w:lang w:val="sr-Cyrl-CS"/>
        </w:rPr>
        <w:t>а</w:t>
      </w:r>
      <w:r w:rsidRPr="00FF54AF">
        <w:rPr>
          <w:rFonts w:ascii="Times New Roman" w:hAnsi="Times New Roman" w:cs="Times New Roman"/>
          <w:noProof/>
          <w:color w:val="auto"/>
          <w:spacing w:val="-4"/>
          <w:sz w:val="24"/>
          <w:szCs w:val="24"/>
          <w:lang w:val="sr-Cyrl-CS"/>
        </w:rPr>
        <w:t xml:space="preserve"> у Београду, 11. марта.</w:t>
      </w:r>
    </w:p>
    <w:p w14:paraId="6DCBDD94"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4100770B"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Представник УЈН учествовао је у обуци за стицање вештина тренирања из области „Етика и интегритет у државној управи и локалној самоуправи“, која је одржана у Београду од 11. до 15. марта. Учесници су током практичног дела обуке научили како да препознају ризичне ситуације за појаву корупције и стратегију решавања проблема.</w:t>
      </w:r>
    </w:p>
    <w:p w14:paraId="49E3B9A3"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4055777C" w14:textId="2A6783B0" w:rsidR="00B01E29" w:rsidRPr="00FF54AF" w:rsidRDefault="00F84651" w:rsidP="00B01E29">
      <w:pPr>
        <w:spacing w:after="0"/>
        <w:jc w:val="both"/>
        <w:rPr>
          <w:rFonts w:ascii="Times New Roman" w:hAnsi="Times New Roman" w:cs="Times New Roman"/>
          <w:noProof/>
          <w:color w:val="auto"/>
          <w:spacing w:val="-4"/>
          <w:sz w:val="24"/>
          <w:szCs w:val="24"/>
          <w:lang w:val="sr-Cyrl-CS"/>
        </w:rPr>
      </w:pPr>
      <w:r>
        <w:rPr>
          <w:rFonts w:ascii="Times New Roman" w:hAnsi="Times New Roman" w:cs="Times New Roman"/>
          <w:noProof/>
          <w:color w:val="auto"/>
          <w:spacing w:val="-4"/>
          <w:sz w:val="24"/>
          <w:szCs w:val="24"/>
          <w:lang w:val="sr-Cyrl-CS"/>
        </w:rPr>
        <w:t>Нови портал</w:t>
      </w:r>
      <w:r w:rsidR="00B01E29" w:rsidRPr="00FF54AF">
        <w:rPr>
          <w:rFonts w:ascii="Times New Roman" w:hAnsi="Times New Roman" w:cs="Times New Roman"/>
          <w:noProof/>
          <w:color w:val="auto"/>
          <w:spacing w:val="-4"/>
          <w:sz w:val="24"/>
          <w:szCs w:val="24"/>
          <w:lang w:val="sr-Cyrl-CS"/>
        </w:rPr>
        <w:t xml:space="preserve"> </w:t>
      </w:r>
      <w:r>
        <w:rPr>
          <w:rFonts w:ascii="Times New Roman" w:hAnsi="Times New Roman" w:cs="Times New Roman"/>
          <w:noProof/>
          <w:color w:val="auto"/>
          <w:spacing w:val="-4"/>
          <w:sz w:val="24"/>
          <w:szCs w:val="24"/>
          <w:lang w:val="sr-Cyrl-CS"/>
        </w:rPr>
        <w:t>јавних набавки</w:t>
      </w:r>
      <w:r w:rsidR="00B01E29" w:rsidRPr="00FF54AF">
        <w:rPr>
          <w:rFonts w:ascii="Times New Roman" w:hAnsi="Times New Roman" w:cs="Times New Roman"/>
          <w:noProof/>
          <w:color w:val="auto"/>
          <w:spacing w:val="-4"/>
          <w:sz w:val="24"/>
          <w:szCs w:val="24"/>
          <w:lang w:val="sr-Cyrl-CS"/>
        </w:rPr>
        <w:t xml:space="preserve"> којим управља УЈН, који ће модернизовати начин додељивања уговора, побољшаће т</w:t>
      </w:r>
      <w:r w:rsidR="00683894">
        <w:rPr>
          <w:rFonts w:ascii="Times New Roman" w:hAnsi="Times New Roman" w:cs="Times New Roman"/>
          <w:noProof/>
          <w:color w:val="auto"/>
          <w:spacing w:val="-4"/>
          <w:sz w:val="24"/>
          <w:szCs w:val="24"/>
          <w:lang w:val="sr-Cyrl-CS"/>
        </w:rPr>
        <w:t xml:space="preserve">ранспарентност јавних набавки, </w:t>
      </w:r>
      <w:r w:rsidR="00B01E29" w:rsidRPr="00FF54AF">
        <w:rPr>
          <w:rFonts w:ascii="Times New Roman" w:hAnsi="Times New Roman" w:cs="Times New Roman"/>
          <w:noProof/>
          <w:color w:val="auto"/>
          <w:spacing w:val="-4"/>
          <w:sz w:val="24"/>
          <w:szCs w:val="24"/>
          <w:lang w:val="sr-Cyrl-CS"/>
        </w:rPr>
        <w:t>повећат</w:t>
      </w:r>
      <w:r w:rsidR="00683894">
        <w:rPr>
          <w:rFonts w:ascii="Times New Roman" w:hAnsi="Times New Roman" w:cs="Times New Roman"/>
          <w:noProof/>
          <w:color w:val="auto"/>
          <w:spacing w:val="-4"/>
          <w:sz w:val="24"/>
          <w:szCs w:val="24"/>
          <w:lang w:val="sr-Cyrl-CS"/>
        </w:rPr>
        <w:t xml:space="preserve">и конкуренцију </w:t>
      </w:r>
      <w:r w:rsidR="00B01E29" w:rsidRPr="00FF54AF">
        <w:rPr>
          <w:rFonts w:ascii="Times New Roman" w:hAnsi="Times New Roman" w:cs="Times New Roman"/>
          <w:noProof/>
          <w:color w:val="auto"/>
          <w:spacing w:val="-4"/>
          <w:sz w:val="24"/>
          <w:szCs w:val="24"/>
          <w:lang w:val="sr-Cyrl-CS"/>
        </w:rPr>
        <w:t>и смањити трошкове учешћа у поступцима јавних набавки, биће покренут средином 2020. године. Развој новог Портала</w:t>
      </w:r>
      <w:r w:rsidR="00683894">
        <w:rPr>
          <w:rFonts w:ascii="Times New Roman" w:hAnsi="Times New Roman" w:cs="Times New Roman"/>
          <w:noProof/>
          <w:color w:val="auto"/>
          <w:spacing w:val="-4"/>
          <w:sz w:val="24"/>
          <w:szCs w:val="24"/>
          <w:lang w:val="sr-Cyrl-CS"/>
        </w:rPr>
        <w:t xml:space="preserve"> </w:t>
      </w:r>
      <w:r w:rsidR="00544B6C">
        <w:rPr>
          <w:rFonts w:ascii="Times New Roman" w:hAnsi="Times New Roman" w:cs="Times New Roman"/>
          <w:noProof/>
          <w:color w:val="auto"/>
          <w:spacing w:val="-4"/>
          <w:sz w:val="24"/>
          <w:szCs w:val="24"/>
          <w:lang w:val="sr-Cyrl-CS"/>
        </w:rPr>
        <w:t>омогућен је уз помоћ</w:t>
      </w:r>
      <w:r w:rsidR="00B01E29" w:rsidRPr="00FF54AF">
        <w:rPr>
          <w:rFonts w:ascii="Times New Roman" w:hAnsi="Times New Roman" w:cs="Times New Roman"/>
          <w:noProof/>
          <w:color w:val="auto"/>
          <w:spacing w:val="-4"/>
          <w:sz w:val="24"/>
          <w:szCs w:val="24"/>
          <w:lang w:val="sr-Cyrl-CS"/>
        </w:rPr>
        <w:t xml:space="preserve"> Пројекта „Подршка даљем унапређењу система јавних набавки у Србији“ ИПА 2013. Да би се побољшали капацитети УЈН за управљање новим порталом, пројекат је 20. и 21. марта организовао радионице под називом „Електронска јавна набавка: Нови портал јавних набавки и његове функције“. Радионице су помогле представницима УЈН да упознају нови портал, његове функционалности и динамику његовог представљања. Ово је био први од четири модула практичних радионица организованих за Управу за јавне набавке, а сваки је обухватио различит аспект Портала јавних набавки. И</w:t>
      </w:r>
      <w:r w:rsidR="00840E25">
        <w:rPr>
          <w:rFonts w:ascii="Times New Roman" w:hAnsi="Times New Roman" w:cs="Times New Roman"/>
          <w:noProof/>
          <w:color w:val="auto"/>
          <w:spacing w:val="-4"/>
          <w:sz w:val="24"/>
          <w:szCs w:val="24"/>
          <w:lang w:val="sr-Cyrl-CS"/>
        </w:rPr>
        <w:t>деја ових радионица је и обука запослених</w:t>
      </w:r>
      <w:r w:rsidR="00B01E29" w:rsidRPr="00FF54AF">
        <w:rPr>
          <w:rFonts w:ascii="Times New Roman" w:hAnsi="Times New Roman" w:cs="Times New Roman"/>
          <w:noProof/>
          <w:color w:val="auto"/>
          <w:spacing w:val="-4"/>
          <w:sz w:val="24"/>
          <w:szCs w:val="24"/>
          <w:lang w:val="sr-Cyrl-CS"/>
        </w:rPr>
        <w:t xml:space="preserve"> у УЈН, јер ће УЈН бити задужена за пружање континуиране подршке крајњим корисницима новог Портала јавних набавки.</w:t>
      </w:r>
    </w:p>
    <w:p w14:paraId="29D59EA6"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03340E8A" w14:textId="5CBFB3F2"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 xml:space="preserve">Такође, уз подршку пројекта „Подршка даљем унапређењу система јавних набавки у Србији“ ИПА 2013, у Београду је 4. априла одржана радионица под називом „Упутства за оквирне споразуме и моделе тендерске документације“, на којој су дискутоване и финализоване нове смернице за закључивање оквирних споразума са представницима УЈН. Поред тога, разговарано је о моделима </w:t>
      </w:r>
      <w:r w:rsidR="004673DA">
        <w:rPr>
          <w:rFonts w:ascii="Times New Roman" w:hAnsi="Times New Roman" w:cs="Times New Roman"/>
          <w:noProof/>
          <w:color w:val="auto"/>
          <w:spacing w:val="-4"/>
          <w:sz w:val="24"/>
          <w:szCs w:val="24"/>
          <w:lang w:val="sr-Cyrl-CS"/>
        </w:rPr>
        <w:t>конкурсне</w:t>
      </w:r>
      <w:r w:rsidRPr="00FF54AF">
        <w:rPr>
          <w:rFonts w:ascii="Times New Roman" w:hAnsi="Times New Roman" w:cs="Times New Roman"/>
          <w:noProof/>
          <w:color w:val="auto"/>
          <w:spacing w:val="-4"/>
          <w:sz w:val="24"/>
          <w:szCs w:val="24"/>
          <w:lang w:val="sr-Cyrl-CS"/>
        </w:rPr>
        <w:t xml:space="preserve"> документације. </w:t>
      </w:r>
    </w:p>
    <w:p w14:paraId="7F1E7B80"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4F74E69F"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Представник УЈН учествовао је на радионици „Стварање замаха у екосистемима отворених података“. Циљ радионице био је повећање свести о вредности отворених података за пружање услуга, пословање и иновације у Србији међу потенцијалним корисницима и релевантним агенцијама. Такође је уведено неколико практичних метода за постизање успеха са отвореним подацима и изазовима да учесници размишљају о будућим могућностима отворених података у Србији. Радионица је одржана у Београду, 9. априла.</w:t>
      </w:r>
    </w:p>
    <w:p w14:paraId="52C03BC0"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33C1145C" w14:textId="74ED8AB5"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 xml:space="preserve">Представници УЈН учествовали су на радионици под називом „Оквирни споразуми у светлу одредби и праксе Европске уније“ коју је организовао Пројекат „Подршка даљем унапређењу система јавних набавки у Србији“ ИПА 2013 у сарадњи са СИГМА, </w:t>
      </w:r>
      <w:r w:rsidRPr="00FF54AF">
        <w:rPr>
          <w:rFonts w:ascii="Times New Roman" w:hAnsi="Times New Roman" w:cs="Times New Roman"/>
          <w:noProof/>
          <w:color w:val="auto"/>
          <w:spacing w:val="-4"/>
          <w:sz w:val="24"/>
          <w:szCs w:val="24"/>
          <w:lang w:val="sr-Cyrl-CS"/>
        </w:rPr>
        <w:lastRenderedPageBreak/>
        <w:t>заједничком иницијативом ОЕЦД-а и ЕУ, која је одржана у Београду 11. априла. На радионици је наглашено колико је важно да се државни службеници у Републици Србији упознају са европским процедурама, посебно због новог Закона о јавним набавкама, који је израђен по највишим стандардима у овој области. Представници УЈН су имали прилику да размене искуства са експертом за јавне набавке из Пољске, који је говорио о приступу ЕУ директивама о јавним набавкама које се тичу оквирних споразума, њиховом концепту, странама у процесу, планирању, организацији и спровођењу, к</w:t>
      </w:r>
      <w:r w:rsidR="00A20CB6">
        <w:rPr>
          <w:rFonts w:ascii="Times New Roman" w:hAnsi="Times New Roman" w:cs="Times New Roman"/>
          <w:noProof/>
          <w:color w:val="auto"/>
          <w:spacing w:val="-4"/>
          <w:sz w:val="24"/>
          <w:szCs w:val="24"/>
          <w:lang w:val="sr-Cyrl-CS"/>
        </w:rPr>
        <w:t>ао и неким примерима из праксе</w:t>
      </w:r>
      <w:r w:rsidRPr="00FF54AF">
        <w:rPr>
          <w:rFonts w:ascii="Times New Roman" w:hAnsi="Times New Roman" w:cs="Times New Roman"/>
          <w:noProof/>
          <w:color w:val="auto"/>
          <w:spacing w:val="-4"/>
          <w:sz w:val="24"/>
          <w:szCs w:val="24"/>
          <w:lang w:val="sr-Cyrl-CS"/>
        </w:rPr>
        <w:t>.</w:t>
      </w:r>
    </w:p>
    <w:p w14:paraId="1136DE93"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01055605"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Након прве практичне радионице о новом Порталу јавних набавки, пројекат „Подршка даљем унапређењу система јавних набавки у Србији“ ИПА 2013 је организовао још две радионице, на којима су запослени у УЈН обучени како да користе нови Портал са аспекта економских оператера, е-подношења и отварања понуда и употребу е-каталог-а. Током дводневне радионице, 13 запослених у УЈН имало је прилику да испроба девет корисних вежби. Учесници су имали прилику научити како се региструју наручиоци, како се претражују планови јавних набавки и како се може претплатити на примање информација о процесу, како би благовремено информисали понуђаче. Радионица је одржана у Ечки, од 18. до 19. априла.</w:t>
      </w:r>
    </w:p>
    <w:p w14:paraId="44C19C2A"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5290C063"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Представник УЈН учествовао је на радионици под називом „Кохезиона политика Европске уније у новој финансијској перспективи 2021-2027“, одржаној у Београду 23. априла. Циљ радионице био је упознавање учесника са перспективама кохезионе политике након 2020. године (на стратешком и оперативном нивоу), унапређење разумевања кохезионе политике, посебно из угла Републике Србије и презентација лекција научених од других земље у односу на теме о којима се разговарало.</w:t>
      </w:r>
    </w:p>
    <w:p w14:paraId="1631860F"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04F0BD1A"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Чланови Радне групе за припрему новог Закона о јавним набавкама упознати су са новим Порталом јавних набавки и његовим функцијама током дводневне радионице, коју је организовао пројекат „Подршка даљем унапређењу система јавних набавки у Србији“ ИПА 2013, а која је одржана у Новом Саду од 23. до 24. априла. Експерт за е-набавку представили су учесницима општи преглед новог Портала, као и како се регистровати на Порталу и управљати корисничким налозима. Учесници су се такође упознали са специфичним аспектима Портала јавних набавки (планирање, покретање поступка јавних набвки, подношење електронских понуда, објављивање одлуке о додели уговора у поступцима јавних набавки).</w:t>
      </w:r>
    </w:p>
    <w:p w14:paraId="22934525"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06D066D9"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 xml:space="preserve">Представник УЈН учествовао је у радионици о проактивном развоју случајева корупције, случајевима финансијских превара и привредног криминала, заједно са представницима тужилаштва и полицијских инспектора. Ову радионицу су организовали Министарство правде САД и ОЕЦД, у сарадњи са Министарством правде Републике Србије, Правосудном </w:t>
      </w:r>
      <w:r w:rsidRPr="00FF54AF">
        <w:rPr>
          <w:rFonts w:ascii="Times New Roman" w:hAnsi="Times New Roman" w:cs="Times New Roman"/>
          <w:noProof/>
          <w:color w:val="auto"/>
          <w:spacing w:val="-4"/>
          <w:sz w:val="24"/>
          <w:szCs w:val="24"/>
          <w:lang w:val="sr-Cyrl-CS"/>
        </w:rPr>
        <w:lastRenderedPageBreak/>
        <w:t>академијом Републике Србије и Тужилаштвом, у Врњачкој Бањи од 19. до 21. јуна 2019. године. Главни циљеви ове радионице били су развој вештина критичког размишљања и решавања проблема повезаних са анализом случајева и доказима, развијање вештина спровођења истрага, финансијских и тужилачких вештина, развијање вештина у групама за утицај и вештинама управљања случајем, укључујући вештине потребне за надзор, управљање и координирају истраге развијајући основно разумевање проблема везаних за истраге и кривично гоњење случајева злоупотребе у вези с јавним набавкама.</w:t>
      </w:r>
    </w:p>
    <w:p w14:paraId="04065479"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01E35DEF"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Представници УЈН учестовали су на радионици о систему јавних набавки у Републици Србији, одржаној у Шапцу од 20. до 21. јуна 2019. Главне теме биле су везане за примену Закона о јавним набавкама и подзаконских аката, најчешћи облици неправилности у јавним набавкама, како спречити неправилности у јавним набавкама и како побољшати комуникацију и координацију између Управе за јавне набавке, Државне ревизорске институције, Републичке комисије за заштиту права у поступцима јавних набавки и Министарства Финансије – Одељења буџетске инспекције, у области јавних набавки.</w:t>
      </w:r>
    </w:p>
    <w:p w14:paraId="0A97413D"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67AE8977"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Представници УЈН учествовали су на радионици под називом „Учешће микро, малих и средњих предузећа (МСМЕ) у јавним набавкама“ која је одржана у Београду 28. јуна 2019. године у просторијама Палате Србија. Циљ обуке био је да пружи подршку запосленима у јавним набавкама и одговорним лицима код наручилаца како би се привукла мала и средња предузећа да учествују у поступцима јавних набавки у Републици Србији, посебно у вези са микро предузећима, кроз представљање препрека за учешће МСП у јавним набавкама, као и, посебно, давањем препорука за повећање учешћа ММСП у јавним набавкама.</w:t>
      </w:r>
    </w:p>
    <w:p w14:paraId="2DDC95EE" w14:textId="77777777" w:rsidR="00B01E29" w:rsidRPr="00FF54AF" w:rsidRDefault="00B01E29" w:rsidP="00B01E29">
      <w:pPr>
        <w:spacing w:after="0"/>
        <w:jc w:val="both"/>
        <w:rPr>
          <w:rFonts w:ascii="Times New Roman" w:hAnsi="Times New Roman" w:cs="Times New Roman"/>
          <w:noProof/>
          <w:color w:val="auto"/>
          <w:spacing w:val="-4"/>
          <w:sz w:val="24"/>
          <w:szCs w:val="24"/>
          <w:lang w:val="sr-Cyrl-CS"/>
        </w:rPr>
      </w:pPr>
    </w:p>
    <w:p w14:paraId="57D09FB1" w14:textId="027091BF" w:rsidR="004F5F81" w:rsidRPr="00FF54AF" w:rsidRDefault="00B01E29" w:rsidP="00B01E29">
      <w:pPr>
        <w:spacing w:after="0"/>
        <w:jc w:val="both"/>
        <w:rPr>
          <w:rFonts w:ascii="Times New Roman" w:hAnsi="Times New Roman" w:cs="Times New Roman"/>
          <w:noProof/>
          <w:color w:val="auto"/>
          <w:spacing w:val="-4"/>
          <w:sz w:val="24"/>
          <w:szCs w:val="24"/>
          <w:lang w:val="sr-Cyrl-CS"/>
        </w:rPr>
      </w:pPr>
      <w:r w:rsidRPr="00FF54AF">
        <w:rPr>
          <w:rFonts w:ascii="Times New Roman" w:hAnsi="Times New Roman" w:cs="Times New Roman"/>
          <w:noProof/>
          <w:color w:val="auto"/>
          <w:spacing w:val="-4"/>
          <w:sz w:val="24"/>
          <w:szCs w:val="24"/>
          <w:lang w:val="sr-Cyrl-CS"/>
        </w:rPr>
        <w:t>Представници УЈН учестовали су на радионици под називом „Метарегистар и попис службених евиденција“ 26. јуна 2019. године у просторијама Националне академије за јавну управу. Циљ радионице је успостављање једноставне и ауторизоване размене података у складу са законом где је неопходно пописати све службене евиденције које су установљене законом или другим прописом, а којима се организовано региструју подаци или чињенице за одређене намене, односно за потребе вођења управних поступака.</w:t>
      </w:r>
    </w:p>
    <w:p w14:paraId="798B3AAA" w14:textId="77777777" w:rsidR="004F5F81" w:rsidRPr="00FF54AF" w:rsidRDefault="004F5F81" w:rsidP="004F5F81">
      <w:pPr>
        <w:spacing w:after="0"/>
        <w:jc w:val="both"/>
        <w:rPr>
          <w:rFonts w:ascii="Times New Roman" w:hAnsi="Times New Roman" w:cs="Times New Roman"/>
          <w:noProof/>
          <w:color w:val="auto"/>
          <w:spacing w:val="-4"/>
          <w:sz w:val="24"/>
          <w:szCs w:val="24"/>
          <w:lang w:val="sr-Cyrl-CS"/>
        </w:rPr>
      </w:pPr>
    </w:p>
    <w:p w14:paraId="6D568524" w14:textId="77777777" w:rsidR="00827F6D" w:rsidRPr="00FF54AF" w:rsidRDefault="00827F6D" w:rsidP="004F5F81">
      <w:pPr>
        <w:spacing w:after="0"/>
        <w:jc w:val="both"/>
        <w:rPr>
          <w:rFonts w:ascii="Times New Roman" w:hAnsi="Times New Roman" w:cs="Times New Roman"/>
          <w:noProof/>
          <w:color w:val="auto"/>
          <w:spacing w:val="-4"/>
          <w:sz w:val="24"/>
          <w:szCs w:val="24"/>
          <w:lang w:val="sr-Cyrl-CS"/>
        </w:rPr>
      </w:pPr>
    </w:p>
    <w:p w14:paraId="1B9F6B0D" w14:textId="421380DB" w:rsidR="004F5F81" w:rsidRPr="00FF54AF" w:rsidRDefault="004F5F81" w:rsidP="004F5F81">
      <w:pPr>
        <w:spacing w:after="0"/>
        <w:jc w:val="both"/>
        <w:outlineLvl w:val="5"/>
        <w:rPr>
          <w:rFonts w:ascii="Times New Roman" w:eastAsia="Times New Roman" w:hAnsi="Times New Roman" w:cs="Times New Roman"/>
          <w:b/>
          <w:color w:val="auto"/>
          <w:sz w:val="24"/>
          <w:szCs w:val="24"/>
          <w:lang w:eastAsia="en-US"/>
        </w:rPr>
      </w:pPr>
      <w:r w:rsidRPr="00FF54AF">
        <w:rPr>
          <w:rFonts w:ascii="Times New Roman" w:eastAsia="Times New Roman" w:hAnsi="Times New Roman" w:cs="Times New Roman"/>
          <w:b/>
          <w:color w:val="auto"/>
          <w:sz w:val="24"/>
          <w:szCs w:val="24"/>
          <w:lang w:eastAsia="en-US"/>
        </w:rPr>
        <w:t>Мишљења и тумачења</w:t>
      </w:r>
    </w:p>
    <w:p w14:paraId="4DDA84D3" w14:textId="77777777" w:rsidR="004F5F81" w:rsidRPr="00FF54AF" w:rsidRDefault="004F5F81" w:rsidP="004F5F81">
      <w:pPr>
        <w:spacing w:after="0"/>
        <w:jc w:val="both"/>
        <w:outlineLvl w:val="5"/>
        <w:rPr>
          <w:rFonts w:ascii="Times New Roman" w:eastAsia="Times New Roman" w:hAnsi="Times New Roman" w:cs="Times New Roman"/>
          <w:color w:val="auto"/>
          <w:sz w:val="24"/>
          <w:szCs w:val="24"/>
          <w:lang w:eastAsia="en-US"/>
        </w:rPr>
      </w:pPr>
    </w:p>
    <w:p w14:paraId="532667D8" w14:textId="2DBC509C" w:rsidR="008A4CA6" w:rsidRPr="00FF54AF" w:rsidRDefault="008A4CA6" w:rsidP="008A4CA6">
      <w:pPr>
        <w:spacing w:after="0"/>
        <w:jc w:val="both"/>
        <w:outlineLvl w:val="5"/>
        <w:rPr>
          <w:rFonts w:ascii="Times New Roman" w:eastAsia="Times New Roman" w:hAnsi="Times New Roman" w:cs="Times New Roman"/>
          <w:color w:val="auto"/>
          <w:sz w:val="24"/>
          <w:szCs w:val="24"/>
          <w:lang w:eastAsia="en-US"/>
        </w:rPr>
      </w:pPr>
      <w:r w:rsidRPr="00FF54AF">
        <w:rPr>
          <w:rFonts w:ascii="Times New Roman" w:eastAsia="Times New Roman" w:hAnsi="Times New Roman" w:cs="Times New Roman"/>
          <w:color w:val="auto"/>
          <w:sz w:val="24"/>
          <w:szCs w:val="24"/>
          <w:lang w:eastAsia="en-US"/>
        </w:rPr>
        <w:t>У складу са чланом 136. ЗЈН, у првој половини 201</w:t>
      </w:r>
      <w:r w:rsidR="002E77E2" w:rsidRPr="00FF54AF">
        <w:rPr>
          <w:rFonts w:ascii="Times New Roman" w:eastAsia="Times New Roman" w:hAnsi="Times New Roman" w:cs="Times New Roman"/>
          <w:color w:val="auto"/>
          <w:sz w:val="24"/>
          <w:szCs w:val="24"/>
          <w:lang w:val="sr-Latn-ME" w:eastAsia="en-US"/>
        </w:rPr>
        <w:t>9</w:t>
      </w:r>
      <w:r w:rsidRPr="00FF54AF">
        <w:rPr>
          <w:rFonts w:ascii="Times New Roman" w:eastAsia="Times New Roman" w:hAnsi="Times New Roman" w:cs="Times New Roman"/>
          <w:color w:val="auto"/>
          <w:sz w:val="24"/>
          <w:szCs w:val="24"/>
          <w:lang w:eastAsia="en-US"/>
        </w:rPr>
        <w:t>. године, УЈН је дала</w:t>
      </w:r>
      <w:r w:rsidRPr="00FF54AF">
        <w:rPr>
          <w:rFonts w:ascii="Times New Roman" w:eastAsia="Times New Roman" w:hAnsi="Times New Roman" w:cs="Times New Roman"/>
          <w:bCs/>
          <w:color w:val="auto"/>
          <w:sz w:val="24"/>
          <w:szCs w:val="24"/>
        </w:rPr>
        <w:t xml:space="preserve"> </w:t>
      </w:r>
      <w:r w:rsidR="002E77E2" w:rsidRPr="00FF54AF">
        <w:rPr>
          <w:rFonts w:ascii="Times New Roman" w:eastAsia="Times New Roman" w:hAnsi="Times New Roman" w:cs="Times New Roman"/>
          <w:color w:val="auto"/>
          <w:sz w:val="24"/>
          <w:szCs w:val="24"/>
          <w:lang w:eastAsia="en-US"/>
        </w:rPr>
        <w:t>105</w:t>
      </w:r>
      <w:r w:rsidRPr="00FF54AF">
        <w:rPr>
          <w:rFonts w:ascii="Times New Roman" w:eastAsia="Times New Roman" w:hAnsi="Times New Roman" w:cs="Times New Roman"/>
          <w:color w:val="auto"/>
          <w:sz w:val="24"/>
          <w:szCs w:val="24"/>
          <w:lang w:eastAsia="en-US"/>
        </w:rPr>
        <w:t xml:space="preserve"> мишљења о тумачењу и примени одредаба ЗЈН. У истом периоду УЈН је дала и </w:t>
      </w:r>
      <w:r w:rsidR="002E77E2" w:rsidRPr="00FF54AF">
        <w:rPr>
          <w:rFonts w:ascii="Times New Roman" w:hAnsi="Times New Roman" w:cs="Times New Roman"/>
          <w:color w:val="auto"/>
        </w:rPr>
        <w:t>1.101</w:t>
      </w:r>
      <w:r w:rsidRPr="00FF54AF">
        <w:rPr>
          <w:rFonts w:ascii="Times New Roman" w:hAnsi="Times New Roman" w:cs="Times New Roman"/>
          <w:color w:val="auto"/>
        </w:rPr>
        <w:t xml:space="preserve"> м</w:t>
      </w:r>
      <w:r w:rsidRPr="00FF54AF">
        <w:rPr>
          <w:rFonts w:ascii="Times New Roman" w:eastAsia="Times New Roman" w:hAnsi="Times New Roman" w:cs="Times New Roman"/>
          <w:color w:val="auto"/>
          <w:sz w:val="24"/>
          <w:szCs w:val="24"/>
          <w:lang w:eastAsia="en-US"/>
        </w:rPr>
        <w:t xml:space="preserve">ишљење о основаности примене преговарачког поступка без објављивања позива за подношење понуда, из члана 36. став 1. тач. 2)-6) ЗЈН, од тога </w:t>
      </w:r>
      <w:r w:rsidR="002E77E2" w:rsidRPr="00FF54AF">
        <w:rPr>
          <w:rFonts w:ascii="Times New Roman" w:eastAsia="Times New Roman" w:hAnsi="Times New Roman" w:cs="Times New Roman"/>
          <w:color w:val="auto"/>
          <w:sz w:val="24"/>
          <w:szCs w:val="24"/>
          <w:lang w:val="sr-Latn-ME" w:eastAsia="en-US"/>
        </w:rPr>
        <w:t>1.065</w:t>
      </w:r>
      <w:r w:rsidRPr="00FF54AF">
        <w:rPr>
          <w:rFonts w:ascii="Times New Roman" w:eastAsia="Times New Roman" w:hAnsi="Times New Roman" w:cs="Times New Roman"/>
          <w:color w:val="auto"/>
          <w:sz w:val="24"/>
          <w:szCs w:val="24"/>
          <w:lang w:eastAsia="en-US"/>
        </w:rPr>
        <w:t xml:space="preserve"> позитивн</w:t>
      </w:r>
      <w:r w:rsidR="00B314B3">
        <w:rPr>
          <w:rFonts w:ascii="Times New Roman" w:eastAsia="Times New Roman" w:hAnsi="Times New Roman" w:cs="Times New Roman"/>
          <w:color w:val="auto"/>
          <w:sz w:val="24"/>
          <w:szCs w:val="24"/>
          <w:lang w:val="sr-Cyrl-RS" w:eastAsia="en-US"/>
        </w:rPr>
        <w:t>их</w:t>
      </w:r>
      <w:r w:rsidRPr="00FF54AF">
        <w:rPr>
          <w:rFonts w:ascii="Times New Roman" w:eastAsia="Times New Roman" w:hAnsi="Times New Roman" w:cs="Times New Roman"/>
          <w:color w:val="auto"/>
          <w:sz w:val="24"/>
          <w:szCs w:val="24"/>
          <w:lang w:eastAsia="en-US"/>
        </w:rPr>
        <w:t xml:space="preserve">, </w:t>
      </w:r>
      <w:r w:rsidR="002E77E2" w:rsidRPr="00FF54AF">
        <w:rPr>
          <w:rFonts w:ascii="Times New Roman" w:eastAsia="Times New Roman" w:hAnsi="Times New Roman" w:cs="Times New Roman"/>
          <w:color w:val="auto"/>
          <w:sz w:val="24"/>
          <w:szCs w:val="24"/>
          <w:lang w:val="sr-Latn-ME" w:eastAsia="en-US"/>
        </w:rPr>
        <w:t>36</w:t>
      </w:r>
      <w:r w:rsidRPr="00FF54AF">
        <w:rPr>
          <w:rFonts w:ascii="Times New Roman" w:eastAsia="Times New Roman" w:hAnsi="Times New Roman" w:cs="Times New Roman"/>
          <w:color w:val="auto"/>
          <w:sz w:val="24"/>
          <w:szCs w:val="24"/>
          <w:lang w:eastAsia="en-US"/>
        </w:rPr>
        <w:t xml:space="preserve"> негативн</w:t>
      </w:r>
      <w:r w:rsidR="00B314B3">
        <w:rPr>
          <w:rFonts w:ascii="Times New Roman" w:eastAsia="Times New Roman" w:hAnsi="Times New Roman" w:cs="Times New Roman"/>
          <w:color w:val="auto"/>
          <w:sz w:val="24"/>
          <w:szCs w:val="24"/>
          <w:lang w:val="sr-Cyrl-RS" w:eastAsia="en-US"/>
        </w:rPr>
        <w:t>их</w:t>
      </w:r>
      <w:r w:rsidRPr="00FF54AF">
        <w:rPr>
          <w:rFonts w:ascii="Times New Roman" w:eastAsia="Times New Roman" w:hAnsi="Times New Roman" w:cs="Times New Roman"/>
          <w:color w:val="auto"/>
          <w:sz w:val="24"/>
          <w:szCs w:val="24"/>
          <w:lang w:eastAsia="en-US"/>
        </w:rPr>
        <w:t xml:space="preserve">, док је </w:t>
      </w:r>
      <w:r w:rsidR="00B314B3">
        <w:rPr>
          <w:rFonts w:ascii="Times New Roman" w:eastAsia="Times New Roman" w:hAnsi="Times New Roman" w:cs="Times New Roman"/>
          <w:color w:val="auto"/>
          <w:sz w:val="24"/>
          <w:szCs w:val="24"/>
          <w:lang w:val="sr-Cyrl-RS" w:eastAsia="en-US"/>
        </w:rPr>
        <w:t>код</w:t>
      </w:r>
      <w:r w:rsidRPr="00FF54AF">
        <w:rPr>
          <w:rFonts w:ascii="Times New Roman" w:eastAsia="Times New Roman" w:hAnsi="Times New Roman" w:cs="Times New Roman"/>
          <w:color w:val="auto"/>
          <w:sz w:val="24"/>
          <w:szCs w:val="24"/>
          <w:lang w:eastAsia="en-US"/>
        </w:rPr>
        <w:t xml:space="preserve"> </w:t>
      </w:r>
      <w:r w:rsidR="002E77E2" w:rsidRPr="00FF54AF">
        <w:rPr>
          <w:rFonts w:ascii="Times New Roman" w:eastAsia="Times New Roman" w:hAnsi="Times New Roman" w:cs="Times New Roman"/>
          <w:color w:val="auto"/>
          <w:sz w:val="24"/>
          <w:szCs w:val="24"/>
          <w:lang w:val="sr-Latn-ME" w:eastAsia="en-US"/>
        </w:rPr>
        <w:t>205</w:t>
      </w:r>
      <w:r w:rsidRPr="00FF54AF">
        <w:rPr>
          <w:rFonts w:ascii="Times New Roman" w:eastAsia="Times New Roman" w:hAnsi="Times New Roman" w:cs="Times New Roman"/>
          <w:color w:val="auto"/>
          <w:sz w:val="24"/>
          <w:szCs w:val="24"/>
          <w:lang w:eastAsia="en-US"/>
        </w:rPr>
        <w:t xml:space="preserve"> захтева тражено уређење. </w:t>
      </w:r>
    </w:p>
    <w:p w14:paraId="036AB778" w14:textId="77777777" w:rsidR="008A4CA6" w:rsidRPr="00FF54AF" w:rsidRDefault="008A4CA6" w:rsidP="008A4CA6">
      <w:pPr>
        <w:spacing w:after="0"/>
        <w:jc w:val="both"/>
        <w:outlineLvl w:val="5"/>
        <w:rPr>
          <w:rFonts w:ascii="Times New Roman" w:eastAsia="Times New Roman" w:hAnsi="Times New Roman" w:cs="Times New Roman"/>
          <w:color w:val="auto"/>
          <w:sz w:val="24"/>
          <w:szCs w:val="24"/>
          <w:lang w:eastAsia="en-US"/>
        </w:rPr>
      </w:pPr>
      <w:r w:rsidRPr="00FF54AF">
        <w:rPr>
          <w:rFonts w:ascii="Times New Roman" w:eastAsia="Times New Roman" w:hAnsi="Times New Roman" w:cs="Times New Roman"/>
          <w:color w:val="auto"/>
          <w:sz w:val="24"/>
          <w:szCs w:val="24"/>
          <w:lang w:eastAsia="en-US"/>
        </w:rPr>
        <w:lastRenderedPageBreak/>
        <w:t>Сва мишљења, позитивна и негативна, дата у вези примене члана 36. ЗЈН, УЈН је објавила на Порталу јавних набавки. Поред тога, УЈН објављује на својој интернет страници о</w:t>
      </w:r>
      <w:r w:rsidRPr="00FF54AF">
        <w:rPr>
          <w:rFonts w:ascii="Times New Roman" w:hAnsi="Times New Roman" w:cs="Times New Roman"/>
          <w:color w:val="auto"/>
          <w:sz w:val="24"/>
          <w:szCs w:val="24"/>
          <w:lang w:eastAsia="en-US"/>
        </w:rPr>
        <w:t>дговоре на најчешћа питања постављена при захтевима за тумачењем.</w:t>
      </w:r>
    </w:p>
    <w:p w14:paraId="300D1C95" w14:textId="77777777" w:rsidR="008A4CA6" w:rsidRPr="00FF54AF" w:rsidRDefault="008A4CA6" w:rsidP="004F5F81">
      <w:pPr>
        <w:jc w:val="both"/>
        <w:rPr>
          <w:rFonts w:ascii="Times New Roman" w:eastAsia="Times New Roman" w:hAnsi="Times New Roman" w:cs="Times New Roman"/>
          <w:b/>
          <w:color w:val="auto"/>
          <w:sz w:val="24"/>
          <w:szCs w:val="24"/>
          <w:lang w:eastAsia="en-US"/>
        </w:rPr>
      </w:pPr>
    </w:p>
    <w:p w14:paraId="020E5D7E" w14:textId="77777777" w:rsidR="004F5F81" w:rsidRPr="00FF54AF" w:rsidRDefault="004F5F81" w:rsidP="004F5F81">
      <w:pPr>
        <w:jc w:val="both"/>
        <w:rPr>
          <w:rFonts w:ascii="Times New Roman" w:eastAsia="Times New Roman" w:hAnsi="Times New Roman" w:cs="Times New Roman"/>
          <w:b/>
          <w:color w:val="auto"/>
          <w:sz w:val="24"/>
          <w:szCs w:val="24"/>
          <w:lang w:eastAsia="en-US"/>
        </w:rPr>
      </w:pPr>
      <w:r w:rsidRPr="00FF54AF">
        <w:rPr>
          <w:rFonts w:ascii="Times New Roman" w:eastAsia="Times New Roman" w:hAnsi="Times New Roman" w:cs="Times New Roman"/>
          <w:b/>
          <w:color w:val="auto"/>
          <w:sz w:val="24"/>
          <w:szCs w:val="24"/>
          <w:lang w:eastAsia="en-US"/>
        </w:rPr>
        <w:t>Стручна помоћ наручиоцима и понуђачима</w:t>
      </w:r>
    </w:p>
    <w:p w14:paraId="7C256AAF" w14:textId="3817AFA5" w:rsidR="008A4CA6" w:rsidRPr="00FF54AF" w:rsidRDefault="008A4CA6" w:rsidP="008A4CA6">
      <w:pPr>
        <w:jc w:val="both"/>
        <w:rPr>
          <w:rFonts w:ascii="Times New Roman" w:hAnsi="Times New Roman" w:cs="Times New Roman"/>
          <w:color w:val="auto"/>
          <w:sz w:val="24"/>
          <w:szCs w:val="24"/>
          <w:lang w:eastAsia="en-US"/>
        </w:rPr>
      </w:pPr>
      <w:r w:rsidRPr="00FF54AF">
        <w:rPr>
          <w:rFonts w:ascii="Times New Roman" w:eastAsia="Times New Roman" w:hAnsi="Times New Roman" w:cs="Times New Roman"/>
          <w:color w:val="auto"/>
          <w:sz w:val="24"/>
          <w:szCs w:val="24"/>
          <w:lang w:eastAsia="en-US"/>
        </w:rPr>
        <w:t>Поред припреме и објављивања модела конкурсних документација, давања мишљења и тумачења, УЈН је, у првом полугодишту 201</w:t>
      </w:r>
      <w:r w:rsidR="00AE0014" w:rsidRPr="00FF54AF">
        <w:rPr>
          <w:rFonts w:ascii="Times New Roman" w:eastAsia="Times New Roman" w:hAnsi="Times New Roman" w:cs="Times New Roman"/>
          <w:color w:val="auto"/>
          <w:sz w:val="24"/>
          <w:szCs w:val="24"/>
          <w:lang w:val="sr-Latn-ME" w:eastAsia="en-US"/>
        </w:rPr>
        <w:t>9</w:t>
      </w:r>
      <w:r w:rsidRPr="00FF54AF">
        <w:rPr>
          <w:rFonts w:ascii="Times New Roman" w:eastAsia="Times New Roman" w:hAnsi="Times New Roman" w:cs="Times New Roman"/>
          <w:color w:val="auto"/>
          <w:sz w:val="24"/>
          <w:szCs w:val="24"/>
          <w:lang w:eastAsia="en-US"/>
        </w:rPr>
        <w:t>. године, сваког радног дана пружала стручну помоћ наручиоцима и понуђачима путем консултација и то: правних консултација, п</w:t>
      </w:r>
      <w:r w:rsidR="00AE0014" w:rsidRPr="00FF54AF">
        <w:rPr>
          <w:rFonts w:ascii="Times New Roman" w:eastAsia="Times New Roman" w:hAnsi="Times New Roman" w:cs="Times New Roman"/>
          <w:color w:val="auto"/>
          <w:sz w:val="24"/>
          <w:szCs w:val="24"/>
          <w:lang w:eastAsia="en-US"/>
        </w:rPr>
        <w:t>утем телефона, у периоду од 9-11</w:t>
      </w:r>
      <w:r w:rsidRPr="00FF54AF">
        <w:rPr>
          <w:rFonts w:ascii="Times New Roman" w:eastAsia="Times New Roman" w:hAnsi="Times New Roman" w:cs="Times New Roman"/>
          <w:color w:val="auto"/>
          <w:sz w:val="24"/>
          <w:szCs w:val="24"/>
          <w:lang w:eastAsia="en-US"/>
        </w:rPr>
        <w:t xml:space="preserve"> часова (у просеку око 20-25 консултација дневно), као и консултација у вези са</w:t>
      </w:r>
      <w:r w:rsidRPr="00FF54AF">
        <w:rPr>
          <w:rFonts w:ascii="Times New Roman" w:hAnsi="Times New Roman" w:cs="Times New Roman"/>
          <w:color w:val="auto"/>
          <w:sz w:val="24"/>
          <w:szCs w:val="24"/>
          <w:lang w:eastAsia="en-US"/>
        </w:rPr>
        <w:t xml:space="preserve"> пословима планирања јавних набавки и кварталног извештавања, као и Портала, сваког радног дана, у периоду од 9-14 часова (у просеку 20 телефонских консултација дневно и око 10 консултација путем е-маила). </w:t>
      </w:r>
    </w:p>
    <w:p w14:paraId="427AB975" w14:textId="77777777" w:rsidR="008A4CA6" w:rsidRPr="00FF54AF" w:rsidRDefault="008A4CA6" w:rsidP="008A4CA6">
      <w:pPr>
        <w:jc w:val="both"/>
        <w:rPr>
          <w:rFonts w:ascii="Times New Roman" w:hAnsi="Times New Roman" w:cs="Times New Roman"/>
          <w:color w:val="auto"/>
          <w:sz w:val="24"/>
          <w:szCs w:val="24"/>
          <w:lang w:eastAsia="en-US"/>
        </w:rPr>
      </w:pPr>
      <w:r w:rsidRPr="00FF54AF">
        <w:rPr>
          <w:rFonts w:ascii="Times New Roman" w:hAnsi="Times New Roman" w:cs="Times New Roman"/>
          <w:color w:val="auto"/>
          <w:sz w:val="24"/>
          <w:szCs w:val="24"/>
          <w:lang w:eastAsia="en-US"/>
        </w:rPr>
        <w:t xml:space="preserve">Поред тога, УЈН је одржавала, у просеку, два састанка дневно са представницима различититх институција и министарстава, као и других наручилаца. </w:t>
      </w:r>
    </w:p>
    <w:p w14:paraId="79298E0C" w14:textId="77777777" w:rsidR="0021027C" w:rsidRPr="00FF54AF" w:rsidRDefault="0021027C" w:rsidP="004F5F81">
      <w:pPr>
        <w:spacing w:after="0"/>
        <w:jc w:val="both"/>
        <w:rPr>
          <w:rFonts w:ascii="Times New Roman" w:hAnsi="Times New Roman" w:cs="Times New Roman"/>
          <w:b/>
          <w:color w:val="auto"/>
          <w:sz w:val="24"/>
          <w:szCs w:val="24"/>
          <w:lang w:eastAsia="en-US"/>
        </w:rPr>
      </w:pPr>
    </w:p>
    <w:p w14:paraId="64C50EAC" w14:textId="77777777" w:rsidR="004F5F81" w:rsidRPr="00FF54AF" w:rsidRDefault="004F5F81" w:rsidP="004F5F81">
      <w:pPr>
        <w:spacing w:after="0"/>
        <w:jc w:val="both"/>
        <w:rPr>
          <w:rFonts w:ascii="Times New Roman" w:hAnsi="Times New Roman" w:cs="Times New Roman"/>
          <w:b/>
          <w:color w:val="auto"/>
          <w:sz w:val="24"/>
          <w:szCs w:val="24"/>
          <w:lang w:eastAsia="en-US"/>
        </w:rPr>
      </w:pPr>
      <w:r w:rsidRPr="00FF54AF">
        <w:rPr>
          <w:rFonts w:ascii="Times New Roman" w:hAnsi="Times New Roman" w:cs="Times New Roman"/>
          <w:b/>
          <w:color w:val="auto"/>
          <w:sz w:val="24"/>
          <w:szCs w:val="24"/>
          <w:lang w:eastAsia="en-US"/>
        </w:rPr>
        <w:t>Надзор</w:t>
      </w:r>
    </w:p>
    <w:p w14:paraId="76D0D6EA" w14:textId="606C8FE5" w:rsidR="004F5F81" w:rsidRPr="00FF54AF" w:rsidRDefault="004F5F81" w:rsidP="004F5F81">
      <w:pPr>
        <w:spacing w:after="0"/>
        <w:jc w:val="both"/>
        <w:rPr>
          <w:rFonts w:ascii="Times New Roman" w:hAnsi="Times New Roman" w:cs="Times New Roman"/>
          <w:b/>
          <w:color w:val="auto"/>
          <w:sz w:val="24"/>
          <w:szCs w:val="24"/>
          <w:lang w:eastAsia="en-US"/>
        </w:rPr>
      </w:pPr>
    </w:p>
    <w:p w14:paraId="1B93EAEC" w14:textId="343B5412" w:rsidR="00AE0014" w:rsidRPr="00FF54AF" w:rsidRDefault="00AE0014" w:rsidP="00AE0014">
      <w:pPr>
        <w:jc w:val="both"/>
        <w:rPr>
          <w:rFonts w:ascii="Times New Roman" w:hAnsi="Times New Roman"/>
          <w:color w:val="auto"/>
          <w:sz w:val="24"/>
          <w:szCs w:val="24"/>
        </w:rPr>
      </w:pPr>
      <w:r w:rsidRPr="00FF54AF">
        <w:rPr>
          <w:rFonts w:ascii="Times New Roman" w:hAnsi="Times New Roman"/>
          <w:color w:val="auto"/>
          <w:sz w:val="24"/>
          <w:szCs w:val="24"/>
        </w:rPr>
        <w:t>Управа</w:t>
      </w:r>
      <w:r w:rsidRPr="00FF54AF">
        <w:rPr>
          <w:rFonts w:ascii="Times New Roman" w:hAnsi="Times New Roman"/>
          <w:color w:val="auto"/>
          <w:sz w:val="24"/>
          <w:szCs w:val="24"/>
          <w:lang w:val="sr-Cyrl-RS"/>
        </w:rPr>
        <w:t xml:space="preserve"> за јавне набавке</w:t>
      </w:r>
      <w:r w:rsidRPr="00FF54AF">
        <w:rPr>
          <w:rFonts w:ascii="Times New Roman" w:hAnsi="Times New Roman"/>
          <w:color w:val="auto"/>
          <w:sz w:val="24"/>
          <w:szCs w:val="24"/>
        </w:rPr>
        <w:t xml:space="preserve"> је Влади</w:t>
      </w:r>
      <w:r w:rsidRPr="00FF54AF">
        <w:rPr>
          <w:rFonts w:ascii="Times New Roman" w:hAnsi="Times New Roman"/>
          <w:color w:val="auto"/>
          <w:sz w:val="24"/>
          <w:szCs w:val="24"/>
          <w:lang w:val="sr-Cyrl-RS"/>
        </w:rPr>
        <w:t xml:space="preserve"> Републике Србије</w:t>
      </w:r>
      <w:r w:rsidRPr="00FF54AF">
        <w:rPr>
          <w:rFonts w:ascii="Times New Roman" w:hAnsi="Times New Roman"/>
          <w:color w:val="auto"/>
          <w:sz w:val="24"/>
          <w:szCs w:val="24"/>
        </w:rPr>
        <w:t xml:space="preserve"> и одбору </w:t>
      </w:r>
      <w:r w:rsidRPr="00FF54AF">
        <w:rPr>
          <w:rFonts w:ascii="Times New Roman" w:hAnsi="Times New Roman"/>
          <w:color w:val="auto"/>
          <w:sz w:val="24"/>
          <w:szCs w:val="24"/>
          <w:lang w:val="sr-Cyrl-CS"/>
        </w:rPr>
        <w:t>Народне скупштине надле</w:t>
      </w:r>
      <w:r w:rsidRPr="00FF54AF">
        <w:rPr>
          <w:rFonts w:ascii="Times New Roman" w:hAnsi="Times New Roman"/>
          <w:color w:val="auto"/>
          <w:sz w:val="24"/>
          <w:szCs w:val="24"/>
        </w:rPr>
        <w:t xml:space="preserve">жном за послове финансија  у складу са одредбама ЗЈН, поднела Извештај о спроведеном надзору за </w:t>
      </w:r>
      <w:r w:rsidRPr="00FF54AF">
        <w:rPr>
          <w:rFonts w:ascii="Times New Roman" w:hAnsi="Times New Roman"/>
          <w:color w:val="auto"/>
          <w:sz w:val="24"/>
          <w:szCs w:val="24"/>
          <w:lang w:val="sr-Cyrl-CS"/>
        </w:rPr>
        <w:t xml:space="preserve">претходну </w:t>
      </w:r>
      <w:r w:rsidRPr="00FF54AF">
        <w:rPr>
          <w:rFonts w:ascii="Times New Roman" w:hAnsi="Times New Roman"/>
          <w:color w:val="auto"/>
          <w:sz w:val="24"/>
          <w:szCs w:val="24"/>
        </w:rPr>
        <w:t>годину</w:t>
      </w:r>
      <w:r w:rsidRPr="00FF54AF">
        <w:rPr>
          <w:rFonts w:ascii="Times New Roman" w:hAnsi="Times New Roman"/>
          <w:color w:val="auto"/>
          <w:sz w:val="24"/>
          <w:szCs w:val="24"/>
          <w:lang w:val="sr-Latn-RS"/>
        </w:rPr>
        <w:t xml:space="preserve"> </w:t>
      </w:r>
      <w:r w:rsidR="007C5515">
        <w:rPr>
          <w:rFonts w:ascii="Times New Roman" w:hAnsi="Times New Roman"/>
          <w:color w:val="auto"/>
          <w:sz w:val="24"/>
          <w:szCs w:val="24"/>
          <w:lang w:val="sr-Latn-RS"/>
        </w:rPr>
        <w:t>а</w:t>
      </w:r>
      <w:r w:rsidRPr="00FF54AF">
        <w:rPr>
          <w:rFonts w:ascii="Times New Roman" w:hAnsi="Times New Roman"/>
          <w:color w:val="auto"/>
          <w:sz w:val="24"/>
          <w:szCs w:val="24"/>
          <w:lang w:val="sr-Cyrl-CS"/>
        </w:rPr>
        <w:t xml:space="preserve"> у току је израда Извештаја о спроведеном надзору за 2019. годину који ће у складу са законском обевезом, Управа предати најкасније до дана 30. априла 2020. године. </w:t>
      </w:r>
      <w:r w:rsidRPr="00FF54AF">
        <w:rPr>
          <w:rFonts w:ascii="Times New Roman" w:hAnsi="Times New Roman"/>
          <w:color w:val="auto"/>
          <w:sz w:val="24"/>
          <w:szCs w:val="24"/>
        </w:rPr>
        <w:t xml:space="preserve">У извештају </w:t>
      </w:r>
      <w:r w:rsidRPr="00FF54AF">
        <w:rPr>
          <w:rFonts w:ascii="Times New Roman" w:hAnsi="Times New Roman"/>
          <w:color w:val="auto"/>
          <w:sz w:val="24"/>
          <w:szCs w:val="24"/>
          <w:lang w:val="sr-Cyrl-RS"/>
        </w:rPr>
        <w:t xml:space="preserve">ће бити дати  </w:t>
      </w:r>
      <w:r w:rsidRPr="00FF54AF">
        <w:rPr>
          <w:rFonts w:ascii="Times New Roman" w:hAnsi="Times New Roman"/>
          <w:color w:val="auto"/>
          <w:sz w:val="24"/>
          <w:szCs w:val="24"/>
        </w:rPr>
        <w:t xml:space="preserve">предлози могућих унапређења </w:t>
      </w:r>
      <w:r w:rsidRPr="00FF54AF">
        <w:rPr>
          <w:rFonts w:ascii="Times New Roman" w:hAnsi="Times New Roman"/>
          <w:color w:val="auto"/>
          <w:sz w:val="24"/>
          <w:szCs w:val="24"/>
          <w:lang w:val="sr-Cyrl-RS"/>
        </w:rPr>
        <w:t xml:space="preserve">како кроз доношење и примену </w:t>
      </w:r>
      <w:r w:rsidRPr="00FF54AF">
        <w:rPr>
          <w:rFonts w:ascii="Times New Roman" w:hAnsi="Times New Roman"/>
          <w:color w:val="auto"/>
          <w:sz w:val="24"/>
          <w:szCs w:val="24"/>
        </w:rPr>
        <w:t xml:space="preserve">новог Закона о јавним набавкама, тако и </w:t>
      </w:r>
      <w:r w:rsidRPr="00FF54AF">
        <w:rPr>
          <w:rFonts w:ascii="Times New Roman" w:hAnsi="Times New Roman"/>
          <w:color w:val="auto"/>
          <w:sz w:val="24"/>
          <w:szCs w:val="24"/>
          <w:lang w:val="sr-Cyrl-RS"/>
        </w:rPr>
        <w:t xml:space="preserve">када је реч о </w:t>
      </w:r>
      <w:r w:rsidRPr="00FF54AF">
        <w:rPr>
          <w:rFonts w:ascii="Times New Roman" w:hAnsi="Times New Roman"/>
          <w:color w:val="auto"/>
          <w:sz w:val="24"/>
          <w:szCs w:val="24"/>
        </w:rPr>
        <w:t>спровођењу контроле и надзора над применом ЗЈН укључујући све релевантне институције, њихове улоге и надлежности.</w:t>
      </w:r>
    </w:p>
    <w:p w14:paraId="14A8245F" w14:textId="77777777" w:rsidR="00AE0014" w:rsidRPr="00FF54AF" w:rsidRDefault="00AE0014" w:rsidP="00AE0014">
      <w:pPr>
        <w:spacing w:after="120"/>
        <w:jc w:val="both"/>
        <w:rPr>
          <w:rFonts w:ascii="Times New Roman" w:hAnsi="Times New Roman"/>
          <w:color w:val="auto"/>
          <w:sz w:val="24"/>
          <w:szCs w:val="24"/>
        </w:rPr>
      </w:pPr>
      <w:r w:rsidRPr="00FF54AF">
        <w:rPr>
          <w:rFonts w:ascii="Times New Roman" w:hAnsi="Times New Roman"/>
          <w:color w:val="auto"/>
          <w:sz w:val="24"/>
          <w:szCs w:val="24"/>
          <w:lang w:val="sr-Cyrl-RS"/>
        </w:rPr>
        <w:t xml:space="preserve">У Извештају о спроведеном надзору за претходну годину је истакнут значај </w:t>
      </w:r>
      <w:r w:rsidRPr="00FF54AF">
        <w:rPr>
          <w:rFonts w:ascii="Times New Roman" w:hAnsi="Times New Roman"/>
          <w:color w:val="auto"/>
          <w:sz w:val="24"/>
          <w:szCs w:val="24"/>
        </w:rPr>
        <w:t>испуњавањ</w:t>
      </w:r>
      <w:r w:rsidRPr="00FF54AF">
        <w:rPr>
          <w:rFonts w:ascii="Times New Roman" w:hAnsi="Times New Roman"/>
          <w:color w:val="auto"/>
          <w:sz w:val="24"/>
          <w:szCs w:val="24"/>
          <w:lang w:val="sr-Cyrl-RS"/>
        </w:rPr>
        <w:t>а</w:t>
      </w:r>
      <w:r w:rsidRPr="00FF54AF">
        <w:rPr>
          <w:rFonts w:ascii="Times New Roman" w:hAnsi="Times New Roman"/>
          <w:color w:val="auto"/>
          <w:sz w:val="24"/>
          <w:szCs w:val="24"/>
        </w:rPr>
        <w:t xml:space="preserve"> мерила за затварање поглавља 5 – Јавне набавке</w:t>
      </w:r>
      <w:r w:rsidRPr="00FF54AF">
        <w:rPr>
          <w:rFonts w:ascii="Times New Roman" w:hAnsi="Times New Roman"/>
          <w:color w:val="auto"/>
          <w:sz w:val="24"/>
          <w:szCs w:val="24"/>
          <w:lang w:val="sr-Cyrl-RS"/>
        </w:rPr>
        <w:t>, те наглашена п</w:t>
      </w:r>
      <w:r w:rsidRPr="00FF54AF">
        <w:rPr>
          <w:rFonts w:ascii="Times New Roman" w:hAnsi="Times New Roman"/>
          <w:color w:val="auto"/>
          <w:sz w:val="24"/>
          <w:szCs w:val="24"/>
        </w:rPr>
        <w:t>отреб</w:t>
      </w:r>
      <w:r w:rsidRPr="00FF54AF">
        <w:rPr>
          <w:rFonts w:ascii="Times New Roman" w:hAnsi="Times New Roman"/>
          <w:color w:val="auto"/>
          <w:sz w:val="24"/>
          <w:szCs w:val="24"/>
          <w:lang w:val="sr-Cyrl-RS"/>
        </w:rPr>
        <w:t>а</w:t>
      </w:r>
      <w:r w:rsidRPr="00FF54AF">
        <w:rPr>
          <w:rFonts w:ascii="Times New Roman" w:hAnsi="Times New Roman"/>
          <w:color w:val="auto"/>
          <w:sz w:val="24"/>
          <w:szCs w:val="24"/>
        </w:rPr>
        <w:t xml:space="preserve"> препозна</w:t>
      </w:r>
      <w:r w:rsidRPr="00FF54AF">
        <w:rPr>
          <w:rFonts w:ascii="Times New Roman" w:hAnsi="Times New Roman"/>
          <w:color w:val="auto"/>
          <w:sz w:val="24"/>
          <w:szCs w:val="24"/>
          <w:lang w:val="sr-Cyrl-RS"/>
        </w:rPr>
        <w:t>вања</w:t>
      </w:r>
      <w:r w:rsidRPr="00FF54AF">
        <w:rPr>
          <w:rFonts w:ascii="Times New Roman" w:hAnsi="Times New Roman"/>
          <w:color w:val="auto"/>
          <w:sz w:val="24"/>
          <w:szCs w:val="24"/>
        </w:rPr>
        <w:t xml:space="preserve"> св</w:t>
      </w:r>
      <w:r w:rsidRPr="00FF54AF">
        <w:rPr>
          <w:rFonts w:ascii="Times New Roman" w:hAnsi="Times New Roman"/>
          <w:color w:val="auto"/>
          <w:sz w:val="24"/>
          <w:szCs w:val="24"/>
          <w:lang w:val="sr-Cyrl-RS"/>
        </w:rPr>
        <w:t>их</w:t>
      </w:r>
      <w:r w:rsidRPr="00FF54AF">
        <w:rPr>
          <w:rFonts w:ascii="Times New Roman" w:hAnsi="Times New Roman"/>
          <w:color w:val="auto"/>
          <w:sz w:val="24"/>
          <w:szCs w:val="24"/>
        </w:rPr>
        <w:t xml:space="preserve"> захтев</w:t>
      </w:r>
      <w:r w:rsidRPr="00FF54AF">
        <w:rPr>
          <w:rFonts w:ascii="Times New Roman" w:hAnsi="Times New Roman"/>
          <w:color w:val="auto"/>
          <w:sz w:val="24"/>
          <w:szCs w:val="24"/>
          <w:lang w:val="sr-Cyrl-RS"/>
        </w:rPr>
        <w:t>а</w:t>
      </w:r>
      <w:r w:rsidRPr="00FF54AF">
        <w:rPr>
          <w:rFonts w:ascii="Times New Roman" w:hAnsi="Times New Roman"/>
          <w:color w:val="auto"/>
          <w:sz w:val="24"/>
          <w:szCs w:val="24"/>
        </w:rPr>
        <w:t>, мер</w:t>
      </w:r>
      <w:r w:rsidRPr="00FF54AF">
        <w:rPr>
          <w:rFonts w:ascii="Times New Roman" w:hAnsi="Times New Roman"/>
          <w:color w:val="auto"/>
          <w:sz w:val="24"/>
          <w:szCs w:val="24"/>
          <w:lang w:val="sr-Cyrl-RS"/>
        </w:rPr>
        <w:t>а</w:t>
      </w:r>
      <w:r w:rsidRPr="00FF54AF">
        <w:rPr>
          <w:rFonts w:ascii="Times New Roman" w:hAnsi="Times New Roman"/>
          <w:color w:val="auto"/>
          <w:sz w:val="24"/>
          <w:szCs w:val="24"/>
        </w:rPr>
        <w:t xml:space="preserve"> и активности којима се захтеви реализују, </w:t>
      </w:r>
      <w:r w:rsidRPr="00FF54AF">
        <w:rPr>
          <w:rFonts w:ascii="Times New Roman" w:hAnsi="Times New Roman"/>
          <w:color w:val="auto"/>
          <w:sz w:val="24"/>
          <w:szCs w:val="24"/>
          <w:lang w:val="sr-Cyrl-RS"/>
        </w:rPr>
        <w:t>и</w:t>
      </w:r>
      <w:r w:rsidRPr="00FF54AF">
        <w:rPr>
          <w:rFonts w:ascii="Times New Roman" w:hAnsi="Times New Roman"/>
          <w:color w:val="auto"/>
          <w:sz w:val="24"/>
          <w:szCs w:val="24"/>
        </w:rPr>
        <w:t xml:space="preserve"> извештавања кој</w:t>
      </w:r>
      <w:r w:rsidRPr="00FF54AF">
        <w:rPr>
          <w:rFonts w:ascii="Times New Roman" w:hAnsi="Times New Roman"/>
          <w:color w:val="auto"/>
          <w:sz w:val="24"/>
          <w:szCs w:val="24"/>
          <w:lang w:val="sr-Cyrl-RS"/>
        </w:rPr>
        <w:t>е</w:t>
      </w:r>
      <w:r w:rsidRPr="00FF54AF">
        <w:rPr>
          <w:rFonts w:ascii="Times New Roman" w:hAnsi="Times New Roman"/>
          <w:color w:val="auto"/>
          <w:sz w:val="24"/>
          <w:szCs w:val="24"/>
        </w:rPr>
        <w:t xml:space="preserve"> ће подразумевати размену и прибављање података од различитих институција, по различитим мерама и показатељима.</w:t>
      </w:r>
    </w:p>
    <w:p w14:paraId="118812AD" w14:textId="311DC171" w:rsidR="00AE0014" w:rsidRPr="00FF54AF" w:rsidRDefault="00AE0014" w:rsidP="004673DA">
      <w:pPr>
        <w:spacing w:after="120"/>
        <w:jc w:val="both"/>
        <w:rPr>
          <w:rFonts w:ascii="Times New Roman" w:hAnsi="Times New Roman" w:cs="Times New Roman"/>
          <w:color w:val="auto"/>
          <w:sz w:val="24"/>
          <w:szCs w:val="24"/>
          <w:lang w:val="sr-Cyrl-RS"/>
        </w:rPr>
      </w:pPr>
      <w:r w:rsidRPr="00FF54AF">
        <w:rPr>
          <w:rFonts w:ascii="Times New Roman" w:hAnsi="Times New Roman" w:cs="Times New Roman"/>
          <w:color w:val="auto"/>
          <w:sz w:val="24"/>
          <w:szCs w:val="24"/>
        </w:rPr>
        <w:t xml:space="preserve">У вршењу надзора над применом ЗЈН, УЈН је у </w:t>
      </w:r>
      <w:r w:rsidRPr="00FF54AF">
        <w:rPr>
          <w:rFonts w:ascii="Times New Roman" w:hAnsi="Times New Roman" w:cs="Times New Roman"/>
          <w:color w:val="auto"/>
          <w:sz w:val="24"/>
          <w:szCs w:val="24"/>
          <w:lang w:val="sr-Cyrl-RS"/>
        </w:rPr>
        <w:t xml:space="preserve"> прво</w:t>
      </w:r>
      <w:r w:rsidR="004673DA">
        <w:rPr>
          <w:rFonts w:ascii="Times New Roman" w:hAnsi="Times New Roman" w:cs="Times New Roman"/>
          <w:color w:val="auto"/>
          <w:sz w:val="24"/>
          <w:szCs w:val="24"/>
          <w:lang w:val="sr-Cyrl-RS"/>
        </w:rPr>
        <w:t>м</w:t>
      </w:r>
      <w:r w:rsidRPr="00FF54AF">
        <w:rPr>
          <w:rFonts w:ascii="Times New Roman" w:hAnsi="Times New Roman" w:cs="Times New Roman"/>
          <w:color w:val="auto"/>
          <w:sz w:val="24"/>
          <w:szCs w:val="24"/>
          <w:lang w:val="sr-Cyrl-RS"/>
        </w:rPr>
        <w:t xml:space="preserve"> пол</w:t>
      </w:r>
      <w:r w:rsidR="004673DA">
        <w:rPr>
          <w:rFonts w:ascii="Times New Roman" w:hAnsi="Times New Roman" w:cs="Times New Roman"/>
          <w:color w:val="auto"/>
          <w:sz w:val="24"/>
          <w:szCs w:val="24"/>
          <w:lang w:val="sr-Cyrl-RS"/>
        </w:rPr>
        <w:t xml:space="preserve">угодишту </w:t>
      </w:r>
      <w:r w:rsidRPr="00FF54AF">
        <w:rPr>
          <w:rFonts w:ascii="Times New Roman" w:hAnsi="Times New Roman" w:cs="Times New Roman"/>
          <w:color w:val="auto"/>
          <w:sz w:val="24"/>
          <w:szCs w:val="24"/>
          <w:lang w:val="sr-Cyrl-RS"/>
        </w:rPr>
        <w:t xml:space="preserve"> </w:t>
      </w:r>
      <w:r w:rsidRPr="00FF54AF">
        <w:rPr>
          <w:rFonts w:ascii="Times New Roman" w:hAnsi="Times New Roman" w:cs="Times New Roman"/>
          <w:color w:val="auto"/>
          <w:sz w:val="24"/>
          <w:szCs w:val="24"/>
        </w:rPr>
        <w:t>2019</w:t>
      </w:r>
      <w:r w:rsidR="00B314B3">
        <w:rPr>
          <w:rFonts w:ascii="Times New Roman" w:hAnsi="Times New Roman" w:cs="Times New Roman"/>
          <w:color w:val="auto"/>
          <w:sz w:val="24"/>
          <w:szCs w:val="24"/>
          <w:lang w:val="sr-Cyrl-RS"/>
        </w:rPr>
        <w:t>.</w:t>
      </w:r>
      <w:r w:rsidR="00FF54AF">
        <w:rPr>
          <w:rFonts w:ascii="Times New Roman" w:hAnsi="Times New Roman" w:cs="Times New Roman"/>
          <w:color w:val="auto"/>
          <w:sz w:val="24"/>
          <w:szCs w:val="24"/>
        </w:rPr>
        <w:t xml:space="preserve"> годин</w:t>
      </w:r>
      <w:r w:rsidR="00B314B3">
        <w:rPr>
          <w:rFonts w:ascii="Times New Roman" w:hAnsi="Times New Roman" w:cs="Times New Roman"/>
          <w:color w:val="auto"/>
          <w:sz w:val="24"/>
          <w:szCs w:val="24"/>
          <w:lang w:val="sr-Cyrl-RS"/>
        </w:rPr>
        <w:t>е</w:t>
      </w:r>
      <w:r w:rsidR="00FF54AF">
        <w:rPr>
          <w:rFonts w:ascii="Times New Roman" w:hAnsi="Times New Roman" w:cs="Times New Roman"/>
          <w:color w:val="auto"/>
          <w:sz w:val="24"/>
          <w:szCs w:val="24"/>
          <w:lang w:val="sr-Cyrl-RS"/>
        </w:rPr>
        <w:t xml:space="preserve"> </w:t>
      </w:r>
      <w:r w:rsidRPr="00FF54AF">
        <w:rPr>
          <w:rFonts w:ascii="Times New Roman" w:hAnsi="Times New Roman" w:cs="Times New Roman"/>
          <w:color w:val="auto"/>
          <w:sz w:val="24"/>
          <w:szCs w:val="24"/>
        </w:rPr>
        <w:t>поступала</w:t>
      </w:r>
      <w:r w:rsidRPr="00FF54AF">
        <w:rPr>
          <w:rFonts w:ascii="Times New Roman" w:hAnsi="Times New Roman" w:cs="Times New Roman"/>
          <w:color w:val="auto"/>
          <w:sz w:val="24"/>
          <w:szCs w:val="24"/>
          <w:lang w:val="sr-Cyrl-RS"/>
        </w:rPr>
        <w:t xml:space="preserve"> по основу 39 захтева достављених од стране овлашћених субјеката. </w:t>
      </w:r>
    </w:p>
    <w:p w14:paraId="2C41393C" w14:textId="77777777" w:rsidR="00AE0014" w:rsidRPr="00FF54AF" w:rsidRDefault="00AE0014" w:rsidP="00AE0014">
      <w:pPr>
        <w:spacing w:after="120"/>
        <w:jc w:val="both"/>
        <w:rPr>
          <w:rFonts w:ascii="Times New Roman" w:hAnsi="Times New Roman" w:cs="Times New Roman"/>
          <w:color w:val="auto"/>
          <w:sz w:val="24"/>
          <w:szCs w:val="24"/>
        </w:rPr>
      </w:pPr>
      <w:r w:rsidRPr="00FF54AF">
        <w:rPr>
          <w:rFonts w:ascii="Times New Roman" w:hAnsi="Times New Roman" w:cs="Times New Roman"/>
          <w:color w:val="auto"/>
          <w:sz w:val="24"/>
          <w:szCs w:val="24"/>
          <w:lang w:val="sr-Cyrl-RS"/>
        </w:rPr>
        <w:t xml:space="preserve">Од наведеног броја, УЈН је поступала </w:t>
      </w:r>
      <w:r w:rsidRPr="00FF54AF">
        <w:rPr>
          <w:rFonts w:ascii="Times New Roman" w:hAnsi="Times New Roman" w:cs="Times New Roman"/>
          <w:color w:val="auto"/>
          <w:sz w:val="24"/>
          <w:szCs w:val="24"/>
        </w:rPr>
        <w:t xml:space="preserve">по основу </w:t>
      </w:r>
      <w:r w:rsidRPr="00FF54AF">
        <w:rPr>
          <w:rFonts w:ascii="Times New Roman" w:hAnsi="Times New Roman" w:cs="Times New Roman"/>
          <w:color w:val="auto"/>
          <w:sz w:val="24"/>
          <w:szCs w:val="24"/>
          <w:lang w:val="sr-Cyrl-RS"/>
        </w:rPr>
        <w:t>14</w:t>
      </w:r>
      <w:r w:rsidRPr="00FF54AF">
        <w:rPr>
          <w:rFonts w:ascii="Times New Roman" w:hAnsi="Times New Roman" w:cs="Times New Roman"/>
          <w:color w:val="auto"/>
          <w:sz w:val="24"/>
          <w:szCs w:val="24"/>
        </w:rPr>
        <w:t xml:space="preserve"> захтева достављених од стране надлежних тужилаштава. </w:t>
      </w:r>
      <w:r w:rsidRPr="00FF54AF">
        <w:rPr>
          <w:rFonts w:ascii="Times New Roman" w:hAnsi="Times New Roman" w:cs="Times New Roman"/>
          <w:color w:val="auto"/>
          <w:sz w:val="24"/>
          <w:szCs w:val="24"/>
          <w:lang w:val="sr-Cyrl-RS"/>
        </w:rPr>
        <w:t>Такође, у наведеном периоду</w:t>
      </w:r>
      <w:r w:rsidRPr="00FF54AF">
        <w:rPr>
          <w:rFonts w:ascii="Times New Roman" w:hAnsi="Times New Roman" w:cs="Times New Roman"/>
          <w:color w:val="auto"/>
          <w:sz w:val="24"/>
          <w:szCs w:val="24"/>
        </w:rPr>
        <w:t xml:space="preserve"> </w:t>
      </w:r>
      <w:r w:rsidRPr="00FF54AF">
        <w:rPr>
          <w:rFonts w:ascii="Times New Roman" w:hAnsi="Times New Roman" w:cs="Times New Roman"/>
          <w:color w:val="auto"/>
          <w:sz w:val="24"/>
          <w:szCs w:val="24"/>
          <w:lang w:val="sr-Cyrl-RS"/>
        </w:rPr>
        <w:t>оставарена је сарадња</w:t>
      </w:r>
      <w:r w:rsidRPr="00FF54AF">
        <w:rPr>
          <w:rFonts w:ascii="Times New Roman" w:hAnsi="Times New Roman" w:cs="Times New Roman"/>
          <w:color w:val="auto"/>
          <w:sz w:val="24"/>
          <w:szCs w:val="24"/>
        </w:rPr>
        <w:t xml:space="preserve"> са полицијским управама широм Србије и </w:t>
      </w:r>
      <w:r w:rsidRPr="00FF54AF">
        <w:rPr>
          <w:rFonts w:ascii="Times New Roman" w:hAnsi="Times New Roman" w:cs="Times New Roman"/>
          <w:color w:val="auto"/>
          <w:sz w:val="24"/>
          <w:szCs w:val="24"/>
          <w:lang w:val="sr-Cyrl-RS"/>
        </w:rPr>
        <w:t>по њиховим захтевима су достављени захтевани извештаји у укупно 3</w:t>
      </w:r>
      <w:r w:rsidRPr="00FF54AF">
        <w:rPr>
          <w:rFonts w:ascii="Times New Roman" w:hAnsi="Times New Roman" w:cs="Times New Roman"/>
          <w:color w:val="auto"/>
          <w:sz w:val="24"/>
          <w:szCs w:val="24"/>
        </w:rPr>
        <w:t xml:space="preserve"> предмета. Као и код захтева тужилаштва, и полицијске управе су </w:t>
      </w:r>
      <w:r w:rsidRPr="00FF54AF">
        <w:rPr>
          <w:rFonts w:ascii="Times New Roman" w:hAnsi="Times New Roman" w:cs="Times New Roman"/>
          <w:color w:val="auto"/>
          <w:sz w:val="24"/>
          <w:szCs w:val="24"/>
        </w:rPr>
        <w:lastRenderedPageBreak/>
        <w:t>превасходно тражиле стручну помоћ УЈН при разматрању и разјашњењу конкретних питања из области јавних набавки, као и правилности поступања одређених наручилаца при спровођењу једне или више набавки. Захтеви су се претежно односили на поступање наручилаца, како по важећем ЗЈН, тако и по ЗЈН/2008.</w:t>
      </w:r>
    </w:p>
    <w:p w14:paraId="5D3D8A16" w14:textId="3F45FD8C" w:rsidR="00AE0014" w:rsidRPr="00FF54AF" w:rsidRDefault="00AE0014" w:rsidP="00AE0014">
      <w:pPr>
        <w:spacing w:after="0"/>
        <w:jc w:val="both"/>
        <w:rPr>
          <w:rFonts w:ascii="Times New Roman" w:hAnsi="Times New Roman" w:cs="Times New Roman"/>
          <w:color w:val="auto"/>
          <w:sz w:val="24"/>
          <w:szCs w:val="24"/>
        </w:rPr>
      </w:pPr>
      <w:r w:rsidRPr="00FF54AF">
        <w:rPr>
          <w:rFonts w:ascii="Times New Roman" w:hAnsi="Times New Roman" w:cs="Times New Roman"/>
          <w:color w:val="auto"/>
          <w:sz w:val="24"/>
          <w:szCs w:val="24"/>
          <w:lang w:val="sr-Cyrl-RS"/>
        </w:rPr>
        <w:t>Такође, у прво</w:t>
      </w:r>
      <w:r w:rsidR="004673DA">
        <w:rPr>
          <w:rFonts w:ascii="Times New Roman" w:hAnsi="Times New Roman" w:cs="Times New Roman"/>
          <w:color w:val="auto"/>
          <w:sz w:val="24"/>
          <w:szCs w:val="24"/>
          <w:lang w:val="sr-Cyrl-RS"/>
        </w:rPr>
        <w:t>м</w:t>
      </w:r>
      <w:r w:rsidRPr="00FF54AF">
        <w:rPr>
          <w:rFonts w:ascii="Times New Roman" w:hAnsi="Times New Roman" w:cs="Times New Roman"/>
          <w:color w:val="auto"/>
          <w:sz w:val="24"/>
          <w:szCs w:val="24"/>
          <w:lang w:val="sr-Cyrl-RS"/>
        </w:rPr>
        <w:t xml:space="preserve"> пол</w:t>
      </w:r>
      <w:r w:rsidR="004673DA">
        <w:rPr>
          <w:rFonts w:ascii="Times New Roman" w:hAnsi="Times New Roman" w:cs="Times New Roman"/>
          <w:color w:val="auto"/>
          <w:sz w:val="24"/>
          <w:szCs w:val="24"/>
          <w:lang w:val="sr-Cyrl-RS"/>
        </w:rPr>
        <w:t>угодишту</w:t>
      </w:r>
      <w:r w:rsidRPr="00FF54AF">
        <w:rPr>
          <w:rFonts w:ascii="Times New Roman" w:hAnsi="Times New Roman" w:cs="Times New Roman"/>
          <w:color w:val="auto"/>
          <w:sz w:val="24"/>
          <w:szCs w:val="24"/>
          <w:lang w:val="sr-Cyrl-RS"/>
        </w:rPr>
        <w:t xml:space="preserve"> 2019. године</w:t>
      </w:r>
      <w:r w:rsidRPr="00FF54AF">
        <w:rPr>
          <w:rFonts w:ascii="Times New Roman" w:hAnsi="Times New Roman" w:cs="Times New Roman"/>
          <w:color w:val="auto"/>
          <w:sz w:val="24"/>
          <w:szCs w:val="24"/>
        </w:rPr>
        <w:t xml:space="preserve">, УЈН је поступала у </w:t>
      </w:r>
      <w:r w:rsidRPr="00FF54AF">
        <w:rPr>
          <w:rFonts w:ascii="Times New Roman" w:hAnsi="Times New Roman" w:cs="Times New Roman"/>
          <w:color w:val="auto"/>
          <w:sz w:val="24"/>
          <w:szCs w:val="24"/>
          <w:lang w:val="sr-Cyrl-RS"/>
        </w:rPr>
        <w:t>два</w:t>
      </w:r>
      <w:r w:rsidRPr="00FF54AF">
        <w:rPr>
          <w:rFonts w:ascii="Times New Roman" w:hAnsi="Times New Roman" w:cs="Times New Roman"/>
          <w:color w:val="auto"/>
          <w:sz w:val="24"/>
          <w:szCs w:val="24"/>
        </w:rPr>
        <w:t xml:space="preserve"> захтева достављена од </w:t>
      </w:r>
      <w:r w:rsidRPr="00FF54AF">
        <w:rPr>
          <w:rFonts w:ascii="Times New Roman" w:hAnsi="Times New Roman" w:cs="Times New Roman"/>
          <w:color w:val="auto"/>
          <w:sz w:val="24"/>
          <w:szCs w:val="24"/>
          <w:lang w:val="sr-Cyrl-RS"/>
        </w:rPr>
        <w:t xml:space="preserve">стране </w:t>
      </w:r>
      <w:r w:rsidRPr="00FF54AF">
        <w:rPr>
          <w:rFonts w:ascii="Times New Roman" w:hAnsi="Times New Roman" w:cs="Times New Roman"/>
          <w:color w:val="auto"/>
          <w:sz w:val="24"/>
          <w:szCs w:val="24"/>
        </w:rPr>
        <w:t xml:space="preserve">Агенције за борбу против корупције, као и два захтева поднета од стране Комисије за заштиту конкуренције. </w:t>
      </w:r>
    </w:p>
    <w:p w14:paraId="1CE75F49" w14:textId="77777777" w:rsidR="00AE0014" w:rsidRPr="00FF54AF" w:rsidRDefault="00AE0014" w:rsidP="00AE0014">
      <w:pPr>
        <w:spacing w:after="0"/>
        <w:rPr>
          <w:rFonts w:ascii="Times New Roman" w:hAnsi="Times New Roman" w:cs="Times New Roman"/>
          <w:color w:val="auto"/>
          <w:sz w:val="24"/>
          <w:szCs w:val="24"/>
        </w:rPr>
      </w:pPr>
    </w:p>
    <w:p w14:paraId="733F3F92" w14:textId="04B8198E" w:rsidR="00AE0014" w:rsidRPr="00FF54AF" w:rsidRDefault="00AE0014" w:rsidP="00AE0014">
      <w:pPr>
        <w:jc w:val="both"/>
        <w:rPr>
          <w:rFonts w:ascii="Times New Roman" w:hAnsi="Times New Roman"/>
          <w:color w:val="auto"/>
          <w:sz w:val="24"/>
          <w:szCs w:val="24"/>
          <w:lang w:val="sr-Cyrl-RS"/>
        </w:rPr>
      </w:pPr>
      <w:r w:rsidRPr="00FF54AF">
        <w:rPr>
          <w:rFonts w:ascii="Times New Roman" w:hAnsi="Times New Roman" w:cs="Times New Roman"/>
          <w:color w:val="auto"/>
          <w:sz w:val="24"/>
          <w:szCs w:val="24"/>
        </w:rPr>
        <w:t>Изузев наведеног 21 предмета у којима је поступано по захтевима наведених органа, УЈН је у</w:t>
      </w:r>
      <w:r w:rsidRPr="00FF54AF">
        <w:rPr>
          <w:rFonts w:ascii="Times New Roman" w:hAnsi="Times New Roman" w:cs="Times New Roman"/>
          <w:color w:val="auto"/>
          <w:sz w:val="24"/>
          <w:szCs w:val="24"/>
          <w:lang w:val="sr-Cyrl-RS"/>
        </w:rPr>
        <w:t xml:space="preserve"> прво</w:t>
      </w:r>
      <w:r w:rsidR="004673DA">
        <w:rPr>
          <w:rFonts w:ascii="Times New Roman" w:hAnsi="Times New Roman" w:cs="Times New Roman"/>
          <w:color w:val="auto"/>
          <w:sz w:val="24"/>
          <w:szCs w:val="24"/>
          <w:lang w:val="sr-Cyrl-RS"/>
        </w:rPr>
        <w:t>м</w:t>
      </w:r>
      <w:r w:rsidRPr="00FF54AF">
        <w:rPr>
          <w:rFonts w:ascii="Times New Roman" w:hAnsi="Times New Roman" w:cs="Times New Roman"/>
          <w:color w:val="auto"/>
          <w:sz w:val="24"/>
          <w:szCs w:val="24"/>
          <w:lang w:val="sr-Cyrl-RS"/>
        </w:rPr>
        <w:t xml:space="preserve"> пол</w:t>
      </w:r>
      <w:r w:rsidR="004673DA">
        <w:rPr>
          <w:rFonts w:ascii="Times New Roman" w:hAnsi="Times New Roman" w:cs="Times New Roman"/>
          <w:color w:val="auto"/>
          <w:sz w:val="24"/>
          <w:szCs w:val="24"/>
          <w:lang w:val="sr-Cyrl-RS"/>
        </w:rPr>
        <w:t>угодишту</w:t>
      </w:r>
      <w:r w:rsidRPr="00FF54AF">
        <w:rPr>
          <w:rFonts w:ascii="Times New Roman" w:hAnsi="Times New Roman" w:cs="Times New Roman"/>
          <w:color w:val="auto"/>
          <w:sz w:val="24"/>
          <w:szCs w:val="24"/>
          <w:lang w:val="sr-Cyrl-RS"/>
        </w:rPr>
        <w:t xml:space="preserve"> </w:t>
      </w:r>
      <w:r w:rsidRPr="00FF54AF">
        <w:rPr>
          <w:rFonts w:ascii="Times New Roman" w:hAnsi="Times New Roman" w:cs="Times New Roman"/>
          <w:color w:val="auto"/>
          <w:sz w:val="24"/>
          <w:szCs w:val="24"/>
        </w:rPr>
        <w:t xml:space="preserve"> 2019. години поступала и у </w:t>
      </w:r>
      <w:r w:rsidRPr="00FF54AF">
        <w:rPr>
          <w:rFonts w:ascii="Times New Roman" w:hAnsi="Times New Roman" w:cs="Times New Roman"/>
          <w:color w:val="auto"/>
          <w:sz w:val="24"/>
          <w:szCs w:val="24"/>
          <w:lang w:val="sr-Cyrl-RS"/>
        </w:rPr>
        <w:t>18</w:t>
      </w:r>
      <w:r w:rsidRPr="00FF54AF">
        <w:rPr>
          <w:rFonts w:ascii="Times New Roman" w:hAnsi="Times New Roman" w:cs="Times New Roman"/>
          <w:color w:val="auto"/>
          <w:sz w:val="24"/>
          <w:szCs w:val="24"/>
        </w:rPr>
        <w:t xml:space="preserve"> случајева вршења надзора по пријављеним неправилностима од стране других заинтересованих субјеката тј. Наручилаца,</w:t>
      </w:r>
      <w:r w:rsidRPr="00FF54AF">
        <w:rPr>
          <w:rFonts w:ascii="Times New Roman" w:hAnsi="Times New Roman" w:cs="Times New Roman"/>
          <w:color w:val="auto"/>
          <w:sz w:val="24"/>
          <w:szCs w:val="24"/>
          <w:lang w:val="sr-Cyrl-RS"/>
        </w:rPr>
        <w:t xml:space="preserve"> понуђача и др. </w:t>
      </w:r>
    </w:p>
    <w:p w14:paraId="5C76ABE3" w14:textId="72A32741" w:rsidR="00AE0014" w:rsidRPr="00FF54AF" w:rsidRDefault="00AE0014" w:rsidP="00AE0014">
      <w:pPr>
        <w:jc w:val="both"/>
        <w:rPr>
          <w:rFonts w:ascii="Times New Roman" w:eastAsia="Times New Roman" w:hAnsi="Times New Roman"/>
          <w:color w:val="auto"/>
          <w:sz w:val="24"/>
          <w:szCs w:val="24"/>
          <w:lang w:eastAsia="en-US"/>
        </w:rPr>
      </w:pPr>
      <w:r w:rsidRPr="00FF54AF">
        <w:rPr>
          <w:rFonts w:ascii="Times New Roman" w:eastAsia="Times New Roman" w:hAnsi="Times New Roman"/>
          <w:color w:val="auto"/>
          <w:sz w:val="24"/>
          <w:szCs w:val="24"/>
          <w:lang w:eastAsia="en-US"/>
        </w:rPr>
        <w:t xml:space="preserve">За поступке јавних набавки процењене вредности преко милијарду динара, Управа је у </w:t>
      </w:r>
      <w:r w:rsidRPr="00FF54AF">
        <w:rPr>
          <w:rFonts w:ascii="Times New Roman" w:eastAsia="Times New Roman" w:hAnsi="Times New Roman"/>
          <w:color w:val="auto"/>
          <w:sz w:val="24"/>
          <w:szCs w:val="24"/>
          <w:lang w:val="sr-Cyrl-RS" w:eastAsia="en-US"/>
        </w:rPr>
        <w:t>прво</w:t>
      </w:r>
      <w:r w:rsidR="004673DA">
        <w:rPr>
          <w:rFonts w:ascii="Times New Roman" w:eastAsia="Times New Roman" w:hAnsi="Times New Roman"/>
          <w:color w:val="auto"/>
          <w:sz w:val="24"/>
          <w:szCs w:val="24"/>
          <w:lang w:val="sr-Cyrl-RS" w:eastAsia="en-US"/>
        </w:rPr>
        <w:t>м</w:t>
      </w:r>
      <w:r w:rsidRPr="00FF54AF">
        <w:rPr>
          <w:rFonts w:ascii="Times New Roman" w:eastAsia="Times New Roman" w:hAnsi="Times New Roman"/>
          <w:color w:val="auto"/>
          <w:sz w:val="24"/>
          <w:szCs w:val="24"/>
          <w:lang w:val="sr-Cyrl-RS" w:eastAsia="en-US"/>
        </w:rPr>
        <w:t xml:space="preserve"> пол</w:t>
      </w:r>
      <w:r w:rsidR="004673DA">
        <w:rPr>
          <w:rFonts w:ascii="Times New Roman" w:eastAsia="Times New Roman" w:hAnsi="Times New Roman"/>
          <w:color w:val="auto"/>
          <w:sz w:val="24"/>
          <w:szCs w:val="24"/>
          <w:lang w:val="sr-Cyrl-RS" w:eastAsia="en-US"/>
        </w:rPr>
        <w:t>угодишту</w:t>
      </w:r>
      <w:r w:rsidRPr="00FF54AF">
        <w:rPr>
          <w:rFonts w:ascii="Times New Roman" w:eastAsia="Times New Roman" w:hAnsi="Times New Roman"/>
          <w:color w:val="auto"/>
          <w:sz w:val="24"/>
          <w:szCs w:val="24"/>
          <w:lang w:val="sr-Cyrl-RS" w:eastAsia="en-US"/>
        </w:rPr>
        <w:t xml:space="preserve"> 2019</w:t>
      </w:r>
      <w:r w:rsidRPr="00FF54AF">
        <w:rPr>
          <w:rFonts w:ascii="Times New Roman" w:eastAsia="Times New Roman" w:hAnsi="Times New Roman"/>
          <w:color w:val="auto"/>
          <w:sz w:val="24"/>
          <w:szCs w:val="24"/>
          <w:lang w:eastAsia="en-US"/>
        </w:rPr>
        <w:t xml:space="preserve">. године, именовала грађанске надзорнике у </w:t>
      </w:r>
      <w:r w:rsidRPr="00FF54AF">
        <w:rPr>
          <w:rFonts w:ascii="Times New Roman" w:eastAsia="Times New Roman" w:hAnsi="Times New Roman"/>
          <w:color w:val="auto"/>
          <w:sz w:val="24"/>
          <w:szCs w:val="24"/>
          <w:lang w:val="sr-Cyrl-CS" w:eastAsia="en-US"/>
        </w:rPr>
        <w:t xml:space="preserve">укупно </w:t>
      </w:r>
      <w:r w:rsidRPr="00FF54AF">
        <w:rPr>
          <w:rFonts w:ascii="Times New Roman" w:eastAsia="Times New Roman" w:hAnsi="Times New Roman"/>
          <w:color w:val="auto"/>
          <w:sz w:val="24"/>
          <w:szCs w:val="24"/>
          <w:lang w:val="sr-Cyrl-RS" w:eastAsia="en-US"/>
        </w:rPr>
        <w:t>44</w:t>
      </w:r>
      <w:r w:rsidRPr="00FF54AF">
        <w:rPr>
          <w:rFonts w:ascii="Times New Roman" w:eastAsia="Times New Roman" w:hAnsi="Times New Roman"/>
          <w:color w:val="auto"/>
          <w:sz w:val="24"/>
          <w:szCs w:val="24"/>
          <w:lang w:eastAsia="en-US"/>
        </w:rPr>
        <w:t xml:space="preserve"> поступка јавних набавки. </w:t>
      </w:r>
    </w:p>
    <w:p w14:paraId="3FD9303D" w14:textId="77777777" w:rsidR="00AE0014" w:rsidRPr="00FF54AF" w:rsidRDefault="00AE0014" w:rsidP="004F5F81">
      <w:pPr>
        <w:spacing w:after="0"/>
        <w:jc w:val="both"/>
        <w:rPr>
          <w:rFonts w:ascii="Times New Roman" w:hAnsi="Times New Roman" w:cs="Times New Roman"/>
          <w:b/>
          <w:color w:val="auto"/>
          <w:sz w:val="24"/>
          <w:szCs w:val="24"/>
          <w:lang w:eastAsia="en-US"/>
        </w:rPr>
      </w:pPr>
    </w:p>
    <w:p w14:paraId="153A010A" w14:textId="77777777" w:rsidR="004F5F81" w:rsidRPr="00FF54AF" w:rsidRDefault="004F5F81" w:rsidP="004F5F81">
      <w:pPr>
        <w:spacing w:after="0"/>
        <w:jc w:val="both"/>
        <w:rPr>
          <w:rFonts w:ascii="Times New Roman" w:hAnsi="Times New Roman" w:cs="Times New Roman"/>
          <w:b/>
          <w:color w:val="auto"/>
          <w:sz w:val="24"/>
          <w:szCs w:val="24"/>
          <w:lang w:eastAsia="en-US"/>
        </w:rPr>
      </w:pPr>
    </w:p>
    <w:p w14:paraId="6D469A4C" w14:textId="77777777" w:rsidR="004F5F81" w:rsidRPr="00FF54AF" w:rsidRDefault="004F5F81" w:rsidP="004F5F81">
      <w:pPr>
        <w:spacing w:after="0"/>
        <w:jc w:val="both"/>
        <w:rPr>
          <w:rFonts w:ascii="Times New Roman" w:hAnsi="Times New Roman" w:cs="Times New Roman"/>
          <w:b/>
          <w:color w:val="auto"/>
          <w:sz w:val="24"/>
          <w:szCs w:val="24"/>
          <w:lang w:eastAsia="en-US"/>
        </w:rPr>
      </w:pPr>
      <w:r w:rsidRPr="00FF54AF">
        <w:rPr>
          <w:rFonts w:ascii="Times New Roman" w:hAnsi="Times New Roman" w:cs="Times New Roman"/>
          <w:b/>
          <w:color w:val="auto"/>
          <w:sz w:val="24"/>
          <w:szCs w:val="24"/>
          <w:lang w:eastAsia="en-US"/>
        </w:rPr>
        <w:t>Извештаји о јавним набавкама у РС</w:t>
      </w:r>
    </w:p>
    <w:p w14:paraId="489A4241" w14:textId="77777777" w:rsidR="004F5F81" w:rsidRPr="00FF54AF" w:rsidRDefault="004F5F81" w:rsidP="004F5F81">
      <w:pPr>
        <w:spacing w:after="0"/>
        <w:jc w:val="both"/>
        <w:rPr>
          <w:rFonts w:ascii="Times New Roman" w:hAnsi="Times New Roman" w:cs="Times New Roman"/>
          <w:color w:val="auto"/>
          <w:sz w:val="24"/>
          <w:szCs w:val="24"/>
          <w:lang w:eastAsia="en-US"/>
        </w:rPr>
      </w:pPr>
    </w:p>
    <w:p w14:paraId="60ECA023" w14:textId="3AEAD4D5" w:rsidR="008A4CA6" w:rsidRPr="00FF54AF" w:rsidRDefault="008A4CA6" w:rsidP="008A4CA6">
      <w:pPr>
        <w:spacing w:after="0"/>
        <w:jc w:val="both"/>
        <w:rPr>
          <w:rFonts w:ascii="Times New Roman" w:hAnsi="Times New Roman" w:cs="Times New Roman"/>
          <w:color w:val="auto"/>
          <w:sz w:val="24"/>
          <w:szCs w:val="24"/>
          <w:lang w:eastAsia="en-US"/>
        </w:rPr>
      </w:pPr>
      <w:r w:rsidRPr="00FF54AF">
        <w:rPr>
          <w:rFonts w:ascii="Times New Roman" w:hAnsi="Times New Roman" w:cs="Times New Roman"/>
          <w:color w:val="auto"/>
          <w:sz w:val="24"/>
          <w:szCs w:val="24"/>
          <w:lang w:eastAsia="en-US"/>
        </w:rPr>
        <w:t>Чланом 133. ЗЈН прописано је да је УЈН дужна да на основу појединачних тромесечних извештаја наручилаца припреми полугодишњи и годишњи извештај о јавним набавкама у РС, да га достави Влади и објави на својој интернет страници. На основу тромесечних извештаја наручилаца, у марту</w:t>
      </w:r>
      <w:r w:rsidR="00BA36BE" w:rsidRPr="00FF54AF">
        <w:rPr>
          <w:rFonts w:ascii="Times New Roman" w:hAnsi="Times New Roman" w:cs="Times New Roman"/>
          <w:color w:val="auto"/>
          <w:sz w:val="24"/>
          <w:szCs w:val="24"/>
          <w:lang w:eastAsia="en-US"/>
        </w:rPr>
        <w:t xml:space="preserve"> 2019</w:t>
      </w:r>
      <w:r w:rsidRPr="00FF54AF">
        <w:rPr>
          <w:rFonts w:ascii="Times New Roman" w:hAnsi="Times New Roman" w:cs="Times New Roman"/>
          <w:color w:val="auto"/>
          <w:sz w:val="24"/>
          <w:szCs w:val="24"/>
          <w:lang w:eastAsia="en-US"/>
        </w:rPr>
        <w:t>. године урађен је и достављен Влади ради информисања Извештај</w:t>
      </w:r>
      <w:r w:rsidR="00BA36BE" w:rsidRPr="00FF54AF">
        <w:rPr>
          <w:rFonts w:ascii="Times New Roman" w:hAnsi="Times New Roman" w:cs="Times New Roman"/>
          <w:color w:val="auto"/>
          <w:sz w:val="24"/>
          <w:szCs w:val="24"/>
          <w:lang w:eastAsia="en-US"/>
        </w:rPr>
        <w:t xml:space="preserve"> о јавним набавкама у РС за 2018</w:t>
      </w:r>
      <w:r w:rsidRPr="00FF54AF">
        <w:rPr>
          <w:rFonts w:ascii="Times New Roman" w:hAnsi="Times New Roman" w:cs="Times New Roman"/>
          <w:color w:val="auto"/>
          <w:sz w:val="24"/>
          <w:szCs w:val="24"/>
          <w:lang w:eastAsia="en-US"/>
        </w:rPr>
        <w:t>. годину, са предлогом мера за унапређење система јавних набавки.</w:t>
      </w:r>
    </w:p>
    <w:p w14:paraId="5DF3C77E" w14:textId="77777777" w:rsidR="00BA36BE" w:rsidRPr="00FF54AF" w:rsidRDefault="00BA36BE" w:rsidP="008A4CA6">
      <w:pPr>
        <w:spacing w:after="0"/>
        <w:jc w:val="both"/>
        <w:rPr>
          <w:rFonts w:ascii="Times New Roman" w:hAnsi="Times New Roman" w:cs="Times New Roman"/>
          <w:color w:val="auto"/>
          <w:sz w:val="24"/>
          <w:szCs w:val="24"/>
          <w:lang w:eastAsia="en-US"/>
        </w:rPr>
      </w:pPr>
    </w:p>
    <w:p w14:paraId="34727AB7" w14:textId="77777777" w:rsidR="0023752E" w:rsidRPr="00FF54AF" w:rsidRDefault="0023752E" w:rsidP="0023752E">
      <w:pPr>
        <w:spacing w:after="0"/>
        <w:jc w:val="both"/>
        <w:rPr>
          <w:rFonts w:ascii="Times New Roman" w:hAnsi="Times New Roman" w:cs="Times New Roman"/>
          <w:b/>
          <w:color w:val="auto"/>
          <w:sz w:val="24"/>
          <w:szCs w:val="24"/>
          <w:lang w:eastAsia="en-US"/>
        </w:rPr>
      </w:pPr>
    </w:p>
    <w:p w14:paraId="499C779F" w14:textId="33EFD6ED" w:rsidR="0023752E" w:rsidRPr="00FF54AF" w:rsidRDefault="004F5F81" w:rsidP="0023752E">
      <w:pPr>
        <w:spacing w:after="0"/>
        <w:jc w:val="both"/>
        <w:rPr>
          <w:rFonts w:ascii="Times New Roman" w:hAnsi="Times New Roman" w:cs="Times New Roman"/>
          <w:b/>
          <w:color w:val="auto"/>
          <w:sz w:val="24"/>
          <w:szCs w:val="24"/>
          <w:lang w:eastAsia="en-US"/>
        </w:rPr>
      </w:pPr>
      <w:r w:rsidRPr="00FF54AF">
        <w:rPr>
          <w:rFonts w:ascii="Times New Roman" w:hAnsi="Times New Roman" w:cs="Times New Roman"/>
          <w:b/>
          <w:color w:val="auto"/>
          <w:sz w:val="24"/>
          <w:szCs w:val="24"/>
          <w:lang w:eastAsia="en-US"/>
        </w:rPr>
        <w:t xml:space="preserve">Међуинституционална сарадња </w:t>
      </w:r>
    </w:p>
    <w:p w14:paraId="13150131" w14:textId="77777777" w:rsidR="0023752E" w:rsidRPr="00FF54AF" w:rsidRDefault="0023752E" w:rsidP="0023752E">
      <w:pPr>
        <w:spacing w:after="0"/>
        <w:jc w:val="both"/>
        <w:rPr>
          <w:rFonts w:ascii="Times New Roman" w:hAnsi="Times New Roman" w:cs="Times New Roman"/>
          <w:b/>
          <w:color w:val="auto"/>
          <w:sz w:val="24"/>
          <w:szCs w:val="24"/>
          <w:lang w:eastAsia="en-US"/>
        </w:rPr>
      </w:pPr>
    </w:p>
    <w:p w14:paraId="4C5C3D0B" w14:textId="32B0F464" w:rsidR="0023752E" w:rsidRPr="00FF54AF" w:rsidRDefault="0023752E" w:rsidP="0023752E">
      <w:pPr>
        <w:spacing w:after="0"/>
        <w:jc w:val="both"/>
        <w:rPr>
          <w:rFonts w:ascii="Times New Roman" w:hAnsi="Times New Roman" w:cs="Times New Roman"/>
          <w:b/>
          <w:color w:val="auto"/>
          <w:sz w:val="24"/>
          <w:szCs w:val="24"/>
          <w:lang w:eastAsia="en-US"/>
        </w:rPr>
      </w:pPr>
      <w:r w:rsidRPr="00FF54AF">
        <w:rPr>
          <w:rFonts w:ascii="Times New Roman" w:hAnsi="Times New Roman" w:cs="Times New Roman"/>
          <w:color w:val="auto"/>
          <w:sz w:val="24"/>
          <w:szCs w:val="24"/>
          <w:lang w:val="sr-Cyrl-RS"/>
        </w:rPr>
        <w:t>Састанак Радне групе за отворене податке одржан је у Београду 4. марта. На састанку су представљени досадашњи резултати будућим члановима ове радне групе, а представљено је и спровођење Акционог плана иницијативе за отворено партнерство 2018-2020. године.</w:t>
      </w:r>
    </w:p>
    <w:p w14:paraId="099E9CC6" w14:textId="77777777" w:rsidR="0023752E" w:rsidRPr="00FF54AF" w:rsidRDefault="0023752E" w:rsidP="0023752E">
      <w:pPr>
        <w:jc w:val="both"/>
        <w:rPr>
          <w:rFonts w:ascii="Times New Roman" w:hAnsi="Times New Roman" w:cs="Times New Roman"/>
          <w:color w:val="auto"/>
          <w:sz w:val="24"/>
          <w:szCs w:val="24"/>
          <w:lang w:val="sr-Cyrl-RS"/>
        </w:rPr>
      </w:pPr>
      <w:r w:rsidRPr="00FF54AF">
        <w:rPr>
          <w:rFonts w:ascii="Times New Roman" w:hAnsi="Times New Roman" w:cs="Times New Roman"/>
          <w:color w:val="auto"/>
          <w:sz w:val="24"/>
          <w:szCs w:val="24"/>
          <w:lang w:val="sr-Cyrl-RS"/>
        </w:rPr>
        <w:t xml:space="preserve">Представник УЈН учествовао је на састанку Међуминистарске пројектне групе за реформу јавне управе који је одржан у Шапцу од 4-5. јуна уз подршку Европске уније, СИГМА и ОЕЦД-а. Учесници су разговарали о предложеном Закључку о усвајању годишњег извештаја за 2018. годину о спровођењу Акционог плана за спровођење Стратегије реформе јавне управе за период 2018.-2020. године, резултатима Извештаја </w:t>
      </w:r>
      <w:r w:rsidRPr="00FF54AF">
        <w:rPr>
          <w:rFonts w:ascii="Times New Roman" w:hAnsi="Times New Roman" w:cs="Times New Roman"/>
          <w:color w:val="auto"/>
          <w:sz w:val="24"/>
          <w:szCs w:val="24"/>
          <w:lang w:val="sr-Cyrl-RS"/>
        </w:rPr>
        <w:lastRenderedPageBreak/>
        <w:t>о спољној оцени резултата Стратегија реформе јавне управе, (р)еволуцији мониторинга Извештаја о реформи јавне управе, креирајући идеалан извештај о надзору.</w:t>
      </w:r>
    </w:p>
    <w:p w14:paraId="3C610E0C" w14:textId="77777777" w:rsidR="0023752E" w:rsidRPr="00FF54AF" w:rsidRDefault="0023752E" w:rsidP="004F5F81">
      <w:pPr>
        <w:spacing w:after="0"/>
        <w:jc w:val="both"/>
        <w:rPr>
          <w:rFonts w:ascii="Times New Roman" w:hAnsi="Times New Roman" w:cs="Times New Roman"/>
          <w:b/>
          <w:color w:val="auto"/>
          <w:sz w:val="24"/>
          <w:szCs w:val="24"/>
          <w:lang w:eastAsia="en-US"/>
        </w:rPr>
      </w:pPr>
    </w:p>
    <w:p w14:paraId="009970F4" w14:textId="77777777" w:rsidR="004F5F81" w:rsidRPr="00FF54AF" w:rsidRDefault="004F5F81" w:rsidP="004F5F81">
      <w:pPr>
        <w:spacing w:after="0"/>
        <w:jc w:val="both"/>
        <w:rPr>
          <w:rFonts w:ascii="Times New Roman" w:hAnsi="Times New Roman" w:cs="Times New Roman"/>
          <w:b/>
          <w:color w:val="auto"/>
          <w:sz w:val="24"/>
          <w:szCs w:val="24"/>
          <w:lang w:eastAsia="en-US"/>
        </w:rPr>
      </w:pPr>
      <w:r w:rsidRPr="00FF54AF">
        <w:rPr>
          <w:rFonts w:ascii="Times New Roman" w:hAnsi="Times New Roman" w:cs="Times New Roman"/>
          <w:b/>
          <w:color w:val="auto"/>
          <w:sz w:val="24"/>
          <w:szCs w:val="24"/>
          <w:lang w:eastAsia="en-US"/>
        </w:rPr>
        <w:t>Међународна сарадња</w:t>
      </w:r>
    </w:p>
    <w:p w14:paraId="198EEB0D" w14:textId="7BE0045A" w:rsidR="004F5F81" w:rsidRPr="00FF54AF" w:rsidRDefault="004F5F81" w:rsidP="004F5F81">
      <w:pPr>
        <w:spacing w:after="0"/>
        <w:jc w:val="both"/>
        <w:rPr>
          <w:rFonts w:ascii="Times New Roman" w:hAnsi="Times New Roman" w:cs="Times New Roman"/>
          <w:color w:val="auto"/>
          <w:sz w:val="24"/>
          <w:szCs w:val="24"/>
          <w:lang w:eastAsia="en-US"/>
        </w:rPr>
      </w:pPr>
    </w:p>
    <w:p w14:paraId="66659223" w14:textId="77777777" w:rsidR="00FF54AF" w:rsidRPr="00FF54AF" w:rsidRDefault="00FF54AF" w:rsidP="00FF54AF">
      <w:pPr>
        <w:jc w:val="both"/>
        <w:rPr>
          <w:rFonts w:ascii="Times New Roman" w:hAnsi="Times New Roman" w:cs="Times New Roman"/>
          <w:color w:val="auto"/>
          <w:sz w:val="24"/>
          <w:szCs w:val="24"/>
          <w:lang w:val="sr-Cyrl-RS"/>
        </w:rPr>
      </w:pPr>
      <w:r w:rsidRPr="00FF54AF">
        <w:rPr>
          <w:rFonts w:ascii="Times New Roman" w:hAnsi="Times New Roman" w:cs="Times New Roman"/>
          <w:color w:val="auto"/>
          <w:sz w:val="24"/>
          <w:szCs w:val="24"/>
          <w:lang w:val="sr-Cyrl-RS"/>
        </w:rPr>
        <w:t>Представник УЈН учествовао је на регионалној радионици под називом „Превенција трговине људима у ланцима снабдевања путем владиних пракси и мера“. Циљ Регионалне конференције био је да се окупе релевантни актери (корпорације, невладине организације и влада) како би се разговарало о најбољим праксама државних институција, како националних тако и локалних, компанија из приватног сектора и цивилног друштва како би се осигурало да се набављене робе и услуге уговорене од стране централних и локалних власти не производе и испоручују искориштавањем жртава трговине људима. Догађај је одржан у Атини у Грчкој од 30. до 31. јануара.</w:t>
      </w:r>
    </w:p>
    <w:p w14:paraId="61A447DE" w14:textId="77777777" w:rsidR="00FF54AF" w:rsidRPr="00FF54AF" w:rsidRDefault="00FF54AF" w:rsidP="00FF54AF">
      <w:pPr>
        <w:jc w:val="both"/>
        <w:rPr>
          <w:rFonts w:ascii="Times New Roman" w:hAnsi="Times New Roman" w:cs="Times New Roman"/>
          <w:color w:val="auto"/>
          <w:sz w:val="24"/>
          <w:szCs w:val="24"/>
          <w:lang w:val="sr-Cyrl-RS"/>
        </w:rPr>
      </w:pPr>
      <w:r w:rsidRPr="00FF54AF">
        <w:rPr>
          <w:rFonts w:ascii="Times New Roman" w:hAnsi="Times New Roman" w:cs="Times New Roman"/>
          <w:color w:val="auto"/>
          <w:sz w:val="24"/>
          <w:szCs w:val="24"/>
          <w:lang w:val="sr-Cyrl-RS"/>
        </w:rPr>
        <w:t>Пројекат „Подршка даљем унапређењу система јавних набавки у Србији“ ИПА 2013 је организовао студијску посету Португалији од 19. до 22. фебруара, за представнике органа државне управе Републике Србије који су надлежни за област јавнх набавки, пре свега у контексту е-набавке (Управа за јавне набавке, Канцеларија за информационе технологије и електронску управу и Министарство финансија) са идејом да упознају искуства Португала у е-набавци. Заједничка служба јавне управе Португалије (еСПап) примила је српску делегацију са којом је поделила своје искуство у е-набавкама, посебно у вези са централизованом набавком. Представници органа државне управе Републике Србије сазнали су да се обавезна јавна набавка у Португалу врши на приватним електронским платформама, које лиценцира Влада, што обезбеђује поштовање законских захтева вршећи редовну ревизију платформи и њихових оператера.</w:t>
      </w:r>
    </w:p>
    <w:p w14:paraId="7665F2DA" w14:textId="5FED9686" w:rsidR="00FF54AF" w:rsidRPr="00FF54AF" w:rsidRDefault="00FF54AF" w:rsidP="00FF54AF">
      <w:pPr>
        <w:jc w:val="both"/>
        <w:rPr>
          <w:rFonts w:ascii="Times New Roman" w:hAnsi="Times New Roman" w:cs="Times New Roman"/>
          <w:color w:val="auto"/>
          <w:sz w:val="24"/>
          <w:szCs w:val="24"/>
          <w:lang w:val="sr-Cyrl-RS"/>
        </w:rPr>
      </w:pPr>
      <w:r w:rsidRPr="00FF54AF">
        <w:rPr>
          <w:rFonts w:ascii="Times New Roman" w:hAnsi="Times New Roman" w:cs="Times New Roman"/>
          <w:color w:val="auto"/>
          <w:sz w:val="24"/>
          <w:szCs w:val="24"/>
          <w:lang w:val="sr-Cyrl-RS"/>
        </w:rPr>
        <w:t>Представници УЈН учествовали су у раду другог Дигиталног самита Западног Балкана у склопу панел дискусије: „</w:t>
      </w:r>
      <w:r w:rsidR="004B7008">
        <w:rPr>
          <w:rFonts w:ascii="Times New Roman" w:hAnsi="Times New Roman" w:cs="Times New Roman"/>
          <w:color w:val="auto"/>
          <w:sz w:val="24"/>
          <w:szCs w:val="24"/>
          <w:lang w:val="en-US"/>
        </w:rPr>
        <w:t>Be</w:t>
      </w:r>
      <w:r w:rsidRPr="00FF54AF">
        <w:rPr>
          <w:rFonts w:ascii="Times New Roman" w:hAnsi="Times New Roman" w:cs="Times New Roman"/>
          <w:color w:val="auto"/>
          <w:sz w:val="24"/>
          <w:szCs w:val="24"/>
          <w:lang w:val="en-US"/>
        </w:rPr>
        <w:t>y</w:t>
      </w:r>
      <w:r w:rsidR="004B7008">
        <w:rPr>
          <w:rFonts w:ascii="Times New Roman" w:hAnsi="Times New Roman" w:cs="Times New Roman"/>
          <w:color w:val="auto"/>
          <w:sz w:val="24"/>
          <w:szCs w:val="24"/>
          <w:lang w:val="en-US"/>
        </w:rPr>
        <w:t>ond</w:t>
      </w:r>
      <w:r w:rsidRPr="00FF54AF">
        <w:rPr>
          <w:rFonts w:ascii="Times New Roman" w:hAnsi="Times New Roman" w:cs="Times New Roman"/>
          <w:color w:val="auto"/>
          <w:sz w:val="24"/>
          <w:szCs w:val="24"/>
          <w:lang w:val="en-US"/>
        </w:rPr>
        <w:t xml:space="preserve"> </w:t>
      </w:r>
      <w:r w:rsidR="004B7008">
        <w:rPr>
          <w:rFonts w:ascii="Times New Roman" w:hAnsi="Times New Roman" w:cs="Times New Roman"/>
          <w:color w:val="auto"/>
          <w:sz w:val="24"/>
          <w:szCs w:val="24"/>
          <w:lang w:val="en-US"/>
        </w:rPr>
        <w:t>digital</w:t>
      </w:r>
      <w:r w:rsidRPr="00FF54AF">
        <w:rPr>
          <w:rFonts w:ascii="Times New Roman" w:hAnsi="Times New Roman" w:cs="Times New Roman"/>
          <w:color w:val="auto"/>
          <w:sz w:val="24"/>
          <w:szCs w:val="24"/>
          <w:lang w:val="en-US"/>
        </w:rPr>
        <w:t xml:space="preserve"> </w:t>
      </w:r>
      <w:r w:rsidR="004B7008">
        <w:rPr>
          <w:rFonts w:ascii="Times New Roman" w:hAnsi="Times New Roman" w:cs="Times New Roman"/>
          <w:color w:val="auto"/>
          <w:sz w:val="24"/>
          <w:szCs w:val="24"/>
          <w:lang w:val="en-US"/>
        </w:rPr>
        <w:t>procurement</w:t>
      </w:r>
      <w:r w:rsidRPr="00FF54AF">
        <w:rPr>
          <w:rFonts w:ascii="Times New Roman" w:hAnsi="Times New Roman" w:cs="Times New Roman"/>
          <w:color w:val="auto"/>
          <w:sz w:val="24"/>
          <w:szCs w:val="24"/>
          <w:lang w:val="sr-Cyrl-RS"/>
        </w:rPr>
        <w:t xml:space="preserve">: </w:t>
      </w:r>
      <w:r w:rsidR="004B7008">
        <w:rPr>
          <w:rFonts w:ascii="Times New Roman" w:hAnsi="Times New Roman" w:cs="Times New Roman"/>
          <w:color w:val="auto"/>
          <w:sz w:val="24"/>
          <w:szCs w:val="24"/>
          <w:lang w:val="en-US"/>
        </w:rPr>
        <w:t>Open</w:t>
      </w:r>
      <w:r w:rsidRPr="00FF54AF">
        <w:rPr>
          <w:rFonts w:ascii="Times New Roman" w:hAnsi="Times New Roman" w:cs="Times New Roman"/>
          <w:color w:val="auto"/>
          <w:sz w:val="24"/>
          <w:szCs w:val="24"/>
          <w:lang w:val="en-US"/>
        </w:rPr>
        <w:t xml:space="preserve"> </w:t>
      </w:r>
      <w:r w:rsidR="004B7008">
        <w:rPr>
          <w:rFonts w:ascii="Times New Roman" w:hAnsi="Times New Roman" w:cs="Times New Roman"/>
          <w:color w:val="auto"/>
          <w:sz w:val="24"/>
          <w:szCs w:val="24"/>
          <w:lang w:val="en-US"/>
        </w:rPr>
        <w:t>contracting</w:t>
      </w:r>
      <w:r w:rsidRPr="00FF54AF">
        <w:rPr>
          <w:rFonts w:ascii="Times New Roman" w:hAnsi="Times New Roman" w:cs="Times New Roman"/>
          <w:color w:val="auto"/>
          <w:sz w:val="24"/>
          <w:szCs w:val="24"/>
          <w:lang w:val="en-US"/>
        </w:rPr>
        <w:t>”</w:t>
      </w:r>
      <w:r w:rsidRPr="00FF54AF">
        <w:rPr>
          <w:rFonts w:ascii="Times New Roman" w:hAnsi="Times New Roman" w:cs="Times New Roman"/>
          <w:color w:val="auto"/>
          <w:sz w:val="24"/>
          <w:szCs w:val="24"/>
          <w:lang w:val="sr-Cyrl-RS"/>
        </w:rPr>
        <w:t>.</w:t>
      </w:r>
      <w:r w:rsidRPr="00FF54AF">
        <w:rPr>
          <w:rFonts w:ascii="Times New Roman" w:hAnsi="Times New Roman" w:cs="Times New Roman"/>
          <w:color w:val="auto"/>
          <w:sz w:val="24"/>
          <w:szCs w:val="24"/>
          <w:lang w:val="sr-Latn-RS"/>
        </w:rPr>
        <w:t xml:space="preserve"> </w:t>
      </w:r>
      <w:r w:rsidRPr="00FF54AF">
        <w:rPr>
          <w:rFonts w:ascii="Times New Roman" w:hAnsi="Times New Roman" w:cs="Times New Roman"/>
          <w:color w:val="auto"/>
          <w:sz w:val="24"/>
          <w:szCs w:val="24"/>
          <w:lang w:val="sr-Cyrl-RS"/>
        </w:rPr>
        <w:t>Сврха панела била је фокус на конкретне случајеве у којима су отворени подаци коришћени и њихова даља улога у унапређењу слике о јавним набавкама.</w:t>
      </w:r>
      <w:r w:rsidRPr="00FF54AF">
        <w:rPr>
          <w:rFonts w:ascii="Times New Roman" w:hAnsi="Times New Roman" w:cs="Times New Roman"/>
          <w:color w:val="auto"/>
          <w:sz w:val="24"/>
          <w:szCs w:val="24"/>
          <w:lang w:val="sr-Latn-RS"/>
        </w:rPr>
        <w:t xml:space="preserve">  </w:t>
      </w:r>
      <w:r w:rsidRPr="00FF54AF">
        <w:rPr>
          <w:rFonts w:ascii="Times New Roman" w:hAnsi="Times New Roman" w:cs="Times New Roman"/>
          <w:color w:val="auto"/>
          <w:sz w:val="24"/>
          <w:szCs w:val="24"/>
          <w:lang w:val="sr-Cyrl-RS"/>
        </w:rPr>
        <w:t>Представник Управе за јавне набавке нагласио је да би нови ЗЈН и нови Портал јавних набавки требало да укључују опцију за имплементацију стандарда отворених података.</w:t>
      </w:r>
    </w:p>
    <w:p w14:paraId="402281EB" w14:textId="23E5A334" w:rsidR="00FF54AF" w:rsidRPr="00FF54AF" w:rsidRDefault="00FF54AF" w:rsidP="00FF54AF">
      <w:pPr>
        <w:jc w:val="both"/>
        <w:rPr>
          <w:rFonts w:ascii="Times New Roman" w:hAnsi="Times New Roman" w:cs="Times New Roman"/>
          <w:color w:val="auto"/>
          <w:sz w:val="24"/>
          <w:szCs w:val="24"/>
          <w:lang w:val="sr-Cyrl-RS"/>
        </w:rPr>
      </w:pPr>
      <w:r w:rsidRPr="00FF54AF">
        <w:rPr>
          <w:rFonts w:ascii="Times New Roman" w:hAnsi="Times New Roman" w:cs="Times New Roman"/>
          <w:color w:val="auto"/>
          <w:sz w:val="24"/>
          <w:szCs w:val="24"/>
          <w:lang w:val="sr-Cyrl-RS"/>
        </w:rPr>
        <w:t>Представници УЈН учествовали су на 15. ПРИМО форуму који је одржан у Ташкенту у Узбекистану од 10. до 12. априла. Тема ПРИМО форума била је набавка и имплементација у инвестиционим пројектима. Циљеви су били пружање прилика агенцијама за јавне набавке и другим кључним актерима земаља учесница да размене своја искуства и праксе у области реформе јавних набавки, са посебним фокусом на управљање набавкама и спровођење у инвестиционим пројектима, и да промовишу, подстак</w:t>
      </w:r>
      <w:r w:rsidR="003C5177">
        <w:rPr>
          <w:rFonts w:ascii="Times New Roman" w:hAnsi="Times New Roman" w:cs="Times New Roman"/>
          <w:color w:val="auto"/>
          <w:sz w:val="24"/>
          <w:szCs w:val="24"/>
          <w:lang w:val="sr-Cyrl-RS"/>
        </w:rPr>
        <w:t>ну регионалну и глобалну сарадњу</w:t>
      </w:r>
      <w:r w:rsidRPr="00FF54AF">
        <w:rPr>
          <w:rFonts w:ascii="Times New Roman" w:hAnsi="Times New Roman" w:cs="Times New Roman"/>
          <w:color w:val="auto"/>
          <w:sz w:val="24"/>
          <w:szCs w:val="24"/>
          <w:lang w:val="sr-Cyrl-RS"/>
        </w:rPr>
        <w:t xml:space="preserve"> и умрежавање у јавним набавкама и </w:t>
      </w:r>
      <w:r w:rsidRPr="00FF54AF">
        <w:rPr>
          <w:rFonts w:ascii="Times New Roman" w:hAnsi="Times New Roman" w:cs="Times New Roman"/>
          <w:color w:val="auto"/>
          <w:sz w:val="24"/>
          <w:szCs w:val="24"/>
          <w:lang w:val="sr-Cyrl-RS"/>
        </w:rPr>
        <w:lastRenderedPageBreak/>
        <w:t>управљање уговорима ради побољшања квалитета резултата инвестиционих пројеката ради бољег пружања услуга грађанима. Представници УЈН учествовали су на овој радионици и у панел дискусији под називом „Управљање јавним инвестицијама и јавно-приватна партнерства“. Такође, домаћин 16. ПРИМО форума биће УЈН и Републике Србија, а биће одржан током 2020. године.</w:t>
      </w:r>
    </w:p>
    <w:p w14:paraId="06DEDD6E" w14:textId="77777777" w:rsidR="00FF54AF" w:rsidRPr="00FF54AF" w:rsidRDefault="00FF54AF" w:rsidP="00FF54AF">
      <w:pPr>
        <w:jc w:val="both"/>
        <w:rPr>
          <w:rFonts w:ascii="Times New Roman" w:hAnsi="Times New Roman" w:cs="Times New Roman"/>
          <w:color w:val="auto"/>
          <w:sz w:val="24"/>
          <w:szCs w:val="24"/>
          <w:lang w:val="sr-Cyrl-RS"/>
        </w:rPr>
      </w:pPr>
      <w:r w:rsidRPr="00FF54AF">
        <w:rPr>
          <w:rFonts w:ascii="Times New Roman" w:hAnsi="Times New Roman" w:cs="Times New Roman"/>
          <w:color w:val="auto"/>
          <w:sz w:val="24"/>
          <w:szCs w:val="24"/>
          <w:lang w:val="sr-Cyrl-RS"/>
        </w:rPr>
        <w:t>Представник УЈН учествовао је на конференцији "Искуства Румуније и других држава чланица у усвајању правне тековине Европске уније у области јавних набавки - научене лекције", одржаној у Букурешту 21. маја 2019. у организацији Националне Агенција за јавне набавке (АНАП), у контексту румунског председавања ЕУ. Сврха конференције била је размена искустава и пружање подршке земљама Западног Балкана у процесу законодавних и институционалних реформи у области јавних набавки. Представници кључних институција у области јавних набавки Румуније, Пољске, Бугарске, Србије, Босне и Херцеговине и Албаније, као и представници различитих међународних институција - Европске комисије, Светске банке, СИГМА, ОЕЦД и Европске инвестиционе банке, учествовали су на конференцији.</w:t>
      </w:r>
    </w:p>
    <w:p w14:paraId="2EE17C42" w14:textId="07ACFDC6" w:rsidR="00FF54AF" w:rsidRPr="00FF54AF" w:rsidRDefault="00FF54AF" w:rsidP="00FF54AF">
      <w:pPr>
        <w:jc w:val="both"/>
        <w:rPr>
          <w:color w:val="auto"/>
        </w:rPr>
      </w:pPr>
      <w:r w:rsidRPr="00FF54AF">
        <w:rPr>
          <w:rFonts w:ascii="Times New Roman" w:hAnsi="Times New Roman" w:cs="Times New Roman"/>
          <w:color w:val="auto"/>
          <w:sz w:val="24"/>
          <w:szCs w:val="24"/>
          <w:lang w:val="sr-Cyrl-RS"/>
        </w:rPr>
        <w:t xml:space="preserve">Представници УЈН учествовали су на седници Пододбора за унутрашње тржиште и конкуренцију, одржаном у Бриселу 4. јуна 2019. године. На Пододбору за унутрашње тржиште и конкуренцију, представници надлежних органа државне управе представили су Европској комисији прилоге припремљене о следећим темама: 1) Заштита и спровођење закона о интелектуалној, индустријској и комерцијалној својини; 2) јавне набавке; 3) слобода пружања услуга; 4) банкарске, осигуравајуће и друге финансијске услуге; 5) право привредних друштава, рачуноводство и ревизија; 6) јавно здравље и заштита потрошача; 7) политика конкуренције. Представници Управе за јавне набавке активно су учествовали као излагачи </w:t>
      </w:r>
      <w:r w:rsidR="00B314B3">
        <w:rPr>
          <w:rFonts w:ascii="Times New Roman" w:hAnsi="Times New Roman" w:cs="Times New Roman"/>
          <w:color w:val="auto"/>
          <w:sz w:val="24"/>
          <w:szCs w:val="24"/>
          <w:lang w:val="sr-Cyrl-RS"/>
        </w:rPr>
        <w:t>везано за</w:t>
      </w:r>
      <w:r w:rsidRPr="00FF54AF">
        <w:rPr>
          <w:rFonts w:ascii="Times New Roman" w:hAnsi="Times New Roman" w:cs="Times New Roman"/>
          <w:color w:val="auto"/>
          <w:sz w:val="24"/>
          <w:szCs w:val="24"/>
          <w:lang w:val="sr-Cyrl-RS"/>
        </w:rPr>
        <w:t xml:space="preserve"> тем</w:t>
      </w:r>
      <w:r w:rsidR="00B314B3">
        <w:rPr>
          <w:rFonts w:ascii="Times New Roman" w:hAnsi="Times New Roman" w:cs="Times New Roman"/>
          <w:color w:val="auto"/>
          <w:sz w:val="24"/>
          <w:szCs w:val="24"/>
          <w:lang w:val="sr-Cyrl-RS"/>
        </w:rPr>
        <w:t>у</w:t>
      </w:r>
      <w:r w:rsidRPr="00FF54AF">
        <w:rPr>
          <w:rFonts w:ascii="Times New Roman" w:hAnsi="Times New Roman" w:cs="Times New Roman"/>
          <w:color w:val="auto"/>
          <w:sz w:val="24"/>
          <w:szCs w:val="24"/>
          <w:lang w:val="sr-Cyrl-RS"/>
        </w:rPr>
        <w:t xml:space="preserve"> која се односи на јавне набавке, где су говорили о напретку Републике Србије у испуњавању критеријума за затварање Поглавља 5 - Јавне набавке, попут: усклађивања прописа са директивама ЕУ у области јавних набавки и јачања административних капацитета. Током састанка, УЈН представила је најновије информације о Нацрту закона о јавним набавкама и коментаре Европске комисије на Нацрт закона, најновије информације о новој Стратегији развоја јавних набавки за период 2019-2023 и информације о планираним и спроведеним мерама за јачање механизама за контролу јавних набавки, као и способност УЈН за спречавање и сузбијање корупције на централном и локалном нивоу власти и конкретне мере предузете за борбу против корупције.</w:t>
      </w:r>
    </w:p>
    <w:p w14:paraId="5C13E61B" w14:textId="44150E72" w:rsidR="00FF54AF" w:rsidRDefault="00FF54AF" w:rsidP="004F5F81">
      <w:pPr>
        <w:spacing w:after="0"/>
        <w:jc w:val="both"/>
        <w:rPr>
          <w:rFonts w:ascii="Times New Roman" w:hAnsi="Times New Roman" w:cs="Times New Roman"/>
          <w:color w:val="auto"/>
          <w:sz w:val="24"/>
          <w:szCs w:val="24"/>
          <w:lang w:eastAsia="en-US"/>
        </w:rPr>
      </w:pPr>
    </w:p>
    <w:p w14:paraId="76D7F5F7" w14:textId="77777777" w:rsidR="00B314B3" w:rsidRPr="00FF54AF" w:rsidRDefault="00B314B3" w:rsidP="004F5F81">
      <w:pPr>
        <w:spacing w:after="0"/>
        <w:jc w:val="both"/>
        <w:rPr>
          <w:rFonts w:ascii="Times New Roman" w:hAnsi="Times New Roman" w:cs="Times New Roman"/>
          <w:color w:val="auto"/>
          <w:sz w:val="24"/>
          <w:szCs w:val="24"/>
          <w:lang w:eastAsia="en-US"/>
        </w:rPr>
      </w:pPr>
    </w:p>
    <w:p w14:paraId="5C500999" w14:textId="01DFA345" w:rsidR="005A06C6" w:rsidRDefault="005A06C6">
      <w:pPr>
        <w:spacing w:after="0"/>
        <w:jc w:val="both"/>
        <w:rPr>
          <w:lang w:val="en-US"/>
        </w:rPr>
      </w:pPr>
    </w:p>
    <w:p w14:paraId="7B8745CF" w14:textId="77777777" w:rsidR="004673DA" w:rsidRDefault="004673DA">
      <w:pPr>
        <w:spacing w:after="0"/>
        <w:jc w:val="both"/>
        <w:rPr>
          <w:lang w:val="en-US"/>
        </w:rPr>
      </w:pPr>
    </w:p>
    <w:p w14:paraId="1757438E" w14:textId="0F156A84" w:rsidR="002D0A86" w:rsidRPr="00FF54AF" w:rsidRDefault="002D0A86">
      <w:pPr>
        <w:spacing w:after="0"/>
        <w:jc w:val="both"/>
        <w:rPr>
          <w:lang w:val="en-US"/>
        </w:rPr>
      </w:pPr>
    </w:p>
    <w:p w14:paraId="058D090E" w14:textId="7E04C19D" w:rsidR="00B47E65" w:rsidRPr="00FF54AF" w:rsidRDefault="00B47E65" w:rsidP="00B47E65">
      <w:pPr>
        <w:contextualSpacing/>
        <w:jc w:val="both"/>
        <w:rPr>
          <w:rFonts w:ascii="Times New Roman" w:eastAsia="Times New Roman" w:hAnsi="Times New Roman" w:cs="Times New Roman"/>
          <w:color w:val="FF0000"/>
          <w:sz w:val="24"/>
          <w:szCs w:val="24"/>
        </w:rPr>
      </w:pPr>
      <w:r w:rsidRPr="00FF54AF">
        <w:rPr>
          <w:rFonts w:ascii="Times New Roman" w:eastAsia="Times New Roman" w:hAnsi="Times New Roman" w:cs="Times New Roman"/>
          <w:b/>
          <w:sz w:val="24"/>
          <w:szCs w:val="24"/>
        </w:rPr>
        <w:lastRenderedPageBreak/>
        <w:t>X</w:t>
      </w:r>
      <w:r w:rsidR="002710A5">
        <w:rPr>
          <w:rFonts w:ascii="Times New Roman" w:eastAsia="Times New Roman" w:hAnsi="Times New Roman" w:cs="Times New Roman"/>
          <w:b/>
          <w:sz w:val="24"/>
          <w:szCs w:val="24"/>
        </w:rPr>
        <w:t>III</w:t>
      </w:r>
      <w:r w:rsidR="007E77D0">
        <w:rPr>
          <w:rFonts w:ascii="Times New Roman" w:eastAsia="Times New Roman" w:hAnsi="Times New Roman" w:cs="Times New Roman"/>
          <w:b/>
          <w:sz w:val="24"/>
          <w:szCs w:val="24"/>
        </w:rPr>
        <w:t>.</w:t>
      </w:r>
      <w:r w:rsidRPr="00FF54AF">
        <w:rPr>
          <w:rFonts w:ascii="Times New Roman" w:eastAsia="Times New Roman" w:hAnsi="Times New Roman" w:cs="Times New Roman"/>
          <w:b/>
          <w:sz w:val="24"/>
          <w:szCs w:val="24"/>
        </w:rPr>
        <w:t xml:space="preserve">  ЗАКЉУЧЦИ И ПРЕПОРУКЕ </w:t>
      </w:r>
    </w:p>
    <w:p w14:paraId="0EA102BB" w14:textId="77777777" w:rsidR="00B47E65" w:rsidRPr="00FF54AF" w:rsidRDefault="00B47E65" w:rsidP="00B47E65">
      <w:pPr>
        <w:jc w:val="both"/>
        <w:rPr>
          <w:rFonts w:ascii="Times New Roman" w:eastAsia="Times New Roman" w:hAnsi="Times New Roman" w:cs="Times New Roman"/>
          <w:sz w:val="24"/>
          <w:szCs w:val="24"/>
        </w:rPr>
      </w:pPr>
    </w:p>
    <w:p w14:paraId="51F26C97" w14:textId="03DE7026" w:rsidR="00E50135" w:rsidRPr="00FF54AF" w:rsidRDefault="00B47E65" w:rsidP="00E50135">
      <w:pPr>
        <w:ind w:left="-142"/>
        <w:jc w:val="both"/>
        <w:rPr>
          <w:rFonts w:ascii="Times New Roman" w:eastAsia="Times New Roman" w:hAnsi="Times New Roman" w:cs="Times New Roman"/>
          <w:sz w:val="24"/>
          <w:szCs w:val="24"/>
          <w:lang w:val="en-US"/>
        </w:rPr>
      </w:pPr>
      <w:r w:rsidRPr="00FF54AF">
        <w:rPr>
          <w:rFonts w:ascii="Times New Roman" w:eastAsia="Times New Roman" w:hAnsi="Times New Roman" w:cs="Times New Roman"/>
          <w:sz w:val="24"/>
          <w:szCs w:val="24"/>
        </w:rPr>
        <w:t>На основу анализе података о јавним на</w:t>
      </w:r>
      <w:r w:rsidR="00E50135" w:rsidRPr="00FF54AF">
        <w:rPr>
          <w:rFonts w:ascii="Times New Roman" w:eastAsia="Times New Roman" w:hAnsi="Times New Roman" w:cs="Times New Roman"/>
          <w:sz w:val="24"/>
          <w:szCs w:val="24"/>
        </w:rPr>
        <w:t xml:space="preserve">бавкама у првом </w:t>
      </w:r>
      <w:r w:rsidR="007B4857" w:rsidRPr="00FF54AF">
        <w:rPr>
          <w:rFonts w:ascii="Times New Roman" w:eastAsia="Times New Roman" w:hAnsi="Times New Roman" w:cs="Times New Roman"/>
          <w:sz w:val="24"/>
          <w:szCs w:val="24"/>
        </w:rPr>
        <w:t>полугодишту 201</w:t>
      </w:r>
      <w:r w:rsidR="008B7A28" w:rsidRPr="00FF54AF">
        <w:rPr>
          <w:rFonts w:ascii="Times New Roman" w:eastAsia="Times New Roman" w:hAnsi="Times New Roman" w:cs="Times New Roman"/>
          <w:sz w:val="24"/>
          <w:szCs w:val="24"/>
          <w:lang w:val="sr-Cyrl-RS"/>
        </w:rPr>
        <w:t>9</w:t>
      </w:r>
      <w:r w:rsidRPr="00FF54AF">
        <w:rPr>
          <w:rFonts w:ascii="Times New Roman" w:eastAsia="Times New Roman" w:hAnsi="Times New Roman" w:cs="Times New Roman"/>
          <w:sz w:val="24"/>
          <w:szCs w:val="24"/>
        </w:rPr>
        <w:t xml:space="preserve">. године могу се извући следећи закључци: </w:t>
      </w:r>
    </w:p>
    <w:p w14:paraId="5C3CC095" w14:textId="45B069FB" w:rsidR="003E7CBC" w:rsidRPr="00FF54AF" w:rsidRDefault="00E50135" w:rsidP="003E7CBC">
      <w:pPr>
        <w:ind w:left="-142"/>
        <w:jc w:val="both"/>
        <w:rPr>
          <w:rFonts w:ascii="Times New Roman" w:eastAsia="Times New Roman" w:hAnsi="Times New Roman" w:cs="Times New Roman"/>
          <w:sz w:val="24"/>
          <w:szCs w:val="24"/>
          <w:lang w:val="sr-Cyrl-RS"/>
        </w:rPr>
      </w:pPr>
      <w:r w:rsidRPr="00FF54AF">
        <w:rPr>
          <w:rFonts w:ascii="Times New Roman" w:eastAsia="Times New Roman" w:hAnsi="Times New Roman" w:cs="Times New Roman"/>
          <w:sz w:val="24"/>
          <w:szCs w:val="24"/>
        </w:rPr>
        <w:t>У</w:t>
      </w:r>
      <w:r w:rsidRPr="00FF54AF">
        <w:rPr>
          <w:rFonts w:ascii="Times New Roman" w:eastAsia="Times New Roman" w:hAnsi="Times New Roman" w:cs="Times New Roman"/>
          <w:b/>
          <w:sz w:val="24"/>
          <w:szCs w:val="24"/>
        </w:rPr>
        <w:t xml:space="preserve"> </w:t>
      </w:r>
      <w:r w:rsidR="007B4857" w:rsidRPr="00FF54AF">
        <w:rPr>
          <w:rFonts w:ascii="Times New Roman" w:eastAsia="Times New Roman" w:hAnsi="Times New Roman" w:cs="Times New Roman"/>
          <w:sz w:val="24"/>
          <w:szCs w:val="24"/>
        </w:rPr>
        <w:t xml:space="preserve">посматраном периоду </w:t>
      </w:r>
      <w:r w:rsidR="00702EEF">
        <w:rPr>
          <w:rFonts w:ascii="Times New Roman" w:eastAsia="Times New Roman" w:hAnsi="Times New Roman" w:cs="Times New Roman"/>
          <w:sz w:val="24"/>
          <w:szCs w:val="24"/>
          <w:lang w:val="sr-Cyrl-RS"/>
        </w:rPr>
        <w:t>одржан</w:t>
      </w:r>
      <w:r w:rsidR="00FD0E49" w:rsidRPr="00FF54AF">
        <w:rPr>
          <w:rFonts w:ascii="Times New Roman" w:eastAsia="Times New Roman" w:hAnsi="Times New Roman" w:cs="Times New Roman"/>
          <w:sz w:val="24"/>
          <w:szCs w:val="24"/>
          <w:lang w:val="sr-Cyrl-RS"/>
        </w:rPr>
        <w:t xml:space="preserve"> је тренд</w:t>
      </w:r>
      <w:r w:rsidR="007B4857" w:rsidRPr="00FF54AF">
        <w:rPr>
          <w:rFonts w:ascii="Times New Roman" w:eastAsia="Times New Roman" w:hAnsi="Times New Roman" w:cs="Times New Roman"/>
          <w:sz w:val="24"/>
          <w:szCs w:val="24"/>
        </w:rPr>
        <w:t xml:space="preserve"> скраћења </w:t>
      </w:r>
      <w:r w:rsidRPr="00FF54AF">
        <w:rPr>
          <w:rFonts w:ascii="Times New Roman" w:eastAsia="Times New Roman" w:hAnsi="Times New Roman" w:cs="Times New Roman"/>
          <w:sz w:val="24"/>
          <w:szCs w:val="24"/>
        </w:rPr>
        <w:t>дужине трајања поступ</w:t>
      </w:r>
      <w:r w:rsidR="00FD0E49" w:rsidRPr="00FF54AF">
        <w:rPr>
          <w:rFonts w:ascii="Times New Roman" w:eastAsia="Times New Roman" w:hAnsi="Times New Roman" w:cs="Times New Roman"/>
          <w:sz w:val="24"/>
          <w:szCs w:val="24"/>
          <w:lang w:val="sr-Cyrl-RS"/>
        </w:rPr>
        <w:t>а</w:t>
      </w:r>
      <w:r w:rsidRPr="00FF54AF">
        <w:rPr>
          <w:rFonts w:ascii="Times New Roman" w:eastAsia="Times New Roman" w:hAnsi="Times New Roman" w:cs="Times New Roman"/>
          <w:sz w:val="24"/>
          <w:szCs w:val="24"/>
        </w:rPr>
        <w:t>ка</w:t>
      </w:r>
      <w:r w:rsidR="00FD0E49" w:rsidRPr="00FF54AF">
        <w:rPr>
          <w:rFonts w:ascii="Times New Roman" w:eastAsia="Times New Roman" w:hAnsi="Times New Roman" w:cs="Times New Roman"/>
          <w:sz w:val="24"/>
          <w:szCs w:val="24"/>
          <w:lang w:val="sr-Cyrl-RS"/>
        </w:rPr>
        <w:t xml:space="preserve"> јавних набавки</w:t>
      </w:r>
      <w:r w:rsidR="00B86510" w:rsidRPr="00FF54AF">
        <w:rPr>
          <w:rFonts w:ascii="Times New Roman" w:eastAsia="Times New Roman" w:hAnsi="Times New Roman" w:cs="Times New Roman"/>
          <w:sz w:val="24"/>
          <w:szCs w:val="24"/>
          <w:lang w:val="sr-Cyrl-RS"/>
        </w:rPr>
        <w:t>,</w:t>
      </w:r>
      <w:r w:rsidR="008A2083" w:rsidRPr="00FF54AF">
        <w:rPr>
          <w:rFonts w:ascii="Times New Roman" w:eastAsia="Times New Roman" w:hAnsi="Times New Roman" w:cs="Times New Roman"/>
          <w:sz w:val="24"/>
          <w:szCs w:val="24"/>
          <w:lang w:val="sr-Cyrl-RS"/>
        </w:rPr>
        <w:t xml:space="preserve"> док је учешће </w:t>
      </w:r>
      <w:r w:rsidRPr="00FF54AF">
        <w:rPr>
          <w:rFonts w:ascii="Times New Roman" w:eastAsia="Times New Roman" w:hAnsi="Times New Roman" w:cs="Times New Roman"/>
          <w:sz w:val="24"/>
          <w:szCs w:val="24"/>
        </w:rPr>
        <w:t>обустављених поступака у односу на исти период претходне године</w:t>
      </w:r>
      <w:r w:rsidR="008A2083" w:rsidRPr="00FF54AF">
        <w:rPr>
          <w:rFonts w:ascii="Times New Roman" w:eastAsia="Times New Roman" w:hAnsi="Times New Roman" w:cs="Times New Roman"/>
          <w:sz w:val="24"/>
          <w:szCs w:val="24"/>
          <w:lang w:val="sr-Cyrl-RS"/>
        </w:rPr>
        <w:t xml:space="preserve"> оста</w:t>
      </w:r>
      <w:r w:rsidR="00B86510" w:rsidRPr="00FF54AF">
        <w:rPr>
          <w:rFonts w:ascii="Times New Roman" w:eastAsia="Times New Roman" w:hAnsi="Times New Roman" w:cs="Times New Roman"/>
          <w:sz w:val="24"/>
          <w:szCs w:val="24"/>
          <w:lang w:val="sr-Cyrl-RS"/>
        </w:rPr>
        <w:t xml:space="preserve">ло </w:t>
      </w:r>
      <w:r w:rsidR="00B314B3">
        <w:rPr>
          <w:rFonts w:ascii="Times New Roman" w:eastAsia="Times New Roman" w:hAnsi="Times New Roman" w:cs="Times New Roman"/>
          <w:sz w:val="24"/>
          <w:szCs w:val="24"/>
          <w:lang w:val="sr-Cyrl-RS"/>
        </w:rPr>
        <w:t>на истом нивоу</w:t>
      </w:r>
      <w:r w:rsidR="008A2083" w:rsidRPr="00FF54AF">
        <w:rPr>
          <w:rFonts w:ascii="Times New Roman" w:eastAsia="Times New Roman" w:hAnsi="Times New Roman" w:cs="Times New Roman"/>
          <w:sz w:val="24"/>
          <w:szCs w:val="24"/>
          <w:lang w:val="sr-Cyrl-RS"/>
        </w:rPr>
        <w:t>.</w:t>
      </w:r>
    </w:p>
    <w:p w14:paraId="07EA4B94" w14:textId="68E11FED" w:rsidR="001A198A" w:rsidRDefault="00B47E65" w:rsidP="003E7CBC">
      <w:pPr>
        <w:ind w:left="-142"/>
        <w:jc w:val="both"/>
        <w:rPr>
          <w:rFonts w:ascii="Times New Roman" w:eastAsia="Times New Roman" w:hAnsi="Times New Roman" w:cs="Times New Roman"/>
          <w:color w:val="auto"/>
          <w:sz w:val="24"/>
          <w:szCs w:val="24"/>
          <w:lang w:val="sr-Latn-RS"/>
        </w:rPr>
      </w:pPr>
      <w:r w:rsidRPr="00FF54AF">
        <w:rPr>
          <w:rFonts w:ascii="Times New Roman" w:eastAsia="Times New Roman" w:hAnsi="Times New Roman" w:cs="Times New Roman"/>
          <w:sz w:val="24"/>
          <w:szCs w:val="24"/>
        </w:rPr>
        <w:t>Интензитет конкуренције</w:t>
      </w:r>
      <w:r w:rsidR="007B4857" w:rsidRPr="00FF54AF">
        <w:rPr>
          <w:rFonts w:ascii="Times New Roman" w:eastAsia="Times New Roman" w:hAnsi="Times New Roman" w:cs="Times New Roman"/>
          <w:sz w:val="24"/>
          <w:szCs w:val="24"/>
        </w:rPr>
        <w:t xml:space="preserve"> је </w:t>
      </w:r>
      <w:r w:rsidR="00FD0E49" w:rsidRPr="00FF54AF">
        <w:rPr>
          <w:rFonts w:ascii="Times New Roman" w:eastAsia="Times New Roman" w:hAnsi="Times New Roman" w:cs="Times New Roman"/>
          <w:sz w:val="24"/>
          <w:szCs w:val="24"/>
          <w:lang w:val="sr-Cyrl-RS"/>
        </w:rPr>
        <w:t xml:space="preserve">у посматраном периоду </w:t>
      </w:r>
      <w:r w:rsidR="007B4857" w:rsidRPr="00FF54AF">
        <w:rPr>
          <w:rFonts w:ascii="Times New Roman" w:eastAsia="Times New Roman" w:hAnsi="Times New Roman" w:cs="Times New Roman"/>
          <w:sz w:val="24"/>
          <w:szCs w:val="24"/>
        </w:rPr>
        <w:t xml:space="preserve">смањен са </w:t>
      </w:r>
      <w:r w:rsidR="008B7A28" w:rsidRPr="00FF54AF">
        <w:rPr>
          <w:rFonts w:ascii="Times New Roman" w:eastAsia="Times New Roman" w:hAnsi="Times New Roman" w:cs="Times New Roman"/>
          <w:sz w:val="24"/>
          <w:szCs w:val="24"/>
          <w:lang w:val="sr-Cyrl-RS"/>
        </w:rPr>
        <w:t>2,5</w:t>
      </w:r>
      <w:r w:rsidR="007B4857" w:rsidRPr="00FF54AF">
        <w:rPr>
          <w:rFonts w:ascii="Times New Roman" w:eastAsia="Times New Roman" w:hAnsi="Times New Roman" w:cs="Times New Roman"/>
          <w:sz w:val="24"/>
          <w:szCs w:val="24"/>
        </w:rPr>
        <w:t xml:space="preserve"> на 2,</w:t>
      </w:r>
      <w:r w:rsidR="008B7A28" w:rsidRPr="00FF54AF">
        <w:rPr>
          <w:rFonts w:ascii="Times New Roman" w:eastAsia="Times New Roman" w:hAnsi="Times New Roman" w:cs="Times New Roman"/>
          <w:sz w:val="24"/>
          <w:szCs w:val="24"/>
          <w:lang w:val="sr-Cyrl-RS"/>
        </w:rPr>
        <w:t>2</w:t>
      </w:r>
      <w:r w:rsidR="007B4857" w:rsidRPr="00FF54AF">
        <w:rPr>
          <w:rFonts w:ascii="Times New Roman" w:eastAsia="Times New Roman" w:hAnsi="Times New Roman" w:cs="Times New Roman"/>
          <w:sz w:val="24"/>
          <w:szCs w:val="24"/>
        </w:rPr>
        <w:t xml:space="preserve"> понуд</w:t>
      </w:r>
      <w:r w:rsidR="00FD0E49" w:rsidRPr="00FF54AF">
        <w:rPr>
          <w:rFonts w:ascii="Times New Roman" w:eastAsia="Times New Roman" w:hAnsi="Times New Roman" w:cs="Times New Roman"/>
          <w:sz w:val="24"/>
          <w:szCs w:val="24"/>
          <w:lang w:val="sr-Cyrl-RS"/>
        </w:rPr>
        <w:t>е</w:t>
      </w:r>
      <w:r w:rsidR="00FD0E49" w:rsidRPr="00FF54AF">
        <w:rPr>
          <w:rFonts w:ascii="Times New Roman" w:eastAsia="Times New Roman" w:hAnsi="Times New Roman" w:cs="Times New Roman"/>
          <w:sz w:val="24"/>
          <w:szCs w:val="24"/>
        </w:rPr>
        <w:t xml:space="preserve"> по поступку.</w:t>
      </w:r>
      <w:r w:rsidR="001A198A">
        <w:rPr>
          <w:rFonts w:ascii="Times New Roman" w:eastAsia="Times New Roman" w:hAnsi="Times New Roman" w:cs="Times New Roman"/>
          <w:color w:val="auto"/>
          <w:sz w:val="24"/>
          <w:szCs w:val="24"/>
          <w:lang w:val="sr-Latn-RS"/>
        </w:rPr>
        <w:t xml:space="preserve"> </w:t>
      </w:r>
    </w:p>
    <w:p w14:paraId="1F92C50E" w14:textId="6AAC5067" w:rsidR="001A198A" w:rsidRPr="004C69CA" w:rsidRDefault="005C68BF" w:rsidP="005C68BF">
      <w:pPr>
        <w:ind w:left="-142"/>
        <w:jc w:val="both"/>
        <w:rPr>
          <w:rFonts w:ascii="Times New Roman" w:eastAsia="Times New Roman" w:hAnsi="Times New Roman" w:cs="Times New Roman"/>
          <w:color w:val="auto"/>
          <w:sz w:val="24"/>
          <w:szCs w:val="24"/>
          <w:lang w:val="sr-Cyrl-RS"/>
        </w:rPr>
      </w:pPr>
      <w:r>
        <w:rPr>
          <w:rFonts w:ascii="Times New Roman" w:eastAsia="Times New Roman" w:hAnsi="Times New Roman" w:cs="Times New Roman"/>
          <w:color w:val="auto"/>
          <w:sz w:val="24"/>
          <w:szCs w:val="24"/>
          <w:lang w:val="sr-Cyrl-RS"/>
        </w:rPr>
        <w:t>У циљу унапређења извештавања о јавним набавкама, у ок</w:t>
      </w:r>
      <w:r w:rsidR="0006017B">
        <w:rPr>
          <w:rFonts w:ascii="Times New Roman" w:eastAsia="Times New Roman" w:hAnsi="Times New Roman" w:cs="Times New Roman"/>
          <w:color w:val="auto"/>
          <w:sz w:val="24"/>
          <w:szCs w:val="24"/>
          <w:lang w:val="sr-Cyrl-RS"/>
        </w:rPr>
        <w:t>виру ЕУ пројекта подршке даљем у</w:t>
      </w:r>
      <w:r>
        <w:rPr>
          <w:rFonts w:ascii="Times New Roman" w:eastAsia="Times New Roman" w:hAnsi="Times New Roman" w:cs="Times New Roman"/>
          <w:color w:val="auto"/>
          <w:sz w:val="24"/>
          <w:szCs w:val="24"/>
          <w:lang w:val="sr-Cyrl-RS"/>
        </w:rPr>
        <w:t xml:space="preserve">напређењу система јавних набавки у Србији, урађен је документ </w:t>
      </w:r>
      <w:r w:rsidRPr="005C68BF">
        <w:rPr>
          <w:rFonts w:ascii="Times New Roman" w:eastAsia="Times New Roman" w:hAnsi="Times New Roman" w:cs="Times New Roman"/>
          <w:color w:val="auto"/>
          <w:sz w:val="24"/>
          <w:szCs w:val="24"/>
          <w:lang w:val="sr-Cyrl-RS"/>
        </w:rPr>
        <w:t>„</w:t>
      </w:r>
      <w:r w:rsidRPr="005C68BF">
        <w:rPr>
          <w:rFonts w:ascii="Times New Roman" w:hAnsi="Times New Roman" w:cs="Times New Roman"/>
          <w:sz w:val="24"/>
          <w:szCs w:val="24"/>
        </w:rPr>
        <w:t>Анализа садашњег стања и препоруке за унапређење система извештавања у јавним набавкама</w:t>
      </w:r>
      <w:r>
        <w:rPr>
          <w:rFonts w:ascii="Times New Roman" w:hAnsi="Times New Roman" w:cs="Times New Roman"/>
          <w:sz w:val="24"/>
          <w:szCs w:val="24"/>
          <w:lang w:val="sr-Cyrl-RS"/>
        </w:rPr>
        <w:t>“.</w:t>
      </w:r>
      <w:r>
        <w:rPr>
          <w:rFonts w:ascii="Times New Roman" w:eastAsia="Times New Roman" w:hAnsi="Times New Roman" w:cs="Times New Roman"/>
          <w:color w:val="auto"/>
          <w:sz w:val="24"/>
          <w:szCs w:val="24"/>
          <w:lang w:val="sr-Cyrl-RS"/>
        </w:rPr>
        <w:t xml:space="preserve"> </w:t>
      </w:r>
      <w:r w:rsidR="00D51B40">
        <w:rPr>
          <w:rFonts w:ascii="Times New Roman" w:eastAsia="Times New Roman" w:hAnsi="Times New Roman" w:cs="Times New Roman"/>
          <w:color w:val="auto"/>
          <w:sz w:val="24"/>
          <w:szCs w:val="24"/>
          <w:lang w:val="sr-Cyrl-RS"/>
        </w:rPr>
        <w:t>Посеб</w:t>
      </w:r>
      <w:r w:rsidRPr="005C68BF">
        <w:rPr>
          <w:rFonts w:ascii="Times New Roman" w:eastAsia="Times New Roman" w:hAnsi="Times New Roman" w:cs="Times New Roman"/>
          <w:color w:val="auto"/>
          <w:sz w:val="24"/>
          <w:szCs w:val="24"/>
          <w:lang w:val="sr-Cyrl-RS"/>
        </w:rPr>
        <w:t>но је предвиђено</w:t>
      </w:r>
      <w:r w:rsidR="001A198A" w:rsidRPr="005C68BF">
        <w:rPr>
          <w:rFonts w:ascii="Times New Roman" w:eastAsia="Times New Roman" w:hAnsi="Times New Roman" w:cs="Times New Roman"/>
          <w:color w:val="auto"/>
          <w:sz w:val="24"/>
          <w:szCs w:val="24"/>
          <w:lang w:val="sr-Cyrl-RS"/>
        </w:rPr>
        <w:t xml:space="preserve"> систематско праћење интензитета конкуренциј</w:t>
      </w:r>
      <w:r w:rsidR="0006017B">
        <w:rPr>
          <w:rFonts w:ascii="Times New Roman" w:eastAsia="Times New Roman" w:hAnsi="Times New Roman" w:cs="Times New Roman"/>
          <w:color w:val="auto"/>
          <w:sz w:val="24"/>
          <w:szCs w:val="24"/>
          <w:lang w:val="sr-Cyrl-RS"/>
        </w:rPr>
        <w:t>е, као</w:t>
      </w:r>
      <w:r w:rsidR="001A198A" w:rsidRPr="005C68BF">
        <w:rPr>
          <w:rFonts w:ascii="Times New Roman" w:eastAsia="Times New Roman" w:hAnsi="Times New Roman" w:cs="Times New Roman"/>
          <w:color w:val="auto"/>
          <w:sz w:val="24"/>
          <w:szCs w:val="24"/>
          <w:lang w:val="sr-Cyrl-RS"/>
        </w:rPr>
        <w:t xml:space="preserve"> и учешћа малих и средњих предузећа у структури закључ</w:t>
      </w:r>
      <w:r w:rsidRPr="005C68BF">
        <w:rPr>
          <w:rFonts w:ascii="Times New Roman" w:eastAsia="Times New Roman" w:hAnsi="Times New Roman" w:cs="Times New Roman"/>
          <w:color w:val="auto"/>
          <w:sz w:val="24"/>
          <w:szCs w:val="24"/>
          <w:lang w:val="sr-Cyrl-RS"/>
        </w:rPr>
        <w:t xml:space="preserve">ених уговора о јавним набавкама </w:t>
      </w:r>
      <w:r w:rsidR="0052796F">
        <w:rPr>
          <w:rFonts w:ascii="Times New Roman" w:eastAsia="Times New Roman" w:hAnsi="Times New Roman" w:cs="Times New Roman"/>
          <w:color w:val="auto"/>
          <w:sz w:val="24"/>
          <w:szCs w:val="24"/>
          <w:lang w:val="sr-Cyrl-RS"/>
        </w:rPr>
        <w:t>о</w:t>
      </w:r>
      <w:r w:rsidRPr="005C68BF">
        <w:rPr>
          <w:rFonts w:ascii="Times New Roman" w:hAnsi="Times New Roman" w:cs="Times New Roman"/>
          <w:sz w:val="24"/>
          <w:szCs w:val="24"/>
        </w:rPr>
        <w:t>д којих се очекује највећи допринос јачању конкуренције имајући у виду њихово доминантно учешће у бројчан</w:t>
      </w:r>
      <w:r w:rsidR="004C69CA">
        <w:rPr>
          <w:rFonts w:ascii="Times New Roman" w:hAnsi="Times New Roman" w:cs="Times New Roman"/>
          <w:sz w:val="24"/>
          <w:szCs w:val="24"/>
        </w:rPr>
        <w:t>ој структури предузећа у Србији. У вези са ти</w:t>
      </w:r>
      <w:r w:rsidR="004C69CA">
        <w:rPr>
          <w:rFonts w:ascii="Times New Roman" w:hAnsi="Times New Roman" w:cs="Times New Roman"/>
          <w:sz w:val="24"/>
          <w:szCs w:val="24"/>
          <w:lang w:val="sr-Cyrl-RS"/>
        </w:rPr>
        <w:t xml:space="preserve">м </w:t>
      </w:r>
      <w:r w:rsidR="00840100">
        <w:rPr>
          <w:rFonts w:ascii="Times New Roman" w:hAnsi="Times New Roman" w:cs="Times New Roman"/>
          <w:sz w:val="24"/>
          <w:szCs w:val="24"/>
          <w:lang w:val="sr-Cyrl-RS"/>
        </w:rPr>
        <w:t>потребно је радити на промоцији</w:t>
      </w:r>
      <w:r w:rsidR="004C69CA">
        <w:rPr>
          <w:rFonts w:ascii="Times New Roman" w:hAnsi="Times New Roman" w:cs="Times New Roman"/>
          <w:sz w:val="24"/>
          <w:szCs w:val="24"/>
          <w:lang w:val="sr-Cyrl-RS"/>
        </w:rPr>
        <w:t xml:space="preserve"> </w:t>
      </w:r>
      <w:r w:rsidR="00840100">
        <w:rPr>
          <w:rFonts w:ascii="Times New Roman" w:hAnsi="Times New Roman" w:cs="Times New Roman"/>
          <w:sz w:val="24"/>
          <w:szCs w:val="24"/>
          <w:lang w:val="sr-Cyrl-RS"/>
        </w:rPr>
        <w:t>и олакшавању</w:t>
      </w:r>
      <w:r w:rsidR="004C69CA">
        <w:rPr>
          <w:rFonts w:ascii="Times New Roman" w:hAnsi="Times New Roman" w:cs="Times New Roman"/>
          <w:sz w:val="24"/>
          <w:szCs w:val="24"/>
          <w:lang w:val="sr-Cyrl-RS"/>
        </w:rPr>
        <w:t xml:space="preserve"> њиховог приступа на тржишту јавних набавки. </w:t>
      </w:r>
    </w:p>
    <w:p w14:paraId="397E0233" w14:textId="25B76EF1" w:rsidR="009D5ACE" w:rsidRPr="00B743BE" w:rsidRDefault="00207B68" w:rsidP="009D5ACE">
      <w:pPr>
        <w:ind w:left="-142"/>
        <w:jc w:val="both"/>
        <w:rPr>
          <w:rFonts w:ascii="Times New Roman" w:eastAsia="Times New Roman" w:hAnsi="Times New Roman" w:cs="Times New Roman"/>
          <w:color w:val="auto"/>
          <w:sz w:val="24"/>
          <w:szCs w:val="24"/>
          <w:lang w:val="sr-Cyrl-RS"/>
        </w:rPr>
      </w:pPr>
      <w:r w:rsidRPr="00FF54AF">
        <w:rPr>
          <w:rFonts w:ascii="Times New Roman" w:hAnsi="Times New Roman" w:cs="Times New Roman"/>
          <w:sz w:val="24"/>
          <w:szCs w:val="24"/>
        </w:rPr>
        <w:t xml:space="preserve">Број посета Порталу јавних набавки наставио је да расте што јасно указује на његов </w:t>
      </w:r>
      <w:r w:rsidR="001A198A">
        <w:rPr>
          <w:rFonts w:ascii="Times New Roman" w:hAnsi="Times New Roman" w:cs="Times New Roman"/>
          <w:sz w:val="24"/>
          <w:szCs w:val="24"/>
        </w:rPr>
        <w:t xml:space="preserve">значај за наручиоце и понуђаче. </w:t>
      </w:r>
      <w:r w:rsidR="001A198A">
        <w:rPr>
          <w:rFonts w:ascii="Times New Roman" w:eastAsia="Times New Roman" w:hAnsi="Times New Roman" w:cs="Times New Roman"/>
          <w:color w:val="auto"/>
          <w:sz w:val="24"/>
          <w:szCs w:val="24"/>
          <w:lang w:val="sr-Cyrl-RS"/>
        </w:rPr>
        <w:t>З</w:t>
      </w:r>
      <w:r w:rsidR="009D5ACE" w:rsidRPr="00FF54AF">
        <w:rPr>
          <w:rFonts w:ascii="Times New Roman" w:eastAsia="Times New Roman" w:hAnsi="Times New Roman" w:cs="Times New Roman"/>
          <w:color w:val="auto"/>
          <w:sz w:val="24"/>
          <w:szCs w:val="24"/>
        </w:rPr>
        <w:t xml:space="preserve">аједно са </w:t>
      </w:r>
      <w:r w:rsidR="009624C3" w:rsidRPr="00FF54AF">
        <w:rPr>
          <w:rFonts w:ascii="Times New Roman" w:eastAsia="Times New Roman" w:hAnsi="Times New Roman" w:cs="Times New Roman"/>
          <w:color w:val="FF0000"/>
          <w:sz w:val="24"/>
          <w:szCs w:val="24"/>
          <w:lang w:val="sr-Cyrl-RS"/>
        </w:rPr>
        <w:t xml:space="preserve"> </w:t>
      </w:r>
      <w:r w:rsidR="009624C3" w:rsidRPr="00FF54AF">
        <w:rPr>
          <w:rFonts w:ascii="Times New Roman" w:eastAsia="Times New Roman" w:hAnsi="Times New Roman" w:cs="Times New Roman"/>
          <w:color w:val="auto"/>
          <w:sz w:val="24"/>
          <w:szCs w:val="24"/>
          <w:lang w:val="sr-Cyrl-RS"/>
        </w:rPr>
        <w:t xml:space="preserve">другим институцијама </w:t>
      </w:r>
      <w:r w:rsidR="001A198A">
        <w:rPr>
          <w:rFonts w:ascii="Times New Roman" w:eastAsia="Times New Roman" w:hAnsi="Times New Roman" w:cs="Times New Roman"/>
          <w:color w:val="auto"/>
          <w:sz w:val="24"/>
          <w:szCs w:val="24"/>
          <w:lang w:val="sr-Cyrl-RS"/>
        </w:rPr>
        <w:t>настављено је</w:t>
      </w:r>
      <w:r w:rsidR="003E7CBC" w:rsidRPr="00FF54AF">
        <w:rPr>
          <w:rFonts w:ascii="Times New Roman" w:eastAsia="Times New Roman" w:hAnsi="Times New Roman" w:cs="Times New Roman"/>
          <w:color w:val="auto"/>
          <w:sz w:val="24"/>
          <w:szCs w:val="24"/>
          <w:lang w:val="sr-Cyrl-RS"/>
        </w:rPr>
        <w:t xml:space="preserve"> у</w:t>
      </w:r>
      <w:r w:rsidR="009D5ACE" w:rsidRPr="00FF54AF">
        <w:rPr>
          <w:rFonts w:ascii="Times New Roman" w:eastAsia="Times New Roman" w:hAnsi="Times New Roman" w:cs="Times New Roman"/>
          <w:color w:val="auto"/>
          <w:sz w:val="24"/>
          <w:szCs w:val="24"/>
        </w:rPr>
        <w:t>че</w:t>
      </w:r>
      <w:r w:rsidR="003E7CBC" w:rsidRPr="00FF54AF">
        <w:rPr>
          <w:rFonts w:ascii="Times New Roman" w:eastAsia="Times New Roman" w:hAnsi="Times New Roman" w:cs="Times New Roman"/>
          <w:color w:val="auto"/>
          <w:sz w:val="24"/>
          <w:szCs w:val="24"/>
          <w:lang w:val="sr-Cyrl-RS"/>
        </w:rPr>
        <w:t>шће</w:t>
      </w:r>
      <w:r w:rsidR="009D5ACE" w:rsidRPr="00FF54AF">
        <w:rPr>
          <w:rFonts w:ascii="Times New Roman" w:eastAsia="Times New Roman" w:hAnsi="Times New Roman" w:cs="Times New Roman"/>
          <w:color w:val="auto"/>
          <w:sz w:val="24"/>
          <w:szCs w:val="24"/>
        </w:rPr>
        <w:t xml:space="preserve"> у реализацији пројекта “</w:t>
      </w:r>
      <w:r w:rsidR="004B7008">
        <w:rPr>
          <w:rFonts w:ascii="Times New Roman" w:eastAsia="Times New Roman" w:hAnsi="Times New Roman" w:cs="Times New Roman"/>
          <w:color w:val="auto"/>
          <w:sz w:val="24"/>
          <w:szCs w:val="24"/>
          <w:lang w:val="en-US"/>
        </w:rPr>
        <w:t>Open</w:t>
      </w:r>
      <w:r w:rsidR="009D5ACE" w:rsidRPr="00FF54AF">
        <w:rPr>
          <w:rFonts w:ascii="Times New Roman" w:eastAsia="Times New Roman" w:hAnsi="Times New Roman" w:cs="Times New Roman"/>
          <w:color w:val="auto"/>
          <w:sz w:val="24"/>
          <w:szCs w:val="24"/>
          <w:lang w:val="en-US"/>
        </w:rPr>
        <w:t xml:space="preserve"> </w:t>
      </w:r>
      <w:r w:rsidR="004B7008">
        <w:rPr>
          <w:rFonts w:ascii="Times New Roman" w:eastAsia="Times New Roman" w:hAnsi="Times New Roman" w:cs="Times New Roman"/>
          <w:color w:val="auto"/>
          <w:sz w:val="24"/>
          <w:szCs w:val="24"/>
          <w:lang w:val="en-US"/>
        </w:rPr>
        <w:t>data</w:t>
      </w:r>
      <w:r w:rsidR="009D5ACE" w:rsidRPr="00FF54AF">
        <w:rPr>
          <w:rFonts w:ascii="Times New Roman" w:eastAsia="Times New Roman" w:hAnsi="Times New Roman" w:cs="Times New Roman"/>
          <w:color w:val="auto"/>
          <w:sz w:val="24"/>
          <w:szCs w:val="24"/>
        </w:rPr>
        <w:t xml:space="preserve">”. УЈН је приступила пројекту са циљем да јавности омогући приступ подацима којима располаже у формату који је информатички читљив и обрадив. То значи да лица која су заинтересована за податке УЈН могу да их користе уз минимум информатичког знања. Подаци се налазе у </w:t>
      </w:r>
      <w:r w:rsidR="004B7008">
        <w:rPr>
          <w:rFonts w:ascii="Times New Roman" w:eastAsia="Times New Roman" w:hAnsi="Times New Roman" w:cs="Times New Roman"/>
          <w:color w:val="auto"/>
          <w:sz w:val="24"/>
          <w:szCs w:val="24"/>
        </w:rPr>
        <w:t>CSV</w:t>
      </w:r>
      <w:r w:rsidR="009D5ACE" w:rsidRPr="00FF54AF">
        <w:rPr>
          <w:rFonts w:ascii="Times New Roman" w:eastAsia="Times New Roman" w:hAnsi="Times New Roman" w:cs="Times New Roman"/>
          <w:color w:val="auto"/>
          <w:sz w:val="24"/>
          <w:szCs w:val="24"/>
        </w:rPr>
        <w:t xml:space="preserve"> формату и објављују се на Порталу јавних набавки на дневном нивоу.</w:t>
      </w:r>
      <w:r w:rsidR="003E7CBC" w:rsidRPr="00FF54AF">
        <w:rPr>
          <w:rFonts w:ascii="Times New Roman" w:eastAsia="Times New Roman" w:hAnsi="Times New Roman" w:cs="Times New Roman"/>
          <w:color w:val="auto"/>
          <w:sz w:val="24"/>
          <w:szCs w:val="24"/>
          <w:lang w:val="sr-Cyrl-RS"/>
        </w:rPr>
        <w:t xml:space="preserve"> </w:t>
      </w:r>
      <w:r w:rsidR="00B743BE" w:rsidRPr="00B743BE">
        <w:rPr>
          <w:rFonts w:ascii="Times New Roman" w:hAnsi="Times New Roman" w:cs="Times New Roman"/>
          <w:sz w:val="24"/>
          <w:lang w:val="sr-Cyrl-RS"/>
        </w:rPr>
        <w:t xml:space="preserve">Општи циљ је допринос бољем систему јавних набавки у Србији, кроз унапређење интегритета, ефикасности, ефективности и правичности у процесу, употребом </w:t>
      </w:r>
      <w:r w:rsidR="004B7008">
        <w:rPr>
          <w:rFonts w:ascii="Times New Roman" w:hAnsi="Times New Roman" w:cs="Times New Roman"/>
          <w:sz w:val="24"/>
          <w:lang w:val="sr-Latn-RS"/>
        </w:rPr>
        <w:t>OCDS</w:t>
      </w:r>
      <w:r w:rsidR="00691029">
        <w:rPr>
          <w:rFonts w:ascii="Times New Roman" w:hAnsi="Times New Roman" w:cs="Times New Roman"/>
          <w:sz w:val="24"/>
          <w:lang w:val="sr-Cyrl-RS"/>
        </w:rPr>
        <w:t xml:space="preserve"> стандарда</w:t>
      </w:r>
      <w:r w:rsidR="00B743BE" w:rsidRPr="00B743BE">
        <w:rPr>
          <w:rFonts w:ascii="Times New Roman" w:hAnsi="Times New Roman" w:cs="Times New Roman"/>
          <w:sz w:val="24"/>
          <w:lang w:val="sr-Latn-RS"/>
        </w:rPr>
        <w:t xml:space="preserve"> </w:t>
      </w:r>
      <w:r w:rsidR="00B743BE" w:rsidRPr="00B743BE">
        <w:rPr>
          <w:rFonts w:ascii="Times New Roman" w:hAnsi="Times New Roman" w:cs="Times New Roman"/>
          <w:sz w:val="24"/>
          <w:lang w:val="sr-Cyrl-RS"/>
        </w:rPr>
        <w:t>и кроз стимулисање употребе новонасталих скупова отворених података у јавним набавкама</w:t>
      </w:r>
      <w:r w:rsidR="00B743BE">
        <w:rPr>
          <w:rFonts w:ascii="Times New Roman" w:hAnsi="Times New Roman" w:cs="Times New Roman"/>
          <w:sz w:val="24"/>
          <w:lang w:val="sr-Cyrl-RS"/>
        </w:rPr>
        <w:t>.</w:t>
      </w:r>
      <w:r w:rsidR="00A56D56">
        <w:rPr>
          <w:rFonts w:ascii="Times New Roman" w:hAnsi="Times New Roman" w:cs="Times New Roman"/>
          <w:sz w:val="24"/>
          <w:lang w:val="sr-Cyrl-RS"/>
        </w:rPr>
        <w:t xml:space="preserve"> Управа за јавне набавке наставиће даље активности на реализацији пројеката везаних за отворене податке и у наредном периоду.</w:t>
      </w:r>
    </w:p>
    <w:p w14:paraId="322737D8" w14:textId="77777777" w:rsidR="002362FF" w:rsidRPr="00FF54AF" w:rsidRDefault="00B47E65" w:rsidP="002362FF">
      <w:pPr>
        <w:ind w:left="-142"/>
        <w:jc w:val="both"/>
        <w:rPr>
          <w:rFonts w:ascii="Times New Roman" w:hAnsi="Times New Roman" w:cs="Times New Roman"/>
          <w:sz w:val="24"/>
          <w:szCs w:val="24"/>
        </w:rPr>
      </w:pPr>
      <w:r w:rsidRPr="00FF54AF">
        <w:rPr>
          <w:rFonts w:ascii="Times New Roman" w:eastAsia="Times New Roman" w:hAnsi="Times New Roman" w:cs="Times New Roman"/>
          <w:sz w:val="24"/>
          <w:szCs w:val="24"/>
        </w:rPr>
        <w:t>Учешће преговарачког поступка без објављивања позива за подношење понуда износило је 3% што је</w:t>
      </w:r>
      <w:r w:rsidR="00712500" w:rsidRPr="00FF54AF">
        <w:rPr>
          <w:rFonts w:ascii="Times New Roman" w:eastAsia="Times New Roman" w:hAnsi="Times New Roman" w:cs="Times New Roman"/>
          <w:sz w:val="24"/>
          <w:szCs w:val="24"/>
          <w:lang w:val="sr-Cyrl-CS"/>
        </w:rPr>
        <w:t xml:space="preserve"> наставак тренда</w:t>
      </w:r>
      <w:r w:rsidR="00712500" w:rsidRPr="00FF54AF">
        <w:rPr>
          <w:rFonts w:ascii="Times New Roman" w:eastAsia="Times New Roman" w:hAnsi="Times New Roman" w:cs="Times New Roman"/>
          <w:sz w:val="24"/>
          <w:szCs w:val="24"/>
        </w:rPr>
        <w:t xml:space="preserve"> </w:t>
      </w:r>
      <w:r w:rsidR="00712500" w:rsidRPr="00FF54AF">
        <w:rPr>
          <w:rFonts w:ascii="Times New Roman" w:eastAsia="Times New Roman" w:hAnsi="Times New Roman" w:cs="Times New Roman"/>
          <w:sz w:val="24"/>
          <w:szCs w:val="24"/>
          <w:lang w:val="sr-Cyrl-CS"/>
        </w:rPr>
        <w:t xml:space="preserve">започетог </w:t>
      </w:r>
      <w:r w:rsidR="00712500" w:rsidRPr="00FF54AF">
        <w:rPr>
          <w:rFonts w:ascii="Times New Roman" w:eastAsia="Times New Roman" w:hAnsi="Times New Roman" w:cs="Times New Roman"/>
          <w:sz w:val="24"/>
          <w:szCs w:val="24"/>
        </w:rPr>
        <w:t>2014</w:t>
      </w:r>
      <w:r w:rsidRPr="00FF54AF">
        <w:rPr>
          <w:rFonts w:ascii="Times New Roman" w:eastAsia="Times New Roman" w:hAnsi="Times New Roman" w:cs="Times New Roman"/>
          <w:sz w:val="24"/>
          <w:szCs w:val="24"/>
        </w:rPr>
        <w:t xml:space="preserve">. године.  </w:t>
      </w:r>
    </w:p>
    <w:p w14:paraId="259620BA" w14:textId="67497F37" w:rsidR="00137E10" w:rsidRPr="00FF54AF" w:rsidRDefault="00207B68" w:rsidP="00137E10">
      <w:pPr>
        <w:ind w:left="-142"/>
        <w:jc w:val="both"/>
        <w:rPr>
          <w:rFonts w:ascii="Times New Roman" w:hAnsi="Times New Roman" w:cs="Times New Roman"/>
          <w:color w:val="FF0000"/>
          <w:sz w:val="24"/>
          <w:szCs w:val="24"/>
        </w:rPr>
      </w:pPr>
      <w:r w:rsidRPr="00FF54AF">
        <w:rPr>
          <w:rFonts w:ascii="Times New Roman" w:eastAsia="Times New Roman" w:hAnsi="Times New Roman" w:cs="Times New Roman"/>
          <w:color w:val="000000" w:themeColor="text1"/>
          <w:sz w:val="24"/>
          <w:szCs w:val="24"/>
        </w:rPr>
        <w:t>У  првом полугодишту 201</w:t>
      </w:r>
      <w:r w:rsidR="008B7A28" w:rsidRPr="00FF54AF">
        <w:rPr>
          <w:rFonts w:ascii="Times New Roman" w:eastAsia="Times New Roman" w:hAnsi="Times New Roman" w:cs="Times New Roman"/>
          <w:color w:val="000000" w:themeColor="text1"/>
          <w:sz w:val="24"/>
          <w:szCs w:val="24"/>
          <w:lang w:val="sr-Cyrl-RS"/>
        </w:rPr>
        <w:t>9</w:t>
      </w:r>
      <w:r w:rsidRPr="00FF54AF">
        <w:rPr>
          <w:rFonts w:ascii="Times New Roman" w:eastAsia="Times New Roman" w:hAnsi="Times New Roman" w:cs="Times New Roman"/>
          <w:color w:val="000000" w:themeColor="text1"/>
          <w:sz w:val="24"/>
          <w:szCs w:val="24"/>
        </w:rPr>
        <w:t xml:space="preserve">. године УЈН је дала </w:t>
      </w:r>
      <w:r w:rsidR="008B7A28" w:rsidRPr="00FF54AF">
        <w:rPr>
          <w:rFonts w:ascii="Times New Roman" w:eastAsia="Times New Roman" w:hAnsi="Times New Roman" w:cs="Times New Roman"/>
          <w:color w:val="000000" w:themeColor="text1"/>
          <w:sz w:val="24"/>
          <w:szCs w:val="24"/>
          <w:lang w:val="sr-Cyrl-RS"/>
        </w:rPr>
        <w:t>1.065</w:t>
      </w:r>
      <w:r w:rsidR="00631E02" w:rsidRPr="00FF54AF">
        <w:rPr>
          <w:rFonts w:ascii="Times New Roman" w:eastAsia="Times New Roman" w:hAnsi="Times New Roman" w:cs="Times New Roman"/>
          <w:color w:val="000000" w:themeColor="text1"/>
          <w:sz w:val="24"/>
          <w:szCs w:val="24"/>
        </w:rPr>
        <w:t xml:space="preserve"> позитивн</w:t>
      </w:r>
      <w:r w:rsidR="00541C4A">
        <w:rPr>
          <w:rFonts w:ascii="Times New Roman" w:eastAsia="Times New Roman" w:hAnsi="Times New Roman" w:cs="Times New Roman"/>
          <w:color w:val="000000" w:themeColor="text1"/>
          <w:sz w:val="24"/>
          <w:szCs w:val="24"/>
          <w:lang w:val="sr-Cyrl-RS"/>
        </w:rPr>
        <w:t>их</w:t>
      </w:r>
      <w:r w:rsidR="00631E02" w:rsidRPr="00FF54AF">
        <w:rPr>
          <w:rFonts w:ascii="Times New Roman" w:eastAsia="Times New Roman" w:hAnsi="Times New Roman" w:cs="Times New Roman"/>
          <w:color w:val="000000" w:themeColor="text1"/>
          <w:sz w:val="24"/>
          <w:szCs w:val="24"/>
        </w:rPr>
        <w:t xml:space="preserve"> и </w:t>
      </w:r>
      <w:r w:rsidR="008B7A28" w:rsidRPr="00FF54AF">
        <w:rPr>
          <w:rFonts w:ascii="Times New Roman" w:eastAsia="Times New Roman" w:hAnsi="Times New Roman" w:cs="Times New Roman"/>
          <w:color w:val="000000" w:themeColor="text1"/>
          <w:sz w:val="24"/>
          <w:szCs w:val="24"/>
          <w:lang w:val="sr-Cyrl-RS"/>
        </w:rPr>
        <w:t>36</w:t>
      </w:r>
      <w:r w:rsidR="00631E02" w:rsidRPr="00FF54AF">
        <w:rPr>
          <w:rFonts w:ascii="Times New Roman" w:eastAsia="Times New Roman" w:hAnsi="Times New Roman" w:cs="Times New Roman"/>
          <w:color w:val="000000" w:themeColor="text1"/>
          <w:sz w:val="24"/>
          <w:szCs w:val="24"/>
        </w:rPr>
        <w:t xml:space="preserve"> негативн</w:t>
      </w:r>
      <w:r w:rsidR="00541C4A">
        <w:rPr>
          <w:rFonts w:ascii="Times New Roman" w:eastAsia="Times New Roman" w:hAnsi="Times New Roman" w:cs="Times New Roman"/>
          <w:color w:val="000000" w:themeColor="text1"/>
          <w:sz w:val="24"/>
          <w:szCs w:val="24"/>
          <w:lang w:val="sr-Cyrl-RS"/>
        </w:rPr>
        <w:t>их</w:t>
      </w:r>
      <w:r w:rsidRPr="00FF54AF">
        <w:rPr>
          <w:rFonts w:ascii="Times New Roman" w:eastAsia="Times New Roman" w:hAnsi="Times New Roman" w:cs="Times New Roman"/>
          <w:color w:val="000000" w:themeColor="text1"/>
          <w:sz w:val="24"/>
          <w:szCs w:val="24"/>
        </w:rPr>
        <w:t xml:space="preserve"> мишљења за преговарачки поступак без објављивања позива за подношење понуда</w:t>
      </w:r>
      <w:r w:rsidRPr="00FF54AF">
        <w:rPr>
          <w:rFonts w:ascii="Times New Roman" w:eastAsia="Times New Roman" w:hAnsi="Times New Roman" w:cs="Times New Roman"/>
          <w:sz w:val="24"/>
          <w:szCs w:val="24"/>
        </w:rPr>
        <w:t xml:space="preserve">. </w:t>
      </w:r>
    </w:p>
    <w:p w14:paraId="0B724F73" w14:textId="2E3BD762" w:rsidR="00B47E65" w:rsidRPr="00FF54AF" w:rsidRDefault="00B47E65" w:rsidP="000813F3">
      <w:pPr>
        <w:ind w:left="-142"/>
        <w:jc w:val="both"/>
        <w:rPr>
          <w:rFonts w:ascii="Times New Roman" w:hAnsi="Times New Roman" w:cs="Times New Roman"/>
          <w:color w:val="FF0000"/>
          <w:sz w:val="24"/>
          <w:szCs w:val="24"/>
        </w:rPr>
      </w:pPr>
      <w:r w:rsidRPr="00FF54AF">
        <w:rPr>
          <w:rFonts w:ascii="Times New Roman" w:hAnsi="Times New Roman" w:cs="Times New Roman"/>
          <w:color w:val="000000" w:themeColor="text1"/>
          <w:sz w:val="24"/>
          <w:szCs w:val="24"/>
        </w:rPr>
        <w:t xml:space="preserve">Набавке на које се </w:t>
      </w:r>
      <w:r w:rsidR="00640496" w:rsidRPr="00FF54AF">
        <w:rPr>
          <w:rFonts w:ascii="Times New Roman" w:hAnsi="Times New Roman" w:cs="Times New Roman"/>
          <w:color w:val="000000" w:themeColor="text1"/>
          <w:sz w:val="24"/>
          <w:szCs w:val="24"/>
        </w:rPr>
        <w:t>ЗЈН</w:t>
      </w:r>
      <w:r w:rsidR="00640496" w:rsidRPr="00FF54AF">
        <w:rPr>
          <w:rFonts w:ascii="Times New Roman" w:hAnsi="Times New Roman" w:cs="Times New Roman"/>
          <w:b/>
          <w:color w:val="000000" w:themeColor="text1"/>
          <w:sz w:val="24"/>
          <w:szCs w:val="24"/>
        </w:rPr>
        <w:t xml:space="preserve"> </w:t>
      </w:r>
      <w:r w:rsidRPr="00FF54AF">
        <w:rPr>
          <w:rFonts w:ascii="Times New Roman" w:hAnsi="Times New Roman" w:cs="Times New Roman"/>
          <w:color w:val="000000" w:themeColor="text1"/>
          <w:sz w:val="24"/>
          <w:szCs w:val="24"/>
        </w:rPr>
        <w:t xml:space="preserve">није примењивао </w:t>
      </w:r>
      <w:r w:rsidRPr="00FF54AF">
        <w:rPr>
          <w:rFonts w:ascii="Times New Roman" w:hAnsi="Times New Roman" w:cs="Times New Roman"/>
          <w:color w:val="000000" w:themeColor="text1"/>
          <w:sz w:val="24"/>
          <w:szCs w:val="24"/>
          <w:lang w:val="sr"/>
        </w:rPr>
        <w:t>учествовале су</w:t>
      </w:r>
      <w:r w:rsidRPr="00FF54AF">
        <w:rPr>
          <w:rFonts w:ascii="Times New Roman" w:hAnsi="Times New Roman" w:cs="Times New Roman"/>
          <w:color w:val="000000" w:themeColor="text1"/>
          <w:sz w:val="24"/>
          <w:szCs w:val="24"/>
        </w:rPr>
        <w:t xml:space="preserve"> у ук</w:t>
      </w:r>
      <w:r w:rsidR="00712500" w:rsidRPr="00FF54AF">
        <w:rPr>
          <w:rFonts w:ascii="Times New Roman" w:hAnsi="Times New Roman" w:cs="Times New Roman"/>
          <w:color w:val="000000" w:themeColor="text1"/>
          <w:sz w:val="24"/>
          <w:szCs w:val="24"/>
        </w:rPr>
        <w:t>упној уговореној вредности са 2</w:t>
      </w:r>
      <w:r w:rsidR="008B7A28" w:rsidRPr="00FF54AF">
        <w:rPr>
          <w:rFonts w:ascii="Times New Roman" w:hAnsi="Times New Roman" w:cs="Times New Roman"/>
          <w:color w:val="000000" w:themeColor="text1"/>
          <w:sz w:val="24"/>
          <w:szCs w:val="24"/>
          <w:lang w:val="sr-Cyrl-RS"/>
        </w:rPr>
        <w:t>9</w:t>
      </w:r>
      <w:r w:rsidR="00712500" w:rsidRPr="00FF54AF">
        <w:rPr>
          <w:rFonts w:ascii="Times New Roman" w:hAnsi="Times New Roman" w:cs="Times New Roman"/>
          <w:color w:val="000000" w:themeColor="text1"/>
          <w:sz w:val="24"/>
          <w:szCs w:val="24"/>
        </w:rPr>
        <w:t>%</w:t>
      </w:r>
      <w:r w:rsidR="00640496" w:rsidRPr="00FF54AF">
        <w:rPr>
          <w:rFonts w:ascii="Times New Roman" w:hAnsi="Times New Roman" w:cs="Times New Roman"/>
          <w:color w:val="000000" w:themeColor="text1"/>
          <w:sz w:val="24"/>
          <w:szCs w:val="24"/>
          <w:lang w:val="sr-Cyrl-RS"/>
        </w:rPr>
        <w:t>,</w:t>
      </w:r>
      <w:r w:rsidR="00712500" w:rsidRPr="00FF54AF">
        <w:rPr>
          <w:rFonts w:ascii="Times New Roman" w:hAnsi="Times New Roman" w:cs="Times New Roman"/>
          <w:color w:val="000000" w:themeColor="text1"/>
          <w:sz w:val="24"/>
          <w:szCs w:val="24"/>
        </w:rPr>
        <w:t xml:space="preserve"> што </w:t>
      </w:r>
      <w:r w:rsidR="00640496" w:rsidRPr="00FF54AF">
        <w:rPr>
          <w:rFonts w:ascii="Times New Roman" w:hAnsi="Times New Roman" w:cs="Times New Roman"/>
          <w:color w:val="000000" w:themeColor="text1"/>
          <w:sz w:val="24"/>
          <w:szCs w:val="24"/>
          <w:lang w:val="sr-Cyrl-RS"/>
        </w:rPr>
        <w:t xml:space="preserve">представља </w:t>
      </w:r>
      <w:r w:rsidR="00242A48" w:rsidRPr="00FF54AF">
        <w:rPr>
          <w:rFonts w:ascii="Times New Roman" w:hAnsi="Times New Roman" w:cs="Times New Roman"/>
          <w:color w:val="000000" w:themeColor="text1"/>
          <w:sz w:val="24"/>
          <w:szCs w:val="24"/>
          <w:lang w:val="sr-Cyrl-RS"/>
        </w:rPr>
        <w:t>незнатно повећање</w:t>
      </w:r>
      <w:r w:rsidR="00640496" w:rsidRPr="00FF54AF">
        <w:rPr>
          <w:rFonts w:ascii="Times New Roman" w:hAnsi="Times New Roman" w:cs="Times New Roman"/>
          <w:color w:val="000000" w:themeColor="text1"/>
          <w:sz w:val="24"/>
          <w:szCs w:val="24"/>
          <w:lang w:val="sr-Cyrl-RS"/>
        </w:rPr>
        <w:t xml:space="preserve"> у односу на </w:t>
      </w:r>
      <w:r w:rsidR="00640496" w:rsidRPr="00FF54AF">
        <w:rPr>
          <w:rFonts w:ascii="Times New Roman" w:hAnsi="Times New Roman" w:cs="Times New Roman"/>
          <w:color w:val="000000" w:themeColor="text1"/>
          <w:sz w:val="24"/>
          <w:szCs w:val="24"/>
        </w:rPr>
        <w:t>ниво</w:t>
      </w:r>
      <w:r w:rsidR="009D5ACE" w:rsidRPr="00FF54AF">
        <w:rPr>
          <w:rFonts w:ascii="Times New Roman" w:hAnsi="Times New Roman" w:cs="Times New Roman"/>
          <w:color w:val="000000" w:themeColor="text1"/>
          <w:sz w:val="24"/>
          <w:szCs w:val="24"/>
        </w:rPr>
        <w:t xml:space="preserve"> из претходне године. </w:t>
      </w:r>
      <w:r w:rsidRPr="00FF54AF">
        <w:rPr>
          <w:rFonts w:ascii="Times New Roman" w:eastAsia="Times New Roman" w:hAnsi="Times New Roman" w:cs="Times New Roman"/>
          <w:sz w:val="24"/>
          <w:szCs w:val="24"/>
        </w:rPr>
        <w:t xml:space="preserve">УЈН </w:t>
      </w:r>
      <w:r w:rsidRPr="00FF54AF">
        <w:rPr>
          <w:rFonts w:ascii="Times New Roman" w:eastAsia="Times New Roman" w:hAnsi="Times New Roman" w:cs="Times New Roman"/>
          <w:sz w:val="24"/>
          <w:szCs w:val="24"/>
        </w:rPr>
        <w:lastRenderedPageBreak/>
        <w:t xml:space="preserve">ће </w:t>
      </w:r>
      <w:r w:rsidR="00640496" w:rsidRPr="00FF54AF">
        <w:rPr>
          <w:rFonts w:ascii="Times New Roman" w:eastAsia="Times New Roman" w:hAnsi="Times New Roman" w:cs="Times New Roman"/>
          <w:sz w:val="24"/>
          <w:szCs w:val="24"/>
          <w:lang w:val="sr-Cyrl-RS"/>
        </w:rPr>
        <w:t>и у</w:t>
      </w:r>
      <w:r w:rsidR="00640496" w:rsidRPr="00FF54AF">
        <w:rPr>
          <w:rFonts w:ascii="Times New Roman" w:eastAsia="Times New Roman" w:hAnsi="Times New Roman" w:cs="Times New Roman"/>
          <w:sz w:val="24"/>
          <w:szCs w:val="24"/>
        </w:rPr>
        <w:t xml:space="preserve"> наредном периоду </w:t>
      </w:r>
      <w:r w:rsidRPr="00FF54AF">
        <w:rPr>
          <w:rFonts w:ascii="Times New Roman" w:eastAsia="Times New Roman" w:hAnsi="Times New Roman" w:cs="Times New Roman"/>
          <w:sz w:val="24"/>
          <w:szCs w:val="24"/>
        </w:rPr>
        <w:t>наставити да прати основаност примене изузетака</w:t>
      </w:r>
      <w:r w:rsidR="00640496" w:rsidRPr="00FF54AF">
        <w:rPr>
          <w:rFonts w:ascii="Times New Roman" w:eastAsia="Times New Roman" w:hAnsi="Times New Roman" w:cs="Times New Roman"/>
          <w:sz w:val="24"/>
          <w:szCs w:val="24"/>
          <w:lang w:val="sr-Cyrl-RS"/>
        </w:rPr>
        <w:t>. Како и код ових</w:t>
      </w:r>
      <w:r w:rsidRPr="00FF54AF">
        <w:rPr>
          <w:rFonts w:ascii="Times New Roman" w:eastAsia="Times New Roman" w:hAnsi="Times New Roman" w:cs="Times New Roman"/>
          <w:sz w:val="24"/>
          <w:szCs w:val="24"/>
        </w:rPr>
        <w:t xml:space="preserve"> набавки</w:t>
      </w:r>
      <w:r w:rsidR="00640496" w:rsidRPr="00FF54AF">
        <w:rPr>
          <w:rFonts w:ascii="Times New Roman" w:eastAsia="Times New Roman" w:hAnsi="Times New Roman" w:cs="Times New Roman"/>
          <w:sz w:val="24"/>
          <w:szCs w:val="24"/>
          <w:lang w:val="sr-Cyrl-RS"/>
        </w:rPr>
        <w:t xml:space="preserve"> наручиоци имају обавезу да</w:t>
      </w:r>
      <w:r w:rsidRPr="00FF54AF">
        <w:rPr>
          <w:rFonts w:ascii="Times New Roman" w:eastAsia="Times New Roman" w:hAnsi="Times New Roman" w:cs="Times New Roman"/>
          <w:sz w:val="24"/>
          <w:szCs w:val="24"/>
        </w:rPr>
        <w:t xml:space="preserve"> обезбеде примену основних начела јавних набавки</w:t>
      </w:r>
      <w:r w:rsidR="00640496" w:rsidRPr="00FF54AF">
        <w:rPr>
          <w:rFonts w:ascii="Times New Roman" w:eastAsia="Times New Roman" w:hAnsi="Times New Roman" w:cs="Times New Roman"/>
          <w:sz w:val="24"/>
          <w:szCs w:val="24"/>
          <w:lang w:val="sr-Cyrl-RS"/>
        </w:rPr>
        <w:t xml:space="preserve">, потребно је обезбедити ефикасну контролу </w:t>
      </w:r>
      <w:r w:rsidR="00CC7A36" w:rsidRPr="00FF54AF">
        <w:rPr>
          <w:rFonts w:ascii="Times New Roman" w:eastAsia="Times New Roman" w:hAnsi="Times New Roman" w:cs="Times New Roman"/>
          <w:sz w:val="24"/>
          <w:szCs w:val="24"/>
          <w:lang w:val="sr-Cyrl-RS"/>
        </w:rPr>
        <w:t>њиховог спровођења,</w:t>
      </w:r>
      <w:r w:rsidR="00640496" w:rsidRPr="00FF54AF">
        <w:rPr>
          <w:rFonts w:ascii="Times New Roman" w:eastAsia="Times New Roman" w:hAnsi="Times New Roman" w:cs="Times New Roman"/>
          <w:sz w:val="24"/>
          <w:szCs w:val="24"/>
          <w:lang w:val="sr-Cyrl-RS"/>
        </w:rPr>
        <w:t xml:space="preserve"> у коју ће бити </w:t>
      </w:r>
      <w:r w:rsidRPr="00FF54AF">
        <w:rPr>
          <w:rFonts w:ascii="Times New Roman" w:eastAsia="Times New Roman" w:hAnsi="Times New Roman" w:cs="Times New Roman"/>
          <w:sz w:val="24"/>
          <w:szCs w:val="24"/>
        </w:rPr>
        <w:t>укључ</w:t>
      </w:r>
      <w:r w:rsidR="00CC7A36" w:rsidRPr="00FF54AF">
        <w:rPr>
          <w:rFonts w:ascii="Times New Roman" w:eastAsia="Times New Roman" w:hAnsi="Times New Roman" w:cs="Times New Roman"/>
          <w:sz w:val="24"/>
          <w:szCs w:val="24"/>
          <w:lang w:val="sr-Cyrl-RS"/>
        </w:rPr>
        <w:t>е</w:t>
      </w:r>
      <w:r w:rsidR="00640496" w:rsidRPr="00FF54AF">
        <w:rPr>
          <w:rFonts w:ascii="Times New Roman" w:eastAsia="Times New Roman" w:hAnsi="Times New Roman" w:cs="Times New Roman"/>
          <w:sz w:val="24"/>
          <w:szCs w:val="24"/>
          <w:lang w:val="sr-Cyrl-RS"/>
        </w:rPr>
        <w:t>не</w:t>
      </w:r>
      <w:r w:rsidRPr="00FF54AF">
        <w:rPr>
          <w:rFonts w:ascii="Times New Roman" w:eastAsia="Times New Roman" w:hAnsi="Times New Roman" w:cs="Times New Roman"/>
          <w:sz w:val="24"/>
          <w:szCs w:val="24"/>
        </w:rPr>
        <w:t xml:space="preserve"> и остале надлежне институције. </w:t>
      </w:r>
    </w:p>
    <w:p w14:paraId="3B5E9404" w14:textId="3594B3B0" w:rsidR="000541BF" w:rsidRPr="00FF54AF" w:rsidRDefault="00B47E65" w:rsidP="000541BF">
      <w:pPr>
        <w:ind w:left="-142"/>
        <w:jc w:val="both"/>
        <w:rPr>
          <w:rFonts w:ascii="Times New Roman" w:eastAsia="Times New Roman" w:hAnsi="Times New Roman" w:cs="Times New Roman"/>
          <w:color w:val="000000" w:themeColor="text1"/>
          <w:sz w:val="24"/>
          <w:szCs w:val="24"/>
        </w:rPr>
      </w:pPr>
      <w:r w:rsidRPr="00FF54AF">
        <w:rPr>
          <w:rFonts w:ascii="Times New Roman" w:eastAsia="Times New Roman" w:hAnsi="Times New Roman" w:cs="Times New Roman"/>
          <w:color w:val="000000" w:themeColor="text1"/>
          <w:sz w:val="24"/>
          <w:szCs w:val="24"/>
        </w:rPr>
        <w:t xml:space="preserve">У </w:t>
      </w:r>
      <w:r w:rsidR="00640496" w:rsidRPr="00FF54AF">
        <w:rPr>
          <w:rFonts w:ascii="Times New Roman" w:eastAsia="Times New Roman" w:hAnsi="Times New Roman" w:cs="Times New Roman"/>
          <w:color w:val="000000" w:themeColor="text1"/>
          <w:sz w:val="24"/>
          <w:szCs w:val="24"/>
          <w:lang w:val="sr-Cyrl-RS"/>
        </w:rPr>
        <w:t xml:space="preserve">посматраном периоду </w:t>
      </w:r>
      <w:r w:rsidR="009D5ACE" w:rsidRPr="00FF54AF">
        <w:rPr>
          <w:rFonts w:ascii="Times New Roman" w:eastAsia="Times New Roman" w:hAnsi="Times New Roman" w:cs="Times New Roman"/>
          <w:color w:val="000000" w:themeColor="text1"/>
          <w:sz w:val="24"/>
          <w:szCs w:val="24"/>
        </w:rPr>
        <w:t xml:space="preserve">настављен је </w:t>
      </w:r>
      <w:r w:rsidR="00640496" w:rsidRPr="00FF54AF">
        <w:rPr>
          <w:rFonts w:ascii="Times New Roman" w:eastAsia="Times New Roman" w:hAnsi="Times New Roman" w:cs="Times New Roman"/>
          <w:color w:val="000000" w:themeColor="text1"/>
          <w:sz w:val="24"/>
          <w:szCs w:val="24"/>
          <w:lang w:val="sr-Cyrl-RS"/>
        </w:rPr>
        <w:t xml:space="preserve">тренд </w:t>
      </w:r>
      <w:r w:rsidR="009D5ACE" w:rsidRPr="00FF54AF">
        <w:rPr>
          <w:rFonts w:ascii="Times New Roman" w:eastAsia="Times New Roman" w:hAnsi="Times New Roman" w:cs="Times New Roman"/>
          <w:color w:val="000000" w:themeColor="text1"/>
          <w:sz w:val="24"/>
          <w:szCs w:val="24"/>
        </w:rPr>
        <w:t>раст</w:t>
      </w:r>
      <w:r w:rsidR="009624C3" w:rsidRPr="00FF54AF">
        <w:rPr>
          <w:rFonts w:ascii="Times New Roman" w:eastAsia="Times New Roman" w:hAnsi="Times New Roman" w:cs="Times New Roman"/>
          <w:color w:val="000000" w:themeColor="text1"/>
          <w:sz w:val="24"/>
          <w:szCs w:val="24"/>
          <w:lang w:val="sr-Cyrl-RS"/>
        </w:rPr>
        <w:t>а</w:t>
      </w:r>
      <w:r w:rsidR="009D5ACE" w:rsidRPr="00FF54AF">
        <w:rPr>
          <w:rFonts w:ascii="Times New Roman" w:eastAsia="Times New Roman" w:hAnsi="Times New Roman" w:cs="Times New Roman"/>
          <w:color w:val="000000" w:themeColor="text1"/>
          <w:sz w:val="24"/>
          <w:szCs w:val="24"/>
        </w:rPr>
        <w:t xml:space="preserve"> примене </w:t>
      </w:r>
      <w:r w:rsidRPr="00FF54AF">
        <w:rPr>
          <w:rFonts w:ascii="Times New Roman" w:eastAsia="Times New Roman" w:hAnsi="Times New Roman" w:cs="Times New Roman"/>
          <w:color w:val="000000" w:themeColor="text1"/>
          <w:sz w:val="24"/>
          <w:szCs w:val="24"/>
        </w:rPr>
        <w:t xml:space="preserve">оквирних споразума. </w:t>
      </w:r>
      <w:r w:rsidR="00640496" w:rsidRPr="00FF54AF">
        <w:rPr>
          <w:rFonts w:ascii="Times New Roman" w:eastAsia="Times New Roman" w:hAnsi="Times New Roman" w:cs="Times New Roman"/>
          <w:color w:val="000000" w:themeColor="text1"/>
          <w:sz w:val="24"/>
          <w:szCs w:val="24"/>
          <w:lang w:val="sr-Cyrl-RS"/>
        </w:rPr>
        <w:t>У току првог полугодишта 201</w:t>
      </w:r>
      <w:r w:rsidR="008B7A28" w:rsidRPr="00FF54AF">
        <w:rPr>
          <w:rFonts w:ascii="Times New Roman" w:eastAsia="Times New Roman" w:hAnsi="Times New Roman" w:cs="Times New Roman"/>
          <w:color w:val="000000" w:themeColor="text1"/>
          <w:sz w:val="24"/>
          <w:szCs w:val="24"/>
          <w:lang w:val="sr-Cyrl-RS"/>
        </w:rPr>
        <w:t>9</w:t>
      </w:r>
      <w:r w:rsidR="00640496" w:rsidRPr="00FF54AF">
        <w:rPr>
          <w:rFonts w:ascii="Times New Roman" w:eastAsia="Times New Roman" w:hAnsi="Times New Roman" w:cs="Times New Roman"/>
          <w:color w:val="000000" w:themeColor="text1"/>
          <w:sz w:val="24"/>
          <w:szCs w:val="24"/>
          <w:lang w:val="sr-Cyrl-RS"/>
        </w:rPr>
        <w:t xml:space="preserve">. године </w:t>
      </w:r>
      <w:r w:rsidR="00640496" w:rsidRPr="00FF54AF">
        <w:rPr>
          <w:rFonts w:ascii="Times New Roman" w:eastAsia="Times New Roman" w:hAnsi="Times New Roman" w:cs="Times New Roman"/>
          <w:color w:val="auto"/>
          <w:sz w:val="24"/>
          <w:szCs w:val="24"/>
          <w:lang w:val="sr-Cyrl-RS"/>
        </w:rPr>
        <w:t>н</w:t>
      </w:r>
      <w:r w:rsidR="00B57D55" w:rsidRPr="00FF54AF">
        <w:rPr>
          <w:rFonts w:ascii="Times New Roman" w:eastAsia="Times New Roman" w:hAnsi="Times New Roman" w:cs="Times New Roman"/>
          <w:color w:val="auto"/>
          <w:sz w:val="24"/>
          <w:szCs w:val="24"/>
        </w:rPr>
        <w:t>а основу оквирних споразума закључено је</w:t>
      </w:r>
      <w:r w:rsidR="00B57D55" w:rsidRPr="00FF54AF">
        <w:rPr>
          <w:rFonts w:ascii="Times New Roman" w:eastAsia="Times New Roman" w:hAnsi="Times New Roman" w:cs="Times New Roman"/>
          <w:b/>
          <w:color w:val="auto"/>
          <w:sz w:val="24"/>
          <w:szCs w:val="24"/>
        </w:rPr>
        <w:t xml:space="preserve"> </w:t>
      </w:r>
      <w:r w:rsidR="00B57D55" w:rsidRPr="00FF54AF">
        <w:rPr>
          <w:rFonts w:ascii="Times New Roman" w:eastAsia="Times New Roman" w:hAnsi="Times New Roman" w:cs="Times New Roman"/>
          <w:color w:val="auto"/>
          <w:sz w:val="24"/>
          <w:szCs w:val="24"/>
        </w:rPr>
        <w:t>преко</w:t>
      </w:r>
      <w:r w:rsidR="0077128E" w:rsidRPr="00FF54AF">
        <w:rPr>
          <w:rFonts w:ascii="Times New Roman" w:eastAsia="Times New Roman" w:hAnsi="Times New Roman" w:cs="Times New Roman"/>
          <w:color w:val="auto"/>
          <w:sz w:val="24"/>
          <w:szCs w:val="24"/>
        </w:rPr>
        <w:t xml:space="preserve"> </w:t>
      </w:r>
      <w:r w:rsidR="008B7A28" w:rsidRPr="00FF54AF">
        <w:rPr>
          <w:rFonts w:ascii="Times New Roman" w:eastAsia="Times New Roman" w:hAnsi="Times New Roman" w:cs="Times New Roman"/>
          <w:color w:val="auto"/>
          <w:sz w:val="24"/>
          <w:szCs w:val="24"/>
          <w:lang w:val="sr-Cyrl-RS"/>
        </w:rPr>
        <w:t>седамна</w:t>
      </w:r>
      <w:r w:rsidR="0077128E" w:rsidRPr="00FF54AF">
        <w:rPr>
          <w:rFonts w:ascii="Times New Roman" w:eastAsia="Times New Roman" w:hAnsi="Times New Roman" w:cs="Times New Roman"/>
          <w:color w:val="auto"/>
          <w:sz w:val="24"/>
          <w:szCs w:val="24"/>
        </w:rPr>
        <w:t>ест</w:t>
      </w:r>
      <w:r w:rsidR="00B57D55" w:rsidRPr="00FF54AF">
        <w:rPr>
          <w:rFonts w:ascii="Times New Roman" w:eastAsia="Times New Roman" w:hAnsi="Times New Roman" w:cs="Times New Roman"/>
          <w:color w:val="auto"/>
          <w:sz w:val="24"/>
          <w:szCs w:val="24"/>
        </w:rPr>
        <w:t xml:space="preserve"> хиљада уговора</w:t>
      </w:r>
      <w:r w:rsidR="00172594" w:rsidRPr="00FF54AF">
        <w:rPr>
          <w:rFonts w:ascii="Times New Roman" w:eastAsia="Times New Roman" w:hAnsi="Times New Roman" w:cs="Times New Roman"/>
          <w:color w:val="auto"/>
          <w:sz w:val="24"/>
          <w:szCs w:val="24"/>
          <w:lang w:val="sr-Cyrl-RS"/>
        </w:rPr>
        <w:t xml:space="preserve">. Вредност ових уговора је за </w:t>
      </w:r>
      <w:r w:rsidR="00B57D55" w:rsidRPr="00FF54AF">
        <w:rPr>
          <w:rFonts w:ascii="Times New Roman" w:eastAsia="Times New Roman" w:hAnsi="Times New Roman" w:cs="Times New Roman"/>
          <w:color w:val="auto"/>
          <w:sz w:val="24"/>
          <w:szCs w:val="24"/>
        </w:rPr>
        <w:t xml:space="preserve"> </w:t>
      </w:r>
      <w:r w:rsidR="00F41950" w:rsidRPr="00FF54AF">
        <w:rPr>
          <w:rFonts w:ascii="Times New Roman" w:eastAsia="Times New Roman" w:hAnsi="Times New Roman" w:cs="Times New Roman"/>
          <w:color w:val="auto"/>
          <w:sz w:val="24"/>
          <w:szCs w:val="24"/>
          <w:lang w:val="sr-Cyrl-RS"/>
        </w:rPr>
        <w:t>49</w:t>
      </w:r>
      <w:r w:rsidR="00172594" w:rsidRPr="00FF54AF">
        <w:rPr>
          <w:rFonts w:ascii="Times New Roman" w:eastAsia="Times New Roman" w:hAnsi="Times New Roman" w:cs="Times New Roman"/>
          <w:color w:val="auto"/>
          <w:sz w:val="24"/>
          <w:szCs w:val="24"/>
        </w:rPr>
        <w:t xml:space="preserve">% већа </w:t>
      </w:r>
      <w:r w:rsidR="00172594" w:rsidRPr="00FF54AF">
        <w:rPr>
          <w:rFonts w:ascii="Times New Roman" w:eastAsia="Times New Roman" w:hAnsi="Times New Roman" w:cs="Times New Roman"/>
          <w:color w:val="auto"/>
          <w:sz w:val="24"/>
          <w:szCs w:val="24"/>
          <w:lang w:val="sr-Cyrl-RS"/>
        </w:rPr>
        <w:t>у односу на вредност уговора закључених у истом периоду претходне године.</w:t>
      </w:r>
      <w:r w:rsidR="0089536B" w:rsidRPr="00FF54AF">
        <w:rPr>
          <w:rFonts w:ascii="Times New Roman" w:eastAsia="Times New Roman" w:hAnsi="Times New Roman" w:cs="Times New Roman"/>
          <w:color w:val="auto"/>
          <w:sz w:val="24"/>
          <w:szCs w:val="24"/>
        </w:rPr>
        <w:t xml:space="preserve"> </w:t>
      </w:r>
      <w:r w:rsidR="00172594" w:rsidRPr="00FF54AF">
        <w:rPr>
          <w:rFonts w:ascii="Times New Roman" w:eastAsia="Times New Roman" w:hAnsi="Times New Roman" w:cs="Times New Roman"/>
          <w:color w:val="auto"/>
          <w:sz w:val="24"/>
          <w:szCs w:val="24"/>
          <w:lang w:val="sr-Cyrl-RS"/>
        </w:rPr>
        <w:t>Томе је свакако допринело промовисање употребе оквирних споразума</w:t>
      </w:r>
      <w:r w:rsidR="00CC7A36" w:rsidRPr="00FF54AF">
        <w:rPr>
          <w:rFonts w:ascii="Times New Roman" w:eastAsia="Times New Roman" w:hAnsi="Times New Roman" w:cs="Times New Roman"/>
          <w:color w:val="auto"/>
          <w:sz w:val="24"/>
          <w:szCs w:val="24"/>
          <w:lang w:val="sr-Cyrl-RS"/>
        </w:rPr>
        <w:t xml:space="preserve"> и модела конкурсних документација израђених за поједине предмете јавних набавки. </w:t>
      </w:r>
      <w:r w:rsidR="00172594" w:rsidRPr="00FF54AF">
        <w:rPr>
          <w:rFonts w:ascii="Times New Roman" w:eastAsia="Times New Roman" w:hAnsi="Times New Roman" w:cs="Times New Roman"/>
          <w:color w:val="auto"/>
          <w:sz w:val="24"/>
          <w:szCs w:val="24"/>
          <w:lang w:val="sr-Cyrl-RS"/>
        </w:rPr>
        <w:t xml:space="preserve">Као и у претходном периоду </w:t>
      </w:r>
      <w:r w:rsidR="00B57D55" w:rsidRPr="00FF54AF">
        <w:rPr>
          <w:rFonts w:ascii="Times New Roman" w:eastAsia="Times New Roman" w:hAnsi="Times New Roman" w:cs="Times New Roman"/>
          <w:color w:val="auto"/>
          <w:sz w:val="24"/>
          <w:szCs w:val="24"/>
        </w:rPr>
        <w:t xml:space="preserve">најзаступљенији предмети </w:t>
      </w:r>
      <w:r w:rsidR="00172594" w:rsidRPr="00FF54AF">
        <w:rPr>
          <w:rFonts w:ascii="Times New Roman" w:eastAsia="Times New Roman" w:hAnsi="Times New Roman" w:cs="Times New Roman"/>
          <w:color w:val="auto"/>
          <w:sz w:val="24"/>
          <w:szCs w:val="24"/>
          <w:lang w:val="sr-Cyrl-RS"/>
        </w:rPr>
        <w:t xml:space="preserve">јавних </w:t>
      </w:r>
      <w:r w:rsidR="00B57D55" w:rsidRPr="00FF54AF">
        <w:rPr>
          <w:rFonts w:ascii="Times New Roman" w:eastAsia="Times New Roman" w:hAnsi="Times New Roman" w:cs="Times New Roman"/>
          <w:color w:val="auto"/>
          <w:sz w:val="24"/>
          <w:szCs w:val="24"/>
        </w:rPr>
        <w:t xml:space="preserve">набавки </w:t>
      </w:r>
      <w:r w:rsidR="00172594" w:rsidRPr="00FF54AF">
        <w:rPr>
          <w:rFonts w:ascii="Times New Roman" w:eastAsia="Times New Roman" w:hAnsi="Times New Roman" w:cs="Times New Roman"/>
          <w:color w:val="auto"/>
          <w:sz w:val="24"/>
          <w:szCs w:val="24"/>
          <w:lang w:val="sr-Cyrl-RS"/>
        </w:rPr>
        <w:t xml:space="preserve">за које су закључени </w:t>
      </w:r>
      <w:r w:rsidR="00172594" w:rsidRPr="00FF54AF">
        <w:rPr>
          <w:rFonts w:ascii="Times New Roman" w:eastAsia="Times New Roman" w:hAnsi="Times New Roman" w:cs="Times New Roman"/>
          <w:color w:val="auto"/>
          <w:sz w:val="24"/>
          <w:szCs w:val="24"/>
        </w:rPr>
        <w:t xml:space="preserve">оквирни споразуми </w:t>
      </w:r>
      <w:r w:rsidR="00B57D55" w:rsidRPr="00FF54AF">
        <w:rPr>
          <w:rFonts w:ascii="Times New Roman" w:eastAsia="Times New Roman" w:hAnsi="Times New Roman" w:cs="Times New Roman"/>
          <w:color w:val="auto"/>
          <w:sz w:val="24"/>
          <w:szCs w:val="24"/>
        </w:rPr>
        <w:t>били су: медицинска опрема, фармацеутски производи и производи за ли</w:t>
      </w:r>
      <w:r w:rsidR="00BF44C5" w:rsidRPr="00FF54AF">
        <w:rPr>
          <w:rFonts w:ascii="Times New Roman" w:eastAsia="Times New Roman" w:hAnsi="Times New Roman" w:cs="Times New Roman"/>
          <w:color w:val="auto"/>
          <w:sz w:val="24"/>
          <w:szCs w:val="24"/>
        </w:rPr>
        <w:t>чну негу</w:t>
      </w:r>
      <w:r w:rsidR="00172594" w:rsidRPr="00FF54AF">
        <w:rPr>
          <w:rFonts w:ascii="Times New Roman" w:eastAsia="Times New Roman" w:hAnsi="Times New Roman" w:cs="Times New Roman"/>
          <w:color w:val="auto"/>
          <w:sz w:val="24"/>
          <w:szCs w:val="24"/>
          <w:lang w:val="sr-Cyrl-RS"/>
        </w:rPr>
        <w:t>,</w:t>
      </w:r>
      <w:r w:rsidR="00BF44C5" w:rsidRPr="00FF54AF">
        <w:rPr>
          <w:rFonts w:ascii="Times New Roman" w:eastAsia="Times New Roman" w:hAnsi="Times New Roman" w:cs="Times New Roman"/>
          <w:color w:val="auto"/>
          <w:sz w:val="24"/>
          <w:szCs w:val="24"/>
        </w:rPr>
        <w:t xml:space="preserve"> кој</w:t>
      </w:r>
      <w:r w:rsidR="00E516FA">
        <w:rPr>
          <w:rFonts w:ascii="Times New Roman" w:eastAsia="Times New Roman" w:hAnsi="Times New Roman" w:cs="Times New Roman"/>
          <w:color w:val="auto"/>
          <w:sz w:val="24"/>
          <w:szCs w:val="24"/>
        </w:rPr>
        <w:t>и су чинили 57</w:t>
      </w:r>
      <w:r w:rsidR="00BF44C5" w:rsidRPr="00FF54AF">
        <w:rPr>
          <w:rFonts w:ascii="Times New Roman" w:eastAsia="Times New Roman" w:hAnsi="Times New Roman" w:cs="Times New Roman"/>
          <w:color w:val="auto"/>
          <w:sz w:val="24"/>
          <w:szCs w:val="24"/>
        </w:rPr>
        <w:t>%</w:t>
      </w:r>
      <w:r w:rsidR="00B57D55" w:rsidRPr="00FF54AF">
        <w:rPr>
          <w:rFonts w:ascii="Times New Roman" w:eastAsia="Times New Roman" w:hAnsi="Times New Roman" w:cs="Times New Roman"/>
          <w:color w:val="auto"/>
          <w:sz w:val="24"/>
          <w:szCs w:val="24"/>
        </w:rPr>
        <w:t xml:space="preserve"> вредности уговора закључених на основу оквирних споразума. </w:t>
      </w:r>
    </w:p>
    <w:p w14:paraId="366141DC" w14:textId="6AB50C8A" w:rsidR="004B4E30" w:rsidRPr="00FF54AF" w:rsidRDefault="00172594" w:rsidP="00CC7A36">
      <w:pPr>
        <w:ind w:left="-142"/>
        <w:jc w:val="both"/>
        <w:rPr>
          <w:rFonts w:ascii="Times New Roman" w:eastAsia="Times New Roman" w:hAnsi="Times New Roman" w:cs="Times New Roman"/>
          <w:color w:val="000000" w:themeColor="text1"/>
          <w:sz w:val="24"/>
          <w:szCs w:val="24"/>
        </w:rPr>
      </w:pPr>
      <w:r w:rsidRPr="00FF54AF">
        <w:rPr>
          <w:rFonts w:ascii="Times New Roman" w:eastAsia="Times New Roman" w:hAnsi="Times New Roman" w:cs="Times New Roman"/>
          <w:sz w:val="24"/>
          <w:szCs w:val="24"/>
          <w:lang w:val="sr-Cyrl-RS"/>
        </w:rPr>
        <w:t>Имајући у виду да о</w:t>
      </w:r>
      <w:r w:rsidR="00B960E8" w:rsidRPr="00FF54AF">
        <w:rPr>
          <w:rFonts w:ascii="Times New Roman" w:eastAsia="Times New Roman" w:hAnsi="Times New Roman" w:cs="Times New Roman"/>
          <w:sz w:val="24"/>
          <w:szCs w:val="24"/>
        </w:rPr>
        <w:t>квирни споразуми имају низ потенцијалних позитивних ефеката</w:t>
      </w:r>
      <w:r w:rsidRPr="00FF54AF">
        <w:rPr>
          <w:rFonts w:ascii="Times New Roman" w:eastAsia="Times New Roman" w:hAnsi="Times New Roman" w:cs="Times New Roman"/>
          <w:sz w:val="24"/>
          <w:szCs w:val="24"/>
          <w:lang w:val="sr-Cyrl-RS"/>
        </w:rPr>
        <w:t>,</w:t>
      </w:r>
      <w:r w:rsidR="00B960E8" w:rsidRPr="00FF54AF">
        <w:rPr>
          <w:rFonts w:ascii="Times New Roman" w:eastAsia="Times New Roman" w:hAnsi="Times New Roman" w:cs="Times New Roman"/>
          <w:sz w:val="24"/>
          <w:szCs w:val="24"/>
        </w:rPr>
        <w:t xml:space="preserve"> </w:t>
      </w:r>
      <w:r w:rsidR="00BF44C5" w:rsidRPr="00FF54AF">
        <w:rPr>
          <w:rFonts w:ascii="Times New Roman" w:eastAsia="Times New Roman" w:hAnsi="Times New Roman" w:cs="Times New Roman"/>
          <w:sz w:val="24"/>
          <w:szCs w:val="24"/>
        </w:rPr>
        <w:t>УЈН</w:t>
      </w:r>
      <w:r w:rsidRPr="00FF54AF">
        <w:rPr>
          <w:rFonts w:ascii="Times New Roman" w:eastAsia="Times New Roman" w:hAnsi="Times New Roman" w:cs="Times New Roman"/>
          <w:sz w:val="24"/>
          <w:szCs w:val="24"/>
          <w:lang w:val="sr-Cyrl-RS"/>
        </w:rPr>
        <w:t xml:space="preserve"> ће и</w:t>
      </w:r>
      <w:r w:rsidR="00BF44C5" w:rsidRPr="00FF54AF">
        <w:rPr>
          <w:rFonts w:ascii="Times New Roman" w:eastAsia="Times New Roman" w:hAnsi="Times New Roman" w:cs="Times New Roman"/>
          <w:sz w:val="24"/>
          <w:szCs w:val="24"/>
        </w:rPr>
        <w:t xml:space="preserve"> у 20</w:t>
      </w:r>
      <w:r w:rsidR="00BA5543" w:rsidRPr="00FF54AF">
        <w:rPr>
          <w:rFonts w:ascii="Times New Roman" w:eastAsia="Times New Roman" w:hAnsi="Times New Roman" w:cs="Times New Roman"/>
          <w:sz w:val="24"/>
          <w:szCs w:val="24"/>
          <w:lang w:val="sr-Cyrl-RS"/>
        </w:rPr>
        <w:t>20</w:t>
      </w:r>
      <w:r w:rsidR="00B960E8" w:rsidRPr="00FF54AF">
        <w:rPr>
          <w:rFonts w:ascii="Times New Roman" w:eastAsia="Times New Roman" w:hAnsi="Times New Roman" w:cs="Times New Roman"/>
          <w:sz w:val="24"/>
          <w:szCs w:val="24"/>
        </w:rPr>
        <w:t xml:space="preserve">. години </w:t>
      </w:r>
      <w:r w:rsidRPr="00FF54AF">
        <w:rPr>
          <w:rFonts w:ascii="Times New Roman" w:eastAsia="Times New Roman" w:hAnsi="Times New Roman" w:cs="Times New Roman"/>
          <w:sz w:val="24"/>
          <w:szCs w:val="24"/>
          <w:lang w:val="sr-Cyrl-RS"/>
        </w:rPr>
        <w:t xml:space="preserve">предузимати активности у циљу свеобухватнијег упознавања наручилаца са </w:t>
      </w:r>
      <w:r w:rsidR="00B960E8" w:rsidRPr="00FF54AF">
        <w:rPr>
          <w:rFonts w:ascii="Times New Roman" w:eastAsia="Times New Roman" w:hAnsi="Times New Roman" w:cs="Times New Roman"/>
          <w:sz w:val="24"/>
          <w:szCs w:val="24"/>
        </w:rPr>
        <w:t xml:space="preserve"> </w:t>
      </w:r>
      <w:r w:rsidRPr="00FF54AF">
        <w:rPr>
          <w:rFonts w:ascii="Times New Roman" w:eastAsia="Times New Roman" w:hAnsi="Times New Roman" w:cs="Times New Roman"/>
          <w:sz w:val="24"/>
          <w:szCs w:val="24"/>
          <w:lang w:val="sr-Cyrl-RS"/>
        </w:rPr>
        <w:t>могућностима примене оквирних споразума</w:t>
      </w:r>
      <w:r w:rsidR="00B960E8" w:rsidRPr="00FF54AF">
        <w:rPr>
          <w:rFonts w:ascii="Times New Roman" w:eastAsia="Times New Roman" w:hAnsi="Times New Roman" w:cs="Times New Roman"/>
          <w:sz w:val="24"/>
          <w:szCs w:val="24"/>
        </w:rPr>
        <w:t xml:space="preserve">. </w:t>
      </w:r>
      <w:r w:rsidR="00CC7A36" w:rsidRPr="00FF54AF">
        <w:rPr>
          <w:rFonts w:ascii="Times New Roman" w:eastAsia="Times New Roman" w:hAnsi="Times New Roman" w:cs="Times New Roman"/>
          <w:sz w:val="24"/>
          <w:szCs w:val="24"/>
          <w:lang w:val="sr-Cyrl-RS"/>
        </w:rPr>
        <w:t xml:space="preserve">На обукама које УЈН буде организовала биће обухваћена и питања која се тичу унапређења праксе примене оквирних споразума. </w:t>
      </w:r>
    </w:p>
    <w:p w14:paraId="4C2857AF" w14:textId="671FFB2B" w:rsidR="005F6A09" w:rsidRPr="00FF54AF" w:rsidRDefault="00CC7A36" w:rsidP="005F6A09">
      <w:pPr>
        <w:spacing w:after="0"/>
        <w:ind w:left="-142"/>
        <w:jc w:val="both"/>
        <w:rPr>
          <w:rFonts w:ascii="Times New Roman" w:eastAsia="Times New Roman" w:hAnsi="Times New Roman" w:cs="Times New Roman"/>
          <w:color w:val="000000" w:themeColor="text1"/>
          <w:sz w:val="24"/>
          <w:szCs w:val="24"/>
          <w:lang w:val="sr"/>
        </w:rPr>
      </w:pPr>
      <w:r w:rsidRPr="00FF54AF">
        <w:rPr>
          <w:rFonts w:ascii="Times New Roman" w:eastAsia="Times New Roman" w:hAnsi="Times New Roman" w:cs="Times New Roman"/>
          <w:sz w:val="24"/>
          <w:szCs w:val="24"/>
          <w:lang w:val="sr-Cyrl-RS"/>
        </w:rPr>
        <w:t xml:space="preserve">Примена критеријума </w:t>
      </w:r>
      <w:r w:rsidR="00B47E65" w:rsidRPr="00FF54AF">
        <w:rPr>
          <w:rFonts w:ascii="Times New Roman" w:eastAsia="Times New Roman" w:hAnsi="Times New Roman" w:cs="Times New Roman"/>
          <w:sz w:val="24"/>
          <w:szCs w:val="24"/>
        </w:rPr>
        <w:t>економски најповољније понуде (ЕНП)</w:t>
      </w:r>
      <w:r w:rsidRPr="00FF54AF">
        <w:rPr>
          <w:rFonts w:ascii="Times New Roman" w:eastAsia="Times New Roman" w:hAnsi="Times New Roman" w:cs="Times New Roman"/>
          <w:sz w:val="24"/>
          <w:szCs w:val="24"/>
          <w:lang w:val="sr-Cyrl-RS"/>
        </w:rPr>
        <w:t xml:space="preserve"> забележила је </w:t>
      </w:r>
      <w:r w:rsidR="00BA5543" w:rsidRPr="00FF54AF">
        <w:rPr>
          <w:rFonts w:ascii="Times New Roman" w:eastAsia="Times New Roman" w:hAnsi="Times New Roman" w:cs="Times New Roman"/>
          <w:sz w:val="24"/>
          <w:szCs w:val="24"/>
          <w:lang w:val="sr-Cyrl-RS"/>
        </w:rPr>
        <w:t>пад</w:t>
      </w:r>
      <w:r w:rsidRPr="00FF54AF">
        <w:rPr>
          <w:rFonts w:ascii="Times New Roman" w:eastAsia="Times New Roman" w:hAnsi="Times New Roman" w:cs="Times New Roman"/>
          <w:sz w:val="24"/>
          <w:szCs w:val="24"/>
          <w:lang w:val="sr-Cyrl-RS"/>
        </w:rPr>
        <w:t xml:space="preserve"> у односу на исти период претходне године. У првом полугодишту 201</w:t>
      </w:r>
      <w:r w:rsidR="00BA5543" w:rsidRPr="00FF54AF">
        <w:rPr>
          <w:rFonts w:ascii="Times New Roman" w:eastAsia="Times New Roman" w:hAnsi="Times New Roman" w:cs="Times New Roman"/>
          <w:sz w:val="24"/>
          <w:szCs w:val="24"/>
          <w:lang w:val="sr-Cyrl-RS"/>
        </w:rPr>
        <w:t>9</w:t>
      </w:r>
      <w:r w:rsidRPr="00FF54AF">
        <w:rPr>
          <w:rFonts w:ascii="Times New Roman" w:eastAsia="Times New Roman" w:hAnsi="Times New Roman" w:cs="Times New Roman"/>
          <w:sz w:val="24"/>
          <w:szCs w:val="24"/>
          <w:lang w:val="sr-Cyrl-RS"/>
        </w:rPr>
        <w:t>. године овај  критеријум коришћен је у</w:t>
      </w:r>
      <w:r w:rsidR="00F457EB">
        <w:rPr>
          <w:rFonts w:ascii="Times New Roman" w:eastAsia="Times New Roman" w:hAnsi="Times New Roman" w:cs="Times New Roman"/>
          <w:sz w:val="24"/>
          <w:szCs w:val="24"/>
          <w:lang w:val="sr-Cyrl-RS"/>
        </w:rPr>
        <w:t xml:space="preserve"> свега</w:t>
      </w:r>
      <w:r w:rsidRPr="00FF54AF">
        <w:rPr>
          <w:rFonts w:ascii="Times New Roman" w:eastAsia="Times New Roman" w:hAnsi="Times New Roman" w:cs="Times New Roman"/>
          <w:sz w:val="24"/>
          <w:szCs w:val="24"/>
          <w:lang w:val="sr-Cyrl-RS"/>
        </w:rPr>
        <w:t xml:space="preserve"> </w:t>
      </w:r>
      <w:r w:rsidR="00BF44C5" w:rsidRPr="00FF54AF">
        <w:rPr>
          <w:rFonts w:ascii="Times New Roman" w:eastAsia="Times New Roman" w:hAnsi="Times New Roman" w:cs="Times New Roman"/>
          <w:sz w:val="24"/>
          <w:szCs w:val="24"/>
        </w:rPr>
        <w:t>1</w:t>
      </w:r>
      <w:r w:rsidR="00BA5543" w:rsidRPr="00FF54AF">
        <w:rPr>
          <w:rFonts w:ascii="Times New Roman" w:eastAsia="Times New Roman" w:hAnsi="Times New Roman" w:cs="Times New Roman"/>
          <w:sz w:val="24"/>
          <w:szCs w:val="24"/>
          <w:lang w:val="sr-Cyrl-RS"/>
        </w:rPr>
        <w:t>0</w:t>
      </w:r>
      <w:r w:rsidR="00B47E65" w:rsidRPr="00FF54AF">
        <w:rPr>
          <w:rFonts w:ascii="Times New Roman" w:eastAsia="Times New Roman" w:hAnsi="Times New Roman" w:cs="Times New Roman"/>
          <w:sz w:val="24"/>
          <w:szCs w:val="24"/>
        </w:rPr>
        <w:t>% јавних набавки</w:t>
      </w:r>
      <w:r w:rsidR="000541BF" w:rsidRPr="00FF54AF">
        <w:rPr>
          <w:rFonts w:ascii="Times New Roman" w:eastAsia="Times New Roman" w:hAnsi="Times New Roman" w:cs="Times New Roman"/>
          <w:sz w:val="24"/>
          <w:szCs w:val="24"/>
          <w:lang w:val="sr"/>
        </w:rPr>
        <w:t xml:space="preserve">. </w:t>
      </w:r>
      <w:r w:rsidRPr="00FF54AF">
        <w:rPr>
          <w:rFonts w:ascii="Times New Roman" w:eastAsia="Times New Roman" w:hAnsi="Times New Roman" w:cs="Times New Roman"/>
          <w:sz w:val="24"/>
          <w:szCs w:val="24"/>
          <w:lang w:val="sr-Cyrl-RS"/>
        </w:rPr>
        <w:t>Како је досадашња пракса показала да је критеријум економски најповољније понуде погоднији код сложени</w:t>
      </w:r>
      <w:r w:rsidR="00BB6E3C" w:rsidRPr="00FF54AF">
        <w:rPr>
          <w:rFonts w:ascii="Times New Roman" w:eastAsia="Times New Roman" w:hAnsi="Times New Roman" w:cs="Times New Roman"/>
          <w:sz w:val="24"/>
          <w:szCs w:val="24"/>
          <w:lang w:val="sr-Cyrl-RS"/>
        </w:rPr>
        <w:t>ји</w:t>
      </w:r>
      <w:r w:rsidRPr="00FF54AF">
        <w:rPr>
          <w:rFonts w:ascii="Times New Roman" w:eastAsia="Times New Roman" w:hAnsi="Times New Roman" w:cs="Times New Roman"/>
          <w:sz w:val="24"/>
          <w:szCs w:val="24"/>
          <w:lang w:val="sr-Cyrl-RS"/>
        </w:rPr>
        <w:t>х набавки, као и код набавки код кој</w:t>
      </w:r>
      <w:r w:rsidR="00BB6E3C" w:rsidRPr="00FF54AF">
        <w:rPr>
          <w:rFonts w:ascii="Times New Roman" w:eastAsia="Times New Roman" w:hAnsi="Times New Roman" w:cs="Times New Roman"/>
          <w:sz w:val="24"/>
          <w:szCs w:val="24"/>
          <w:lang w:val="sr-Cyrl-RS"/>
        </w:rPr>
        <w:t>и</w:t>
      </w:r>
      <w:r w:rsidRPr="00FF54AF">
        <w:rPr>
          <w:rFonts w:ascii="Times New Roman" w:eastAsia="Times New Roman" w:hAnsi="Times New Roman" w:cs="Times New Roman"/>
          <w:sz w:val="24"/>
          <w:szCs w:val="24"/>
          <w:lang w:val="sr-Cyrl-RS"/>
        </w:rPr>
        <w:t>х је неопходно узети у обзир и квалитативне карактеристике предмета набавк</w:t>
      </w:r>
      <w:r w:rsidR="00BB6E3C" w:rsidRPr="00FF54AF">
        <w:rPr>
          <w:rFonts w:ascii="Times New Roman" w:eastAsia="Times New Roman" w:hAnsi="Times New Roman" w:cs="Times New Roman"/>
          <w:sz w:val="24"/>
          <w:szCs w:val="24"/>
          <w:lang w:val="sr-Cyrl-RS"/>
        </w:rPr>
        <w:t>е</w:t>
      </w:r>
      <w:r w:rsidRPr="00FF54AF">
        <w:rPr>
          <w:rFonts w:ascii="Times New Roman" w:eastAsia="Times New Roman" w:hAnsi="Times New Roman" w:cs="Times New Roman"/>
          <w:sz w:val="24"/>
          <w:szCs w:val="24"/>
          <w:lang w:val="sr-Cyrl-RS"/>
        </w:rPr>
        <w:t xml:space="preserve">, </w:t>
      </w:r>
      <w:r w:rsidR="00BB6E3C" w:rsidRPr="00FF54AF">
        <w:rPr>
          <w:rFonts w:ascii="Times New Roman" w:eastAsia="Times New Roman" w:hAnsi="Times New Roman" w:cs="Times New Roman"/>
          <w:sz w:val="24"/>
          <w:szCs w:val="24"/>
          <w:lang w:val="sr-Cyrl-RS"/>
        </w:rPr>
        <w:t xml:space="preserve">УЈН ће </w:t>
      </w:r>
      <w:r w:rsidRPr="00FF54AF">
        <w:rPr>
          <w:rFonts w:ascii="Times New Roman" w:eastAsia="Times New Roman" w:hAnsi="Times New Roman" w:cs="Times New Roman"/>
          <w:sz w:val="24"/>
          <w:szCs w:val="24"/>
          <w:lang w:val="sr-Cyrl-RS"/>
        </w:rPr>
        <w:t xml:space="preserve">у наредном периоду </w:t>
      </w:r>
      <w:r w:rsidR="00BB6E3C" w:rsidRPr="00FF54AF">
        <w:rPr>
          <w:rFonts w:ascii="Times New Roman" w:eastAsia="Times New Roman" w:hAnsi="Times New Roman" w:cs="Times New Roman"/>
          <w:sz w:val="24"/>
          <w:szCs w:val="24"/>
          <w:lang w:val="sr-Cyrl-RS"/>
        </w:rPr>
        <w:t xml:space="preserve">наставити са промовисањем израђених модела конкурсних документација у којима се користи критеријум ЕНП. </w:t>
      </w:r>
    </w:p>
    <w:p w14:paraId="5B1294B8" w14:textId="69D2BC84" w:rsidR="00A56D56" w:rsidRDefault="00A56D56" w:rsidP="00A56D56">
      <w:pPr>
        <w:spacing w:after="0"/>
        <w:jc w:val="both"/>
        <w:rPr>
          <w:rFonts w:ascii="Times New Roman" w:eastAsia="Times New Roman" w:hAnsi="Times New Roman" w:cs="Times New Roman"/>
          <w:sz w:val="24"/>
          <w:szCs w:val="24"/>
          <w:lang w:val="sr-Cyrl-RS"/>
        </w:rPr>
      </w:pPr>
    </w:p>
    <w:p w14:paraId="411F14A8" w14:textId="65871A07" w:rsidR="003319C6" w:rsidRDefault="00BB6E3C" w:rsidP="003319C6">
      <w:pPr>
        <w:spacing w:after="0"/>
        <w:ind w:left="-142"/>
        <w:jc w:val="both"/>
        <w:rPr>
          <w:rFonts w:ascii="Times New Roman" w:eastAsia="Times New Roman" w:hAnsi="Times New Roman" w:cs="Times New Roman"/>
          <w:sz w:val="24"/>
          <w:szCs w:val="24"/>
        </w:rPr>
      </w:pPr>
      <w:r w:rsidRPr="00FF54AF">
        <w:rPr>
          <w:rFonts w:ascii="Times New Roman" w:eastAsia="Times New Roman" w:hAnsi="Times New Roman" w:cs="Times New Roman"/>
          <w:sz w:val="24"/>
          <w:szCs w:val="24"/>
          <w:lang w:val="sr-Cyrl-RS"/>
        </w:rPr>
        <w:t xml:space="preserve">У предстојећем периоду </w:t>
      </w:r>
      <w:r w:rsidR="000541BF" w:rsidRPr="00FF54AF">
        <w:rPr>
          <w:rFonts w:ascii="Times New Roman" w:eastAsia="Times New Roman" w:hAnsi="Times New Roman" w:cs="Times New Roman"/>
          <w:sz w:val="24"/>
          <w:szCs w:val="24"/>
          <w:lang w:val="sr"/>
        </w:rPr>
        <w:t xml:space="preserve">пажња </w:t>
      </w:r>
      <w:r w:rsidRPr="00FF54AF">
        <w:rPr>
          <w:rFonts w:ascii="Times New Roman" w:eastAsia="Times New Roman" w:hAnsi="Times New Roman" w:cs="Times New Roman"/>
          <w:sz w:val="24"/>
          <w:szCs w:val="24"/>
          <w:lang w:val="sr-Cyrl-RS"/>
        </w:rPr>
        <w:t>ће бити усмерена и на промовисање тзв.</w:t>
      </w:r>
      <w:r w:rsidRPr="00FF54AF">
        <w:rPr>
          <w:rFonts w:ascii="Times New Roman" w:eastAsia="Times New Roman" w:hAnsi="Times New Roman" w:cs="Times New Roman"/>
          <w:sz w:val="24"/>
          <w:szCs w:val="24"/>
          <w:lang w:val="sr"/>
        </w:rPr>
        <w:t xml:space="preserve"> „</w:t>
      </w:r>
      <w:r w:rsidRPr="00FF54AF">
        <w:rPr>
          <w:rFonts w:ascii="Times New Roman" w:eastAsia="Times New Roman" w:hAnsi="Times New Roman" w:cs="Times New Roman"/>
          <w:sz w:val="24"/>
          <w:szCs w:val="24"/>
          <w:lang w:val="sr-Cyrl-RS"/>
        </w:rPr>
        <w:t>зелених набавки“</w:t>
      </w:r>
      <w:r w:rsidR="000541BF" w:rsidRPr="00FF54AF">
        <w:rPr>
          <w:rFonts w:ascii="Times New Roman" w:eastAsia="Times New Roman" w:hAnsi="Times New Roman" w:cs="Times New Roman"/>
          <w:sz w:val="24"/>
          <w:szCs w:val="24"/>
          <w:lang w:val="sr"/>
        </w:rPr>
        <w:t xml:space="preserve"> које у обзир узимају </w:t>
      </w:r>
      <w:r w:rsidRPr="00FF54AF">
        <w:rPr>
          <w:rFonts w:ascii="Times New Roman" w:eastAsia="Times New Roman" w:hAnsi="Times New Roman" w:cs="Times New Roman"/>
          <w:sz w:val="24"/>
          <w:szCs w:val="24"/>
          <w:lang w:val="sr-Cyrl-RS"/>
        </w:rPr>
        <w:t xml:space="preserve">еколошке аспекте набавки и које посматрано на дужи рок, </w:t>
      </w:r>
      <w:r w:rsidR="005A205D">
        <w:rPr>
          <w:rFonts w:ascii="Times New Roman" w:eastAsia="Times New Roman" w:hAnsi="Times New Roman" w:cs="Times New Roman"/>
          <w:sz w:val="24"/>
          <w:szCs w:val="24"/>
          <w:lang w:val="sr-Cyrl-RS"/>
        </w:rPr>
        <w:t>имају у виду</w:t>
      </w:r>
      <w:r w:rsidRPr="00FF54AF">
        <w:rPr>
          <w:rFonts w:ascii="Times New Roman" w:eastAsia="Times New Roman" w:hAnsi="Times New Roman" w:cs="Times New Roman"/>
          <w:sz w:val="24"/>
          <w:szCs w:val="24"/>
          <w:lang w:val="sr-Cyrl-RS"/>
        </w:rPr>
        <w:t xml:space="preserve"> и трошкове које </w:t>
      </w:r>
      <w:r w:rsidR="000541BF" w:rsidRPr="00FF54AF">
        <w:rPr>
          <w:rFonts w:ascii="Times New Roman" w:eastAsia="Times New Roman" w:hAnsi="Times New Roman" w:cs="Times New Roman"/>
          <w:sz w:val="24"/>
          <w:szCs w:val="24"/>
          <w:lang w:val="sr"/>
        </w:rPr>
        <w:t>по том основу сноси друштво</w:t>
      </w:r>
      <w:r w:rsidRPr="00FF54AF">
        <w:rPr>
          <w:rFonts w:ascii="Times New Roman" w:eastAsia="Times New Roman" w:hAnsi="Times New Roman" w:cs="Times New Roman"/>
          <w:sz w:val="24"/>
          <w:szCs w:val="24"/>
          <w:lang w:val="sr-Cyrl-RS"/>
        </w:rPr>
        <w:t xml:space="preserve"> у целини</w:t>
      </w:r>
      <w:r w:rsidR="006602A4">
        <w:rPr>
          <w:rFonts w:ascii="Times New Roman" w:eastAsia="Times New Roman" w:hAnsi="Times New Roman" w:cs="Times New Roman"/>
          <w:sz w:val="24"/>
          <w:szCs w:val="24"/>
          <w:lang w:val="sr"/>
        </w:rPr>
        <w:t>, што је и у складу са приоритетима ЕУ.</w:t>
      </w:r>
    </w:p>
    <w:p w14:paraId="60683EF4" w14:textId="77777777" w:rsidR="003319C6" w:rsidRDefault="003319C6" w:rsidP="003319C6">
      <w:pPr>
        <w:spacing w:after="0"/>
        <w:ind w:left="-142"/>
        <w:jc w:val="both"/>
        <w:rPr>
          <w:rFonts w:ascii="Times New Roman" w:eastAsia="Times New Roman" w:hAnsi="Times New Roman" w:cs="Times New Roman"/>
          <w:sz w:val="24"/>
          <w:szCs w:val="24"/>
        </w:rPr>
      </w:pPr>
    </w:p>
    <w:p w14:paraId="1A441340" w14:textId="77777777" w:rsidR="00B47E65" w:rsidRPr="00B47E65" w:rsidRDefault="00B47E65">
      <w:pPr>
        <w:spacing w:after="0"/>
        <w:jc w:val="both"/>
        <w:rPr>
          <w:lang w:val="en-US"/>
        </w:rPr>
      </w:pPr>
    </w:p>
    <w:sectPr w:rsidR="00B47E65" w:rsidRPr="00B47E65" w:rsidSect="00F60903">
      <w:footerReference w:type="default" r:id="rId26"/>
      <w:pgSz w:w="11906" w:h="16838"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066C2" w14:textId="77777777" w:rsidR="0007596F" w:rsidRDefault="0007596F">
      <w:pPr>
        <w:spacing w:after="0" w:line="240" w:lineRule="auto"/>
      </w:pPr>
      <w:r>
        <w:separator/>
      </w:r>
    </w:p>
  </w:endnote>
  <w:endnote w:type="continuationSeparator" w:id="0">
    <w:p w14:paraId="699887DF" w14:textId="77777777" w:rsidR="0007596F" w:rsidRDefault="0007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85F8" w14:textId="42191182" w:rsidR="0007596F" w:rsidRDefault="0007596F">
    <w:pPr>
      <w:tabs>
        <w:tab w:val="center" w:pos="4536"/>
        <w:tab w:val="right" w:pos="9072"/>
      </w:tabs>
      <w:spacing w:after="708" w:line="240" w:lineRule="auto"/>
      <w:jc w:val="right"/>
    </w:pPr>
    <w:r>
      <w:fldChar w:fldCharType="begin"/>
    </w:r>
    <w:r>
      <w:instrText>PAGE</w:instrText>
    </w:r>
    <w:r>
      <w:fldChar w:fldCharType="separate"/>
    </w:r>
    <w:r w:rsidR="005606D0">
      <w:rPr>
        <w:noProof/>
      </w:rPr>
      <w:t>38</w:t>
    </w:r>
    <w:r>
      <w:fldChar w:fldCharType="end"/>
    </w:r>
  </w:p>
  <w:p w14:paraId="0634359E" w14:textId="77777777" w:rsidR="0007596F" w:rsidRDefault="0007596F">
    <w:pPr>
      <w:tabs>
        <w:tab w:val="center" w:pos="4536"/>
        <w:tab w:val="right" w:pos="9072"/>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502C1" w14:textId="77777777" w:rsidR="0007596F" w:rsidRDefault="0007596F">
      <w:pPr>
        <w:spacing w:after="0" w:line="240" w:lineRule="auto"/>
      </w:pPr>
      <w:r>
        <w:separator/>
      </w:r>
    </w:p>
  </w:footnote>
  <w:footnote w:type="continuationSeparator" w:id="0">
    <w:p w14:paraId="2F2BA9A3" w14:textId="77777777" w:rsidR="0007596F" w:rsidRDefault="0007596F">
      <w:pPr>
        <w:spacing w:after="0" w:line="240" w:lineRule="auto"/>
      </w:pPr>
      <w:r>
        <w:continuationSeparator/>
      </w:r>
    </w:p>
  </w:footnote>
  <w:footnote w:id="1">
    <w:p w14:paraId="1E1693F4" w14:textId="77777777" w:rsidR="0007596F" w:rsidRPr="002746F7" w:rsidRDefault="0007596F" w:rsidP="007C3042">
      <w:pPr>
        <w:pStyle w:val="FootnoteText"/>
        <w:rPr>
          <w:rFonts w:ascii="Times New Roman" w:hAnsi="Times New Roman" w:cs="Times New Roman"/>
          <w:lang w:val="sr-Cyrl-RS"/>
        </w:rPr>
      </w:pPr>
      <w:r w:rsidRPr="002746F7">
        <w:rPr>
          <w:rStyle w:val="FootnoteReference"/>
          <w:rFonts w:ascii="Times New Roman" w:hAnsi="Times New Roman" w:cs="Times New Roman"/>
        </w:rPr>
        <w:footnoteRef/>
      </w:r>
      <w:r w:rsidRPr="002746F7">
        <w:rPr>
          <w:rFonts w:ascii="Times New Roman" w:hAnsi="Times New Roman" w:cs="Times New Roman"/>
        </w:rPr>
        <w:t xml:space="preserve"> </w:t>
      </w:r>
      <w:r w:rsidRPr="002746F7">
        <w:rPr>
          <w:rFonts w:ascii="Times New Roman" w:hAnsi="Times New Roman" w:cs="Times New Roman"/>
          <w:lang w:val="sr-Cyrl-RS"/>
        </w:rPr>
        <w:t>Процена Републичког завода за статистику</w:t>
      </w:r>
    </w:p>
  </w:footnote>
  <w:footnote w:id="2">
    <w:p w14:paraId="4775C732" w14:textId="7136F267" w:rsidR="0007596F" w:rsidRPr="009969DA" w:rsidRDefault="0007596F">
      <w:pPr>
        <w:pStyle w:val="FootnoteText"/>
        <w:rPr>
          <w:rFonts w:ascii="Times New Roman" w:hAnsi="Times New Roman" w:cs="Times New Roman"/>
          <w:lang w:val="sr-Cyrl-RS"/>
        </w:rPr>
      </w:pPr>
      <w:r w:rsidRPr="002438F6">
        <w:rPr>
          <w:rStyle w:val="FootnoteReference"/>
          <w:rFonts w:ascii="Times New Roman" w:hAnsi="Times New Roman" w:cs="Times New Roman"/>
        </w:rPr>
        <w:footnoteRef/>
      </w:r>
      <w:r w:rsidRPr="002438F6">
        <w:rPr>
          <w:rFonts w:ascii="Times New Roman" w:hAnsi="Times New Roman" w:cs="Times New Roman"/>
        </w:rPr>
        <w:t xml:space="preserve"> </w:t>
      </w:r>
      <w:r w:rsidRPr="009969DA">
        <w:rPr>
          <w:rFonts w:ascii="Times New Roman" w:hAnsi="Times New Roman" w:cs="Times New Roman"/>
          <w:lang w:val="sr-Cyrl-RS"/>
        </w:rPr>
        <w:t>Подаци са сајта Европске комисије (</w:t>
      </w:r>
      <w:r w:rsidRPr="009969DA">
        <w:rPr>
          <w:rFonts w:ascii="Times New Roman" w:hAnsi="Times New Roman" w:cs="Times New Roman"/>
          <w:lang w:val="en-US"/>
        </w:rPr>
        <w:t>S</w:t>
      </w:r>
      <w:r w:rsidRPr="009969DA">
        <w:rPr>
          <w:rFonts w:ascii="Times New Roman" w:hAnsi="Times New Roman" w:cs="Times New Roman"/>
          <w:lang w:val="sr-Latn-RS"/>
        </w:rPr>
        <w:t>ingle market scoreboard)</w:t>
      </w:r>
      <w:r>
        <w:rPr>
          <w:rFonts w:ascii="Times New Roman" w:hAnsi="Times New Roman" w:cs="Times New Roman"/>
          <w:lang w:val="sr-Cyrl-RS"/>
        </w:rPr>
        <w:t xml:space="preserve"> за 2018.годину</w:t>
      </w:r>
      <w:r w:rsidRPr="009969DA">
        <w:rPr>
          <w:rFonts w:ascii="Times New Roman" w:hAnsi="Times New Roman" w:cs="Times New Roman"/>
          <w:lang w:val="sr-Cyrl-RS"/>
        </w:rPr>
        <w:t xml:space="preserve">, </w:t>
      </w:r>
      <w:hyperlink r:id="rId1" w:history="1">
        <w:r w:rsidRPr="004C69CA">
          <w:rPr>
            <w:rStyle w:val="Hyperlink"/>
            <w:rFonts w:ascii="Times New Roman" w:hAnsi="Times New Roman" w:cs="Times New Roman"/>
            <w:sz w:val="18"/>
            <w:szCs w:val="18"/>
          </w:rPr>
          <w:t>https://ec.europa.eu/internal_market/scoreboard/performance_per_policy_area/public_procurement/index_en.htm</w:t>
        </w:r>
      </w:hyperlink>
    </w:p>
  </w:footnote>
  <w:footnote w:id="3">
    <w:p w14:paraId="69FA2694" w14:textId="291378C3" w:rsidR="0007596F" w:rsidRPr="00CC4D24" w:rsidRDefault="0007596F">
      <w:pPr>
        <w:pStyle w:val="FootnoteText"/>
        <w:rPr>
          <w:rFonts w:ascii="Times New Roman" w:hAnsi="Times New Roman" w:cs="Times New Roman"/>
        </w:rPr>
      </w:pPr>
      <w:r w:rsidRPr="00CC4D24">
        <w:rPr>
          <w:rStyle w:val="FootnoteReference"/>
          <w:rFonts w:ascii="Times New Roman" w:hAnsi="Times New Roman" w:cs="Times New Roman"/>
        </w:rPr>
        <w:footnoteRef/>
      </w:r>
      <w:r w:rsidRPr="00CC4D24">
        <w:rPr>
          <w:rFonts w:ascii="Times New Roman" w:hAnsi="Times New Roman" w:cs="Times New Roman"/>
        </w:rPr>
        <w:t xml:space="preserve"> </w:t>
      </w:r>
      <w:r w:rsidRPr="00CC4D24">
        <w:rPr>
          <w:rFonts w:ascii="Times New Roman" w:hAnsi="Times New Roman" w:cs="Times New Roman"/>
          <w:lang w:val="sr-Cyrl-RS"/>
        </w:rPr>
        <w:t>Подаци са сајта Европске комисије (</w:t>
      </w:r>
      <w:r w:rsidRPr="00CC4D24">
        <w:rPr>
          <w:rFonts w:ascii="Times New Roman" w:hAnsi="Times New Roman" w:cs="Times New Roman"/>
          <w:lang w:val="en-US"/>
        </w:rPr>
        <w:t>S</w:t>
      </w:r>
      <w:r w:rsidRPr="00CC4D24">
        <w:rPr>
          <w:rFonts w:ascii="Times New Roman" w:hAnsi="Times New Roman" w:cs="Times New Roman"/>
          <w:lang w:val="sr-Latn-RS"/>
        </w:rPr>
        <w:t>ingle market scoreboard)</w:t>
      </w:r>
      <w:r w:rsidRPr="00CC4D24">
        <w:rPr>
          <w:rFonts w:ascii="Times New Roman" w:hAnsi="Times New Roman" w:cs="Times New Roman"/>
          <w:lang w:val="sr-Cyrl-RS"/>
        </w:rPr>
        <w:t xml:space="preserve"> за 2018. годину, </w:t>
      </w:r>
      <w:hyperlink r:id="rId2" w:history="1">
        <w:r w:rsidRPr="00CC4D24">
          <w:rPr>
            <w:rStyle w:val="Hyperlink"/>
            <w:rFonts w:ascii="Times New Roman" w:hAnsi="Times New Roman" w:cs="Times New Roman"/>
          </w:rPr>
          <w:t>https://ec.europa.eu/internal_market/scoreboard/performance_per_policy_area/public_procurement/index_en.htm</w:t>
        </w:r>
      </w:hyperlink>
    </w:p>
    <w:p w14:paraId="3CA6DB60" w14:textId="77777777" w:rsidR="0007596F" w:rsidRPr="00CC4D24" w:rsidRDefault="0007596F">
      <w:pPr>
        <w:pStyle w:val="FootnoteText"/>
        <w:rPr>
          <w:rFonts w:ascii="Times New Roman" w:hAnsi="Times New Roman" w:cs="Times New Roman"/>
          <w:lang w:val="en-US"/>
        </w:rPr>
      </w:pPr>
    </w:p>
  </w:footnote>
  <w:footnote w:id="4">
    <w:p w14:paraId="733FA8D2" w14:textId="63A09367" w:rsidR="0007596F" w:rsidRDefault="0007596F">
      <w:pPr>
        <w:pStyle w:val="FootnoteText"/>
        <w:rPr>
          <w:rFonts w:ascii="Times New Roman" w:hAnsi="Times New Roman" w:cs="Times New Roman"/>
          <w:sz w:val="18"/>
          <w:szCs w:val="18"/>
          <w:lang w:val="sr-Cyrl-RS"/>
        </w:rPr>
      </w:pPr>
      <w:r w:rsidRPr="004B3371">
        <w:rPr>
          <w:rStyle w:val="FootnoteReference"/>
          <w:rFonts w:ascii="Times New Roman" w:hAnsi="Times New Roman" w:cs="Times New Roman"/>
          <w:sz w:val="18"/>
          <w:szCs w:val="18"/>
        </w:rPr>
        <w:footnoteRef/>
      </w:r>
      <w:r w:rsidRPr="004B3371">
        <w:rPr>
          <w:rFonts w:ascii="Times New Roman" w:hAnsi="Times New Roman" w:cs="Times New Roman"/>
          <w:sz w:val="18"/>
          <w:szCs w:val="18"/>
        </w:rPr>
        <w:t xml:space="preserve"> </w:t>
      </w:r>
      <w:r w:rsidRPr="004B3371">
        <w:rPr>
          <w:rFonts w:ascii="Times New Roman" w:hAnsi="Times New Roman" w:cs="Times New Roman"/>
          <w:sz w:val="18"/>
          <w:szCs w:val="18"/>
          <w:lang w:val="sr-Cyrl-RS"/>
        </w:rPr>
        <w:t>На осноцу података са сајта Европске комисије</w:t>
      </w:r>
      <w:r>
        <w:rPr>
          <w:rFonts w:ascii="Times New Roman" w:hAnsi="Times New Roman" w:cs="Times New Roman"/>
          <w:sz w:val="18"/>
          <w:szCs w:val="18"/>
          <w:lang w:val="sr-Cyrl-RS"/>
        </w:rPr>
        <w:t xml:space="preserve"> за 2018. годину</w:t>
      </w:r>
      <w:r w:rsidRPr="004B3371">
        <w:rPr>
          <w:rFonts w:ascii="Times New Roman" w:hAnsi="Times New Roman" w:cs="Times New Roman"/>
          <w:sz w:val="18"/>
          <w:szCs w:val="18"/>
          <w:lang w:val="sr-Cyrl-RS"/>
        </w:rPr>
        <w:t>:</w:t>
      </w:r>
      <w:r w:rsidRPr="004B3371">
        <w:rPr>
          <w:sz w:val="18"/>
          <w:szCs w:val="18"/>
        </w:rPr>
        <w:t xml:space="preserve"> </w:t>
      </w:r>
      <w:hyperlink r:id="rId3" w:history="1">
        <w:r w:rsidRPr="0061017B">
          <w:rPr>
            <w:rStyle w:val="Hyperlink"/>
            <w:rFonts w:ascii="Times New Roman" w:hAnsi="Times New Roman" w:cs="Times New Roman"/>
            <w:sz w:val="18"/>
            <w:szCs w:val="18"/>
            <w:lang w:val="sr-Cyrl-RS"/>
          </w:rPr>
          <w:t>https://ec.europa.eu/internal_market/scoreboard/performance_per_policy_area/public_procurement/index_en.htm</w:t>
        </w:r>
      </w:hyperlink>
    </w:p>
    <w:p w14:paraId="71778764" w14:textId="77777777" w:rsidR="0007596F" w:rsidRPr="004B3371" w:rsidRDefault="0007596F">
      <w:pPr>
        <w:pStyle w:val="FootnoteText"/>
        <w:rPr>
          <w:rFonts w:ascii="Times New Roman" w:hAnsi="Times New Roman" w:cs="Times New Roman"/>
          <w:sz w:val="18"/>
          <w:szCs w:val="18"/>
          <w:lang w:val="sr-Cyrl-R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165"/>
    <w:multiLevelType w:val="hybridMultilevel"/>
    <w:tmpl w:val="92FA1AA2"/>
    <w:lvl w:ilvl="0" w:tplc="FAA2B9C0">
      <w:start w:val="2015"/>
      <w:numFmt w:val="bullet"/>
      <w:lvlText w:val=""/>
      <w:lvlJc w:val="left"/>
      <w:pPr>
        <w:ind w:left="1050" w:hanging="360"/>
      </w:pPr>
      <w:rPr>
        <w:rFonts w:ascii="Symbol" w:eastAsia="Calibri" w:hAnsi="Symbol" w:cs="Calibri" w:hint="default"/>
      </w:rPr>
    </w:lvl>
    <w:lvl w:ilvl="1" w:tplc="241A0003" w:tentative="1">
      <w:start w:val="1"/>
      <w:numFmt w:val="bullet"/>
      <w:lvlText w:val="o"/>
      <w:lvlJc w:val="left"/>
      <w:pPr>
        <w:ind w:left="1770" w:hanging="360"/>
      </w:pPr>
      <w:rPr>
        <w:rFonts w:ascii="Courier New" w:hAnsi="Courier New" w:cs="Courier New" w:hint="default"/>
      </w:rPr>
    </w:lvl>
    <w:lvl w:ilvl="2" w:tplc="241A0005" w:tentative="1">
      <w:start w:val="1"/>
      <w:numFmt w:val="bullet"/>
      <w:lvlText w:val=""/>
      <w:lvlJc w:val="left"/>
      <w:pPr>
        <w:ind w:left="2490" w:hanging="360"/>
      </w:pPr>
      <w:rPr>
        <w:rFonts w:ascii="Wingdings" w:hAnsi="Wingdings" w:hint="default"/>
      </w:rPr>
    </w:lvl>
    <w:lvl w:ilvl="3" w:tplc="241A0001" w:tentative="1">
      <w:start w:val="1"/>
      <w:numFmt w:val="bullet"/>
      <w:lvlText w:val=""/>
      <w:lvlJc w:val="left"/>
      <w:pPr>
        <w:ind w:left="3210" w:hanging="360"/>
      </w:pPr>
      <w:rPr>
        <w:rFonts w:ascii="Symbol" w:hAnsi="Symbol" w:hint="default"/>
      </w:rPr>
    </w:lvl>
    <w:lvl w:ilvl="4" w:tplc="241A0003" w:tentative="1">
      <w:start w:val="1"/>
      <w:numFmt w:val="bullet"/>
      <w:lvlText w:val="o"/>
      <w:lvlJc w:val="left"/>
      <w:pPr>
        <w:ind w:left="3930" w:hanging="360"/>
      </w:pPr>
      <w:rPr>
        <w:rFonts w:ascii="Courier New" w:hAnsi="Courier New" w:cs="Courier New" w:hint="default"/>
      </w:rPr>
    </w:lvl>
    <w:lvl w:ilvl="5" w:tplc="241A0005" w:tentative="1">
      <w:start w:val="1"/>
      <w:numFmt w:val="bullet"/>
      <w:lvlText w:val=""/>
      <w:lvlJc w:val="left"/>
      <w:pPr>
        <w:ind w:left="4650" w:hanging="360"/>
      </w:pPr>
      <w:rPr>
        <w:rFonts w:ascii="Wingdings" w:hAnsi="Wingdings" w:hint="default"/>
      </w:rPr>
    </w:lvl>
    <w:lvl w:ilvl="6" w:tplc="241A0001" w:tentative="1">
      <w:start w:val="1"/>
      <w:numFmt w:val="bullet"/>
      <w:lvlText w:val=""/>
      <w:lvlJc w:val="left"/>
      <w:pPr>
        <w:ind w:left="5370" w:hanging="360"/>
      </w:pPr>
      <w:rPr>
        <w:rFonts w:ascii="Symbol" w:hAnsi="Symbol" w:hint="default"/>
      </w:rPr>
    </w:lvl>
    <w:lvl w:ilvl="7" w:tplc="241A0003" w:tentative="1">
      <w:start w:val="1"/>
      <w:numFmt w:val="bullet"/>
      <w:lvlText w:val="o"/>
      <w:lvlJc w:val="left"/>
      <w:pPr>
        <w:ind w:left="6090" w:hanging="360"/>
      </w:pPr>
      <w:rPr>
        <w:rFonts w:ascii="Courier New" w:hAnsi="Courier New" w:cs="Courier New" w:hint="default"/>
      </w:rPr>
    </w:lvl>
    <w:lvl w:ilvl="8" w:tplc="241A0005" w:tentative="1">
      <w:start w:val="1"/>
      <w:numFmt w:val="bullet"/>
      <w:lvlText w:val=""/>
      <w:lvlJc w:val="left"/>
      <w:pPr>
        <w:ind w:left="6810" w:hanging="360"/>
      </w:pPr>
      <w:rPr>
        <w:rFonts w:ascii="Wingdings" w:hAnsi="Wingdings" w:hint="default"/>
      </w:rPr>
    </w:lvl>
  </w:abstractNum>
  <w:abstractNum w:abstractNumId="1" w15:restartNumberingAfterBreak="0">
    <w:nsid w:val="086548B4"/>
    <w:multiLevelType w:val="hybridMultilevel"/>
    <w:tmpl w:val="72A0C438"/>
    <w:lvl w:ilvl="0" w:tplc="0E2CF3C4">
      <w:start w:val="1"/>
      <w:numFmt w:val="decimal"/>
      <w:lvlText w:val="%1)"/>
      <w:lvlJc w:val="left"/>
      <w:pPr>
        <w:ind w:left="720" w:hanging="360"/>
      </w:pPr>
      <w:rPr>
        <w:rFonts w:ascii="Times New Roman" w:hAnsi="Times New Roman"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89B41E0"/>
    <w:multiLevelType w:val="multilevel"/>
    <w:tmpl w:val="BC7EBE0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9FA5BB5"/>
    <w:multiLevelType w:val="hybridMultilevel"/>
    <w:tmpl w:val="60A62486"/>
    <w:lvl w:ilvl="0" w:tplc="67C4403A">
      <w:start w:val="18"/>
      <w:numFmt w:val="bullet"/>
      <w:lvlText w:val=""/>
      <w:lvlJc w:val="left"/>
      <w:pPr>
        <w:ind w:left="900" w:hanging="360"/>
      </w:pPr>
      <w:rPr>
        <w:rFonts w:ascii="Symbol" w:eastAsia="Times New Roman" w:hAnsi="Symbol"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0D9C423B"/>
    <w:multiLevelType w:val="multilevel"/>
    <w:tmpl w:val="49C2FA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1AE60D8"/>
    <w:multiLevelType w:val="multilevel"/>
    <w:tmpl w:val="34E0DB04"/>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15:restartNumberingAfterBreak="0">
    <w:nsid w:val="12DD4C51"/>
    <w:multiLevelType w:val="multilevel"/>
    <w:tmpl w:val="28AEFD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DC3797A"/>
    <w:multiLevelType w:val="hybridMultilevel"/>
    <w:tmpl w:val="4D307E9E"/>
    <w:lvl w:ilvl="0" w:tplc="08ECAC7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46D07"/>
    <w:multiLevelType w:val="multilevel"/>
    <w:tmpl w:val="CB7E56A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215B45F1"/>
    <w:multiLevelType w:val="hybridMultilevel"/>
    <w:tmpl w:val="E66A1D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A0987"/>
    <w:multiLevelType w:val="hybridMultilevel"/>
    <w:tmpl w:val="738ACF2E"/>
    <w:lvl w:ilvl="0" w:tplc="08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23400CE2"/>
    <w:multiLevelType w:val="hybridMultilevel"/>
    <w:tmpl w:val="F850A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A84A54"/>
    <w:multiLevelType w:val="multilevel"/>
    <w:tmpl w:val="6750D002"/>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28AD30BD"/>
    <w:multiLevelType w:val="multilevel"/>
    <w:tmpl w:val="11541F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2AF1217F"/>
    <w:multiLevelType w:val="hybridMultilevel"/>
    <w:tmpl w:val="148C7D5A"/>
    <w:lvl w:ilvl="0" w:tplc="6B72507C">
      <w:numFmt w:val="bullet"/>
      <w:lvlText w:val=""/>
      <w:lvlJc w:val="left"/>
      <w:pPr>
        <w:ind w:left="720" w:hanging="360"/>
      </w:pPr>
      <w:rPr>
        <w:rFonts w:ascii="Symbol" w:eastAsia="Calibri" w:hAnsi="Symbol"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EAE7D92"/>
    <w:multiLevelType w:val="hybridMultilevel"/>
    <w:tmpl w:val="88B61DB6"/>
    <w:lvl w:ilvl="0" w:tplc="2FD697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D701D"/>
    <w:multiLevelType w:val="multilevel"/>
    <w:tmpl w:val="BC3499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310536ED"/>
    <w:multiLevelType w:val="hybridMultilevel"/>
    <w:tmpl w:val="EB744C82"/>
    <w:lvl w:ilvl="0" w:tplc="B74665E8">
      <w:start w:val="1"/>
      <w:numFmt w:val="bullet"/>
      <w:lvlText w:val="-"/>
      <w:lvlJc w:val="left"/>
      <w:pPr>
        <w:ind w:left="420" w:hanging="360"/>
      </w:pPr>
      <w:rPr>
        <w:rFonts w:ascii="Times New Roman" w:eastAsia="Times New Roman" w:hAnsi="Times New Roman" w:cs="Times New Roman" w:hint="default"/>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18" w15:restartNumberingAfterBreak="0">
    <w:nsid w:val="325C338C"/>
    <w:multiLevelType w:val="multilevel"/>
    <w:tmpl w:val="71E845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3534436D"/>
    <w:multiLevelType w:val="multilevel"/>
    <w:tmpl w:val="F252CD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37E0463B"/>
    <w:multiLevelType w:val="hybridMultilevel"/>
    <w:tmpl w:val="A68CDD84"/>
    <w:lvl w:ilvl="0" w:tplc="43C2DC28">
      <w:start w:val="18"/>
      <w:numFmt w:val="bullet"/>
      <w:lvlText w:val=""/>
      <w:lvlJc w:val="left"/>
      <w:pPr>
        <w:ind w:left="840" w:hanging="360"/>
      </w:pPr>
      <w:rPr>
        <w:rFonts w:ascii="Symbol" w:eastAsia="Times New Roman" w:hAnsi="Symbol"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3EDB0FCA"/>
    <w:multiLevelType w:val="multilevel"/>
    <w:tmpl w:val="CC56B884"/>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484B183F"/>
    <w:multiLevelType w:val="multilevel"/>
    <w:tmpl w:val="CE16B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4A141ACC"/>
    <w:multiLevelType w:val="multilevel"/>
    <w:tmpl w:val="91469E4E"/>
    <w:lvl w:ilvl="0">
      <w:start w:val="1"/>
      <w:numFmt w:val="decimal"/>
      <w:lvlText w:val="%1."/>
      <w:lvlJc w:val="left"/>
      <w:pPr>
        <w:ind w:left="720" w:firstLine="360"/>
      </w:pPr>
    </w:lvl>
    <w:lvl w:ilvl="1">
      <w:start w:val="231"/>
      <w:numFmt w:val="decimal"/>
      <w:lvlText w:val="%1.%2"/>
      <w:lvlJc w:val="left"/>
      <w:pPr>
        <w:ind w:left="1350" w:firstLine="720"/>
      </w:pPr>
    </w:lvl>
    <w:lvl w:ilvl="2">
      <w:start w:val="1"/>
      <w:numFmt w:val="decimal"/>
      <w:lvlText w:val="%1.%2.%3"/>
      <w:lvlJc w:val="left"/>
      <w:pPr>
        <w:ind w:left="1800" w:firstLine="1080"/>
      </w:pPr>
    </w:lvl>
    <w:lvl w:ilvl="3">
      <w:start w:val="1"/>
      <w:numFmt w:val="decimal"/>
      <w:lvlText w:val="%1.%2.%3.%4"/>
      <w:lvlJc w:val="left"/>
      <w:pPr>
        <w:ind w:left="2160" w:firstLine="1440"/>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24" w15:restartNumberingAfterBreak="0">
    <w:nsid w:val="50033B3D"/>
    <w:multiLevelType w:val="hybridMultilevel"/>
    <w:tmpl w:val="9328CBF2"/>
    <w:lvl w:ilvl="0" w:tplc="A35EC3A8">
      <w:numFmt w:val="bullet"/>
      <w:lvlText w:val=""/>
      <w:lvlJc w:val="left"/>
      <w:pPr>
        <w:ind w:left="1200" w:hanging="360"/>
      </w:pPr>
      <w:rPr>
        <w:rFonts w:ascii="Symbol" w:eastAsia="Calibri" w:hAnsi="Symbol" w:cs="Calibri" w:hint="default"/>
      </w:rPr>
    </w:lvl>
    <w:lvl w:ilvl="1" w:tplc="241A0003" w:tentative="1">
      <w:start w:val="1"/>
      <w:numFmt w:val="bullet"/>
      <w:lvlText w:val="o"/>
      <w:lvlJc w:val="left"/>
      <w:pPr>
        <w:ind w:left="1920" w:hanging="360"/>
      </w:pPr>
      <w:rPr>
        <w:rFonts w:ascii="Courier New" w:hAnsi="Courier New" w:cs="Courier New" w:hint="default"/>
      </w:rPr>
    </w:lvl>
    <w:lvl w:ilvl="2" w:tplc="241A0005" w:tentative="1">
      <w:start w:val="1"/>
      <w:numFmt w:val="bullet"/>
      <w:lvlText w:val=""/>
      <w:lvlJc w:val="left"/>
      <w:pPr>
        <w:ind w:left="2640" w:hanging="360"/>
      </w:pPr>
      <w:rPr>
        <w:rFonts w:ascii="Wingdings" w:hAnsi="Wingdings" w:hint="default"/>
      </w:rPr>
    </w:lvl>
    <w:lvl w:ilvl="3" w:tplc="241A0001" w:tentative="1">
      <w:start w:val="1"/>
      <w:numFmt w:val="bullet"/>
      <w:lvlText w:val=""/>
      <w:lvlJc w:val="left"/>
      <w:pPr>
        <w:ind w:left="3360" w:hanging="360"/>
      </w:pPr>
      <w:rPr>
        <w:rFonts w:ascii="Symbol" w:hAnsi="Symbol" w:hint="default"/>
      </w:rPr>
    </w:lvl>
    <w:lvl w:ilvl="4" w:tplc="241A0003" w:tentative="1">
      <w:start w:val="1"/>
      <w:numFmt w:val="bullet"/>
      <w:lvlText w:val="o"/>
      <w:lvlJc w:val="left"/>
      <w:pPr>
        <w:ind w:left="4080" w:hanging="360"/>
      </w:pPr>
      <w:rPr>
        <w:rFonts w:ascii="Courier New" w:hAnsi="Courier New" w:cs="Courier New" w:hint="default"/>
      </w:rPr>
    </w:lvl>
    <w:lvl w:ilvl="5" w:tplc="241A0005" w:tentative="1">
      <w:start w:val="1"/>
      <w:numFmt w:val="bullet"/>
      <w:lvlText w:val=""/>
      <w:lvlJc w:val="left"/>
      <w:pPr>
        <w:ind w:left="4800" w:hanging="360"/>
      </w:pPr>
      <w:rPr>
        <w:rFonts w:ascii="Wingdings" w:hAnsi="Wingdings" w:hint="default"/>
      </w:rPr>
    </w:lvl>
    <w:lvl w:ilvl="6" w:tplc="241A0001" w:tentative="1">
      <w:start w:val="1"/>
      <w:numFmt w:val="bullet"/>
      <w:lvlText w:val=""/>
      <w:lvlJc w:val="left"/>
      <w:pPr>
        <w:ind w:left="5520" w:hanging="360"/>
      </w:pPr>
      <w:rPr>
        <w:rFonts w:ascii="Symbol" w:hAnsi="Symbol" w:hint="default"/>
      </w:rPr>
    </w:lvl>
    <w:lvl w:ilvl="7" w:tplc="241A0003" w:tentative="1">
      <w:start w:val="1"/>
      <w:numFmt w:val="bullet"/>
      <w:lvlText w:val="o"/>
      <w:lvlJc w:val="left"/>
      <w:pPr>
        <w:ind w:left="6240" w:hanging="360"/>
      </w:pPr>
      <w:rPr>
        <w:rFonts w:ascii="Courier New" w:hAnsi="Courier New" w:cs="Courier New" w:hint="default"/>
      </w:rPr>
    </w:lvl>
    <w:lvl w:ilvl="8" w:tplc="241A0005" w:tentative="1">
      <w:start w:val="1"/>
      <w:numFmt w:val="bullet"/>
      <w:lvlText w:val=""/>
      <w:lvlJc w:val="left"/>
      <w:pPr>
        <w:ind w:left="6960" w:hanging="360"/>
      </w:pPr>
      <w:rPr>
        <w:rFonts w:ascii="Wingdings" w:hAnsi="Wingdings" w:hint="default"/>
      </w:rPr>
    </w:lvl>
  </w:abstractNum>
  <w:abstractNum w:abstractNumId="25" w15:restartNumberingAfterBreak="0">
    <w:nsid w:val="50EE0E96"/>
    <w:multiLevelType w:val="multilevel"/>
    <w:tmpl w:val="6EAE90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52321929"/>
    <w:multiLevelType w:val="hybridMultilevel"/>
    <w:tmpl w:val="C48E2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44CAC"/>
    <w:multiLevelType w:val="hybridMultilevel"/>
    <w:tmpl w:val="7720A12C"/>
    <w:lvl w:ilvl="0" w:tplc="8BB6379C">
      <w:start w:val="1"/>
      <w:numFmt w:val="decimal"/>
      <w:lvlText w:val="%1)"/>
      <w:lvlJc w:val="left"/>
      <w:pPr>
        <w:ind w:left="720" w:hanging="360"/>
      </w:pPr>
      <w:rPr>
        <w:rFonts w:ascii="Times New Roman" w:hAnsi="Times New Roman"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55567F68"/>
    <w:multiLevelType w:val="multilevel"/>
    <w:tmpl w:val="2AA2EF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55653D40"/>
    <w:multiLevelType w:val="multilevel"/>
    <w:tmpl w:val="F1A62A82"/>
    <w:lvl w:ilvl="0">
      <w:start w:val="1"/>
      <w:numFmt w:val="decimal"/>
      <w:lvlText w:val="%1)"/>
      <w:lvlJc w:val="left"/>
      <w:pPr>
        <w:ind w:left="1788" w:firstLine="1428"/>
      </w:pPr>
    </w:lvl>
    <w:lvl w:ilvl="1">
      <w:start w:val="1"/>
      <w:numFmt w:val="lowerLetter"/>
      <w:lvlText w:val="%2."/>
      <w:lvlJc w:val="left"/>
      <w:pPr>
        <w:ind w:left="2508" w:firstLine="2148"/>
      </w:pPr>
    </w:lvl>
    <w:lvl w:ilvl="2">
      <w:start w:val="1"/>
      <w:numFmt w:val="lowerRoman"/>
      <w:lvlText w:val="%3."/>
      <w:lvlJc w:val="right"/>
      <w:pPr>
        <w:ind w:left="3228" w:firstLine="3048"/>
      </w:pPr>
    </w:lvl>
    <w:lvl w:ilvl="3">
      <w:start w:val="1"/>
      <w:numFmt w:val="decimal"/>
      <w:lvlText w:val="%4."/>
      <w:lvlJc w:val="left"/>
      <w:pPr>
        <w:ind w:left="3948" w:firstLine="3588"/>
      </w:pPr>
    </w:lvl>
    <w:lvl w:ilvl="4">
      <w:start w:val="1"/>
      <w:numFmt w:val="lowerLetter"/>
      <w:lvlText w:val="%5."/>
      <w:lvlJc w:val="left"/>
      <w:pPr>
        <w:ind w:left="4668" w:firstLine="4308"/>
      </w:pPr>
    </w:lvl>
    <w:lvl w:ilvl="5">
      <w:start w:val="1"/>
      <w:numFmt w:val="lowerRoman"/>
      <w:lvlText w:val="%6."/>
      <w:lvlJc w:val="right"/>
      <w:pPr>
        <w:ind w:left="5388" w:firstLine="5208"/>
      </w:pPr>
    </w:lvl>
    <w:lvl w:ilvl="6">
      <w:start w:val="1"/>
      <w:numFmt w:val="decimal"/>
      <w:lvlText w:val="%7."/>
      <w:lvlJc w:val="left"/>
      <w:pPr>
        <w:ind w:left="6108" w:firstLine="5748"/>
      </w:pPr>
    </w:lvl>
    <w:lvl w:ilvl="7">
      <w:start w:val="1"/>
      <w:numFmt w:val="lowerLetter"/>
      <w:lvlText w:val="%8."/>
      <w:lvlJc w:val="left"/>
      <w:pPr>
        <w:ind w:left="6828" w:firstLine="6468"/>
      </w:pPr>
    </w:lvl>
    <w:lvl w:ilvl="8">
      <w:start w:val="1"/>
      <w:numFmt w:val="lowerRoman"/>
      <w:lvlText w:val="%9."/>
      <w:lvlJc w:val="right"/>
      <w:pPr>
        <w:ind w:left="7548" w:firstLine="7368"/>
      </w:pPr>
    </w:lvl>
  </w:abstractNum>
  <w:abstractNum w:abstractNumId="30" w15:restartNumberingAfterBreak="0">
    <w:nsid w:val="5F685F22"/>
    <w:multiLevelType w:val="multilevel"/>
    <w:tmpl w:val="DF80D10C"/>
    <w:lvl w:ilvl="0">
      <w:start w:val="1"/>
      <w:numFmt w:val="decimal"/>
      <w:lvlText w:val="%1)"/>
      <w:lvlJc w:val="left"/>
      <w:pPr>
        <w:ind w:left="1776" w:firstLine="1416"/>
      </w:pPr>
    </w:lvl>
    <w:lvl w:ilvl="1">
      <w:start w:val="1"/>
      <w:numFmt w:val="lowerLetter"/>
      <w:lvlText w:val="%2."/>
      <w:lvlJc w:val="left"/>
      <w:pPr>
        <w:ind w:left="2496" w:firstLine="2136"/>
      </w:pPr>
    </w:lvl>
    <w:lvl w:ilvl="2">
      <w:start w:val="1"/>
      <w:numFmt w:val="lowerRoman"/>
      <w:lvlText w:val="%3."/>
      <w:lvlJc w:val="right"/>
      <w:pPr>
        <w:ind w:left="3216" w:firstLine="3036"/>
      </w:pPr>
    </w:lvl>
    <w:lvl w:ilvl="3">
      <w:start w:val="1"/>
      <w:numFmt w:val="decimal"/>
      <w:lvlText w:val="%4."/>
      <w:lvlJc w:val="left"/>
      <w:pPr>
        <w:ind w:left="3936" w:firstLine="3576"/>
      </w:pPr>
    </w:lvl>
    <w:lvl w:ilvl="4">
      <w:start w:val="1"/>
      <w:numFmt w:val="lowerLetter"/>
      <w:lvlText w:val="%5."/>
      <w:lvlJc w:val="left"/>
      <w:pPr>
        <w:ind w:left="4656" w:firstLine="4296"/>
      </w:pPr>
    </w:lvl>
    <w:lvl w:ilvl="5">
      <w:start w:val="1"/>
      <w:numFmt w:val="lowerRoman"/>
      <w:lvlText w:val="%6."/>
      <w:lvlJc w:val="right"/>
      <w:pPr>
        <w:ind w:left="5376" w:firstLine="5196"/>
      </w:pPr>
    </w:lvl>
    <w:lvl w:ilvl="6">
      <w:start w:val="1"/>
      <w:numFmt w:val="decimal"/>
      <w:lvlText w:val="%7."/>
      <w:lvlJc w:val="left"/>
      <w:pPr>
        <w:ind w:left="6096" w:firstLine="5736"/>
      </w:pPr>
    </w:lvl>
    <w:lvl w:ilvl="7">
      <w:start w:val="1"/>
      <w:numFmt w:val="lowerLetter"/>
      <w:lvlText w:val="%8."/>
      <w:lvlJc w:val="left"/>
      <w:pPr>
        <w:ind w:left="6816" w:firstLine="6456"/>
      </w:pPr>
    </w:lvl>
    <w:lvl w:ilvl="8">
      <w:start w:val="1"/>
      <w:numFmt w:val="lowerRoman"/>
      <w:lvlText w:val="%9."/>
      <w:lvlJc w:val="right"/>
      <w:pPr>
        <w:ind w:left="7536" w:firstLine="7356"/>
      </w:pPr>
    </w:lvl>
  </w:abstractNum>
  <w:abstractNum w:abstractNumId="31" w15:restartNumberingAfterBreak="0">
    <w:nsid w:val="60711DD3"/>
    <w:multiLevelType w:val="hybridMultilevel"/>
    <w:tmpl w:val="7F6E0118"/>
    <w:lvl w:ilvl="0" w:tplc="CE9CAFE6">
      <w:start w:val="18"/>
      <w:numFmt w:val="bullet"/>
      <w:lvlText w:val=""/>
      <w:lvlJc w:val="left"/>
      <w:pPr>
        <w:ind w:left="900" w:hanging="360"/>
      </w:pPr>
      <w:rPr>
        <w:rFonts w:ascii="Symbol" w:eastAsia="Times New Roman" w:hAnsi="Symbol"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15:restartNumberingAfterBreak="0">
    <w:nsid w:val="67560E76"/>
    <w:multiLevelType w:val="hybridMultilevel"/>
    <w:tmpl w:val="0DC23034"/>
    <w:lvl w:ilvl="0" w:tplc="24368A32">
      <w:start w:val="18"/>
      <w:numFmt w:val="bullet"/>
      <w:lvlText w:val=""/>
      <w:lvlJc w:val="left"/>
      <w:pPr>
        <w:ind w:left="840" w:hanging="360"/>
      </w:pPr>
      <w:rPr>
        <w:rFonts w:ascii="Symbol" w:eastAsia="Times New Roman" w:hAnsi="Symbol"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3" w15:restartNumberingAfterBreak="0">
    <w:nsid w:val="67F62477"/>
    <w:multiLevelType w:val="multilevel"/>
    <w:tmpl w:val="4BF8B7E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6D1477B5"/>
    <w:multiLevelType w:val="multilevel"/>
    <w:tmpl w:val="6E8675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71870C5B"/>
    <w:multiLevelType w:val="multilevel"/>
    <w:tmpl w:val="3DE6F9B2"/>
    <w:lvl w:ilvl="0">
      <w:start w:val="1"/>
      <w:numFmt w:val="decimal"/>
      <w:lvlText w:val="%1)"/>
      <w:lvlJc w:val="left"/>
      <w:pPr>
        <w:ind w:left="1788" w:firstLine="1428"/>
      </w:pPr>
    </w:lvl>
    <w:lvl w:ilvl="1">
      <w:start w:val="1"/>
      <w:numFmt w:val="lowerLetter"/>
      <w:lvlText w:val="%2."/>
      <w:lvlJc w:val="left"/>
      <w:pPr>
        <w:ind w:left="2508" w:firstLine="2148"/>
      </w:pPr>
    </w:lvl>
    <w:lvl w:ilvl="2">
      <w:start w:val="1"/>
      <w:numFmt w:val="lowerRoman"/>
      <w:lvlText w:val="%3."/>
      <w:lvlJc w:val="right"/>
      <w:pPr>
        <w:ind w:left="3228" w:firstLine="3048"/>
      </w:pPr>
    </w:lvl>
    <w:lvl w:ilvl="3">
      <w:start w:val="1"/>
      <w:numFmt w:val="decimal"/>
      <w:lvlText w:val="%4."/>
      <w:lvlJc w:val="left"/>
      <w:pPr>
        <w:ind w:left="3948" w:firstLine="3588"/>
      </w:pPr>
    </w:lvl>
    <w:lvl w:ilvl="4">
      <w:start w:val="1"/>
      <w:numFmt w:val="lowerLetter"/>
      <w:lvlText w:val="%5."/>
      <w:lvlJc w:val="left"/>
      <w:pPr>
        <w:ind w:left="4668" w:firstLine="4308"/>
      </w:pPr>
    </w:lvl>
    <w:lvl w:ilvl="5">
      <w:start w:val="1"/>
      <w:numFmt w:val="lowerRoman"/>
      <w:lvlText w:val="%6."/>
      <w:lvlJc w:val="right"/>
      <w:pPr>
        <w:ind w:left="5388" w:firstLine="5208"/>
      </w:pPr>
    </w:lvl>
    <w:lvl w:ilvl="6">
      <w:start w:val="1"/>
      <w:numFmt w:val="decimal"/>
      <w:lvlText w:val="%7."/>
      <w:lvlJc w:val="left"/>
      <w:pPr>
        <w:ind w:left="6108" w:firstLine="5748"/>
      </w:pPr>
    </w:lvl>
    <w:lvl w:ilvl="7">
      <w:start w:val="1"/>
      <w:numFmt w:val="lowerLetter"/>
      <w:lvlText w:val="%8."/>
      <w:lvlJc w:val="left"/>
      <w:pPr>
        <w:ind w:left="6828" w:firstLine="6468"/>
      </w:pPr>
    </w:lvl>
    <w:lvl w:ilvl="8">
      <w:start w:val="1"/>
      <w:numFmt w:val="lowerRoman"/>
      <w:lvlText w:val="%9."/>
      <w:lvlJc w:val="right"/>
      <w:pPr>
        <w:ind w:left="7548" w:firstLine="7368"/>
      </w:pPr>
    </w:lvl>
  </w:abstractNum>
  <w:abstractNum w:abstractNumId="36" w15:restartNumberingAfterBreak="0">
    <w:nsid w:val="788025EC"/>
    <w:multiLevelType w:val="hybridMultilevel"/>
    <w:tmpl w:val="712AB9E2"/>
    <w:lvl w:ilvl="0" w:tplc="33C6987C">
      <w:start w:val="18"/>
      <w:numFmt w:val="bullet"/>
      <w:lvlText w:val=""/>
      <w:lvlJc w:val="left"/>
      <w:pPr>
        <w:ind w:left="840" w:hanging="360"/>
      </w:pPr>
      <w:rPr>
        <w:rFonts w:ascii="Symbol" w:eastAsia="Times New Roman" w:hAnsi="Symbol"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7" w15:restartNumberingAfterBreak="0">
    <w:nsid w:val="7DEF0212"/>
    <w:multiLevelType w:val="hybridMultilevel"/>
    <w:tmpl w:val="5CFC8918"/>
    <w:lvl w:ilvl="0" w:tplc="585A0FB8">
      <w:start w:val="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3"/>
  </w:num>
  <w:num w:numId="4">
    <w:abstractNumId w:val="29"/>
  </w:num>
  <w:num w:numId="5">
    <w:abstractNumId w:val="5"/>
  </w:num>
  <w:num w:numId="6">
    <w:abstractNumId w:val="35"/>
  </w:num>
  <w:num w:numId="7">
    <w:abstractNumId w:val="33"/>
  </w:num>
  <w:num w:numId="8">
    <w:abstractNumId w:val="30"/>
  </w:num>
  <w:num w:numId="9">
    <w:abstractNumId w:val="18"/>
  </w:num>
  <w:num w:numId="10">
    <w:abstractNumId w:val="22"/>
  </w:num>
  <w:num w:numId="11">
    <w:abstractNumId w:val="19"/>
  </w:num>
  <w:num w:numId="12">
    <w:abstractNumId w:val="28"/>
  </w:num>
  <w:num w:numId="13">
    <w:abstractNumId w:val="8"/>
  </w:num>
  <w:num w:numId="14">
    <w:abstractNumId w:val="16"/>
  </w:num>
  <w:num w:numId="15">
    <w:abstractNumId w:val="12"/>
  </w:num>
  <w:num w:numId="16">
    <w:abstractNumId w:val="13"/>
  </w:num>
  <w:num w:numId="17">
    <w:abstractNumId w:val="34"/>
  </w:num>
  <w:num w:numId="18">
    <w:abstractNumId w:val="25"/>
  </w:num>
  <w:num w:numId="19">
    <w:abstractNumId w:val="4"/>
  </w:num>
  <w:num w:numId="20">
    <w:abstractNumId w:val="1"/>
  </w:num>
  <w:num w:numId="21">
    <w:abstractNumId w:val="2"/>
  </w:num>
  <w:num w:numId="22">
    <w:abstractNumId w:val="0"/>
  </w:num>
  <w:num w:numId="23">
    <w:abstractNumId w:val="24"/>
  </w:num>
  <w:num w:numId="24">
    <w:abstractNumId w:val="14"/>
  </w:num>
  <w:num w:numId="25">
    <w:abstractNumId w:val="15"/>
  </w:num>
  <w:num w:numId="26">
    <w:abstractNumId w:val="20"/>
  </w:num>
  <w:num w:numId="27">
    <w:abstractNumId w:val="36"/>
  </w:num>
  <w:num w:numId="28">
    <w:abstractNumId w:val="32"/>
  </w:num>
  <w:num w:numId="29">
    <w:abstractNumId w:val="3"/>
  </w:num>
  <w:num w:numId="30">
    <w:abstractNumId w:val="31"/>
  </w:num>
  <w:num w:numId="31">
    <w:abstractNumId w:val="37"/>
  </w:num>
  <w:num w:numId="32">
    <w:abstractNumId w:val="11"/>
  </w:num>
  <w:num w:numId="33">
    <w:abstractNumId w:val="26"/>
  </w:num>
  <w:num w:numId="34">
    <w:abstractNumId w:val="10"/>
  </w:num>
  <w:num w:numId="35">
    <w:abstractNumId w:val="27"/>
  </w:num>
  <w:num w:numId="36">
    <w:abstractNumId w:val="9"/>
  </w:num>
  <w:num w:numId="37">
    <w:abstractNumId w:val="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6B"/>
    <w:rsid w:val="00003594"/>
    <w:rsid w:val="00006165"/>
    <w:rsid w:val="000126A1"/>
    <w:rsid w:val="00015695"/>
    <w:rsid w:val="00020108"/>
    <w:rsid w:val="00021DE5"/>
    <w:rsid w:val="00023557"/>
    <w:rsid w:val="0002404D"/>
    <w:rsid w:val="000258CC"/>
    <w:rsid w:val="00027A55"/>
    <w:rsid w:val="00037833"/>
    <w:rsid w:val="00040467"/>
    <w:rsid w:val="000419A2"/>
    <w:rsid w:val="00044301"/>
    <w:rsid w:val="00044F8B"/>
    <w:rsid w:val="00045171"/>
    <w:rsid w:val="00047E7D"/>
    <w:rsid w:val="0005224A"/>
    <w:rsid w:val="0005281A"/>
    <w:rsid w:val="00052933"/>
    <w:rsid w:val="000541BF"/>
    <w:rsid w:val="000561D1"/>
    <w:rsid w:val="00056942"/>
    <w:rsid w:val="0006017B"/>
    <w:rsid w:val="00061344"/>
    <w:rsid w:val="00067E0F"/>
    <w:rsid w:val="0007333A"/>
    <w:rsid w:val="0007596F"/>
    <w:rsid w:val="0007633E"/>
    <w:rsid w:val="000813F3"/>
    <w:rsid w:val="000818F4"/>
    <w:rsid w:val="00081D20"/>
    <w:rsid w:val="00083C03"/>
    <w:rsid w:val="00087313"/>
    <w:rsid w:val="00096216"/>
    <w:rsid w:val="0009719D"/>
    <w:rsid w:val="00097CBA"/>
    <w:rsid w:val="000A14C7"/>
    <w:rsid w:val="000A1813"/>
    <w:rsid w:val="000A7A67"/>
    <w:rsid w:val="000B74B4"/>
    <w:rsid w:val="000C0DA1"/>
    <w:rsid w:val="000C14CA"/>
    <w:rsid w:val="000C2985"/>
    <w:rsid w:val="000C2F3D"/>
    <w:rsid w:val="000C3D20"/>
    <w:rsid w:val="000C65AD"/>
    <w:rsid w:val="000C6683"/>
    <w:rsid w:val="000D2E5B"/>
    <w:rsid w:val="000D442D"/>
    <w:rsid w:val="000D4B92"/>
    <w:rsid w:val="000D5B07"/>
    <w:rsid w:val="000D5DA7"/>
    <w:rsid w:val="000D728A"/>
    <w:rsid w:val="000E0419"/>
    <w:rsid w:val="000E31A0"/>
    <w:rsid w:val="000E44A5"/>
    <w:rsid w:val="000E57AE"/>
    <w:rsid w:val="000F0E54"/>
    <w:rsid w:val="000F3883"/>
    <w:rsid w:val="000F3BCB"/>
    <w:rsid w:val="000F45E3"/>
    <w:rsid w:val="000F4715"/>
    <w:rsid w:val="000F4D4E"/>
    <w:rsid w:val="000F76C5"/>
    <w:rsid w:val="00101819"/>
    <w:rsid w:val="00101D74"/>
    <w:rsid w:val="00105BE6"/>
    <w:rsid w:val="00107EFD"/>
    <w:rsid w:val="00112332"/>
    <w:rsid w:val="00114215"/>
    <w:rsid w:val="00117C68"/>
    <w:rsid w:val="00124F0F"/>
    <w:rsid w:val="0012501E"/>
    <w:rsid w:val="001250D9"/>
    <w:rsid w:val="00132908"/>
    <w:rsid w:val="00132CE5"/>
    <w:rsid w:val="00136C5A"/>
    <w:rsid w:val="00137E10"/>
    <w:rsid w:val="00141DB8"/>
    <w:rsid w:val="00141FBF"/>
    <w:rsid w:val="001432DA"/>
    <w:rsid w:val="00143581"/>
    <w:rsid w:val="00143D27"/>
    <w:rsid w:val="0014577D"/>
    <w:rsid w:val="00147936"/>
    <w:rsid w:val="00147A95"/>
    <w:rsid w:val="0015169A"/>
    <w:rsid w:val="00151CAE"/>
    <w:rsid w:val="0015287B"/>
    <w:rsid w:val="00157321"/>
    <w:rsid w:val="001608AC"/>
    <w:rsid w:val="00161C34"/>
    <w:rsid w:val="00162212"/>
    <w:rsid w:val="00164BD6"/>
    <w:rsid w:val="00166C95"/>
    <w:rsid w:val="00166ED4"/>
    <w:rsid w:val="0016755D"/>
    <w:rsid w:val="00171D05"/>
    <w:rsid w:val="00172594"/>
    <w:rsid w:val="00176F4D"/>
    <w:rsid w:val="00181D88"/>
    <w:rsid w:val="00183E06"/>
    <w:rsid w:val="0018652F"/>
    <w:rsid w:val="00187C37"/>
    <w:rsid w:val="00191456"/>
    <w:rsid w:val="001937BA"/>
    <w:rsid w:val="0019473A"/>
    <w:rsid w:val="00194E24"/>
    <w:rsid w:val="00195014"/>
    <w:rsid w:val="001960F4"/>
    <w:rsid w:val="0019614E"/>
    <w:rsid w:val="001A1634"/>
    <w:rsid w:val="001A198A"/>
    <w:rsid w:val="001A414F"/>
    <w:rsid w:val="001A4BA9"/>
    <w:rsid w:val="001A5688"/>
    <w:rsid w:val="001B11C4"/>
    <w:rsid w:val="001B32B1"/>
    <w:rsid w:val="001B753B"/>
    <w:rsid w:val="001B78E6"/>
    <w:rsid w:val="001C012B"/>
    <w:rsid w:val="001C27B6"/>
    <w:rsid w:val="001C3286"/>
    <w:rsid w:val="001C3A8C"/>
    <w:rsid w:val="001C3C25"/>
    <w:rsid w:val="001C55BA"/>
    <w:rsid w:val="001C658B"/>
    <w:rsid w:val="001D2929"/>
    <w:rsid w:val="001D4848"/>
    <w:rsid w:val="001D493C"/>
    <w:rsid w:val="001E21A2"/>
    <w:rsid w:val="001E5CFF"/>
    <w:rsid w:val="001E7E45"/>
    <w:rsid w:val="001F270A"/>
    <w:rsid w:val="001F49C7"/>
    <w:rsid w:val="001F508D"/>
    <w:rsid w:val="001F6960"/>
    <w:rsid w:val="001F725F"/>
    <w:rsid w:val="002021C9"/>
    <w:rsid w:val="0020503E"/>
    <w:rsid w:val="00207B68"/>
    <w:rsid w:val="0021027C"/>
    <w:rsid w:val="002105AE"/>
    <w:rsid w:val="002162A3"/>
    <w:rsid w:val="002164DB"/>
    <w:rsid w:val="0021764D"/>
    <w:rsid w:val="0022218F"/>
    <w:rsid w:val="00222414"/>
    <w:rsid w:val="00222C72"/>
    <w:rsid w:val="002273A1"/>
    <w:rsid w:val="002362FF"/>
    <w:rsid w:val="00236D28"/>
    <w:rsid w:val="00237289"/>
    <w:rsid w:val="0023752E"/>
    <w:rsid w:val="00242A48"/>
    <w:rsid w:val="00242A7F"/>
    <w:rsid w:val="0024375F"/>
    <w:rsid w:val="002438F6"/>
    <w:rsid w:val="00252186"/>
    <w:rsid w:val="002600E8"/>
    <w:rsid w:val="002619E4"/>
    <w:rsid w:val="00263B40"/>
    <w:rsid w:val="00265DA6"/>
    <w:rsid w:val="002672B2"/>
    <w:rsid w:val="00267379"/>
    <w:rsid w:val="0027054C"/>
    <w:rsid w:val="002710A5"/>
    <w:rsid w:val="002734A0"/>
    <w:rsid w:val="002746F7"/>
    <w:rsid w:val="00274D65"/>
    <w:rsid w:val="002768DA"/>
    <w:rsid w:val="002768FB"/>
    <w:rsid w:val="0028000E"/>
    <w:rsid w:val="00284899"/>
    <w:rsid w:val="002871ED"/>
    <w:rsid w:val="00290253"/>
    <w:rsid w:val="002914EF"/>
    <w:rsid w:val="0029217C"/>
    <w:rsid w:val="002961A6"/>
    <w:rsid w:val="002A1330"/>
    <w:rsid w:val="002A20A5"/>
    <w:rsid w:val="002A2F0F"/>
    <w:rsid w:val="002A32A0"/>
    <w:rsid w:val="002A3601"/>
    <w:rsid w:val="002A554F"/>
    <w:rsid w:val="002A6282"/>
    <w:rsid w:val="002A716A"/>
    <w:rsid w:val="002B2357"/>
    <w:rsid w:val="002B4402"/>
    <w:rsid w:val="002B6B8B"/>
    <w:rsid w:val="002C0444"/>
    <w:rsid w:val="002C1BDC"/>
    <w:rsid w:val="002C4BE3"/>
    <w:rsid w:val="002C5415"/>
    <w:rsid w:val="002C7D90"/>
    <w:rsid w:val="002D0A86"/>
    <w:rsid w:val="002D178A"/>
    <w:rsid w:val="002D1F33"/>
    <w:rsid w:val="002D2247"/>
    <w:rsid w:val="002D4A7B"/>
    <w:rsid w:val="002D6CA5"/>
    <w:rsid w:val="002D6DC4"/>
    <w:rsid w:val="002D7DCF"/>
    <w:rsid w:val="002E0461"/>
    <w:rsid w:val="002E0F16"/>
    <w:rsid w:val="002E3788"/>
    <w:rsid w:val="002E4BEA"/>
    <w:rsid w:val="002E77E2"/>
    <w:rsid w:val="002F2661"/>
    <w:rsid w:val="002F2F7A"/>
    <w:rsid w:val="002F4695"/>
    <w:rsid w:val="002F71C8"/>
    <w:rsid w:val="00301E0F"/>
    <w:rsid w:val="00303D7C"/>
    <w:rsid w:val="00304FC8"/>
    <w:rsid w:val="00306D6B"/>
    <w:rsid w:val="00310797"/>
    <w:rsid w:val="00312ABC"/>
    <w:rsid w:val="0031432B"/>
    <w:rsid w:val="00314D60"/>
    <w:rsid w:val="00315029"/>
    <w:rsid w:val="0031590A"/>
    <w:rsid w:val="00315B89"/>
    <w:rsid w:val="00317259"/>
    <w:rsid w:val="00317EBF"/>
    <w:rsid w:val="00320BEA"/>
    <w:rsid w:val="003213E9"/>
    <w:rsid w:val="00325640"/>
    <w:rsid w:val="00327552"/>
    <w:rsid w:val="00327A8C"/>
    <w:rsid w:val="003304AA"/>
    <w:rsid w:val="003318C1"/>
    <w:rsid w:val="003319C6"/>
    <w:rsid w:val="00334301"/>
    <w:rsid w:val="003349E2"/>
    <w:rsid w:val="003350E9"/>
    <w:rsid w:val="00335363"/>
    <w:rsid w:val="0033649C"/>
    <w:rsid w:val="00336A70"/>
    <w:rsid w:val="00337320"/>
    <w:rsid w:val="00344652"/>
    <w:rsid w:val="003446D4"/>
    <w:rsid w:val="00344CAC"/>
    <w:rsid w:val="003456A2"/>
    <w:rsid w:val="00346F23"/>
    <w:rsid w:val="00352D96"/>
    <w:rsid w:val="00353C64"/>
    <w:rsid w:val="00353F00"/>
    <w:rsid w:val="00355DAA"/>
    <w:rsid w:val="00355EF1"/>
    <w:rsid w:val="00360B34"/>
    <w:rsid w:val="00364959"/>
    <w:rsid w:val="00371E02"/>
    <w:rsid w:val="0037431B"/>
    <w:rsid w:val="00381DDD"/>
    <w:rsid w:val="00383C7E"/>
    <w:rsid w:val="00384CA5"/>
    <w:rsid w:val="00385C1E"/>
    <w:rsid w:val="00387E23"/>
    <w:rsid w:val="00390379"/>
    <w:rsid w:val="00391375"/>
    <w:rsid w:val="003922D5"/>
    <w:rsid w:val="00393D5B"/>
    <w:rsid w:val="003962AD"/>
    <w:rsid w:val="003A3E5F"/>
    <w:rsid w:val="003A50AF"/>
    <w:rsid w:val="003A5862"/>
    <w:rsid w:val="003A5CC7"/>
    <w:rsid w:val="003B131C"/>
    <w:rsid w:val="003B1E68"/>
    <w:rsid w:val="003B201F"/>
    <w:rsid w:val="003B2D6E"/>
    <w:rsid w:val="003B65B1"/>
    <w:rsid w:val="003B79AD"/>
    <w:rsid w:val="003C0C42"/>
    <w:rsid w:val="003C274E"/>
    <w:rsid w:val="003C5177"/>
    <w:rsid w:val="003C5B46"/>
    <w:rsid w:val="003D2509"/>
    <w:rsid w:val="003D3EEC"/>
    <w:rsid w:val="003D4775"/>
    <w:rsid w:val="003D6AE2"/>
    <w:rsid w:val="003E1160"/>
    <w:rsid w:val="003E3307"/>
    <w:rsid w:val="003E3A37"/>
    <w:rsid w:val="003E58E3"/>
    <w:rsid w:val="003E7CBC"/>
    <w:rsid w:val="003F2E16"/>
    <w:rsid w:val="003F366C"/>
    <w:rsid w:val="003F4488"/>
    <w:rsid w:val="003F46D8"/>
    <w:rsid w:val="003F50DC"/>
    <w:rsid w:val="003F528E"/>
    <w:rsid w:val="003F68A9"/>
    <w:rsid w:val="00401C09"/>
    <w:rsid w:val="00403027"/>
    <w:rsid w:val="00404AF6"/>
    <w:rsid w:val="00406D8E"/>
    <w:rsid w:val="00411FD5"/>
    <w:rsid w:val="004130BC"/>
    <w:rsid w:val="00423622"/>
    <w:rsid w:val="00430EF3"/>
    <w:rsid w:val="004319AB"/>
    <w:rsid w:val="00434A0E"/>
    <w:rsid w:val="00437B1E"/>
    <w:rsid w:val="00442463"/>
    <w:rsid w:val="00442E1C"/>
    <w:rsid w:val="004449B8"/>
    <w:rsid w:val="00446FF4"/>
    <w:rsid w:val="004538E2"/>
    <w:rsid w:val="00457420"/>
    <w:rsid w:val="0046192B"/>
    <w:rsid w:val="00462A48"/>
    <w:rsid w:val="00462EC5"/>
    <w:rsid w:val="00464AD7"/>
    <w:rsid w:val="004662C8"/>
    <w:rsid w:val="0046638C"/>
    <w:rsid w:val="004673DA"/>
    <w:rsid w:val="0046749C"/>
    <w:rsid w:val="0047075B"/>
    <w:rsid w:val="00474742"/>
    <w:rsid w:val="00474FDC"/>
    <w:rsid w:val="00475820"/>
    <w:rsid w:val="00480840"/>
    <w:rsid w:val="00483EDB"/>
    <w:rsid w:val="00486387"/>
    <w:rsid w:val="004907F3"/>
    <w:rsid w:val="0049359A"/>
    <w:rsid w:val="00495C4F"/>
    <w:rsid w:val="004961B1"/>
    <w:rsid w:val="00497EAC"/>
    <w:rsid w:val="004A0D54"/>
    <w:rsid w:val="004A1B59"/>
    <w:rsid w:val="004A621B"/>
    <w:rsid w:val="004A6BBD"/>
    <w:rsid w:val="004A6C05"/>
    <w:rsid w:val="004B3371"/>
    <w:rsid w:val="004B4E30"/>
    <w:rsid w:val="004B4FB4"/>
    <w:rsid w:val="004B7008"/>
    <w:rsid w:val="004C0ADD"/>
    <w:rsid w:val="004C112A"/>
    <w:rsid w:val="004C1A7F"/>
    <w:rsid w:val="004C3064"/>
    <w:rsid w:val="004C5D95"/>
    <w:rsid w:val="004C69CA"/>
    <w:rsid w:val="004D2FD6"/>
    <w:rsid w:val="004D5815"/>
    <w:rsid w:val="004E4C36"/>
    <w:rsid w:val="004E50D9"/>
    <w:rsid w:val="004E5145"/>
    <w:rsid w:val="004E7A2A"/>
    <w:rsid w:val="004F0C5D"/>
    <w:rsid w:val="004F0DED"/>
    <w:rsid w:val="004F1346"/>
    <w:rsid w:val="004F321E"/>
    <w:rsid w:val="004F41C9"/>
    <w:rsid w:val="004F43C5"/>
    <w:rsid w:val="004F4F4B"/>
    <w:rsid w:val="004F5F81"/>
    <w:rsid w:val="004F7111"/>
    <w:rsid w:val="00501256"/>
    <w:rsid w:val="005015EA"/>
    <w:rsid w:val="00506D37"/>
    <w:rsid w:val="00507882"/>
    <w:rsid w:val="00511899"/>
    <w:rsid w:val="00513043"/>
    <w:rsid w:val="0051435F"/>
    <w:rsid w:val="00515B3F"/>
    <w:rsid w:val="005235B2"/>
    <w:rsid w:val="0052796F"/>
    <w:rsid w:val="00527B99"/>
    <w:rsid w:val="00530DD7"/>
    <w:rsid w:val="00531A9A"/>
    <w:rsid w:val="0053238A"/>
    <w:rsid w:val="00533755"/>
    <w:rsid w:val="0054152D"/>
    <w:rsid w:val="00541C4A"/>
    <w:rsid w:val="00544B6C"/>
    <w:rsid w:val="0054777A"/>
    <w:rsid w:val="00547C1E"/>
    <w:rsid w:val="005512F4"/>
    <w:rsid w:val="005606D0"/>
    <w:rsid w:val="005628BF"/>
    <w:rsid w:val="00563A7A"/>
    <w:rsid w:val="00563D28"/>
    <w:rsid w:val="005671A4"/>
    <w:rsid w:val="00567923"/>
    <w:rsid w:val="005845AE"/>
    <w:rsid w:val="0058542E"/>
    <w:rsid w:val="00587ED4"/>
    <w:rsid w:val="0059066E"/>
    <w:rsid w:val="005909B7"/>
    <w:rsid w:val="00592AB0"/>
    <w:rsid w:val="00597262"/>
    <w:rsid w:val="005973FE"/>
    <w:rsid w:val="00597EBA"/>
    <w:rsid w:val="005A0327"/>
    <w:rsid w:val="005A06C6"/>
    <w:rsid w:val="005A086B"/>
    <w:rsid w:val="005A205D"/>
    <w:rsid w:val="005A50A9"/>
    <w:rsid w:val="005B2DE7"/>
    <w:rsid w:val="005B6873"/>
    <w:rsid w:val="005B7CB7"/>
    <w:rsid w:val="005C058A"/>
    <w:rsid w:val="005C0CEA"/>
    <w:rsid w:val="005C298E"/>
    <w:rsid w:val="005C2DA4"/>
    <w:rsid w:val="005C5446"/>
    <w:rsid w:val="005C5E5F"/>
    <w:rsid w:val="005C68BF"/>
    <w:rsid w:val="005C7A20"/>
    <w:rsid w:val="005D7703"/>
    <w:rsid w:val="005E08C5"/>
    <w:rsid w:val="005E2AC9"/>
    <w:rsid w:val="005E3C22"/>
    <w:rsid w:val="005E7BEF"/>
    <w:rsid w:val="005F2680"/>
    <w:rsid w:val="005F2AB0"/>
    <w:rsid w:val="005F361E"/>
    <w:rsid w:val="005F4712"/>
    <w:rsid w:val="005F6215"/>
    <w:rsid w:val="005F6A09"/>
    <w:rsid w:val="00601383"/>
    <w:rsid w:val="00601964"/>
    <w:rsid w:val="00604955"/>
    <w:rsid w:val="00604BFF"/>
    <w:rsid w:val="006055AF"/>
    <w:rsid w:val="006124AC"/>
    <w:rsid w:val="0061408D"/>
    <w:rsid w:val="00614B24"/>
    <w:rsid w:val="00614E33"/>
    <w:rsid w:val="00620ABD"/>
    <w:rsid w:val="00622DD5"/>
    <w:rsid w:val="00624E19"/>
    <w:rsid w:val="00625609"/>
    <w:rsid w:val="006262E1"/>
    <w:rsid w:val="0062747F"/>
    <w:rsid w:val="00627A6E"/>
    <w:rsid w:val="00627D61"/>
    <w:rsid w:val="00631BB7"/>
    <w:rsid w:val="00631E02"/>
    <w:rsid w:val="00632425"/>
    <w:rsid w:val="00632CA0"/>
    <w:rsid w:val="00636984"/>
    <w:rsid w:val="006374CB"/>
    <w:rsid w:val="00640496"/>
    <w:rsid w:val="00641096"/>
    <w:rsid w:val="0064161A"/>
    <w:rsid w:val="00641864"/>
    <w:rsid w:val="00644027"/>
    <w:rsid w:val="006445E9"/>
    <w:rsid w:val="00644D88"/>
    <w:rsid w:val="0064712C"/>
    <w:rsid w:val="00652C2E"/>
    <w:rsid w:val="00656316"/>
    <w:rsid w:val="00656771"/>
    <w:rsid w:val="0065713F"/>
    <w:rsid w:val="006602A4"/>
    <w:rsid w:val="00660567"/>
    <w:rsid w:val="006607C1"/>
    <w:rsid w:val="00660C63"/>
    <w:rsid w:val="00662B5F"/>
    <w:rsid w:val="006631DF"/>
    <w:rsid w:val="00663CC1"/>
    <w:rsid w:val="006641EE"/>
    <w:rsid w:val="00664DAE"/>
    <w:rsid w:val="00665F34"/>
    <w:rsid w:val="00667905"/>
    <w:rsid w:val="00673431"/>
    <w:rsid w:val="00683894"/>
    <w:rsid w:val="00684EA4"/>
    <w:rsid w:val="0068734A"/>
    <w:rsid w:val="00691029"/>
    <w:rsid w:val="006931C4"/>
    <w:rsid w:val="006A3821"/>
    <w:rsid w:val="006A48C7"/>
    <w:rsid w:val="006A63B9"/>
    <w:rsid w:val="006B22A4"/>
    <w:rsid w:val="006B4792"/>
    <w:rsid w:val="006B5953"/>
    <w:rsid w:val="006B7AED"/>
    <w:rsid w:val="006C24A0"/>
    <w:rsid w:val="006C357B"/>
    <w:rsid w:val="006C3616"/>
    <w:rsid w:val="006C3621"/>
    <w:rsid w:val="006C3CF2"/>
    <w:rsid w:val="006C5D6C"/>
    <w:rsid w:val="006C779D"/>
    <w:rsid w:val="006D0574"/>
    <w:rsid w:val="006D2DE7"/>
    <w:rsid w:val="006D31D3"/>
    <w:rsid w:val="006E07B8"/>
    <w:rsid w:val="006E0E2D"/>
    <w:rsid w:val="006E273D"/>
    <w:rsid w:val="006E2AED"/>
    <w:rsid w:val="006E2F68"/>
    <w:rsid w:val="006E360E"/>
    <w:rsid w:val="006F2E5D"/>
    <w:rsid w:val="006F5E22"/>
    <w:rsid w:val="006F640F"/>
    <w:rsid w:val="006F7978"/>
    <w:rsid w:val="006F7C60"/>
    <w:rsid w:val="00700646"/>
    <w:rsid w:val="00700BF6"/>
    <w:rsid w:val="00702EEF"/>
    <w:rsid w:val="0070333A"/>
    <w:rsid w:val="00703C49"/>
    <w:rsid w:val="00707612"/>
    <w:rsid w:val="00712500"/>
    <w:rsid w:val="0071540A"/>
    <w:rsid w:val="00716460"/>
    <w:rsid w:val="00716BBB"/>
    <w:rsid w:val="00716D74"/>
    <w:rsid w:val="00720C10"/>
    <w:rsid w:val="00721FC6"/>
    <w:rsid w:val="00722AFE"/>
    <w:rsid w:val="007255C3"/>
    <w:rsid w:val="00727B86"/>
    <w:rsid w:val="0073143B"/>
    <w:rsid w:val="007341F8"/>
    <w:rsid w:val="0073550C"/>
    <w:rsid w:val="0073692E"/>
    <w:rsid w:val="007376AB"/>
    <w:rsid w:val="00737810"/>
    <w:rsid w:val="007407BC"/>
    <w:rsid w:val="00741886"/>
    <w:rsid w:val="0074337A"/>
    <w:rsid w:val="00744641"/>
    <w:rsid w:val="00744CAC"/>
    <w:rsid w:val="00744F1D"/>
    <w:rsid w:val="00745912"/>
    <w:rsid w:val="007469E6"/>
    <w:rsid w:val="00751444"/>
    <w:rsid w:val="007533E8"/>
    <w:rsid w:val="007553DD"/>
    <w:rsid w:val="00755E2F"/>
    <w:rsid w:val="00764669"/>
    <w:rsid w:val="0076471F"/>
    <w:rsid w:val="007661D9"/>
    <w:rsid w:val="00767BF2"/>
    <w:rsid w:val="00770278"/>
    <w:rsid w:val="0077128E"/>
    <w:rsid w:val="00774F10"/>
    <w:rsid w:val="0077595F"/>
    <w:rsid w:val="007764D0"/>
    <w:rsid w:val="00777193"/>
    <w:rsid w:val="0078018A"/>
    <w:rsid w:val="00780C0D"/>
    <w:rsid w:val="00781F06"/>
    <w:rsid w:val="00786E92"/>
    <w:rsid w:val="00790750"/>
    <w:rsid w:val="00790C20"/>
    <w:rsid w:val="00791BA9"/>
    <w:rsid w:val="00793B64"/>
    <w:rsid w:val="00793BC1"/>
    <w:rsid w:val="00794F8B"/>
    <w:rsid w:val="00795E44"/>
    <w:rsid w:val="00797C0C"/>
    <w:rsid w:val="007A4E96"/>
    <w:rsid w:val="007A6AB0"/>
    <w:rsid w:val="007B100A"/>
    <w:rsid w:val="007B2C18"/>
    <w:rsid w:val="007B4857"/>
    <w:rsid w:val="007B5A0F"/>
    <w:rsid w:val="007B79D9"/>
    <w:rsid w:val="007C1107"/>
    <w:rsid w:val="007C1683"/>
    <w:rsid w:val="007C2B29"/>
    <w:rsid w:val="007C3042"/>
    <w:rsid w:val="007C4064"/>
    <w:rsid w:val="007C4526"/>
    <w:rsid w:val="007C5515"/>
    <w:rsid w:val="007C5601"/>
    <w:rsid w:val="007C7AEE"/>
    <w:rsid w:val="007D0E15"/>
    <w:rsid w:val="007D2125"/>
    <w:rsid w:val="007D3B8C"/>
    <w:rsid w:val="007D5994"/>
    <w:rsid w:val="007D6680"/>
    <w:rsid w:val="007D6914"/>
    <w:rsid w:val="007E29E3"/>
    <w:rsid w:val="007E3A8A"/>
    <w:rsid w:val="007E69F3"/>
    <w:rsid w:val="007E77D0"/>
    <w:rsid w:val="007F1D22"/>
    <w:rsid w:val="007F4053"/>
    <w:rsid w:val="007F68FD"/>
    <w:rsid w:val="00800904"/>
    <w:rsid w:val="00800966"/>
    <w:rsid w:val="00800ABA"/>
    <w:rsid w:val="00800F87"/>
    <w:rsid w:val="00803DAB"/>
    <w:rsid w:val="00807106"/>
    <w:rsid w:val="00810500"/>
    <w:rsid w:val="008105BF"/>
    <w:rsid w:val="0081466B"/>
    <w:rsid w:val="00814FD0"/>
    <w:rsid w:val="00815FA7"/>
    <w:rsid w:val="00816DF6"/>
    <w:rsid w:val="0082050A"/>
    <w:rsid w:val="0082480A"/>
    <w:rsid w:val="00827F6D"/>
    <w:rsid w:val="0083034C"/>
    <w:rsid w:val="00832A33"/>
    <w:rsid w:val="00834D91"/>
    <w:rsid w:val="00840100"/>
    <w:rsid w:val="008404B7"/>
    <w:rsid w:val="00840E25"/>
    <w:rsid w:val="00842152"/>
    <w:rsid w:val="008463C1"/>
    <w:rsid w:val="00856843"/>
    <w:rsid w:val="0086008B"/>
    <w:rsid w:val="00860BC7"/>
    <w:rsid w:val="00860CAC"/>
    <w:rsid w:val="008616D8"/>
    <w:rsid w:val="00861DFF"/>
    <w:rsid w:val="00862F89"/>
    <w:rsid w:val="008631D5"/>
    <w:rsid w:val="008635E9"/>
    <w:rsid w:val="00863A81"/>
    <w:rsid w:val="0087058A"/>
    <w:rsid w:val="00872C47"/>
    <w:rsid w:val="008743FC"/>
    <w:rsid w:val="00875A0B"/>
    <w:rsid w:val="00877120"/>
    <w:rsid w:val="0088066B"/>
    <w:rsid w:val="0088143A"/>
    <w:rsid w:val="00881DBE"/>
    <w:rsid w:val="00882436"/>
    <w:rsid w:val="008848BC"/>
    <w:rsid w:val="00890BC7"/>
    <w:rsid w:val="0089370C"/>
    <w:rsid w:val="008939AD"/>
    <w:rsid w:val="00893D55"/>
    <w:rsid w:val="0089536B"/>
    <w:rsid w:val="008A0103"/>
    <w:rsid w:val="008A2083"/>
    <w:rsid w:val="008A237A"/>
    <w:rsid w:val="008A3F8A"/>
    <w:rsid w:val="008A4CA6"/>
    <w:rsid w:val="008A5A72"/>
    <w:rsid w:val="008B11FB"/>
    <w:rsid w:val="008B2D1D"/>
    <w:rsid w:val="008B3147"/>
    <w:rsid w:val="008B4BBF"/>
    <w:rsid w:val="008B5FF9"/>
    <w:rsid w:val="008B7A28"/>
    <w:rsid w:val="008C008D"/>
    <w:rsid w:val="008C2EB4"/>
    <w:rsid w:val="008C380D"/>
    <w:rsid w:val="008C7A60"/>
    <w:rsid w:val="008D1A37"/>
    <w:rsid w:val="008D7568"/>
    <w:rsid w:val="008D7DC9"/>
    <w:rsid w:val="008E2A9B"/>
    <w:rsid w:val="008E611C"/>
    <w:rsid w:val="008E61F7"/>
    <w:rsid w:val="008E71D6"/>
    <w:rsid w:val="008F5381"/>
    <w:rsid w:val="00904468"/>
    <w:rsid w:val="009076E5"/>
    <w:rsid w:val="00907A5E"/>
    <w:rsid w:val="009115D6"/>
    <w:rsid w:val="00912E11"/>
    <w:rsid w:val="00915869"/>
    <w:rsid w:val="00916F59"/>
    <w:rsid w:val="00917D9D"/>
    <w:rsid w:val="00920AA4"/>
    <w:rsid w:val="00922997"/>
    <w:rsid w:val="00922B83"/>
    <w:rsid w:val="00924118"/>
    <w:rsid w:val="00931A28"/>
    <w:rsid w:val="0093281F"/>
    <w:rsid w:val="00932E93"/>
    <w:rsid w:val="009351DF"/>
    <w:rsid w:val="009355B3"/>
    <w:rsid w:val="00935A03"/>
    <w:rsid w:val="00945E07"/>
    <w:rsid w:val="009509AB"/>
    <w:rsid w:val="009514F5"/>
    <w:rsid w:val="00951C9E"/>
    <w:rsid w:val="0095224D"/>
    <w:rsid w:val="00953934"/>
    <w:rsid w:val="00953BD0"/>
    <w:rsid w:val="00954AD9"/>
    <w:rsid w:val="0095586D"/>
    <w:rsid w:val="009612B0"/>
    <w:rsid w:val="00961C0C"/>
    <w:rsid w:val="00961F00"/>
    <w:rsid w:val="009624C3"/>
    <w:rsid w:val="00962951"/>
    <w:rsid w:val="00963AB8"/>
    <w:rsid w:val="00966A20"/>
    <w:rsid w:val="00967F3C"/>
    <w:rsid w:val="00972A66"/>
    <w:rsid w:val="009731A2"/>
    <w:rsid w:val="0097381C"/>
    <w:rsid w:val="00974289"/>
    <w:rsid w:val="009760FB"/>
    <w:rsid w:val="009767E8"/>
    <w:rsid w:val="00984449"/>
    <w:rsid w:val="0098509A"/>
    <w:rsid w:val="00990445"/>
    <w:rsid w:val="009916F5"/>
    <w:rsid w:val="00992ACD"/>
    <w:rsid w:val="009969DA"/>
    <w:rsid w:val="00997A12"/>
    <w:rsid w:val="009A07C2"/>
    <w:rsid w:val="009A22C6"/>
    <w:rsid w:val="009A2451"/>
    <w:rsid w:val="009A7D7A"/>
    <w:rsid w:val="009B1379"/>
    <w:rsid w:val="009B1E6C"/>
    <w:rsid w:val="009B2024"/>
    <w:rsid w:val="009C084A"/>
    <w:rsid w:val="009C0CD1"/>
    <w:rsid w:val="009C4679"/>
    <w:rsid w:val="009C5C0C"/>
    <w:rsid w:val="009C694B"/>
    <w:rsid w:val="009D1D4E"/>
    <w:rsid w:val="009D210E"/>
    <w:rsid w:val="009D31DE"/>
    <w:rsid w:val="009D5924"/>
    <w:rsid w:val="009D5982"/>
    <w:rsid w:val="009D5ACE"/>
    <w:rsid w:val="009E19C8"/>
    <w:rsid w:val="009E2342"/>
    <w:rsid w:val="009E472C"/>
    <w:rsid w:val="009F0D79"/>
    <w:rsid w:val="009F0DEC"/>
    <w:rsid w:val="009F1A19"/>
    <w:rsid w:val="009F27C6"/>
    <w:rsid w:val="009F55DE"/>
    <w:rsid w:val="009F565C"/>
    <w:rsid w:val="00A04153"/>
    <w:rsid w:val="00A04844"/>
    <w:rsid w:val="00A04866"/>
    <w:rsid w:val="00A04E4E"/>
    <w:rsid w:val="00A062FD"/>
    <w:rsid w:val="00A07434"/>
    <w:rsid w:val="00A12146"/>
    <w:rsid w:val="00A127F4"/>
    <w:rsid w:val="00A13293"/>
    <w:rsid w:val="00A20CB6"/>
    <w:rsid w:val="00A20DA7"/>
    <w:rsid w:val="00A23077"/>
    <w:rsid w:val="00A23E36"/>
    <w:rsid w:val="00A250A4"/>
    <w:rsid w:val="00A2522A"/>
    <w:rsid w:val="00A30C48"/>
    <w:rsid w:val="00A31EEF"/>
    <w:rsid w:val="00A32115"/>
    <w:rsid w:val="00A33B20"/>
    <w:rsid w:val="00A35D7B"/>
    <w:rsid w:val="00A4082E"/>
    <w:rsid w:val="00A41BEB"/>
    <w:rsid w:val="00A41EA8"/>
    <w:rsid w:val="00A43968"/>
    <w:rsid w:val="00A45536"/>
    <w:rsid w:val="00A46236"/>
    <w:rsid w:val="00A5158E"/>
    <w:rsid w:val="00A528A8"/>
    <w:rsid w:val="00A53DE0"/>
    <w:rsid w:val="00A540C0"/>
    <w:rsid w:val="00A56D56"/>
    <w:rsid w:val="00A6011B"/>
    <w:rsid w:val="00A602B4"/>
    <w:rsid w:val="00A6197E"/>
    <w:rsid w:val="00A627BD"/>
    <w:rsid w:val="00A679E4"/>
    <w:rsid w:val="00A67EF8"/>
    <w:rsid w:val="00A727AF"/>
    <w:rsid w:val="00A74A3C"/>
    <w:rsid w:val="00A75D51"/>
    <w:rsid w:val="00A75F48"/>
    <w:rsid w:val="00A77120"/>
    <w:rsid w:val="00A771C9"/>
    <w:rsid w:val="00A805C1"/>
    <w:rsid w:val="00A821F8"/>
    <w:rsid w:val="00A84FE0"/>
    <w:rsid w:val="00A90732"/>
    <w:rsid w:val="00A90B1D"/>
    <w:rsid w:val="00A91229"/>
    <w:rsid w:val="00A91A0A"/>
    <w:rsid w:val="00A91E45"/>
    <w:rsid w:val="00A95406"/>
    <w:rsid w:val="00A95703"/>
    <w:rsid w:val="00AA0A06"/>
    <w:rsid w:val="00AA132E"/>
    <w:rsid w:val="00AA1BD4"/>
    <w:rsid w:val="00AA3048"/>
    <w:rsid w:val="00AA3E19"/>
    <w:rsid w:val="00AA43B7"/>
    <w:rsid w:val="00AA50F6"/>
    <w:rsid w:val="00AC1081"/>
    <w:rsid w:val="00AC3DA8"/>
    <w:rsid w:val="00AC3DEE"/>
    <w:rsid w:val="00AC473E"/>
    <w:rsid w:val="00AC72FB"/>
    <w:rsid w:val="00AD3EA2"/>
    <w:rsid w:val="00AD61F9"/>
    <w:rsid w:val="00AD651E"/>
    <w:rsid w:val="00AE0014"/>
    <w:rsid w:val="00AE1C55"/>
    <w:rsid w:val="00AE1F74"/>
    <w:rsid w:val="00AE5CE1"/>
    <w:rsid w:val="00AE67CA"/>
    <w:rsid w:val="00AE7F07"/>
    <w:rsid w:val="00AF3619"/>
    <w:rsid w:val="00AF707C"/>
    <w:rsid w:val="00B01E29"/>
    <w:rsid w:val="00B03324"/>
    <w:rsid w:val="00B11287"/>
    <w:rsid w:val="00B11F50"/>
    <w:rsid w:val="00B203D9"/>
    <w:rsid w:val="00B241C0"/>
    <w:rsid w:val="00B262E4"/>
    <w:rsid w:val="00B27E6E"/>
    <w:rsid w:val="00B27FDA"/>
    <w:rsid w:val="00B314B3"/>
    <w:rsid w:val="00B41399"/>
    <w:rsid w:val="00B414CD"/>
    <w:rsid w:val="00B468D5"/>
    <w:rsid w:val="00B47C5D"/>
    <w:rsid w:val="00B47E65"/>
    <w:rsid w:val="00B57D55"/>
    <w:rsid w:val="00B6542C"/>
    <w:rsid w:val="00B65D17"/>
    <w:rsid w:val="00B663A1"/>
    <w:rsid w:val="00B664CB"/>
    <w:rsid w:val="00B7015D"/>
    <w:rsid w:val="00B73783"/>
    <w:rsid w:val="00B743BE"/>
    <w:rsid w:val="00B763F1"/>
    <w:rsid w:val="00B825C6"/>
    <w:rsid w:val="00B82803"/>
    <w:rsid w:val="00B82DA2"/>
    <w:rsid w:val="00B82E80"/>
    <w:rsid w:val="00B86510"/>
    <w:rsid w:val="00B876FF"/>
    <w:rsid w:val="00B87CE4"/>
    <w:rsid w:val="00B904B9"/>
    <w:rsid w:val="00B9265B"/>
    <w:rsid w:val="00B93437"/>
    <w:rsid w:val="00B9382B"/>
    <w:rsid w:val="00B9568B"/>
    <w:rsid w:val="00B960E8"/>
    <w:rsid w:val="00BA36BE"/>
    <w:rsid w:val="00BA5543"/>
    <w:rsid w:val="00BA65B0"/>
    <w:rsid w:val="00BA6A26"/>
    <w:rsid w:val="00BB0D88"/>
    <w:rsid w:val="00BB655D"/>
    <w:rsid w:val="00BB6E3C"/>
    <w:rsid w:val="00BC0E21"/>
    <w:rsid w:val="00BC1C73"/>
    <w:rsid w:val="00BC1E68"/>
    <w:rsid w:val="00BC29F0"/>
    <w:rsid w:val="00BC4451"/>
    <w:rsid w:val="00BC7058"/>
    <w:rsid w:val="00BD154D"/>
    <w:rsid w:val="00BD431F"/>
    <w:rsid w:val="00BD7541"/>
    <w:rsid w:val="00BD7BF2"/>
    <w:rsid w:val="00BE0D9B"/>
    <w:rsid w:val="00BE1FB0"/>
    <w:rsid w:val="00BE6181"/>
    <w:rsid w:val="00BF1D7A"/>
    <w:rsid w:val="00BF44C5"/>
    <w:rsid w:val="00BF700A"/>
    <w:rsid w:val="00C00244"/>
    <w:rsid w:val="00C01ED7"/>
    <w:rsid w:val="00C031E4"/>
    <w:rsid w:val="00C05420"/>
    <w:rsid w:val="00C05BDB"/>
    <w:rsid w:val="00C06111"/>
    <w:rsid w:val="00C07DDF"/>
    <w:rsid w:val="00C11519"/>
    <w:rsid w:val="00C122C7"/>
    <w:rsid w:val="00C15A1F"/>
    <w:rsid w:val="00C166E0"/>
    <w:rsid w:val="00C25EF3"/>
    <w:rsid w:val="00C3187B"/>
    <w:rsid w:val="00C321AE"/>
    <w:rsid w:val="00C3257B"/>
    <w:rsid w:val="00C32762"/>
    <w:rsid w:val="00C33919"/>
    <w:rsid w:val="00C3428D"/>
    <w:rsid w:val="00C3441C"/>
    <w:rsid w:val="00C364E7"/>
    <w:rsid w:val="00C428EA"/>
    <w:rsid w:val="00C43F72"/>
    <w:rsid w:val="00C51AE2"/>
    <w:rsid w:val="00C53E87"/>
    <w:rsid w:val="00C54A83"/>
    <w:rsid w:val="00C551DA"/>
    <w:rsid w:val="00C56EC3"/>
    <w:rsid w:val="00C63270"/>
    <w:rsid w:val="00C64F38"/>
    <w:rsid w:val="00C675A5"/>
    <w:rsid w:val="00C73B13"/>
    <w:rsid w:val="00C763B9"/>
    <w:rsid w:val="00C812A6"/>
    <w:rsid w:val="00C82C98"/>
    <w:rsid w:val="00C864D5"/>
    <w:rsid w:val="00C86BE2"/>
    <w:rsid w:val="00C86E44"/>
    <w:rsid w:val="00C87725"/>
    <w:rsid w:val="00C92AF6"/>
    <w:rsid w:val="00C92B5F"/>
    <w:rsid w:val="00C96F30"/>
    <w:rsid w:val="00CA130F"/>
    <w:rsid w:val="00CA3D1E"/>
    <w:rsid w:val="00CA48EE"/>
    <w:rsid w:val="00CB0513"/>
    <w:rsid w:val="00CB243D"/>
    <w:rsid w:val="00CB39A7"/>
    <w:rsid w:val="00CB3A69"/>
    <w:rsid w:val="00CB47EE"/>
    <w:rsid w:val="00CB581F"/>
    <w:rsid w:val="00CC26C3"/>
    <w:rsid w:val="00CC4161"/>
    <w:rsid w:val="00CC4D24"/>
    <w:rsid w:val="00CC5988"/>
    <w:rsid w:val="00CC5CC1"/>
    <w:rsid w:val="00CC75CB"/>
    <w:rsid w:val="00CC7A36"/>
    <w:rsid w:val="00CD1753"/>
    <w:rsid w:val="00CD22F0"/>
    <w:rsid w:val="00CD491F"/>
    <w:rsid w:val="00CD4995"/>
    <w:rsid w:val="00CD4AF6"/>
    <w:rsid w:val="00CD4E4B"/>
    <w:rsid w:val="00CD7285"/>
    <w:rsid w:val="00CD7AAF"/>
    <w:rsid w:val="00CE12D5"/>
    <w:rsid w:val="00CE1CE7"/>
    <w:rsid w:val="00CE5193"/>
    <w:rsid w:val="00CF23AC"/>
    <w:rsid w:val="00CF2CF6"/>
    <w:rsid w:val="00CF50F3"/>
    <w:rsid w:val="00CF5FDD"/>
    <w:rsid w:val="00D004C0"/>
    <w:rsid w:val="00D05F4B"/>
    <w:rsid w:val="00D107D8"/>
    <w:rsid w:val="00D10A3D"/>
    <w:rsid w:val="00D125DB"/>
    <w:rsid w:val="00D12C23"/>
    <w:rsid w:val="00D1369A"/>
    <w:rsid w:val="00D173F3"/>
    <w:rsid w:val="00D20281"/>
    <w:rsid w:val="00D30B34"/>
    <w:rsid w:val="00D32B12"/>
    <w:rsid w:val="00D32EE1"/>
    <w:rsid w:val="00D36876"/>
    <w:rsid w:val="00D37580"/>
    <w:rsid w:val="00D37CA2"/>
    <w:rsid w:val="00D42EE2"/>
    <w:rsid w:val="00D44C0A"/>
    <w:rsid w:val="00D47553"/>
    <w:rsid w:val="00D4766C"/>
    <w:rsid w:val="00D51B40"/>
    <w:rsid w:val="00D537EC"/>
    <w:rsid w:val="00D561DF"/>
    <w:rsid w:val="00D573F9"/>
    <w:rsid w:val="00D60E5E"/>
    <w:rsid w:val="00D62BCA"/>
    <w:rsid w:val="00D71BEF"/>
    <w:rsid w:val="00D71E8C"/>
    <w:rsid w:val="00D7254B"/>
    <w:rsid w:val="00D75518"/>
    <w:rsid w:val="00D805C9"/>
    <w:rsid w:val="00D855E9"/>
    <w:rsid w:val="00D85FF4"/>
    <w:rsid w:val="00D90E41"/>
    <w:rsid w:val="00D9250A"/>
    <w:rsid w:val="00DA204F"/>
    <w:rsid w:val="00DA5170"/>
    <w:rsid w:val="00DA787E"/>
    <w:rsid w:val="00DC0719"/>
    <w:rsid w:val="00DC0841"/>
    <w:rsid w:val="00DC6E84"/>
    <w:rsid w:val="00DC7527"/>
    <w:rsid w:val="00DD17C2"/>
    <w:rsid w:val="00DD42B5"/>
    <w:rsid w:val="00DD51B9"/>
    <w:rsid w:val="00DD6225"/>
    <w:rsid w:val="00DD7824"/>
    <w:rsid w:val="00DD7874"/>
    <w:rsid w:val="00DE15D8"/>
    <w:rsid w:val="00DE5886"/>
    <w:rsid w:val="00DE6311"/>
    <w:rsid w:val="00DE7429"/>
    <w:rsid w:val="00DF10CE"/>
    <w:rsid w:val="00DF418B"/>
    <w:rsid w:val="00DF5A45"/>
    <w:rsid w:val="00DF7CE2"/>
    <w:rsid w:val="00E00B85"/>
    <w:rsid w:val="00E00D57"/>
    <w:rsid w:val="00E0385C"/>
    <w:rsid w:val="00E04EA0"/>
    <w:rsid w:val="00E0561A"/>
    <w:rsid w:val="00E05BF4"/>
    <w:rsid w:val="00E12023"/>
    <w:rsid w:val="00E12EDE"/>
    <w:rsid w:val="00E1430B"/>
    <w:rsid w:val="00E15B52"/>
    <w:rsid w:val="00E16AD6"/>
    <w:rsid w:val="00E16F0A"/>
    <w:rsid w:val="00E250B2"/>
    <w:rsid w:val="00E272F8"/>
    <w:rsid w:val="00E31FA7"/>
    <w:rsid w:val="00E32345"/>
    <w:rsid w:val="00E3457A"/>
    <w:rsid w:val="00E34BDE"/>
    <w:rsid w:val="00E358EC"/>
    <w:rsid w:val="00E37B06"/>
    <w:rsid w:val="00E419A4"/>
    <w:rsid w:val="00E427F7"/>
    <w:rsid w:val="00E43873"/>
    <w:rsid w:val="00E46F6E"/>
    <w:rsid w:val="00E50135"/>
    <w:rsid w:val="00E506F3"/>
    <w:rsid w:val="00E50E59"/>
    <w:rsid w:val="00E516FA"/>
    <w:rsid w:val="00E52127"/>
    <w:rsid w:val="00E53556"/>
    <w:rsid w:val="00E547B6"/>
    <w:rsid w:val="00E55D71"/>
    <w:rsid w:val="00E57531"/>
    <w:rsid w:val="00E60951"/>
    <w:rsid w:val="00E6155F"/>
    <w:rsid w:val="00E6402B"/>
    <w:rsid w:val="00E641BC"/>
    <w:rsid w:val="00E644CE"/>
    <w:rsid w:val="00E64B75"/>
    <w:rsid w:val="00E67BBC"/>
    <w:rsid w:val="00E704DB"/>
    <w:rsid w:val="00E7109C"/>
    <w:rsid w:val="00E744B2"/>
    <w:rsid w:val="00E744F5"/>
    <w:rsid w:val="00E75416"/>
    <w:rsid w:val="00E75CAC"/>
    <w:rsid w:val="00E76192"/>
    <w:rsid w:val="00E804E3"/>
    <w:rsid w:val="00E82A01"/>
    <w:rsid w:val="00E85C65"/>
    <w:rsid w:val="00E90685"/>
    <w:rsid w:val="00E929FC"/>
    <w:rsid w:val="00E943BA"/>
    <w:rsid w:val="00E9770C"/>
    <w:rsid w:val="00EA135C"/>
    <w:rsid w:val="00EA31A1"/>
    <w:rsid w:val="00EA338F"/>
    <w:rsid w:val="00EA45A8"/>
    <w:rsid w:val="00EA70A9"/>
    <w:rsid w:val="00EA72ED"/>
    <w:rsid w:val="00EB0BDC"/>
    <w:rsid w:val="00EB1699"/>
    <w:rsid w:val="00EB3FCD"/>
    <w:rsid w:val="00EB451D"/>
    <w:rsid w:val="00EB6EFA"/>
    <w:rsid w:val="00EB6FD5"/>
    <w:rsid w:val="00EB733E"/>
    <w:rsid w:val="00EC238F"/>
    <w:rsid w:val="00EC35F2"/>
    <w:rsid w:val="00EC43F0"/>
    <w:rsid w:val="00EC457E"/>
    <w:rsid w:val="00EC4623"/>
    <w:rsid w:val="00EC49F8"/>
    <w:rsid w:val="00EC519D"/>
    <w:rsid w:val="00EC57D6"/>
    <w:rsid w:val="00ED15C0"/>
    <w:rsid w:val="00ED18AB"/>
    <w:rsid w:val="00ED24A8"/>
    <w:rsid w:val="00ED35C9"/>
    <w:rsid w:val="00ED3D0B"/>
    <w:rsid w:val="00ED3E20"/>
    <w:rsid w:val="00ED60DF"/>
    <w:rsid w:val="00ED63B6"/>
    <w:rsid w:val="00ED763E"/>
    <w:rsid w:val="00EE12DA"/>
    <w:rsid w:val="00EF2925"/>
    <w:rsid w:val="00EF2FA0"/>
    <w:rsid w:val="00EF37D7"/>
    <w:rsid w:val="00EF6A57"/>
    <w:rsid w:val="00F01ECA"/>
    <w:rsid w:val="00F04825"/>
    <w:rsid w:val="00F04C31"/>
    <w:rsid w:val="00F068AD"/>
    <w:rsid w:val="00F068F1"/>
    <w:rsid w:val="00F14956"/>
    <w:rsid w:val="00F17307"/>
    <w:rsid w:val="00F2080F"/>
    <w:rsid w:val="00F21019"/>
    <w:rsid w:val="00F222D5"/>
    <w:rsid w:val="00F22A91"/>
    <w:rsid w:val="00F24B2D"/>
    <w:rsid w:val="00F26096"/>
    <w:rsid w:val="00F2633A"/>
    <w:rsid w:val="00F3169E"/>
    <w:rsid w:val="00F37083"/>
    <w:rsid w:val="00F37A4A"/>
    <w:rsid w:val="00F40BEC"/>
    <w:rsid w:val="00F40F76"/>
    <w:rsid w:val="00F41950"/>
    <w:rsid w:val="00F44547"/>
    <w:rsid w:val="00F457EB"/>
    <w:rsid w:val="00F50BEA"/>
    <w:rsid w:val="00F51045"/>
    <w:rsid w:val="00F51902"/>
    <w:rsid w:val="00F52426"/>
    <w:rsid w:val="00F5359B"/>
    <w:rsid w:val="00F535DA"/>
    <w:rsid w:val="00F55FF3"/>
    <w:rsid w:val="00F5690F"/>
    <w:rsid w:val="00F577CC"/>
    <w:rsid w:val="00F57EB9"/>
    <w:rsid w:val="00F60903"/>
    <w:rsid w:val="00F710D8"/>
    <w:rsid w:val="00F7172A"/>
    <w:rsid w:val="00F760B0"/>
    <w:rsid w:val="00F824FA"/>
    <w:rsid w:val="00F82A92"/>
    <w:rsid w:val="00F84651"/>
    <w:rsid w:val="00F85360"/>
    <w:rsid w:val="00F859EF"/>
    <w:rsid w:val="00F92971"/>
    <w:rsid w:val="00F9479D"/>
    <w:rsid w:val="00F974D2"/>
    <w:rsid w:val="00FA0C08"/>
    <w:rsid w:val="00FA2861"/>
    <w:rsid w:val="00FA2EB4"/>
    <w:rsid w:val="00FA3547"/>
    <w:rsid w:val="00FA4DCB"/>
    <w:rsid w:val="00FA614A"/>
    <w:rsid w:val="00FA63C0"/>
    <w:rsid w:val="00FB0C6C"/>
    <w:rsid w:val="00FB1B25"/>
    <w:rsid w:val="00FB1BE1"/>
    <w:rsid w:val="00FB3930"/>
    <w:rsid w:val="00FB4001"/>
    <w:rsid w:val="00FB5978"/>
    <w:rsid w:val="00FC0A7A"/>
    <w:rsid w:val="00FC20EA"/>
    <w:rsid w:val="00FC3887"/>
    <w:rsid w:val="00FC6705"/>
    <w:rsid w:val="00FD03A2"/>
    <w:rsid w:val="00FD0E49"/>
    <w:rsid w:val="00FD2427"/>
    <w:rsid w:val="00FD257E"/>
    <w:rsid w:val="00FD4A6A"/>
    <w:rsid w:val="00FD70AC"/>
    <w:rsid w:val="00FE0946"/>
    <w:rsid w:val="00FE13CC"/>
    <w:rsid w:val="00FE2E2D"/>
    <w:rsid w:val="00FE520E"/>
    <w:rsid w:val="00FE584E"/>
    <w:rsid w:val="00FE66F7"/>
    <w:rsid w:val="00FF0ADA"/>
    <w:rsid w:val="00FF4544"/>
    <w:rsid w:val="00FF54AF"/>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7B4BE9EC"/>
  <w15:docId w15:val="{10351CDF-B335-413E-B2F4-22C577CF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uz-Cyrl-UZ" w:eastAsia="uz-Cyrl-U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E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D6"/>
    <w:rPr>
      <w:rFonts w:ascii="Tahoma" w:hAnsi="Tahoma" w:cs="Tahoma"/>
      <w:sz w:val="16"/>
      <w:szCs w:val="16"/>
    </w:rPr>
  </w:style>
  <w:style w:type="paragraph" w:styleId="FootnoteText">
    <w:name w:val="footnote text"/>
    <w:basedOn w:val="Normal"/>
    <w:link w:val="FootnoteTextChar"/>
    <w:uiPriority w:val="99"/>
    <w:unhideWhenUsed/>
    <w:rsid w:val="00263B40"/>
    <w:pPr>
      <w:spacing w:after="0" w:line="240" w:lineRule="auto"/>
    </w:pPr>
    <w:rPr>
      <w:rFonts w:asciiTheme="minorHAnsi" w:eastAsiaTheme="minorEastAsia" w:hAnsiTheme="minorHAnsi" w:cstheme="minorBidi"/>
      <w:color w:val="auto"/>
      <w:sz w:val="20"/>
      <w:szCs w:val="20"/>
    </w:rPr>
  </w:style>
  <w:style w:type="character" w:customStyle="1" w:styleId="FootnoteTextChar">
    <w:name w:val="Footnote Text Char"/>
    <w:basedOn w:val="DefaultParagraphFont"/>
    <w:link w:val="FootnoteText"/>
    <w:uiPriority w:val="99"/>
    <w:rsid w:val="00263B40"/>
    <w:rPr>
      <w:rFonts w:asciiTheme="minorHAnsi" w:eastAsiaTheme="minorEastAsia" w:hAnsiTheme="minorHAnsi" w:cstheme="minorBidi"/>
      <w:color w:val="auto"/>
      <w:sz w:val="20"/>
      <w:szCs w:val="20"/>
      <w:lang w:val="uz-Cyrl-UZ" w:eastAsia="uz-Cyrl-UZ"/>
    </w:rPr>
  </w:style>
  <w:style w:type="character" w:styleId="FootnoteReference">
    <w:name w:val="footnote reference"/>
    <w:basedOn w:val="DefaultParagraphFont"/>
    <w:uiPriority w:val="99"/>
    <w:semiHidden/>
    <w:unhideWhenUsed/>
    <w:rsid w:val="00263B40"/>
    <w:rPr>
      <w:vertAlign w:val="superscript"/>
    </w:rPr>
  </w:style>
  <w:style w:type="paragraph" w:styleId="Header">
    <w:name w:val="header"/>
    <w:basedOn w:val="Normal"/>
    <w:link w:val="HeaderChar"/>
    <w:uiPriority w:val="99"/>
    <w:unhideWhenUsed/>
    <w:rsid w:val="000235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3557"/>
  </w:style>
  <w:style w:type="paragraph" w:styleId="Footer">
    <w:name w:val="footer"/>
    <w:basedOn w:val="Normal"/>
    <w:link w:val="FooterChar"/>
    <w:uiPriority w:val="99"/>
    <w:unhideWhenUsed/>
    <w:rsid w:val="000235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3557"/>
  </w:style>
  <w:style w:type="paragraph" w:styleId="ListParagraph">
    <w:name w:val="List Paragraph"/>
    <w:basedOn w:val="Normal"/>
    <w:link w:val="ListParagraphChar"/>
    <w:uiPriority w:val="34"/>
    <w:qFormat/>
    <w:rsid w:val="001960F4"/>
    <w:pPr>
      <w:ind w:left="720"/>
      <w:contextualSpacing/>
    </w:pPr>
    <w:rPr>
      <w:rFonts w:asciiTheme="minorHAnsi" w:eastAsiaTheme="minorEastAsia" w:hAnsiTheme="minorHAnsi" w:cstheme="minorBidi"/>
      <w:color w:val="auto"/>
    </w:rPr>
  </w:style>
  <w:style w:type="table" w:customStyle="1" w:styleId="TableGrid2">
    <w:name w:val="Table Grid2"/>
    <w:basedOn w:val="TableNormal"/>
    <w:next w:val="TableGrid"/>
    <w:uiPriority w:val="59"/>
    <w:rsid w:val="001960F4"/>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960F4"/>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96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
    <w:name w:val="Char Char Char2 Char"/>
    <w:basedOn w:val="Normal"/>
    <w:rsid w:val="00A77120"/>
    <w:pPr>
      <w:spacing w:after="0" w:line="240" w:lineRule="auto"/>
    </w:pPr>
    <w:rPr>
      <w:rFonts w:ascii="Times New Roman" w:eastAsia="Times New Roman" w:hAnsi="Times New Roman" w:cs="Times New Roman"/>
      <w:color w:val="auto"/>
      <w:sz w:val="24"/>
      <w:szCs w:val="24"/>
      <w:lang w:val="sr-Cyrl-CS" w:eastAsia="en-US"/>
    </w:rPr>
  </w:style>
  <w:style w:type="character" w:styleId="CommentReference">
    <w:name w:val="annotation reference"/>
    <w:basedOn w:val="DefaultParagraphFont"/>
    <w:uiPriority w:val="99"/>
    <w:semiHidden/>
    <w:unhideWhenUsed/>
    <w:rsid w:val="003D4775"/>
    <w:rPr>
      <w:sz w:val="16"/>
      <w:szCs w:val="16"/>
    </w:rPr>
  </w:style>
  <w:style w:type="paragraph" w:styleId="CommentText">
    <w:name w:val="annotation text"/>
    <w:basedOn w:val="Normal"/>
    <w:link w:val="CommentTextChar"/>
    <w:uiPriority w:val="99"/>
    <w:semiHidden/>
    <w:unhideWhenUsed/>
    <w:rsid w:val="003D4775"/>
    <w:pPr>
      <w:spacing w:line="240" w:lineRule="auto"/>
    </w:pPr>
    <w:rPr>
      <w:rFonts w:asciiTheme="minorHAnsi" w:eastAsiaTheme="minorEastAsia"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3D4775"/>
    <w:rPr>
      <w:rFonts w:asciiTheme="minorHAnsi" w:eastAsiaTheme="minorEastAsia" w:hAnsiTheme="minorHAnsi" w:cstheme="minorBidi"/>
      <w:color w:val="auto"/>
      <w:sz w:val="20"/>
      <w:szCs w:val="20"/>
      <w:lang w:val="uz-Cyrl-UZ" w:eastAsia="uz-Cyrl-UZ"/>
    </w:rPr>
  </w:style>
  <w:style w:type="paragraph" w:customStyle="1" w:styleId="Normal1">
    <w:name w:val="Normal1"/>
    <w:rsid w:val="003D4775"/>
    <w:rPr>
      <w:lang w:val="en-GB" w:eastAsia="en-US"/>
    </w:rPr>
  </w:style>
  <w:style w:type="paragraph" w:styleId="CommentSubject">
    <w:name w:val="annotation subject"/>
    <w:basedOn w:val="CommentText"/>
    <w:next w:val="CommentText"/>
    <w:link w:val="CommentSubjectChar"/>
    <w:uiPriority w:val="99"/>
    <w:semiHidden/>
    <w:unhideWhenUsed/>
    <w:rsid w:val="003D4775"/>
    <w:rPr>
      <w:rFonts w:ascii="Calibri" w:eastAsia="Calibri" w:hAnsi="Calibri" w:cs="Calibri"/>
      <w:b/>
      <w:bCs/>
      <w:color w:val="000000"/>
    </w:rPr>
  </w:style>
  <w:style w:type="character" w:customStyle="1" w:styleId="CommentSubjectChar">
    <w:name w:val="Comment Subject Char"/>
    <w:basedOn w:val="CommentTextChar"/>
    <w:link w:val="CommentSubject"/>
    <w:uiPriority w:val="99"/>
    <w:semiHidden/>
    <w:rsid w:val="003D4775"/>
    <w:rPr>
      <w:rFonts w:asciiTheme="minorHAnsi" w:eastAsiaTheme="minorEastAsia" w:hAnsiTheme="minorHAnsi" w:cstheme="minorBidi"/>
      <w:b/>
      <w:bCs/>
      <w:color w:val="auto"/>
      <w:sz w:val="20"/>
      <w:szCs w:val="20"/>
      <w:lang w:val="uz-Cyrl-UZ" w:eastAsia="uz-Cyrl-UZ"/>
    </w:rPr>
  </w:style>
  <w:style w:type="character" w:customStyle="1" w:styleId="ListParagraphChar">
    <w:name w:val="List Paragraph Char"/>
    <w:link w:val="ListParagraph"/>
    <w:uiPriority w:val="34"/>
    <w:rsid w:val="00834D91"/>
    <w:rPr>
      <w:rFonts w:asciiTheme="minorHAnsi" w:eastAsiaTheme="minorEastAsia" w:hAnsiTheme="minorHAnsi" w:cstheme="minorBidi"/>
      <w:color w:val="auto"/>
    </w:rPr>
  </w:style>
  <w:style w:type="paragraph" w:customStyle="1" w:styleId="m2775718054655217200msolistparagraph">
    <w:name w:val="m_2775718054655217200msolistparagraph"/>
    <w:basedOn w:val="Normal"/>
    <w:rsid w:val="004F5F8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01964"/>
    <w:rPr>
      <w:color w:val="0000FF"/>
      <w:u w:val="single"/>
    </w:rPr>
  </w:style>
  <w:style w:type="character" w:styleId="FollowedHyperlink">
    <w:name w:val="FollowedHyperlink"/>
    <w:basedOn w:val="DefaultParagraphFont"/>
    <w:uiPriority w:val="99"/>
    <w:semiHidden/>
    <w:unhideWhenUsed/>
    <w:rsid w:val="00810500"/>
    <w:rPr>
      <w:color w:val="800080" w:themeColor="followedHyperlink"/>
      <w:u w:val="single"/>
    </w:rPr>
  </w:style>
  <w:style w:type="table" w:customStyle="1" w:styleId="TableGrid1">
    <w:name w:val="Table Grid1"/>
    <w:basedOn w:val="TableNormal"/>
    <w:next w:val="TableGrid"/>
    <w:uiPriority w:val="39"/>
    <w:rsid w:val="00AA132E"/>
    <w:pPr>
      <w:spacing w:after="0" w:line="240" w:lineRule="auto"/>
    </w:pPr>
    <w:rPr>
      <w:rFonts w:ascii="Times New Roman" w:hAnsi="Times New Roman" w:cs="Times New Roman"/>
      <w:color w:val="auto"/>
      <w:sz w:val="24"/>
      <w:lang w:val="sr-Cyrl-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27E6E"/>
    <w:pPr>
      <w:spacing w:after="0" w:line="240" w:lineRule="auto"/>
    </w:pPr>
    <w:rPr>
      <w:rFonts w:ascii="Times New Roman" w:hAnsi="Times New Roman" w:cs="Times New Roman"/>
      <w:color w:val="auto"/>
      <w:sz w:val="24"/>
      <w:lang w:val="sr-Cyrl-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3934"/>
    <w:pPr>
      <w:spacing w:after="0" w:line="240" w:lineRule="auto"/>
    </w:pPr>
    <w:rPr>
      <w:rFonts w:cs="Times New Roman"/>
      <w:color w:val="auto"/>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1F33"/>
    <w:pPr>
      <w:spacing w:after="0" w:line="240" w:lineRule="auto"/>
    </w:pPr>
  </w:style>
  <w:style w:type="character" w:styleId="IntenseReference">
    <w:name w:val="Intense Reference"/>
    <w:basedOn w:val="DefaultParagraphFont"/>
    <w:uiPriority w:val="32"/>
    <w:qFormat/>
    <w:rsid w:val="006C779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368931">
      <w:bodyDiv w:val="1"/>
      <w:marLeft w:val="0"/>
      <w:marRight w:val="0"/>
      <w:marTop w:val="0"/>
      <w:marBottom w:val="0"/>
      <w:divBdr>
        <w:top w:val="none" w:sz="0" w:space="0" w:color="auto"/>
        <w:left w:val="none" w:sz="0" w:space="0" w:color="auto"/>
        <w:bottom w:val="none" w:sz="0" w:space="0" w:color="auto"/>
        <w:right w:val="none" w:sz="0" w:space="0" w:color="auto"/>
      </w:divBdr>
      <w:divsChild>
        <w:div w:id="995499274">
          <w:marLeft w:val="0"/>
          <w:marRight w:val="0"/>
          <w:marTop w:val="0"/>
          <w:marBottom w:val="0"/>
          <w:divBdr>
            <w:top w:val="none" w:sz="0" w:space="0" w:color="auto"/>
            <w:left w:val="none" w:sz="0" w:space="0" w:color="auto"/>
            <w:bottom w:val="none" w:sz="0" w:space="0" w:color="auto"/>
            <w:right w:val="none" w:sz="0" w:space="0" w:color="auto"/>
          </w:divBdr>
          <w:divsChild>
            <w:div w:id="467626750">
              <w:marLeft w:val="0"/>
              <w:marRight w:val="0"/>
              <w:marTop w:val="0"/>
              <w:marBottom w:val="0"/>
              <w:divBdr>
                <w:top w:val="none" w:sz="0" w:space="0" w:color="auto"/>
                <w:left w:val="none" w:sz="0" w:space="0" w:color="auto"/>
                <w:bottom w:val="none" w:sz="0" w:space="0" w:color="auto"/>
                <w:right w:val="none" w:sz="0" w:space="0" w:color="auto"/>
              </w:divBdr>
              <w:divsChild>
                <w:div w:id="492720484">
                  <w:marLeft w:val="0"/>
                  <w:marRight w:val="0"/>
                  <w:marTop w:val="0"/>
                  <w:marBottom w:val="0"/>
                  <w:divBdr>
                    <w:top w:val="none" w:sz="0" w:space="0" w:color="auto"/>
                    <w:left w:val="none" w:sz="0" w:space="0" w:color="auto"/>
                    <w:bottom w:val="none" w:sz="0" w:space="0" w:color="auto"/>
                    <w:right w:val="none" w:sz="0" w:space="0" w:color="auto"/>
                  </w:divBdr>
                  <w:divsChild>
                    <w:div w:id="483274406">
                      <w:marLeft w:val="0"/>
                      <w:marRight w:val="0"/>
                      <w:marTop w:val="0"/>
                      <w:marBottom w:val="0"/>
                      <w:divBdr>
                        <w:top w:val="none" w:sz="0" w:space="0" w:color="auto"/>
                        <w:left w:val="none" w:sz="0" w:space="0" w:color="auto"/>
                        <w:bottom w:val="none" w:sz="0" w:space="0" w:color="auto"/>
                        <w:right w:val="none" w:sz="0" w:space="0" w:color="auto"/>
                      </w:divBdr>
                      <w:divsChild>
                        <w:div w:id="10792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871515">
      <w:bodyDiv w:val="1"/>
      <w:marLeft w:val="0"/>
      <w:marRight w:val="0"/>
      <w:marTop w:val="0"/>
      <w:marBottom w:val="0"/>
      <w:divBdr>
        <w:top w:val="none" w:sz="0" w:space="0" w:color="auto"/>
        <w:left w:val="none" w:sz="0" w:space="0" w:color="auto"/>
        <w:bottom w:val="none" w:sz="0" w:space="0" w:color="auto"/>
        <w:right w:val="none" w:sz="0" w:space="0" w:color="auto"/>
      </w:divBdr>
    </w:div>
    <w:div w:id="1349526688">
      <w:bodyDiv w:val="1"/>
      <w:marLeft w:val="0"/>
      <w:marRight w:val="0"/>
      <w:marTop w:val="0"/>
      <w:marBottom w:val="0"/>
      <w:divBdr>
        <w:top w:val="none" w:sz="0" w:space="0" w:color="auto"/>
        <w:left w:val="none" w:sz="0" w:space="0" w:color="auto"/>
        <w:bottom w:val="none" w:sz="0" w:space="0" w:color="auto"/>
        <w:right w:val="none" w:sz="0" w:space="0" w:color="auto"/>
      </w:divBdr>
    </w:div>
    <w:div w:id="1384325194">
      <w:bodyDiv w:val="1"/>
      <w:marLeft w:val="0"/>
      <w:marRight w:val="0"/>
      <w:marTop w:val="0"/>
      <w:marBottom w:val="0"/>
      <w:divBdr>
        <w:top w:val="none" w:sz="0" w:space="0" w:color="auto"/>
        <w:left w:val="none" w:sz="0" w:space="0" w:color="auto"/>
        <w:bottom w:val="none" w:sz="0" w:space="0" w:color="auto"/>
        <w:right w:val="none" w:sz="0" w:space="0" w:color="auto"/>
      </w:divBdr>
    </w:div>
    <w:div w:id="1664046231">
      <w:bodyDiv w:val="1"/>
      <w:marLeft w:val="0"/>
      <w:marRight w:val="0"/>
      <w:marTop w:val="0"/>
      <w:marBottom w:val="0"/>
      <w:divBdr>
        <w:top w:val="none" w:sz="0" w:space="0" w:color="auto"/>
        <w:left w:val="none" w:sz="0" w:space="0" w:color="auto"/>
        <w:bottom w:val="none" w:sz="0" w:space="0" w:color="auto"/>
        <w:right w:val="none" w:sz="0" w:space="0" w:color="auto"/>
      </w:divBdr>
    </w:div>
    <w:div w:id="1748502401">
      <w:bodyDiv w:val="1"/>
      <w:marLeft w:val="0"/>
      <w:marRight w:val="0"/>
      <w:marTop w:val="0"/>
      <w:marBottom w:val="0"/>
      <w:divBdr>
        <w:top w:val="none" w:sz="0" w:space="0" w:color="auto"/>
        <w:left w:val="none" w:sz="0" w:space="0" w:color="auto"/>
        <w:bottom w:val="none" w:sz="0" w:space="0" w:color="auto"/>
        <w:right w:val="none" w:sz="0" w:space="0" w:color="auto"/>
      </w:divBdr>
    </w:div>
    <w:div w:id="181347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package" Target="embeddings/Microsoft_Excel_Worksheet4.xlsx"/><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hyperlink" Target="http://portal.ujn.gov.rs"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www.ujn.gov.rs" TargetMode="External"/><Relationship Id="rId14" Type="http://schemas.openxmlformats.org/officeDocument/2006/relationships/chart" Target="charts/chart4.xml"/><Relationship Id="rId22" Type="http://schemas.openxmlformats.org/officeDocument/2006/relationships/chart" Target="charts/chart9.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ternal_market/scoreboard/performance_per_policy_area/public_procurement/index_en.htm" TargetMode="External"/><Relationship Id="rId2" Type="http://schemas.openxmlformats.org/officeDocument/2006/relationships/hyperlink" Target="https://ec.europa.eu/internal_market/scoreboard/performance_per_policy_area/public_procurement/index_en.htm" TargetMode="External"/><Relationship Id="rId1" Type="http://schemas.openxmlformats.org/officeDocument/2006/relationships/hyperlink" Target="https://ec.europa.eu/internal_market/scoreboard/performance_per_policy_area/public_procurement/index_en.h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pieChart>
        <c:varyColors val="1"/>
        <c:ser>
          <c:idx val="0"/>
          <c:order val="0"/>
          <c:tx>
            <c:strRef>
              <c:f>Sheet1!$D$5</c:f>
              <c:strCache>
                <c:ptCount val="1"/>
                <c:pt idx="0">
                  <c:v>Однос набавки велике и мале вредности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C1-431E-8065-A3B1A1345D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C1-431E-8065-A3B1A1345D4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Sheet1!$C$6:$C$7</c:f>
              <c:strCache>
                <c:ptCount val="2"/>
                <c:pt idx="0">
                  <c:v>набавке велике вредности</c:v>
                </c:pt>
                <c:pt idx="1">
                  <c:v>набавке мале вредности</c:v>
                </c:pt>
              </c:strCache>
            </c:strRef>
          </c:cat>
          <c:val>
            <c:numRef>
              <c:f>Sheet1!$D$6:$D$7</c:f>
              <c:numCache>
                <c:formatCode>0%</c:formatCode>
                <c:ptCount val="2"/>
                <c:pt idx="0">
                  <c:v>0.9</c:v>
                </c:pt>
                <c:pt idx="1">
                  <c:v>0.1</c:v>
                </c:pt>
              </c:numCache>
            </c:numRef>
          </c:val>
          <c:extLst>
            <c:ext xmlns:c16="http://schemas.microsoft.com/office/drawing/2014/chart" uri="{C3380CC4-5D6E-409C-BE32-E72D297353CC}">
              <c16:uniqueId val="{00000004-EFC1-431E-8065-A3B1A1345D4C}"/>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r-Cyrl-RS" sz="1400" b="1">
                <a:latin typeface="Times New Roman" panose="02020603050405020304" pitchFamily="18" charset="0"/>
                <a:cs typeface="Times New Roman" panose="02020603050405020304" pitchFamily="18" charset="0"/>
              </a:rPr>
              <a:t>Прегледи исхода поступака </a:t>
            </a:r>
          </a:p>
          <a:p>
            <a:pPr>
              <a:defRPr b="1"/>
            </a:pPr>
            <a:r>
              <a:rPr lang="sr-Cyrl-RS" sz="1400" b="1">
                <a:latin typeface="Times New Roman" panose="02020603050405020304" pitchFamily="18" charset="0"/>
                <a:cs typeface="Times New Roman" panose="02020603050405020304" pitchFamily="18" charset="0"/>
              </a:rPr>
              <a:t>у првом полугодишту 2019.</a:t>
            </a:r>
            <a:r>
              <a:rPr lang="sr-Cyrl-RS" sz="1400" b="1" baseline="0">
                <a:latin typeface="Times New Roman" panose="02020603050405020304" pitchFamily="18" charset="0"/>
                <a:cs typeface="Times New Roman" panose="02020603050405020304" pitchFamily="18" charset="0"/>
              </a:rPr>
              <a:t> </a:t>
            </a:r>
            <a:r>
              <a:rPr lang="sr-Cyrl-RS" sz="1400" b="1">
                <a:latin typeface="Times New Roman" panose="02020603050405020304" pitchFamily="18" charset="0"/>
                <a:cs typeface="Times New Roman" panose="02020603050405020304" pitchFamily="18" charset="0"/>
              </a:rPr>
              <a:t>године</a:t>
            </a:r>
            <a:endParaRPr lang="sr-Latn-RS" sz="1400" b="1">
              <a:latin typeface="Times New Roman" panose="02020603050405020304" pitchFamily="18" charset="0"/>
              <a:cs typeface="Times New Roman" panose="02020603050405020304" pitchFamily="18" charset="0"/>
            </a:endParaRPr>
          </a:p>
        </c:rich>
      </c:tx>
      <c:layout>
        <c:manualLayout>
          <c:xMode val="edge"/>
          <c:yMode val="edge"/>
          <c:x val="0.28032297971463244"/>
          <c:y val="5.569737047756094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09-4D96-9D30-6B04AAA277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09-4D96-9D30-6B04AAA27799}"/>
              </c:ext>
            </c:extLst>
          </c:dPt>
          <c:dLbls>
            <c:dLbl>
              <c:idx val="0"/>
              <c:layout>
                <c:manualLayout>
                  <c:x val="5.4200459317585305E-2"/>
                  <c:y val="-3.91980169145523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A09-4D96-9D30-6B04AAA27799}"/>
                </c:ext>
              </c:extLst>
            </c:dLbl>
            <c:dLbl>
              <c:idx val="1"/>
              <c:layout>
                <c:manualLayout>
                  <c:x val="-1.6777012248468941E-2"/>
                  <c:y val="8.189705453484980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A09-4D96-9D30-6B04AAA2779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Sheet1!$B$8:$B$9</c:f>
              <c:strCache>
                <c:ptCount val="2"/>
                <c:pt idx="0">
                  <c:v>успешно спроведени</c:v>
                </c:pt>
                <c:pt idx="1">
                  <c:v>обустављени</c:v>
                </c:pt>
              </c:strCache>
            </c:strRef>
          </c:cat>
          <c:val>
            <c:numRef>
              <c:f>Sheet1!$C$8:$C$9</c:f>
              <c:numCache>
                <c:formatCode>0%</c:formatCode>
                <c:ptCount val="2"/>
                <c:pt idx="0">
                  <c:v>0.91</c:v>
                </c:pt>
                <c:pt idx="1">
                  <c:v>0.09</c:v>
                </c:pt>
              </c:numCache>
            </c:numRef>
          </c:val>
          <c:extLst>
            <c:ext xmlns:c16="http://schemas.microsoft.com/office/drawing/2014/chart" uri="{C3380CC4-5D6E-409C-BE32-E72D297353CC}">
              <c16:uniqueId val="{00000004-EA09-4D96-9D30-6B04AAA2779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b="1">
                <a:latin typeface="Times New Roman" panose="02020603050405020304" pitchFamily="18" charset="0"/>
                <a:cs typeface="Times New Roman" panose="02020603050405020304" pitchFamily="18" charset="0"/>
              </a:rPr>
              <a:t>Преглед</a:t>
            </a:r>
            <a:r>
              <a:rPr lang="sr-Cyrl-RS" b="1" baseline="0">
                <a:latin typeface="Times New Roman" panose="02020603050405020304" pitchFamily="18" charset="0"/>
                <a:cs typeface="Times New Roman" panose="02020603050405020304" pitchFamily="18" charset="0"/>
              </a:rPr>
              <a:t> разлога за обуставу поступка од стране наручилаца у првом полугодишту 2018. и 2019. године</a:t>
            </a:r>
            <a:endParaRPr lang="sr-Latn-RS" b="1">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barChart>
        <c:barDir val="col"/>
        <c:grouping val="clustered"/>
        <c:varyColors val="0"/>
        <c:ser>
          <c:idx val="0"/>
          <c:order val="0"/>
          <c:tx>
            <c:strRef>
              <c:f>Sheet1!$D$5</c:f>
              <c:strCache>
                <c:ptCount val="1"/>
                <c:pt idx="0">
                  <c:v>2018 1П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Sheet1!$C$6:$C$10</c:f>
              <c:strCache>
                <c:ptCount val="5"/>
                <c:pt idx="0">
                  <c:v>одбијене све неприхватљиве понуде</c:v>
                </c:pt>
                <c:pt idx="1">
                  <c:v>нису испуњени услови за састављање листе од најмање три/пет кандидата</c:v>
                </c:pt>
                <c:pt idx="2">
                  <c:v>услед објективних разлога поступак није могао да се оконча; престала потреба за набавком</c:v>
                </c:pt>
                <c:pt idx="3">
                  <c:v>није добијена ниједна понуда</c:v>
                </c:pt>
                <c:pt idx="4">
                  <c:v>остало</c:v>
                </c:pt>
              </c:strCache>
            </c:strRef>
          </c:cat>
          <c:val>
            <c:numRef>
              <c:f>Sheet1!$D$6:$D$10</c:f>
              <c:numCache>
                <c:formatCode>0%</c:formatCode>
                <c:ptCount val="5"/>
                <c:pt idx="0">
                  <c:v>0.51</c:v>
                </c:pt>
                <c:pt idx="1">
                  <c:v>0.02</c:v>
                </c:pt>
                <c:pt idx="2">
                  <c:v>0.05</c:v>
                </c:pt>
                <c:pt idx="3">
                  <c:v>0.25</c:v>
                </c:pt>
                <c:pt idx="4">
                  <c:v>0.17</c:v>
                </c:pt>
              </c:numCache>
            </c:numRef>
          </c:val>
          <c:extLst>
            <c:ext xmlns:c16="http://schemas.microsoft.com/office/drawing/2014/chart" uri="{C3380CC4-5D6E-409C-BE32-E72D297353CC}">
              <c16:uniqueId val="{00000000-15AF-4E38-AF22-624D0E860167}"/>
            </c:ext>
          </c:extLst>
        </c:ser>
        <c:ser>
          <c:idx val="1"/>
          <c:order val="1"/>
          <c:tx>
            <c:strRef>
              <c:f>Sheet1!$E$5</c:f>
              <c:strCache>
                <c:ptCount val="1"/>
                <c:pt idx="0">
                  <c:v>2019 1П</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Sheet1!$C$6:$C$10</c:f>
              <c:strCache>
                <c:ptCount val="5"/>
                <c:pt idx="0">
                  <c:v>одбијене све неприхватљиве понуде</c:v>
                </c:pt>
                <c:pt idx="1">
                  <c:v>нису испуњени услови за састављање листе од најмање три/пет кандидата</c:v>
                </c:pt>
                <c:pt idx="2">
                  <c:v>услед објективних разлога поступак није могао да се оконча; престала потреба за набавком</c:v>
                </c:pt>
                <c:pt idx="3">
                  <c:v>није добијена ниједна понуда</c:v>
                </c:pt>
                <c:pt idx="4">
                  <c:v>остало</c:v>
                </c:pt>
              </c:strCache>
            </c:strRef>
          </c:cat>
          <c:val>
            <c:numRef>
              <c:f>Sheet1!$E$6:$E$10</c:f>
              <c:numCache>
                <c:formatCode>0%</c:formatCode>
                <c:ptCount val="5"/>
                <c:pt idx="0">
                  <c:v>0.49</c:v>
                </c:pt>
                <c:pt idx="1">
                  <c:v>0.01</c:v>
                </c:pt>
                <c:pt idx="2">
                  <c:v>0.05</c:v>
                </c:pt>
                <c:pt idx="3">
                  <c:v>0.28999999999999998</c:v>
                </c:pt>
                <c:pt idx="4">
                  <c:v>0.16</c:v>
                </c:pt>
              </c:numCache>
            </c:numRef>
          </c:val>
          <c:extLst>
            <c:ext xmlns:c16="http://schemas.microsoft.com/office/drawing/2014/chart" uri="{C3380CC4-5D6E-409C-BE32-E72D297353CC}">
              <c16:uniqueId val="{00000001-15AF-4E38-AF22-624D0E860167}"/>
            </c:ext>
          </c:extLst>
        </c:ser>
        <c:dLbls>
          <c:showLegendKey val="0"/>
          <c:showVal val="1"/>
          <c:showCatName val="0"/>
          <c:showSerName val="0"/>
          <c:showPercent val="0"/>
          <c:showBubbleSize val="0"/>
        </c:dLbls>
        <c:gapWidth val="150"/>
        <c:overlap val="-25"/>
        <c:axId val="224815152"/>
        <c:axId val="224813184"/>
      </c:barChart>
      <c:catAx>
        <c:axId val="22481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224813184"/>
        <c:crosses val="autoZero"/>
        <c:auto val="1"/>
        <c:lblAlgn val="ctr"/>
        <c:lblOffset val="100"/>
        <c:noMultiLvlLbl val="0"/>
      </c:catAx>
      <c:valAx>
        <c:axId val="224813184"/>
        <c:scaling>
          <c:orientation val="minMax"/>
        </c:scaling>
        <c:delete val="1"/>
        <c:axPos val="l"/>
        <c:numFmt formatCode="0%" sourceLinked="1"/>
        <c:majorTickMark val="none"/>
        <c:minorTickMark val="none"/>
        <c:tickLblPos val="nextTo"/>
        <c:crossAx val="22481515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r-Cyrl-RS" b="1">
                <a:latin typeface="Times New Roman" panose="02020603050405020304" pitchFamily="18" charset="0"/>
                <a:cs typeface="Times New Roman" panose="02020603050405020304" pitchFamily="18" charset="0"/>
              </a:rPr>
              <a:t>Примена критеријума за избор најповољније понуде</a:t>
            </a:r>
            <a:r>
              <a:rPr lang="sr-Latn-RS" b="1">
                <a:latin typeface="Times New Roman" panose="02020603050405020304" pitchFamily="18" charset="0"/>
                <a:cs typeface="Times New Roman" panose="02020603050405020304" pitchFamily="18" charset="0"/>
              </a:rPr>
              <a:t> </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Sheet1!$B$7</c:f>
              <c:strCache>
                <c:ptCount val="1"/>
                <c:pt idx="0">
                  <c:v>Економски најповољнија понуда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Sheet1!$C$6:$D$6</c:f>
              <c:strCache>
                <c:ptCount val="2"/>
                <c:pt idx="0">
                  <c:v>2018. 1П</c:v>
                </c:pt>
                <c:pt idx="1">
                  <c:v>2019. 1П</c:v>
                </c:pt>
              </c:strCache>
            </c:strRef>
          </c:cat>
          <c:val>
            <c:numRef>
              <c:f>Sheet1!$C$7:$D$7</c:f>
              <c:numCache>
                <c:formatCode>0%</c:formatCode>
                <c:ptCount val="2"/>
                <c:pt idx="0">
                  <c:v>0.13</c:v>
                </c:pt>
                <c:pt idx="1">
                  <c:v>0.1</c:v>
                </c:pt>
              </c:numCache>
            </c:numRef>
          </c:val>
          <c:extLst>
            <c:ext xmlns:c16="http://schemas.microsoft.com/office/drawing/2014/chart" uri="{C3380CC4-5D6E-409C-BE32-E72D297353CC}">
              <c16:uniqueId val="{00000000-D63A-4245-A615-8EDE1AE66D26}"/>
            </c:ext>
          </c:extLst>
        </c:ser>
        <c:ser>
          <c:idx val="1"/>
          <c:order val="1"/>
          <c:tx>
            <c:strRef>
              <c:f>Sheet1!$B$8</c:f>
              <c:strCache>
                <c:ptCount val="1"/>
                <c:pt idx="0">
                  <c:v>Најнижа понуђена цена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Sheet1!$C$6:$D$6</c:f>
              <c:strCache>
                <c:ptCount val="2"/>
                <c:pt idx="0">
                  <c:v>2018. 1П</c:v>
                </c:pt>
                <c:pt idx="1">
                  <c:v>2019. 1П</c:v>
                </c:pt>
              </c:strCache>
            </c:strRef>
          </c:cat>
          <c:val>
            <c:numRef>
              <c:f>Sheet1!$C$8:$D$8</c:f>
              <c:numCache>
                <c:formatCode>0%</c:formatCode>
                <c:ptCount val="2"/>
                <c:pt idx="0">
                  <c:v>0.87</c:v>
                </c:pt>
                <c:pt idx="1">
                  <c:v>0.9</c:v>
                </c:pt>
              </c:numCache>
            </c:numRef>
          </c:val>
          <c:extLst>
            <c:ext xmlns:c16="http://schemas.microsoft.com/office/drawing/2014/chart" uri="{C3380CC4-5D6E-409C-BE32-E72D297353CC}">
              <c16:uniqueId val="{00000001-D63A-4245-A615-8EDE1AE66D26}"/>
            </c:ext>
          </c:extLst>
        </c:ser>
        <c:dLbls>
          <c:showLegendKey val="0"/>
          <c:showVal val="0"/>
          <c:showCatName val="0"/>
          <c:showSerName val="0"/>
          <c:showPercent val="0"/>
          <c:showBubbleSize val="0"/>
        </c:dLbls>
        <c:gapWidth val="219"/>
        <c:overlap val="-27"/>
        <c:axId val="351900080"/>
        <c:axId val="351901064"/>
      </c:barChart>
      <c:catAx>
        <c:axId val="35190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351901064"/>
        <c:crosses val="autoZero"/>
        <c:auto val="1"/>
        <c:lblAlgn val="ctr"/>
        <c:lblOffset val="100"/>
        <c:noMultiLvlLbl val="0"/>
      </c:catAx>
      <c:valAx>
        <c:axId val="351901064"/>
        <c:scaling>
          <c:orientation val="minMax"/>
        </c:scaling>
        <c:delete val="1"/>
        <c:axPos val="l"/>
        <c:numFmt formatCode="0%" sourceLinked="1"/>
        <c:majorTickMark val="none"/>
        <c:minorTickMark val="none"/>
        <c:tickLblPos val="nextTo"/>
        <c:crossAx val="351900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b="1">
                <a:latin typeface="Times New Roman" panose="02020603050405020304" pitchFamily="18" charset="0"/>
                <a:cs typeface="Times New Roman" panose="02020603050405020304" pitchFamily="18" charset="0"/>
              </a:rPr>
              <a:t>Структура јавних набавки у вредности </a:t>
            </a:r>
          </a:p>
          <a:p>
            <a:pPr algn="ctr">
              <a:defRPr b="1">
                <a:latin typeface="Times New Roman" panose="02020603050405020304" pitchFamily="18" charset="0"/>
                <a:cs typeface="Times New Roman" panose="02020603050405020304" pitchFamily="18" charset="0"/>
              </a:defRPr>
            </a:pPr>
            <a:r>
              <a:rPr lang="sr-Cyrl-RS" b="1">
                <a:latin typeface="Times New Roman" panose="02020603050405020304" pitchFamily="18" charset="0"/>
                <a:cs typeface="Times New Roman" panose="02020603050405020304" pitchFamily="18" charset="0"/>
              </a:rPr>
              <a:t>по предмету набавке</a:t>
            </a:r>
          </a:p>
        </c:rich>
      </c:tx>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pieChart>
        <c:varyColors val="1"/>
        <c:ser>
          <c:idx val="0"/>
          <c:order val="0"/>
          <c:tx>
            <c:strRef>
              <c:f>Sheet1!$C$3</c:f>
              <c:strCache>
                <c:ptCount val="1"/>
                <c:pt idx="0">
                  <c:v>Структуктура јавних набавки у вредности по предмету набавке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3E-4128-9644-1DC27A286C7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3E-4128-9644-1DC27A286C7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63E-4128-9644-1DC27A286C7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Sheet1!$B$4:$B$6</c:f>
              <c:strCache>
                <c:ptCount val="3"/>
                <c:pt idx="0">
                  <c:v>добра</c:v>
                </c:pt>
                <c:pt idx="1">
                  <c:v>услуге</c:v>
                </c:pt>
                <c:pt idx="2">
                  <c:v>радови</c:v>
                </c:pt>
              </c:strCache>
            </c:strRef>
          </c:cat>
          <c:val>
            <c:numRef>
              <c:f>Sheet1!$C$4:$C$6</c:f>
              <c:numCache>
                <c:formatCode>0%</c:formatCode>
                <c:ptCount val="3"/>
                <c:pt idx="0">
                  <c:v>0.57999999999999996</c:v>
                </c:pt>
                <c:pt idx="1">
                  <c:v>0.22</c:v>
                </c:pt>
                <c:pt idx="2">
                  <c:v>0.2</c:v>
                </c:pt>
              </c:numCache>
            </c:numRef>
          </c:val>
          <c:extLst>
            <c:ext xmlns:c16="http://schemas.microsoft.com/office/drawing/2014/chart" uri="{C3380CC4-5D6E-409C-BE32-E72D297353CC}">
              <c16:uniqueId val="{00000006-F63E-4128-9644-1DC27A286C7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b="1">
                <a:latin typeface="Times New Roman" panose="02020603050405020304" pitchFamily="18" charset="0"/>
                <a:cs typeface="Times New Roman" panose="02020603050405020304" pitchFamily="18" charset="0"/>
              </a:rPr>
              <a:t>Структура јавних набавки у броју </a:t>
            </a:r>
          </a:p>
          <a:p>
            <a:pPr>
              <a:defRPr b="1">
                <a:latin typeface="Times New Roman" panose="02020603050405020304" pitchFamily="18" charset="0"/>
                <a:cs typeface="Times New Roman" panose="02020603050405020304" pitchFamily="18" charset="0"/>
              </a:defRPr>
            </a:pPr>
            <a:r>
              <a:rPr lang="sr-Cyrl-RS" b="1">
                <a:latin typeface="Times New Roman" panose="02020603050405020304" pitchFamily="18" charset="0"/>
                <a:cs typeface="Times New Roman" panose="02020603050405020304" pitchFamily="18" charset="0"/>
              </a:rPr>
              <a:t>по предмету набавке</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pieChart>
        <c:varyColors val="1"/>
        <c:ser>
          <c:idx val="0"/>
          <c:order val="0"/>
          <c:tx>
            <c:strRef>
              <c:f>Sheet1!$C$3</c:f>
              <c:strCache>
                <c:ptCount val="1"/>
                <c:pt idx="0">
                  <c:v>Структуктура јавних набавки у броју по предмету набавке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2C-4FFA-8A14-5752751D032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2C-4FFA-8A14-5752751D032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2C-4FFA-8A14-5752751D0326}"/>
              </c:ext>
            </c:extLst>
          </c:dPt>
          <c:dLbls>
            <c:dLbl>
              <c:idx val="2"/>
              <c:layout>
                <c:manualLayout>
                  <c:x val="0"/>
                  <c:y val="1.3888888888888867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D62C-4FFA-8A14-5752751D032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Sheet1!$B$4:$B$6</c:f>
              <c:strCache>
                <c:ptCount val="3"/>
                <c:pt idx="0">
                  <c:v>добра</c:v>
                </c:pt>
                <c:pt idx="1">
                  <c:v>услуге</c:v>
                </c:pt>
                <c:pt idx="2">
                  <c:v>радови</c:v>
                </c:pt>
              </c:strCache>
            </c:strRef>
          </c:cat>
          <c:val>
            <c:numRef>
              <c:f>Sheet1!$C$4:$C$6</c:f>
              <c:numCache>
                <c:formatCode>0%</c:formatCode>
                <c:ptCount val="3"/>
                <c:pt idx="0">
                  <c:v>0.64</c:v>
                </c:pt>
                <c:pt idx="1">
                  <c:v>0.28999999999999998</c:v>
                </c:pt>
                <c:pt idx="2">
                  <c:v>0.08</c:v>
                </c:pt>
              </c:numCache>
            </c:numRef>
          </c:val>
          <c:extLst>
            <c:ext xmlns:c16="http://schemas.microsoft.com/office/drawing/2014/chart" uri="{C3380CC4-5D6E-409C-BE32-E72D297353CC}">
              <c16:uniqueId val="{00000006-D62C-4FFA-8A14-5752751D032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pieChart>
        <c:varyColors val="1"/>
        <c:ser>
          <c:idx val="0"/>
          <c:order val="0"/>
          <c:tx>
            <c:strRef>
              <c:f>Sheet1!$C$3</c:f>
              <c:strCache>
                <c:ptCount val="1"/>
                <c:pt idx="0">
                  <c:v>Структура закључених уговора по врсти поступка у првом полугодишту 2019. године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ED-4CFF-A1DD-17A6BAFAA1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ED-4CFF-A1DD-17A6BAFAA1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ED-4CFF-A1DD-17A6BAFAA14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Sheet1!$B$4:$B$6</c:f>
              <c:strCache>
                <c:ptCount val="3"/>
                <c:pt idx="0">
                  <c:v>отворени поступак</c:v>
                </c:pt>
                <c:pt idx="1">
                  <c:v>преговарачки поступак без објављивања</c:v>
                </c:pt>
                <c:pt idx="2">
                  <c:v>остало</c:v>
                </c:pt>
              </c:strCache>
            </c:strRef>
          </c:cat>
          <c:val>
            <c:numRef>
              <c:f>Sheet1!$C$4:$C$6</c:f>
              <c:numCache>
                <c:formatCode>0%</c:formatCode>
                <c:ptCount val="3"/>
                <c:pt idx="0">
                  <c:v>0.94</c:v>
                </c:pt>
                <c:pt idx="1">
                  <c:v>0.03</c:v>
                </c:pt>
                <c:pt idx="2">
                  <c:v>0.03</c:v>
                </c:pt>
              </c:numCache>
            </c:numRef>
          </c:val>
          <c:extLst>
            <c:ext xmlns:c16="http://schemas.microsoft.com/office/drawing/2014/chart" uri="{C3380CC4-5D6E-409C-BE32-E72D297353CC}">
              <c16:uniqueId val="{00000006-16ED-4CFF-A1DD-17A6BAFAA14B}"/>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b="1">
                <a:latin typeface="Times New Roman" panose="02020603050405020304" pitchFamily="18" charset="0"/>
                <a:cs typeface="Times New Roman" panose="02020603050405020304" pitchFamily="18" charset="0"/>
              </a:rPr>
              <a:t>Процентуално учешће основа за преговарачки поступак без објављивања</a:t>
            </a:r>
          </a:p>
        </c:rich>
      </c:tx>
      <c:layout>
        <c:manualLayout>
          <c:xMode val="edge"/>
          <c:yMode val="edge"/>
          <c:x val="0.10516666666666669"/>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Sheet1!$D$5</c:f>
              <c:strCache>
                <c:ptCount val="1"/>
                <c:pt idx="0">
                  <c:v>2019 1П</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A3-4AD6-B0E2-4F694A9AD6E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A3-4AD6-B0E2-4F694A9AD6E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A3-4AD6-B0E2-4F694A9AD6E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A3-4AD6-B0E2-4F694A9AD6E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Sheet1!$C$6:$C$9</c:f>
              <c:strCache>
                <c:ptCount val="4"/>
                <c:pt idx="0">
                  <c:v>хитност</c:v>
                </c:pt>
                <c:pt idx="1">
                  <c:v>тачно одређени понуђач</c:v>
                </c:pt>
                <c:pt idx="2">
                  <c:v>неуспели отворени и рестриктивни</c:v>
                </c:pt>
                <c:pt idx="3">
                  <c:v>додатни радови и услуге</c:v>
                </c:pt>
              </c:strCache>
            </c:strRef>
          </c:cat>
          <c:val>
            <c:numRef>
              <c:f>Sheet1!$D$6:$D$9</c:f>
              <c:numCache>
                <c:formatCode>0%</c:formatCode>
                <c:ptCount val="4"/>
                <c:pt idx="0">
                  <c:v>7.0000000000000007E-2</c:v>
                </c:pt>
                <c:pt idx="1">
                  <c:v>0.86</c:v>
                </c:pt>
                <c:pt idx="2">
                  <c:v>0.04</c:v>
                </c:pt>
                <c:pt idx="3">
                  <c:v>0.02</c:v>
                </c:pt>
              </c:numCache>
            </c:numRef>
          </c:val>
          <c:extLst>
            <c:ext xmlns:c16="http://schemas.microsoft.com/office/drawing/2014/chart" uri="{C3380CC4-5D6E-409C-BE32-E72D297353CC}">
              <c16:uniqueId val="{00000008-7CA3-4AD6-B0E2-4F694A9AD6E5}"/>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a:latin typeface="Times New Roman" panose="02020603050405020304" pitchFamily="18" charset="0"/>
                <a:cs typeface="Times New Roman" panose="02020603050405020304" pitchFamily="18" charset="0"/>
              </a:rPr>
              <a:t>Преговарачки поступак без објављивања по најчешћем основу за примену</a:t>
            </a:r>
            <a:endParaRPr lang="sr-Latn-RS">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barChart>
        <c:barDir val="col"/>
        <c:grouping val="clustered"/>
        <c:varyColors val="0"/>
        <c:ser>
          <c:idx val="0"/>
          <c:order val="0"/>
          <c:tx>
            <c:strRef>
              <c:f>Sheet1!$E$9</c:f>
              <c:strCache>
                <c:ptCount val="1"/>
                <c:pt idx="0">
                  <c:v>2018 1П</c:v>
                </c:pt>
              </c:strCache>
            </c:strRef>
          </c:tx>
          <c:spPr>
            <a:solidFill>
              <a:schemeClr val="accent1"/>
            </a:solidFill>
            <a:ln>
              <a:noFill/>
            </a:ln>
            <a:effectLst/>
          </c:spPr>
          <c:invertIfNegative val="0"/>
          <c:dLbls>
            <c:dLbl>
              <c:idx val="1"/>
              <c:layout>
                <c:manualLayout>
                  <c:x val="-3.6976617727025596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A4A-4DE9-9950-8600565560D0}"/>
                </c:ext>
              </c:extLst>
            </c:dLbl>
            <c:dLbl>
              <c:idx val="2"/>
              <c:layout>
                <c:manualLayout>
                  <c:x val="-2.1750951604132682E-2"/>
                  <c:y val="-6.6460473255569299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A4A-4DE9-9950-8600565560D0}"/>
                </c:ext>
              </c:extLst>
            </c:dLbl>
            <c:dLbl>
              <c:idx val="3"/>
              <c:layout>
                <c:manualLayout>
                  <c:x val="-1.9575856443719411E-2"/>
                  <c:y val="-6.6460473255569299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A4A-4DE9-9950-8600565560D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Sheet1!$D$10:$D$13</c:f>
              <c:strCache>
                <c:ptCount val="4"/>
                <c:pt idx="0">
                  <c:v>хитност</c:v>
                </c:pt>
                <c:pt idx="1">
                  <c:v>тачно одређени понуђач</c:v>
                </c:pt>
                <c:pt idx="2">
                  <c:v>неуспели отворени и рестриктивни поступак</c:v>
                </c:pt>
                <c:pt idx="3">
                  <c:v>додатни радови и услуге</c:v>
                </c:pt>
              </c:strCache>
            </c:strRef>
          </c:cat>
          <c:val>
            <c:numRef>
              <c:f>Sheet1!$E$10:$E$13</c:f>
              <c:numCache>
                <c:formatCode>#,##0</c:formatCode>
                <c:ptCount val="4"/>
                <c:pt idx="0">
                  <c:v>1277766</c:v>
                </c:pt>
                <c:pt idx="1">
                  <c:v>3732062</c:v>
                </c:pt>
                <c:pt idx="2">
                  <c:v>527909</c:v>
                </c:pt>
                <c:pt idx="3">
                  <c:v>199235</c:v>
                </c:pt>
              </c:numCache>
            </c:numRef>
          </c:val>
          <c:extLst>
            <c:ext xmlns:c16="http://schemas.microsoft.com/office/drawing/2014/chart" uri="{C3380CC4-5D6E-409C-BE32-E72D297353CC}">
              <c16:uniqueId val="{00000003-5A4A-4DE9-9950-8600565560D0}"/>
            </c:ext>
          </c:extLst>
        </c:ser>
        <c:ser>
          <c:idx val="1"/>
          <c:order val="1"/>
          <c:tx>
            <c:strRef>
              <c:f>Sheet1!$F$9</c:f>
              <c:strCache>
                <c:ptCount val="1"/>
                <c:pt idx="0">
                  <c:v>2019 1П</c:v>
                </c:pt>
              </c:strCache>
            </c:strRef>
          </c:tx>
          <c:spPr>
            <a:solidFill>
              <a:schemeClr val="accent2"/>
            </a:solidFill>
            <a:ln>
              <a:noFill/>
            </a:ln>
            <a:effectLst/>
          </c:spPr>
          <c:invertIfNegative val="0"/>
          <c:dLbls>
            <c:dLbl>
              <c:idx val="0"/>
              <c:layout>
                <c:manualLayout>
                  <c:x val="2.1750951604132682E-2"/>
                  <c:y val="-1.08754758020664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A4A-4DE9-9950-8600565560D0}"/>
                </c:ext>
              </c:extLst>
            </c:dLbl>
            <c:dLbl>
              <c:idx val="1"/>
              <c:layout>
                <c:manualLayout>
                  <c:x val="-7.9752567906683147E-17"/>
                  <c:y val="-1.08754758020663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A4A-4DE9-9950-8600565560D0}"/>
                </c:ext>
              </c:extLst>
            </c:dLbl>
            <c:dLbl>
              <c:idx val="2"/>
              <c:layout>
                <c:manualLayout>
                  <c:x val="1.0875475802066182E-2"/>
                  <c:y val="-3.625158600688713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A4A-4DE9-9950-8600565560D0}"/>
                </c:ext>
              </c:extLst>
            </c:dLbl>
            <c:dLbl>
              <c:idx val="3"/>
              <c:layout>
                <c:manualLayout>
                  <c:x val="1.0875475802066182E-2"/>
                  <c:y val="-6.6460473255569299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A4A-4DE9-9950-8600565560D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Sheet1!$D$10:$D$13</c:f>
              <c:strCache>
                <c:ptCount val="4"/>
                <c:pt idx="0">
                  <c:v>хитност</c:v>
                </c:pt>
                <c:pt idx="1">
                  <c:v>тачно одређени понуђач</c:v>
                </c:pt>
                <c:pt idx="2">
                  <c:v>неуспели отворени и рестриктивни поступак</c:v>
                </c:pt>
                <c:pt idx="3">
                  <c:v>додатни радови и услуге</c:v>
                </c:pt>
              </c:strCache>
            </c:strRef>
          </c:cat>
          <c:val>
            <c:numRef>
              <c:f>Sheet1!$F$10:$F$13</c:f>
              <c:numCache>
                <c:formatCode>#,##0</c:formatCode>
                <c:ptCount val="4"/>
                <c:pt idx="0">
                  <c:v>414037</c:v>
                </c:pt>
                <c:pt idx="1">
                  <c:v>5278841</c:v>
                </c:pt>
                <c:pt idx="2">
                  <c:v>264929</c:v>
                </c:pt>
                <c:pt idx="3">
                  <c:v>148768</c:v>
                </c:pt>
              </c:numCache>
            </c:numRef>
          </c:val>
          <c:extLst>
            <c:ext xmlns:c16="http://schemas.microsoft.com/office/drawing/2014/chart" uri="{C3380CC4-5D6E-409C-BE32-E72D297353CC}">
              <c16:uniqueId val="{00000008-5A4A-4DE9-9950-8600565560D0}"/>
            </c:ext>
          </c:extLst>
        </c:ser>
        <c:dLbls>
          <c:showLegendKey val="0"/>
          <c:showVal val="1"/>
          <c:showCatName val="0"/>
          <c:showSerName val="0"/>
          <c:showPercent val="0"/>
          <c:showBubbleSize val="0"/>
        </c:dLbls>
        <c:gapWidth val="75"/>
        <c:axId val="192113448"/>
        <c:axId val="192117384"/>
      </c:barChart>
      <c:catAx>
        <c:axId val="192113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92117384"/>
        <c:crosses val="autoZero"/>
        <c:auto val="1"/>
        <c:lblAlgn val="ctr"/>
        <c:lblOffset val="100"/>
        <c:noMultiLvlLbl val="0"/>
      </c:catAx>
      <c:valAx>
        <c:axId val="192117384"/>
        <c:scaling>
          <c:orientation val="minMax"/>
        </c:scaling>
        <c:delete val="1"/>
        <c:axPos val="l"/>
        <c:numFmt formatCode="#,##0" sourceLinked="1"/>
        <c:majorTickMark val="none"/>
        <c:minorTickMark val="none"/>
        <c:tickLblPos val="nextTo"/>
        <c:crossAx val="192113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Cyrl-RS" sz="1200" b="1">
                <a:latin typeface="Times New Roman" panose="02020603050405020304" pitchFamily="18" charset="0"/>
                <a:cs typeface="Times New Roman" panose="02020603050405020304" pitchFamily="18" charset="0"/>
              </a:rPr>
              <a:t>Заступљеност закључених уговора  за које је пристигла</a:t>
            </a:r>
          </a:p>
          <a:p>
            <a:pPr>
              <a:defRPr sz="1200"/>
            </a:pPr>
            <a:r>
              <a:rPr lang="sr-Cyrl-RS" sz="1200" b="1">
                <a:latin typeface="Times New Roman" panose="02020603050405020304" pitchFamily="18" charset="0"/>
                <a:cs typeface="Times New Roman" panose="02020603050405020304" pitchFamily="18" charset="0"/>
              </a:rPr>
              <a:t> само једна понуда     </a:t>
            </a:r>
            <a:endParaRPr lang="sr-Latn-RS" sz="1200" b="1">
              <a:latin typeface="Times New Roman" panose="02020603050405020304" pitchFamily="18" charset="0"/>
              <a:cs typeface="Times New Roman" panose="02020603050405020304" pitchFamily="18" charset="0"/>
            </a:endParaRPr>
          </a:p>
        </c:rich>
      </c:tx>
      <c:layout>
        <c:manualLayout>
          <c:xMode val="edge"/>
          <c:yMode val="edge"/>
          <c:x val="0.17305227073567275"/>
          <c:y val="2.679097358307693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Sheet1!$B$6:$B$10</c:f>
              <c:strCache>
                <c:ptCount val="5"/>
                <c:pt idx="0">
                  <c:v>2015</c:v>
                </c:pt>
                <c:pt idx="1">
                  <c:v>2016</c:v>
                </c:pt>
                <c:pt idx="2">
                  <c:v>2017</c:v>
                </c:pt>
                <c:pt idx="3">
                  <c:v>2018</c:v>
                </c:pt>
                <c:pt idx="4">
                  <c:v>2019 1П</c:v>
                </c:pt>
              </c:strCache>
            </c:strRef>
          </c:cat>
          <c:val>
            <c:numRef>
              <c:f>Sheet1!$C$6:$C$10</c:f>
              <c:numCache>
                <c:formatCode>0%</c:formatCode>
                <c:ptCount val="5"/>
                <c:pt idx="0">
                  <c:v>0.433</c:v>
                </c:pt>
                <c:pt idx="1">
                  <c:v>0.42899999999999999</c:v>
                </c:pt>
                <c:pt idx="2">
                  <c:v>0.48299999999999998</c:v>
                </c:pt>
                <c:pt idx="3">
                  <c:v>0.54600000000000004</c:v>
                </c:pt>
                <c:pt idx="4">
                  <c:v>0.55200000000000005</c:v>
                </c:pt>
              </c:numCache>
            </c:numRef>
          </c:val>
          <c:extLst>
            <c:ext xmlns:c16="http://schemas.microsoft.com/office/drawing/2014/chart" uri="{C3380CC4-5D6E-409C-BE32-E72D297353CC}">
              <c16:uniqueId val="{00000000-5302-49B5-A4EB-CB86D603D31B}"/>
            </c:ext>
          </c:extLst>
        </c:ser>
        <c:dLbls>
          <c:showLegendKey val="0"/>
          <c:showVal val="0"/>
          <c:showCatName val="0"/>
          <c:showSerName val="0"/>
          <c:showPercent val="0"/>
          <c:showBubbleSize val="0"/>
        </c:dLbls>
        <c:gapWidth val="219"/>
        <c:overlap val="-27"/>
        <c:axId val="339110216"/>
        <c:axId val="339110872"/>
      </c:barChart>
      <c:catAx>
        <c:axId val="339110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339110872"/>
        <c:crosses val="autoZero"/>
        <c:auto val="1"/>
        <c:lblAlgn val="ctr"/>
        <c:lblOffset val="100"/>
        <c:noMultiLvlLbl val="0"/>
      </c:catAx>
      <c:valAx>
        <c:axId val="3391108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339110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a:latin typeface="Times New Roman" panose="02020603050405020304" pitchFamily="18" charset="0"/>
                <a:cs typeface="Times New Roman" panose="02020603050405020304" pitchFamily="18" charset="0"/>
              </a:rPr>
              <a:t>Број планова јавних набавки објављених годишње на Порталу јавних набавки</a:t>
            </a:r>
            <a:endParaRPr lang="sr-Latn-RS">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Sheet1!$B$6:$B$10</c:f>
              <c:strCache>
                <c:ptCount val="5"/>
                <c:pt idx="0">
                  <c:v>2015 1П</c:v>
                </c:pt>
                <c:pt idx="1">
                  <c:v>2016 1П</c:v>
                </c:pt>
                <c:pt idx="2">
                  <c:v>2017 1П</c:v>
                </c:pt>
                <c:pt idx="3">
                  <c:v>2018 1П</c:v>
                </c:pt>
                <c:pt idx="4">
                  <c:v>2019 1П</c:v>
                </c:pt>
              </c:strCache>
            </c:strRef>
          </c:cat>
          <c:val>
            <c:numRef>
              <c:f>Sheet1!$C$6:$C$10</c:f>
              <c:numCache>
                <c:formatCode>#,##0</c:formatCode>
                <c:ptCount val="5"/>
                <c:pt idx="0">
                  <c:v>1833</c:v>
                </c:pt>
                <c:pt idx="1">
                  <c:v>1969</c:v>
                </c:pt>
                <c:pt idx="2">
                  <c:v>1755</c:v>
                </c:pt>
                <c:pt idx="3">
                  <c:v>1991</c:v>
                </c:pt>
                <c:pt idx="4">
                  <c:v>2185</c:v>
                </c:pt>
              </c:numCache>
            </c:numRef>
          </c:val>
          <c:extLst>
            <c:ext xmlns:c16="http://schemas.microsoft.com/office/drawing/2014/chart" uri="{C3380CC4-5D6E-409C-BE32-E72D297353CC}">
              <c16:uniqueId val="{00000000-1C1A-4817-89BE-B3A6975C2065}"/>
            </c:ext>
          </c:extLst>
        </c:ser>
        <c:dLbls>
          <c:showLegendKey val="0"/>
          <c:showVal val="1"/>
          <c:showCatName val="0"/>
          <c:showSerName val="0"/>
          <c:showPercent val="0"/>
          <c:showBubbleSize val="0"/>
        </c:dLbls>
        <c:gapWidth val="150"/>
        <c:overlap val="-25"/>
        <c:axId val="339110216"/>
        <c:axId val="339110872"/>
      </c:barChart>
      <c:catAx>
        <c:axId val="339110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339110872"/>
        <c:crosses val="autoZero"/>
        <c:auto val="1"/>
        <c:lblAlgn val="ctr"/>
        <c:lblOffset val="100"/>
        <c:noMultiLvlLbl val="0"/>
      </c:catAx>
      <c:valAx>
        <c:axId val="339110872"/>
        <c:scaling>
          <c:orientation val="minMax"/>
        </c:scaling>
        <c:delete val="1"/>
        <c:axPos val="l"/>
        <c:numFmt formatCode="#,##0" sourceLinked="1"/>
        <c:majorTickMark val="none"/>
        <c:minorTickMark val="none"/>
        <c:tickLblPos val="nextTo"/>
        <c:crossAx val="339110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sz="1100" b="1">
                <a:latin typeface="Times New Roman" panose="02020603050405020304" pitchFamily="18" charset="0"/>
                <a:cs typeface="Times New Roman" panose="02020603050405020304" pitchFamily="18" charset="0"/>
              </a:rPr>
              <a:t>Структура набавки према вредности уговора додељених понуђачима из Србије, ЕУ и држава ван ЕУ</a:t>
            </a:r>
            <a:endParaRPr lang="en-US" sz="1100" b="1">
              <a:latin typeface="Times New Roman" panose="02020603050405020304" pitchFamily="18" charset="0"/>
              <a:cs typeface="Times New Roman" panose="02020603050405020304" pitchFamily="18" charset="0"/>
            </a:endParaRPr>
          </a:p>
          <a:p>
            <a:pPr>
              <a:defRPr sz="1100" b="1">
                <a:latin typeface="Times New Roman" panose="02020603050405020304" pitchFamily="18" charset="0"/>
                <a:cs typeface="Times New Roman" panose="02020603050405020304" pitchFamily="18" charset="0"/>
              </a:defRPr>
            </a:pPr>
            <a:r>
              <a:rPr lang="sr-Cyrl-RS" sz="1100" b="1">
                <a:latin typeface="Times New Roman" panose="02020603050405020304" pitchFamily="18" charset="0"/>
                <a:cs typeface="Times New Roman" panose="02020603050405020304" pitchFamily="18" charset="0"/>
              </a:rPr>
              <a:t> у првом полугодишту 2019. године</a:t>
            </a:r>
          </a:p>
        </c:rich>
      </c:tx>
      <c:layout>
        <c:manualLayout>
          <c:xMode val="edge"/>
          <c:yMode val="edge"/>
          <c:x val="0.14841320553780621"/>
          <c:y val="2.7598091385538273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pieChart>
        <c:varyColors val="1"/>
        <c:ser>
          <c:idx val="0"/>
          <c:order val="0"/>
          <c:tx>
            <c:strRef>
              <c:f>Sheet1!$C$5</c:f>
              <c:strCache>
                <c:ptCount val="1"/>
                <c:pt idx="0">
                  <c:v>2019 П</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9B-41EB-9515-1FC921A34A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9B-41EB-9515-1FC921A34A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9B-41EB-9515-1FC921A34ABB}"/>
              </c:ext>
            </c:extLst>
          </c:dPt>
          <c:dLbls>
            <c:dLbl>
              <c:idx val="0"/>
              <c:layout>
                <c:manualLayout>
                  <c:x val="-1.217082239720035E-2"/>
                  <c:y val="4.019757946923301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89B-41EB-9515-1FC921A34ABB}"/>
                </c:ext>
              </c:extLst>
            </c:dLbl>
            <c:dLbl>
              <c:idx val="1"/>
              <c:layout>
                <c:manualLayout>
                  <c:x val="-7.4545713734664957E-3"/>
                  <c:y val="2.8377818957607048E-2"/>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2%</a:t>
                    </a:r>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0"/>
              <c:showSerName val="0"/>
              <c:showPercent val="0"/>
              <c:showBubbleSize val="0"/>
              <c:extLst>
                <c:ext xmlns:c15="http://schemas.microsoft.com/office/drawing/2012/chart" uri="{CE6537A1-D6FC-4f65-9D91-7224C49458BB}">
                  <c15:layout>
                    <c:manualLayout>
                      <c:w val="9.7678884388652701E-2"/>
                      <c:h val="0.13601078281334289"/>
                    </c:manualLayout>
                  </c15:layout>
                </c:ext>
                <c:ext xmlns:c16="http://schemas.microsoft.com/office/drawing/2014/chart" uri="{C3380CC4-5D6E-409C-BE32-E72D297353CC}">
                  <c16:uniqueId val="{00000003-989B-41EB-9515-1FC921A34ABB}"/>
                </c:ext>
              </c:extLst>
            </c:dLbl>
            <c:dLbl>
              <c:idx val="2"/>
              <c:layout>
                <c:manualLayout>
                  <c:x val="2.7061960705391061E-2"/>
                  <c:y val="1.88921974002380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89B-41EB-9515-1FC921A34AB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Sheet1!$B$6:$B$8</c:f>
              <c:strCache>
                <c:ptCount val="3"/>
                <c:pt idx="0">
                  <c:v>Србија</c:v>
                </c:pt>
                <c:pt idx="1">
                  <c:v>Европска унија</c:v>
                </c:pt>
                <c:pt idx="2">
                  <c:v>ван Европске уније</c:v>
                </c:pt>
              </c:strCache>
            </c:strRef>
          </c:cat>
          <c:val>
            <c:numRef>
              <c:f>Sheet1!$C$6:$C$8</c:f>
              <c:numCache>
                <c:formatCode>0%</c:formatCode>
                <c:ptCount val="3"/>
                <c:pt idx="0">
                  <c:v>0.97</c:v>
                </c:pt>
                <c:pt idx="1">
                  <c:v>0.02</c:v>
                </c:pt>
                <c:pt idx="2">
                  <c:v>0.01</c:v>
                </c:pt>
              </c:numCache>
            </c:numRef>
          </c:val>
          <c:extLst>
            <c:ext xmlns:c16="http://schemas.microsoft.com/office/drawing/2014/chart" uri="{C3380CC4-5D6E-409C-BE32-E72D297353CC}">
              <c16:uniqueId val="{00000006-989B-41EB-9515-1FC921A34ABB}"/>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Entry>
      <c:legendEntry>
        <c:idx val="1"/>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Entry>
      <c:legendEntry>
        <c:idx val="2"/>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Entry>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CBFB-2A12-4BFE-98ED-8104710E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40</Pages>
  <Words>8904</Words>
  <Characters>50754</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Mladen Alempijevic</dc:creator>
  <cp:lastModifiedBy>Mladen Alempijevic</cp:lastModifiedBy>
  <cp:revision>19</cp:revision>
  <cp:lastPrinted>2019-09-30T07:17:00Z</cp:lastPrinted>
  <dcterms:created xsi:type="dcterms:W3CDTF">2019-10-11T07:32:00Z</dcterms:created>
  <dcterms:modified xsi:type="dcterms:W3CDTF">2019-10-11T09:37:00Z</dcterms:modified>
</cp:coreProperties>
</file>