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CED96B8" w14:textId="77777777" w:rsidR="0081466B" w:rsidRPr="009624C3" w:rsidRDefault="0081466B">
      <w:pPr>
        <w:jc w:val="both"/>
        <w:rPr>
          <w:rFonts w:ascii="Times New Roman" w:hAnsi="Times New Roman" w:cs="Times New Roman"/>
          <w:lang w:val="sr-Cyrl-RS"/>
        </w:rPr>
      </w:pPr>
    </w:p>
    <w:p w14:paraId="11BBB975" w14:textId="77777777" w:rsidR="0081466B" w:rsidRDefault="0081466B">
      <w:pPr>
        <w:jc w:val="both"/>
      </w:pPr>
    </w:p>
    <w:p w14:paraId="69C68236" w14:textId="77777777" w:rsidR="0081466B" w:rsidRDefault="0081466B">
      <w:pPr>
        <w:spacing w:after="0" w:line="240" w:lineRule="auto"/>
        <w:jc w:val="both"/>
      </w:pPr>
    </w:p>
    <w:p w14:paraId="7F7E411B" w14:textId="77777777" w:rsidR="0081466B" w:rsidRDefault="0081466B">
      <w:pPr>
        <w:spacing w:after="0" w:line="240" w:lineRule="auto"/>
        <w:jc w:val="both"/>
      </w:pPr>
    </w:p>
    <w:p w14:paraId="2994B3CD" w14:textId="77777777" w:rsidR="0081466B" w:rsidRDefault="004F0DED">
      <w:pPr>
        <w:spacing w:after="0" w:line="240" w:lineRule="auto"/>
        <w:jc w:val="center"/>
      </w:pPr>
      <w:r>
        <w:rPr>
          <w:noProof/>
          <w:lang w:val="sr-Latn-RS" w:eastAsia="sr-Latn-RS"/>
        </w:rPr>
        <w:drawing>
          <wp:inline distT="0" distB="0" distL="0" distR="0" wp14:anchorId="2E9FF828" wp14:editId="49FFE714">
            <wp:extent cx="1276350" cy="809625"/>
            <wp:effectExtent l="0" t="0" r="0" b="0"/>
            <wp:docPr id="1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09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48C29737" w14:textId="77777777" w:rsidR="0081466B" w:rsidRDefault="004F0DED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РЕПУБЛИКА СРБИЈА</w:t>
      </w:r>
    </w:p>
    <w:p w14:paraId="6C2FE75A" w14:textId="77777777" w:rsidR="0081466B" w:rsidRDefault="004F0DED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УПРАВА ЗА ЈАВНЕ НАБАВКЕ</w:t>
      </w:r>
    </w:p>
    <w:p w14:paraId="04CB67C0" w14:textId="77777777" w:rsidR="0081466B" w:rsidRDefault="0081466B">
      <w:pPr>
        <w:spacing w:after="0" w:line="240" w:lineRule="auto"/>
        <w:jc w:val="center"/>
      </w:pPr>
    </w:p>
    <w:p w14:paraId="0A57F490" w14:textId="77777777" w:rsidR="0081466B" w:rsidRDefault="0081466B">
      <w:pPr>
        <w:spacing w:after="0" w:line="240" w:lineRule="auto"/>
        <w:jc w:val="center"/>
      </w:pPr>
    </w:p>
    <w:p w14:paraId="6B4DFA8C" w14:textId="77777777" w:rsidR="0081466B" w:rsidRDefault="0081466B">
      <w:pPr>
        <w:spacing w:after="0" w:line="240" w:lineRule="auto"/>
        <w:jc w:val="center"/>
      </w:pPr>
    </w:p>
    <w:p w14:paraId="2991BC94" w14:textId="77777777" w:rsidR="0081466B" w:rsidRDefault="0081466B">
      <w:pPr>
        <w:spacing w:after="0" w:line="240" w:lineRule="auto"/>
        <w:jc w:val="center"/>
      </w:pPr>
    </w:p>
    <w:p w14:paraId="56FC4D03" w14:textId="77777777" w:rsidR="0081466B" w:rsidRDefault="0081466B">
      <w:pPr>
        <w:spacing w:after="0" w:line="240" w:lineRule="auto"/>
        <w:jc w:val="center"/>
      </w:pPr>
    </w:p>
    <w:p w14:paraId="28233E5D" w14:textId="77777777" w:rsidR="0081466B" w:rsidRDefault="0081466B">
      <w:pPr>
        <w:spacing w:after="0" w:line="240" w:lineRule="auto"/>
        <w:jc w:val="center"/>
      </w:pPr>
    </w:p>
    <w:p w14:paraId="6B1C3A31" w14:textId="77777777" w:rsidR="0081466B" w:rsidRDefault="0081466B">
      <w:pPr>
        <w:spacing w:after="0" w:line="240" w:lineRule="auto"/>
        <w:jc w:val="center"/>
      </w:pPr>
    </w:p>
    <w:p w14:paraId="34F163C9" w14:textId="77777777" w:rsidR="0081466B" w:rsidRDefault="0081466B">
      <w:pPr>
        <w:spacing w:after="0" w:line="240" w:lineRule="auto"/>
        <w:jc w:val="center"/>
      </w:pPr>
    </w:p>
    <w:p w14:paraId="2B8DE4C5" w14:textId="77777777" w:rsidR="0081466B" w:rsidRDefault="0081466B">
      <w:pPr>
        <w:spacing w:after="0" w:line="240" w:lineRule="auto"/>
        <w:jc w:val="center"/>
      </w:pPr>
    </w:p>
    <w:p w14:paraId="7D8E2FBB" w14:textId="77777777" w:rsidR="0081466B" w:rsidRDefault="0081466B">
      <w:pPr>
        <w:spacing w:after="0" w:line="240" w:lineRule="auto"/>
        <w:jc w:val="center"/>
      </w:pPr>
    </w:p>
    <w:p w14:paraId="52CA14CA" w14:textId="77777777" w:rsidR="0081466B" w:rsidRDefault="0081466B">
      <w:pPr>
        <w:spacing w:after="0" w:line="240" w:lineRule="auto"/>
        <w:jc w:val="center"/>
      </w:pPr>
    </w:p>
    <w:p w14:paraId="2D8C6CF7" w14:textId="77777777" w:rsidR="0081466B" w:rsidRDefault="0081466B">
      <w:pPr>
        <w:spacing w:after="0" w:line="240" w:lineRule="auto"/>
        <w:jc w:val="center"/>
      </w:pPr>
    </w:p>
    <w:p w14:paraId="7F3D0290" w14:textId="77777777" w:rsidR="0081466B" w:rsidRDefault="0081466B">
      <w:pPr>
        <w:spacing w:after="0" w:line="240" w:lineRule="auto"/>
        <w:jc w:val="center"/>
      </w:pPr>
    </w:p>
    <w:p w14:paraId="62984F6A" w14:textId="77777777" w:rsidR="0081466B" w:rsidRDefault="0081466B">
      <w:pPr>
        <w:spacing w:after="0" w:line="240" w:lineRule="auto"/>
        <w:jc w:val="center"/>
      </w:pPr>
    </w:p>
    <w:p w14:paraId="082B6E27" w14:textId="77777777" w:rsidR="0081466B" w:rsidRDefault="004F0DED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ИЗВЕШТАЈ О ЈАВНИМ НАБАВКАМА У РЕПУБЛИЦИ СРБИЈИ</w:t>
      </w:r>
    </w:p>
    <w:p w14:paraId="052D7D14" w14:textId="0A0BAA6E" w:rsidR="0081466B" w:rsidRDefault="009F1A19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 ПЕРИОД 1.1.2018</w:t>
      </w:r>
      <w:r w:rsidR="008C008D">
        <w:rPr>
          <w:rFonts w:ascii="Times New Roman" w:eastAsia="Times New Roman" w:hAnsi="Times New Roman" w:cs="Times New Roman"/>
          <w:b/>
          <w:sz w:val="24"/>
          <w:szCs w:val="24"/>
        </w:rPr>
        <w:t xml:space="preserve"> – 30.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6.2018</w:t>
      </w:r>
      <w:r w:rsidR="004F0DED">
        <w:rPr>
          <w:rFonts w:ascii="Times New Roman" w:eastAsia="Times New Roman" w:hAnsi="Times New Roman" w:cs="Times New Roman"/>
          <w:b/>
          <w:sz w:val="24"/>
          <w:szCs w:val="24"/>
        </w:rPr>
        <w:t>. ГОДИНЕ</w:t>
      </w:r>
    </w:p>
    <w:p w14:paraId="3D241081" w14:textId="77777777" w:rsidR="0081466B" w:rsidRDefault="0081466B">
      <w:pPr>
        <w:spacing w:after="0" w:line="240" w:lineRule="auto"/>
        <w:jc w:val="center"/>
      </w:pPr>
    </w:p>
    <w:p w14:paraId="2B99ED19" w14:textId="77777777" w:rsidR="0081466B" w:rsidRDefault="0081466B">
      <w:pPr>
        <w:spacing w:after="0" w:line="240" w:lineRule="auto"/>
        <w:jc w:val="center"/>
      </w:pPr>
    </w:p>
    <w:p w14:paraId="4B298F74" w14:textId="77777777" w:rsidR="0081466B" w:rsidRDefault="0081466B">
      <w:pPr>
        <w:spacing w:after="0" w:line="240" w:lineRule="auto"/>
        <w:jc w:val="center"/>
      </w:pPr>
    </w:p>
    <w:p w14:paraId="147137E6" w14:textId="77777777" w:rsidR="0081466B" w:rsidRDefault="0081466B">
      <w:pPr>
        <w:spacing w:after="0" w:line="240" w:lineRule="auto"/>
        <w:jc w:val="center"/>
      </w:pPr>
    </w:p>
    <w:p w14:paraId="567A3577" w14:textId="77777777" w:rsidR="0081466B" w:rsidRDefault="0081466B">
      <w:pPr>
        <w:spacing w:after="0" w:line="240" w:lineRule="auto"/>
        <w:jc w:val="center"/>
      </w:pPr>
    </w:p>
    <w:p w14:paraId="2961F7F0" w14:textId="77777777" w:rsidR="0081466B" w:rsidRDefault="0081466B">
      <w:pPr>
        <w:spacing w:after="0" w:line="240" w:lineRule="auto"/>
        <w:jc w:val="center"/>
      </w:pPr>
    </w:p>
    <w:p w14:paraId="2E7186A2" w14:textId="77777777" w:rsidR="0081466B" w:rsidRDefault="0081466B">
      <w:pPr>
        <w:spacing w:after="0" w:line="240" w:lineRule="auto"/>
        <w:jc w:val="center"/>
      </w:pPr>
    </w:p>
    <w:p w14:paraId="5446C386" w14:textId="77777777" w:rsidR="0081466B" w:rsidRDefault="0081466B">
      <w:pPr>
        <w:spacing w:after="0" w:line="240" w:lineRule="auto"/>
        <w:jc w:val="center"/>
      </w:pPr>
    </w:p>
    <w:p w14:paraId="39C7E13E" w14:textId="77777777" w:rsidR="0081466B" w:rsidRDefault="0081466B">
      <w:pPr>
        <w:spacing w:after="0" w:line="240" w:lineRule="auto"/>
        <w:jc w:val="center"/>
      </w:pPr>
    </w:p>
    <w:p w14:paraId="4418E123" w14:textId="77777777" w:rsidR="0081466B" w:rsidRDefault="0081466B">
      <w:pPr>
        <w:spacing w:after="0" w:line="240" w:lineRule="auto"/>
        <w:jc w:val="center"/>
      </w:pPr>
    </w:p>
    <w:p w14:paraId="0981DED9" w14:textId="77777777" w:rsidR="0081466B" w:rsidRDefault="0081466B">
      <w:pPr>
        <w:spacing w:after="0" w:line="240" w:lineRule="auto"/>
        <w:jc w:val="center"/>
      </w:pPr>
    </w:p>
    <w:p w14:paraId="564EEA38" w14:textId="77777777" w:rsidR="0081466B" w:rsidRDefault="0081466B">
      <w:pPr>
        <w:spacing w:after="0" w:line="240" w:lineRule="auto"/>
        <w:jc w:val="center"/>
      </w:pPr>
    </w:p>
    <w:p w14:paraId="2C7C59CF" w14:textId="77777777" w:rsidR="0081466B" w:rsidRDefault="0081466B">
      <w:pPr>
        <w:spacing w:after="0" w:line="240" w:lineRule="auto"/>
        <w:jc w:val="center"/>
      </w:pPr>
    </w:p>
    <w:p w14:paraId="398E3084" w14:textId="77777777" w:rsidR="0081466B" w:rsidRDefault="0081466B">
      <w:pPr>
        <w:spacing w:after="0" w:line="240" w:lineRule="auto"/>
        <w:jc w:val="center"/>
      </w:pPr>
    </w:p>
    <w:p w14:paraId="1EE81B63" w14:textId="77777777" w:rsidR="0081466B" w:rsidRDefault="0081466B">
      <w:pPr>
        <w:spacing w:after="0" w:line="240" w:lineRule="auto"/>
        <w:jc w:val="center"/>
      </w:pPr>
    </w:p>
    <w:p w14:paraId="496F59DD" w14:textId="77777777" w:rsidR="0081466B" w:rsidRDefault="0081466B">
      <w:pPr>
        <w:spacing w:after="0" w:line="240" w:lineRule="auto"/>
        <w:jc w:val="center"/>
      </w:pPr>
    </w:p>
    <w:p w14:paraId="4FD75644" w14:textId="77777777" w:rsidR="0081466B" w:rsidRDefault="0081466B">
      <w:pPr>
        <w:spacing w:after="0" w:line="240" w:lineRule="auto"/>
        <w:jc w:val="center"/>
      </w:pPr>
    </w:p>
    <w:p w14:paraId="13154686" w14:textId="77777777" w:rsidR="0081466B" w:rsidRDefault="0081466B">
      <w:pPr>
        <w:spacing w:after="0" w:line="240" w:lineRule="auto"/>
        <w:jc w:val="center"/>
      </w:pPr>
    </w:p>
    <w:p w14:paraId="323F31A9" w14:textId="77777777" w:rsidR="0081466B" w:rsidRDefault="0081466B">
      <w:pPr>
        <w:spacing w:after="0" w:line="240" w:lineRule="auto"/>
        <w:jc w:val="center"/>
      </w:pPr>
    </w:p>
    <w:p w14:paraId="3D60F5F7" w14:textId="77777777" w:rsidR="0081466B" w:rsidRDefault="004F0DED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Београд</w:t>
      </w:r>
    </w:p>
    <w:p w14:paraId="4BC8C8D7" w14:textId="26555D54" w:rsidR="0081466B" w:rsidRPr="007F1D22" w:rsidRDefault="00304FC8">
      <w:pPr>
        <w:spacing w:after="0" w:line="240" w:lineRule="auto"/>
        <w:jc w:val="center"/>
        <w:rPr>
          <w:color w:val="000000" w:themeColor="text1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>6</w:t>
      </w:r>
      <w:r w:rsidR="009F1A1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новембар</w:t>
      </w:r>
      <w:r w:rsidR="00932E9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F1A1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2018</w:t>
      </w:r>
      <w:r w:rsidR="004F0DED" w:rsidRPr="007F1D2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 године</w:t>
      </w:r>
    </w:p>
    <w:p w14:paraId="70CDBE36" w14:textId="77777777" w:rsidR="0081466B" w:rsidRDefault="0081466B">
      <w:pPr>
        <w:jc w:val="both"/>
      </w:pPr>
    </w:p>
    <w:p w14:paraId="20072337" w14:textId="77777777" w:rsidR="0081466B" w:rsidRDefault="0081466B">
      <w:pPr>
        <w:jc w:val="both"/>
      </w:pPr>
    </w:p>
    <w:p w14:paraId="4CDEC9B9" w14:textId="77777777" w:rsidR="0081466B" w:rsidRDefault="0081466B">
      <w:pPr>
        <w:jc w:val="both"/>
      </w:pPr>
    </w:p>
    <w:p w14:paraId="19EDA8C2" w14:textId="77777777" w:rsidR="0081466B" w:rsidRDefault="004F0DED">
      <w:pPr>
        <w:spacing w:after="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УВОД</w:t>
      </w:r>
    </w:p>
    <w:p w14:paraId="4D6FD931" w14:textId="77777777" w:rsidR="0081466B" w:rsidRDefault="0081466B">
      <w:pPr>
        <w:spacing w:after="0"/>
        <w:ind w:left="720"/>
        <w:jc w:val="both"/>
      </w:pPr>
    </w:p>
    <w:p w14:paraId="56EC07EA" w14:textId="77777777" w:rsidR="0081466B" w:rsidRDefault="004F0DED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Законом о јавним набавкама („Службени гласник РС“, бр. 124/12, 14/15 и 68/15; у даљем тексту: З</w:t>
      </w:r>
      <w:r w:rsidR="003B201F">
        <w:rPr>
          <w:rFonts w:ascii="Times New Roman" w:eastAsia="Times New Roman" w:hAnsi="Times New Roman" w:cs="Times New Roman"/>
          <w:sz w:val="24"/>
          <w:szCs w:val="24"/>
        </w:rPr>
        <w:t>ЈН</w:t>
      </w:r>
      <w:r>
        <w:rPr>
          <w:rFonts w:ascii="Times New Roman" w:eastAsia="Times New Roman" w:hAnsi="Times New Roman" w:cs="Times New Roman"/>
          <w:sz w:val="24"/>
          <w:szCs w:val="24"/>
        </w:rPr>
        <w:t>), прописано је да су наручиоци дужни да прикупљају и евидентирају податке о јавним набавкама и да своје кварталне извештаје достављају Управи за јавне набавке (у даљем тексту: У</w:t>
      </w:r>
      <w:r w:rsidR="004319AB">
        <w:rPr>
          <w:rFonts w:ascii="Times New Roman" w:eastAsia="Times New Roman" w:hAnsi="Times New Roman" w:cs="Times New Roman"/>
          <w:sz w:val="24"/>
          <w:szCs w:val="24"/>
        </w:rPr>
        <w:t>ЈН</w:t>
      </w:r>
      <w:r>
        <w:rPr>
          <w:rFonts w:ascii="Times New Roman" w:eastAsia="Times New Roman" w:hAnsi="Times New Roman" w:cs="Times New Roman"/>
          <w:sz w:val="24"/>
          <w:szCs w:val="24"/>
        </w:rPr>
        <w:t>) најкасније до 10. у месецу који следи по истеку тромесечја.</w:t>
      </w:r>
    </w:p>
    <w:p w14:paraId="37F8710D" w14:textId="77777777" w:rsidR="0081466B" w:rsidRDefault="004F0DED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Кључни елементи тромесечних извештаја о јавним набавкама предвиђени су самим З</w:t>
      </w:r>
      <w:r w:rsidR="003B201F">
        <w:rPr>
          <w:rFonts w:ascii="Times New Roman" w:eastAsia="Times New Roman" w:hAnsi="Times New Roman" w:cs="Times New Roman"/>
          <w:sz w:val="24"/>
          <w:szCs w:val="24"/>
        </w:rPr>
        <w:t>ЈН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док су садржина извештаја и начин вођења евиденције детаљније уређени Правилником о садржини извештаја о јавним набавкама и начину вођења евиденције о јавним набавкама („Службени гласник РС“, бр. 29/13). </w:t>
      </w:r>
    </w:p>
    <w:p w14:paraId="5115DFC8" w14:textId="77777777" w:rsidR="0081466B" w:rsidRDefault="004F0DED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Конкретно, прописано је да наручиоци достављају У</w:t>
      </w:r>
      <w:r w:rsidR="004319AB">
        <w:rPr>
          <w:rFonts w:ascii="Times New Roman" w:eastAsia="Times New Roman" w:hAnsi="Times New Roman" w:cs="Times New Roman"/>
          <w:sz w:val="24"/>
          <w:szCs w:val="24"/>
        </w:rPr>
        <w:t>ЈН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тромесечни извештај о спроведеним поступцима и закљученим уговорима о јавним набавкама, о спроведеним поступцима набавки на које се не примењују одредбе З</w:t>
      </w:r>
      <w:r w:rsidR="003B201F">
        <w:rPr>
          <w:rFonts w:ascii="Times New Roman" w:eastAsia="Times New Roman" w:hAnsi="Times New Roman" w:cs="Times New Roman"/>
          <w:sz w:val="24"/>
          <w:szCs w:val="24"/>
        </w:rPr>
        <w:t>ЈН</w:t>
      </w:r>
      <w:r>
        <w:rPr>
          <w:rFonts w:ascii="Times New Roman" w:eastAsia="Times New Roman" w:hAnsi="Times New Roman" w:cs="Times New Roman"/>
          <w:sz w:val="24"/>
          <w:szCs w:val="24"/>
        </w:rPr>
        <w:t>, о обустављеним и поништеним поступцима јавне набавке, као и извештај о извршењу уговора.</w:t>
      </w:r>
    </w:p>
    <w:p w14:paraId="4F36D040" w14:textId="77777777" w:rsidR="0081466B" w:rsidRDefault="004F0DED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Тромесечни извештај о јавним набавкама припрема се и доставља у електронској форми, путем апликативног софтвера У</w:t>
      </w:r>
      <w:r w:rsidR="004319AB">
        <w:rPr>
          <w:rFonts w:ascii="Times New Roman" w:eastAsia="Times New Roman" w:hAnsi="Times New Roman" w:cs="Times New Roman"/>
          <w:sz w:val="24"/>
          <w:szCs w:val="24"/>
        </w:rPr>
        <w:t>ЈН</w:t>
      </w:r>
      <w:r>
        <w:rPr>
          <w:rFonts w:ascii="Times New Roman" w:eastAsia="Times New Roman" w:hAnsi="Times New Roman" w:cs="Times New Roman"/>
          <w:sz w:val="24"/>
          <w:szCs w:val="24"/>
        </w:rPr>
        <w:t>. Поред прописаних образаца за вођење евиденције, софтвер садржи и пратеће корисничко упутство, и доступан је на интернет страници У</w:t>
      </w:r>
      <w:r w:rsidR="004319AB">
        <w:rPr>
          <w:rFonts w:ascii="Times New Roman" w:eastAsia="Times New Roman" w:hAnsi="Times New Roman" w:cs="Times New Roman"/>
          <w:sz w:val="24"/>
          <w:szCs w:val="24"/>
        </w:rPr>
        <w:t>ЈН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hyperlink r:id="rId9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www.ujn.gov.rs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14:paraId="04E003DE" w14:textId="77777777" w:rsidR="0081466B" w:rsidRDefault="004F0DED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Подаци о уговорима закљученим у поступку јавне набавке мале вредности, као и подаци о набавкама на које се З</w:t>
      </w:r>
      <w:r w:rsidR="003B201F">
        <w:rPr>
          <w:rFonts w:ascii="Times New Roman" w:eastAsia="Times New Roman" w:hAnsi="Times New Roman" w:cs="Times New Roman"/>
          <w:sz w:val="24"/>
          <w:szCs w:val="24"/>
        </w:rPr>
        <w:t>ЈН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примењује у извештајима се наводе збирно, за разлику од осталих врста поступака где су наручиоци дужни да евидентирају сваки закључени уговор појединачно. У складу са наведеном методологијом прикупљања података, генеришу се збирни статистички показетељи.</w:t>
      </w:r>
    </w:p>
    <w:p w14:paraId="2100FC3F" w14:textId="77777777" w:rsidR="0081466B" w:rsidRDefault="004F0DED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За исправност и тачност података приказаних у својим тромесечним извештајима, одговорност сносе наручиоци.</w:t>
      </w:r>
    </w:p>
    <w:p w14:paraId="3DD9B0E3" w14:textId="77777777" w:rsidR="0081466B" w:rsidRDefault="004F0DED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4319AB">
        <w:rPr>
          <w:rFonts w:ascii="Times New Roman" w:eastAsia="Times New Roman" w:hAnsi="Times New Roman" w:cs="Times New Roman"/>
          <w:sz w:val="24"/>
          <w:szCs w:val="24"/>
        </w:rPr>
        <w:t>ЈН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је дужна да на основу појединачних извештаја наручилаца припреми збирни, полугодишњи и годишњи извештај о јавним набавкама са предлогом општих и појединачних мера за унапређење система јавних набавки и да их, након достављања Влади Рeпублике Србије, објави на својој интернет страници.</w:t>
      </w:r>
    </w:p>
    <w:p w14:paraId="6363D08D" w14:textId="77777777" w:rsidR="0081466B" w:rsidRDefault="004F0DED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Такође, на основу достављених тромесечних извештаја наручилаца, У</w:t>
      </w:r>
      <w:r w:rsidR="004319AB">
        <w:rPr>
          <w:rFonts w:ascii="Times New Roman" w:eastAsia="Times New Roman" w:hAnsi="Times New Roman" w:cs="Times New Roman"/>
          <w:sz w:val="24"/>
          <w:szCs w:val="24"/>
        </w:rPr>
        <w:t>ЈН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припрема преглед спроведених поступака и закључених уговорa који објављује на Порталу јавних набавки (</w:t>
      </w:r>
      <w:hyperlink r:id="rId10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http://portal.ujn.gov.rs</w:t>
        </w:r>
      </w:hyperlink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;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даљем тексту: Портал), ради информисања јавности. </w:t>
      </w:r>
    </w:p>
    <w:p w14:paraId="55889935" w14:textId="77777777" w:rsidR="0081466B" w:rsidRPr="003B201F" w:rsidRDefault="004F0DED">
      <w:pPr>
        <w:numPr>
          <w:ilvl w:val="0"/>
          <w:numId w:val="15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ОПШТИ ПОКАЗАТЕЉИ</w:t>
      </w:r>
    </w:p>
    <w:p w14:paraId="746A5B98" w14:textId="77777777" w:rsidR="003B201F" w:rsidRDefault="003B201F" w:rsidP="003B201F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48D227" w14:textId="4246C812" w:rsidR="00263B40" w:rsidRPr="00263B40" w:rsidRDefault="00716D74" w:rsidP="006D2DE7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"/>
        </w:rPr>
        <w:t>В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 xml:space="preserve">редност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уговорених 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 xml:space="preserve">јавних </w:t>
      </w:r>
      <w:r w:rsidR="006D2DE7">
        <w:rPr>
          <w:rFonts w:ascii="Times New Roman" w:eastAsia="Times New Roman" w:hAnsi="Times New Roman" w:cs="Times New Roman"/>
          <w:sz w:val="24"/>
          <w:szCs w:val="24"/>
        </w:rPr>
        <w:t>набавки у првом полугодишту 2018</w:t>
      </w:r>
      <w:r w:rsidR="004E5145">
        <w:rPr>
          <w:rFonts w:ascii="Times New Roman" w:eastAsia="Times New Roman" w:hAnsi="Times New Roman" w:cs="Times New Roman"/>
          <w:sz w:val="24"/>
          <w:szCs w:val="24"/>
        </w:rPr>
        <w:t xml:space="preserve">. године износила је </w:t>
      </w:r>
      <w:r w:rsidR="006D2D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188.3</w:t>
      </w:r>
      <w:r w:rsidR="006D2D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58.108.000</w:t>
      </w:r>
      <w:r w:rsidR="005F471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0DED" w:rsidRPr="00B926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динара</w:t>
      </w:r>
      <w:r w:rsidR="008E611C" w:rsidRPr="00B92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="008E611C" w:rsidRPr="00B926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(Табела 1)</w:t>
      </w:r>
      <w:r w:rsidR="006D2D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што је </w:t>
      </w:r>
      <w:r w:rsidR="006D2D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више</w:t>
      </w:r>
      <w:r w:rsidR="006D2D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него у истом периоду 2017</w:t>
      </w:r>
      <w:r w:rsidR="004F0DED" w:rsidRPr="00B926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B926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2D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</w:t>
      </w:r>
      <w:r w:rsidR="00B926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одине</w:t>
      </w:r>
      <w:r w:rsidR="006D2D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6D2D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Закључено је 60.475 уговора о јавним набавкама</w:t>
      </w:r>
      <w:r w:rsidR="006D2DE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а просечна вредност уговора</w:t>
      </w:r>
      <w:r w:rsidR="006D2DE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износила је 3.114.644 динара.</w:t>
      </w:r>
      <w:r w:rsidR="00B926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FAD22E8" w14:textId="77777777" w:rsidR="005F4712" w:rsidRDefault="00882436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CS"/>
        </w:rPr>
        <w:t xml:space="preserve">    </w:t>
      </w:r>
    </w:p>
    <w:p w14:paraId="17B2E66E" w14:textId="7F5F8CE5" w:rsidR="0081466B" w:rsidRPr="003304AA" w:rsidRDefault="00E547B6">
      <w:pPr>
        <w:jc w:val="both"/>
        <w:rPr>
          <w:color w:val="auto"/>
        </w:rPr>
      </w:pPr>
      <w:r w:rsidRPr="003304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4F0DED" w:rsidRPr="003304A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Табела 1</w:t>
      </w:r>
    </w:p>
    <w:tbl>
      <w:tblPr>
        <w:tblW w:w="9630" w:type="dxa"/>
        <w:jc w:val="center"/>
        <w:tblLook w:val="04A0" w:firstRow="1" w:lastRow="0" w:firstColumn="1" w:lastColumn="0" w:noHBand="0" w:noVBand="1"/>
      </w:tblPr>
      <w:tblGrid>
        <w:gridCol w:w="1171"/>
        <w:gridCol w:w="2445"/>
        <w:gridCol w:w="3134"/>
        <w:gridCol w:w="2880"/>
      </w:tblGrid>
      <w:tr w:rsidR="00263B40" w:rsidRPr="0098173C" w14:paraId="39597D3E" w14:textId="77777777" w:rsidTr="00F60903">
        <w:trPr>
          <w:trHeight w:val="300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53ECFA5" w14:textId="77777777" w:rsidR="00263B40" w:rsidRPr="0098173C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5B0C3F0" w14:textId="77777777" w:rsidR="00263B40" w:rsidRPr="0098173C" w:rsidRDefault="00263B40" w:rsidP="006D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17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Упоредни преглед закључених уговора о јавним набавкама</w:t>
            </w:r>
          </w:p>
        </w:tc>
      </w:tr>
      <w:tr w:rsidR="00263B40" w:rsidRPr="0098173C" w14:paraId="767488BB" w14:textId="77777777" w:rsidTr="00F60903">
        <w:trPr>
          <w:trHeight w:val="975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69010" w14:textId="77777777" w:rsidR="00263B40" w:rsidRPr="0098173C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8173C">
              <w:rPr>
                <w:rFonts w:ascii="Times New Roman" w:eastAsia="Times New Roman" w:hAnsi="Times New Roman" w:cs="Times New Roman"/>
                <w:b/>
              </w:rPr>
              <w:t>Година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75CE" w14:textId="77777777" w:rsidR="00263B40" w:rsidRPr="0098173C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17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Укупан број уговора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117F4" w14:textId="77777777" w:rsidR="00263B40" w:rsidRPr="0098173C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17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Укупна вредност </w:t>
            </w:r>
          </w:p>
          <w:p w14:paraId="68C0EDB7" w14:textId="77777777" w:rsidR="00263B40" w:rsidRPr="0098173C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17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(у хиљадама динара)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3E4C" w14:textId="77777777" w:rsidR="00F60903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17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Просечна вредност         </w:t>
            </w:r>
          </w:p>
          <w:p w14:paraId="4C6C6BE8" w14:textId="4D999086" w:rsidR="00263B40" w:rsidRPr="0098173C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17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(у хиљадама динара)</w:t>
            </w:r>
          </w:p>
        </w:tc>
      </w:tr>
      <w:tr w:rsidR="00263B40" w:rsidRPr="0098173C" w14:paraId="44A5CB4C" w14:textId="77777777" w:rsidTr="00F60903">
        <w:trPr>
          <w:trHeight w:val="315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E6BE3" w14:textId="77777777" w:rsidR="00263B40" w:rsidRPr="00D52125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17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1П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DCA58" w14:textId="77777777" w:rsidR="00263B40" w:rsidRPr="00D52125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49.879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85495" w14:textId="77777777" w:rsidR="00263B40" w:rsidRPr="0098173C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125">
              <w:rPr>
                <w:rFonts w:ascii="Times New Roman" w:eastAsia="Times New Roman" w:hAnsi="Times New Roman" w:cs="Times New Roman"/>
                <w:sz w:val="24"/>
                <w:szCs w:val="24"/>
              </w:rPr>
              <w:t>135.330.202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19DF6" w14:textId="77777777" w:rsidR="00263B40" w:rsidRPr="00D52125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2.713</w:t>
            </w:r>
          </w:p>
        </w:tc>
      </w:tr>
      <w:tr w:rsidR="004E5145" w:rsidRPr="0098173C" w14:paraId="030C8251" w14:textId="77777777" w:rsidTr="006D2DE7">
        <w:trPr>
          <w:trHeight w:val="315"/>
          <w:jc w:val="center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87D77" w14:textId="6C498B4A" w:rsidR="004E5145" w:rsidRPr="0098173C" w:rsidRDefault="004E5145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3DA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2016. 1П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2118D" w14:textId="5C7186A6" w:rsidR="004E5145" w:rsidRDefault="004E5145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DA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55.</w:t>
            </w:r>
            <w:r w:rsidRPr="00AC3DA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823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82777" w14:textId="0A477662" w:rsidR="004E5145" w:rsidRPr="00D52125" w:rsidRDefault="004E5145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DA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  <w:r w:rsidRPr="00AC3DA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54.427.273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EC085" w14:textId="72954C8A" w:rsidR="004E5145" w:rsidRDefault="004E5145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DA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</w:t>
            </w:r>
            <w:r w:rsidRPr="00AC3DA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766</w:t>
            </w:r>
          </w:p>
        </w:tc>
      </w:tr>
      <w:tr w:rsidR="004E5145" w:rsidRPr="00B9265B" w14:paraId="181A804D" w14:textId="77777777" w:rsidTr="006D2DE7">
        <w:trPr>
          <w:trHeight w:val="315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4EFCA" w14:textId="25563169" w:rsidR="004E5145" w:rsidRPr="00B9265B" w:rsidRDefault="004E5145" w:rsidP="004E5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926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 xml:space="preserve">2017. </w:t>
            </w:r>
            <w:r w:rsidRPr="00B9265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1П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FCF4E" w14:textId="32084C30" w:rsidR="004E5145" w:rsidRPr="00B9265B" w:rsidRDefault="004E5145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26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51.977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0C2A4" w14:textId="76B25232" w:rsidR="004E5145" w:rsidRPr="00B9265B" w:rsidRDefault="004E5145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26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146.746.673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80F94" w14:textId="07EBDD1B" w:rsidR="004E5145" w:rsidRPr="00B9265B" w:rsidRDefault="004E5145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9265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2.823</w:t>
            </w:r>
          </w:p>
        </w:tc>
      </w:tr>
      <w:tr w:rsidR="006D2DE7" w:rsidRPr="00B9265B" w14:paraId="3B84F2F0" w14:textId="77777777" w:rsidTr="006D2DE7">
        <w:trPr>
          <w:trHeight w:val="315"/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1774E" w14:textId="5BE6D8CC" w:rsidR="006D2DE7" w:rsidRPr="006D2DE7" w:rsidRDefault="006D2DE7" w:rsidP="004E5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/>
              </w:rPr>
              <w:t>2018. 1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П</w:t>
            </w:r>
          </w:p>
        </w:tc>
        <w:tc>
          <w:tcPr>
            <w:tcW w:w="2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AC148" w14:textId="0B02D972" w:rsidR="006D2DE7" w:rsidRPr="006D2DE7" w:rsidRDefault="006D2DE7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60.475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5A7BF" w14:textId="5C353429" w:rsidR="006D2DE7" w:rsidRPr="006D2DE7" w:rsidRDefault="006D2DE7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188.358.108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113E5" w14:textId="7D43F65E" w:rsidR="006D2DE7" w:rsidRPr="006D2DE7" w:rsidRDefault="006D2DE7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/>
              </w:rPr>
              <w:t>3.115</w:t>
            </w:r>
          </w:p>
        </w:tc>
      </w:tr>
    </w:tbl>
    <w:p w14:paraId="4BB8D427" w14:textId="77777777" w:rsidR="0081466B" w:rsidRPr="00B9265B" w:rsidRDefault="0081466B">
      <w:pPr>
        <w:spacing w:after="0"/>
        <w:jc w:val="both"/>
        <w:rPr>
          <w:color w:val="auto"/>
        </w:rPr>
      </w:pPr>
    </w:p>
    <w:p w14:paraId="0CAFAF44" w14:textId="472553C5" w:rsidR="0081466B" w:rsidRPr="00B9265B" w:rsidRDefault="004F0DED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B9265B">
        <w:rPr>
          <w:rFonts w:ascii="Times New Roman" w:eastAsia="Times New Roman" w:hAnsi="Times New Roman" w:cs="Times New Roman"/>
          <w:color w:val="auto"/>
          <w:sz w:val="24"/>
          <w:szCs w:val="24"/>
        </w:rPr>
        <w:t>Учешће јавних набавки у</w:t>
      </w:r>
      <w:r w:rsidR="001F49C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бруто домаћем производу повећало се са 7,17</w:t>
      </w:r>
      <w:r w:rsidRPr="00B926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% у </w:t>
      </w:r>
      <w:r w:rsidR="00263B40" w:rsidRPr="00B926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првом полугодишту </w:t>
      </w:r>
      <w:r w:rsidR="001F49C7">
        <w:rPr>
          <w:rFonts w:ascii="Times New Roman" w:eastAsia="Times New Roman" w:hAnsi="Times New Roman" w:cs="Times New Roman"/>
          <w:color w:val="auto"/>
          <w:sz w:val="24"/>
          <w:szCs w:val="24"/>
        </w:rPr>
        <w:t>2017</w:t>
      </w:r>
      <w:r w:rsidRPr="00B9265B">
        <w:rPr>
          <w:rFonts w:ascii="Times New Roman" w:eastAsia="Times New Roman" w:hAnsi="Times New Roman" w:cs="Times New Roman"/>
          <w:color w:val="auto"/>
          <w:sz w:val="24"/>
          <w:szCs w:val="24"/>
        </w:rPr>
        <w:t>.</w:t>
      </w:r>
      <w:r w:rsidR="00263B40" w:rsidRPr="00B926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године</w:t>
      </w:r>
      <w:r w:rsidR="001F49C7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на 8,50% у првом полугодишту 2018</w:t>
      </w:r>
      <w:r w:rsidRPr="00B9265B">
        <w:rPr>
          <w:rFonts w:ascii="Times New Roman" w:eastAsia="Times New Roman" w:hAnsi="Times New Roman" w:cs="Times New Roman"/>
          <w:color w:val="auto"/>
          <w:sz w:val="24"/>
          <w:szCs w:val="24"/>
        </w:rPr>
        <w:t>. године (Табела 2).</w:t>
      </w:r>
    </w:p>
    <w:p w14:paraId="4AE3880A" w14:textId="1408EB51" w:rsidR="0081466B" w:rsidRPr="00B9265B" w:rsidRDefault="004F0DED">
      <w:pPr>
        <w:jc w:val="both"/>
        <w:rPr>
          <w:color w:val="auto"/>
        </w:rPr>
      </w:pPr>
      <w:r w:rsidRPr="00B9265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</w:t>
      </w:r>
      <w:r w:rsidR="00EB6FD5" w:rsidRPr="00B9265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Pr="00B9265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882436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CS"/>
        </w:rPr>
        <w:t xml:space="preserve">  </w:t>
      </w:r>
      <w:r w:rsidRPr="00B9265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Табела 2</w:t>
      </w:r>
    </w:p>
    <w:tbl>
      <w:tblPr>
        <w:tblW w:w="9625" w:type="dxa"/>
        <w:jc w:val="center"/>
        <w:tblLook w:val="04A0" w:firstRow="1" w:lastRow="0" w:firstColumn="1" w:lastColumn="0" w:noHBand="0" w:noVBand="1"/>
      </w:tblPr>
      <w:tblGrid>
        <w:gridCol w:w="1165"/>
        <w:gridCol w:w="2430"/>
        <w:gridCol w:w="3240"/>
        <w:gridCol w:w="2790"/>
      </w:tblGrid>
      <w:tr w:rsidR="00263B40" w:rsidRPr="00775134" w14:paraId="4AB6FD1F" w14:textId="77777777" w:rsidTr="001D2929">
        <w:trPr>
          <w:trHeight w:val="300"/>
          <w:jc w:val="center"/>
        </w:trPr>
        <w:tc>
          <w:tcPr>
            <w:tcW w:w="9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5E6B44A" w14:textId="77777777" w:rsidR="00263B40" w:rsidRPr="00775134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4E9F2764" w14:textId="2B7406EF" w:rsidR="00263B40" w:rsidRPr="006D2DE7" w:rsidRDefault="00263B40" w:rsidP="006D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751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Учешће јавних набавки у бруто домаћем производу</w:t>
            </w:r>
            <w:r w:rsidR="006D2D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*</w:t>
            </w:r>
          </w:p>
        </w:tc>
      </w:tr>
      <w:tr w:rsidR="00263B40" w:rsidRPr="00775134" w14:paraId="5E4B80DD" w14:textId="77777777" w:rsidTr="001D2929">
        <w:trPr>
          <w:trHeight w:val="1140"/>
          <w:jc w:val="center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96746" w14:textId="77777777" w:rsidR="00263B40" w:rsidRPr="00775134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51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Година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E08B" w14:textId="630C95A3" w:rsidR="00263B40" w:rsidRPr="006D2DE7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751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Уговорена вредност без ПДВ-а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1EE7E" w14:textId="2BF36C38" w:rsidR="00263B40" w:rsidRPr="006D2DE7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751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Вредност БДП-а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721E1" w14:textId="77777777" w:rsidR="00263B40" w:rsidRPr="00775134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51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263B40" w:rsidRPr="00775134" w14:paraId="6181D024" w14:textId="77777777" w:rsidTr="001D2929">
        <w:trPr>
          <w:trHeight w:val="315"/>
          <w:jc w:val="center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9B8D1B" w14:textId="77777777" w:rsidR="00263B40" w:rsidRPr="00F21019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751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1П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811117" w14:textId="77777777" w:rsidR="00263B40" w:rsidRPr="007125AD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135.330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94F62" w14:textId="77777777" w:rsidR="00263B40" w:rsidRPr="00775134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1.854.159,3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E74D00" w14:textId="77777777" w:rsidR="00263B40" w:rsidRPr="007125AD" w:rsidRDefault="00263B40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7,30</w:t>
            </w:r>
          </w:p>
        </w:tc>
      </w:tr>
      <w:tr w:rsidR="004E5145" w:rsidRPr="00775134" w14:paraId="1906561F" w14:textId="77777777" w:rsidTr="001D2929">
        <w:trPr>
          <w:trHeight w:val="315"/>
          <w:jc w:val="center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29232" w14:textId="31BB3B5F" w:rsidR="004E5145" w:rsidRPr="00775134" w:rsidRDefault="004E5145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04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2016. 1П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7F5F3B" w14:textId="76E17936" w:rsidR="004E5145" w:rsidRDefault="004E5145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4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  <w:r w:rsidRPr="003304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54</w:t>
            </w:r>
            <w:r w:rsidRPr="003304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3304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4</w:t>
            </w:r>
            <w:r w:rsidRPr="003304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536D1" w14:textId="3F218CFD" w:rsidR="004E5145" w:rsidRPr="004E5145" w:rsidRDefault="004E5145" w:rsidP="004E5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4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1.928.738,0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C4EEB5" w14:textId="5CAEF609" w:rsidR="004E5145" w:rsidRDefault="004E5145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4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8,</w:t>
            </w:r>
            <w:r w:rsidRPr="003304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  <w:t>00</w:t>
            </w:r>
          </w:p>
        </w:tc>
      </w:tr>
      <w:tr w:rsidR="004E5145" w:rsidRPr="00B9265B" w14:paraId="3022A16B" w14:textId="77777777" w:rsidTr="006D2DE7">
        <w:trPr>
          <w:trHeight w:val="315"/>
          <w:jc w:val="center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1AD86F" w14:textId="4E1467DF" w:rsidR="004E5145" w:rsidRPr="00B9265B" w:rsidRDefault="004E5145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9265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2017. </w:t>
            </w:r>
            <w:r w:rsidRPr="00B9265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1П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DEE9E" w14:textId="250F7C13" w:rsidR="004E5145" w:rsidRPr="00B9265B" w:rsidRDefault="004E5145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6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146.746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80A81" w14:textId="1EBE5403" w:rsidR="004E5145" w:rsidRPr="00B9265B" w:rsidRDefault="004E5145" w:rsidP="006D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6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2.047.510,7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E7A7F0" w14:textId="26457182" w:rsidR="004E5145" w:rsidRPr="00B9265B" w:rsidRDefault="004E5145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6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7,17</w:t>
            </w:r>
          </w:p>
        </w:tc>
      </w:tr>
      <w:tr w:rsidR="006D2DE7" w:rsidRPr="00B9265B" w14:paraId="506EDB5F" w14:textId="77777777" w:rsidTr="006D2DE7">
        <w:trPr>
          <w:trHeight w:val="315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1684AE" w14:textId="193830BD" w:rsidR="006D2DE7" w:rsidRPr="006D2DE7" w:rsidRDefault="006D2DE7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2018. 1П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ED07B6" w14:textId="52D90525" w:rsidR="006D2DE7" w:rsidRPr="006D2DE7" w:rsidRDefault="006D2DE7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188.358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DBEBD" w14:textId="55508F99" w:rsidR="006D2DE7" w:rsidRPr="006D2DE7" w:rsidRDefault="006D2DE7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2.213.681,0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B2888" w14:textId="132CB3D5" w:rsidR="006D2DE7" w:rsidRPr="006D2DE7" w:rsidRDefault="001F49C7" w:rsidP="00263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6D2D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8,50</w:t>
            </w:r>
            <w:r w:rsidR="006D2DE7">
              <w:rPr>
                <w:rStyle w:val="FootnoteReference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footnoteReference w:id="1"/>
            </w:r>
          </w:p>
        </w:tc>
      </w:tr>
    </w:tbl>
    <w:p w14:paraId="3B9749D5" w14:textId="336179E5" w:rsidR="0081466B" w:rsidRPr="006D2DE7" w:rsidRDefault="006D2DE7" w:rsidP="006D2DE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6D2DE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*вредности су изражене у милионима динара</w:t>
      </w:r>
    </w:p>
    <w:p w14:paraId="35F8408E" w14:textId="010FDBFE" w:rsidR="0081466B" w:rsidRPr="00B9265B" w:rsidRDefault="004F0DED">
      <w:pPr>
        <w:jc w:val="both"/>
        <w:rPr>
          <w:color w:val="000000" w:themeColor="text1"/>
        </w:rPr>
      </w:pPr>
      <w:r w:rsidRPr="00B926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Учешће набавки мале вредности у укупној вреднос</w:t>
      </w:r>
      <w:r w:rsidR="00151CA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ти јавних набавки износило је 12% у првом полугодишту 2018</w:t>
      </w:r>
      <w:r w:rsidRPr="00B926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године (Слика 1) што представља малу промену у односу на исти период претходне године када је и</w:t>
      </w:r>
      <w:r w:rsidR="00151CA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зносило 13</w:t>
      </w:r>
      <w:r w:rsidRPr="00B926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%. </w:t>
      </w:r>
    </w:p>
    <w:p w14:paraId="6ADECEF2" w14:textId="706B58B8" w:rsidR="0081466B" w:rsidRPr="00932E93" w:rsidRDefault="00003594" w:rsidP="00003594">
      <w:pPr>
        <w:rPr>
          <w:lang w:val="en-GB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lastRenderedPageBreak/>
        <w:t xml:space="preserve">         </w:t>
      </w:r>
      <w:r w:rsidR="004F0DED" w:rsidRPr="00B92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С</w:t>
      </w:r>
      <w:r w:rsidR="004F0DED" w:rsidRPr="00B926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</w:t>
      </w:r>
      <w:r w:rsidR="00337320" w:rsidRPr="00B92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ика 1</w:t>
      </w:r>
      <w:r w:rsidR="004F0DED" w:rsidRPr="00B926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="003C0C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bookmarkStart w:id="1" w:name="_MON_1534152120"/>
      <w:bookmarkEnd w:id="1"/>
      <w:r w:rsidR="00151CAE">
        <w:rPr>
          <w:lang w:val="en-US"/>
        </w:rPr>
        <w:object w:dxaOrig="8318" w:dyaOrig="5018" w14:anchorId="554B2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9pt;height:250.4pt" o:ole="">
            <v:imagedata r:id="rId11" o:title=""/>
          </v:shape>
          <o:OLEObject Type="Embed" ProgID="Excel.Sheet.12" ShapeID="_x0000_i1025" DrawAspect="Content" ObjectID="_1603107155" r:id="rId12"/>
        </w:object>
      </w:r>
    </w:p>
    <w:p w14:paraId="632B040B" w14:textId="5E73B432" w:rsidR="003C0C42" w:rsidRDefault="003C0C42" w:rsidP="003C0C42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вредносној </w:t>
      </w:r>
      <w:r>
        <w:rPr>
          <w:rFonts w:ascii="Times New Roman" w:eastAsia="Times New Roman" w:hAnsi="Times New Roman" w:cs="Times New Roman"/>
          <w:sz w:val="24"/>
          <w:szCs w:val="24"/>
        </w:rPr>
        <w:t>структури јавних набавки, посматрано по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предмету набавке, преовлађују добра са 49% учешћа у укупној вредности, потом следе радови са 26% и услуге са 25%</w:t>
      </w:r>
      <w:r w:rsidR="00FB0C6C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док 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бројчаној  </w:t>
      </w:r>
      <w:r>
        <w:rPr>
          <w:rFonts w:ascii="Times New Roman" w:eastAsia="Times New Roman" w:hAnsi="Times New Roman" w:cs="Times New Roman"/>
          <w:sz w:val="24"/>
          <w:szCs w:val="24"/>
        </w:rPr>
        <w:t>структури, посматрано по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предмету набавке, преовлађују добра са 60% учешћа у укупној вредности, потом следе радови са 32% и услуге са 8%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(Табела 2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Слика 1, Слика 2).</w:t>
      </w:r>
    </w:p>
    <w:p w14:paraId="044700CD" w14:textId="77777777" w:rsidR="003C0C42" w:rsidRDefault="003C0C42" w:rsidP="003C0C4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Табела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3C0C42" w14:paraId="6CAC10EF" w14:textId="77777777" w:rsidTr="005F361E">
        <w:tc>
          <w:tcPr>
            <w:tcW w:w="3005" w:type="dxa"/>
          </w:tcPr>
          <w:p w14:paraId="32F6740B" w14:textId="77777777" w:rsidR="003C0C42" w:rsidRDefault="003C0C42" w:rsidP="005F36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Предмет набавке</w:t>
            </w:r>
          </w:p>
        </w:tc>
        <w:tc>
          <w:tcPr>
            <w:tcW w:w="3005" w:type="dxa"/>
          </w:tcPr>
          <w:p w14:paraId="33CE8CFC" w14:textId="77777777" w:rsidR="003C0C42" w:rsidRDefault="003C0C42" w:rsidP="005F36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Број набавки </w:t>
            </w:r>
          </w:p>
        </w:tc>
        <w:tc>
          <w:tcPr>
            <w:tcW w:w="3006" w:type="dxa"/>
          </w:tcPr>
          <w:p w14:paraId="160361DC" w14:textId="77777777" w:rsidR="003C0C42" w:rsidRDefault="003C0C42" w:rsidP="005F36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Уговорена вредност </w:t>
            </w:r>
          </w:p>
          <w:p w14:paraId="1ACE053F" w14:textId="77777777" w:rsidR="003C0C42" w:rsidRDefault="003C0C42" w:rsidP="005F36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(у хиљадама динара)</w:t>
            </w:r>
          </w:p>
        </w:tc>
      </w:tr>
      <w:tr w:rsidR="003C0C42" w14:paraId="7E527631" w14:textId="77777777" w:rsidTr="005F361E">
        <w:tc>
          <w:tcPr>
            <w:tcW w:w="3005" w:type="dxa"/>
          </w:tcPr>
          <w:p w14:paraId="201292DE" w14:textId="77777777" w:rsidR="003C0C42" w:rsidRDefault="003C0C42" w:rsidP="005F36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добра</w:t>
            </w:r>
          </w:p>
        </w:tc>
        <w:tc>
          <w:tcPr>
            <w:tcW w:w="3005" w:type="dxa"/>
          </w:tcPr>
          <w:p w14:paraId="039913D0" w14:textId="77777777" w:rsidR="003C0C42" w:rsidRPr="00CA42EA" w:rsidRDefault="003C0C42" w:rsidP="005F36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35.822</w:t>
            </w:r>
          </w:p>
        </w:tc>
        <w:tc>
          <w:tcPr>
            <w:tcW w:w="3006" w:type="dxa"/>
          </w:tcPr>
          <w:p w14:paraId="2299B8C7" w14:textId="77777777" w:rsidR="003C0C42" w:rsidRPr="00CA42EA" w:rsidRDefault="003C0C42" w:rsidP="005F36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93.274.056</w:t>
            </w:r>
          </w:p>
        </w:tc>
      </w:tr>
      <w:tr w:rsidR="003C0C42" w14:paraId="693F61D2" w14:textId="77777777" w:rsidTr="005F361E">
        <w:tc>
          <w:tcPr>
            <w:tcW w:w="3005" w:type="dxa"/>
          </w:tcPr>
          <w:p w14:paraId="3C8D3614" w14:textId="77777777" w:rsidR="003C0C42" w:rsidRDefault="003C0C42" w:rsidP="005F36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услуге </w:t>
            </w:r>
          </w:p>
        </w:tc>
        <w:tc>
          <w:tcPr>
            <w:tcW w:w="3005" w:type="dxa"/>
          </w:tcPr>
          <w:p w14:paraId="106075E9" w14:textId="77777777" w:rsidR="003C0C42" w:rsidRPr="00CA42EA" w:rsidRDefault="003C0C42" w:rsidP="005F36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20.010</w:t>
            </w:r>
          </w:p>
        </w:tc>
        <w:tc>
          <w:tcPr>
            <w:tcW w:w="3006" w:type="dxa"/>
          </w:tcPr>
          <w:p w14:paraId="5F981A8C" w14:textId="77777777" w:rsidR="003C0C42" w:rsidRPr="00CA42EA" w:rsidRDefault="003C0C42" w:rsidP="005F36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45.230.950</w:t>
            </w:r>
          </w:p>
        </w:tc>
      </w:tr>
      <w:tr w:rsidR="003C0C42" w14:paraId="59BF9769" w14:textId="77777777" w:rsidTr="005F361E">
        <w:tc>
          <w:tcPr>
            <w:tcW w:w="3005" w:type="dxa"/>
          </w:tcPr>
          <w:p w14:paraId="3F98A3E2" w14:textId="77777777" w:rsidR="003C0C42" w:rsidRDefault="003C0C42" w:rsidP="005F36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радови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14:paraId="5DD3F2D6" w14:textId="77777777" w:rsidR="003C0C42" w:rsidRPr="00CA42EA" w:rsidRDefault="003C0C42" w:rsidP="005F36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4.643</w:t>
            </w: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14:paraId="2717DE80" w14:textId="77777777" w:rsidR="003C0C42" w:rsidRPr="00CA42EA" w:rsidRDefault="003C0C42" w:rsidP="005F36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49.853.102</w:t>
            </w:r>
          </w:p>
        </w:tc>
      </w:tr>
      <w:tr w:rsidR="003C0C42" w14:paraId="371535D0" w14:textId="77777777" w:rsidTr="005F361E">
        <w:tc>
          <w:tcPr>
            <w:tcW w:w="3005" w:type="dxa"/>
          </w:tcPr>
          <w:p w14:paraId="262078DA" w14:textId="77777777" w:rsidR="003C0C42" w:rsidRDefault="003C0C42" w:rsidP="005F36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917A4" w14:textId="77777777" w:rsidR="003C0C42" w:rsidRPr="00BD4536" w:rsidRDefault="003C0C42" w:rsidP="005F36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D4536">
              <w:rPr>
                <w:rFonts w:ascii="Times New Roman" w:hAnsi="Times New Roman" w:cs="Times New Roman"/>
                <w:b/>
                <w:sz w:val="24"/>
                <w:szCs w:val="24"/>
              </w:rPr>
              <w:t>60.475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CBD41" w14:textId="77777777" w:rsidR="003C0C42" w:rsidRPr="00BD4536" w:rsidRDefault="003C0C42" w:rsidP="005F361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D4536">
              <w:rPr>
                <w:rFonts w:ascii="Times New Roman" w:hAnsi="Times New Roman" w:cs="Times New Roman"/>
                <w:b/>
                <w:sz w:val="24"/>
                <w:szCs w:val="24"/>
              </w:rPr>
              <w:t>188.358.108</w:t>
            </w:r>
          </w:p>
        </w:tc>
      </w:tr>
    </w:tbl>
    <w:p w14:paraId="43BE462D" w14:textId="77777777" w:rsidR="003C0C42" w:rsidRPr="00F04004" w:rsidRDefault="003C0C42" w:rsidP="003C0C42">
      <w:pPr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</w:t>
      </w:r>
    </w:p>
    <w:p w14:paraId="3831F311" w14:textId="77777777" w:rsidR="003C0C42" w:rsidRDefault="003C0C42" w:rsidP="003C0C42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</w:t>
      </w:r>
    </w:p>
    <w:p w14:paraId="7DC3CB8D" w14:textId="77777777" w:rsidR="003C0C42" w:rsidRDefault="003C0C42" w:rsidP="003C0C42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F03BEE5" w14:textId="77777777" w:rsidR="003C0C42" w:rsidRDefault="003C0C42" w:rsidP="003C0C42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B631A5C" w14:textId="77777777" w:rsidR="003C0C42" w:rsidRDefault="003C0C42" w:rsidP="003C0C42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E2F85E8" w14:textId="77777777" w:rsidR="003C0C42" w:rsidRDefault="003C0C42" w:rsidP="003C0C42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5970F7A" w14:textId="14936F2D" w:rsidR="003C0C42" w:rsidRPr="00E641B7" w:rsidRDefault="003C0C42" w:rsidP="003C0C4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 xml:space="preserve">           </w:t>
      </w:r>
      <w:r w:rsidRPr="00E641B7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Слика 1</w:t>
      </w:r>
    </w:p>
    <w:p w14:paraId="3F39A113" w14:textId="77777777" w:rsidR="003C0C42" w:rsidRDefault="003C0C42" w:rsidP="003C0C42">
      <w:pPr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noProof/>
          <w:lang w:val="sr-Latn-RS" w:eastAsia="sr-Latn-RS"/>
        </w:rPr>
        <w:drawing>
          <wp:inline distT="0" distB="0" distL="0" distR="0" wp14:anchorId="0916F801" wp14:editId="797FD6CA">
            <wp:extent cx="5448300" cy="3429000"/>
            <wp:effectExtent l="0" t="0" r="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ED864D2" w14:textId="6AC4F536" w:rsidR="003C0C42" w:rsidRPr="00CB40AB" w:rsidRDefault="003C0C42" w:rsidP="003C0C42">
      <w:pP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  <w:r w:rsidRPr="00CB40A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Слика 2</w:t>
      </w:r>
    </w:p>
    <w:p w14:paraId="4EA0C79F" w14:textId="77777777" w:rsidR="003C0C42" w:rsidRPr="00CB40AB" w:rsidRDefault="003C0C42" w:rsidP="003C0C42">
      <w:pPr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noProof/>
          <w:lang w:val="sr-Latn-RS" w:eastAsia="sr-Latn-RS"/>
        </w:rPr>
        <w:drawing>
          <wp:inline distT="0" distB="0" distL="0" distR="0" wp14:anchorId="791A20A9" wp14:editId="6EE94E74">
            <wp:extent cx="5419725" cy="3429000"/>
            <wp:effectExtent l="0" t="0" r="952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74342147" w14:textId="77777777" w:rsidR="00882436" w:rsidRDefault="0088243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B6048B" w14:textId="1B98FE0D" w:rsidR="0081466B" w:rsidRPr="00C15A1F" w:rsidRDefault="004F0DED">
      <w:pPr>
        <w:jc w:val="both"/>
        <w:rPr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 структури јавних набавки, посмат</w:t>
      </w:r>
      <w:r w:rsidR="00003594">
        <w:rPr>
          <w:rFonts w:ascii="Times New Roman" w:eastAsia="Times New Roman" w:hAnsi="Times New Roman" w:cs="Times New Roman"/>
          <w:sz w:val="24"/>
          <w:szCs w:val="24"/>
        </w:rPr>
        <w:t>рано по категоријама наручилаца</w:t>
      </w:r>
      <w:r w:rsidR="005F4712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0035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дошло је до значајнијих </w:t>
      </w:r>
      <w:r w:rsidR="009C0CD1">
        <w:rPr>
          <w:rFonts w:ascii="Times New Roman" w:eastAsia="Times New Roman" w:hAnsi="Times New Roman" w:cs="Times New Roman"/>
          <w:sz w:val="24"/>
          <w:szCs w:val="24"/>
        </w:rPr>
        <w:t xml:space="preserve">промена у првом полугодишту </w:t>
      </w:r>
      <w:r w:rsidR="009C0CD1" w:rsidRPr="00B926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201</w:t>
      </w:r>
      <w:r w:rsidR="00003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8</w:t>
      </w:r>
      <w:r w:rsidR="009C0CD1" w:rsidRPr="00B926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у односу на исти период 201</w:t>
      </w:r>
      <w:r w:rsidR="00003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7</w:t>
      </w:r>
      <w:r w:rsidRPr="00B926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године </w:t>
      </w:r>
      <w:r w:rsidR="002F4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у две категорије: здравство и социјална заштита</w:t>
      </w:r>
      <w:r w:rsidR="000035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и државна јавна предузећа. Здравство је смањило своје учешће са 23% на 18%, док је учешће државних јавних предузећа порасло са 30% на 35% у укупној уговореној вредности </w:t>
      </w:r>
      <w:r w:rsidR="00003594" w:rsidRPr="00B9265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(Табела 3</w:t>
      </w:r>
      <w:r w:rsidR="002F4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EE43BFD" w14:textId="77777777" w:rsidR="0081466B" w:rsidRPr="00B9265B" w:rsidRDefault="00DD7824">
      <w:pPr>
        <w:jc w:val="both"/>
        <w:rPr>
          <w:color w:val="000000" w:themeColor="text1"/>
        </w:rPr>
      </w:pPr>
      <w:r w:rsidRPr="00265DA6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      </w:t>
      </w:r>
      <w:r w:rsidR="004F0DED" w:rsidRPr="00B92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Табела 3</w:t>
      </w:r>
    </w:p>
    <w:tbl>
      <w:tblPr>
        <w:tblStyle w:val="a1"/>
        <w:tblW w:w="94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7"/>
        <w:gridCol w:w="992"/>
        <w:gridCol w:w="567"/>
        <w:gridCol w:w="1272"/>
        <w:gridCol w:w="705"/>
        <w:gridCol w:w="1000"/>
        <w:gridCol w:w="567"/>
        <w:gridCol w:w="1364"/>
        <w:gridCol w:w="762"/>
      </w:tblGrid>
      <w:tr w:rsidR="0081466B" w14:paraId="0D3C2B2E" w14:textId="77777777" w:rsidTr="00F01ECA">
        <w:trPr>
          <w:trHeight w:val="840"/>
          <w:jc w:val="center"/>
        </w:trPr>
        <w:tc>
          <w:tcPr>
            <w:tcW w:w="9436" w:type="dxa"/>
            <w:gridSpan w:val="9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74DE3FA2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Упоредни преглед јавних набавки по категоријама наручилаца</w:t>
            </w:r>
          </w:p>
        </w:tc>
      </w:tr>
      <w:tr w:rsidR="0081466B" w14:paraId="21284BBF" w14:textId="77777777" w:rsidTr="00F01ECA">
        <w:trPr>
          <w:jc w:val="center"/>
        </w:trPr>
        <w:tc>
          <w:tcPr>
            <w:tcW w:w="22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8514AF7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Период</w:t>
            </w:r>
          </w:p>
        </w:tc>
        <w:tc>
          <w:tcPr>
            <w:tcW w:w="3536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1B5DBF8" w14:textId="734D7291" w:rsidR="0081466B" w:rsidRDefault="0000359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2017</w:t>
            </w:r>
            <w:r w:rsidR="004F0D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година</w:t>
            </w:r>
          </w:p>
          <w:p w14:paraId="78C484B1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прво полугодиште</w:t>
            </w:r>
          </w:p>
        </w:tc>
        <w:tc>
          <w:tcPr>
            <w:tcW w:w="3693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6238512" w14:textId="1A3691FF" w:rsidR="0081466B" w:rsidRPr="002F2661" w:rsidRDefault="00003594">
            <w:pPr>
              <w:jc w:val="center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2018</w:t>
            </w:r>
            <w:r w:rsidR="004F0DED" w:rsidRPr="002F266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. година</w:t>
            </w:r>
          </w:p>
          <w:p w14:paraId="3BB4C64D" w14:textId="77777777" w:rsidR="0081466B" w:rsidRDefault="004F0DED">
            <w:pPr>
              <w:jc w:val="center"/>
            </w:pPr>
            <w:r w:rsidRPr="002F266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прво полугодиште</w:t>
            </w:r>
          </w:p>
        </w:tc>
      </w:tr>
      <w:tr w:rsidR="0081466B" w14:paraId="50026DC7" w14:textId="77777777" w:rsidTr="00F01ECA">
        <w:trPr>
          <w:jc w:val="center"/>
        </w:trPr>
        <w:tc>
          <w:tcPr>
            <w:tcW w:w="2207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1EE94B6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Категорија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BD80B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</w:p>
          <w:p w14:paraId="1F2BF43E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Уговора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5A49E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94726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Уговорена</w:t>
            </w:r>
          </w:p>
          <w:p w14:paraId="7ABB391E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Вредност</w:t>
            </w:r>
          </w:p>
          <w:p w14:paraId="7B8B3C90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 ПДВ-а*</w:t>
            </w:r>
          </w:p>
        </w:tc>
        <w:tc>
          <w:tcPr>
            <w:tcW w:w="70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79F6C81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000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26502" w14:textId="77777777" w:rsidR="0081466B" w:rsidRPr="002F2661" w:rsidRDefault="004F0DED">
            <w:pPr>
              <w:jc w:val="center"/>
              <w:rPr>
                <w:color w:val="auto"/>
              </w:rPr>
            </w:pPr>
            <w:r w:rsidRPr="002F26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Број</w:t>
            </w:r>
          </w:p>
          <w:p w14:paraId="1EB9D6E5" w14:textId="77777777" w:rsidR="0081466B" w:rsidRPr="002F2661" w:rsidRDefault="004F0DED">
            <w:pPr>
              <w:jc w:val="center"/>
              <w:rPr>
                <w:color w:val="auto"/>
              </w:rPr>
            </w:pPr>
            <w:r w:rsidRPr="002F26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Уговора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5C883" w14:textId="77777777" w:rsidR="0081466B" w:rsidRPr="002F2661" w:rsidRDefault="004F0DED">
            <w:pPr>
              <w:jc w:val="center"/>
              <w:rPr>
                <w:color w:val="auto"/>
              </w:rPr>
            </w:pPr>
            <w:r w:rsidRPr="002F26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36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A21B4" w14:textId="77777777" w:rsidR="0081466B" w:rsidRPr="002F2661" w:rsidRDefault="004F0DED">
            <w:pPr>
              <w:jc w:val="center"/>
              <w:rPr>
                <w:color w:val="auto"/>
              </w:rPr>
            </w:pPr>
            <w:r w:rsidRPr="002F26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Уговорена</w:t>
            </w:r>
          </w:p>
          <w:p w14:paraId="7B0BE79B" w14:textId="77777777" w:rsidR="0081466B" w:rsidRPr="002F2661" w:rsidRDefault="004F0DED">
            <w:pPr>
              <w:jc w:val="center"/>
              <w:rPr>
                <w:color w:val="auto"/>
              </w:rPr>
            </w:pPr>
            <w:r w:rsidRPr="002F26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Вредност</w:t>
            </w:r>
          </w:p>
          <w:p w14:paraId="12C110D5" w14:textId="77777777" w:rsidR="0081466B" w:rsidRPr="002F2661" w:rsidRDefault="004F0DED">
            <w:pPr>
              <w:jc w:val="center"/>
              <w:rPr>
                <w:color w:val="auto"/>
              </w:rPr>
            </w:pPr>
            <w:r w:rsidRPr="002F26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без ПДВ-а*</w:t>
            </w:r>
          </w:p>
        </w:tc>
        <w:tc>
          <w:tcPr>
            <w:tcW w:w="76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3AF8809" w14:textId="77777777" w:rsidR="0081466B" w:rsidRPr="002F2661" w:rsidRDefault="004F0DED">
            <w:pPr>
              <w:jc w:val="center"/>
              <w:rPr>
                <w:color w:val="auto"/>
              </w:rPr>
            </w:pPr>
            <w:r w:rsidRPr="002F266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</w:tr>
      <w:tr w:rsidR="00003594" w14:paraId="1F37249C" w14:textId="77777777" w:rsidTr="005F361E">
        <w:trPr>
          <w:jc w:val="center"/>
        </w:trPr>
        <w:tc>
          <w:tcPr>
            <w:tcW w:w="22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83A4117" w14:textId="77777777" w:rsidR="00003594" w:rsidRDefault="00003594" w:rsidP="0000359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Органи државне управе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FC202" w14:textId="17ADA2F0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4.282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29879" w14:textId="7B509CF0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03A50" w14:textId="5EA19587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16.518.871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909FF88" w14:textId="77F23D12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CD089" w14:textId="2AAB6B9B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5.864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E039" w14:textId="0D4BE72A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EDD59" w14:textId="33EFDF2B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24.242.260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83E75B9" w14:textId="14515535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003594" w14:paraId="44B5BE31" w14:textId="77777777" w:rsidTr="005F361E">
        <w:trPr>
          <w:jc w:val="center"/>
        </w:trPr>
        <w:tc>
          <w:tcPr>
            <w:tcW w:w="22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1842574" w14:textId="77777777" w:rsidR="00003594" w:rsidRDefault="00003594" w:rsidP="0000359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Правосуђе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D9021" w14:textId="231DE45C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F3CA5" w14:textId="4CCE6AF9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66D0B" w14:textId="25EAAC39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954.599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2821670" w14:textId="36DDD169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39F8E" w14:textId="0F3E8AE7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709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CCE66" w14:textId="6D637FAE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6E14A" w14:textId="1D262628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1.830.669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62DC39A" w14:textId="5B928E64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003594" w14:paraId="21AD33BD" w14:textId="77777777" w:rsidTr="005F361E">
        <w:trPr>
          <w:jc w:val="center"/>
        </w:trPr>
        <w:tc>
          <w:tcPr>
            <w:tcW w:w="22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B4E3013" w14:textId="77777777" w:rsidR="00003594" w:rsidRDefault="00003594" w:rsidP="0000359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Здравство и социјална заштита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70D50" w14:textId="76B786A7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20.520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689AF" w14:textId="79B5A8E1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CCD52" w14:textId="491CB573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33.839.736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C9DBF52" w14:textId="6D69E467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18249" w14:textId="206D8592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20.707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FE7A9" w14:textId="24A9F374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720A0" w14:textId="26ED7292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32.988.053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08B78FD" w14:textId="7E51252D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003594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8</w:t>
            </w:r>
          </w:p>
        </w:tc>
      </w:tr>
      <w:tr w:rsidR="00003594" w14:paraId="292F53D2" w14:textId="77777777" w:rsidTr="005F361E">
        <w:trPr>
          <w:jc w:val="center"/>
        </w:trPr>
        <w:tc>
          <w:tcPr>
            <w:tcW w:w="22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CA6AB7C" w14:textId="77777777" w:rsidR="00003594" w:rsidRDefault="00003594" w:rsidP="0000359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Култура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D7502" w14:textId="126C2547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EBA13" w14:textId="59DED0F6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5378D" w14:textId="540341BC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1.425.948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71711574" w14:textId="1BFDB75E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0FF4D" w14:textId="0A0C1CE5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1.066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EDFB3" w14:textId="0DBD4640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8AEBE" w14:textId="313CBC8C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1.315.011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2148B43" w14:textId="021A22A7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003594" w14:paraId="2E35E242" w14:textId="77777777" w:rsidTr="005F361E">
        <w:trPr>
          <w:jc w:val="center"/>
        </w:trPr>
        <w:tc>
          <w:tcPr>
            <w:tcW w:w="22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7AF67E6" w14:textId="4B7DC846" w:rsidR="00003594" w:rsidRDefault="00003594" w:rsidP="0000359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Просвета и наука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19668" w14:textId="6F706477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7.203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3E1EE" w14:textId="45CB28D5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F529C" w14:textId="1DEA5A1C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8.539.478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870FAEB" w14:textId="428F98C6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6F7D1" w14:textId="3FB00156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7.159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DDCBA" w14:textId="5E302193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99034" w14:textId="7784F35E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9.534.708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6DE036B" w14:textId="42795DBA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003594" w14:paraId="49C8D399" w14:textId="77777777" w:rsidTr="005F361E">
        <w:trPr>
          <w:jc w:val="center"/>
        </w:trPr>
        <w:tc>
          <w:tcPr>
            <w:tcW w:w="22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435D544" w14:textId="77777777" w:rsidR="00003594" w:rsidRDefault="00003594" w:rsidP="0000359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Државна јавна предузећа/привредна друштва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38300" w14:textId="19E4AB0A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6.628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53CB1" w14:textId="74826091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613CB" w14:textId="48BF94E2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43.687.854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3620B2B" w14:textId="78BF85D4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341D8" w14:textId="450D76B8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12.016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D169" w14:textId="30905BFE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B9019" w14:textId="2D25EF60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66.123.631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74F3D895" w14:textId="235CF005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</w:tr>
      <w:tr w:rsidR="00003594" w14:paraId="29E0824C" w14:textId="77777777" w:rsidTr="005F361E">
        <w:trPr>
          <w:jc w:val="center"/>
        </w:trPr>
        <w:tc>
          <w:tcPr>
            <w:tcW w:w="220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86A7E02" w14:textId="77777777" w:rsidR="00003594" w:rsidRDefault="00003594" w:rsidP="0000359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Јавна предузећа-локална самоуправа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0DC01" w14:textId="667E0D26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7.490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504EE" w14:textId="0CCB63D1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AEDE2" w14:textId="71C109D0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25.403.370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7D4E5A0" w14:textId="15A255F2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9DB88" w14:textId="3F70C7DC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8.068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7B0EC" w14:textId="64B006CE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B1045" w14:textId="5001FC67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28.332.682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792C0C4B" w14:textId="773CE703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003594" w14:paraId="036F8E10" w14:textId="77777777" w:rsidTr="005F361E">
        <w:trPr>
          <w:jc w:val="center"/>
        </w:trPr>
        <w:tc>
          <w:tcPr>
            <w:tcW w:w="2207" w:type="dxa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24F36A90" w14:textId="77777777" w:rsidR="00003594" w:rsidRDefault="00003594" w:rsidP="0000359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Градска и општинска управа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94BDEB2" w14:textId="0FC7CF40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3.880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EAB17F9" w14:textId="7F6695C6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4C385F8" w14:textId="1D8CD0BB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15.895.414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3BF7651E" w14:textId="3E305CE4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F0A90" w14:textId="767757FF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4.554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507E9" w14:textId="5B77BFDB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D4811" w14:textId="1C0815E5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23.103.760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2D828686" w14:textId="7D3CA3CA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</w:tr>
      <w:tr w:rsidR="00003594" w14:paraId="2B3EA234" w14:textId="77777777" w:rsidTr="005F361E">
        <w:trPr>
          <w:jc w:val="center"/>
        </w:trPr>
        <w:tc>
          <w:tcPr>
            <w:tcW w:w="2207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69A9A4F2" w14:textId="77777777" w:rsidR="00003594" w:rsidRDefault="00003594" w:rsidP="0000359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Удружења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29CD67" w14:textId="60687131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9BB10" w14:textId="21CB40E4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A3C11" w14:textId="0D852760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464.280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14EF1732" w14:textId="4844385C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9836D" w14:textId="1A648607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3B129" w14:textId="1D7687F2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02D16" w14:textId="674A1ABD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853.038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524E91DD" w14:textId="20F0BDF9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003594" w14:paraId="023FD5BA" w14:textId="77777777" w:rsidTr="00003594">
        <w:trPr>
          <w:jc w:val="center"/>
        </w:trPr>
        <w:tc>
          <w:tcPr>
            <w:tcW w:w="2207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CE17358" w14:textId="77777777" w:rsidR="00003594" w:rsidRDefault="00003594" w:rsidP="0000359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Фондације и задужбине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1012B144" w14:textId="7C32FAE2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38273D51" w14:textId="4ACFABA8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54682E6E" w14:textId="1BF93A1A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17.123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BCA2247" w14:textId="4336CAC4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1E259" w14:textId="4EB4AFDB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54107" w14:textId="04CB3975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9B70" w14:textId="0367E944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sz w:val="20"/>
                <w:szCs w:val="20"/>
              </w:rPr>
              <w:t>34.296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8" w:space="0" w:color="000000"/>
            </w:tcBorders>
            <w:vAlign w:val="center"/>
          </w:tcPr>
          <w:p w14:paraId="17A3CEC3" w14:textId="446C8C2D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003594" w14:paraId="0A7A9007" w14:textId="77777777" w:rsidTr="00003594">
        <w:trPr>
          <w:jc w:val="center"/>
        </w:trPr>
        <w:tc>
          <w:tcPr>
            <w:tcW w:w="220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5F6ED9A" w14:textId="77777777" w:rsidR="00003594" w:rsidRDefault="00003594" w:rsidP="0000359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Укупно</w:t>
            </w:r>
          </w:p>
        </w:tc>
        <w:tc>
          <w:tcPr>
            <w:tcW w:w="99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D060D28" w14:textId="280D9A72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51.977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C338AB3" w14:textId="2CEAC7B4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2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05CE6B1" w14:textId="45FC1863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146.746.673</w:t>
            </w:r>
          </w:p>
        </w:tc>
        <w:tc>
          <w:tcPr>
            <w:tcW w:w="70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70B0344" w14:textId="73405931" w:rsidR="00003594" w:rsidRDefault="00003594" w:rsidP="00003594">
            <w:pPr>
              <w:jc w:val="center"/>
            </w:pPr>
            <w:r w:rsidRPr="00932E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000" w:type="dxa"/>
            <w:tcBorders>
              <w:top w:val="single" w:sz="12" w:space="0" w:color="000000"/>
              <w:left w:val="nil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C894848" w14:textId="134A7636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60.475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29A6C04F" w14:textId="2AA5C39F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  <w:tc>
          <w:tcPr>
            <w:tcW w:w="1364" w:type="dxa"/>
            <w:tcBorders>
              <w:top w:val="single" w:sz="1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7D2C5B7B" w14:textId="344E619C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188.358.108</w:t>
            </w:r>
          </w:p>
        </w:tc>
        <w:tc>
          <w:tcPr>
            <w:tcW w:w="762" w:type="dxa"/>
            <w:tcBorders>
              <w:top w:val="single" w:sz="1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bottom"/>
          </w:tcPr>
          <w:p w14:paraId="29BE7426" w14:textId="3E037603" w:rsidR="00003594" w:rsidRPr="00003594" w:rsidRDefault="00003594" w:rsidP="0000359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359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100</w:t>
            </w:r>
          </w:p>
        </w:tc>
      </w:tr>
    </w:tbl>
    <w:p w14:paraId="1AF41531" w14:textId="77777777" w:rsidR="0081466B" w:rsidRDefault="004F0DED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*Вредности су изражене у хиљадама динара</w:t>
      </w:r>
    </w:p>
    <w:p w14:paraId="20DDB891" w14:textId="07F20A8D" w:rsidR="0081466B" w:rsidRDefault="004F0DED">
      <w:pPr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6B8B7D4A" w14:textId="4656CDB5" w:rsidR="00720C10" w:rsidRDefault="00720C10">
      <w:pPr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0B1E7CC9" w14:textId="157C1A5A" w:rsidR="00720C10" w:rsidRDefault="00720C10">
      <w:pPr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550BB966" w14:textId="3D967468" w:rsidR="00720C10" w:rsidRDefault="00720C10">
      <w:pPr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4FFC9139" w14:textId="5FFB3634" w:rsidR="00720C10" w:rsidRDefault="00720C10">
      <w:pPr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435B48CD" w14:textId="460F3252" w:rsidR="00720C10" w:rsidRDefault="00720C10">
      <w:pPr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500A4E60" w14:textId="15756B3A" w:rsidR="00720C10" w:rsidRDefault="00720C10">
      <w:pPr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029A6695" w14:textId="77777777" w:rsidR="00720C10" w:rsidRDefault="00720C10" w:rsidP="00720C10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sr-Cyrl-CS"/>
        </w:rPr>
        <w:lastRenderedPageBreak/>
        <w:t>Највећи наручиоци по вредности закључених уговора приказани су у табели 4.</w:t>
      </w:r>
    </w:p>
    <w:p w14:paraId="785E1FDE" w14:textId="77777777" w:rsidR="00720C10" w:rsidRPr="00E22C9E" w:rsidRDefault="00720C10" w:rsidP="00720C10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CS"/>
        </w:rPr>
        <w:t xml:space="preserve"> Табела 4</w:t>
      </w:r>
    </w:p>
    <w:tbl>
      <w:tblPr>
        <w:tblW w:w="9298" w:type="dxa"/>
        <w:tblInd w:w="-5" w:type="dxa"/>
        <w:tblLook w:val="04A0" w:firstRow="1" w:lastRow="0" w:firstColumn="1" w:lastColumn="0" w:noHBand="0" w:noVBand="1"/>
      </w:tblPr>
      <w:tblGrid>
        <w:gridCol w:w="6760"/>
        <w:gridCol w:w="1121"/>
        <w:gridCol w:w="1417"/>
      </w:tblGrid>
      <w:tr w:rsidR="00720C10" w:rsidRPr="00D968B8" w14:paraId="0AEF23B5" w14:textId="77777777" w:rsidTr="005F361E">
        <w:trPr>
          <w:trHeight w:val="300"/>
        </w:trPr>
        <w:tc>
          <w:tcPr>
            <w:tcW w:w="92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97B44" w14:textId="77777777" w:rsidR="00720C10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 w:eastAsia="en-GB"/>
              </w:rPr>
            </w:pPr>
            <w:r w:rsidRPr="00D968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 w:eastAsia="en-GB"/>
              </w:rPr>
              <w:t xml:space="preserve">НАЈВЕЋИ НАРУЧИОЦИ </w:t>
            </w:r>
          </w:p>
          <w:p w14:paraId="76FAB498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 w:eastAsia="en-GB"/>
              </w:rPr>
            </w:pPr>
            <w:r w:rsidRPr="00D968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 w:eastAsia="en-GB"/>
              </w:rPr>
              <w:t>ПО ВРЕДНОСТИ ЗАКЉУЧЕНИХ УГОВОРА</w:t>
            </w:r>
          </w:p>
        </w:tc>
      </w:tr>
      <w:tr w:rsidR="00720C10" w:rsidRPr="00D968B8" w14:paraId="60D88EDD" w14:textId="77777777" w:rsidTr="005F361E">
        <w:trPr>
          <w:trHeight w:val="30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8D3B" w14:textId="77777777" w:rsidR="00720C10" w:rsidRPr="00D968B8" w:rsidRDefault="00720C10" w:rsidP="005F361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Назив наручиоца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C5EF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Број набавки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2FD2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 w:eastAsia="en-GB"/>
              </w:rPr>
            </w:pPr>
            <w:r w:rsidRPr="00D968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Уговорена вредност</w:t>
            </w:r>
            <w:r w:rsidRPr="00D968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 w:eastAsia="en-GB"/>
              </w:rPr>
              <w:t>*</w:t>
            </w:r>
          </w:p>
        </w:tc>
      </w:tr>
      <w:tr w:rsidR="00720C10" w:rsidRPr="00D968B8" w14:paraId="7A497DE8" w14:textId="77777777" w:rsidTr="005F361E">
        <w:trPr>
          <w:trHeight w:val="30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D8CA0" w14:textId="77777777" w:rsidR="00720C10" w:rsidRPr="00D968B8" w:rsidRDefault="00720C10" w:rsidP="005F3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ЈАВНО ПРЕДУЗЕЋЕ "ЕЛЕКТРОПРИВРЕДА СРБИЈЕ" БЕОГРАД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B5E3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7.826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7E56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23.895.857</w:t>
            </w:r>
          </w:p>
        </w:tc>
      </w:tr>
      <w:tr w:rsidR="00720C10" w:rsidRPr="00D968B8" w14:paraId="14250325" w14:textId="77777777" w:rsidTr="005F361E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03739" w14:textId="77777777" w:rsidR="00720C10" w:rsidRPr="00D968B8" w:rsidRDefault="00720C10" w:rsidP="005F3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ЈАВНО ПРЕДУЗЕЋЕ ПУТЕВИ СРБИЈЕ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6EFC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74F7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10.672.914</w:t>
            </w:r>
          </w:p>
        </w:tc>
      </w:tr>
      <w:tr w:rsidR="00720C10" w:rsidRPr="00D968B8" w14:paraId="2CA3BF63" w14:textId="77777777" w:rsidTr="005F361E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6CFE" w14:textId="77777777" w:rsidR="00720C10" w:rsidRPr="00D968B8" w:rsidRDefault="00720C10" w:rsidP="005F3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ОПЕРАТОР ДИСТРИБУТИВНОГ СИСТЕМА "ЕПС ДИСТРИБУЦИЈА" Д.О.О.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4237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E7DD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7.290.260</w:t>
            </w:r>
          </w:p>
        </w:tc>
      </w:tr>
      <w:tr w:rsidR="00720C10" w:rsidRPr="00D968B8" w14:paraId="1CD150E4" w14:textId="77777777" w:rsidTr="005F361E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1F1FD" w14:textId="77777777" w:rsidR="00720C10" w:rsidRPr="00D968B8" w:rsidRDefault="00720C10" w:rsidP="005F3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КЛИНИЧКИ ЦЕНТАР СРБИЈЕ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D3326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3A81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5.457.803</w:t>
            </w:r>
          </w:p>
        </w:tc>
      </w:tr>
      <w:tr w:rsidR="00720C10" w:rsidRPr="00D968B8" w14:paraId="4068455B" w14:textId="77777777" w:rsidTr="005F361E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8EF21" w14:textId="77777777" w:rsidR="00720C10" w:rsidRPr="00D968B8" w:rsidRDefault="00720C10" w:rsidP="005F3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УПРАВА ЗА РЕЗЕРВЕ ЕНЕРГЕНАТА</w:t>
            </w: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</w:t>
            </w: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-</w:t>
            </w: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 xml:space="preserve"> </w:t>
            </w: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МИНИСТАРСТВО РУДАРСТВА И </w:t>
            </w: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ЕНЕРГЕТИКЕ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9696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CAE9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3.729.201</w:t>
            </w:r>
          </w:p>
        </w:tc>
      </w:tr>
      <w:tr w:rsidR="00720C10" w:rsidRPr="00D968B8" w14:paraId="788449E6" w14:textId="77777777" w:rsidTr="005F361E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7F82" w14:textId="77777777" w:rsidR="00720C10" w:rsidRPr="00D968B8" w:rsidRDefault="00720C10" w:rsidP="005F3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АКЦИОНАРСКО ДРУШТВО „ЕЛЕКТРОМРЕЖА СРБИЈЕ” БЕОГРАД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9B0E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599A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3.481.145</w:t>
            </w:r>
          </w:p>
        </w:tc>
      </w:tr>
      <w:tr w:rsidR="00720C10" w:rsidRPr="00D968B8" w14:paraId="34C409BE" w14:textId="77777777" w:rsidTr="005F361E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FE69" w14:textId="77777777" w:rsidR="00720C10" w:rsidRPr="00D968B8" w:rsidRDefault="00720C10" w:rsidP="005F3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МИНИСТАРСТВО ОДБРАНЕ РЕПУБЛИКЕ СРБИЈЕ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3AD61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2.507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34A9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2.886.251</w:t>
            </w:r>
          </w:p>
        </w:tc>
      </w:tr>
      <w:tr w:rsidR="00720C10" w:rsidRPr="00D968B8" w14:paraId="660163C8" w14:textId="77777777" w:rsidTr="005F361E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8966" w14:textId="77777777" w:rsidR="00720C10" w:rsidRPr="00D968B8" w:rsidRDefault="00720C10" w:rsidP="005F3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ЈКП "БЕОГРАДСКИ ВОДОВОД И КАНАЛИЗАЦИЈА"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203EA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469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1D7F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2.784.604</w:t>
            </w:r>
          </w:p>
        </w:tc>
      </w:tr>
      <w:tr w:rsidR="00720C10" w:rsidRPr="00D968B8" w14:paraId="49767760" w14:textId="77777777" w:rsidTr="005F361E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D6E8" w14:textId="77777777" w:rsidR="00720C10" w:rsidRPr="00D968B8" w:rsidRDefault="00720C10" w:rsidP="005F3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ГРАДСКА УПРАВА ГРАДА БЕОГРАДА - СЕКРЕТАРИЈАТ ЗА КОМУНАЛНЕ И </w:t>
            </w: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СТАМБЕНЕ ПОСЛОВЕ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67A9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78F05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2.308.390</w:t>
            </w:r>
          </w:p>
        </w:tc>
      </w:tr>
      <w:tr w:rsidR="00720C10" w:rsidRPr="00D968B8" w14:paraId="1B45CF10" w14:textId="77777777" w:rsidTr="005F361E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E7F6E" w14:textId="77777777" w:rsidR="00720C10" w:rsidRPr="00D968B8" w:rsidRDefault="00720C10" w:rsidP="005F3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ЈАВНО ПРЕДУЗЕЋЕ "СРБИЈАШУМЕ"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8BD4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1.358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0414D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2.257.773</w:t>
            </w:r>
          </w:p>
        </w:tc>
      </w:tr>
      <w:tr w:rsidR="00720C10" w:rsidRPr="00D968B8" w14:paraId="5FA00B7F" w14:textId="77777777" w:rsidTr="005F361E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5531B" w14:textId="77777777" w:rsidR="00720C10" w:rsidRPr="00D968B8" w:rsidRDefault="00720C10" w:rsidP="005F3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ЈАВНО ВОДОПРИВРЕДНО ПРЕДУЗЕЋЕ "ВОДЕ ВОЈВОДИНЕ"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18CA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B906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2.167.595</w:t>
            </w:r>
          </w:p>
        </w:tc>
      </w:tr>
      <w:tr w:rsidR="00720C10" w:rsidRPr="00D968B8" w14:paraId="70690DAE" w14:textId="77777777" w:rsidTr="005F361E">
        <w:trPr>
          <w:trHeight w:val="30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EBC5" w14:textId="77777777" w:rsidR="00720C10" w:rsidRPr="00D968B8" w:rsidRDefault="00720C10" w:rsidP="005F3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ЈАВНО ВОДОПРИВРЕДНО ПРЕДУЗЕЋЕ </w:t>
            </w: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„</w:t>
            </w: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СРБИЈАВОДЕ</w:t>
            </w: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en-GB"/>
              </w:rPr>
              <w:t>“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95DF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C536C" w14:textId="77777777" w:rsidR="00720C10" w:rsidRPr="00D968B8" w:rsidRDefault="00720C10" w:rsidP="005F3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968B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1.995.593</w:t>
            </w:r>
          </w:p>
        </w:tc>
      </w:tr>
    </w:tbl>
    <w:p w14:paraId="093EB5F0" w14:textId="77777777" w:rsidR="00720C10" w:rsidRDefault="00720C10" w:rsidP="00720C1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37438">
        <w:rPr>
          <w:rFonts w:ascii="Times New Roman" w:hAnsi="Times New Roman" w:cs="Times New Roman"/>
          <w:sz w:val="24"/>
          <w:szCs w:val="24"/>
          <w:lang w:val="sr-Cyrl-CS"/>
        </w:rPr>
        <w:t>*вре</w:t>
      </w: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637438">
        <w:rPr>
          <w:rFonts w:ascii="Times New Roman" w:hAnsi="Times New Roman" w:cs="Times New Roman"/>
          <w:sz w:val="24"/>
          <w:szCs w:val="24"/>
          <w:lang w:val="sr-Cyrl-CS"/>
        </w:rPr>
        <w:t>ности су исказане у хиљадама динара</w:t>
      </w:r>
    </w:p>
    <w:p w14:paraId="549F5E5F" w14:textId="77777777" w:rsidR="00720C10" w:rsidRDefault="00720C10">
      <w:pPr>
        <w:jc w:val="both"/>
      </w:pPr>
    </w:p>
    <w:p w14:paraId="74FE5C41" w14:textId="682C9942" w:rsidR="0081466B" w:rsidRPr="009916F5" w:rsidRDefault="00B9265B">
      <w:pPr>
        <w:numPr>
          <w:ilvl w:val="0"/>
          <w:numId w:val="15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"/>
        </w:rPr>
        <w:t xml:space="preserve">ПЕРФОРМАНСЕ ЈАВНИХ НАБАВКИ </w:t>
      </w:r>
    </w:p>
    <w:p w14:paraId="5D2611B0" w14:textId="77777777" w:rsidR="009916F5" w:rsidRDefault="009916F5" w:rsidP="009916F5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B58F0D" w14:textId="77777777" w:rsidR="00720C10" w:rsidRPr="00B843C9" w:rsidRDefault="000C2985" w:rsidP="00720C10">
      <w:pPr>
        <w:jc w:val="both"/>
        <w:rPr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Једна од значајних перформанси</w:t>
      </w:r>
      <w:r w:rsidR="00860BC7">
        <w:rPr>
          <w:rFonts w:ascii="Times New Roman" w:eastAsia="Times New Roman" w:hAnsi="Times New Roman" w:cs="Times New Roman"/>
          <w:sz w:val="24"/>
          <w:szCs w:val="24"/>
        </w:rPr>
        <w:t xml:space="preserve"> јавних набавки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јест</w:t>
      </w:r>
      <w:r w:rsidR="00FA2861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дужина трајања поступка </w:t>
      </w:r>
      <w:r w:rsidR="00FA2861">
        <w:rPr>
          <w:rFonts w:ascii="Times New Roman" w:eastAsia="Times New Roman" w:hAnsi="Times New Roman" w:cs="Times New Roman"/>
          <w:sz w:val="24"/>
          <w:szCs w:val="24"/>
        </w:rPr>
        <w:t xml:space="preserve">(рачунајући од дана објављивања позива на Порталу до дана закључења уговора) </w:t>
      </w:r>
      <w:r>
        <w:rPr>
          <w:rFonts w:ascii="Times New Roman" w:eastAsia="Times New Roman" w:hAnsi="Times New Roman" w:cs="Times New Roman"/>
          <w:sz w:val="24"/>
          <w:szCs w:val="24"/>
        </w:rPr>
        <w:t>која је</w:t>
      </w:r>
      <w:r w:rsidR="00FA2861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="00720C10">
        <w:rPr>
          <w:rFonts w:ascii="Times New Roman" w:eastAsia="Times New Roman" w:hAnsi="Times New Roman" w:cs="Times New Roman"/>
          <w:sz w:val="24"/>
          <w:szCs w:val="24"/>
        </w:rPr>
        <w:t>а набавке спроведене путем отвореног поступка</w:t>
      </w:r>
      <w:r w:rsidR="00A540C0">
        <w:rPr>
          <w:rFonts w:ascii="Times New Roman" w:eastAsia="Times New Roman" w:hAnsi="Times New Roman" w:cs="Times New Roman"/>
          <w:sz w:val="24"/>
          <w:szCs w:val="24"/>
        </w:rPr>
        <w:t>,</w:t>
      </w:r>
      <w:r w:rsidR="00720C10">
        <w:rPr>
          <w:rFonts w:ascii="Times New Roman" w:eastAsia="Times New Roman" w:hAnsi="Times New Roman" w:cs="Times New Roman"/>
          <w:sz w:val="24"/>
          <w:szCs w:val="24"/>
        </w:rPr>
        <w:t xml:space="preserve"> у првом полугодишту 2018</w:t>
      </w:r>
      <w:r w:rsidR="00860BC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540C0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60BC7">
        <w:rPr>
          <w:rFonts w:ascii="Times New Roman" w:eastAsia="Times New Roman" w:hAnsi="Times New Roman" w:cs="Times New Roman"/>
          <w:sz w:val="24"/>
          <w:szCs w:val="24"/>
        </w:rPr>
        <w:t>одине</w:t>
      </w:r>
      <w:r w:rsidR="00A540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E08C5">
        <w:rPr>
          <w:rFonts w:ascii="Times New Roman" w:eastAsia="Times New Roman" w:hAnsi="Times New Roman" w:cs="Times New Roman"/>
          <w:sz w:val="24"/>
          <w:szCs w:val="24"/>
        </w:rPr>
        <w:t>износи</w:t>
      </w:r>
      <w:r w:rsidR="00FA2861">
        <w:rPr>
          <w:rFonts w:ascii="Times New Roman" w:eastAsia="Times New Roman" w:hAnsi="Times New Roman" w:cs="Times New Roman"/>
          <w:sz w:val="24"/>
          <w:szCs w:val="24"/>
        </w:rPr>
        <w:t>ла</w:t>
      </w:r>
      <w:r w:rsidR="005E08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0C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57</w:t>
      </w:r>
      <w:r w:rsidR="004F0DED" w:rsidRPr="005E08C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>дан</w:t>
      </w:r>
      <w:r w:rsidR="00720C10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20C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док је </w:t>
      </w:r>
      <w:r w:rsidR="00720C10">
        <w:rPr>
          <w:rFonts w:ascii="Times New Roman" w:eastAsia="Times New Roman" w:hAnsi="Times New Roman" w:cs="Times New Roman"/>
          <w:sz w:val="24"/>
          <w:szCs w:val="24"/>
        </w:rPr>
        <w:t>дужина</w:t>
      </w:r>
      <w:r w:rsidR="00FA2861">
        <w:rPr>
          <w:rFonts w:ascii="Times New Roman" w:eastAsia="Times New Roman" w:hAnsi="Times New Roman" w:cs="Times New Roman"/>
          <w:sz w:val="24"/>
          <w:szCs w:val="24"/>
        </w:rPr>
        <w:t xml:space="preserve"> трајања поступка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 xml:space="preserve"> јавне н</w:t>
      </w:r>
      <w:r w:rsidR="005235B2">
        <w:rPr>
          <w:rFonts w:ascii="Times New Roman" w:eastAsia="Times New Roman" w:hAnsi="Times New Roman" w:cs="Times New Roman"/>
          <w:sz w:val="24"/>
          <w:szCs w:val="24"/>
        </w:rPr>
        <w:t>абавке мале вредности</w:t>
      </w:r>
      <w:r w:rsidR="00720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2861">
        <w:rPr>
          <w:rFonts w:ascii="Times New Roman" w:eastAsia="Times New Roman" w:hAnsi="Times New Roman" w:cs="Times New Roman"/>
          <w:sz w:val="24"/>
          <w:szCs w:val="24"/>
        </w:rPr>
        <w:t>износила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0DED" w:rsidRPr="00FA28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30</w:t>
      </w:r>
      <w:r w:rsidR="00720C10">
        <w:rPr>
          <w:rFonts w:ascii="Times New Roman" w:eastAsia="Times New Roman" w:hAnsi="Times New Roman" w:cs="Times New Roman"/>
          <w:sz w:val="24"/>
          <w:szCs w:val="24"/>
        </w:rPr>
        <w:t xml:space="preserve"> дана. </w:t>
      </w:r>
      <w:r w:rsidR="00720C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посматрамо дужину трајања поступка од дана доношења одлуке о покретању поступка, дужина трајања </w:t>
      </w:r>
      <w:r w:rsidR="00720C10">
        <w:rPr>
          <w:rFonts w:ascii="Times New Roman" w:eastAsia="Times New Roman" w:hAnsi="Times New Roman" w:cs="Times New Roman"/>
          <w:sz w:val="24"/>
          <w:szCs w:val="24"/>
        </w:rPr>
        <w:t>је за набавке</w:t>
      </w:r>
      <w:r w:rsidR="00720C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спроведене путем отвореног поступка</w:t>
      </w:r>
      <w:r w:rsidR="00720C10">
        <w:rPr>
          <w:rFonts w:ascii="Times New Roman" w:eastAsia="Times New Roman" w:hAnsi="Times New Roman" w:cs="Times New Roman"/>
          <w:sz w:val="24"/>
          <w:szCs w:val="24"/>
        </w:rPr>
        <w:t>, у првом полугодишту 2018. године, износила</w:t>
      </w:r>
      <w:r w:rsidR="00720C1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</w:t>
      </w:r>
      <w:r w:rsidR="00720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20C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62</w:t>
      </w:r>
      <w:r w:rsidR="00720C10" w:rsidRPr="005E08C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720C10">
        <w:rPr>
          <w:rFonts w:ascii="Times New Roman" w:eastAsia="Times New Roman" w:hAnsi="Times New Roman" w:cs="Times New Roman"/>
          <w:sz w:val="24"/>
          <w:szCs w:val="24"/>
        </w:rPr>
        <w:t>дан</w:t>
      </w:r>
      <w:r w:rsidR="00720C10">
        <w:rPr>
          <w:rFonts w:ascii="Times New Roman" w:eastAsia="Times New Roman" w:hAnsi="Times New Roman" w:cs="Times New Roman"/>
          <w:sz w:val="24"/>
          <w:szCs w:val="24"/>
          <w:lang w:val="sr-Cyrl-RS"/>
        </w:rPr>
        <w:t>а, а д</w:t>
      </w:r>
      <w:r w:rsidR="00720C10">
        <w:rPr>
          <w:rFonts w:ascii="Times New Roman" w:eastAsia="Times New Roman" w:hAnsi="Times New Roman" w:cs="Times New Roman"/>
          <w:sz w:val="24"/>
          <w:szCs w:val="24"/>
        </w:rPr>
        <w:t>ужина трајања поступка јавне набавке мале вредности</w:t>
      </w:r>
      <w:r w:rsidR="00720C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20C10">
        <w:rPr>
          <w:rFonts w:ascii="Times New Roman" w:eastAsia="Times New Roman" w:hAnsi="Times New Roman" w:cs="Times New Roman"/>
          <w:sz w:val="24"/>
          <w:szCs w:val="24"/>
        </w:rPr>
        <w:t xml:space="preserve">износила </w:t>
      </w:r>
      <w:r w:rsidR="00720C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 </w:t>
      </w:r>
      <w:r w:rsidR="00720C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34</w:t>
      </w:r>
      <w:r w:rsidR="00720C10">
        <w:rPr>
          <w:rFonts w:ascii="Times New Roman" w:eastAsia="Times New Roman" w:hAnsi="Times New Roman" w:cs="Times New Roman"/>
          <w:sz w:val="24"/>
          <w:szCs w:val="24"/>
        </w:rPr>
        <w:t xml:space="preserve"> дана.</w:t>
      </w:r>
    </w:p>
    <w:p w14:paraId="6EECF4B6" w14:textId="530E5727" w:rsidR="0081466B" w:rsidRDefault="0081466B">
      <w:pPr>
        <w:jc w:val="both"/>
      </w:pPr>
    </w:p>
    <w:p w14:paraId="37D93956" w14:textId="3BC0C239" w:rsidR="0081466B" w:rsidRDefault="00FA2861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Значајан показатељ перформанси јавних набавки јесте </w:t>
      </w:r>
      <w:r w:rsidR="004F0DED" w:rsidRPr="00FA28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</w:t>
      </w:r>
      <w:r w:rsidR="005E08C5" w:rsidRPr="00FA28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росечан број понуда по поступку</w:t>
      </w:r>
      <w:r w:rsidR="00CD72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који указује на интензитет конкуренције. </w:t>
      </w:r>
      <w:r w:rsidR="00CD7285" w:rsidRPr="00FA28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 првом полугодишту 201</w:t>
      </w:r>
      <w:r w:rsidR="00720C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8</w:t>
      </w:r>
      <w:r w:rsidR="00CD7285" w:rsidRPr="00FA28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године, </w:t>
      </w:r>
      <w:r w:rsidR="005E08C5" w:rsidRPr="00FA286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72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вредност овог показатеља износила је </w:t>
      </w:r>
      <w:r w:rsidR="00720C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2,5</w:t>
      </w:r>
      <w:r w:rsidR="00720C1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37974C8" w14:textId="07FEF174" w:rsidR="0081466B" w:rsidRPr="00081D20" w:rsidRDefault="00751444">
      <w:pPr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Следећи значајан показатељ </w:t>
      </w:r>
      <w:r w:rsidR="00081D20">
        <w:rPr>
          <w:rFonts w:ascii="Times New Roman" w:eastAsia="Times New Roman" w:hAnsi="Times New Roman" w:cs="Times New Roman"/>
          <w:sz w:val="24"/>
          <w:szCs w:val="24"/>
        </w:rPr>
        <w:t xml:space="preserve">перформанси </w:t>
      </w:r>
      <w:r w:rsidR="00F22A91">
        <w:rPr>
          <w:rFonts w:ascii="Times New Roman" w:eastAsia="Times New Roman" w:hAnsi="Times New Roman" w:cs="Times New Roman"/>
          <w:sz w:val="24"/>
          <w:szCs w:val="24"/>
        </w:rPr>
        <w:t xml:space="preserve">јесте успешност спроведених поступака. </w:t>
      </w:r>
      <w:r w:rsidR="000818F4">
        <w:rPr>
          <w:rFonts w:ascii="Times New Roman" w:eastAsia="Times New Roman" w:hAnsi="Times New Roman" w:cs="Times New Roman"/>
          <w:sz w:val="24"/>
          <w:szCs w:val="24"/>
        </w:rPr>
        <w:t xml:space="preserve">У првом полугодишту </w:t>
      </w:r>
      <w:r w:rsidR="000818F4" w:rsidRPr="00081D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201</w:t>
      </w:r>
      <w:r w:rsidR="000C0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8</w:t>
      </w:r>
      <w:r w:rsidR="00B47C5D" w:rsidRPr="00081D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године</w:t>
      </w:r>
      <w:r w:rsidR="000C0DA1">
        <w:rPr>
          <w:rFonts w:ascii="Times New Roman" w:eastAsia="Times New Roman" w:hAnsi="Times New Roman" w:cs="Times New Roman"/>
          <w:sz w:val="24"/>
          <w:szCs w:val="24"/>
        </w:rPr>
        <w:t>, обустављено је 8</w:t>
      </w:r>
      <w:r w:rsidR="00081D20">
        <w:rPr>
          <w:rFonts w:ascii="Times New Roman" w:eastAsia="Times New Roman" w:hAnsi="Times New Roman" w:cs="Times New Roman"/>
          <w:sz w:val="24"/>
          <w:szCs w:val="24"/>
        </w:rPr>
        <w:t>%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1D20">
        <w:rPr>
          <w:rFonts w:ascii="Times New Roman" w:eastAsia="Times New Roman" w:hAnsi="Times New Roman" w:cs="Times New Roman"/>
          <w:sz w:val="24"/>
          <w:szCs w:val="24"/>
        </w:rPr>
        <w:t xml:space="preserve">укупног броја 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>поступака</w:t>
      </w:r>
      <w:r w:rsidR="00081D2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679E4">
        <w:rPr>
          <w:rFonts w:ascii="Times New Roman" w:eastAsia="Times New Roman" w:hAnsi="Times New Roman" w:cs="Times New Roman"/>
          <w:sz w:val="24"/>
          <w:szCs w:val="24"/>
        </w:rPr>
        <w:t>У највећем броју случајева</w:t>
      </w:r>
      <w:r w:rsidR="004F0DED" w:rsidRPr="00081D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4F10" w:rsidRPr="00081D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(5</w:t>
      </w:r>
      <w:r w:rsidR="000C0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0</w:t>
      </w:r>
      <w:r w:rsidR="004F0DED" w:rsidRPr="00081D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%)</w:t>
      </w:r>
      <w:r w:rsidR="00081D20" w:rsidRPr="00081D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679E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разлог је био </w:t>
      </w:r>
      <w:r w:rsidR="00081D20" w:rsidRPr="00081D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што су све приспеле</w:t>
      </w:r>
      <w:r w:rsidR="004F0DED" w:rsidRPr="00081D2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понуде биле неприхватљиве. </w:t>
      </w:r>
    </w:p>
    <w:p w14:paraId="72396713" w14:textId="77777777" w:rsidR="0081466B" w:rsidRDefault="0081466B">
      <w:pPr>
        <w:jc w:val="both"/>
      </w:pPr>
    </w:p>
    <w:p w14:paraId="1F3441DC" w14:textId="0F1F2F1C" w:rsidR="0081466B" w:rsidRPr="00442463" w:rsidRDefault="004F0DED">
      <w:pPr>
        <w:numPr>
          <w:ilvl w:val="0"/>
          <w:numId w:val="15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НАБАВКЕ ПО ВРСТАМА ПОСТУПАКА</w:t>
      </w:r>
    </w:p>
    <w:p w14:paraId="32CF5570" w14:textId="77777777" w:rsidR="00442463" w:rsidRDefault="00442463" w:rsidP="00442463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9638F0" w14:textId="083065C3" w:rsidR="00056942" w:rsidRDefault="004F0DE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Један од </w:t>
      </w:r>
      <w:r w:rsidR="00056942">
        <w:rPr>
          <w:rFonts w:ascii="Times New Roman" w:eastAsia="Times New Roman" w:hAnsi="Times New Roman" w:cs="Times New Roman"/>
          <w:sz w:val="24"/>
          <w:szCs w:val="24"/>
        </w:rPr>
        <w:t>нај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значајнијих показатеља перформанси јавних набавки </w:t>
      </w:r>
      <w:r w:rsidR="00056942">
        <w:rPr>
          <w:rFonts w:ascii="Times New Roman" w:eastAsia="Times New Roman" w:hAnsi="Times New Roman" w:cs="Times New Roman"/>
          <w:sz w:val="24"/>
          <w:szCs w:val="24"/>
        </w:rPr>
        <w:t xml:space="preserve">у погледу транспарентности и обезбеђивања слободне конкуренције јесте заступљеност </w:t>
      </w:r>
      <w:r w:rsidR="00716D74">
        <w:rPr>
          <w:rFonts w:ascii="Times New Roman" w:eastAsia="Times New Roman" w:hAnsi="Times New Roman" w:cs="Times New Roman"/>
          <w:sz w:val="24"/>
          <w:szCs w:val="24"/>
        </w:rPr>
        <w:t>конкурентних поступака. Њихов удео је</w:t>
      </w:r>
      <w:r w:rsidR="008616D8"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r w:rsidR="000C0DA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првом полугодишту </w:t>
      </w:r>
      <w:r w:rsidR="000C0DA1">
        <w:rPr>
          <w:rFonts w:ascii="Times New Roman" w:eastAsia="Times New Roman" w:hAnsi="Times New Roman" w:cs="Times New Roman"/>
          <w:sz w:val="24"/>
          <w:szCs w:val="24"/>
        </w:rPr>
        <w:t>2018. године</w:t>
      </w:r>
      <w:r w:rsidR="008616D8">
        <w:rPr>
          <w:rFonts w:ascii="Times New Roman" w:eastAsia="Times New Roman" w:hAnsi="Times New Roman" w:cs="Times New Roman"/>
          <w:sz w:val="24"/>
          <w:szCs w:val="24"/>
        </w:rPr>
        <w:t>,</w:t>
      </w:r>
      <w:r w:rsidR="00716D74">
        <w:rPr>
          <w:rFonts w:ascii="Times New Roman" w:eastAsia="Times New Roman" w:hAnsi="Times New Roman" w:cs="Times New Roman"/>
          <w:sz w:val="24"/>
          <w:szCs w:val="24"/>
        </w:rPr>
        <w:t xml:space="preserve"> износио 97%, док је учешће некон</w:t>
      </w:r>
      <w:r w:rsidR="00056942">
        <w:rPr>
          <w:rFonts w:ascii="Times New Roman" w:eastAsia="Times New Roman" w:hAnsi="Times New Roman" w:cs="Times New Roman"/>
          <w:sz w:val="24"/>
          <w:szCs w:val="24"/>
        </w:rPr>
        <w:t>курентног поступка (преговарачки поступак без објављивања позива за подношење понуда) у укупној вредности закључених уговора</w:t>
      </w:r>
      <w:r w:rsidR="00716D74">
        <w:rPr>
          <w:rFonts w:ascii="Times New Roman" w:eastAsia="Times New Roman" w:hAnsi="Times New Roman" w:cs="Times New Roman"/>
          <w:sz w:val="24"/>
          <w:szCs w:val="24"/>
        </w:rPr>
        <w:t xml:space="preserve"> износио свега 3%</w:t>
      </w:r>
      <w:r w:rsidR="005845AE">
        <w:rPr>
          <w:rFonts w:ascii="Times New Roman" w:eastAsia="Times New Roman" w:hAnsi="Times New Roman" w:cs="Times New Roman"/>
          <w:sz w:val="24"/>
          <w:szCs w:val="24"/>
        </w:rPr>
        <w:t xml:space="preserve"> (Табела 5</w:t>
      </w:r>
      <w:r w:rsidR="008616D8">
        <w:rPr>
          <w:rFonts w:ascii="Times New Roman" w:eastAsia="Times New Roman" w:hAnsi="Times New Roman" w:cs="Times New Roman"/>
          <w:sz w:val="24"/>
          <w:szCs w:val="24"/>
        </w:rPr>
        <w:t>)</w:t>
      </w:r>
      <w:r w:rsidR="000569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8FDABF0" w14:textId="61100735" w:rsidR="0081466B" w:rsidRDefault="007C5601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Због ограничавања конкуренције и транспарентности, 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 xml:space="preserve">преговарачки поступак предвиђен </w:t>
      </w:r>
      <w:r>
        <w:rPr>
          <w:rFonts w:ascii="Times New Roman" w:eastAsia="Times New Roman" w:hAnsi="Times New Roman" w:cs="Times New Roman"/>
          <w:sz w:val="24"/>
          <w:szCs w:val="24"/>
        </w:rPr>
        <w:t>је само за</w:t>
      </w:r>
      <w:r w:rsidR="00B904B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изузетне случајеве, те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се 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>његов</w:t>
      </w:r>
      <w:r w:rsidR="0046638C">
        <w:rPr>
          <w:rFonts w:ascii="Times New Roman" w:eastAsia="Times New Roman" w:hAnsi="Times New Roman" w:cs="Times New Roman"/>
          <w:sz w:val="24"/>
          <w:szCs w:val="24"/>
        </w:rPr>
        <w:t>о учешће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 земљама ЕУ креће 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 xml:space="preserve">око 5% укупне вредности јавних набавки.  </w:t>
      </w:r>
    </w:p>
    <w:p w14:paraId="71425D3A" w14:textId="66761393" w:rsidR="0081466B" w:rsidRPr="007C5601" w:rsidRDefault="00B904B9">
      <w:pPr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CS"/>
        </w:rPr>
        <w:t xml:space="preserve">                          </w:t>
      </w:r>
      <w:r w:rsidR="002B6B8B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Табела 5</w:t>
      </w:r>
    </w:p>
    <w:tbl>
      <w:tblPr>
        <w:tblW w:w="769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30"/>
        <w:gridCol w:w="2493"/>
        <w:gridCol w:w="875"/>
      </w:tblGrid>
      <w:tr w:rsidR="0027054C" w:rsidRPr="007C5601" w14:paraId="17CD9955" w14:textId="77777777" w:rsidTr="000126A1">
        <w:trPr>
          <w:jc w:val="center"/>
        </w:trPr>
        <w:tc>
          <w:tcPr>
            <w:tcW w:w="769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D86A4D4" w14:textId="77777777" w:rsidR="0027054C" w:rsidRPr="0027054C" w:rsidRDefault="0027054C" w:rsidP="0027054C">
            <w:pPr>
              <w:tabs>
                <w:tab w:val="left" w:pos="1885"/>
              </w:tabs>
              <w:spacing w:after="0" w:line="240" w:lineRule="auto"/>
              <w:jc w:val="center"/>
            </w:pPr>
            <w:r w:rsidRPr="002705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Преглед вредносне структуре јавних набавки велике</w:t>
            </w:r>
          </w:p>
          <w:p w14:paraId="216E194E" w14:textId="10F166EB" w:rsidR="0027054C" w:rsidRPr="0027054C" w:rsidRDefault="007661D9" w:rsidP="0027054C">
            <w:pPr>
              <w:tabs>
                <w:tab w:val="left" w:pos="188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вредности по врсти</w:t>
            </w:r>
            <w:r w:rsidR="0027054C" w:rsidRPr="002705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="002B6B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оступка у првом полугодишту 2018</w:t>
            </w:r>
            <w:r w:rsidR="0027054C" w:rsidRPr="002705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године</w:t>
            </w:r>
          </w:p>
        </w:tc>
      </w:tr>
      <w:tr w:rsidR="0027054C" w:rsidRPr="0027054C" w14:paraId="2EA66F2C" w14:textId="77777777" w:rsidTr="000126A1">
        <w:trPr>
          <w:jc w:val="center"/>
        </w:trPr>
        <w:tc>
          <w:tcPr>
            <w:tcW w:w="43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5801D1B" w14:textId="77777777" w:rsidR="0027054C" w:rsidRPr="0027054C" w:rsidRDefault="0027054C" w:rsidP="0027054C">
            <w:pPr>
              <w:tabs>
                <w:tab w:val="left" w:pos="1885"/>
              </w:tabs>
              <w:spacing w:after="0" w:line="240" w:lineRule="auto"/>
              <w:jc w:val="center"/>
            </w:pPr>
            <w:r w:rsidRPr="002705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Врста поступка</w:t>
            </w:r>
          </w:p>
          <w:p w14:paraId="5EE97CBC" w14:textId="77777777" w:rsidR="0027054C" w:rsidRPr="0027054C" w:rsidRDefault="0027054C" w:rsidP="0027054C">
            <w:pPr>
              <w:tabs>
                <w:tab w:val="left" w:pos="1885"/>
              </w:tabs>
              <w:spacing w:after="0" w:line="240" w:lineRule="auto"/>
              <w:jc w:val="center"/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30FAA" w14:textId="77777777" w:rsidR="0027054C" w:rsidRPr="0027054C" w:rsidRDefault="0027054C" w:rsidP="0027054C">
            <w:pPr>
              <w:tabs>
                <w:tab w:val="left" w:pos="1885"/>
              </w:tabs>
              <w:spacing w:after="0" w:line="240" w:lineRule="auto"/>
              <w:jc w:val="center"/>
            </w:pPr>
            <w:r w:rsidRPr="002705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Уговорена вредност</w:t>
            </w:r>
          </w:p>
          <w:p w14:paraId="795CBEA7" w14:textId="77777777" w:rsidR="0027054C" w:rsidRPr="0027054C" w:rsidRDefault="0027054C" w:rsidP="0027054C">
            <w:pPr>
              <w:tabs>
                <w:tab w:val="left" w:pos="1885"/>
              </w:tabs>
              <w:spacing w:after="0" w:line="240" w:lineRule="auto"/>
              <w:jc w:val="center"/>
            </w:pPr>
            <w:r w:rsidRPr="002705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(у хиљадама</w:t>
            </w:r>
          </w:p>
          <w:p w14:paraId="760AFAF6" w14:textId="77777777" w:rsidR="0027054C" w:rsidRPr="0027054C" w:rsidRDefault="0027054C" w:rsidP="0027054C">
            <w:pPr>
              <w:tabs>
                <w:tab w:val="left" w:pos="1885"/>
              </w:tabs>
              <w:spacing w:after="0" w:line="240" w:lineRule="auto"/>
              <w:jc w:val="center"/>
            </w:pPr>
            <w:r w:rsidRPr="002705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динара)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E4A9798" w14:textId="77777777" w:rsidR="0027054C" w:rsidRPr="0027054C" w:rsidRDefault="0027054C" w:rsidP="0027054C">
            <w:pPr>
              <w:tabs>
                <w:tab w:val="left" w:pos="1885"/>
              </w:tabs>
              <w:spacing w:after="0" w:line="240" w:lineRule="auto"/>
              <w:jc w:val="center"/>
            </w:pPr>
            <w:r w:rsidRPr="002705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2B6B8B" w:rsidRPr="0027054C" w14:paraId="2F78EC7A" w14:textId="77777777" w:rsidTr="000126A1">
        <w:trPr>
          <w:jc w:val="center"/>
        </w:trPr>
        <w:tc>
          <w:tcPr>
            <w:tcW w:w="43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203B35E" w14:textId="7745579B" w:rsidR="002B6B8B" w:rsidRPr="0027054C" w:rsidRDefault="002B6B8B" w:rsidP="002B6B8B">
            <w:pPr>
              <w:tabs>
                <w:tab w:val="left" w:pos="3622"/>
              </w:tabs>
              <w:spacing w:after="0" w:line="240" w:lineRule="auto"/>
              <w:jc w:val="center"/>
            </w:pPr>
            <w:r w:rsidRPr="002705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Отворени поступак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4E276" w14:textId="15898BD3" w:rsidR="002B6B8B" w:rsidRPr="002600E8" w:rsidRDefault="002B6B8B" w:rsidP="002B6B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153.055.591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D707D05" w14:textId="36C6DE3D" w:rsidR="002B6B8B" w:rsidRPr="002600E8" w:rsidRDefault="002B6B8B" w:rsidP="002B6B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94</w:t>
            </w:r>
          </w:p>
        </w:tc>
      </w:tr>
      <w:tr w:rsidR="002B6B8B" w:rsidRPr="0027054C" w14:paraId="51380CA1" w14:textId="77777777" w:rsidTr="000126A1">
        <w:trPr>
          <w:jc w:val="center"/>
        </w:trPr>
        <w:tc>
          <w:tcPr>
            <w:tcW w:w="43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D14DEFC" w14:textId="2D5233F5" w:rsidR="002B6B8B" w:rsidRPr="0027054C" w:rsidRDefault="002B6B8B" w:rsidP="002B6B8B">
            <w:pPr>
              <w:tabs>
                <w:tab w:val="left" w:pos="3622"/>
              </w:tabs>
              <w:spacing w:after="0" w:line="240" w:lineRule="auto"/>
              <w:jc w:val="center"/>
            </w:pPr>
            <w:r w:rsidRPr="002705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Рестриктивни поступак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B3B25" w14:textId="258F5B62" w:rsidR="002B6B8B" w:rsidRPr="002600E8" w:rsidRDefault="002B6B8B" w:rsidP="002B6B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67.290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DD8CCDE" w14:textId="3DC59730" w:rsidR="002B6B8B" w:rsidRPr="002600E8" w:rsidRDefault="002B6B8B" w:rsidP="002B6B8B">
            <w:pPr>
              <w:jc w:val="center"/>
              <w:rPr>
                <w:rFonts w:ascii="Times New Roman" w:hAnsi="Times New Roman" w:cs="Times New Roman"/>
              </w:rPr>
            </w:pPr>
            <w:r w:rsidRPr="002600E8">
              <w:rPr>
                <w:rFonts w:ascii="Times New Roman" w:hAnsi="Times New Roman" w:cs="Times New Roman"/>
              </w:rPr>
              <w:t>0</w:t>
            </w:r>
          </w:p>
        </w:tc>
      </w:tr>
      <w:tr w:rsidR="002B6B8B" w:rsidRPr="0027054C" w14:paraId="7C645BCA" w14:textId="77777777" w:rsidTr="000126A1">
        <w:trPr>
          <w:jc w:val="center"/>
        </w:trPr>
        <w:tc>
          <w:tcPr>
            <w:tcW w:w="43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E496E3A" w14:textId="73E52BDE" w:rsidR="002B6B8B" w:rsidRPr="0027054C" w:rsidRDefault="002B6B8B" w:rsidP="002B6B8B">
            <w:pPr>
              <w:tabs>
                <w:tab w:val="left" w:pos="3622"/>
              </w:tabs>
              <w:spacing w:after="0" w:line="240" w:lineRule="auto"/>
              <w:jc w:val="center"/>
            </w:pPr>
            <w:r w:rsidRPr="002705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Квалификациони поступак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69CF0" w14:textId="1D96D5CF" w:rsidR="002B6B8B" w:rsidRPr="002600E8" w:rsidRDefault="002B6B8B" w:rsidP="002B6B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1.320.218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88F4C07" w14:textId="70A98C3A" w:rsidR="002B6B8B" w:rsidRPr="002B6B8B" w:rsidRDefault="002B6B8B" w:rsidP="002B6B8B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B6B8B" w:rsidRPr="0027054C" w14:paraId="64CD5590" w14:textId="77777777" w:rsidTr="000126A1">
        <w:trPr>
          <w:jc w:val="center"/>
        </w:trPr>
        <w:tc>
          <w:tcPr>
            <w:tcW w:w="43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1225DE1" w14:textId="4541123A" w:rsidR="002B6B8B" w:rsidRPr="0027054C" w:rsidRDefault="002B6B8B" w:rsidP="002B6B8B">
            <w:pPr>
              <w:tabs>
                <w:tab w:val="left" w:pos="3622"/>
              </w:tabs>
              <w:spacing w:after="0" w:line="240" w:lineRule="auto"/>
              <w:jc w:val="center"/>
            </w:pPr>
            <w:r w:rsidRPr="002705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Преговарачки поступак без објављивања  позива за подношење понуда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84035" w14:textId="7F780270" w:rsidR="002B6B8B" w:rsidRPr="002600E8" w:rsidRDefault="002B6B8B" w:rsidP="002B6B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5.805.316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643DEF6" w14:textId="0E66EAF0" w:rsidR="002B6B8B" w:rsidRPr="002600E8" w:rsidRDefault="002B6B8B" w:rsidP="002B6B8B">
            <w:pPr>
              <w:jc w:val="center"/>
              <w:rPr>
                <w:rFonts w:ascii="Times New Roman" w:hAnsi="Times New Roman" w:cs="Times New Roman"/>
              </w:rPr>
            </w:pPr>
            <w:r w:rsidRPr="002600E8">
              <w:rPr>
                <w:rFonts w:ascii="Times New Roman" w:hAnsi="Times New Roman" w:cs="Times New Roman"/>
              </w:rPr>
              <w:t>3</w:t>
            </w:r>
          </w:p>
        </w:tc>
      </w:tr>
      <w:tr w:rsidR="002B6B8B" w:rsidRPr="0027054C" w14:paraId="2187EA55" w14:textId="77777777" w:rsidTr="000126A1">
        <w:trPr>
          <w:jc w:val="center"/>
        </w:trPr>
        <w:tc>
          <w:tcPr>
            <w:tcW w:w="43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458591E" w14:textId="17828632" w:rsidR="002B6B8B" w:rsidRPr="0027054C" w:rsidRDefault="002B6B8B" w:rsidP="002B6B8B">
            <w:pPr>
              <w:tabs>
                <w:tab w:val="left" w:pos="3622"/>
              </w:tabs>
              <w:spacing w:after="0" w:line="240" w:lineRule="auto"/>
              <w:jc w:val="center"/>
            </w:pPr>
            <w:r w:rsidRPr="002705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Преговарачки поступак са објављивањем позива за подношење понуда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FABA4" w14:textId="3F5AEF08" w:rsidR="002B6B8B" w:rsidRPr="002600E8" w:rsidRDefault="002B6B8B" w:rsidP="002B6B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CS"/>
              </w:rPr>
              <w:t>5.662.745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D4880F4" w14:textId="3720D158" w:rsidR="002B6B8B" w:rsidRPr="002600E8" w:rsidRDefault="002B6B8B" w:rsidP="002B6B8B">
            <w:pPr>
              <w:jc w:val="center"/>
              <w:rPr>
                <w:rFonts w:ascii="Times New Roman" w:hAnsi="Times New Roman" w:cs="Times New Roman"/>
              </w:rPr>
            </w:pPr>
            <w:r w:rsidRPr="002600E8">
              <w:rPr>
                <w:rFonts w:ascii="Times New Roman" w:hAnsi="Times New Roman" w:cs="Times New Roman"/>
              </w:rPr>
              <w:t>3</w:t>
            </w:r>
          </w:p>
        </w:tc>
      </w:tr>
      <w:tr w:rsidR="002B6B8B" w:rsidRPr="0027054C" w14:paraId="37436B53" w14:textId="77777777" w:rsidTr="000126A1">
        <w:trPr>
          <w:jc w:val="center"/>
        </w:trPr>
        <w:tc>
          <w:tcPr>
            <w:tcW w:w="433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7635829C" w14:textId="417E6697" w:rsidR="002B6B8B" w:rsidRPr="0027054C" w:rsidRDefault="002B6B8B" w:rsidP="002B6B8B">
            <w:pPr>
              <w:tabs>
                <w:tab w:val="left" w:pos="3622"/>
              </w:tabs>
              <w:spacing w:after="0" w:line="240" w:lineRule="auto"/>
              <w:jc w:val="center"/>
            </w:pPr>
            <w:r w:rsidRPr="002705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Конкурс за дизајн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0A2AA" w14:textId="1100E555" w:rsidR="002B6B8B" w:rsidRPr="002600E8" w:rsidRDefault="002B6B8B" w:rsidP="002B6B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60.330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DCD47AC" w14:textId="17BCF1BC" w:rsidR="002B6B8B" w:rsidRPr="002600E8" w:rsidRDefault="002B6B8B" w:rsidP="002B6B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00E8">
              <w:rPr>
                <w:rFonts w:ascii="Times New Roman" w:hAnsi="Times New Roman" w:cs="Times New Roman"/>
              </w:rPr>
              <w:t>0</w:t>
            </w:r>
          </w:p>
        </w:tc>
      </w:tr>
      <w:tr w:rsidR="0027054C" w:rsidRPr="0027054C" w14:paraId="3A6D5276" w14:textId="77777777" w:rsidTr="000126A1">
        <w:trPr>
          <w:jc w:val="center"/>
        </w:trPr>
        <w:tc>
          <w:tcPr>
            <w:tcW w:w="433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07920D3" w14:textId="77777777" w:rsidR="0027054C" w:rsidRPr="0027054C" w:rsidRDefault="0027054C" w:rsidP="0027054C">
            <w:pPr>
              <w:tabs>
                <w:tab w:val="left" w:pos="188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2705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Укупно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31ED180B" w14:textId="25EF7FFC" w:rsidR="0027054C" w:rsidRPr="002B6B8B" w:rsidRDefault="002B6B8B" w:rsidP="00270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</w:rPr>
              <w:t>165.971.</w:t>
            </w:r>
            <w:r>
              <w:rPr>
                <w:rFonts w:ascii="Times New Roman" w:hAnsi="Times New Roman" w:cs="Times New Roman"/>
                <w:b/>
                <w:lang w:val="sr-Cyrl-CS"/>
              </w:rPr>
              <w:t>490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FC02C38" w14:textId="77777777" w:rsidR="0027054C" w:rsidRPr="002600E8" w:rsidRDefault="0027054C" w:rsidP="002705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600E8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14:paraId="6B1D7426" w14:textId="77777777" w:rsidR="008D7DC9" w:rsidRDefault="008D7DC9">
      <w:pPr>
        <w:jc w:val="both"/>
        <w:rPr>
          <w:rFonts w:ascii="Times New Roman" w:eastAsia="Times New Roman" w:hAnsi="Times New Roman" w:cs="Times New Roman"/>
          <w:sz w:val="24"/>
          <w:szCs w:val="24"/>
          <w:lang w:val="sr"/>
        </w:rPr>
      </w:pPr>
    </w:p>
    <w:p w14:paraId="26649DE3" w14:textId="74B5890B" w:rsidR="0081466B" w:rsidRPr="00F17307" w:rsidRDefault="007C5601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"/>
        </w:rPr>
        <w:lastRenderedPageBreak/>
        <w:t>Као што се</w:t>
      </w:r>
      <w:r w:rsidR="00015695">
        <w:rPr>
          <w:rFonts w:ascii="Times New Roman" w:eastAsia="Times New Roman" w:hAnsi="Times New Roman" w:cs="Times New Roman"/>
          <w:sz w:val="24"/>
          <w:szCs w:val="24"/>
        </w:rPr>
        <w:t xml:space="preserve"> из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7307">
        <w:rPr>
          <w:rFonts w:ascii="Times New Roman" w:eastAsia="Times New Roman" w:hAnsi="Times New Roman" w:cs="Times New Roman"/>
          <w:sz w:val="24"/>
          <w:szCs w:val="24"/>
        </w:rPr>
        <w:t>података датих у Табели</w:t>
      </w:r>
      <w:r w:rsidR="002B6B8B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7DC9">
        <w:rPr>
          <w:rFonts w:ascii="Times New Roman" w:eastAsia="Times New Roman" w:hAnsi="Times New Roman" w:cs="Times New Roman"/>
          <w:sz w:val="24"/>
          <w:szCs w:val="24"/>
        </w:rPr>
        <w:t>и на Слици 3</w:t>
      </w:r>
      <w:r w:rsidR="00F173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може видети,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F173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учешће</w:t>
      </w:r>
      <w:r w:rsidR="004F0DED" w:rsidRPr="00F173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преговарачког поступка без објављивања пози</w:t>
      </w:r>
      <w:r w:rsidR="0007333A" w:rsidRPr="00F173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 за подношење понуда</w:t>
      </w:r>
      <w:r w:rsidR="00015695" w:rsidRPr="00F173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173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било је значајно ниже (3%) од просека ЕУ (5%). </w:t>
      </w:r>
      <w:r w:rsidR="00F17307" w:rsidRPr="00F173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Када </w:t>
      </w:r>
      <w:r w:rsidR="004F0DED" w:rsidRPr="00F173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се сагледа </w:t>
      </w:r>
      <w:r w:rsidR="00F173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кретање </w:t>
      </w:r>
      <w:r w:rsidR="004F0DED" w:rsidRPr="00F173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заступљено</w:t>
      </w:r>
      <w:r w:rsidR="00A062FD" w:rsidRPr="00F173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</w:t>
      </w:r>
      <w:r w:rsidR="00F173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</w:t>
      </w:r>
      <w:r w:rsidR="00A062FD" w:rsidRPr="00F173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ово</w:t>
      </w:r>
      <w:r w:rsidR="00F17307" w:rsidRPr="00F173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 поступка у протеклих петнаест</w:t>
      </w:r>
      <w:r w:rsidR="004F0DED" w:rsidRPr="00F173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година </w:t>
      </w:r>
      <w:r w:rsidR="00F173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јасно се може уочити колики је напредак у погледу овог показатеља остварен, као и да је вредност која одговара просеку ЕУ одржива још од 2014. године </w:t>
      </w:r>
      <w:r w:rsidR="000F38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(Слика 4</w:t>
      </w:r>
      <w:r w:rsidR="004F0DED" w:rsidRPr="00F173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14:paraId="7D09D073" w14:textId="756D3C46" w:rsidR="0081466B" w:rsidRDefault="00355DAA">
      <w:pPr>
        <w:jc w:val="both"/>
      </w:pPr>
      <w:r w:rsidRPr="003349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  првом полугодишту 201</w:t>
      </w:r>
      <w:r w:rsidR="002B6B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8</w:t>
      </w:r>
      <w:r w:rsidR="004F0DED" w:rsidRPr="003349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године У</w:t>
      </w:r>
      <w:r w:rsidR="00442463" w:rsidRPr="003349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ЈН</w:t>
      </w:r>
      <w:r w:rsidRPr="003349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је дала </w:t>
      </w:r>
      <w:r w:rsidR="002B6B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942</w:t>
      </w:r>
      <w:r w:rsidR="002B6B8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позитивна и 53</w:t>
      </w:r>
      <w:r w:rsidR="004F0DED" w:rsidRPr="003349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негативних мишљења за преговарачки поступак без објављивања позива за подношење понуда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>. Подата</w:t>
      </w:r>
      <w:r w:rsidR="003349E2">
        <w:rPr>
          <w:rFonts w:ascii="Times New Roman" w:eastAsia="Times New Roman" w:hAnsi="Times New Roman" w:cs="Times New Roman"/>
          <w:sz w:val="24"/>
          <w:szCs w:val="24"/>
        </w:rPr>
        <w:t xml:space="preserve">к да негативна мишљења чине </w:t>
      </w:r>
      <w:r w:rsidR="002B6B8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једну петину од укупног броја мишљења </w:t>
      </w:r>
      <w:r w:rsidR="003349E2">
        <w:rPr>
          <w:rFonts w:ascii="Times New Roman" w:eastAsia="Times New Roman" w:hAnsi="Times New Roman" w:cs="Times New Roman"/>
          <w:sz w:val="24"/>
          <w:szCs w:val="24"/>
        </w:rPr>
        <w:t xml:space="preserve">(другим речима, да 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>позитивна мишљења доминирају</w:t>
      </w:r>
      <w:r w:rsidR="003349E2">
        <w:rPr>
          <w:rFonts w:ascii="Times New Roman" w:eastAsia="Times New Roman" w:hAnsi="Times New Roman" w:cs="Times New Roman"/>
          <w:sz w:val="24"/>
          <w:szCs w:val="24"/>
        </w:rPr>
        <w:t>)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>, у комбинацији са ниским учешћем преговарачких поступака у укупној вредности јавних набавки</w:t>
      </w:r>
      <w:r w:rsidR="00DD51B9">
        <w:rPr>
          <w:rFonts w:ascii="Times New Roman" w:eastAsia="Times New Roman" w:hAnsi="Times New Roman" w:cs="Times New Roman"/>
          <w:sz w:val="24"/>
          <w:szCs w:val="24"/>
        </w:rPr>
        <w:t>,</w:t>
      </w:r>
      <w:r w:rsidR="003349E2">
        <w:rPr>
          <w:rFonts w:ascii="Times New Roman" w:eastAsia="Times New Roman" w:hAnsi="Times New Roman" w:cs="Times New Roman"/>
          <w:sz w:val="24"/>
          <w:szCs w:val="24"/>
        </w:rPr>
        <w:t xml:space="preserve"> показује да наручиоци 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>знају када имају основа за примену овог поступка, те да се у другим случајевима и не обраћају У</w:t>
      </w:r>
      <w:r w:rsidR="00442463">
        <w:rPr>
          <w:rFonts w:ascii="Times New Roman" w:eastAsia="Times New Roman" w:hAnsi="Times New Roman" w:cs="Times New Roman"/>
          <w:sz w:val="24"/>
          <w:szCs w:val="24"/>
        </w:rPr>
        <w:t>ЈН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7C8EB473" w14:textId="059B409C" w:rsidR="00023557" w:rsidRDefault="004F0DE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Упоредо са смањивањем учешћа неконкурентног поступка, повећала се заступљеност отвореног поступка. Уч</w:t>
      </w:r>
      <w:r w:rsidR="003349E2">
        <w:rPr>
          <w:rFonts w:ascii="Times New Roman" w:eastAsia="Times New Roman" w:hAnsi="Times New Roman" w:cs="Times New Roman"/>
          <w:sz w:val="24"/>
          <w:szCs w:val="24"/>
        </w:rPr>
        <w:t>ешће отвореног поступка задржа</w:t>
      </w:r>
      <w:r w:rsidR="002B6B8B">
        <w:rPr>
          <w:rFonts w:ascii="Times New Roman" w:eastAsia="Times New Roman" w:hAnsi="Times New Roman" w:cs="Times New Roman"/>
          <w:sz w:val="24"/>
          <w:szCs w:val="24"/>
        </w:rPr>
        <w:t>ло се и у првом полугодишту 2018</w:t>
      </w:r>
      <w:r w:rsidR="003349E2">
        <w:rPr>
          <w:rFonts w:ascii="Times New Roman" w:eastAsia="Times New Roman" w:hAnsi="Times New Roman" w:cs="Times New Roman"/>
          <w:sz w:val="24"/>
          <w:szCs w:val="24"/>
        </w:rPr>
        <w:t xml:space="preserve">. године на рекордно високом нивоу од </w:t>
      </w:r>
      <w:r w:rsidR="002B6B8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94</w:t>
      </w:r>
      <w:r w:rsidR="00BC7058" w:rsidRPr="003349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% </w:t>
      </w:r>
      <w:r w:rsidR="005845A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(Сл</w:t>
      </w:r>
      <w:r w:rsidR="000F38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ика 5</w:t>
      </w:r>
      <w:r w:rsidR="003349E2" w:rsidRPr="003349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).</w:t>
      </w:r>
      <w:r w:rsidR="00052933" w:rsidRPr="0005293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3349E2">
        <w:rPr>
          <w:rFonts w:ascii="Times New Roman" w:eastAsia="Times New Roman" w:hAnsi="Times New Roman" w:cs="Times New Roman"/>
          <w:sz w:val="24"/>
          <w:szCs w:val="24"/>
        </w:rPr>
        <w:t xml:space="preserve">Тиме је </w:t>
      </w:r>
      <w:r w:rsidR="00904468">
        <w:rPr>
          <w:rFonts w:ascii="Times New Roman" w:eastAsia="Times New Roman" w:hAnsi="Times New Roman" w:cs="Times New Roman"/>
          <w:sz w:val="24"/>
          <w:szCs w:val="24"/>
          <w:lang w:val="sr"/>
        </w:rPr>
        <w:t xml:space="preserve">одржан позитиван тренд започет 2014. године </w:t>
      </w:r>
      <w:r w:rsidR="00904468">
        <w:rPr>
          <w:rFonts w:ascii="Times New Roman" w:eastAsia="Times New Roman" w:hAnsi="Times New Roman" w:cs="Times New Roman"/>
          <w:sz w:val="24"/>
          <w:szCs w:val="24"/>
        </w:rPr>
        <w:t>(Слика</w:t>
      </w:r>
      <w:r w:rsidR="000F3883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14:paraId="1A2563D9" w14:textId="13EE74F4" w:rsidR="00023557" w:rsidRPr="001D2929" w:rsidRDefault="001D2929" w:rsidP="001D2929"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  </w:t>
      </w:r>
      <w:r w:rsidR="00D855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Слика </w:t>
      </w:r>
      <w:r w:rsidR="002B6B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GB"/>
        </w:rPr>
        <w:t>3</w:t>
      </w:r>
      <w:r w:rsidR="00BC7058">
        <w:rPr>
          <w:noProof/>
          <w:lang w:val="sr-Latn-RS" w:eastAsia="sr-Latn-RS"/>
        </w:rPr>
        <w:drawing>
          <wp:inline distT="0" distB="0" distL="0" distR="0" wp14:anchorId="666523FD" wp14:editId="26EC5BCE">
            <wp:extent cx="5695950" cy="310515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="004F0DE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bookmarkStart w:id="2" w:name="_3znysh7" w:colFirst="0" w:colLast="0"/>
      <w:bookmarkEnd w:id="2"/>
      <w:r w:rsidR="004F0DE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3D8A1431" w14:textId="77777777" w:rsidR="008D1A37" w:rsidRDefault="00904468" w:rsidP="00320BE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2695DCE9" w14:textId="77777777" w:rsidR="008D1A37" w:rsidRDefault="008D1A37" w:rsidP="00320BEA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7743754" w14:textId="6CCDF151" w:rsidR="00023557" w:rsidRDefault="00904468" w:rsidP="00320BEA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</w:t>
      </w:r>
      <w:r w:rsidR="008D1A3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Слика 4</w:t>
      </w:r>
    </w:p>
    <w:p w14:paraId="53D1BBAD" w14:textId="57A50CB5" w:rsidR="0081466B" w:rsidRDefault="00BC0E21" w:rsidP="000F3883">
      <w:pPr>
        <w:rPr>
          <w:rFonts w:ascii="Times New Roman" w:hAnsi="Times New Roman" w:cs="Times New Roman"/>
          <w:sz w:val="24"/>
          <w:szCs w:val="24"/>
        </w:rPr>
      </w:pPr>
      <w:bookmarkStart w:id="3" w:name="_2et92p0" w:colFirst="0" w:colLast="0"/>
      <w:bookmarkEnd w:id="3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bookmarkStart w:id="4" w:name="_MON_1518850465"/>
      <w:bookmarkEnd w:id="4"/>
      <w:r w:rsidRPr="005E5329">
        <w:rPr>
          <w:rFonts w:ascii="Times New Roman" w:hAnsi="Times New Roman" w:cs="Times New Roman"/>
          <w:sz w:val="24"/>
          <w:szCs w:val="24"/>
        </w:rPr>
        <w:object w:dxaOrig="10202" w:dyaOrig="5083" w14:anchorId="2F5E24BA">
          <v:shape id="_x0000_i1026" type="#_x0000_t75" style="width:441.15pt;height:238.05pt" o:ole="">
            <v:imagedata r:id="rId16" o:title=""/>
            <o:lock v:ext="edit" aspectratio="f"/>
          </v:shape>
          <o:OLEObject Type="Embed" ProgID="Excel.Sheet.12" ShapeID="_x0000_i1026" DrawAspect="Content" ObjectID="_1603107156" r:id="rId17"/>
        </w:object>
      </w:r>
    </w:p>
    <w:p w14:paraId="71E54DDF" w14:textId="2555A8E9" w:rsidR="000F3883" w:rsidRPr="000F3883" w:rsidRDefault="000F3883" w:rsidP="000F3883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Pr="000F3883">
        <w:rPr>
          <w:rFonts w:ascii="Times New Roman" w:hAnsi="Times New Roman" w:cs="Times New Roman"/>
          <w:b/>
          <w:sz w:val="24"/>
          <w:szCs w:val="24"/>
          <w:lang w:val="sr-Cyrl-RS"/>
        </w:rPr>
        <w:t>Слика 5</w:t>
      </w:r>
    </w:p>
    <w:p w14:paraId="36E9E93F" w14:textId="7C01436D" w:rsidR="000F3883" w:rsidRDefault="000F3883" w:rsidP="000F3883">
      <w:pPr>
        <w:jc w:val="center"/>
        <w:rPr>
          <w:lang w:val="en-US"/>
        </w:rPr>
      </w:pPr>
      <w:r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val="sr-Latn-RS" w:eastAsia="sr-Latn-RS"/>
        </w:rPr>
        <w:drawing>
          <wp:inline distT="0" distB="0" distL="0" distR="0" wp14:anchorId="5784B2F1" wp14:editId="157061CC">
            <wp:extent cx="5562600" cy="3180715"/>
            <wp:effectExtent l="0" t="0" r="0" b="63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180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C36468" w14:textId="77777777" w:rsidR="000126A1" w:rsidRDefault="000126A1" w:rsidP="00023557">
      <w:pPr>
        <w:jc w:val="center"/>
        <w:rPr>
          <w:lang w:val="en-US"/>
        </w:rPr>
      </w:pPr>
    </w:p>
    <w:p w14:paraId="6658E73A" w14:textId="77777777" w:rsidR="0081466B" w:rsidRDefault="004F0DE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Следеће важно питање везано за преговарачки поступак без објављивања позива за подношење понуда јесте како је његово учешће распоређено по категоријама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наручилаца. Другим реч</w:t>
      </w:r>
      <w:r w:rsidR="00641096">
        <w:rPr>
          <w:rFonts w:ascii="Times New Roman" w:eastAsia="Times New Roman" w:hAnsi="Times New Roman" w:cs="Times New Roman"/>
          <w:sz w:val="24"/>
          <w:szCs w:val="24"/>
        </w:rPr>
        <w:t>има, битно је да се сагледа којe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категориј</w:t>
      </w:r>
      <w:r w:rsidR="00641096">
        <w:rPr>
          <w:rFonts w:ascii="Times New Roman" w:eastAsia="Times New Roman" w:hAnsi="Times New Roman" w:cs="Times New Roman"/>
          <w:sz w:val="24"/>
          <w:szCs w:val="24"/>
        </w:rPr>
        <w:t>e наручилаца су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1096">
        <w:rPr>
          <w:rFonts w:ascii="Times New Roman" w:eastAsia="Times New Roman" w:hAnsi="Times New Roman" w:cs="Times New Roman"/>
          <w:sz w:val="24"/>
          <w:szCs w:val="24"/>
        </w:rPr>
        <w:t>највише примењивале ову врсту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поступка (Табела 5).</w:t>
      </w:r>
    </w:p>
    <w:p w14:paraId="7BAB8A70" w14:textId="32A39951" w:rsidR="0081466B" w:rsidRPr="00904468" w:rsidRDefault="004F0DED">
      <w:pPr>
        <w:jc w:val="both"/>
        <w:rPr>
          <w:color w:val="000000" w:themeColor="text1"/>
          <w:lang w:val="en-US"/>
        </w:rPr>
      </w:pPr>
      <w:r w:rsidRPr="00912E1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     </w:t>
      </w:r>
      <w:r w:rsidRPr="009044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Табела 5</w:t>
      </w:r>
      <w:r w:rsidR="0068734A" w:rsidRPr="009044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</w:p>
    <w:tbl>
      <w:tblPr>
        <w:tblStyle w:val="a3"/>
        <w:tblW w:w="96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94"/>
        <w:gridCol w:w="999"/>
        <w:gridCol w:w="836"/>
        <w:gridCol w:w="1328"/>
        <w:gridCol w:w="836"/>
        <w:gridCol w:w="999"/>
        <w:gridCol w:w="566"/>
        <w:gridCol w:w="1268"/>
        <w:gridCol w:w="670"/>
      </w:tblGrid>
      <w:tr w:rsidR="0081466B" w14:paraId="3589B3E6" w14:textId="77777777" w:rsidTr="00E04EA0">
        <w:trPr>
          <w:jc w:val="center"/>
        </w:trPr>
        <w:tc>
          <w:tcPr>
            <w:tcW w:w="9696" w:type="dxa"/>
            <w:gridSpan w:val="9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EEAD9E1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Упоредни преглед бројчане и вредносне структуре</w:t>
            </w:r>
          </w:p>
          <w:p w14:paraId="12B57BDC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преговарачког поступка без објављивања позива за подношење понуда</w:t>
            </w:r>
          </w:p>
          <w:p w14:paraId="575D68C8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категоријама наручилаца</w:t>
            </w:r>
          </w:p>
        </w:tc>
      </w:tr>
      <w:tr w:rsidR="0081466B" w14:paraId="7131BB78" w14:textId="77777777" w:rsidTr="00E04EA0">
        <w:trPr>
          <w:jc w:val="center"/>
        </w:trPr>
        <w:tc>
          <w:tcPr>
            <w:tcW w:w="21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EC73FF7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Период</w:t>
            </w:r>
          </w:p>
        </w:tc>
        <w:tc>
          <w:tcPr>
            <w:tcW w:w="3999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CEDD686" w14:textId="49628FBA" w:rsidR="0081466B" w:rsidRDefault="00F9297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2017</w:t>
            </w:r>
            <w:r w:rsidR="00912E11" w:rsidRPr="0070761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. година прво полугодиште</w:t>
            </w:r>
          </w:p>
        </w:tc>
        <w:tc>
          <w:tcPr>
            <w:tcW w:w="3503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B4BACD2" w14:textId="67D4FE85" w:rsidR="0081466B" w:rsidRPr="00904468" w:rsidRDefault="00912E11">
            <w:pPr>
              <w:jc w:val="center"/>
              <w:rPr>
                <w:color w:val="000000" w:themeColor="text1"/>
              </w:rPr>
            </w:pPr>
            <w:r w:rsidRPr="0090446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201</w:t>
            </w:r>
            <w:r w:rsidR="00F9297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8</w:t>
            </w:r>
            <w:r w:rsidR="004F0DED" w:rsidRPr="0090446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. година прво полугодиште</w:t>
            </w:r>
          </w:p>
        </w:tc>
      </w:tr>
      <w:tr w:rsidR="0081466B" w14:paraId="0C5F4EDA" w14:textId="77777777" w:rsidTr="00F92971">
        <w:trPr>
          <w:jc w:val="center"/>
        </w:trPr>
        <w:tc>
          <w:tcPr>
            <w:tcW w:w="2194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BF1D9DD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Категорија</w:t>
            </w:r>
          </w:p>
        </w:tc>
        <w:tc>
          <w:tcPr>
            <w:tcW w:w="999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FC316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Број</w:t>
            </w:r>
          </w:p>
          <w:p w14:paraId="312BE7A1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Уговора</w:t>
            </w:r>
          </w:p>
        </w:tc>
        <w:tc>
          <w:tcPr>
            <w:tcW w:w="83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1CDA6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132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B420E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Уговорена</w:t>
            </w:r>
          </w:p>
          <w:p w14:paraId="63C1EA87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вредност</w:t>
            </w:r>
          </w:p>
          <w:p w14:paraId="214F15E9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без ПДВ-а*</w:t>
            </w:r>
          </w:p>
        </w:tc>
        <w:tc>
          <w:tcPr>
            <w:tcW w:w="83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72084F74" w14:textId="77777777" w:rsidR="0081466B" w:rsidRDefault="004F0DE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</w:t>
            </w:r>
          </w:p>
        </w:tc>
        <w:tc>
          <w:tcPr>
            <w:tcW w:w="999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CFDBE" w14:textId="77777777" w:rsidR="0081466B" w:rsidRPr="00707612" w:rsidRDefault="004F0DED">
            <w:pPr>
              <w:jc w:val="center"/>
              <w:rPr>
                <w:color w:val="auto"/>
              </w:rPr>
            </w:pPr>
            <w:r w:rsidRPr="0070761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Број</w:t>
            </w:r>
          </w:p>
          <w:p w14:paraId="0FFF2B62" w14:textId="77777777" w:rsidR="0081466B" w:rsidRPr="00707612" w:rsidRDefault="004F0DED">
            <w:pPr>
              <w:jc w:val="center"/>
              <w:rPr>
                <w:color w:val="auto"/>
              </w:rPr>
            </w:pPr>
            <w:r w:rsidRPr="0070761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Уговора</w:t>
            </w:r>
          </w:p>
        </w:tc>
        <w:tc>
          <w:tcPr>
            <w:tcW w:w="56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FFB69" w14:textId="77777777" w:rsidR="0081466B" w:rsidRPr="00707612" w:rsidRDefault="004F0DED">
            <w:pPr>
              <w:jc w:val="center"/>
              <w:rPr>
                <w:color w:val="auto"/>
              </w:rPr>
            </w:pPr>
            <w:r w:rsidRPr="0070761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%</w:t>
            </w:r>
          </w:p>
        </w:tc>
        <w:tc>
          <w:tcPr>
            <w:tcW w:w="126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CB673" w14:textId="77777777" w:rsidR="0081466B" w:rsidRPr="00707612" w:rsidRDefault="004F0DED">
            <w:pPr>
              <w:jc w:val="center"/>
              <w:rPr>
                <w:color w:val="auto"/>
              </w:rPr>
            </w:pPr>
            <w:r w:rsidRPr="0070761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Уговорена</w:t>
            </w:r>
          </w:p>
          <w:p w14:paraId="6A80224E" w14:textId="77777777" w:rsidR="0081466B" w:rsidRPr="00707612" w:rsidRDefault="004F0DED">
            <w:pPr>
              <w:jc w:val="center"/>
              <w:rPr>
                <w:color w:val="auto"/>
              </w:rPr>
            </w:pPr>
            <w:r w:rsidRPr="0070761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вредност</w:t>
            </w:r>
          </w:p>
          <w:p w14:paraId="50B103F2" w14:textId="77777777" w:rsidR="0081466B" w:rsidRPr="00707612" w:rsidRDefault="004F0DED">
            <w:pPr>
              <w:jc w:val="center"/>
              <w:rPr>
                <w:color w:val="auto"/>
              </w:rPr>
            </w:pPr>
            <w:r w:rsidRPr="0070761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без ПДВ-а*</w:t>
            </w:r>
          </w:p>
        </w:tc>
        <w:tc>
          <w:tcPr>
            <w:tcW w:w="67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1F12D30" w14:textId="77777777" w:rsidR="0081466B" w:rsidRPr="00707612" w:rsidRDefault="004F0DED">
            <w:pPr>
              <w:jc w:val="center"/>
              <w:rPr>
                <w:color w:val="auto"/>
              </w:rPr>
            </w:pPr>
            <w:r w:rsidRPr="0070761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%</w:t>
            </w:r>
          </w:p>
        </w:tc>
      </w:tr>
      <w:tr w:rsidR="00F92971" w14:paraId="71E9C174" w14:textId="77777777" w:rsidTr="00F92971">
        <w:trPr>
          <w:jc w:val="center"/>
        </w:trPr>
        <w:tc>
          <w:tcPr>
            <w:tcW w:w="21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F60AE74" w14:textId="77777777" w:rsidR="00F92971" w:rsidRDefault="00F92971" w:rsidP="00F9297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Органи државне управе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166E3" w14:textId="5DAFB84D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101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50EFE" w14:textId="393E47CD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13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D2249" w14:textId="2555578B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430.569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C58EF3C" w14:textId="560C41B1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12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EAAC9" w14:textId="69AF5577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AC0A0" w14:textId="066EA354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1A2" w14:textId="5D7C92F9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729.636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0C78944" w14:textId="0F1F42E9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92971" w14:paraId="0781F957" w14:textId="77777777" w:rsidTr="00F92971">
        <w:trPr>
          <w:jc w:val="center"/>
        </w:trPr>
        <w:tc>
          <w:tcPr>
            <w:tcW w:w="21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FAF717C" w14:textId="77777777" w:rsidR="00F92971" w:rsidRDefault="00F92971" w:rsidP="00F9297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Правосуђе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15CB6" w14:textId="2F41071B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EBAEF" w14:textId="6CBA6E8C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656BC" w14:textId="472FE599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2.728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E3A6A6D" w14:textId="1387F86D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1A273" w14:textId="3D56A010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20139" w14:textId="3F47613A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5D3AE" w14:textId="3069B8A0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692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ED68A3B" w14:textId="62DCA1B2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92971" w14:paraId="04053A0A" w14:textId="77777777" w:rsidTr="00F92971">
        <w:trPr>
          <w:jc w:val="center"/>
        </w:trPr>
        <w:tc>
          <w:tcPr>
            <w:tcW w:w="21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047347B" w14:textId="77777777" w:rsidR="00F92971" w:rsidRDefault="00F92971" w:rsidP="00F9297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Здравство и социјална заштита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51D29" w14:textId="625218E8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235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C9CDD" w14:textId="029255AD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AA480" w14:textId="42ED75B6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710.043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8D590A7" w14:textId="2AC992E0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19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B1B73" w14:textId="4534261F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9013D" w14:textId="7CA741C8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161BE" w14:textId="3793A3A5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902.892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CFF9508" w14:textId="35F9D2E0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F92971" w14:paraId="3C7C6056" w14:textId="77777777" w:rsidTr="00F92971">
        <w:trPr>
          <w:jc w:val="center"/>
        </w:trPr>
        <w:tc>
          <w:tcPr>
            <w:tcW w:w="21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79034D9" w14:textId="77777777" w:rsidR="00F92971" w:rsidRDefault="00F92971" w:rsidP="00F9297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Култура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850E8" w14:textId="121457FF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93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4B996" w14:textId="31808317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12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07926" w14:textId="2A31DEB3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264.478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C146F7C" w14:textId="56394E98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5C93B" w14:textId="4C1B9E5C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5A676" w14:textId="5A971818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FE863" w14:textId="71844767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391.870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E1310E7" w14:textId="7AB42FD4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92971" w14:paraId="05A70125" w14:textId="77777777" w:rsidTr="00F92971">
        <w:trPr>
          <w:jc w:val="center"/>
        </w:trPr>
        <w:tc>
          <w:tcPr>
            <w:tcW w:w="21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A8884CF" w14:textId="77777777" w:rsidR="00F92971" w:rsidRDefault="00F92971" w:rsidP="00F9297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Просвета и наука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BAA34" w14:textId="6F8907B0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D5ECB" w14:textId="76F8EF68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6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A3351" w14:textId="47056E61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45.542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729F6C49" w14:textId="366853FC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A2B42" w14:textId="6D9BCA21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A7970" w14:textId="0CA64668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19E31" w14:textId="61E7C557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25.952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59EBC35" w14:textId="138A9857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92971" w14:paraId="4992ACE1" w14:textId="77777777" w:rsidTr="00F92971">
        <w:trPr>
          <w:jc w:val="center"/>
        </w:trPr>
        <w:tc>
          <w:tcPr>
            <w:tcW w:w="21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72E38B48" w14:textId="77777777" w:rsidR="00F92971" w:rsidRDefault="00F92971" w:rsidP="00F9297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Државна јавна предузећа/привредна друштва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334C1" w14:textId="5B6AAEBB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125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BA3A8" w14:textId="26BE2104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16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2522E" w14:textId="67054B33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1.981.977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B4762A3" w14:textId="5122DEEF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53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FDC55" w14:textId="4702ED24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8FE7" w14:textId="56504602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187C2" w14:textId="609AA2F3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3.391.158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3E1D419" w14:textId="276A3785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F92971" w14:paraId="2771C43D" w14:textId="77777777" w:rsidTr="00F92971">
        <w:trPr>
          <w:jc w:val="center"/>
        </w:trPr>
        <w:tc>
          <w:tcPr>
            <w:tcW w:w="21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AFF1FDD" w14:textId="77777777" w:rsidR="00F92971" w:rsidRDefault="00F92971" w:rsidP="00F9297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Јавна предузећа-локална самоуправа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618E2" w14:textId="41CF56E2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61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56765" w14:textId="4A44F0B2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C90F7" w14:textId="51D2B946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129.970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76D2368F" w14:textId="1C1A9FC1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3FC30" w14:textId="30E0AABB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EC189" w14:textId="3602915D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38799" w14:textId="1B8F76ED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140.118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575E8D3" w14:textId="69D22947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92971" w14:paraId="7D5E6912" w14:textId="77777777" w:rsidTr="00F92971">
        <w:trPr>
          <w:jc w:val="center"/>
        </w:trPr>
        <w:tc>
          <w:tcPr>
            <w:tcW w:w="21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2822CFA" w14:textId="77777777" w:rsidR="00F92971" w:rsidRDefault="00F92971" w:rsidP="00F9297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Градска и општинска управа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46456" w14:textId="446F631D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120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A1833" w14:textId="003A2BA0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F3805" w14:textId="52A855AB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165.629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2A4C2F9" w14:textId="1EEB51F9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8BC46" w14:textId="3E867810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143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BB6E6" w14:textId="47B8CD89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47DDB" w14:textId="17B1E4CD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222.998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C3D0E67" w14:textId="1EA352C2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92971" w14:paraId="094F0D77" w14:textId="77777777" w:rsidTr="00F92971">
        <w:trPr>
          <w:jc w:val="center"/>
        </w:trPr>
        <w:tc>
          <w:tcPr>
            <w:tcW w:w="219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29F1C7DC" w14:textId="77777777" w:rsidR="00F92971" w:rsidRDefault="00F92971" w:rsidP="00F9297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Удружења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D0130" w14:textId="44B47EF2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3661B" w14:textId="5B76DA50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0E138" w14:textId="79A20514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96CD8CA" w14:textId="57A9BE2F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5A71B" w14:textId="7AAA9E7C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89BF7" w14:textId="7E8EFC38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40E74" w14:textId="4E6EF63D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E5B22B2" w14:textId="11E972C8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92971" w14:paraId="1ED1627B" w14:textId="77777777" w:rsidTr="00F92971">
        <w:trPr>
          <w:jc w:val="center"/>
        </w:trPr>
        <w:tc>
          <w:tcPr>
            <w:tcW w:w="2194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8C43904" w14:textId="77777777" w:rsidR="00F92971" w:rsidRDefault="00F92971" w:rsidP="00F9297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Фондације и задужбине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5ACC1D6D" w14:textId="25F1FCE6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391C9AB" w14:textId="4F7FC5A4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AF2949D" w14:textId="73CE065B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73C2FA9" w14:textId="41D6D2D6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12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D647F" w14:textId="43E5165B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550F3" w14:textId="469787A3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F5AEF" w14:textId="3E3B453E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0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35068CD" w14:textId="02DC2AE0" w:rsidR="00F92971" w:rsidRPr="00F92971" w:rsidRDefault="00F92971" w:rsidP="00F9297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929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92971" w14:paraId="34AFCB6B" w14:textId="77777777" w:rsidTr="005F361E">
        <w:trPr>
          <w:jc w:val="center"/>
        </w:trPr>
        <w:tc>
          <w:tcPr>
            <w:tcW w:w="21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1BBD2A3" w14:textId="77777777" w:rsidR="00F92971" w:rsidRDefault="00F92971" w:rsidP="00F9297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Укупно</w:t>
            </w:r>
          </w:p>
        </w:tc>
        <w:tc>
          <w:tcPr>
            <w:tcW w:w="99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D8C9BC4" w14:textId="6963264B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787</w:t>
            </w:r>
          </w:p>
        </w:tc>
        <w:tc>
          <w:tcPr>
            <w:tcW w:w="83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640A544" w14:textId="1BC10130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2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910ED4E" w14:textId="56573E2A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3.730.936</w:t>
            </w:r>
          </w:p>
        </w:tc>
        <w:tc>
          <w:tcPr>
            <w:tcW w:w="83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96CADBE" w14:textId="6BF8C625" w:rsidR="00F92971" w:rsidRDefault="00F92971" w:rsidP="00F92971">
            <w:pPr>
              <w:jc w:val="center"/>
            </w:pPr>
            <w:r w:rsidRPr="009A22C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9" w:type="dxa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95214C9" w14:textId="53659490" w:rsidR="00F92971" w:rsidRPr="005F361E" w:rsidRDefault="00F92971" w:rsidP="00F929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5F361E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1.020</w:t>
            </w:r>
          </w:p>
        </w:tc>
        <w:tc>
          <w:tcPr>
            <w:tcW w:w="566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CF436C9" w14:textId="7B013333" w:rsidR="00F92971" w:rsidRPr="005F361E" w:rsidRDefault="00F92971" w:rsidP="00F929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5F361E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100</w:t>
            </w:r>
          </w:p>
        </w:tc>
        <w:tc>
          <w:tcPr>
            <w:tcW w:w="1268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FE6C011" w14:textId="78162907" w:rsidR="00F92971" w:rsidRPr="005F361E" w:rsidRDefault="00F92971" w:rsidP="00F929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5F361E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5.805.316</w:t>
            </w:r>
          </w:p>
        </w:tc>
        <w:tc>
          <w:tcPr>
            <w:tcW w:w="67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263408B" w14:textId="0530FB57" w:rsidR="00F92971" w:rsidRPr="005F361E" w:rsidRDefault="00F92971" w:rsidP="00F9297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</w:pPr>
            <w:r w:rsidRPr="005F361E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100</w:t>
            </w:r>
          </w:p>
        </w:tc>
      </w:tr>
    </w:tbl>
    <w:p w14:paraId="571BA72E" w14:textId="77777777" w:rsidR="0081466B" w:rsidRDefault="004F0DED">
      <w:pPr>
        <w:jc w:val="both"/>
      </w:pPr>
      <w:r>
        <w:rPr>
          <w:rFonts w:ascii="Times New Roman" w:eastAsia="Times New Roman" w:hAnsi="Times New Roman" w:cs="Times New Roman"/>
        </w:rPr>
        <w:t xml:space="preserve">           *Вредности су изражене у хиљадама динара</w:t>
      </w:r>
    </w:p>
    <w:p w14:paraId="67E7E3BD" w14:textId="40B05B0A" w:rsidR="00F92971" w:rsidRPr="00F92971" w:rsidRDefault="00F92971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Учешће преговарачког поступка без објављивања је код државних јавних предузећа, чије учешће у укупној вредности преговарачког поступка без објављивања износи 58%.</w:t>
      </w:r>
    </w:p>
    <w:p w14:paraId="36F2F443" w14:textId="0BE4F7D8" w:rsidR="00F92971" w:rsidRPr="00506D37" w:rsidRDefault="00506D37" w:rsidP="00F9297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Доминантни основ за спровођење преговарачко</w:t>
      </w:r>
      <w:r w:rsidR="00F92971">
        <w:rPr>
          <w:rFonts w:ascii="Times New Roman" w:eastAsia="Times New Roman" w:hAnsi="Times New Roman" w:cs="Times New Roman"/>
          <w:sz w:val="24"/>
          <w:szCs w:val="24"/>
        </w:rPr>
        <w:t>г поступка у првој половини 2018</w:t>
      </w:r>
      <w:r>
        <w:rPr>
          <w:rFonts w:ascii="Times New Roman" w:eastAsia="Times New Roman" w:hAnsi="Times New Roman" w:cs="Times New Roman"/>
          <w:sz w:val="24"/>
          <w:szCs w:val="24"/>
        </w:rPr>
        <w:t>. години било је ”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>преговарање са тачно одређеним понуђачем</w:t>
      </w:r>
      <w:r w:rsidR="009F0DEC">
        <w:rPr>
          <w:rFonts w:ascii="Times New Roman" w:eastAsia="Times New Roman" w:hAnsi="Times New Roman" w:cs="Times New Roman"/>
          <w:sz w:val="24"/>
          <w:szCs w:val="24"/>
        </w:rPr>
        <w:t>”.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2971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Овај  основ чинио је 65% вредности уговора ск</w:t>
      </w:r>
      <w:r w:rsidR="00FE66F7">
        <w:rPr>
          <w:rFonts w:ascii="Times New Roman" w:eastAsia="Times New Roman" w:hAnsi="Times New Roman" w:cs="Times New Roman"/>
          <w:sz w:val="24"/>
          <w:szCs w:val="24"/>
          <w:lang w:val="sr-Cyrl-CS"/>
        </w:rPr>
        <w:t>лопљених у преговарачком поступ</w:t>
      </w:r>
      <w:r w:rsidR="00FE66F7">
        <w:rPr>
          <w:rFonts w:ascii="Times New Roman" w:eastAsia="Times New Roman" w:hAnsi="Times New Roman" w:cs="Times New Roman"/>
          <w:sz w:val="24"/>
          <w:szCs w:val="24"/>
          <w:lang w:val="sr-Cyrl-RS"/>
        </w:rPr>
        <w:t>к</w:t>
      </w:r>
      <w:r w:rsidR="00F92971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без објављивања позива за подношење понуда.</w:t>
      </w:r>
      <w:r w:rsidR="00F92971">
        <w:rPr>
          <w:rFonts w:ascii="Times New Roman" w:eastAsia="Times New Roman" w:hAnsi="Times New Roman" w:cs="Times New Roman"/>
          <w:sz w:val="24"/>
          <w:szCs w:val="24"/>
        </w:rPr>
        <w:t>(Слика 5</w:t>
      </w:r>
      <w:r w:rsidR="00F92971">
        <w:rPr>
          <w:rFonts w:ascii="Times New Roman" w:eastAsia="Times New Roman" w:hAnsi="Times New Roman" w:cs="Times New Roman"/>
          <w:sz w:val="24"/>
          <w:szCs w:val="24"/>
          <w:lang w:val="sr-Cyrl-CS"/>
        </w:rPr>
        <w:t>, Слика 6</w:t>
      </w:r>
      <w:r w:rsidR="00F92971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14:paraId="44FF8810" w14:textId="1986A4D4" w:rsidR="00974289" w:rsidRDefault="00974289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6E0765" w14:textId="3F3CC684" w:rsidR="00974289" w:rsidRDefault="00974289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988C46" w14:textId="7CDB6493" w:rsidR="00974289" w:rsidRDefault="00974289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AE443B" w14:textId="3EBB53AE" w:rsidR="00974289" w:rsidRDefault="00974289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85FF12" w14:textId="54244BF0" w:rsidR="00974289" w:rsidRPr="00974289" w:rsidRDefault="0097428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lastRenderedPageBreak/>
        <w:t>Слика 5</w:t>
      </w:r>
    </w:p>
    <w:p w14:paraId="3A111384" w14:textId="77777777" w:rsidR="00974289" w:rsidRDefault="00974289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  <w:lang w:val="sr-Latn-RS" w:eastAsia="sr-Latn-RS"/>
        </w:rPr>
        <w:drawing>
          <wp:inline distT="0" distB="0" distL="0" distR="0" wp14:anchorId="42C6B6B6" wp14:editId="5C5C2CCC">
            <wp:extent cx="5520000" cy="3312000"/>
            <wp:effectExtent l="0" t="0" r="5080" b="3175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5A3E3320" w14:textId="5A05E07F" w:rsidR="0089370C" w:rsidRDefault="004F0DED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0E57AE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14:paraId="7466FD5B" w14:textId="067266D8" w:rsidR="0089370C" w:rsidRPr="00E0385C" w:rsidRDefault="00457420" w:rsidP="0089370C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В</w:t>
      </w:r>
      <w:r w:rsidR="00462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редност уговора закључених у преговарачком поступку без објављивања у првом полугодишту 2018. године порасла је у односу на исти период 2017. године (табела 5). Истовремено, дошло је до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раста укупне вредности свих закључених уговора, тако да је вредност уговора закључених у преговарачком поступку без објављивања, посматрана у односу на укупну вредност, остала непромењена у односу на исти период претходне године (3%). </w:t>
      </w:r>
      <w:r w:rsidR="00C864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До пораста </w:t>
      </w:r>
      <w:r w:rsidR="008937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вредности преговарачког поступка без објављивања дошло је по свим основам</w:t>
      </w:r>
      <w:r w:rsidR="00E038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а, а највише по основу хитности</w:t>
      </w:r>
      <w:r w:rsidR="008937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(Слика 6)</w:t>
      </w:r>
      <w:r w:rsidR="00E0385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  <w:t>.</w:t>
      </w:r>
    </w:p>
    <w:p w14:paraId="4DFF90AE" w14:textId="77777777" w:rsidR="0089370C" w:rsidRDefault="0089370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88D63A" w14:textId="77777777" w:rsidR="0089370C" w:rsidRDefault="0089370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D75F05" w14:textId="77777777" w:rsidR="0089370C" w:rsidRDefault="0089370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213571" w14:textId="77777777" w:rsidR="0089370C" w:rsidRDefault="0089370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4E3F97" w14:textId="77777777" w:rsidR="0089370C" w:rsidRDefault="0089370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512A13" w14:textId="77777777" w:rsidR="0089370C" w:rsidRDefault="0089370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A2E5B8" w14:textId="2614AEB6" w:rsidR="00974289" w:rsidRDefault="000E57A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</w:t>
      </w:r>
    </w:p>
    <w:p w14:paraId="7415358E" w14:textId="06F5210D" w:rsidR="0081466B" w:rsidRDefault="004F0DED" w:rsidP="00974289">
      <w:pPr>
        <w:rPr>
          <w:noProof/>
          <w:lang w:val="en-GB"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</w:t>
      </w:r>
      <w:r w:rsidRPr="00E644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Сли</w:t>
      </w:r>
      <w:bookmarkStart w:id="5" w:name="_tyjcwt" w:colFirst="0" w:colLast="0"/>
      <w:bookmarkEnd w:id="5"/>
      <w:r w:rsidR="0097428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ка </w:t>
      </w:r>
      <w:r w:rsidR="0097428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sr-Cyrl-RS"/>
        </w:rPr>
        <w:t>6</w:t>
      </w:r>
    </w:p>
    <w:p w14:paraId="3104A11A" w14:textId="6FE56FD8" w:rsidR="00E644CE" w:rsidRPr="0089370C" w:rsidRDefault="005F361E" w:rsidP="0089370C">
      <w:pPr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noProof/>
          <w:lang w:val="sr-Latn-RS" w:eastAsia="sr-Latn-RS"/>
        </w:rPr>
        <w:drawing>
          <wp:inline distT="0" distB="0" distL="0" distR="0" wp14:anchorId="7D11E259" wp14:editId="621584E7">
            <wp:extent cx="5520000" cy="3312000"/>
            <wp:effectExtent l="0" t="0" r="5080" b="3175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0085E723" w14:textId="712F08D4" w:rsidR="00974289" w:rsidRPr="00C364E7" w:rsidRDefault="00974289" w:rsidP="00974289">
      <w:pPr>
        <w:jc w:val="both"/>
        <w:rPr>
          <w:color w:val="auto"/>
        </w:rPr>
      </w:pPr>
      <w:r w:rsidRPr="00E644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Предмети набавке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  <w:t xml:space="preserve"> (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према доминантној шифри из општег речника набавки)</w:t>
      </w:r>
      <w:r w:rsidRPr="00E644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који су, у првом по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лугодишту 2018</w:t>
      </w:r>
      <w:r w:rsidRPr="00E644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године, били најзаступљенији у примени преговарачког поступка са 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ачно одређеним понуђачем су</w:t>
      </w:r>
      <w:r w:rsidRPr="00F37A4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: </w:t>
      </w:r>
      <w:r w:rsidRPr="00C364E7">
        <w:rPr>
          <w:rFonts w:ascii="Times New Roman" w:eastAsia="Times New Roman" w:hAnsi="Times New Roman" w:cs="Times New Roman"/>
          <w:color w:val="auto"/>
          <w:sz w:val="24"/>
          <w:szCs w:val="24"/>
        </w:rPr>
        <w:t>а)</w:t>
      </w:r>
      <w:r w:rsidRPr="00C364E7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sr-Latn-RS"/>
        </w:rPr>
        <w:t xml:space="preserve">грађевински радови; </w:t>
      </w:r>
      <w:r w:rsidRPr="00C364E7">
        <w:rPr>
          <w:rFonts w:ascii="Times New Roman" w:eastAsia="Times New Roman" w:hAnsi="Times New Roman" w:cs="Times New Roman"/>
          <w:color w:val="auto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sr-Latn-RS"/>
        </w:rPr>
        <w:t xml:space="preserve"> медицинска опрема и фармацеутски производи</w:t>
      </w:r>
      <w:r w:rsidRPr="00C364E7">
        <w:rPr>
          <w:rFonts w:ascii="Times New Roman" w:eastAsia="Times New Roman" w:hAnsi="Times New Roman" w:cs="Times New Roman"/>
          <w:color w:val="auto"/>
          <w:sz w:val="24"/>
          <w:szCs w:val="24"/>
          <w:lang w:val="en-GB"/>
        </w:rPr>
        <w:t>;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C364E7">
        <w:rPr>
          <w:rFonts w:ascii="Times New Roman" w:eastAsia="Times New Roman" w:hAnsi="Times New Roman" w:cs="Times New Roman"/>
          <w:color w:val="auto"/>
          <w:sz w:val="24"/>
          <w:szCs w:val="24"/>
        </w:rPr>
        <w:t>в) услуге одржавања</w:t>
      </w:r>
      <w:r w:rsidRPr="00C364E7">
        <w:rPr>
          <w:rFonts w:ascii="Times New Roman" w:eastAsia="Times New Roman" w:hAnsi="Times New Roman" w:cs="Times New Roman"/>
          <w:color w:val="auto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 xml:space="preserve">и поправки; г) услуге информационе технологије; д) поштанске и телекомуникационе услуге </w:t>
      </w:r>
      <w:r w:rsidRPr="00C364E7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 xml:space="preserve">. </w:t>
      </w:r>
    </w:p>
    <w:p w14:paraId="5CB0C61E" w14:textId="24490FC4" w:rsidR="00563A7A" w:rsidRDefault="00563A7A">
      <w:pPr>
        <w:jc w:val="both"/>
        <w:rPr>
          <w:lang w:val="sr-Cyrl-CS"/>
        </w:rPr>
      </w:pPr>
    </w:p>
    <w:p w14:paraId="04AD63BD" w14:textId="77777777" w:rsidR="0081466B" w:rsidRPr="00C166E0" w:rsidRDefault="004F0DED">
      <w:pPr>
        <w:numPr>
          <w:ilvl w:val="0"/>
          <w:numId w:val="15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КОНКУРЕНЦИЈА</w:t>
      </w:r>
    </w:p>
    <w:p w14:paraId="0AD80049" w14:textId="77777777" w:rsidR="00C166E0" w:rsidRDefault="00C166E0" w:rsidP="00C166E0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8FB3F5" w14:textId="0CC3A31E" w:rsidR="0081466B" w:rsidRDefault="004F0DED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Слободно деловање конкуренције је једно од најважнијих обележја развијеног и ефикасног система јавних набавки. Разлог је тај што слободна конкуренција међу понуђачима омогућава купцу, у овом случају држави, најповољније услове набавке. Кључна начела јавних набавки, попут транспарентности и недискриминације, односно обезбеђивања једнаких услова за све учеснике у поступку практично с</w:t>
      </w:r>
      <w:r w:rsidR="00E644CE">
        <w:rPr>
          <w:rFonts w:ascii="Times New Roman" w:eastAsia="Times New Roman" w:hAnsi="Times New Roman" w:cs="Times New Roman"/>
          <w:sz w:val="24"/>
          <w:szCs w:val="24"/>
        </w:rPr>
        <w:t xml:space="preserve">у у функцији остваривања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ширег циља, а то је обезбеђивање пуне конкуренције у поступцима јавних набавки. </w:t>
      </w:r>
    </w:p>
    <w:p w14:paraId="3FE68248" w14:textId="4E73516D" w:rsidR="00636984" w:rsidRPr="00195014" w:rsidRDefault="004F0DED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Просечан број понуда по </w:t>
      </w:r>
      <w:r w:rsidR="008616D8">
        <w:rPr>
          <w:rFonts w:ascii="Times New Roman" w:eastAsia="Times New Roman" w:hAnsi="Times New Roman" w:cs="Times New Roman"/>
          <w:sz w:val="24"/>
          <w:szCs w:val="24"/>
          <w:lang w:val="sr"/>
        </w:rPr>
        <w:t>поступку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као стандардан показатељ интензитета конкуренције у јавним набавкама, приказан је у Табели 6. </w:t>
      </w:r>
    </w:p>
    <w:p w14:paraId="5CCB5121" w14:textId="77777777" w:rsidR="00662B5F" w:rsidRDefault="00662B5F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1C86ADCD" w14:textId="48B181BF" w:rsidR="0081466B" w:rsidRPr="00E644CE" w:rsidRDefault="004F0DED">
      <w:pPr>
        <w:jc w:val="both"/>
        <w:rPr>
          <w:color w:val="auto"/>
        </w:rPr>
      </w:pPr>
      <w:r w:rsidRPr="00E644C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lastRenderedPageBreak/>
        <w:t>Табела 6</w:t>
      </w:r>
    </w:p>
    <w:tbl>
      <w:tblPr>
        <w:tblStyle w:val="a4"/>
        <w:tblW w:w="90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22"/>
        <w:gridCol w:w="1100"/>
        <w:gridCol w:w="1217"/>
        <w:gridCol w:w="1276"/>
        <w:gridCol w:w="1134"/>
        <w:gridCol w:w="1134"/>
        <w:gridCol w:w="1134"/>
        <w:gridCol w:w="850"/>
      </w:tblGrid>
      <w:tr w:rsidR="00FA614A" w14:paraId="2DBA8B15" w14:textId="3B896E2A" w:rsidTr="00DC0841">
        <w:trPr>
          <w:trHeight w:val="700"/>
          <w:jc w:val="center"/>
        </w:trPr>
        <w:tc>
          <w:tcPr>
            <w:tcW w:w="9067" w:type="dxa"/>
            <w:gridSpan w:val="8"/>
            <w:vAlign w:val="center"/>
          </w:tcPr>
          <w:p w14:paraId="22540A51" w14:textId="06BC6DCB" w:rsidR="00FA614A" w:rsidRDefault="00FA614A" w:rsidP="009767E8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Просечан број понуда по поступку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јавне набавке</w:t>
            </w:r>
          </w:p>
        </w:tc>
      </w:tr>
      <w:tr w:rsidR="00DC0841" w14:paraId="4E1E1F6A" w14:textId="0D1C7CBA" w:rsidTr="00DC0841">
        <w:trPr>
          <w:trHeight w:val="420"/>
          <w:jc w:val="center"/>
        </w:trPr>
        <w:tc>
          <w:tcPr>
            <w:tcW w:w="1222" w:type="dxa"/>
            <w:vAlign w:val="center"/>
          </w:tcPr>
          <w:p w14:paraId="1086CFAA" w14:textId="304E395F" w:rsidR="00FA614A" w:rsidRDefault="00FA614A" w:rsidP="00B7015D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2011.</w:t>
            </w:r>
          </w:p>
          <w:p w14:paraId="68767D31" w14:textId="390A7D0B" w:rsidR="00FA614A" w:rsidRPr="00AA3048" w:rsidRDefault="00FA614A" w:rsidP="00B7015D">
            <w:pPr>
              <w:tabs>
                <w:tab w:val="left" w:pos="1885"/>
              </w:tabs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година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*</w:t>
            </w:r>
          </w:p>
        </w:tc>
        <w:tc>
          <w:tcPr>
            <w:tcW w:w="1100" w:type="dxa"/>
            <w:vAlign w:val="center"/>
          </w:tcPr>
          <w:p w14:paraId="466367E6" w14:textId="43FBD025" w:rsidR="00FA614A" w:rsidRDefault="00FA614A" w:rsidP="00B7015D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2012.</w:t>
            </w:r>
          </w:p>
          <w:p w14:paraId="24ADB577" w14:textId="71430195" w:rsidR="00FA614A" w:rsidRPr="00AA3048" w:rsidRDefault="00FA614A" w:rsidP="00B7015D">
            <w:pPr>
              <w:tabs>
                <w:tab w:val="left" w:pos="1885"/>
              </w:tabs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година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*</w:t>
            </w:r>
          </w:p>
        </w:tc>
        <w:tc>
          <w:tcPr>
            <w:tcW w:w="1217" w:type="dxa"/>
            <w:vAlign w:val="center"/>
          </w:tcPr>
          <w:p w14:paraId="0D529891" w14:textId="2E6D0517" w:rsidR="00FA614A" w:rsidRDefault="00FA614A" w:rsidP="00B7015D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2013.</w:t>
            </w:r>
          </w:p>
          <w:p w14:paraId="371768F4" w14:textId="07BA5603" w:rsidR="00FA614A" w:rsidRPr="00AA3048" w:rsidRDefault="00FA614A" w:rsidP="00B7015D">
            <w:pPr>
              <w:tabs>
                <w:tab w:val="left" w:pos="1885"/>
              </w:tabs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година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*</w:t>
            </w:r>
          </w:p>
        </w:tc>
        <w:tc>
          <w:tcPr>
            <w:tcW w:w="1276" w:type="dxa"/>
            <w:vAlign w:val="center"/>
          </w:tcPr>
          <w:p w14:paraId="18222080" w14:textId="5DD61955" w:rsidR="00FA614A" w:rsidRPr="00AA3048" w:rsidRDefault="00FA614A" w:rsidP="00B7015D">
            <w:pPr>
              <w:tabs>
                <w:tab w:val="left" w:pos="1885"/>
              </w:tabs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2014. година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*</w:t>
            </w:r>
          </w:p>
        </w:tc>
        <w:tc>
          <w:tcPr>
            <w:tcW w:w="1134" w:type="dxa"/>
            <w:vAlign w:val="center"/>
          </w:tcPr>
          <w:p w14:paraId="70458964" w14:textId="114784CC" w:rsidR="00FA614A" w:rsidRPr="00AA3048" w:rsidRDefault="00FA614A" w:rsidP="00B7015D">
            <w:pPr>
              <w:tabs>
                <w:tab w:val="left" w:pos="1885"/>
              </w:tabs>
              <w:spacing w:after="0" w:line="240" w:lineRule="auto"/>
              <w:jc w:val="center"/>
              <w:rPr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2015. година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*</w:t>
            </w:r>
          </w:p>
        </w:tc>
        <w:tc>
          <w:tcPr>
            <w:tcW w:w="1134" w:type="dxa"/>
            <w:vAlign w:val="center"/>
          </w:tcPr>
          <w:p w14:paraId="36B4B8B1" w14:textId="113BE6BF" w:rsidR="00FA614A" w:rsidRPr="00B11F50" w:rsidRDefault="00FA614A" w:rsidP="00B7015D">
            <w:pPr>
              <w:tabs>
                <w:tab w:val="left" w:pos="1885"/>
              </w:tabs>
              <w:spacing w:after="0" w:line="240" w:lineRule="auto"/>
              <w:jc w:val="center"/>
              <w:rPr>
                <w:color w:val="auto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2016. година</w:t>
            </w:r>
          </w:p>
        </w:tc>
        <w:tc>
          <w:tcPr>
            <w:tcW w:w="1134" w:type="dxa"/>
          </w:tcPr>
          <w:p w14:paraId="4C41D4A1" w14:textId="07389157" w:rsidR="00FA614A" w:rsidRPr="00E644CE" w:rsidRDefault="00FA614A" w:rsidP="00B7015D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644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2017.</w:t>
            </w:r>
          </w:p>
          <w:p w14:paraId="44023BFD" w14:textId="5EFCB421" w:rsidR="00FA614A" w:rsidRPr="00B11F50" w:rsidRDefault="00FA614A" w:rsidP="00B7015D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година</w:t>
            </w:r>
          </w:p>
        </w:tc>
        <w:tc>
          <w:tcPr>
            <w:tcW w:w="850" w:type="dxa"/>
          </w:tcPr>
          <w:p w14:paraId="18E9A0FF" w14:textId="1000A071" w:rsidR="00FA614A" w:rsidRPr="00FA614A" w:rsidRDefault="00FA614A" w:rsidP="00B7015D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2018. 1П</w:t>
            </w:r>
          </w:p>
        </w:tc>
      </w:tr>
      <w:tr w:rsidR="00FA614A" w14:paraId="337BE30D" w14:textId="55D21DAB" w:rsidTr="00DC0841">
        <w:trPr>
          <w:jc w:val="center"/>
        </w:trPr>
        <w:tc>
          <w:tcPr>
            <w:tcW w:w="1222" w:type="dxa"/>
            <w:vAlign w:val="center"/>
          </w:tcPr>
          <w:p w14:paraId="74A7F96D" w14:textId="14870FB7" w:rsidR="00FA614A" w:rsidRDefault="00FA614A">
            <w:pPr>
              <w:tabs>
                <w:tab w:val="left" w:pos="188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00" w:type="dxa"/>
            <w:vAlign w:val="center"/>
          </w:tcPr>
          <w:p w14:paraId="6B18B538" w14:textId="77777777" w:rsidR="00FA614A" w:rsidRDefault="00FA614A">
            <w:pPr>
              <w:tabs>
                <w:tab w:val="left" w:pos="188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217" w:type="dxa"/>
            <w:vAlign w:val="center"/>
          </w:tcPr>
          <w:p w14:paraId="2DED1177" w14:textId="77777777" w:rsidR="00FA614A" w:rsidRDefault="00FA614A">
            <w:pPr>
              <w:tabs>
                <w:tab w:val="left" w:pos="188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276" w:type="dxa"/>
            <w:vAlign w:val="center"/>
          </w:tcPr>
          <w:p w14:paraId="7AC3E043" w14:textId="77777777" w:rsidR="00FA614A" w:rsidRDefault="00FA614A">
            <w:pPr>
              <w:tabs>
                <w:tab w:val="left" w:pos="188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134" w:type="dxa"/>
            <w:vAlign w:val="center"/>
          </w:tcPr>
          <w:p w14:paraId="477F68F8" w14:textId="77777777" w:rsidR="00FA614A" w:rsidRDefault="00FA614A">
            <w:pPr>
              <w:tabs>
                <w:tab w:val="left" w:pos="188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</w:tcPr>
          <w:p w14:paraId="7DEACB08" w14:textId="6B3AE19B" w:rsidR="00FA614A" w:rsidRPr="00636984" w:rsidRDefault="00FA614A">
            <w:pPr>
              <w:tabs>
                <w:tab w:val="left" w:pos="1885"/>
              </w:tabs>
              <w:spacing w:after="0" w:line="240" w:lineRule="auto"/>
              <w:jc w:val="center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2,9</w:t>
            </w:r>
          </w:p>
        </w:tc>
        <w:tc>
          <w:tcPr>
            <w:tcW w:w="1134" w:type="dxa"/>
          </w:tcPr>
          <w:p w14:paraId="132140DA" w14:textId="4FED7685" w:rsidR="00FA614A" w:rsidRPr="00E644CE" w:rsidRDefault="00FA614A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78C90A73" w14:textId="030034F1" w:rsidR="00FA614A" w:rsidRPr="00FA614A" w:rsidRDefault="00FA614A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2,5</w:t>
            </w:r>
          </w:p>
        </w:tc>
      </w:tr>
    </w:tbl>
    <w:p w14:paraId="50897F63" w14:textId="78472566" w:rsidR="00B11F50" w:rsidRPr="00B11F50" w:rsidRDefault="00101D74" w:rsidP="00D537EC">
      <w:pPr>
        <w:jc w:val="both"/>
        <w:rPr>
          <w:rFonts w:ascii="Times New Roman" w:hAnsi="Times New Roman" w:cs="Times New Roman"/>
          <w:color w:val="FF0000"/>
          <w:lang w:val="sr-Cyrl-RS"/>
        </w:rPr>
      </w:pPr>
      <w:r w:rsidRPr="00FB3930">
        <w:rPr>
          <w:color w:val="auto"/>
          <w:lang w:val="sr-Cyrl-RS"/>
        </w:rPr>
        <w:t>*</w:t>
      </w:r>
      <w:r w:rsidRPr="00FB3930">
        <w:rPr>
          <w:rFonts w:ascii="Times New Roman" w:hAnsi="Times New Roman" w:cs="Times New Roman"/>
          <w:color w:val="auto"/>
          <w:lang w:val="sr-Cyrl-RS"/>
        </w:rPr>
        <w:t>до 2015. године просечан број понуда рачунат је по закљученом уговору</w:t>
      </w:r>
      <w:r w:rsidR="00B11F50">
        <w:rPr>
          <w:rFonts w:ascii="Times New Roman" w:hAnsi="Times New Roman" w:cs="Times New Roman"/>
          <w:color w:val="FF0000"/>
          <w:lang w:val="sr-Cyrl-RS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639C504E" w14:textId="2F9B0D78" w:rsidR="00195014" w:rsidRPr="00662B5F" w:rsidRDefault="004F0DE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Табели 7, приказан је просечан број понуда по врстама поступака</w:t>
      </w:r>
      <w:r w:rsidR="00C1151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 отвореном поступку, који је учествовао са 93% у укупној вредности јавних</w:t>
      </w:r>
      <w:r w:rsidR="006B5953">
        <w:rPr>
          <w:rFonts w:ascii="Times New Roman" w:eastAsia="Times New Roman" w:hAnsi="Times New Roman" w:cs="Times New Roman"/>
          <w:sz w:val="24"/>
          <w:szCs w:val="24"/>
        </w:rPr>
        <w:t xml:space="preserve"> набавки, било је, у просеку,</w:t>
      </w:r>
      <w:r w:rsidR="00474742">
        <w:rPr>
          <w:rFonts w:ascii="Times New Roman" w:eastAsia="Times New Roman" w:hAnsi="Times New Roman" w:cs="Times New Roman"/>
          <w:sz w:val="24"/>
          <w:szCs w:val="24"/>
        </w:rPr>
        <w:t xml:space="preserve"> 2,6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понуд</w:t>
      </w:r>
      <w:r w:rsidR="008616D8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, док је интензитет конкуренције код преговарачког поступка без објављивања позива био значај</w:t>
      </w:r>
      <w:r w:rsidR="00474742">
        <w:rPr>
          <w:rFonts w:ascii="Times New Roman" w:eastAsia="Times New Roman" w:hAnsi="Times New Roman" w:cs="Times New Roman"/>
          <w:sz w:val="24"/>
          <w:szCs w:val="24"/>
        </w:rPr>
        <w:t>но нижи и износио свега 1,6</w:t>
      </w:r>
      <w:r w:rsidR="00C11519">
        <w:rPr>
          <w:rFonts w:ascii="Times New Roman" w:eastAsia="Times New Roman" w:hAnsi="Times New Roman" w:cs="Times New Roman"/>
          <w:sz w:val="24"/>
          <w:szCs w:val="24"/>
        </w:rPr>
        <w:t xml:space="preserve"> понуде по поступку</w:t>
      </w:r>
      <w:r w:rsidR="00662B5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E234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</w:t>
      </w:r>
      <w:r w:rsidR="00195014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/>
        </w:rPr>
        <w:t xml:space="preserve">  </w:t>
      </w:r>
    </w:p>
    <w:p w14:paraId="63AC689E" w14:textId="6087C693" w:rsidR="0081466B" w:rsidRPr="00FC20EA" w:rsidRDefault="00195014">
      <w:pPr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/>
        </w:rPr>
        <w:t xml:space="preserve">      </w:t>
      </w:r>
      <w:r w:rsidR="004F0DED" w:rsidRPr="009E2342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="004F0DED" w:rsidRPr="00FC20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Табела 7</w:t>
      </w:r>
    </w:p>
    <w:tbl>
      <w:tblPr>
        <w:tblStyle w:val="a5"/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27"/>
        <w:gridCol w:w="3086"/>
      </w:tblGrid>
      <w:tr w:rsidR="0081466B" w:rsidRPr="00FC20EA" w14:paraId="5B2FED55" w14:textId="77777777" w:rsidTr="00310797">
        <w:trPr>
          <w:jc w:val="center"/>
        </w:trPr>
        <w:tc>
          <w:tcPr>
            <w:tcW w:w="8613" w:type="dxa"/>
            <w:gridSpan w:val="2"/>
            <w:vAlign w:val="center"/>
          </w:tcPr>
          <w:p w14:paraId="68365455" w14:textId="77777777" w:rsidR="0081466B" w:rsidRPr="00FC20EA" w:rsidRDefault="004F0DED">
            <w:pPr>
              <w:jc w:val="center"/>
              <w:rPr>
                <w:color w:val="000000" w:themeColor="text1"/>
              </w:rPr>
            </w:pPr>
            <w:r w:rsidRPr="00FC20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Преглед просечног броја понуда по врстама поступка </w:t>
            </w:r>
          </w:p>
          <w:p w14:paraId="074E200B" w14:textId="53A800F2" w:rsidR="0081466B" w:rsidRPr="00FC20EA" w:rsidRDefault="00474742"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 првом полугодишту 2018</w:t>
            </w:r>
            <w:r w:rsidR="004F0DED" w:rsidRPr="00FC20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D537EC" w:rsidRPr="00FC20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</w:t>
            </w:r>
            <w:r w:rsidR="004F0DED" w:rsidRPr="00FC20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одине</w:t>
            </w:r>
            <w:r w:rsidR="00D537EC" w:rsidRPr="00FC20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*</w:t>
            </w:r>
          </w:p>
        </w:tc>
      </w:tr>
      <w:tr w:rsidR="0081466B" w:rsidRPr="00FC20EA" w14:paraId="7C826F2D" w14:textId="77777777" w:rsidTr="00310797">
        <w:trPr>
          <w:jc w:val="center"/>
        </w:trPr>
        <w:tc>
          <w:tcPr>
            <w:tcW w:w="5527" w:type="dxa"/>
            <w:vAlign w:val="center"/>
          </w:tcPr>
          <w:p w14:paraId="58B0BD94" w14:textId="77777777" w:rsidR="0081466B" w:rsidRPr="00FC20EA" w:rsidRDefault="004F0DED">
            <w:pPr>
              <w:tabs>
                <w:tab w:val="left" w:pos="1885"/>
              </w:tabs>
              <w:jc w:val="center"/>
              <w:rPr>
                <w:color w:val="000000" w:themeColor="text1"/>
              </w:rPr>
            </w:pPr>
            <w:r w:rsidRPr="00FC20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Врста поступка</w:t>
            </w:r>
          </w:p>
          <w:p w14:paraId="0F65BF98" w14:textId="77777777" w:rsidR="0081466B" w:rsidRPr="00FC20EA" w:rsidRDefault="0081466B">
            <w:pPr>
              <w:tabs>
                <w:tab w:val="left" w:pos="1885"/>
              </w:tabs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3086" w:type="dxa"/>
            <w:vAlign w:val="center"/>
          </w:tcPr>
          <w:p w14:paraId="4D73E21D" w14:textId="77777777" w:rsidR="0081466B" w:rsidRPr="00FC20EA" w:rsidRDefault="004F0DED">
            <w:pPr>
              <w:jc w:val="center"/>
              <w:rPr>
                <w:color w:val="000000" w:themeColor="text1"/>
              </w:rPr>
            </w:pPr>
            <w:r w:rsidRPr="00FC20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Просечан број понуда</w:t>
            </w:r>
          </w:p>
          <w:p w14:paraId="71B65FB4" w14:textId="35BCB41C" w:rsidR="0081466B" w:rsidRPr="00FC20EA" w:rsidRDefault="009E2342">
            <w:pPr>
              <w:jc w:val="center"/>
              <w:rPr>
                <w:color w:val="000000" w:themeColor="text1"/>
              </w:rPr>
            </w:pPr>
            <w:r w:rsidRPr="00FC20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по поступку</w:t>
            </w:r>
          </w:p>
        </w:tc>
      </w:tr>
      <w:tr w:rsidR="0081466B" w:rsidRPr="00FC20EA" w14:paraId="38FF3625" w14:textId="77777777" w:rsidTr="00310797">
        <w:trPr>
          <w:jc w:val="center"/>
        </w:trPr>
        <w:tc>
          <w:tcPr>
            <w:tcW w:w="5527" w:type="dxa"/>
            <w:vAlign w:val="center"/>
          </w:tcPr>
          <w:p w14:paraId="32F01C0B" w14:textId="77777777" w:rsidR="0081466B" w:rsidRPr="00FC20EA" w:rsidRDefault="004F0DED">
            <w:pPr>
              <w:tabs>
                <w:tab w:val="left" w:pos="3622"/>
              </w:tabs>
              <w:jc w:val="center"/>
              <w:rPr>
                <w:color w:val="000000" w:themeColor="text1"/>
              </w:rPr>
            </w:pPr>
            <w:r w:rsidRPr="00FC20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Отворени поступак</w:t>
            </w:r>
          </w:p>
        </w:tc>
        <w:tc>
          <w:tcPr>
            <w:tcW w:w="3086" w:type="dxa"/>
            <w:vAlign w:val="center"/>
          </w:tcPr>
          <w:p w14:paraId="40708DDD" w14:textId="74C45A3E" w:rsidR="0081466B" w:rsidRPr="00FC20EA" w:rsidRDefault="004747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2,6</w:t>
            </w:r>
          </w:p>
        </w:tc>
      </w:tr>
      <w:tr w:rsidR="0081466B" w:rsidRPr="00FC20EA" w14:paraId="2BE32ED0" w14:textId="77777777" w:rsidTr="00310797">
        <w:trPr>
          <w:jc w:val="center"/>
        </w:trPr>
        <w:tc>
          <w:tcPr>
            <w:tcW w:w="5527" w:type="dxa"/>
            <w:vAlign w:val="center"/>
          </w:tcPr>
          <w:p w14:paraId="31CD01A2" w14:textId="77777777" w:rsidR="0081466B" w:rsidRPr="00FC20EA" w:rsidRDefault="004F0DED">
            <w:pPr>
              <w:tabs>
                <w:tab w:val="left" w:pos="3622"/>
              </w:tabs>
              <w:jc w:val="center"/>
              <w:rPr>
                <w:color w:val="000000" w:themeColor="text1"/>
              </w:rPr>
            </w:pPr>
            <w:r w:rsidRPr="00FC20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Квалификациони поступак</w:t>
            </w:r>
          </w:p>
        </w:tc>
        <w:tc>
          <w:tcPr>
            <w:tcW w:w="3086" w:type="dxa"/>
            <w:vAlign w:val="center"/>
          </w:tcPr>
          <w:p w14:paraId="20C475AD" w14:textId="34DE2B85" w:rsidR="0081466B" w:rsidRPr="00474742" w:rsidRDefault="00112332">
            <w:pPr>
              <w:jc w:val="center"/>
              <w:rPr>
                <w:color w:val="000000" w:themeColor="text1"/>
                <w:lang w:val="sr-Cyrl-RS"/>
              </w:rPr>
            </w:pPr>
            <w:r w:rsidRPr="00FC20EA">
              <w:rPr>
                <w:color w:val="000000" w:themeColor="text1"/>
              </w:rPr>
              <w:t>3</w:t>
            </w:r>
            <w:r w:rsidR="00474742">
              <w:rPr>
                <w:color w:val="000000" w:themeColor="text1"/>
                <w:lang w:val="sr-Cyrl-RS"/>
              </w:rPr>
              <w:t>,2</w:t>
            </w:r>
          </w:p>
        </w:tc>
      </w:tr>
      <w:tr w:rsidR="0081466B" w:rsidRPr="00FC20EA" w14:paraId="50B71EB8" w14:textId="77777777" w:rsidTr="00310797">
        <w:trPr>
          <w:jc w:val="center"/>
        </w:trPr>
        <w:tc>
          <w:tcPr>
            <w:tcW w:w="5527" w:type="dxa"/>
            <w:vAlign w:val="center"/>
          </w:tcPr>
          <w:p w14:paraId="4587A78C" w14:textId="77777777" w:rsidR="0081466B" w:rsidRPr="00FC20EA" w:rsidRDefault="004F0DED">
            <w:pPr>
              <w:tabs>
                <w:tab w:val="left" w:pos="3622"/>
              </w:tabs>
              <w:jc w:val="center"/>
              <w:rPr>
                <w:color w:val="000000" w:themeColor="text1"/>
              </w:rPr>
            </w:pPr>
            <w:r w:rsidRPr="00FC20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Рестриктивни поступак</w:t>
            </w:r>
          </w:p>
        </w:tc>
        <w:tc>
          <w:tcPr>
            <w:tcW w:w="3086" w:type="dxa"/>
            <w:vAlign w:val="center"/>
          </w:tcPr>
          <w:p w14:paraId="0033725E" w14:textId="542DA7C7" w:rsidR="0081466B" w:rsidRPr="00FC20EA" w:rsidRDefault="004747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2,4</w:t>
            </w:r>
          </w:p>
        </w:tc>
      </w:tr>
      <w:tr w:rsidR="0081466B" w:rsidRPr="00FC20EA" w14:paraId="7B2F8774" w14:textId="77777777" w:rsidTr="00310797">
        <w:trPr>
          <w:jc w:val="center"/>
        </w:trPr>
        <w:tc>
          <w:tcPr>
            <w:tcW w:w="5527" w:type="dxa"/>
            <w:vAlign w:val="center"/>
          </w:tcPr>
          <w:p w14:paraId="1C2256E2" w14:textId="77777777" w:rsidR="0081466B" w:rsidRPr="00FC20EA" w:rsidRDefault="004F0DED">
            <w:pPr>
              <w:tabs>
                <w:tab w:val="left" w:pos="3622"/>
              </w:tabs>
              <w:jc w:val="center"/>
              <w:rPr>
                <w:color w:val="000000" w:themeColor="text1"/>
              </w:rPr>
            </w:pPr>
            <w:r w:rsidRPr="00FC20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Преговарачки поступак</w:t>
            </w:r>
          </w:p>
          <w:p w14:paraId="6C6BDC63" w14:textId="77777777" w:rsidR="0081466B" w:rsidRPr="00FC20EA" w:rsidRDefault="004F0DED">
            <w:pPr>
              <w:tabs>
                <w:tab w:val="left" w:pos="3622"/>
              </w:tabs>
              <w:jc w:val="center"/>
              <w:rPr>
                <w:color w:val="000000" w:themeColor="text1"/>
              </w:rPr>
            </w:pPr>
            <w:r w:rsidRPr="00FC20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без објављивања позива за подношење понуда</w:t>
            </w:r>
          </w:p>
        </w:tc>
        <w:tc>
          <w:tcPr>
            <w:tcW w:w="3086" w:type="dxa"/>
            <w:vAlign w:val="center"/>
          </w:tcPr>
          <w:p w14:paraId="00F2BC54" w14:textId="6420719C" w:rsidR="0081466B" w:rsidRPr="00FC20EA" w:rsidRDefault="00A6197E">
            <w:pPr>
              <w:jc w:val="center"/>
              <w:rPr>
                <w:color w:val="000000" w:themeColor="text1"/>
              </w:rPr>
            </w:pPr>
            <w:r w:rsidRPr="00FC20EA">
              <w:rPr>
                <w:color w:val="000000" w:themeColor="text1"/>
              </w:rPr>
              <w:t>1,4</w:t>
            </w:r>
          </w:p>
        </w:tc>
      </w:tr>
      <w:tr w:rsidR="0081466B" w:rsidRPr="00FC20EA" w14:paraId="75897E4E" w14:textId="77777777" w:rsidTr="00310797">
        <w:trPr>
          <w:jc w:val="center"/>
        </w:trPr>
        <w:tc>
          <w:tcPr>
            <w:tcW w:w="5527" w:type="dxa"/>
            <w:vAlign w:val="center"/>
          </w:tcPr>
          <w:p w14:paraId="696C5C09" w14:textId="77777777" w:rsidR="0081466B" w:rsidRPr="00FC20EA" w:rsidRDefault="004F0DED">
            <w:pPr>
              <w:tabs>
                <w:tab w:val="left" w:pos="3622"/>
              </w:tabs>
              <w:jc w:val="center"/>
              <w:rPr>
                <w:color w:val="000000" w:themeColor="text1"/>
              </w:rPr>
            </w:pPr>
            <w:r w:rsidRPr="00FC20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Преговарачки поступак са објављивањем позива за подношење понуда</w:t>
            </w:r>
          </w:p>
        </w:tc>
        <w:tc>
          <w:tcPr>
            <w:tcW w:w="3086" w:type="dxa"/>
            <w:vAlign w:val="center"/>
          </w:tcPr>
          <w:p w14:paraId="7D13A40D" w14:textId="5C464A37" w:rsidR="0081466B" w:rsidRPr="00FC20EA" w:rsidRDefault="004747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1,6</w:t>
            </w:r>
          </w:p>
        </w:tc>
      </w:tr>
      <w:tr w:rsidR="0081466B" w:rsidRPr="00FC20EA" w14:paraId="6957DEC8" w14:textId="77777777" w:rsidTr="00310797">
        <w:trPr>
          <w:jc w:val="center"/>
        </w:trPr>
        <w:tc>
          <w:tcPr>
            <w:tcW w:w="5527" w:type="dxa"/>
            <w:vAlign w:val="center"/>
          </w:tcPr>
          <w:p w14:paraId="36BF72A5" w14:textId="77777777" w:rsidR="0081466B" w:rsidRPr="00FC20EA" w:rsidRDefault="004F0DED">
            <w:pPr>
              <w:tabs>
                <w:tab w:val="left" w:pos="3622"/>
              </w:tabs>
              <w:jc w:val="center"/>
              <w:rPr>
                <w:color w:val="000000" w:themeColor="text1"/>
              </w:rPr>
            </w:pPr>
            <w:r w:rsidRPr="00FC20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Конкурс за дизајн</w:t>
            </w:r>
          </w:p>
        </w:tc>
        <w:tc>
          <w:tcPr>
            <w:tcW w:w="3086" w:type="dxa"/>
            <w:vAlign w:val="center"/>
          </w:tcPr>
          <w:p w14:paraId="699DE49A" w14:textId="6CFD1E47" w:rsidR="0081466B" w:rsidRPr="00FC20EA" w:rsidRDefault="0047474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2,5</w:t>
            </w:r>
          </w:p>
        </w:tc>
      </w:tr>
    </w:tbl>
    <w:p w14:paraId="6B0A7BA4" w14:textId="3294ECFC" w:rsidR="0081466B" w:rsidRPr="00FC20EA" w:rsidRDefault="00D537EC" w:rsidP="00D537EC">
      <w:pPr>
        <w:pStyle w:val="ListParagraph"/>
        <w:ind w:left="1200"/>
        <w:rPr>
          <w:color w:val="000000" w:themeColor="text1"/>
        </w:rPr>
      </w:pPr>
      <w:r w:rsidRPr="00FC20EA">
        <w:rPr>
          <w:color w:val="000000" w:themeColor="text1"/>
        </w:rPr>
        <w:t>*</w:t>
      </w:r>
      <w:r w:rsidRPr="006631DF">
        <w:rPr>
          <w:rFonts w:ascii="Times New Roman" w:hAnsi="Times New Roman" w:cs="Times New Roman"/>
          <w:color w:val="000000" w:themeColor="text1"/>
        </w:rPr>
        <w:t>на основу података са Портала јавних набавки</w:t>
      </w:r>
    </w:p>
    <w:p w14:paraId="55CF57CF" w14:textId="77777777" w:rsidR="00E644CE" w:rsidRPr="00FC20EA" w:rsidRDefault="004F0DED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C20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Просечан број понуда у поступку јавне набавке мале вредности израчунат са Портала (имајући у виду да се у кварталним извештајима</w:t>
      </w:r>
      <w:r w:rsidR="000A7A67" w:rsidRPr="00FC20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наручилаца</w:t>
      </w:r>
      <w:r w:rsidRPr="00FC20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у случају малих набавки, п</w:t>
      </w:r>
      <w:r w:rsidR="00112332" w:rsidRPr="00FC20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одаци наводе збирно) износи 2,5</w:t>
      </w:r>
      <w:r w:rsidRPr="00FC20E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0C362C61" w14:textId="60DBB431" w:rsidR="0081466B" w:rsidRDefault="004F0DED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1233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14:paraId="679CA260" w14:textId="4733B551" w:rsidR="00105BE6" w:rsidRDefault="00105BE6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5BFB99F" w14:textId="50663F25" w:rsidR="00105BE6" w:rsidRDefault="00105BE6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D914A9A" w14:textId="78BB1DBD" w:rsidR="00105BE6" w:rsidRDefault="00105BE6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D70D1AC" w14:textId="52302176" w:rsidR="00105BE6" w:rsidRDefault="00105BE6">
      <w:pPr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B80869C" w14:textId="77777777" w:rsidR="00105BE6" w:rsidRPr="00112332" w:rsidRDefault="00105BE6">
      <w:pPr>
        <w:jc w:val="both"/>
        <w:rPr>
          <w:color w:val="FF0000"/>
        </w:rPr>
      </w:pPr>
    </w:p>
    <w:p w14:paraId="15514B00" w14:textId="77777777" w:rsidR="0081466B" w:rsidRDefault="004F0DED">
      <w:pPr>
        <w:numPr>
          <w:ilvl w:val="0"/>
          <w:numId w:val="15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ПОРТАЛ ЈАВНИХ НАБАВКИ</w:t>
      </w:r>
    </w:p>
    <w:p w14:paraId="0122FFB3" w14:textId="1DCBB911" w:rsidR="00FC20EA" w:rsidRDefault="00FC20E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1t3h5sf" w:colFirst="0" w:colLast="0"/>
      <w:bookmarkEnd w:id="6"/>
    </w:p>
    <w:p w14:paraId="5E9FFA69" w14:textId="77777777" w:rsidR="00105BE6" w:rsidRDefault="00105BE6" w:rsidP="00105BE6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првом полугодишту 2018. године наручиоци су објавили је 32.198 јавних набавки на Порталу јавних набавки, а дневни број посета Порталу износио је 8.448.</w:t>
      </w:r>
    </w:p>
    <w:p w14:paraId="3A568941" w14:textId="77777777" w:rsidR="00105BE6" w:rsidRDefault="00105BE6" w:rsidP="00105BE6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истом периоду Управа за јавне набавке објавила је на Порталу 995 мишљења о основаности примене преговарачког поступка без објављивања позива за подношење понуда.</w:t>
      </w:r>
    </w:p>
    <w:p w14:paraId="24DC46CD" w14:textId="77777777" w:rsidR="00105BE6" w:rsidRPr="000026C3" w:rsidRDefault="00105BE6" w:rsidP="00105BE6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складу са чланом 158. ЗЈН, Републичка комисија за заштиту права у поступцима јавних набавки објавила је 673 одлуке о захтавима за заштиту права на Порталу јавних набавки.</w:t>
      </w:r>
    </w:p>
    <w:p w14:paraId="21228323" w14:textId="65F89C09" w:rsidR="0081466B" w:rsidRDefault="0081466B" w:rsidP="00A75F48">
      <w:bookmarkStart w:id="7" w:name="_4d34og8" w:colFirst="0" w:colLast="0"/>
      <w:bookmarkStart w:id="8" w:name="_MON_1567510847"/>
      <w:bookmarkEnd w:id="7"/>
      <w:bookmarkEnd w:id="8"/>
    </w:p>
    <w:p w14:paraId="59B067CE" w14:textId="77777777" w:rsidR="0081466B" w:rsidRPr="00744641" w:rsidRDefault="004F0DED">
      <w:pPr>
        <w:numPr>
          <w:ilvl w:val="0"/>
          <w:numId w:val="15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УЧЕШЋЕ ДОМАЋИХ И СТРАНИХ ПОНУЂАЧА</w:t>
      </w:r>
    </w:p>
    <w:p w14:paraId="5F8B1EA7" w14:textId="77777777" w:rsidR="00744641" w:rsidRDefault="00744641" w:rsidP="00744641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478D95" w14:textId="35B12F3A" w:rsidR="0081466B" w:rsidRDefault="004F0DED" w:rsidP="008743FC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Учешће страних по</w:t>
      </w:r>
      <w:r w:rsidR="00105BE6">
        <w:rPr>
          <w:rFonts w:ascii="Times New Roman" w:eastAsia="Times New Roman" w:hAnsi="Times New Roman" w:cs="Times New Roman"/>
          <w:sz w:val="24"/>
          <w:szCs w:val="24"/>
        </w:rPr>
        <w:t>нуђача је, у првој половини 2018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године, </w:t>
      </w:r>
      <w:r w:rsidR="00105BE6">
        <w:rPr>
          <w:rFonts w:ascii="Times New Roman" w:eastAsia="Times New Roman" w:hAnsi="Times New Roman" w:cs="Times New Roman"/>
          <w:sz w:val="24"/>
          <w:szCs w:val="24"/>
        </w:rPr>
        <w:t>износило 3</w:t>
      </w:r>
      <w:r>
        <w:rPr>
          <w:rFonts w:ascii="Times New Roman" w:eastAsia="Times New Roman" w:hAnsi="Times New Roman" w:cs="Times New Roman"/>
          <w:sz w:val="24"/>
          <w:szCs w:val="24"/>
        </w:rPr>
        <w:t>% од укупне вредно</w:t>
      </w:r>
      <w:r w:rsidR="000A7A6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C20EA">
        <w:rPr>
          <w:rFonts w:ascii="Times New Roman" w:eastAsia="Times New Roman" w:hAnsi="Times New Roman" w:cs="Times New Roman"/>
          <w:sz w:val="24"/>
          <w:szCs w:val="24"/>
        </w:rPr>
        <w:t>ти закључених уговора (Слика 7</w:t>
      </w:r>
      <w:r w:rsidR="005B2DE7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</w:t>
      </w:r>
      <w:r w:rsidR="00B9382B" w:rsidRPr="005B2DE7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      </w:t>
      </w:r>
      <w:r w:rsidR="009A245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 </w:t>
      </w:r>
    </w:p>
    <w:p w14:paraId="24FD2D29" w14:textId="4B7F381E" w:rsidR="0081466B" w:rsidRPr="00C07DDF" w:rsidRDefault="00132CE5">
      <w:pPr>
        <w:jc w:val="both"/>
        <w:rPr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sr-Cyrl-CS"/>
        </w:rPr>
        <w:t xml:space="preserve">                  </w:t>
      </w:r>
      <w:r w:rsidR="004F0DED" w:rsidRPr="00C07DD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Слика </w:t>
      </w:r>
      <w:r w:rsidR="009A245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7</w:t>
      </w:r>
    </w:p>
    <w:p w14:paraId="1FBA4215" w14:textId="0F1070D8" w:rsidR="0081466B" w:rsidRDefault="00105BE6" w:rsidP="008B5FF9">
      <w:pPr>
        <w:jc w:val="center"/>
      </w:pPr>
      <w:bookmarkStart w:id="9" w:name="_2s8eyo1"/>
      <w:bookmarkEnd w:id="9"/>
      <w:r>
        <w:rPr>
          <w:noProof/>
          <w:lang w:val="sr-Latn-RS" w:eastAsia="sr-Latn-RS"/>
        </w:rPr>
        <w:drawing>
          <wp:inline distT="0" distB="0" distL="0" distR="0" wp14:anchorId="04C5D129" wp14:editId="33F5B855">
            <wp:extent cx="5255895" cy="2686050"/>
            <wp:effectExtent l="0" t="0" r="1905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75AFB114" w14:textId="77777777" w:rsidR="0081466B" w:rsidRPr="00744641" w:rsidRDefault="004F0DED">
      <w:pPr>
        <w:numPr>
          <w:ilvl w:val="0"/>
          <w:numId w:val="15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ИСХОДИ ПОСТУПАКA</w:t>
      </w:r>
    </w:p>
    <w:p w14:paraId="702947AB" w14:textId="77777777" w:rsidR="00744641" w:rsidRDefault="00744641" w:rsidP="00406D8E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7CCA94" w14:textId="53EA748A" w:rsidR="000A1813" w:rsidRDefault="004F0DE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Преглед исхода поступака ја</w:t>
      </w:r>
      <w:r w:rsidR="00310797">
        <w:rPr>
          <w:rFonts w:ascii="Times New Roman" w:eastAsia="Times New Roman" w:hAnsi="Times New Roman" w:cs="Times New Roman"/>
          <w:sz w:val="24"/>
          <w:szCs w:val="24"/>
        </w:rPr>
        <w:t>вних набавки (Табела 8, Слика 8</w:t>
      </w:r>
      <w:r w:rsidR="00105BE6">
        <w:rPr>
          <w:rFonts w:ascii="Times New Roman" w:eastAsia="Times New Roman" w:hAnsi="Times New Roman" w:cs="Times New Roman"/>
          <w:sz w:val="24"/>
          <w:szCs w:val="24"/>
        </w:rPr>
        <w:t>) показује да је 92</w:t>
      </w:r>
      <w:r>
        <w:rPr>
          <w:rFonts w:ascii="Times New Roman" w:eastAsia="Times New Roman" w:hAnsi="Times New Roman" w:cs="Times New Roman"/>
          <w:sz w:val="24"/>
          <w:szCs w:val="24"/>
        </w:rPr>
        <w:t>% започетих поступа</w:t>
      </w:r>
      <w:r w:rsidR="00105BE6">
        <w:rPr>
          <w:rFonts w:ascii="Times New Roman" w:eastAsia="Times New Roman" w:hAnsi="Times New Roman" w:cs="Times New Roman"/>
          <w:sz w:val="24"/>
          <w:szCs w:val="24"/>
        </w:rPr>
        <w:t>ка успешно и окончано, док је 8</w:t>
      </w:r>
      <w:r>
        <w:rPr>
          <w:rFonts w:ascii="Times New Roman" w:eastAsia="Times New Roman" w:hAnsi="Times New Roman" w:cs="Times New Roman"/>
          <w:sz w:val="24"/>
          <w:szCs w:val="24"/>
        </w:rPr>
        <w:t>% поступака обустављено од стране наручилаца.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37A69609" w14:textId="7D9993D3" w:rsidR="0081466B" w:rsidRPr="006F640F" w:rsidRDefault="004F0DED">
      <w:pPr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lastRenderedPageBreak/>
        <w:t xml:space="preserve"> </w:t>
      </w:r>
      <w:r w:rsidR="000A1813" w:rsidRPr="00ED763E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="009509AB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="000A1813" w:rsidRPr="00ED763E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6F640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Табела </w:t>
      </w:r>
      <w:r w:rsidR="006F640F" w:rsidRPr="006F640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</w:t>
      </w:r>
    </w:p>
    <w:tbl>
      <w:tblPr>
        <w:tblStyle w:val="a7"/>
        <w:tblW w:w="102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33"/>
        <w:gridCol w:w="1664"/>
        <w:gridCol w:w="1261"/>
        <w:gridCol w:w="1664"/>
        <w:gridCol w:w="1261"/>
        <w:gridCol w:w="1302"/>
        <w:gridCol w:w="1202"/>
      </w:tblGrid>
      <w:tr w:rsidR="0081466B" w14:paraId="242FC704" w14:textId="77777777" w:rsidTr="00ED763E">
        <w:trPr>
          <w:trHeight w:val="40"/>
          <w:jc w:val="center"/>
        </w:trPr>
        <w:tc>
          <w:tcPr>
            <w:tcW w:w="10287" w:type="dxa"/>
            <w:gridSpan w:val="7"/>
            <w:vAlign w:val="center"/>
          </w:tcPr>
          <w:p w14:paraId="0CD6B6CE" w14:textId="3EEE3C28" w:rsidR="0081466B" w:rsidRDefault="004F0DED" w:rsidP="00ED763E">
            <w:pPr>
              <w:tabs>
                <w:tab w:val="left" w:pos="1885"/>
              </w:tabs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Преглед исхода по</w:t>
            </w:r>
            <w:r w:rsidR="00ED763E">
              <w:rPr>
                <w:rFonts w:ascii="Times New Roman" w:eastAsia="Times New Roman" w:hAnsi="Times New Roman" w:cs="Times New Roman"/>
                <w:b/>
              </w:rPr>
              <w:t>ступака у</w:t>
            </w:r>
            <w:r w:rsidR="008A0103">
              <w:rPr>
                <w:rFonts w:ascii="Times New Roman" w:eastAsia="Times New Roman" w:hAnsi="Times New Roman" w:cs="Times New Roman"/>
                <w:b/>
              </w:rPr>
              <w:t xml:space="preserve"> првом полугодишту 2018</w:t>
            </w:r>
            <w:r>
              <w:rPr>
                <w:rFonts w:ascii="Times New Roman" w:eastAsia="Times New Roman" w:hAnsi="Times New Roman" w:cs="Times New Roman"/>
                <w:b/>
              </w:rPr>
              <w:t>. године</w:t>
            </w:r>
          </w:p>
        </w:tc>
      </w:tr>
      <w:tr w:rsidR="0081466B" w14:paraId="3E90238E" w14:textId="77777777" w:rsidTr="008743FC">
        <w:trPr>
          <w:trHeight w:val="1223"/>
          <w:jc w:val="center"/>
        </w:trPr>
        <w:tc>
          <w:tcPr>
            <w:tcW w:w="1933" w:type="dxa"/>
            <w:vAlign w:val="center"/>
          </w:tcPr>
          <w:p w14:paraId="57F2B78C" w14:textId="77777777" w:rsidR="0081466B" w:rsidRDefault="004F0DED" w:rsidP="00ED763E">
            <w:pPr>
              <w:tabs>
                <w:tab w:val="left" w:pos="1885"/>
              </w:tabs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Исход поступка</w:t>
            </w:r>
          </w:p>
        </w:tc>
        <w:tc>
          <w:tcPr>
            <w:tcW w:w="1664" w:type="dxa"/>
            <w:vAlign w:val="center"/>
          </w:tcPr>
          <w:p w14:paraId="1578608F" w14:textId="77777777" w:rsidR="0081466B" w:rsidRDefault="004F0DED" w:rsidP="00ED763E">
            <w:pPr>
              <w:tabs>
                <w:tab w:val="left" w:pos="1885"/>
              </w:tabs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Број поступака велике вредности</w:t>
            </w:r>
          </w:p>
        </w:tc>
        <w:tc>
          <w:tcPr>
            <w:tcW w:w="1261" w:type="dxa"/>
            <w:vAlign w:val="center"/>
          </w:tcPr>
          <w:p w14:paraId="461D1A9A" w14:textId="77777777" w:rsidR="0081466B" w:rsidRDefault="004F0DED" w:rsidP="00ED763E">
            <w:pPr>
              <w:tabs>
                <w:tab w:val="left" w:pos="1885"/>
              </w:tabs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1664" w:type="dxa"/>
            <w:vAlign w:val="center"/>
          </w:tcPr>
          <w:p w14:paraId="659258D0" w14:textId="77777777" w:rsidR="0081466B" w:rsidRDefault="004F0DED" w:rsidP="00ED763E">
            <w:pPr>
              <w:tabs>
                <w:tab w:val="left" w:pos="1885"/>
              </w:tabs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Број поступака мале вредности</w:t>
            </w:r>
          </w:p>
        </w:tc>
        <w:tc>
          <w:tcPr>
            <w:tcW w:w="1261" w:type="dxa"/>
            <w:vAlign w:val="center"/>
          </w:tcPr>
          <w:p w14:paraId="3A661FB8" w14:textId="77777777" w:rsidR="0081466B" w:rsidRDefault="004F0DED" w:rsidP="00ED763E">
            <w:pPr>
              <w:tabs>
                <w:tab w:val="left" w:pos="1885"/>
              </w:tabs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  <w:tc>
          <w:tcPr>
            <w:tcW w:w="1302" w:type="dxa"/>
            <w:vAlign w:val="center"/>
          </w:tcPr>
          <w:p w14:paraId="7ADBAEDB" w14:textId="77777777" w:rsidR="0081466B" w:rsidRDefault="004F0DED" w:rsidP="00ED763E">
            <w:pPr>
              <w:tabs>
                <w:tab w:val="left" w:pos="1885"/>
              </w:tabs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Укупно</w:t>
            </w:r>
          </w:p>
        </w:tc>
        <w:tc>
          <w:tcPr>
            <w:tcW w:w="1202" w:type="dxa"/>
            <w:vAlign w:val="center"/>
          </w:tcPr>
          <w:p w14:paraId="58CFFFAB" w14:textId="77777777" w:rsidR="0081466B" w:rsidRDefault="004F0DED" w:rsidP="00ED763E">
            <w:pPr>
              <w:tabs>
                <w:tab w:val="left" w:pos="1885"/>
              </w:tabs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%</w:t>
            </w:r>
          </w:p>
        </w:tc>
      </w:tr>
      <w:tr w:rsidR="00105BE6" w14:paraId="1A918959" w14:textId="77777777" w:rsidTr="008743FC">
        <w:trPr>
          <w:trHeight w:val="647"/>
          <w:jc w:val="center"/>
        </w:trPr>
        <w:tc>
          <w:tcPr>
            <w:tcW w:w="1933" w:type="dxa"/>
            <w:vAlign w:val="center"/>
          </w:tcPr>
          <w:p w14:paraId="3AB0CFA9" w14:textId="77777777" w:rsidR="00105BE6" w:rsidRDefault="00105BE6" w:rsidP="00105BE6">
            <w:pPr>
              <w:tabs>
                <w:tab w:val="left" w:pos="1885"/>
              </w:tabs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Успешно спроведени</w:t>
            </w:r>
          </w:p>
        </w:tc>
        <w:tc>
          <w:tcPr>
            <w:tcW w:w="1664" w:type="dxa"/>
            <w:vAlign w:val="center"/>
          </w:tcPr>
          <w:p w14:paraId="2C1B4E67" w14:textId="2DC7F90B" w:rsidR="00105BE6" w:rsidRPr="00ED763E" w:rsidRDefault="00105BE6" w:rsidP="00105BE6">
            <w:pPr>
              <w:tabs>
                <w:tab w:val="left" w:pos="1885"/>
              </w:tabs>
              <w:jc w:val="center"/>
            </w:pPr>
            <w:r w:rsidRPr="00D32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18.907</w:t>
            </w:r>
          </w:p>
        </w:tc>
        <w:tc>
          <w:tcPr>
            <w:tcW w:w="1261" w:type="dxa"/>
            <w:vAlign w:val="center"/>
          </w:tcPr>
          <w:p w14:paraId="2E9B8E40" w14:textId="6BA9EC4A" w:rsidR="00105BE6" w:rsidRPr="00ED763E" w:rsidRDefault="00105BE6" w:rsidP="00105BE6">
            <w:pPr>
              <w:tabs>
                <w:tab w:val="left" w:pos="1885"/>
              </w:tabs>
              <w:jc w:val="center"/>
            </w:pPr>
            <w:r w:rsidRPr="00D32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93</w:t>
            </w:r>
          </w:p>
        </w:tc>
        <w:tc>
          <w:tcPr>
            <w:tcW w:w="1664" w:type="dxa"/>
            <w:vAlign w:val="center"/>
          </w:tcPr>
          <w:p w14:paraId="20ACF602" w14:textId="70DAD628" w:rsidR="00105BE6" w:rsidRPr="00ED763E" w:rsidRDefault="00105BE6" w:rsidP="00105BE6">
            <w:pPr>
              <w:tabs>
                <w:tab w:val="left" w:pos="1885"/>
              </w:tabs>
              <w:jc w:val="center"/>
            </w:pPr>
            <w:r w:rsidRPr="00D32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12.337</w:t>
            </w:r>
          </w:p>
        </w:tc>
        <w:tc>
          <w:tcPr>
            <w:tcW w:w="1261" w:type="dxa"/>
            <w:vAlign w:val="center"/>
          </w:tcPr>
          <w:p w14:paraId="26666C84" w14:textId="16569F5D" w:rsidR="00105BE6" w:rsidRPr="00ED763E" w:rsidRDefault="00105BE6" w:rsidP="00105BE6">
            <w:pPr>
              <w:tabs>
                <w:tab w:val="left" w:pos="1885"/>
              </w:tabs>
              <w:jc w:val="center"/>
            </w:pPr>
            <w:r w:rsidRPr="00D32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92</w:t>
            </w:r>
          </w:p>
        </w:tc>
        <w:tc>
          <w:tcPr>
            <w:tcW w:w="1302" w:type="dxa"/>
            <w:vAlign w:val="center"/>
          </w:tcPr>
          <w:p w14:paraId="425DC9DD" w14:textId="142C7CBE" w:rsidR="00105BE6" w:rsidRPr="00ED763E" w:rsidRDefault="00105BE6" w:rsidP="00105BE6">
            <w:pPr>
              <w:tabs>
                <w:tab w:val="left" w:pos="1885"/>
              </w:tabs>
              <w:jc w:val="center"/>
            </w:pPr>
            <w:r w:rsidRPr="00D32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31.244</w:t>
            </w:r>
          </w:p>
        </w:tc>
        <w:tc>
          <w:tcPr>
            <w:tcW w:w="1202" w:type="dxa"/>
            <w:vAlign w:val="center"/>
          </w:tcPr>
          <w:p w14:paraId="2315E8D2" w14:textId="09BA4338" w:rsidR="00105BE6" w:rsidRPr="00ED763E" w:rsidRDefault="00105BE6" w:rsidP="00105BE6">
            <w:pPr>
              <w:tabs>
                <w:tab w:val="left" w:pos="1885"/>
              </w:tabs>
              <w:jc w:val="center"/>
            </w:pPr>
            <w:r w:rsidRPr="00D32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92</w:t>
            </w:r>
          </w:p>
        </w:tc>
      </w:tr>
      <w:tr w:rsidR="00105BE6" w14:paraId="40D87877" w14:textId="77777777" w:rsidTr="00ED763E">
        <w:trPr>
          <w:trHeight w:val="40"/>
          <w:jc w:val="center"/>
        </w:trPr>
        <w:tc>
          <w:tcPr>
            <w:tcW w:w="1933" w:type="dxa"/>
            <w:vAlign w:val="center"/>
          </w:tcPr>
          <w:p w14:paraId="5C4ED2A1" w14:textId="77777777" w:rsidR="00105BE6" w:rsidRDefault="00105BE6" w:rsidP="00105BE6">
            <w:pPr>
              <w:tabs>
                <w:tab w:val="left" w:pos="1885"/>
              </w:tabs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Обустављени</w:t>
            </w:r>
          </w:p>
        </w:tc>
        <w:tc>
          <w:tcPr>
            <w:tcW w:w="1664" w:type="dxa"/>
            <w:vAlign w:val="center"/>
          </w:tcPr>
          <w:p w14:paraId="56F34646" w14:textId="49B165AE" w:rsidR="00105BE6" w:rsidRPr="00ED763E" w:rsidRDefault="00105BE6" w:rsidP="00105BE6">
            <w:pPr>
              <w:tabs>
                <w:tab w:val="left" w:pos="1885"/>
              </w:tabs>
              <w:jc w:val="center"/>
            </w:pPr>
            <w:r w:rsidRPr="00D32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1.507</w:t>
            </w:r>
          </w:p>
        </w:tc>
        <w:tc>
          <w:tcPr>
            <w:tcW w:w="1261" w:type="dxa"/>
            <w:vAlign w:val="center"/>
          </w:tcPr>
          <w:p w14:paraId="4DDBD8D3" w14:textId="35968FBD" w:rsidR="00105BE6" w:rsidRPr="00ED763E" w:rsidRDefault="00105BE6" w:rsidP="00105BE6">
            <w:pPr>
              <w:tabs>
                <w:tab w:val="left" w:pos="1885"/>
              </w:tabs>
              <w:jc w:val="center"/>
            </w:pPr>
            <w:r w:rsidRPr="00D32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664" w:type="dxa"/>
            <w:vAlign w:val="center"/>
          </w:tcPr>
          <w:p w14:paraId="0619F7FD" w14:textId="6C152318" w:rsidR="00105BE6" w:rsidRPr="00ED763E" w:rsidRDefault="00105BE6" w:rsidP="00105BE6">
            <w:pPr>
              <w:tabs>
                <w:tab w:val="left" w:pos="1885"/>
              </w:tabs>
              <w:jc w:val="center"/>
            </w:pPr>
            <w:r w:rsidRPr="00D32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1.066</w:t>
            </w:r>
          </w:p>
        </w:tc>
        <w:tc>
          <w:tcPr>
            <w:tcW w:w="1261" w:type="dxa"/>
            <w:vAlign w:val="center"/>
          </w:tcPr>
          <w:p w14:paraId="2D4B5684" w14:textId="01F03CF8" w:rsidR="00105BE6" w:rsidRPr="00ED763E" w:rsidRDefault="00105BE6" w:rsidP="00105BE6">
            <w:pPr>
              <w:tabs>
                <w:tab w:val="left" w:pos="1885"/>
              </w:tabs>
              <w:jc w:val="center"/>
            </w:pPr>
            <w:r w:rsidRPr="00D32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302" w:type="dxa"/>
            <w:vAlign w:val="center"/>
          </w:tcPr>
          <w:p w14:paraId="3E42C2DF" w14:textId="785FA346" w:rsidR="00105BE6" w:rsidRPr="00ED763E" w:rsidRDefault="00105BE6" w:rsidP="00105BE6">
            <w:pPr>
              <w:tabs>
                <w:tab w:val="left" w:pos="1885"/>
              </w:tabs>
              <w:jc w:val="center"/>
            </w:pPr>
            <w:r w:rsidRPr="00D32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2.573</w:t>
            </w:r>
          </w:p>
        </w:tc>
        <w:tc>
          <w:tcPr>
            <w:tcW w:w="1202" w:type="dxa"/>
            <w:vAlign w:val="center"/>
          </w:tcPr>
          <w:p w14:paraId="223AB257" w14:textId="0807A295" w:rsidR="00105BE6" w:rsidRPr="00ED763E" w:rsidRDefault="00105BE6" w:rsidP="00105BE6">
            <w:pPr>
              <w:tabs>
                <w:tab w:val="left" w:pos="1885"/>
              </w:tabs>
              <w:jc w:val="center"/>
            </w:pPr>
            <w:r w:rsidRPr="00D322D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105BE6" w14:paraId="4A9177F2" w14:textId="77777777" w:rsidTr="001D493C">
        <w:trPr>
          <w:trHeight w:val="260"/>
          <w:jc w:val="center"/>
        </w:trPr>
        <w:tc>
          <w:tcPr>
            <w:tcW w:w="1933" w:type="dxa"/>
            <w:vAlign w:val="center"/>
          </w:tcPr>
          <w:p w14:paraId="3ED5703A" w14:textId="77777777" w:rsidR="00105BE6" w:rsidRDefault="00105BE6" w:rsidP="00105BE6">
            <w:pPr>
              <w:tabs>
                <w:tab w:val="left" w:pos="1885"/>
              </w:tabs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Укупно</w:t>
            </w:r>
          </w:p>
        </w:tc>
        <w:tc>
          <w:tcPr>
            <w:tcW w:w="1664" w:type="dxa"/>
            <w:vAlign w:val="center"/>
          </w:tcPr>
          <w:p w14:paraId="1D3F2AE1" w14:textId="27F4D2C5" w:rsidR="00105BE6" w:rsidRPr="00AA3048" w:rsidRDefault="00105BE6" w:rsidP="00105BE6">
            <w:pPr>
              <w:tabs>
                <w:tab w:val="left" w:pos="1885"/>
              </w:tabs>
              <w:jc w:val="center"/>
              <w:rPr>
                <w:lang w:val="sr-Cyrl-RS"/>
              </w:rPr>
            </w:pPr>
            <w:r w:rsidRPr="005C078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20.414</w:t>
            </w:r>
          </w:p>
        </w:tc>
        <w:tc>
          <w:tcPr>
            <w:tcW w:w="1261" w:type="dxa"/>
            <w:vAlign w:val="center"/>
          </w:tcPr>
          <w:p w14:paraId="1B5CA9FF" w14:textId="7646A295" w:rsidR="00105BE6" w:rsidRPr="00ED763E" w:rsidRDefault="00105BE6" w:rsidP="00105BE6">
            <w:pPr>
              <w:tabs>
                <w:tab w:val="left" w:pos="1885"/>
              </w:tabs>
              <w:jc w:val="center"/>
            </w:pPr>
            <w:r w:rsidRPr="005C078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664" w:type="dxa"/>
            <w:vAlign w:val="center"/>
          </w:tcPr>
          <w:p w14:paraId="4CF24E36" w14:textId="0ED8383A" w:rsidR="00105BE6" w:rsidRPr="00ED763E" w:rsidRDefault="00105BE6" w:rsidP="00105BE6">
            <w:pPr>
              <w:tabs>
                <w:tab w:val="left" w:pos="1885"/>
              </w:tabs>
              <w:jc w:val="center"/>
            </w:pPr>
            <w:r w:rsidRPr="005C078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13.403</w:t>
            </w:r>
          </w:p>
        </w:tc>
        <w:tc>
          <w:tcPr>
            <w:tcW w:w="1261" w:type="dxa"/>
            <w:vAlign w:val="center"/>
          </w:tcPr>
          <w:p w14:paraId="06AF5EC3" w14:textId="17F1B38F" w:rsidR="00105BE6" w:rsidRPr="00ED763E" w:rsidRDefault="00105BE6" w:rsidP="00105BE6">
            <w:pPr>
              <w:tabs>
                <w:tab w:val="left" w:pos="1885"/>
              </w:tabs>
              <w:jc w:val="center"/>
            </w:pPr>
            <w:r w:rsidRPr="005C078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302" w:type="dxa"/>
            <w:vAlign w:val="center"/>
          </w:tcPr>
          <w:p w14:paraId="10D31CF5" w14:textId="2E82280D" w:rsidR="00105BE6" w:rsidRPr="00AA3048" w:rsidRDefault="00105BE6" w:rsidP="00105BE6">
            <w:pPr>
              <w:tabs>
                <w:tab w:val="left" w:pos="1885"/>
              </w:tabs>
              <w:jc w:val="center"/>
              <w:rPr>
                <w:lang w:val="sr-Cyrl-RS"/>
              </w:rPr>
            </w:pPr>
            <w:r w:rsidRPr="005C078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33.817</w:t>
            </w:r>
          </w:p>
        </w:tc>
        <w:tc>
          <w:tcPr>
            <w:tcW w:w="1202" w:type="dxa"/>
            <w:vAlign w:val="center"/>
          </w:tcPr>
          <w:p w14:paraId="0E0AACBD" w14:textId="52474FEA" w:rsidR="00105BE6" w:rsidRPr="00ED763E" w:rsidRDefault="00105BE6" w:rsidP="00105BE6">
            <w:pPr>
              <w:tabs>
                <w:tab w:val="left" w:pos="1885"/>
              </w:tabs>
              <w:jc w:val="center"/>
            </w:pPr>
            <w:r w:rsidRPr="005C0786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100</w:t>
            </w:r>
          </w:p>
        </w:tc>
      </w:tr>
    </w:tbl>
    <w:p w14:paraId="2A3ED262" w14:textId="77777777" w:rsidR="00105BE6" w:rsidRDefault="00BF700A">
      <w:pPr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/>
        </w:rPr>
      </w:pPr>
      <w:r w:rsidRPr="00ED763E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="008743FC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/>
        </w:rPr>
        <w:t xml:space="preserve">                                </w:t>
      </w:r>
    </w:p>
    <w:p w14:paraId="00DC503A" w14:textId="211197DE" w:rsidR="0081466B" w:rsidRPr="008743FC" w:rsidRDefault="00105BE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/>
        </w:rPr>
        <w:t xml:space="preserve">               </w:t>
      </w:r>
      <w:r w:rsidR="008743FC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/>
        </w:rPr>
        <w:t xml:space="preserve"> </w:t>
      </w:r>
      <w:r w:rsidR="000A1813" w:rsidRPr="00ED763E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="006F640F" w:rsidRPr="006F640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Слика </w:t>
      </w:r>
      <w:r w:rsidR="009A24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8</w:t>
      </w:r>
    </w:p>
    <w:bookmarkStart w:id="10" w:name="_17dp8vu"/>
    <w:bookmarkStart w:id="11" w:name="_MON_1548238476"/>
    <w:bookmarkEnd w:id="10"/>
    <w:bookmarkEnd w:id="11"/>
    <w:bookmarkStart w:id="12" w:name="_MON_1567513898"/>
    <w:bookmarkEnd w:id="12"/>
    <w:p w14:paraId="1EFE82B6" w14:textId="032B98AF" w:rsidR="0081466B" w:rsidRPr="00B65D17" w:rsidRDefault="00105BE6" w:rsidP="00BF700A">
      <w:pPr>
        <w:jc w:val="center"/>
        <w:rPr>
          <w:lang w:val="sr-Cyrl-RS"/>
        </w:rPr>
      </w:pPr>
      <w:r>
        <w:rPr>
          <w:lang w:val="en-US"/>
        </w:rPr>
        <w:object w:dxaOrig="8167" w:dyaOrig="6604" w14:anchorId="2F69A6AA">
          <v:shape id="_x0000_i1027" type="#_x0000_t75" style="width:383.1pt;height:259.5pt" o:ole="">
            <v:imagedata r:id="rId22" o:title=""/>
          </v:shape>
          <o:OLEObject Type="Embed" ProgID="Excel.Sheet.12" ShapeID="_x0000_i1027" DrawAspect="Content" ObjectID="_1603107157" r:id="rId23"/>
        </w:object>
      </w:r>
    </w:p>
    <w:p w14:paraId="7C1ACB5D" w14:textId="77777777" w:rsidR="008743FC" w:rsidRDefault="008743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B54B48" w14:textId="71E7DDF7" w:rsidR="003A50AF" w:rsidRDefault="004F0DE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Упоредни преглед заступљености основа за обуставу поступака од стране наручилаца</w:t>
      </w:r>
      <w:r w:rsidR="00E75C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05BE6">
        <w:rPr>
          <w:rFonts w:ascii="Times New Roman" w:eastAsia="Times New Roman" w:hAnsi="Times New Roman" w:cs="Times New Roman"/>
          <w:sz w:val="24"/>
          <w:szCs w:val="24"/>
          <w:lang w:val="sr"/>
        </w:rPr>
        <w:t>у првом полугодишту 2018</w:t>
      </w:r>
      <w:r w:rsidR="00E75CAC">
        <w:rPr>
          <w:rFonts w:ascii="Times New Roman" w:eastAsia="Times New Roman" w:hAnsi="Times New Roman" w:cs="Times New Roman"/>
          <w:sz w:val="24"/>
          <w:szCs w:val="24"/>
          <w:lang w:val="sr"/>
        </w:rPr>
        <w:t>. у односу на исти период претходне године,</w:t>
      </w:r>
      <w:r w:rsidR="00E75CAC">
        <w:rPr>
          <w:rFonts w:ascii="Times New Roman" w:eastAsia="Times New Roman" w:hAnsi="Times New Roman" w:cs="Times New Roman"/>
          <w:sz w:val="24"/>
          <w:szCs w:val="24"/>
        </w:rPr>
        <w:t xml:space="preserve"> показује да није дошло до значајнијих промена</w:t>
      </w:r>
      <w:r w:rsidR="00310797">
        <w:rPr>
          <w:rFonts w:ascii="Times New Roman" w:eastAsia="Times New Roman" w:hAnsi="Times New Roman" w:cs="Times New Roman"/>
          <w:sz w:val="24"/>
          <w:szCs w:val="24"/>
        </w:rPr>
        <w:t xml:space="preserve"> (Слика 9</w:t>
      </w:r>
      <w:r w:rsidR="003A50AF">
        <w:rPr>
          <w:rFonts w:ascii="Times New Roman" w:eastAsia="Times New Roman" w:hAnsi="Times New Roman" w:cs="Times New Roman"/>
          <w:sz w:val="24"/>
          <w:szCs w:val="24"/>
        </w:rPr>
        <w:t>)</w:t>
      </w:r>
      <w:r w:rsidR="00E75CAC">
        <w:rPr>
          <w:rFonts w:ascii="Times New Roman" w:eastAsia="Times New Roman" w:hAnsi="Times New Roman" w:cs="Times New Roman"/>
          <w:sz w:val="24"/>
          <w:szCs w:val="24"/>
        </w:rPr>
        <w:t>. Доминантан основ за обуставу поступка и даље представљ</w:t>
      </w:r>
      <w:r w:rsidR="00141FBF">
        <w:rPr>
          <w:rFonts w:ascii="Times New Roman" w:eastAsia="Times New Roman" w:hAnsi="Times New Roman" w:cs="Times New Roman"/>
          <w:sz w:val="24"/>
          <w:szCs w:val="24"/>
        </w:rPr>
        <w:t>ају случајеви када није било ни</w:t>
      </w:r>
      <w:r w:rsidR="00E75CAC">
        <w:rPr>
          <w:rFonts w:ascii="Times New Roman" w:eastAsia="Times New Roman" w:hAnsi="Times New Roman" w:cs="Times New Roman"/>
          <w:sz w:val="24"/>
          <w:szCs w:val="24"/>
        </w:rPr>
        <w:t xml:space="preserve">једне прихватљиве понуде, док је други по </w:t>
      </w:r>
      <w:r w:rsidR="00E75CAC">
        <w:rPr>
          <w:rFonts w:ascii="Times New Roman" w:eastAsia="Times New Roman" w:hAnsi="Times New Roman" w:cs="Times New Roman"/>
          <w:sz w:val="24"/>
          <w:szCs w:val="24"/>
        </w:rPr>
        <w:lastRenderedPageBreak/>
        <w:t>заступље</w:t>
      </w:r>
      <w:r w:rsidR="00141FBF">
        <w:rPr>
          <w:rFonts w:ascii="Times New Roman" w:eastAsia="Times New Roman" w:hAnsi="Times New Roman" w:cs="Times New Roman"/>
          <w:sz w:val="24"/>
          <w:szCs w:val="24"/>
        </w:rPr>
        <w:t>ности основ да није приспела ни</w:t>
      </w:r>
      <w:r w:rsidR="00E75CAC">
        <w:rPr>
          <w:rFonts w:ascii="Times New Roman" w:eastAsia="Times New Roman" w:hAnsi="Times New Roman" w:cs="Times New Roman"/>
          <w:sz w:val="24"/>
          <w:szCs w:val="24"/>
        </w:rPr>
        <w:t>једна понуда. Ова два основа</w:t>
      </w:r>
      <w:r w:rsidR="003A50AF">
        <w:rPr>
          <w:rFonts w:ascii="Times New Roman" w:eastAsia="Times New Roman" w:hAnsi="Times New Roman" w:cs="Times New Roman"/>
          <w:sz w:val="24"/>
          <w:szCs w:val="24"/>
        </w:rPr>
        <w:t>, посматрана</w:t>
      </w:r>
      <w:r w:rsidR="00E75CAC">
        <w:rPr>
          <w:rFonts w:ascii="Times New Roman" w:eastAsia="Times New Roman" w:hAnsi="Times New Roman" w:cs="Times New Roman"/>
          <w:sz w:val="24"/>
          <w:szCs w:val="24"/>
        </w:rPr>
        <w:t xml:space="preserve"> збирно</w:t>
      </w:r>
      <w:r w:rsidR="003A50AF">
        <w:rPr>
          <w:rFonts w:ascii="Times New Roman" w:eastAsia="Times New Roman" w:hAnsi="Times New Roman" w:cs="Times New Roman"/>
          <w:sz w:val="24"/>
          <w:szCs w:val="24"/>
        </w:rPr>
        <w:t>, били су разлог за обуставу</w:t>
      </w:r>
      <w:r w:rsidR="00105BE6">
        <w:rPr>
          <w:rFonts w:ascii="Times New Roman" w:eastAsia="Times New Roman" w:hAnsi="Times New Roman" w:cs="Times New Roman"/>
          <w:sz w:val="24"/>
          <w:szCs w:val="24"/>
        </w:rPr>
        <w:t xml:space="preserve"> 3/4</w:t>
      </w:r>
      <w:r w:rsidR="00E75C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50AF">
        <w:rPr>
          <w:rFonts w:ascii="Times New Roman" w:eastAsia="Times New Roman" w:hAnsi="Times New Roman" w:cs="Times New Roman"/>
          <w:sz w:val="24"/>
          <w:szCs w:val="24"/>
        </w:rPr>
        <w:t xml:space="preserve">укупно </w:t>
      </w:r>
      <w:r w:rsidR="0082050A">
        <w:rPr>
          <w:rFonts w:ascii="Times New Roman" w:eastAsia="Times New Roman" w:hAnsi="Times New Roman" w:cs="Times New Roman"/>
          <w:sz w:val="24"/>
          <w:szCs w:val="24"/>
        </w:rPr>
        <w:t>обустављених поступака (Слика 9</w:t>
      </w:r>
      <w:r w:rsidR="003A50AF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14:paraId="65DBBA50" w14:textId="3E999EBD" w:rsidR="0081466B" w:rsidRPr="009A2451" w:rsidRDefault="00BB0D88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"/>
        </w:rPr>
        <w:t>Значајан</w:t>
      </w:r>
      <w:r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број</w:t>
      </w:r>
      <w:r w:rsidR="004F0DED"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случајева где ниједна понуда није поднета указује на </w:t>
      </w:r>
      <w:r w:rsidR="00B41399"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потребу </w:t>
      </w:r>
      <w:r w:rsidR="004F0DED"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да </w:t>
      </w:r>
      <w:r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се </w:t>
      </w:r>
      <w:r w:rsidR="004F0DED"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захтеви наручилаца у конкурсној документацији</w:t>
      </w:r>
      <w:r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захваљујући претходно спроведеном истраживању тржишта, </w:t>
      </w:r>
      <w:r w:rsidR="004F0DED"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ускла</w:t>
      </w:r>
      <w:r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де </w:t>
      </w:r>
      <w:r w:rsidR="004F0DED"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 оним што се на тржишту нуди како би понуђачи могли да одгово</w:t>
      </w:r>
      <w:r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 понудом, као и да се успостави</w:t>
      </w:r>
      <w:r w:rsidR="004F0DED"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дијалог са понуђачима и </w:t>
      </w:r>
      <w:r w:rsidR="004F0DED"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тиме </w:t>
      </w:r>
      <w:r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покаже да </w:t>
      </w:r>
      <w:r w:rsidR="00DE631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поступци јавних набавки</w:t>
      </w:r>
      <w:r w:rsidR="00B41399"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нису ”намештени” за неког</w:t>
      </w:r>
      <w:r w:rsidR="004F0DED"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од њих</w:t>
      </w:r>
      <w:r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чиме се повећава кредибилитет поступака</w:t>
      </w:r>
      <w:r w:rsidR="004F0DED" w:rsidRPr="009A24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    </w:t>
      </w:r>
    </w:p>
    <w:p w14:paraId="347016E7" w14:textId="3F8C11FA" w:rsidR="0081466B" w:rsidRDefault="004F0DED">
      <w:pPr>
        <w:jc w:val="both"/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</w:t>
      </w:r>
      <w:r w:rsidRPr="00147A9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Слика </w:t>
      </w:r>
      <w:r w:rsidR="009A245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9</w:t>
      </w:r>
    </w:p>
    <w:bookmarkStart w:id="13" w:name="_26in1rg" w:colFirst="0" w:colLast="0"/>
    <w:bookmarkEnd w:id="13"/>
    <w:bookmarkStart w:id="14" w:name="_MON_1534235261"/>
    <w:bookmarkEnd w:id="14"/>
    <w:p w14:paraId="7F8351FA" w14:textId="4EFD0CCF" w:rsidR="001960F4" w:rsidRDefault="00F2633A" w:rsidP="005C2DA4">
      <w:r w:rsidRPr="00927D20">
        <w:rPr>
          <w:rFonts w:eastAsiaTheme="minorHAnsi"/>
          <w:color w:val="auto"/>
          <w:lang w:eastAsia="en-US"/>
        </w:rPr>
        <w:object w:dxaOrig="16595" w:dyaOrig="8876" w14:anchorId="2FC90CCE">
          <v:shape id="_x0000_i1028" type="#_x0000_t75" style="width:451.35pt;height:262.2pt" o:ole="">
            <v:imagedata r:id="rId24" o:title=""/>
            <o:lock v:ext="edit" aspectratio="f"/>
          </v:shape>
          <o:OLEObject Type="Embed" ProgID="Excel.Sheet.12" ShapeID="_x0000_i1028" DrawAspect="Content" ObjectID="_1603107158" r:id="rId25"/>
        </w:object>
      </w:r>
    </w:p>
    <w:p w14:paraId="7E978223" w14:textId="77777777" w:rsidR="0081466B" w:rsidRDefault="004F0DED">
      <w:pPr>
        <w:numPr>
          <w:ilvl w:val="0"/>
          <w:numId w:val="15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НАБАВКЕ ИЗУЗЕТЕ ОД ПРИМЕНЕ ЗАКОНА</w:t>
      </w:r>
    </w:p>
    <w:p w14:paraId="7D3D8BF5" w14:textId="77777777" w:rsidR="008631D5" w:rsidRDefault="008631D5" w:rsidP="001142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4A6681A" w14:textId="45DB09B4" w:rsidR="00114215" w:rsidRDefault="001960F4" w:rsidP="001142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"/>
        </w:rPr>
      </w:pPr>
      <w:r w:rsidRPr="00406D8E">
        <w:rPr>
          <w:rFonts w:ascii="Times New Roman" w:hAnsi="Times New Roman" w:cs="Times New Roman"/>
          <w:color w:val="auto"/>
          <w:sz w:val="24"/>
          <w:szCs w:val="24"/>
        </w:rPr>
        <w:t>Набавке на које се није примењивао ЗЈН</w:t>
      </w:r>
      <w:r w:rsidR="00A528A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528A8">
        <w:rPr>
          <w:rFonts w:ascii="Times New Roman" w:hAnsi="Times New Roman" w:cs="Times New Roman"/>
          <w:color w:val="auto"/>
          <w:sz w:val="24"/>
          <w:szCs w:val="24"/>
          <w:lang w:val="sr"/>
        </w:rPr>
        <w:t>учествовале су</w:t>
      </w:r>
      <w:r w:rsidRPr="00406D8E">
        <w:rPr>
          <w:rFonts w:ascii="Times New Roman" w:hAnsi="Times New Roman" w:cs="Times New Roman"/>
          <w:color w:val="auto"/>
          <w:sz w:val="24"/>
          <w:szCs w:val="24"/>
        </w:rPr>
        <w:t xml:space="preserve"> у у</w:t>
      </w:r>
      <w:r w:rsidR="00A528A8">
        <w:rPr>
          <w:rFonts w:ascii="Times New Roman" w:hAnsi="Times New Roman" w:cs="Times New Roman"/>
          <w:color w:val="auto"/>
          <w:sz w:val="24"/>
          <w:szCs w:val="24"/>
        </w:rPr>
        <w:t>купној уговореној вредности са</w:t>
      </w:r>
      <w:r w:rsidR="002A3601">
        <w:rPr>
          <w:rFonts w:ascii="Times New Roman" w:hAnsi="Times New Roman" w:cs="Times New Roman"/>
          <w:color w:val="auto"/>
          <w:sz w:val="24"/>
          <w:szCs w:val="24"/>
        </w:rPr>
        <w:t xml:space="preserve"> 28</w:t>
      </w:r>
      <w:r w:rsidRPr="00406D8E">
        <w:rPr>
          <w:rFonts w:ascii="Times New Roman" w:hAnsi="Times New Roman" w:cs="Times New Roman"/>
          <w:color w:val="auto"/>
          <w:sz w:val="24"/>
          <w:szCs w:val="24"/>
        </w:rPr>
        <w:t>% (Таб</w:t>
      </w:r>
      <w:r w:rsidR="003A50AF">
        <w:rPr>
          <w:rFonts w:ascii="Times New Roman" w:hAnsi="Times New Roman" w:cs="Times New Roman"/>
          <w:color w:val="auto"/>
          <w:sz w:val="24"/>
          <w:szCs w:val="24"/>
        </w:rPr>
        <w:t>ела 9</w:t>
      </w:r>
      <w:r w:rsidR="007F4053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D47553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3A50AF">
        <w:rPr>
          <w:rFonts w:ascii="Times New Roman" w:hAnsi="Times New Roman" w:cs="Times New Roman"/>
          <w:color w:val="auto"/>
          <w:sz w:val="24"/>
          <w:szCs w:val="24"/>
        </w:rPr>
        <w:t xml:space="preserve"> што одговара нивоу учешћа из истог периода претходне године</w:t>
      </w:r>
      <w:r w:rsidR="007F4053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114215">
        <w:rPr>
          <w:rFonts w:ascii="Times New Roman" w:hAnsi="Times New Roman" w:cs="Times New Roman"/>
          <w:color w:val="000000" w:themeColor="text1"/>
          <w:sz w:val="24"/>
          <w:szCs w:val="24"/>
          <w:lang w:val="sr"/>
        </w:rPr>
        <w:t xml:space="preserve">Посматрано по броју уговора, међу набавкама изузетим од примене ЗЈН </w:t>
      </w:r>
      <w:r w:rsidR="004A6BBD">
        <w:rPr>
          <w:rFonts w:ascii="Times New Roman" w:hAnsi="Times New Roman" w:cs="Times New Roman"/>
          <w:color w:val="000000" w:themeColor="text1"/>
          <w:sz w:val="24"/>
          <w:szCs w:val="24"/>
          <w:lang w:val="sr"/>
        </w:rPr>
        <w:t>са 7</w:t>
      </w:r>
      <w:r w:rsidR="009B1E6C">
        <w:rPr>
          <w:rFonts w:ascii="Times New Roman" w:hAnsi="Times New Roman" w:cs="Times New Roman"/>
          <w:color w:val="000000" w:themeColor="text1"/>
          <w:sz w:val="24"/>
          <w:szCs w:val="24"/>
          <w:lang w:val="sr"/>
        </w:rPr>
        <w:t>7</w:t>
      </w:r>
      <w:r w:rsidR="00B960E8">
        <w:rPr>
          <w:rFonts w:ascii="Times New Roman" w:hAnsi="Times New Roman" w:cs="Times New Roman"/>
          <w:color w:val="000000" w:themeColor="text1"/>
          <w:sz w:val="24"/>
          <w:szCs w:val="24"/>
          <w:lang w:val="sr"/>
        </w:rPr>
        <w:t xml:space="preserve">% учешћа </w:t>
      </w:r>
      <w:r w:rsidR="00114215">
        <w:rPr>
          <w:rFonts w:ascii="Times New Roman" w:hAnsi="Times New Roman" w:cs="Times New Roman"/>
          <w:color w:val="000000" w:themeColor="text1"/>
          <w:sz w:val="24"/>
          <w:szCs w:val="24"/>
          <w:lang w:val="sr"/>
        </w:rPr>
        <w:t xml:space="preserve">доминирају оне чија је вредност </w:t>
      </w:r>
      <w:r w:rsidR="00B960E8">
        <w:rPr>
          <w:rFonts w:ascii="Times New Roman" w:hAnsi="Times New Roman" w:cs="Times New Roman"/>
          <w:color w:val="000000" w:themeColor="text1"/>
          <w:sz w:val="24"/>
          <w:szCs w:val="24"/>
          <w:lang w:val="sr"/>
        </w:rPr>
        <w:t xml:space="preserve">била </w:t>
      </w:r>
      <w:r w:rsidR="00114215">
        <w:rPr>
          <w:rFonts w:ascii="Times New Roman" w:hAnsi="Times New Roman" w:cs="Times New Roman"/>
          <w:color w:val="000000" w:themeColor="text1"/>
          <w:sz w:val="24"/>
          <w:szCs w:val="24"/>
          <w:lang w:val="sr"/>
        </w:rPr>
        <w:t>испод 500.000 динара на годишњем нивоу</w:t>
      </w:r>
      <w:r w:rsidR="00B960E8">
        <w:rPr>
          <w:rFonts w:ascii="Times New Roman" w:hAnsi="Times New Roman" w:cs="Times New Roman"/>
          <w:color w:val="000000" w:themeColor="text1"/>
          <w:sz w:val="24"/>
          <w:szCs w:val="24"/>
          <w:lang w:val="sr"/>
        </w:rPr>
        <w:t xml:space="preserve"> (Табела 10)</w:t>
      </w:r>
      <w:r w:rsidR="00114215">
        <w:rPr>
          <w:rFonts w:ascii="Times New Roman" w:hAnsi="Times New Roman" w:cs="Times New Roman"/>
          <w:color w:val="000000" w:themeColor="text1"/>
          <w:sz w:val="24"/>
          <w:szCs w:val="24"/>
          <w:lang w:val="sr"/>
        </w:rPr>
        <w:t xml:space="preserve">.  </w:t>
      </w:r>
    </w:p>
    <w:p w14:paraId="18257E01" w14:textId="77777777" w:rsidR="002A3601" w:rsidRDefault="002A3601" w:rsidP="001960F4">
      <w:pPr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7991115A" w14:textId="77777777" w:rsidR="002A3601" w:rsidRDefault="002A3601" w:rsidP="001960F4">
      <w:pPr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31338047" w14:textId="77777777" w:rsidR="002A3601" w:rsidRDefault="002A3601" w:rsidP="001960F4">
      <w:pPr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070D087E" w14:textId="77777777" w:rsidR="002A3601" w:rsidRDefault="002A3601" w:rsidP="001960F4">
      <w:pPr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5588229" w14:textId="4C662E5A" w:rsidR="001960F4" w:rsidRDefault="001960F4" w:rsidP="001960F4">
      <w:pPr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A50AF">
        <w:rPr>
          <w:rFonts w:ascii="Times New Roman" w:hAnsi="Times New Roman" w:cs="Times New Roman"/>
          <w:b/>
          <w:color w:val="auto"/>
          <w:sz w:val="24"/>
          <w:szCs w:val="24"/>
        </w:rPr>
        <w:t>Табел</w:t>
      </w:r>
      <w:r w:rsidR="003A50AF" w:rsidRPr="003A50AF">
        <w:rPr>
          <w:rFonts w:ascii="Times New Roman" w:hAnsi="Times New Roman" w:cs="Times New Roman"/>
          <w:b/>
          <w:color w:val="auto"/>
          <w:sz w:val="24"/>
          <w:szCs w:val="24"/>
        </w:rPr>
        <w:t>а 9</w:t>
      </w:r>
    </w:p>
    <w:tbl>
      <w:tblPr>
        <w:tblStyle w:val="TableGrid11"/>
        <w:tblW w:w="4890" w:type="pct"/>
        <w:jc w:val="center"/>
        <w:tblLook w:val="0000" w:firstRow="0" w:lastRow="0" w:firstColumn="0" w:lastColumn="0" w:noHBand="0" w:noVBand="0"/>
      </w:tblPr>
      <w:tblGrid>
        <w:gridCol w:w="2089"/>
        <w:gridCol w:w="1511"/>
        <w:gridCol w:w="1809"/>
        <w:gridCol w:w="1554"/>
        <w:gridCol w:w="1855"/>
      </w:tblGrid>
      <w:tr w:rsidR="008631D5" w:rsidRPr="00A7348C" w14:paraId="2AD06A88" w14:textId="77777777" w:rsidTr="008631D5">
        <w:trPr>
          <w:trHeight w:val="500"/>
          <w:jc w:val="center"/>
        </w:trPr>
        <w:tc>
          <w:tcPr>
            <w:tcW w:w="5000" w:type="pct"/>
            <w:gridSpan w:val="5"/>
            <w:vAlign w:val="center"/>
          </w:tcPr>
          <w:p w14:paraId="6916CD57" w14:textId="77777777" w:rsidR="008631D5" w:rsidRPr="00A7348C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sr-Cyrl-CS" w:eastAsia="uz-Cyrl-UZ"/>
              </w:rPr>
            </w:pPr>
            <w:r w:rsidRPr="00A7348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  <w:t>Преглед свих набавки у Републици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  <w:t xml:space="preserve"> Србији у првом полугодишту 2018</w:t>
            </w:r>
            <w:r w:rsidRPr="00A7348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  <w:t>. годин</w:t>
            </w:r>
            <w:r w:rsidRPr="00A7348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sr-Cyrl-CS" w:eastAsia="uz-Cyrl-UZ"/>
              </w:rPr>
              <w:t>е</w:t>
            </w:r>
          </w:p>
        </w:tc>
      </w:tr>
      <w:tr w:rsidR="008631D5" w:rsidRPr="00A7348C" w14:paraId="76BA64F4" w14:textId="77777777" w:rsidTr="008631D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1184" w:type="pct"/>
            <w:vMerge w:val="restart"/>
            <w:vAlign w:val="center"/>
          </w:tcPr>
          <w:p w14:paraId="1893BAC6" w14:textId="77777777" w:rsidR="008631D5" w:rsidRPr="00A7348C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</w:pPr>
            <w:r w:rsidRPr="00A7348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  <w:t>Врста набавки</w:t>
            </w:r>
          </w:p>
        </w:tc>
        <w:tc>
          <w:tcPr>
            <w:tcW w:w="857" w:type="pct"/>
            <w:vMerge w:val="restart"/>
            <w:vAlign w:val="center"/>
          </w:tcPr>
          <w:p w14:paraId="76710FD3" w14:textId="77777777" w:rsidR="008631D5" w:rsidRPr="00A7348C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</w:pPr>
            <w:r w:rsidRPr="00A7348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  <w:t>Укупан број уговора</w:t>
            </w:r>
          </w:p>
        </w:tc>
        <w:tc>
          <w:tcPr>
            <w:tcW w:w="1026" w:type="pct"/>
            <w:vMerge w:val="restart"/>
            <w:vAlign w:val="center"/>
          </w:tcPr>
          <w:p w14:paraId="6A78FFF2" w14:textId="77777777" w:rsidR="008631D5" w:rsidRPr="00A7348C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</w:pPr>
            <w:r w:rsidRPr="00A7348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  <w:t>Укупна уговорена вредност*</w:t>
            </w:r>
          </w:p>
        </w:tc>
        <w:tc>
          <w:tcPr>
            <w:tcW w:w="1933" w:type="pct"/>
            <w:gridSpan w:val="2"/>
            <w:vAlign w:val="center"/>
          </w:tcPr>
          <w:p w14:paraId="3EFFCF24" w14:textId="77777777" w:rsidR="008631D5" w:rsidRPr="00A7348C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</w:pPr>
            <w:r w:rsidRPr="00A7348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  <w:t>Заступљеност у свим набавкама</w:t>
            </w:r>
          </w:p>
        </w:tc>
      </w:tr>
      <w:tr w:rsidR="008631D5" w:rsidRPr="00A7348C" w14:paraId="00B7768E" w14:textId="77777777" w:rsidTr="008631D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1184" w:type="pct"/>
            <w:vMerge/>
            <w:vAlign w:val="center"/>
          </w:tcPr>
          <w:p w14:paraId="67BFCC6A" w14:textId="77777777" w:rsidR="008631D5" w:rsidRPr="00A7348C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</w:pPr>
          </w:p>
        </w:tc>
        <w:tc>
          <w:tcPr>
            <w:tcW w:w="857" w:type="pct"/>
            <w:vMerge/>
            <w:vAlign w:val="center"/>
          </w:tcPr>
          <w:p w14:paraId="4411EE60" w14:textId="77777777" w:rsidR="008631D5" w:rsidRPr="00A7348C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</w:pPr>
          </w:p>
        </w:tc>
        <w:tc>
          <w:tcPr>
            <w:tcW w:w="1026" w:type="pct"/>
            <w:vMerge/>
            <w:vAlign w:val="center"/>
          </w:tcPr>
          <w:p w14:paraId="7EF2B9FB" w14:textId="77777777" w:rsidR="008631D5" w:rsidRPr="00A7348C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</w:pPr>
          </w:p>
        </w:tc>
        <w:tc>
          <w:tcPr>
            <w:tcW w:w="881" w:type="pct"/>
            <w:vAlign w:val="center"/>
          </w:tcPr>
          <w:p w14:paraId="40D5BB9C" w14:textId="77777777" w:rsidR="008631D5" w:rsidRPr="00A7348C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</w:pPr>
            <w:r w:rsidRPr="00A7348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  <w:t>По броју</w:t>
            </w:r>
          </w:p>
          <w:p w14:paraId="628B1906" w14:textId="77777777" w:rsidR="008631D5" w:rsidRPr="00A7348C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</w:pPr>
            <w:r w:rsidRPr="00A7348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  <w:t xml:space="preserve"> (у %)</w:t>
            </w:r>
          </w:p>
        </w:tc>
        <w:tc>
          <w:tcPr>
            <w:tcW w:w="1052" w:type="pct"/>
            <w:vAlign w:val="center"/>
          </w:tcPr>
          <w:p w14:paraId="0D4BF4B7" w14:textId="77777777" w:rsidR="008631D5" w:rsidRPr="00A7348C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</w:pPr>
            <w:r w:rsidRPr="00A7348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  <w:t xml:space="preserve">По вредности </w:t>
            </w:r>
          </w:p>
          <w:p w14:paraId="35F7DBC9" w14:textId="77777777" w:rsidR="008631D5" w:rsidRPr="00A7348C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</w:pPr>
            <w:r w:rsidRPr="00A7348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  <w:t>(у %)</w:t>
            </w:r>
          </w:p>
        </w:tc>
      </w:tr>
      <w:tr w:rsidR="008631D5" w:rsidRPr="00A7348C" w14:paraId="6BF6C02C" w14:textId="77777777" w:rsidTr="008631D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1184" w:type="pct"/>
            <w:vAlign w:val="center"/>
          </w:tcPr>
          <w:p w14:paraId="194BD278" w14:textId="77777777" w:rsidR="008631D5" w:rsidRPr="00D968B8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sr-Cyrl-RS" w:eastAsia="uz-Cyrl-UZ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sr-Cyrl-RS" w:eastAsia="uz-Cyrl-UZ"/>
              </w:rPr>
              <w:t>Јавне набавке</w:t>
            </w:r>
          </w:p>
        </w:tc>
        <w:tc>
          <w:tcPr>
            <w:tcW w:w="857" w:type="pct"/>
            <w:vAlign w:val="center"/>
          </w:tcPr>
          <w:p w14:paraId="0CD617DF" w14:textId="77777777" w:rsidR="008631D5" w:rsidRPr="00D968B8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sr-Cyrl-RS" w:eastAsia="uz-Cyrl-UZ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sr-Cyrl-RS" w:eastAsia="uz-Cyrl-UZ"/>
              </w:rPr>
              <w:t>60.475</w:t>
            </w:r>
          </w:p>
        </w:tc>
        <w:tc>
          <w:tcPr>
            <w:tcW w:w="1026" w:type="pct"/>
            <w:vAlign w:val="center"/>
          </w:tcPr>
          <w:p w14:paraId="0C5E6F90" w14:textId="77777777" w:rsidR="008631D5" w:rsidRPr="00963AB8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uz-Cyrl-U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.358.108</w:t>
            </w:r>
          </w:p>
        </w:tc>
        <w:tc>
          <w:tcPr>
            <w:tcW w:w="881" w:type="pct"/>
            <w:vAlign w:val="center"/>
          </w:tcPr>
          <w:p w14:paraId="1DEAA338" w14:textId="77777777" w:rsidR="008631D5" w:rsidRPr="00365EE8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sr-Cyrl-RS" w:eastAsia="uz-Cyrl-UZ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sr-Cyrl-RS" w:eastAsia="uz-Cyrl-UZ"/>
              </w:rPr>
              <w:t>24</w:t>
            </w:r>
          </w:p>
        </w:tc>
        <w:tc>
          <w:tcPr>
            <w:tcW w:w="1052" w:type="pct"/>
            <w:vAlign w:val="center"/>
          </w:tcPr>
          <w:p w14:paraId="4D846A81" w14:textId="77777777" w:rsidR="008631D5" w:rsidRPr="00365EE8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sr-Cyrl-RS" w:eastAsia="uz-Cyrl-UZ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sr-Cyrl-RS" w:eastAsia="uz-Cyrl-UZ"/>
              </w:rPr>
              <w:t>72</w:t>
            </w:r>
          </w:p>
        </w:tc>
      </w:tr>
      <w:tr w:rsidR="008631D5" w:rsidRPr="00A7348C" w14:paraId="189E26F3" w14:textId="77777777" w:rsidTr="008631D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1184" w:type="pct"/>
            <w:vAlign w:val="center"/>
          </w:tcPr>
          <w:p w14:paraId="74375051" w14:textId="77777777" w:rsidR="008631D5" w:rsidRPr="00D968B8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sr-Cyrl-RS" w:eastAsia="uz-Cyrl-UZ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  <w:t>Н</w:t>
            </w:r>
            <w:r w:rsidRPr="00A7348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  <w:t>абавке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sr-Cyrl-RS" w:eastAsia="uz-Cyrl-UZ"/>
              </w:rPr>
              <w:t xml:space="preserve"> изузете од закона</w:t>
            </w:r>
          </w:p>
        </w:tc>
        <w:tc>
          <w:tcPr>
            <w:tcW w:w="857" w:type="pct"/>
            <w:vAlign w:val="center"/>
          </w:tcPr>
          <w:p w14:paraId="091128D8" w14:textId="77777777" w:rsidR="008631D5" w:rsidRPr="00D968B8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sr-Cyrl-RS" w:eastAsia="uz-Cyrl-UZ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sr-Cyrl-RS" w:eastAsia="uz-Cyrl-UZ"/>
              </w:rPr>
              <w:t>178.687</w:t>
            </w:r>
          </w:p>
        </w:tc>
        <w:tc>
          <w:tcPr>
            <w:tcW w:w="1026" w:type="pct"/>
            <w:vAlign w:val="center"/>
          </w:tcPr>
          <w:p w14:paraId="72588BDB" w14:textId="77777777" w:rsidR="008631D5" w:rsidRPr="00D968B8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sr-Cyrl-RS" w:eastAsia="uz-Cyrl-UZ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sr-Cyrl-RS" w:eastAsia="uz-Cyrl-UZ"/>
              </w:rPr>
              <w:t>73.510.653</w:t>
            </w:r>
          </w:p>
        </w:tc>
        <w:tc>
          <w:tcPr>
            <w:tcW w:w="881" w:type="pct"/>
            <w:vAlign w:val="center"/>
          </w:tcPr>
          <w:p w14:paraId="49FA42E6" w14:textId="77777777" w:rsidR="008631D5" w:rsidRPr="00365EE8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sr-Cyrl-RS" w:eastAsia="uz-Cyrl-UZ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sr-Cyrl-RS" w:eastAsia="uz-Cyrl-UZ"/>
              </w:rPr>
              <w:t>76</w:t>
            </w:r>
          </w:p>
        </w:tc>
        <w:tc>
          <w:tcPr>
            <w:tcW w:w="1052" w:type="pct"/>
            <w:vAlign w:val="center"/>
          </w:tcPr>
          <w:p w14:paraId="20E55297" w14:textId="77777777" w:rsidR="008631D5" w:rsidRPr="00365EE8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sr-Cyrl-RS" w:eastAsia="uz-Cyrl-UZ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sr-Cyrl-RS" w:eastAsia="uz-Cyrl-UZ"/>
              </w:rPr>
              <w:t>28</w:t>
            </w:r>
          </w:p>
        </w:tc>
      </w:tr>
      <w:tr w:rsidR="008631D5" w:rsidRPr="00A7348C" w14:paraId="5464604F" w14:textId="77777777" w:rsidTr="008631D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1184" w:type="pct"/>
            <w:vAlign w:val="center"/>
          </w:tcPr>
          <w:p w14:paraId="064905AF" w14:textId="77777777" w:rsidR="008631D5" w:rsidRPr="00A7348C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</w:pPr>
            <w:r w:rsidRPr="00A7348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uz-Cyrl-UZ"/>
              </w:rPr>
              <w:t>Укупно</w:t>
            </w:r>
          </w:p>
        </w:tc>
        <w:tc>
          <w:tcPr>
            <w:tcW w:w="857" w:type="pct"/>
            <w:vAlign w:val="center"/>
          </w:tcPr>
          <w:p w14:paraId="3A6BB00A" w14:textId="77777777" w:rsidR="008631D5" w:rsidRPr="00D968B8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sr-Cyrl-RS" w:eastAsia="uz-Cyrl-UZ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sr-Cyrl-RS" w:eastAsia="uz-Cyrl-UZ"/>
              </w:rPr>
              <w:t>248.162</w:t>
            </w:r>
          </w:p>
        </w:tc>
        <w:tc>
          <w:tcPr>
            <w:tcW w:w="1026" w:type="pct"/>
            <w:vAlign w:val="center"/>
          </w:tcPr>
          <w:p w14:paraId="504D4294" w14:textId="77777777" w:rsidR="008631D5" w:rsidRPr="00D968B8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sr-Cyrl-RS" w:eastAsia="uz-Cyrl-UZ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sr-Cyrl-RS" w:eastAsia="uz-Cyrl-UZ"/>
              </w:rPr>
              <w:t>261.868.761</w:t>
            </w:r>
          </w:p>
        </w:tc>
        <w:tc>
          <w:tcPr>
            <w:tcW w:w="881" w:type="pct"/>
            <w:vAlign w:val="center"/>
          </w:tcPr>
          <w:p w14:paraId="3F000487" w14:textId="77777777" w:rsidR="008631D5" w:rsidRPr="00365EE8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sr-Cyrl-RS" w:eastAsia="uz-Cyrl-UZ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sr-Cyrl-RS" w:eastAsia="uz-Cyrl-UZ"/>
              </w:rPr>
              <w:t>100</w:t>
            </w:r>
          </w:p>
        </w:tc>
        <w:tc>
          <w:tcPr>
            <w:tcW w:w="1052" w:type="pct"/>
            <w:vAlign w:val="center"/>
          </w:tcPr>
          <w:p w14:paraId="7EBA83EF" w14:textId="77777777" w:rsidR="008631D5" w:rsidRPr="00365EE8" w:rsidRDefault="008631D5" w:rsidP="008631D5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sr-Cyrl-RS" w:eastAsia="uz-Cyrl-UZ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sr-Cyrl-RS" w:eastAsia="uz-Cyrl-UZ"/>
              </w:rPr>
              <w:t>100</w:t>
            </w:r>
          </w:p>
        </w:tc>
      </w:tr>
    </w:tbl>
    <w:p w14:paraId="5E31565F" w14:textId="18D32E3F" w:rsidR="001960F4" w:rsidRPr="009612B0" w:rsidRDefault="008631D5" w:rsidP="009612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1960F4">
        <w:rPr>
          <w:rFonts w:ascii="Times New Roman" w:hAnsi="Times New Roman" w:cs="Times New Roman"/>
          <w:sz w:val="24"/>
          <w:szCs w:val="24"/>
        </w:rPr>
        <w:t>*В</w:t>
      </w:r>
      <w:r w:rsidR="001960F4" w:rsidRPr="005E5329">
        <w:rPr>
          <w:rFonts w:ascii="Times New Roman" w:hAnsi="Times New Roman" w:cs="Times New Roman"/>
          <w:sz w:val="24"/>
          <w:szCs w:val="24"/>
        </w:rPr>
        <w:t>редности су изражене у хиљадама динара</w:t>
      </w:r>
    </w:p>
    <w:p w14:paraId="1BA1AACE" w14:textId="138FF783" w:rsidR="002A3601" w:rsidRDefault="002A3601" w:rsidP="009612B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A1201A6" w14:textId="14E7C80F" w:rsidR="008631D5" w:rsidRDefault="008631D5" w:rsidP="008631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0D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основу структуре набавки на које се ЗЈН није примењивао приказане у Табели 10, произлази да највеће учешће у укупној вредности изузетака чине набавке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наручилаца </w:t>
      </w:r>
      <w:r w:rsidRPr="00BB0D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основу члана 39. став. 2. ЗЈН, односно набавке испод доњег лимита за јавне набавке мале вредности</w:t>
      </w:r>
      <w:r w:rsidR="006C24A0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са 25% вредности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  <w:r w:rsidRPr="00BB0D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Следе набавке по основу члана 7. став 1. тачка 1) ЗЈН, односно набавке по основу искључивих права на обављање делатности која је предмет јавне набавке, које чине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3</w:t>
      </w:r>
      <w:r w:rsidRPr="00BB0D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Набавке на основу члана 122. став 1. тачка 4)  </w:t>
      </w:r>
      <w:r w:rsidRPr="00BB0D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учествују са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</w:t>
      </w:r>
      <w:r w:rsidRPr="00BB0D88">
        <w:rPr>
          <w:rFonts w:ascii="Times New Roman" w:hAnsi="Times New Roman" w:cs="Times New Roman"/>
          <w:color w:val="000000" w:themeColor="text1"/>
          <w:sz w:val="24"/>
          <w:szCs w:val="24"/>
        </w:rPr>
        <w:t>%, док набавке по основу члана 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BB0D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ЗЈН, односно набавке између повезаних лица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чине 14</w:t>
      </w:r>
      <w:r w:rsidRPr="00BB0D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%. </w:t>
      </w:r>
    </w:p>
    <w:p w14:paraId="3D74D4EF" w14:textId="7E9ACF8A" w:rsidR="008631D5" w:rsidRDefault="008631D5" w:rsidP="009612B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418E8C2" w14:textId="73E22314" w:rsidR="002A3601" w:rsidRDefault="002A3601" w:rsidP="009612B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5689C8B" w14:textId="460C2203" w:rsidR="002A3601" w:rsidRDefault="002A3601" w:rsidP="009612B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A81A8F3" w14:textId="3CB9B289" w:rsidR="002A3601" w:rsidRDefault="002A3601" w:rsidP="009612B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B031546" w14:textId="68CE3F37" w:rsidR="002A3601" w:rsidRDefault="002A3601" w:rsidP="009612B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B5BFD11" w14:textId="01455B2A" w:rsidR="002A3601" w:rsidRDefault="002A3601" w:rsidP="009612B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CC70916" w14:textId="5CE7C558" w:rsidR="002A3601" w:rsidRDefault="002A3601" w:rsidP="009612B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28AB3E9" w14:textId="40B69549" w:rsidR="002A3601" w:rsidRDefault="002A3601" w:rsidP="009612B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789EC2F" w14:textId="76E80FF2" w:rsidR="002A3601" w:rsidRDefault="002A3601" w:rsidP="009612B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FB8AA4E" w14:textId="1AC1B4B8" w:rsidR="002A3601" w:rsidRDefault="002A3601" w:rsidP="009612B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7A6445D" w14:textId="3779245D" w:rsidR="001960F4" w:rsidRPr="009612B0" w:rsidRDefault="003A50AF" w:rsidP="009612B0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B0D8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Табела 10</w:t>
      </w:r>
    </w:p>
    <w:tbl>
      <w:tblPr>
        <w:tblStyle w:val="TableGrid2"/>
        <w:tblW w:w="10165" w:type="dxa"/>
        <w:jc w:val="center"/>
        <w:tblLayout w:type="fixed"/>
        <w:tblLook w:val="04A0" w:firstRow="1" w:lastRow="0" w:firstColumn="1" w:lastColumn="0" w:noHBand="0" w:noVBand="1"/>
      </w:tblPr>
      <w:tblGrid>
        <w:gridCol w:w="4117"/>
        <w:gridCol w:w="1275"/>
        <w:gridCol w:w="1560"/>
        <w:gridCol w:w="1591"/>
        <w:gridCol w:w="1622"/>
      </w:tblGrid>
      <w:tr w:rsidR="001960F4" w:rsidRPr="005E5329" w14:paraId="1C065311" w14:textId="77777777" w:rsidTr="00A75F48">
        <w:trPr>
          <w:jc w:val="center"/>
        </w:trPr>
        <w:tc>
          <w:tcPr>
            <w:tcW w:w="10165" w:type="dxa"/>
            <w:gridSpan w:val="5"/>
            <w:vAlign w:val="center"/>
          </w:tcPr>
          <w:p w14:paraId="6099669F" w14:textId="627E9FF4" w:rsidR="001960F4" w:rsidRPr="005E5329" w:rsidRDefault="001960F4" w:rsidP="00194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Подаци о набавкама на које се </w:t>
            </w:r>
            <w:r w:rsidR="00352D96">
              <w:rPr>
                <w:rFonts w:ascii="Times New Roman" w:hAnsi="Times New Roman" w:cs="Times New Roman"/>
                <w:b/>
                <w:sz w:val="24"/>
                <w:szCs w:val="24"/>
              </w:rPr>
              <w:t>ЗЈН</w:t>
            </w:r>
            <w:r w:rsidRPr="005E5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примењује по основама за изузеће</w:t>
            </w:r>
          </w:p>
          <w:p w14:paraId="7802BC7F" w14:textId="29DFD4C3" w:rsidR="001960F4" w:rsidRPr="004922B6" w:rsidRDefault="001960F4" w:rsidP="001947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 првом полугодишту</w:t>
            </w:r>
            <w:r w:rsidRPr="005E5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631D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5E5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године</w:t>
            </w:r>
          </w:p>
        </w:tc>
      </w:tr>
      <w:tr w:rsidR="001960F4" w:rsidRPr="005E5329" w14:paraId="6CD85F1A" w14:textId="77777777" w:rsidTr="00A75F48">
        <w:trPr>
          <w:jc w:val="center"/>
        </w:trPr>
        <w:tc>
          <w:tcPr>
            <w:tcW w:w="4117" w:type="dxa"/>
            <w:vAlign w:val="center"/>
          </w:tcPr>
          <w:p w14:paraId="39AD81A0" w14:textId="77777777" w:rsidR="001960F4" w:rsidRPr="00F01BD4" w:rsidRDefault="001960F4" w:rsidP="0019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BD4">
              <w:rPr>
                <w:rFonts w:ascii="Times New Roman" w:hAnsi="Times New Roman" w:cs="Times New Roman"/>
                <w:b/>
              </w:rPr>
              <w:t>Основ за изузеће</w:t>
            </w:r>
          </w:p>
          <w:p w14:paraId="5052B7C8" w14:textId="7ECF982F" w:rsidR="001960F4" w:rsidRPr="00F01BD4" w:rsidRDefault="00352D96" w:rsidP="0019473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од примене ЗЈН</w:t>
            </w:r>
          </w:p>
        </w:tc>
        <w:tc>
          <w:tcPr>
            <w:tcW w:w="1275" w:type="dxa"/>
            <w:vAlign w:val="center"/>
          </w:tcPr>
          <w:p w14:paraId="106159A3" w14:textId="77777777" w:rsidR="001960F4" w:rsidRPr="00F01BD4" w:rsidRDefault="001960F4" w:rsidP="0019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BD4">
              <w:rPr>
                <w:rFonts w:ascii="Times New Roman" w:hAnsi="Times New Roman" w:cs="Times New Roman"/>
                <w:b/>
              </w:rPr>
              <w:t>Број уговора</w:t>
            </w:r>
          </w:p>
        </w:tc>
        <w:tc>
          <w:tcPr>
            <w:tcW w:w="1560" w:type="dxa"/>
            <w:vAlign w:val="center"/>
          </w:tcPr>
          <w:p w14:paraId="01B87DDD" w14:textId="77777777" w:rsidR="001960F4" w:rsidRPr="00F01BD4" w:rsidRDefault="001960F4" w:rsidP="0019473A">
            <w:pPr>
              <w:tabs>
                <w:tab w:val="left" w:pos="1885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01BD4">
              <w:rPr>
                <w:rFonts w:ascii="Times New Roman" w:eastAsia="Times New Roman" w:hAnsi="Times New Roman" w:cs="Times New Roman"/>
                <w:b/>
              </w:rPr>
              <w:t>Уговорена вредност без ПДВ-а</w:t>
            </w:r>
            <w:r w:rsidRPr="00F01BD4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1591" w:type="dxa"/>
            <w:vAlign w:val="center"/>
          </w:tcPr>
          <w:p w14:paraId="1DC12AE1" w14:textId="77777777" w:rsidR="001960F4" w:rsidRPr="00F01BD4" w:rsidRDefault="001960F4" w:rsidP="0019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BD4">
              <w:rPr>
                <w:rFonts w:ascii="Times New Roman" w:hAnsi="Times New Roman" w:cs="Times New Roman"/>
                <w:b/>
              </w:rPr>
              <w:t>Бројчана заступљеност</w:t>
            </w:r>
          </w:p>
          <w:p w14:paraId="1696B7EF" w14:textId="77777777" w:rsidR="001960F4" w:rsidRPr="00F01BD4" w:rsidRDefault="001960F4" w:rsidP="0019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BD4">
              <w:rPr>
                <w:rFonts w:ascii="Times New Roman" w:eastAsia="Times New Roman" w:hAnsi="Times New Roman" w:cs="Times New Roman"/>
                <w:b/>
              </w:rPr>
              <w:t>(у %)</w:t>
            </w:r>
          </w:p>
        </w:tc>
        <w:tc>
          <w:tcPr>
            <w:tcW w:w="1622" w:type="dxa"/>
            <w:vAlign w:val="center"/>
          </w:tcPr>
          <w:p w14:paraId="2F1B0D2A" w14:textId="77777777" w:rsidR="001960F4" w:rsidRPr="00F01BD4" w:rsidRDefault="001960F4" w:rsidP="0019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BD4">
              <w:rPr>
                <w:rFonts w:ascii="Times New Roman" w:hAnsi="Times New Roman" w:cs="Times New Roman"/>
                <w:b/>
              </w:rPr>
              <w:t>Вредносна заступљеност</w:t>
            </w:r>
          </w:p>
          <w:p w14:paraId="3BD4C6B8" w14:textId="77777777" w:rsidR="001960F4" w:rsidRPr="00F01BD4" w:rsidRDefault="001960F4" w:rsidP="001947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BD4">
              <w:rPr>
                <w:rFonts w:ascii="Times New Roman" w:eastAsia="Times New Roman" w:hAnsi="Times New Roman" w:cs="Times New Roman"/>
                <w:b/>
              </w:rPr>
              <w:t>(у %)</w:t>
            </w:r>
          </w:p>
        </w:tc>
      </w:tr>
      <w:tr w:rsidR="00E50E59" w:rsidRPr="005E5329" w14:paraId="3EF42AB6" w14:textId="77777777" w:rsidTr="005F4712">
        <w:trPr>
          <w:jc w:val="center"/>
        </w:trPr>
        <w:tc>
          <w:tcPr>
            <w:tcW w:w="4117" w:type="dxa"/>
            <w:vAlign w:val="center"/>
          </w:tcPr>
          <w:p w14:paraId="43C5559E" w14:textId="292ED5FC" w:rsidR="00E50E59" w:rsidRPr="00395244" w:rsidRDefault="00E50E59" w:rsidP="00E50E5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95244">
              <w:rPr>
                <w:rFonts w:ascii="Times New Roman" w:hAnsi="Times New Roman" w:cs="Times New Roman"/>
                <w:b/>
                <w:color w:val="000000" w:themeColor="text1"/>
              </w:rPr>
              <w:t>Чл.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7. ст. 1. тач. 1) ЗЈН</w:t>
            </w:r>
          </w:p>
          <w:p w14:paraId="04725AE7" w14:textId="77777777" w:rsidR="00E50E59" w:rsidRPr="00395244" w:rsidRDefault="00E50E59" w:rsidP="00E50E5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5244">
              <w:rPr>
                <w:rFonts w:ascii="Times New Roman" w:hAnsi="Times New Roman" w:cs="Times New Roman"/>
                <w:color w:val="000000" w:themeColor="text1"/>
              </w:rPr>
              <w:t>Искључиво право на обављање делатности која је предмет</w:t>
            </w:r>
          </w:p>
          <w:p w14:paraId="321614DA" w14:textId="77777777" w:rsidR="00E50E59" w:rsidRPr="00395244" w:rsidRDefault="00E50E59" w:rsidP="00E50E5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5244">
              <w:rPr>
                <w:rFonts w:ascii="Times New Roman" w:hAnsi="Times New Roman" w:cs="Times New Roman"/>
                <w:color w:val="000000" w:themeColor="text1"/>
              </w:rPr>
              <w:t>јавне набавке</w:t>
            </w:r>
          </w:p>
        </w:tc>
        <w:tc>
          <w:tcPr>
            <w:tcW w:w="1275" w:type="dxa"/>
            <w:vAlign w:val="center"/>
          </w:tcPr>
          <w:p w14:paraId="142ACD3C" w14:textId="2E286942" w:rsidR="00E50E59" w:rsidRPr="00D75518" w:rsidRDefault="00E50E59" w:rsidP="00E50E59">
            <w:pPr>
              <w:jc w:val="center"/>
              <w:rPr>
                <w:rFonts w:ascii="Times New Roman" w:hAnsi="Times New Roman" w:cs="Times New Roman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22.558</w:t>
            </w:r>
          </w:p>
        </w:tc>
        <w:tc>
          <w:tcPr>
            <w:tcW w:w="1560" w:type="dxa"/>
            <w:vAlign w:val="center"/>
          </w:tcPr>
          <w:p w14:paraId="491028B3" w14:textId="5F5ADF98" w:rsidR="00E50E59" w:rsidRPr="00D75518" w:rsidRDefault="00E50E59" w:rsidP="00E50E59">
            <w:pPr>
              <w:jc w:val="center"/>
              <w:rPr>
                <w:rFonts w:ascii="Times New Roman" w:hAnsi="Times New Roman" w:cs="Times New Roman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16.486.252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F633D2" w14:textId="3C40A329" w:rsidR="00E50E59" w:rsidRPr="00C92B5F" w:rsidRDefault="00E50E59" w:rsidP="00E50E59">
            <w:pPr>
              <w:jc w:val="center"/>
              <w:rPr>
                <w:rFonts w:ascii="Times New Roman" w:hAnsi="Times New Roman" w:cs="Times New Roman"/>
                <w:color w:val="000000"/>
                <w:lang w:val="sr-Cyrl-CS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BC21" w14:textId="16C026AD" w:rsidR="00E50E59" w:rsidRPr="00E37B06" w:rsidRDefault="00E50E59" w:rsidP="00E50E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50E59" w:rsidRPr="005E5329" w14:paraId="171FD6C7" w14:textId="77777777" w:rsidTr="005F4712">
        <w:trPr>
          <w:jc w:val="center"/>
        </w:trPr>
        <w:tc>
          <w:tcPr>
            <w:tcW w:w="4117" w:type="dxa"/>
            <w:vAlign w:val="center"/>
          </w:tcPr>
          <w:p w14:paraId="3817512C" w14:textId="51438B1F" w:rsidR="00E50E59" w:rsidRPr="00395244" w:rsidRDefault="00E50E59" w:rsidP="00E50E5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95244">
              <w:rPr>
                <w:rFonts w:ascii="Times New Roman" w:hAnsi="Times New Roman" w:cs="Times New Roman"/>
                <w:b/>
                <w:color w:val="000000" w:themeColor="text1"/>
              </w:rPr>
              <w:t>Чл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. 7. ст. 1. тач. 2) и 2а) ЗЈН</w:t>
            </w:r>
          </w:p>
          <w:p w14:paraId="7191E2A4" w14:textId="77777777" w:rsidR="00E50E59" w:rsidRPr="00395244" w:rsidRDefault="00E50E59" w:rsidP="00E50E5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5244">
              <w:rPr>
                <w:rFonts w:ascii="Times New Roman" w:hAnsi="Times New Roman" w:cs="Times New Roman"/>
                <w:color w:val="000000" w:themeColor="text1"/>
              </w:rPr>
              <w:t>Набавке из средстава страних кредита добијених од међународних организација и међународних финансијских институција</w:t>
            </w:r>
            <w:r w:rsidRPr="009234CB">
              <w:rPr>
                <w:rFonts w:ascii="Times New Roman" w:hAnsi="Times New Roman" w:cs="Times New Roman"/>
                <w:color w:val="000000" w:themeColor="text1"/>
              </w:rPr>
              <w:t>, односно по основу међународних споразума</w:t>
            </w:r>
          </w:p>
        </w:tc>
        <w:tc>
          <w:tcPr>
            <w:tcW w:w="1275" w:type="dxa"/>
            <w:vAlign w:val="center"/>
          </w:tcPr>
          <w:p w14:paraId="04B0AFBC" w14:textId="649878F6" w:rsidR="00E50E59" w:rsidRPr="00D75518" w:rsidRDefault="00E50E59" w:rsidP="00E50E59">
            <w:pPr>
              <w:jc w:val="center"/>
              <w:rPr>
                <w:rFonts w:ascii="Times New Roman" w:hAnsi="Times New Roman" w:cs="Times New Roman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724</w:t>
            </w:r>
          </w:p>
        </w:tc>
        <w:tc>
          <w:tcPr>
            <w:tcW w:w="1560" w:type="dxa"/>
            <w:vAlign w:val="center"/>
          </w:tcPr>
          <w:p w14:paraId="0952600B" w14:textId="48656576" w:rsidR="00E50E59" w:rsidRPr="004922B6" w:rsidRDefault="00E50E59" w:rsidP="00E50E59">
            <w:pPr>
              <w:jc w:val="center"/>
              <w:rPr>
                <w:rFonts w:ascii="Times New Roman" w:hAnsi="Times New Roman" w:cs="Times New Roman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4.140.223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3B47EF" w14:textId="74F22F83" w:rsidR="00E50E59" w:rsidRPr="00E37B06" w:rsidRDefault="00E50E59" w:rsidP="00E50E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6FAB" w14:textId="0A15B805" w:rsidR="00E50E59" w:rsidRPr="00E37B06" w:rsidRDefault="00E50E59" w:rsidP="00E50E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50E59" w:rsidRPr="005E5329" w14:paraId="59D16483" w14:textId="77777777" w:rsidTr="005F4712">
        <w:trPr>
          <w:jc w:val="center"/>
        </w:trPr>
        <w:tc>
          <w:tcPr>
            <w:tcW w:w="4117" w:type="dxa"/>
            <w:vAlign w:val="center"/>
          </w:tcPr>
          <w:p w14:paraId="3B7F5A19" w14:textId="6CB01D4D" w:rsidR="00E50E59" w:rsidRPr="00395244" w:rsidRDefault="00E50E59" w:rsidP="00E50E5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95244">
              <w:rPr>
                <w:rFonts w:ascii="Times New Roman" w:hAnsi="Times New Roman" w:cs="Times New Roman"/>
                <w:b/>
                <w:color w:val="000000" w:themeColor="text1"/>
              </w:rPr>
              <w:t>Чл. 7. ст. 1. тач.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12</w:t>
            </w:r>
            <w:r w:rsidRPr="00395244">
              <w:rPr>
                <w:rFonts w:ascii="Times New Roman" w:hAnsi="Times New Roman" w:cs="Times New Roman"/>
                <w:b/>
                <w:color w:val="000000" w:themeColor="text1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ЗЈН</w:t>
            </w:r>
          </w:p>
          <w:p w14:paraId="1FB047B4" w14:textId="77777777" w:rsidR="00E50E59" w:rsidRPr="004922B6" w:rsidRDefault="00E50E59" w:rsidP="00E50E5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Заснивање радног односа и закључивање уговора о обављању привремених и повремених послова</w:t>
            </w:r>
          </w:p>
        </w:tc>
        <w:tc>
          <w:tcPr>
            <w:tcW w:w="1275" w:type="dxa"/>
            <w:vAlign w:val="center"/>
          </w:tcPr>
          <w:p w14:paraId="48BB76F8" w14:textId="7E413C01" w:rsidR="00E50E59" w:rsidRPr="003F4488" w:rsidRDefault="00E50E59" w:rsidP="00E50E59">
            <w:pPr>
              <w:jc w:val="center"/>
              <w:rPr>
                <w:rFonts w:ascii="Times New Roman" w:hAnsi="Times New Roman" w:cs="Times New Roman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7.644</w:t>
            </w:r>
          </w:p>
        </w:tc>
        <w:tc>
          <w:tcPr>
            <w:tcW w:w="1560" w:type="dxa"/>
            <w:vAlign w:val="center"/>
          </w:tcPr>
          <w:p w14:paraId="5ACFD2DF" w14:textId="27A7E84D" w:rsidR="00E50E59" w:rsidRPr="003F4488" w:rsidRDefault="00E50E59" w:rsidP="00E50E59">
            <w:pPr>
              <w:jc w:val="center"/>
              <w:rPr>
                <w:rFonts w:ascii="Times New Roman" w:hAnsi="Times New Roman" w:cs="Times New Roman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785.895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9997D" w14:textId="6F87A836" w:rsidR="00E50E59" w:rsidRPr="00E37B06" w:rsidRDefault="00E50E59" w:rsidP="00E50E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4081" w14:textId="424D2271" w:rsidR="00E50E59" w:rsidRPr="00E37B06" w:rsidRDefault="00E50E59" w:rsidP="00E50E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0E59" w:rsidRPr="005E5329" w14:paraId="462AFEE9" w14:textId="77777777" w:rsidTr="005F4712">
        <w:trPr>
          <w:jc w:val="center"/>
        </w:trPr>
        <w:tc>
          <w:tcPr>
            <w:tcW w:w="4117" w:type="dxa"/>
            <w:vAlign w:val="center"/>
          </w:tcPr>
          <w:p w14:paraId="5109D2A6" w14:textId="13A59411" w:rsidR="00E50E59" w:rsidRPr="00352D96" w:rsidRDefault="00E50E59" w:rsidP="00E50E5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Чл. 7. ст. 1. тач. 6) ЗЈН</w:t>
            </w:r>
          </w:p>
          <w:p w14:paraId="00E31B13" w14:textId="77777777" w:rsidR="00E50E59" w:rsidRPr="00395244" w:rsidRDefault="00E50E59" w:rsidP="00E50E5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5244">
              <w:rPr>
                <w:rFonts w:ascii="Times New Roman" w:hAnsi="Times New Roman" w:cs="Times New Roman"/>
                <w:color w:val="000000" w:themeColor="text1"/>
              </w:rPr>
              <w:t>Набавке добара и услуга ради даље продаје, ради прераде и продаје</w:t>
            </w:r>
          </w:p>
        </w:tc>
        <w:tc>
          <w:tcPr>
            <w:tcW w:w="1275" w:type="dxa"/>
            <w:vAlign w:val="center"/>
          </w:tcPr>
          <w:p w14:paraId="2392698B" w14:textId="242F2896" w:rsidR="00E50E59" w:rsidRPr="003F4488" w:rsidRDefault="00E50E59" w:rsidP="00E50E59">
            <w:pPr>
              <w:jc w:val="center"/>
              <w:rPr>
                <w:rFonts w:ascii="Times New Roman" w:hAnsi="Times New Roman" w:cs="Times New Roman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11.506</w:t>
            </w:r>
          </w:p>
        </w:tc>
        <w:tc>
          <w:tcPr>
            <w:tcW w:w="1560" w:type="dxa"/>
            <w:vAlign w:val="center"/>
          </w:tcPr>
          <w:p w14:paraId="42E7B178" w14:textId="4034CCAC" w:rsidR="00E50E59" w:rsidRPr="004922B6" w:rsidRDefault="00E50E59" w:rsidP="00E50E59">
            <w:pPr>
              <w:jc w:val="center"/>
              <w:rPr>
                <w:rFonts w:ascii="Times New Roman" w:hAnsi="Times New Roman" w:cs="Times New Roman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3.764.970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021DF" w14:textId="449CB594" w:rsidR="00E50E59" w:rsidRPr="00E37B06" w:rsidRDefault="00E50E59" w:rsidP="00E50E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03EEE" w14:textId="4AEED977" w:rsidR="00E50E59" w:rsidRPr="00E37B06" w:rsidRDefault="00E50E59" w:rsidP="00E50E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0E59" w:rsidRPr="005E5329" w14:paraId="11AA1C54" w14:textId="77777777" w:rsidTr="005F4712">
        <w:trPr>
          <w:jc w:val="center"/>
        </w:trPr>
        <w:tc>
          <w:tcPr>
            <w:tcW w:w="4117" w:type="dxa"/>
            <w:vAlign w:val="center"/>
          </w:tcPr>
          <w:p w14:paraId="7A82114C" w14:textId="27A09C99" w:rsidR="00E50E59" w:rsidRPr="00525C2C" w:rsidRDefault="00E50E59" w:rsidP="00E50E5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Члан 7а ЗЈН </w:t>
            </w:r>
            <w:r w:rsidRPr="003A5862">
              <w:rPr>
                <w:rFonts w:ascii="Times New Roman" w:hAnsi="Times New Roman" w:cs="Times New Roman"/>
              </w:rPr>
              <w:t>набавке између повезаних лица</w:t>
            </w:r>
          </w:p>
        </w:tc>
        <w:tc>
          <w:tcPr>
            <w:tcW w:w="1275" w:type="dxa"/>
            <w:vAlign w:val="center"/>
          </w:tcPr>
          <w:p w14:paraId="6ADE9CF3" w14:textId="481976E2" w:rsidR="00E50E59" w:rsidRPr="003F4488" w:rsidRDefault="00E50E59" w:rsidP="00E50E59">
            <w:pPr>
              <w:jc w:val="center"/>
              <w:rPr>
                <w:rFonts w:ascii="Times New Roman" w:hAnsi="Times New Roman" w:cs="Times New Roman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678</w:t>
            </w:r>
          </w:p>
        </w:tc>
        <w:tc>
          <w:tcPr>
            <w:tcW w:w="1560" w:type="dxa"/>
            <w:vAlign w:val="center"/>
          </w:tcPr>
          <w:p w14:paraId="7937F85B" w14:textId="13F28EFA" w:rsidR="00E50E59" w:rsidRPr="003F4488" w:rsidRDefault="00E50E59" w:rsidP="00E50E59">
            <w:pPr>
              <w:jc w:val="center"/>
              <w:rPr>
                <w:rFonts w:ascii="Times New Roman" w:hAnsi="Times New Roman" w:cs="Times New Roman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10.451.752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3FB26B" w14:textId="5B63BC40" w:rsidR="00E50E59" w:rsidRPr="00E37B06" w:rsidRDefault="00E50E59" w:rsidP="00E50E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C9A58" w14:textId="1C39BC44" w:rsidR="00E50E59" w:rsidRPr="00E37B06" w:rsidRDefault="00E50E59" w:rsidP="00E50E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50E59" w:rsidRPr="005E5329" w14:paraId="0BC17F0B" w14:textId="77777777" w:rsidTr="005F4712">
        <w:trPr>
          <w:jc w:val="center"/>
        </w:trPr>
        <w:tc>
          <w:tcPr>
            <w:tcW w:w="4117" w:type="dxa"/>
            <w:vAlign w:val="center"/>
          </w:tcPr>
          <w:p w14:paraId="460D8DD2" w14:textId="13FBEEFD" w:rsidR="00E50E59" w:rsidRPr="00395244" w:rsidRDefault="00E50E59" w:rsidP="00E50E5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Чл. 39. ст. 2. ЗЈН</w:t>
            </w:r>
          </w:p>
          <w:p w14:paraId="110679D3" w14:textId="77777777" w:rsidR="00E50E59" w:rsidRPr="00395244" w:rsidRDefault="00E50E59" w:rsidP="00E50E5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5244">
              <w:rPr>
                <w:rFonts w:ascii="Times New Roman" w:hAnsi="Times New Roman" w:cs="Times New Roman"/>
                <w:color w:val="000000" w:themeColor="text1"/>
              </w:rPr>
              <w:t>Набавке испод доњег лимита за јавне набавке мале вредности</w:t>
            </w:r>
          </w:p>
        </w:tc>
        <w:tc>
          <w:tcPr>
            <w:tcW w:w="1275" w:type="dxa"/>
            <w:vAlign w:val="center"/>
          </w:tcPr>
          <w:p w14:paraId="407C4089" w14:textId="6DF84E73" w:rsidR="00E50E59" w:rsidRPr="003F2E16" w:rsidRDefault="00E50E59" w:rsidP="00E50E59">
            <w:pPr>
              <w:jc w:val="center"/>
              <w:rPr>
                <w:rFonts w:ascii="Times New Roman" w:hAnsi="Times New Roman" w:cs="Times New Roman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138.826</w:t>
            </w:r>
          </w:p>
        </w:tc>
        <w:tc>
          <w:tcPr>
            <w:tcW w:w="1560" w:type="dxa"/>
            <w:vAlign w:val="center"/>
          </w:tcPr>
          <w:p w14:paraId="79C49A0A" w14:textId="69E67222" w:rsidR="00E50E59" w:rsidRPr="003F2E16" w:rsidRDefault="00E50E59" w:rsidP="00E50E59">
            <w:pPr>
              <w:jc w:val="center"/>
              <w:rPr>
                <w:rFonts w:ascii="Times New Roman" w:hAnsi="Times New Roman" w:cs="Times New Roman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18.633.267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565C69" w14:textId="48B572F8" w:rsidR="00E50E59" w:rsidRPr="00E37B06" w:rsidRDefault="00E50E59" w:rsidP="00E50E59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3D57A" w14:textId="74086E28" w:rsidR="00E50E59" w:rsidRPr="00E37B06" w:rsidRDefault="00E50E59" w:rsidP="00E50E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50E59" w:rsidRPr="005E5329" w14:paraId="5BFAE45E" w14:textId="77777777" w:rsidTr="005F4712">
        <w:trPr>
          <w:jc w:val="center"/>
        </w:trPr>
        <w:tc>
          <w:tcPr>
            <w:tcW w:w="4117" w:type="dxa"/>
            <w:vAlign w:val="center"/>
          </w:tcPr>
          <w:p w14:paraId="193374AF" w14:textId="5E091919" w:rsidR="00E50E59" w:rsidRPr="00395244" w:rsidRDefault="00E50E59" w:rsidP="00E50E5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Чл. 122. ст. 1. тач. 4) ЗЈН</w:t>
            </w:r>
          </w:p>
          <w:p w14:paraId="66100D14" w14:textId="77777777" w:rsidR="00E50E59" w:rsidRPr="00395244" w:rsidRDefault="00E50E59" w:rsidP="00E50E5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5244">
              <w:rPr>
                <w:rFonts w:ascii="Times New Roman" w:hAnsi="Times New Roman" w:cs="Times New Roman"/>
                <w:color w:val="000000" w:themeColor="text1"/>
              </w:rPr>
              <w:t>Набавка енергије или горива за производњу енергије</w:t>
            </w:r>
          </w:p>
          <w:p w14:paraId="10D29841" w14:textId="77777777" w:rsidR="00E50E59" w:rsidRPr="00395244" w:rsidRDefault="00E50E59" w:rsidP="00E50E5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95244">
              <w:rPr>
                <w:rFonts w:ascii="Times New Roman" w:hAnsi="Times New Roman" w:cs="Times New Roman"/>
                <w:color w:val="000000" w:themeColor="text1"/>
              </w:rPr>
              <w:t>у области енергетике</w:t>
            </w:r>
          </w:p>
        </w:tc>
        <w:tc>
          <w:tcPr>
            <w:tcW w:w="1275" w:type="dxa"/>
            <w:vAlign w:val="center"/>
          </w:tcPr>
          <w:p w14:paraId="7A279CDF" w14:textId="0276DB1D" w:rsidR="00E50E59" w:rsidRPr="00475820" w:rsidRDefault="00E50E59" w:rsidP="00E50E59">
            <w:pPr>
              <w:jc w:val="center"/>
              <w:rPr>
                <w:rFonts w:ascii="Times New Roman" w:hAnsi="Times New Roman" w:cs="Times New Roman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560" w:type="dxa"/>
            <w:vAlign w:val="center"/>
          </w:tcPr>
          <w:p w14:paraId="5CBA1E1B" w14:textId="24C08E46" w:rsidR="00E50E59" w:rsidRPr="004922B6" w:rsidRDefault="00E50E59" w:rsidP="00E50E59">
            <w:pPr>
              <w:jc w:val="center"/>
              <w:rPr>
                <w:rFonts w:ascii="Times New Roman" w:hAnsi="Times New Roman" w:cs="Times New Roman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13.535.992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21DED4" w14:textId="0A1EE9C1" w:rsidR="00E50E59" w:rsidRPr="00E37B06" w:rsidRDefault="00E50E59" w:rsidP="00E50E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1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E4FDF" w14:textId="5EFA3ED1" w:rsidR="00E50E59" w:rsidRPr="00E37B06" w:rsidRDefault="00E50E59" w:rsidP="00E50E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1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E50E59" w:rsidRPr="005E5329" w14:paraId="43EB42C4" w14:textId="77777777" w:rsidTr="005F4712">
        <w:trPr>
          <w:jc w:val="center"/>
        </w:trPr>
        <w:tc>
          <w:tcPr>
            <w:tcW w:w="4117" w:type="dxa"/>
            <w:vAlign w:val="center"/>
          </w:tcPr>
          <w:p w14:paraId="0CEB66EA" w14:textId="486FD560" w:rsidR="00E50E59" w:rsidRPr="007D2125" w:rsidRDefault="00E50E59" w:rsidP="00E50E5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Чл. 7. ст. 1 тач. 10) ЗЈН</w:t>
            </w:r>
          </w:p>
        </w:tc>
        <w:tc>
          <w:tcPr>
            <w:tcW w:w="1275" w:type="dxa"/>
            <w:vAlign w:val="center"/>
          </w:tcPr>
          <w:p w14:paraId="3DD7D16F" w14:textId="4148D07C" w:rsidR="00E50E59" w:rsidRDefault="00E50E59" w:rsidP="00E50E59">
            <w:pPr>
              <w:jc w:val="center"/>
              <w:rPr>
                <w:rFonts w:ascii="Times New Roman" w:hAnsi="Times New Roman" w:cs="Times New Roman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4.403</w:t>
            </w:r>
          </w:p>
        </w:tc>
        <w:tc>
          <w:tcPr>
            <w:tcW w:w="1560" w:type="dxa"/>
            <w:vAlign w:val="center"/>
          </w:tcPr>
          <w:p w14:paraId="1B8A7288" w14:textId="217308DB" w:rsidR="00E50E59" w:rsidRDefault="00E50E59" w:rsidP="00E50E59">
            <w:pPr>
              <w:jc w:val="center"/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1.159.571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5891C4" w14:textId="55276AEF" w:rsidR="00E50E59" w:rsidRPr="00E37B06" w:rsidRDefault="00E50E59" w:rsidP="00E50E59">
            <w:pPr>
              <w:jc w:val="center"/>
              <w:rPr>
                <w:rFonts w:ascii="Times New Roman" w:hAnsi="Times New Roman" w:cs="Times New Roman"/>
              </w:rPr>
            </w:pPr>
            <w:r w:rsidRPr="00D31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CD52F" w14:textId="643E4790" w:rsidR="00E50E59" w:rsidRPr="00E37B06" w:rsidRDefault="00E50E59" w:rsidP="00E50E59">
            <w:pPr>
              <w:jc w:val="center"/>
              <w:rPr>
                <w:rFonts w:ascii="Times New Roman" w:hAnsi="Times New Roman" w:cs="Times New Roman"/>
              </w:rPr>
            </w:pPr>
            <w:r w:rsidRPr="00D31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50E59" w:rsidRPr="005E5329" w14:paraId="0BE53461" w14:textId="77777777" w:rsidTr="005F4712">
        <w:trPr>
          <w:jc w:val="center"/>
        </w:trPr>
        <w:tc>
          <w:tcPr>
            <w:tcW w:w="4117" w:type="dxa"/>
            <w:vAlign w:val="center"/>
          </w:tcPr>
          <w:p w14:paraId="4317D97E" w14:textId="77777777" w:rsidR="00E50E59" w:rsidRPr="005B17B7" w:rsidRDefault="00E50E59" w:rsidP="00E50E5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B17B7">
              <w:rPr>
                <w:rFonts w:ascii="Times New Roman" w:hAnsi="Times New Roman" w:cs="Times New Roman"/>
                <w:b/>
                <w:color w:val="000000" w:themeColor="text1"/>
              </w:rPr>
              <w:t>Остало</w:t>
            </w:r>
          </w:p>
        </w:tc>
        <w:tc>
          <w:tcPr>
            <w:tcW w:w="1275" w:type="dxa"/>
            <w:vAlign w:val="center"/>
          </w:tcPr>
          <w:p w14:paraId="04FF8D78" w14:textId="444C3900" w:rsidR="00E50E59" w:rsidRPr="00475820" w:rsidRDefault="00E50E59" w:rsidP="00E50E59">
            <w:pPr>
              <w:jc w:val="center"/>
              <w:rPr>
                <w:rFonts w:ascii="Times New Roman" w:hAnsi="Times New Roman" w:cs="Times New Roman"/>
              </w:rPr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1.124</w:t>
            </w:r>
          </w:p>
        </w:tc>
        <w:tc>
          <w:tcPr>
            <w:tcW w:w="1560" w:type="dxa"/>
            <w:vAlign w:val="center"/>
          </w:tcPr>
          <w:p w14:paraId="5AE2EE23" w14:textId="3B339F19" w:rsidR="00E50E59" w:rsidRPr="00475820" w:rsidRDefault="00E50E59" w:rsidP="00E50E59">
            <w:pPr>
              <w:jc w:val="center"/>
            </w:pPr>
            <w:r w:rsidRPr="00D31E31">
              <w:rPr>
                <w:rFonts w:ascii="Times New Roman" w:hAnsi="Times New Roman" w:cs="Times New Roman"/>
                <w:sz w:val="24"/>
                <w:szCs w:val="24"/>
              </w:rPr>
              <w:t>4.522.731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D6A1BC" w14:textId="466B63B7" w:rsidR="00E50E59" w:rsidRPr="00E37B06" w:rsidRDefault="00E50E59" w:rsidP="00E50E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1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78E27" w14:textId="20DD30F5" w:rsidR="00E50E59" w:rsidRPr="00E37B06" w:rsidRDefault="00E50E59" w:rsidP="00E50E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1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E50E59" w:rsidRPr="005E5329" w14:paraId="2CD25841" w14:textId="77777777" w:rsidTr="005F4712">
        <w:trPr>
          <w:jc w:val="center"/>
        </w:trPr>
        <w:tc>
          <w:tcPr>
            <w:tcW w:w="4117" w:type="dxa"/>
            <w:vAlign w:val="center"/>
          </w:tcPr>
          <w:p w14:paraId="73172847" w14:textId="77777777" w:rsidR="00E50E59" w:rsidRPr="005B17B7" w:rsidRDefault="00E50E59" w:rsidP="00E50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17B7">
              <w:rPr>
                <w:rFonts w:ascii="Times New Roman" w:hAnsi="Times New Roman" w:cs="Times New Roman"/>
                <w:b/>
              </w:rPr>
              <w:t>Укупно</w:t>
            </w:r>
          </w:p>
        </w:tc>
        <w:tc>
          <w:tcPr>
            <w:tcW w:w="1275" w:type="dxa"/>
            <w:vAlign w:val="center"/>
          </w:tcPr>
          <w:p w14:paraId="5A713117" w14:textId="60ABF9CC" w:rsidR="00E50E59" w:rsidRPr="009731A2" w:rsidRDefault="00E50E59" w:rsidP="00E50E59">
            <w:pPr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9731A2">
              <w:rPr>
                <w:rFonts w:ascii="Times New Roman" w:hAnsi="Times New Roman" w:cs="Times New Roman"/>
                <w:b/>
                <w:sz w:val="24"/>
                <w:szCs w:val="24"/>
              </w:rPr>
              <w:t>178.687</w:t>
            </w:r>
          </w:p>
        </w:tc>
        <w:tc>
          <w:tcPr>
            <w:tcW w:w="1560" w:type="dxa"/>
            <w:vAlign w:val="center"/>
          </w:tcPr>
          <w:p w14:paraId="43751E97" w14:textId="409AFC4C" w:rsidR="00E50E59" w:rsidRPr="009731A2" w:rsidRDefault="00E50E59" w:rsidP="00E50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31A2">
              <w:rPr>
                <w:rFonts w:ascii="Times New Roman" w:hAnsi="Times New Roman" w:cs="Times New Roman"/>
                <w:b/>
                <w:sz w:val="24"/>
                <w:szCs w:val="24"/>
              </w:rPr>
              <w:t>73.510.653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235B85" w14:textId="14CDCCC0" w:rsidR="00E50E59" w:rsidRPr="009731A2" w:rsidRDefault="00E50E59" w:rsidP="00E50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31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B0743" w14:textId="36348CC3" w:rsidR="00E50E59" w:rsidRPr="009731A2" w:rsidRDefault="00E50E59" w:rsidP="00E50E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731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</w:tc>
      </w:tr>
    </w:tbl>
    <w:p w14:paraId="6C4A3B72" w14:textId="77777777" w:rsidR="001960F4" w:rsidRPr="009234CB" w:rsidRDefault="001960F4" w:rsidP="001960F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*В</w:t>
      </w:r>
      <w:r w:rsidRPr="005E5329">
        <w:rPr>
          <w:rFonts w:ascii="Times New Roman" w:hAnsi="Times New Roman" w:cs="Times New Roman"/>
          <w:sz w:val="24"/>
          <w:szCs w:val="24"/>
        </w:rPr>
        <w:t>редности су изражене у хиљадама динара</w:t>
      </w:r>
    </w:p>
    <w:p w14:paraId="3677CDA2" w14:textId="77777777" w:rsidR="008631D5" w:rsidRPr="00FF0ADA" w:rsidRDefault="008631D5" w:rsidP="008631D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>Набавке на које се није примењивао ЗЈН биле су најзаступљеније код државних јавних предузећа 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>%), градске и општинске управе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(30</w:t>
      </w: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%) и јавних предузећа у локалној самоуправи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(22</w:t>
      </w: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>%)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који су збирно учествовали са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82</w:t>
      </w: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>% у укупној вредности набавки изузетих од примене ЗЈН (Табела 11).</w:t>
      </w:r>
    </w:p>
    <w:p w14:paraId="601D9811" w14:textId="77777777" w:rsidR="002914EF" w:rsidRDefault="008743FC" w:rsidP="001960F4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1960F4" w:rsidRPr="00FF0A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</w:t>
      </w:r>
    </w:p>
    <w:p w14:paraId="10329E54" w14:textId="401AD301" w:rsidR="006262E1" w:rsidRDefault="008743FC" w:rsidP="001960F4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  <w:t xml:space="preserve">  </w:t>
      </w:r>
      <w:r w:rsidR="001960F4" w:rsidRPr="00FF0A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14:paraId="56B2D128" w14:textId="3FBB5181" w:rsidR="001960F4" w:rsidRPr="00FF0ADA" w:rsidRDefault="006F2E5D" w:rsidP="001960F4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F0AD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Табела 11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7"/>
        <w:gridCol w:w="1187"/>
        <w:gridCol w:w="1829"/>
        <w:gridCol w:w="1843"/>
        <w:gridCol w:w="1822"/>
      </w:tblGrid>
      <w:tr w:rsidR="001960F4" w:rsidRPr="005E5329" w14:paraId="238AD5EB" w14:textId="77777777" w:rsidTr="008631D5">
        <w:trPr>
          <w:trHeight w:val="858"/>
          <w:jc w:val="center"/>
        </w:trPr>
        <w:tc>
          <w:tcPr>
            <w:tcW w:w="9288" w:type="dxa"/>
            <w:gridSpan w:val="5"/>
            <w:shd w:val="clear" w:color="auto" w:fill="auto"/>
            <w:vAlign w:val="center"/>
          </w:tcPr>
          <w:p w14:paraId="250EE1D8" w14:textId="77777777" w:rsidR="001960F4" w:rsidRPr="005E5329" w:rsidRDefault="001960F4" w:rsidP="00A602B4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Преглед набавки изузетих од примене Закона</w:t>
            </w:r>
          </w:p>
          <w:p w14:paraId="46FAEE0A" w14:textId="43121D76" w:rsidR="001960F4" w:rsidRPr="00A217B6" w:rsidRDefault="001960F4" w:rsidP="00A602B4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 категоријама наручилаца 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првом полугодишту</w:t>
            </w: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631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годин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960F4" w:rsidRPr="005E5329" w14:paraId="6BED38DF" w14:textId="77777777" w:rsidTr="008631D5">
        <w:trPr>
          <w:trHeight w:val="980"/>
          <w:jc w:val="center"/>
        </w:trPr>
        <w:tc>
          <w:tcPr>
            <w:tcW w:w="2607" w:type="dxa"/>
            <w:shd w:val="clear" w:color="auto" w:fill="auto"/>
            <w:vAlign w:val="center"/>
          </w:tcPr>
          <w:p w14:paraId="203D5B82" w14:textId="77777777" w:rsidR="001960F4" w:rsidRPr="005E5329" w:rsidRDefault="001960F4" w:rsidP="00A602B4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Категорија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6CEC5A79" w14:textId="77777777" w:rsidR="001960F4" w:rsidRPr="005E5329" w:rsidRDefault="001960F4" w:rsidP="00A602B4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Број уговора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4257C267" w14:textId="77777777" w:rsidR="001960F4" w:rsidRPr="005E5329" w:rsidRDefault="001960F4" w:rsidP="00A602B4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Уговорена вредност</w:t>
            </w:r>
          </w:p>
          <w:p w14:paraId="3BC9B95E" w14:textId="77777777" w:rsidR="001960F4" w:rsidRPr="005E5329" w:rsidRDefault="001960F4" w:rsidP="00A602B4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 ПДВ-а</w:t>
            </w:r>
            <w:r w:rsidRPr="005E5329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  <w:p w14:paraId="44D91DB8" w14:textId="77777777" w:rsidR="001960F4" w:rsidRPr="005E5329" w:rsidRDefault="001960F4" w:rsidP="00A602B4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55FC20" w14:textId="77777777" w:rsidR="001960F4" w:rsidRPr="005E5329" w:rsidRDefault="001960F4" w:rsidP="00A602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Бројчана заступљеност </w:t>
            </w: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(у %)</w:t>
            </w:r>
          </w:p>
        </w:tc>
        <w:tc>
          <w:tcPr>
            <w:tcW w:w="1822" w:type="dxa"/>
            <w:shd w:val="clear" w:color="auto" w:fill="auto"/>
            <w:vAlign w:val="center"/>
          </w:tcPr>
          <w:p w14:paraId="75B6411F" w14:textId="77777777" w:rsidR="001960F4" w:rsidRPr="005E5329" w:rsidRDefault="001960F4" w:rsidP="00A602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Вредносна заступљеност </w:t>
            </w: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(у %)</w:t>
            </w:r>
          </w:p>
        </w:tc>
      </w:tr>
      <w:tr w:rsidR="008631D5" w:rsidRPr="005E5329" w14:paraId="1C7C1C3F" w14:textId="77777777" w:rsidTr="008631D5">
        <w:trPr>
          <w:jc w:val="center"/>
        </w:trPr>
        <w:tc>
          <w:tcPr>
            <w:tcW w:w="2607" w:type="dxa"/>
            <w:shd w:val="clear" w:color="auto" w:fill="auto"/>
            <w:vAlign w:val="center"/>
          </w:tcPr>
          <w:p w14:paraId="06ABB189" w14:textId="77777777" w:rsidR="008631D5" w:rsidRPr="005E5329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 државне управе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8541" w14:textId="09D1993A" w:rsidR="008631D5" w:rsidRPr="00FE584E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7.081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AFBB" w14:textId="48F00622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2.809.338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7DB7" w14:textId="3B282BCE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F94CC" w14:textId="0F25556E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631D5" w:rsidRPr="005E5329" w14:paraId="75D6BE5A" w14:textId="77777777" w:rsidTr="008631D5">
        <w:trPr>
          <w:jc w:val="center"/>
        </w:trPr>
        <w:tc>
          <w:tcPr>
            <w:tcW w:w="2607" w:type="dxa"/>
            <w:shd w:val="clear" w:color="auto" w:fill="auto"/>
            <w:vAlign w:val="center"/>
          </w:tcPr>
          <w:p w14:paraId="605450F6" w14:textId="77777777" w:rsidR="008631D5" w:rsidRPr="005E5329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Правосуђе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2D06D" w14:textId="264B1D67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2.903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29E04" w14:textId="2AB3B3FD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1.245.013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4F70A" w14:textId="4B0CB3E5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61093" w14:textId="415E40DE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631D5" w:rsidRPr="005E5329" w14:paraId="44D2E9B3" w14:textId="77777777" w:rsidTr="008631D5">
        <w:trPr>
          <w:jc w:val="center"/>
        </w:trPr>
        <w:tc>
          <w:tcPr>
            <w:tcW w:w="2607" w:type="dxa"/>
            <w:shd w:val="clear" w:color="auto" w:fill="auto"/>
            <w:vAlign w:val="center"/>
          </w:tcPr>
          <w:p w14:paraId="4A517290" w14:textId="77777777" w:rsidR="008631D5" w:rsidRPr="005E5329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Здравство и социјална заштита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DF7F" w14:textId="57EB54F8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17.174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ED52B" w14:textId="7A27A381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2.217.259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97C8" w14:textId="5DB87DE7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FA03B" w14:textId="09C2F272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631D5" w:rsidRPr="005E5329" w14:paraId="48C9DE5E" w14:textId="77777777" w:rsidTr="008631D5">
        <w:trPr>
          <w:jc w:val="center"/>
        </w:trPr>
        <w:tc>
          <w:tcPr>
            <w:tcW w:w="2607" w:type="dxa"/>
            <w:shd w:val="clear" w:color="auto" w:fill="auto"/>
            <w:vAlign w:val="center"/>
          </w:tcPr>
          <w:p w14:paraId="6A5C51F0" w14:textId="77777777" w:rsidR="008631D5" w:rsidRPr="005E5329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Култура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06330" w14:textId="16DBA5A1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15.874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A2411" w14:textId="036DDD65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799.763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69549" w14:textId="28D31F3E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A0E0E" w14:textId="4662662A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31D5" w:rsidRPr="005E5329" w14:paraId="57E51FCF" w14:textId="77777777" w:rsidTr="008631D5">
        <w:trPr>
          <w:jc w:val="center"/>
        </w:trPr>
        <w:tc>
          <w:tcPr>
            <w:tcW w:w="2607" w:type="dxa"/>
            <w:shd w:val="clear" w:color="auto" w:fill="auto"/>
            <w:vAlign w:val="center"/>
          </w:tcPr>
          <w:p w14:paraId="0364873B" w14:textId="77777777" w:rsidR="008631D5" w:rsidRPr="005E5329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Просвета и наука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960F" w14:textId="47F62E87" w:rsidR="008631D5" w:rsidRPr="00B203D9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78.278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D9D0F" w14:textId="4A63BFA4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5.750.499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1998" w14:textId="6FBBE52B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5D18F" w14:textId="1653A6B9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631D5" w:rsidRPr="005E5329" w14:paraId="425C0498" w14:textId="77777777" w:rsidTr="008631D5">
        <w:trPr>
          <w:jc w:val="center"/>
        </w:trPr>
        <w:tc>
          <w:tcPr>
            <w:tcW w:w="2607" w:type="dxa"/>
            <w:shd w:val="clear" w:color="auto" w:fill="auto"/>
            <w:vAlign w:val="center"/>
          </w:tcPr>
          <w:p w14:paraId="0C021F45" w14:textId="77777777" w:rsidR="008631D5" w:rsidRPr="005E5329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Државна јавна предузећа/привредна друштва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65017" w14:textId="222FC3AD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11.927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B5AC4" w14:textId="1D728DBB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22.239.637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61E4B" w14:textId="4EB3F628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4FE4A" w14:textId="68F73159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631D5" w:rsidRPr="005E5329" w14:paraId="482D88FB" w14:textId="77777777" w:rsidTr="008631D5">
        <w:trPr>
          <w:jc w:val="center"/>
        </w:trPr>
        <w:tc>
          <w:tcPr>
            <w:tcW w:w="2607" w:type="dxa"/>
            <w:shd w:val="clear" w:color="auto" w:fill="auto"/>
            <w:vAlign w:val="center"/>
          </w:tcPr>
          <w:p w14:paraId="5F291F65" w14:textId="77777777" w:rsidR="008631D5" w:rsidRPr="005E5329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Јавна предузећа-локална самоуправа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66046" w14:textId="6E2D14D9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33.566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83D90" w14:textId="5285A9CA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16.298.011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98E1" w14:textId="6CCF8605" w:rsidR="008631D5" w:rsidRPr="000E44A5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BA1DD" w14:textId="70554D46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631D5" w:rsidRPr="005E5329" w14:paraId="6988614D" w14:textId="77777777" w:rsidTr="008631D5">
        <w:trPr>
          <w:jc w:val="center"/>
        </w:trPr>
        <w:tc>
          <w:tcPr>
            <w:tcW w:w="2607" w:type="dxa"/>
            <w:shd w:val="clear" w:color="auto" w:fill="auto"/>
            <w:vAlign w:val="center"/>
          </w:tcPr>
          <w:p w14:paraId="15ECDC07" w14:textId="77777777" w:rsidR="008631D5" w:rsidRPr="005E5329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Градска и општинска управа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C006" w14:textId="13826028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17.857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08AF6" w14:textId="0BAF9D66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21.907.424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FBE9B" w14:textId="6B3614BD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025D6" w14:textId="14C689D4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631D5" w:rsidRPr="005E5329" w14:paraId="5327D66B" w14:textId="77777777" w:rsidTr="008631D5">
        <w:trPr>
          <w:jc w:val="center"/>
        </w:trPr>
        <w:tc>
          <w:tcPr>
            <w:tcW w:w="2607" w:type="dxa"/>
            <w:shd w:val="clear" w:color="auto" w:fill="auto"/>
            <w:vAlign w:val="center"/>
          </w:tcPr>
          <w:p w14:paraId="3009A9A8" w14:textId="77777777" w:rsidR="008631D5" w:rsidRPr="005E5329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Удружења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4DF8" w14:textId="1FA24489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2.903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22F4A" w14:textId="2F2C104A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233.764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CD7AB" w14:textId="4879BC87" w:rsidR="008631D5" w:rsidRPr="000E44A5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A6DEC" w14:textId="01425220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31D5" w:rsidRPr="005E5329" w14:paraId="24DF62A7" w14:textId="77777777" w:rsidTr="008631D5">
        <w:trPr>
          <w:jc w:val="center"/>
        </w:trPr>
        <w:tc>
          <w:tcPr>
            <w:tcW w:w="2607" w:type="dxa"/>
            <w:shd w:val="clear" w:color="auto" w:fill="auto"/>
            <w:vAlign w:val="center"/>
          </w:tcPr>
          <w:p w14:paraId="3A599EFD" w14:textId="77777777" w:rsidR="008631D5" w:rsidRPr="005E5329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53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Фондације и задужбине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51AC4" w14:textId="68554940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09649" w14:textId="2AE7FBDC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9.945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25A7E" w14:textId="20B60389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663CC" w14:textId="01B265BB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631D5" w:rsidRPr="005E5329" w14:paraId="65F8013A" w14:textId="77777777" w:rsidTr="008631D5">
        <w:trPr>
          <w:jc w:val="center"/>
        </w:trPr>
        <w:tc>
          <w:tcPr>
            <w:tcW w:w="2607" w:type="dxa"/>
            <w:shd w:val="clear" w:color="auto" w:fill="auto"/>
            <w:vAlign w:val="center"/>
          </w:tcPr>
          <w:p w14:paraId="28D85678" w14:textId="77777777" w:rsidR="008631D5" w:rsidRPr="00A602B4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Укупно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9FD1C" w14:textId="655215A7" w:rsidR="008631D5" w:rsidRPr="000E44A5" w:rsidRDefault="009731A2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178</w:t>
            </w:r>
            <w:r w:rsidR="008631D5" w:rsidRPr="007B5CBF">
              <w:rPr>
                <w:rFonts w:ascii="Times New Roman" w:hAnsi="Times New Roman" w:cs="Times New Roman"/>
                <w:b/>
                <w:sz w:val="24"/>
                <w:szCs w:val="24"/>
              </w:rPr>
              <w:t>.687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FC188" w14:textId="69142EE9" w:rsidR="008631D5" w:rsidRPr="001C012B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5CBF">
              <w:rPr>
                <w:rFonts w:ascii="Times New Roman" w:hAnsi="Times New Roman" w:cs="Times New Roman"/>
                <w:b/>
                <w:sz w:val="24"/>
                <w:szCs w:val="24"/>
              </w:rPr>
              <w:t>73.510.653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E07E9C" w14:textId="46589A8E" w:rsidR="008631D5" w:rsidRPr="005A0327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100</w:t>
            </w:r>
          </w:p>
        </w:tc>
        <w:tc>
          <w:tcPr>
            <w:tcW w:w="18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65F86B" w14:textId="502E015E" w:rsidR="008631D5" w:rsidRPr="005A0327" w:rsidRDefault="008631D5" w:rsidP="008631D5">
            <w:pPr>
              <w:tabs>
                <w:tab w:val="left" w:pos="18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100</w:t>
            </w:r>
          </w:p>
        </w:tc>
      </w:tr>
    </w:tbl>
    <w:p w14:paraId="0F58C043" w14:textId="77777777" w:rsidR="001960F4" w:rsidRPr="00C847C1" w:rsidRDefault="001960F4" w:rsidP="001960F4">
      <w:pPr>
        <w:jc w:val="both"/>
        <w:rPr>
          <w:rFonts w:ascii="Times New Roman" w:hAnsi="Times New Roman" w:cs="Times New Roman"/>
        </w:rPr>
      </w:pPr>
      <w:r w:rsidRPr="00C847C1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*В</w:t>
      </w:r>
      <w:r w:rsidRPr="00C847C1">
        <w:rPr>
          <w:rFonts w:ascii="Times New Roman" w:hAnsi="Times New Roman" w:cs="Times New Roman"/>
        </w:rPr>
        <w:t>редности су изражене у хиљадама динара</w:t>
      </w:r>
    </w:p>
    <w:p w14:paraId="7713131D" w14:textId="77777777" w:rsidR="004F43C5" w:rsidRPr="00EB1699" w:rsidRDefault="004F43C5" w:rsidP="004F43C5">
      <w:pPr>
        <w:jc w:val="both"/>
        <w:rPr>
          <w:color w:val="000000" w:themeColor="text1"/>
          <w:lang w:val="sr-Latn-RS"/>
        </w:rPr>
      </w:pP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>Државна ј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авна предузећа су 72</w:t>
      </w: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вредности ових набавки спровела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следећа три </w:t>
      </w: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>основа:</w:t>
      </w:r>
      <w:r w:rsidRPr="00FF0ADA">
        <w:rPr>
          <w:color w:val="000000" w:themeColor="text1"/>
        </w:rPr>
        <w:t xml:space="preserve"> </w:t>
      </w:r>
    </w:p>
    <w:p w14:paraId="31D137F2" w14:textId="77777777" w:rsidR="004F43C5" w:rsidRPr="00FF0ADA" w:rsidRDefault="004F43C5" w:rsidP="004F43C5">
      <w:pPr>
        <w:pStyle w:val="ListParagraph"/>
        <w:numPr>
          <w:ilvl w:val="0"/>
          <w:numId w:val="35"/>
        </w:numPr>
        <w:jc w:val="both"/>
        <w:rPr>
          <w:color w:val="000000" w:themeColor="text1"/>
        </w:rPr>
      </w:pP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>набавке по основу члана 7а у случају када надзирано правно лице које је наручилац, закључује уговор са наручиоцем који врши надзор над њим или са другим правним лицем над који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 исти наручилац врши надзор (42</w:t>
      </w: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>%);</w:t>
      </w:r>
    </w:p>
    <w:p w14:paraId="425C14DB" w14:textId="77777777" w:rsidR="004F43C5" w:rsidRPr="00FF0ADA" w:rsidRDefault="004F43C5" w:rsidP="004F43C5">
      <w:pPr>
        <w:pStyle w:val="ListParagraph"/>
        <w:numPr>
          <w:ilvl w:val="0"/>
          <w:numId w:val="35"/>
        </w:numPr>
        <w:jc w:val="both"/>
        <w:rPr>
          <w:color w:val="000000" w:themeColor="text1"/>
        </w:rPr>
      </w:pP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>набавке</w:t>
      </w:r>
      <w:r w:rsidRPr="00FF0AD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>по основу члана 122. став 1. тачка 4) ЗЈН, односно у случају када наручилац који се бави делатношћу у области енергетике из члана 119. став 1. ЗЈН, набавља енергију или 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ориво за производњу енергије (21</w:t>
      </w: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%); </w:t>
      </w:r>
    </w:p>
    <w:p w14:paraId="6198FC82" w14:textId="77777777" w:rsidR="004F43C5" w:rsidRPr="00FF0ADA" w:rsidRDefault="004F43C5" w:rsidP="004F43C5">
      <w:pPr>
        <w:pStyle w:val="ListParagraph"/>
        <w:numPr>
          <w:ilvl w:val="0"/>
          <w:numId w:val="35"/>
        </w:numPr>
        <w:jc w:val="both"/>
        <w:rPr>
          <w:color w:val="000000" w:themeColor="text1"/>
        </w:rPr>
      </w:pP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>набавке по основу члан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 7. став 1. тачка 2) подтачка 2</w:t>
      </w: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ЗЈН, у случају набавки, односно конкурса за дизајн које су наручиоци обавезни да спроведу у складу са поступцима набавки установљеним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актом о донацији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(9%);</w:t>
      </w:r>
    </w:p>
    <w:p w14:paraId="136E6C14" w14:textId="218198F3" w:rsidR="004F43C5" w:rsidRDefault="002914EF" w:rsidP="004F43C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Градска и општинска управа је</w:t>
      </w:r>
      <w:r w:rsidR="004F43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94</w:t>
      </w:r>
      <w:r w:rsidR="004F43C5"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 вредности ових набавки спровела по </w:t>
      </w:r>
      <w:r w:rsidR="004F43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следећа два </w:t>
      </w:r>
      <w:r w:rsidR="004F43C5"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>основа:</w:t>
      </w:r>
    </w:p>
    <w:p w14:paraId="0E35048D" w14:textId="77777777" w:rsidR="004F43C5" w:rsidRPr="00F37ABF" w:rsidRDefault="004F43C5" w:rsidP="004F43C5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набавке по основу члан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 7. став 1. тачка 1)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у случају набавки од лица и организација које се у смислу овог закона сматрају наручиоцем и које су носиоци искључивог права на обављање делатности која је предмет набавке (48%)</w:t>
      </w:r>
    </w:p>
    <w:p w14:paraId="22FC3B10" w14:textId="7F2DF315" w:rsidR="004F43C5" w:rsidRPr="008A10E5" w:rsidRDefault="004F43C5" w:rsidP="004F43C5">
      <w:pPr>
        <w:pStyle w:val="ListParagraph"/>
        <w:numPr>
          <w:ilvl w:val="0"/>
          <w:numId w:val="36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>набавке по основу члан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39. став 2, у случају набавки чија вредност није већа од доњег лимита за јавне набавке мале вредности</w:t>
      </w:r>
      <w:r w:rsidR="00872C47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(46%);</w:t>
      </w:r>
    </w:p>
    <w:p w14:paraId="4172A43D" w14:textId="3620A77A" w:rsidR="004F43C5" w:rsidRDefault="004F43C5" w:rsidP="004F43C5">
      <w:pPr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sr-Cyrl-RS"/>
        </w:rPr>
        <w:t>Јавна предузећа-локалн</w:t>
      </w:r>
      <w:r w:rsidR="002914EF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а самоуправа су 76% вредности ов</w:t>
      </w:r>
      <w:r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их набавки спровели по следећа два основа: </w:t>
      </w:r>
    </w:p>
    <w:p w14:paraId="66138050" w14:textId="77777777" w:rsidR="004F43C5" w:rsidRPr="00FF0ADA" w:rsidRDefault="004F43C5" w:rsidP="004F43C5">
      <w:pPr>
        <w:pStyle w:val="ListParagraph"/>
        <w:numPr>
          <w:ilvl w:val="0"/>
          <w:numId w:val="37"/>
        </w:numPr>
        <w:jc w:val="both"/>
        <w:rPr>
          <w:color w:val="000000" w:themeColor="text1"/>
        </w:rPr>
      </w:pP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>набавке</w:t>
      </w:r>
      <w:r w:rsidRPr="00FF0ADA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>по основу члана 122. став 1. тачка 4) ЗЈН, односно у случају када наручилац који се бави делатношћу у области енергетике из члана 119. став 1. ЗЈН, набавља енергију или 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ориво за производњу енергије (54</w:t>
      </w: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%); </w:t>
      </w:r>
    </w:p>
    <w:p w14:paraId="152E7A32" w14:textId="77777777" w:rsidR="004F43C5" w:rsidRPr="00F37ABF" w:rsidRDefault="004F43C5" w:rsidP="004F43C5">
      <w:pPr>
        <w:pStyle w:val="ListParagraph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0ADA">
        <w:rPr>
          <w:rFonts w:ascii="Times New Roman" w:hAnsi="Times New Roman" w:cs="Times New Roman"/>
          <w:color w:val="000000" w:themeColor="text1"/>
          <w:sz w:val="24"/>
          <w:szCs w:val="24"/>
        </w:rPr>
        <w:t>набавке по основу члан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 7. став 1. тачка 1)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у случају набавки од лица и организација које се у смислу овог закона сматрају наручиоцем и које су носиоци искључивог права на обављање делатности која је предмет набавке (22%)</w:t>
      </w:r>
    </w:p>
    <w:p w14:paraId="6C0821B5" w14:textId="77777777" w:rsidR="0031432B" w:rsidRPr="00FF0ADA" w:rsidRDefault="0031432B" w:rsidP="0031432B">
      <w:pPr>
        <w:pStyle w:val="ListParagraph"/>
        <w:jc w:val="both"/>
        <w:rPr>
          <w:color w:val="FF0000"/>
          <w:lang w:val="en-US"/>
        </w:rPr>
      </w:pPr>
    </w:p>
    <w:p w14:paraId="39144CE8" w14:textId="77777777" w:rsidR="0081466B" w:rsidRDefault="004F0DED">
      <w:pPr>
        <w:numPr>
          <w:ilvl w:val="0"/>
          <w:numId w:val="15"/>
        </w:numPr>
        <w:spacing w:after="0"/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ОКВИРНИ СПОРАЗУМИ</w:t>
      </w:r>
    </w:p>
    <w:p w14:paraId="5AD72105" w14:textId="77777777" w:rsidR="0081466B" w:rsidRDefault="0081466B">
      <w:pPr>
        <w:spacing w:after="0"/>
        <w:ind w:left="720"/>
        <w:jc w:val="both"/>
      </w:pPr>
    </w:p>
    <w:p w14:paraId="0A1A9443" w14:textId="38E597E7" w:rsidR="00D37580" w:rsidRPr="00BD431F" w:rsidRDefault="00D37580" w:rsidP="00325640">
      <w:pPr>
        <w:spacing w:after="0"/>
        <w:ind w:left="-142"/>
        <w:jc w:val="both"/>
        <w:rPr>
          <w:rFonts w:ascii="Times New Roman" w:eastAsia="TimesNewRomanPSMT" w:hAnsi="Times New Roman" w:cs="Times New Roman"/>
          <w:color w:val="auto"/>
          <w:sz w:val="24"/>
          <w:szCs w:val="24"/>
          <w:lang w:val="sr-Cyrl-CS"/>
        </w:rPr>
      </w:pPr>
      <w:r w:rsidRPr="00BD431F">
        <w:rPr>
          <w:rFonts w:ascii="Times New Roman" w:eastAsia="TimesNewRomanPSMT" w:hAnsi="Times New Roman" w:cs="Times New Roman"/>
          <w:color w:val="auto"/>
          <w:sz w:val="24"/>
          <w:szCs w:val="24"/>
          <w:lang w:val="sr-Cyrl-CS"/>
        </w:rPr>
        <w:t xml:space="preserve">Примена оквирног споразума </w:t>
      </w:r>
      <w:r w:rsidR="00A127F4">
        <w:rPr>
          <w:rFonts w:ascii="Times New Roman" w:eastAsia="TimesNewRomanPSMT" w:hAnsi="Times New Roman" w:cs="Times New Roman"/>
          <w:color w:val="auto"/>
          <w:sz w:val="24"/>
          <w:szCs w:val="24"/>
          <w:lang w:val="sr-Cyrl-CS"/>
        </w:rPr>
        <w:t xml:space="preserve">(ОС) </w:t>
      </w:r>
      <w:r w:rsidRPr="00BD431F">
        <w:rPr>
          <w:rFonts w:ascii="Times New Roman" w:eastAsia="TimesNewRomanPSMT" w:hAnsi="Times New Roman" w:cs="Times New Roman"/>
          <w:color w:val="auto"/>
          <w:sz w:val="24"/>
          <w:szCs w:val="24"/>
          <w:lang w:val="sr-Cyrl-CS"/>
        </w:rPr>
        <w:t>значајно доприноси ефикасности и економичности спровођења поступака јавних набавки, с обзиром да се на основу једног поступка јавне набавке може закључити више уговора, као и да се може закључити од стране више наручилаца и са више понуђача. Концепт оквирног споразума обезбеђује закључење уговора о јавним набавкама добара, радова и</w:t>
      </w:r>
      <w:r w:rsidR="004A1B59">
        <w:rPr>
          <w:rFonts w:ascii="Times New Roman" w:eastAsia="TimesNewRomanPSMT" w:hAnsi="Times New Roman" w:cs="Times New Roman"/>
          <w:color w:val="auto"/>
          <w:sz w:val="24"/>
          <w:szCs w:val="24"/>
          <w:lang w:val="sr-Cyrl-CS"/>
        </w:rPr>
        <w:t xml:space="preserve"> услуга којима не </w:t>
      </w:r>
      <w:r w:rsidRPr="00BD431F">
        <w:rPr>
          <w:rFonts w:ascii="Times New Roman" w:eastAsia="TimesNewRomanPSMT" w:hAnsi="Times New Roman" w:cs="Times New Roman"/>
          <w:color w:val="auto"/>
          <w:sz w:val="24"/>
          <w:szCs w:val="24"/>
          <w:lang w:val="sr-Cyrl-CS"/>
        </w:rPr>
        <w:t>претходе дуготрајне процедуре са неизвесним исходом.</w:t>
      </w:r>
    </w:p>
    <w:p w14:paraId="38B680D8" w14:textId="77777777" w:rsidR="00A04844" w:rsidRPr="00BD431F" w:rsidRDefault="00A04844" w:rsidP="00D37580">
      <w:pPr>
        <w:spacing w:after="0"/>
        <w:ind w:left="-142"/>
        <w:jc w:val="both"/>
        <w:rPr>
          <w:rFonts w:ascii="Times New Roman" w:eastAsia="TimesNewRomanPSMT" w:hAnsi="Times New Roman" w:cs="Times New Roman"/>
          <w:color w:val="auto"/>
          <w:sz w:val="24"/>
          <w:szCs w:val="24"/>
          <w:lang w:val="sr-Cyrl-CS"/>
        </w:rPr>
      </w:pPr>
    </w:p>
    <w:p w14:paraId="4FA638ED" w14:textId="57B303BF" w:rsidR="00462A48" w:rsidRPr="00147936" w:rsidRDefault="004F4F4B" w:rsidP="00147936">
      <w:pPr>
        <w:spacing w:after="0"/>
        <w:ind w:left="-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"/>
        </w:rPr>
        <w:t xml:space="preserve">На основу података из Табеле 12 уочава се јасно успостављени тренд брзо растућег коришћења </w:t>
      </w:r>
      <w:r w:rsidR="00A127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"/>
        </w:rPr>
        <w:t xml:space="preserve">ОС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"/>
        </w:rPr>
        <w:t>што има позитиван утицај на ефикасност и економичност поступака јавних набавки</w:t>
      </w:r>
      <w:r w:rsidR="00DE58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"/>
        </w:rPr>
        <w:t>.</w:t>
      </w:r>
      <w:r w:rsidR="004A1B59" w:rsidRPr="00FF0A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04844" w:rsidRPr="00242A7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</w:t>
      </w:r>
    </w:p>
    <w:p w14:paraId="278BFA0C" w14:textId="0CC72A16" w:rsidR="00A04844" w:rsidRPr="00FF0ADA" w:rsidRDefault="00A04844" w:rsidP="00A04844">
      <w:pPr>
        <w:ind w:left="-142"/>
        <w:jc w:val="both"/>
        <w:rPr>
          <w:color w:val="000000" w:themeColor="text1"/>
        </w:rPr>
      </w:pPr>
      <w:r w:rsidRPr="00242A7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</w:t>
      </w:r>
      <w:r w:rsidRPr="00FF0A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Табела 1</w:t>
      </w:r>
      <w:r w:rsidR="004F4F4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</w:t>
      </w: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1983"/>
        <w:gridCol w:w="1342"/>
        <w:gridCol w:w="1257"/>
        <w:gridCol w:w="1483"/>
        <w:gridCol w:w="1469"/>
        <w:gridCol w:w="1307"/>
      </w:tblGrid>
      <w:tr w:rsidR="00800ABA" w:rsidRPr="000F6818" w14:paraId="7282555B" w14:textId="7C875036" w:rsidTr="00800ABA">
        <w:trPr>
          <w:trHeight w:val="620"/>
        </w:trPr>
        <w:tc>
          <w:tcPr>
            <w:tcW w:w="1983" w:type="dxa"/>
            <w:vMerge w:val="restart"/>
          </w:tcPr>
          <w:p w14:paraId="4004719B" w14:textId="77777777" w:rsidR="00800ABA" w:rsidRPr="000F6818" w:rsidRDefault="00800ABA" w:rsidP="001C27B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F68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Број закључених оквирних споразума</w:t>
            </w:r>
          </w:p>
        </w:tc>
        <w:tc>
          <w:tcPr>
            <w:tcW w:w="1342" w:type="dxa"/>
          </w:tcPr>
          <w:p w14:paraId="05871995" w14:textId="77777777" w:rsidR="00800ABA" w:rsidRPr="00CC1FA9" w:rsidRDefault="00800ABA" w:rsidP="001C27B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4</w:t>
            </w:r>
            <w:r w:rsidRPr="00CC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14:paraId="2AED2D8A" w14:textId="77777777" w:rsidR="00800ABA" w:rsidRPr="000F6818" w:rsidRDefault="00800ABA" w:rsidP="001C27B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C1FA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 П</w:t>
            </w:r>
          </w:p>
        </w:tc>
        <w:tc>
          <w:tcPr>
            <w:tcW w:w="1257" w:type="dxa"/>
          </w:tcPr>
          <w:p w14:paraId="67F8DAC0" w14:textId="77777777" w:rsidR="00800ABA" w:rsidRPr="009104C5" w:rsidRDefault="00800ABA" w:rsidP="001C27B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F68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14:paraId="50ECECDD" w14:textId="77777777" w:rsidR="00800ABA" w:rsidRPr="000F6818" w:rsidRDefault="00800ABA" w:rsidP="001C27B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</w:p>
        </w:tc>
        <w:tc>
          <w:tcPr>
            <w:tcW w:w="1483" w:type="dxa"/>
          </w:tcPr>
          <w:p w14:paraId="2C47B074" w14:textId="77777777" w:rsidR="00800ABA" w:rsidRDefault="00800ABA" w:rsidP="001C27B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2016.</w:t>
            </w:r>
          </w:p>
          <w:p w14:paraId="554927A2" w14:textId="77777777" w:rsidR="00800ABA" w:rsidRPr="000F6818" w:rsidRDefault="00800ABA" w:rsidP="001C27B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 П</w:t>
            </w:r>
          </w:p>
        </w:tc>
        <w:tc>
          <w:tcPr>
            <w:tcW w:w="1469" w:type="dxa"/>
          </w:tcPr>
          <w:p w14:paraId="6C18BED6" w14:textId="4A78E104" w:rsidR="00800ABA" w:rsidRPr="00FF0ADA" w:rsidRDefault="00800ABA" w:rsidP="00242A7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0A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</w:t>
            </w:r>
            <w:r w:rsidRPr="00FF0A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7</w:t>
            </w:r>
            <w:r w:rsidRPr="00FF0A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14:paraId="07549181" w14:textId="0C5E079D" w:rsidR="00800ABA" w:rsidRPr="00FF0ADA" w:rsidRDefault="00800ABA" w:rsidP="00242A7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F0AD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 П</w:t>
            </w:r>
          </w:p>
        </w:tc>
        <w:tc>
          <w:tcPr>
            <w:tcW w:w="1307" w:type="dxa"/>
          </w:tcPr>
          <w:p w14:paraId="03B2BB24" w14:textId="77777777" w:rsidR="00800ABA" w:rsidRDefault="00800ABA" w:rsidP="00242A7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RS"/>
              </w:rPr>
              <w:t>2018.</w:t>
            </w:r>
          </w:p>
          <w:p w14:paraId="6E1D32FB" w14:textId="58A2ED29" w:rsidR="00800ABA" w:rsidRPr="00800ABA" w:rsidRDefault="00800ABA" w:rsidP="00242A7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R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П</w:t>
            </w:r>
          </w:p>
        </w:tc>
      </w:tr>
      <w:tr w:rsidR="00800ABA" w:rsidRPr="000F6818" w14:paraId="71B9CABD" w14:textId="7139C1B0" w:rsidTr="00800ABA">
        <w:tc>
          <w:tcPr>
            <w:tcW w:w="1983" w:type="dxa"/>
            <w:vMerge/>
          </w:tcPr>
          <w:p w14:paraId="0D11664B" w14:textId="77777777" w:rsidR="00800ABA" w:rsidRPr="000F6818" w:rsidRDefault="00800ABA" w:rsidP="001C27B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342" w:type="dxa"/>
          </w:tcPr>
          <w:p w14:paraId="6F8E03D0" w14:textId="77777777" w:rsidR="00800ABA" w:rsidRPr="00CC1FA9" w:rsidRDefault="00800ABA" w:rsidP="001C27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280</w:t>
            </w:r>
          </w:p>
        </w:tc>
        <w:tc>
          <w:tcPr>
            <w:tcW w:w="1257" w:type="dxa"/>
          </w:tcPr>
          <w:p w14:paraId="36354816" w14:textId="77777777" w:rsidR="00800ABA" w:rsidRPr="00CC1FA9" w:rsidRDefault="00800ABA" w:rsidP="001C27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640</w:t>
            </w:r>
          </w:p>
        </w:tc>
        <w:tc>
          <w:tcPr>
            <w:tcW w:w="1483" w:type="dxa"/>
          </w:tcPr>
          <w:p w14:paraId="351B41D8" w14:textId="77777777" w:rsidR="00800ABA" w:rsidRPr="000F6818" w:rsidRDefault="00800ABA" w:rsidP="001C27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68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</w:t>
            </w:r>
          </w:p>
        </w:tc>
        <w:tc>
          <w:tcPr>
            <w:tcW w:w="1469" w:type="dxa"/>
          </w:tcPr>
          <w:p w14:paraId="16C437C1" w14:textId="1A5D2308" w:rsidR="00800ABA" w:rsidRPr="00FF0ADA" w:rsidRDefault="00800ABA" w:rsidP="001C27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F0A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1.785</w:t>
            </w:r>
          </w:p>
        </w:tc>
        <w:tc>
          <w:tcPr>
            <w:tcW w:w="1307" w:type="dxa"/>
          </w:tcPr>
          <w:p w14:paraId="4FC87C8A" w14:textId="591DD6D1" w:rsidR="00800ABA" w:rsidRPr="00800ABA" w:rsidRDefault="00800ABA" w:rsidP="001C27B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1.923</w:t>
            </w:r>
          </w:p>
        </w:tc>
      </w:tr>
    </w:tbl>
    <w:p w14:paraId="7FA3BB9A" w14:textId="77777777" w:rsidR="00D37580" w:rsidRPr="00D37580" w:rsidRDefault="00D37580">
      <w:pPr>
        <w:spacing w:after="0"/>
        <w:ind w:left="-142"/>
        <w:jc w:val="both"/>
      </w:pPr>
    </w:p>
    <w:p w14:paraId="3AFE536D" w14:textId="4B4D3E38" w:rsidR="0081466B" w:rsidRPr="006262E1" w:rsidRDefault="004F0DED">
      <w:pPr>
        <w:jc w:val="both"/>
        <w:rPr>
          <w:color w:val="auto"/>
          <w:lang w:val="sr-Cyrl-CS"/>
        </w:rPr>
      </w:pPr>
      <w:r w:rsidRPr="00C64F38">
        <w:rPr>
          <w:rFonts w:ascii="Times New Roman" w:eastAsia="Times New Roman" w:hAnsi="Times New Roman" w:cs="Times New Roman"/>
          <w:color w:val="auto"/>
          <w:sz w:val="24"/>
          <w:szCs w:val="24"/>
        </w:rPr>
        <w:t>По основу оквирних спо</w:t>
      </w:r>
      <w:r w:rsidR="00A127F4">
        <w:rPr>
          <w:rFonts w:ascii="Times New Roman" w:eastAsia="Times New Roman" w:hAnsi="Times New Roman" w:cs="Times New Roman"/>
          <w:color w:val="auto"/>
          <w:sz w:val="24"/>
          <w:szCs w:val="24"/>
        </w:rPr>
        <w:t>раз</w:t>
      </w:r>
      <w:r w:rsidR="004A0D54">
        <w:rPr>
          <w:rFonts w:ascii="Times New Roman" w:eastAsia="Times New Roman" w:hAnsi="Times New Roman" w:cs="Times New Roman"/>
          <w:color w:val="auto"/>
          <w:sz w:val="24"/>
          <w:szCs w:val="24"/>
        </w:rPr>
        <w:t>ума, у првом полугодишту 2018</w:t>
      </w:r>
      <w:r w:rsidRPr="00C64F38">
        <w:rPr>
          <w:rFonts w:ascii="Times New Roman" w:eastAsia="Times New Roman" w:hAnsi="Times New Roman" w:cs="Times New Roman"/>
          <w:color w:val="auto"/>
          <w:sz w:val="24"/>
          <w:szCs w:val="24"/>
        </w:rPr>
        <w:t>. године, закључено је</w:t>
      </w:r>
      <w:r w:rsidRPr="00C64F3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A127F4">
        <w:rPr>
          <w:rFonts w:ascii="Times New Roman" w:eastAsia="Times New Roman" w:hAnsi="Times New Roman" w:cs="Times New Roman"/>
          <w:color w:val="auto"/>
          <w:sz w:val="24"/>
          <w:szCs w:val="24"/>
        </w:rPr>
        <w:t>преко</w:t>
      </w:r>
      <w:r w:rsidR="004A0D5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петнаест</w:t>
      </w:r>
      <w:r w:rsidRPr="00C64F3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хиљада уговора </w:t>
      </w:r>
      <w:r w:rsidR="00A127F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чија је </w:t>
      </w:r>
      <w:r w:rsidR="00FB5978">
        <w:rPr>
          <w:rFonts w:ascii="Times New Roman" w:eastAsia="Times New Roman" w:hAnsi="Times New Roman" w:cs="Times New Roman"/>
          <w:color w:val="auto"/>
          <w:sz w:val="24"/>
          <w:szCs w:val="24"/>
          <w:lang w:val="sr"/>
        </w:rPr>
        <w:t xml:space="preserve">укупна </w:t>
      </w:r>
      <w:r w:rsidR="004A0D54">
        <w:rPr>
          <w:rFonts w:ascii="Times New Roman" w:eastAsia="Times New Roman" w:hAnsi="Times New Roman" w:cs="Times New Roman"/>
          <w:color w:val="auto"/>
          <w:sz w:val="24"/>
          <w:szCs w:val="24"/>
        </w:rPr>
        <w:t>вредност била за 31%</w:t>
      </w:r>
      <w:r w:rsidR="00A127F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већа у односу на исти период претходне године (Табела 13</w:t>
      </w:r>
      <w:r w:rsidRPr="00C64F3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). </w:t>
      </w:r>
      <w:r w:rsidR="006262E1">
        <w:rPr>
          <w:rFonts w:ascii="Times New Roman" w:eastAsia="Times New Roman" w:hAnsi="Times New Roman" w:cs="Times New Roman"/>
          <w:color w:val="auto"/>
          <w:sz w:val="24"/>
          <w:szCs w:val="24"/>
          <w:lang w:val="sr-Cyrl-CS"/>
        </w:rPr>
        <w:t>Истовремено, релативно учешће опало је</w:t>
      </w:r>
      <w:r w:rsidR="00872C47">
        <w:rPr>
          <w:rFonts w:ascii="Times New Roman" w:eastAsia="Times New Roman" w:hAnsi="Times New Roman" w:cs="Times New Roman"/>
          <w:color w:val="auto"/>
          <w:sz w:val="24"/>
          <w:szCs w:val="24"/>
          <w:lang w:val="sr-Cyrl-CS"/>
        </w:rPr>
        <w:t xml:space="preserve"> незнанато са 18% на 16% учешћа.</w:t>
      </w:r>
    </w:p>
    <w:p w14:paraId="20958AD5" w14:textId="77777777" w:rsidR="00147936" w:rsidRDefault="00A74A3C">
      <w:pPr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    </w:t>
      </w:r>
    </w:p>
    <w:p w14:paraId="49D35EC1" w14:textId="1B5ED81D" w:rsidR="0081466B" w:rsidRPr="00A127F4" w:rsidRDefault="00A74A3C">
      <w:pPr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lastRenderedPageBreak/>
        <w:t xml:space="preserve">  </w:t>
      </w:r>
      <w:r w:rsidRPr="00A74A3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4F0DED" w:rsidRPr="00A127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Табела 1</w:t>
      </w:r>
      <w:r w:rsidR="00A127F4" w:rsidRPr="00A127F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</w:t>
      </w:r>
    </w:p>
    <w:tbl>
      <w:tblPr>
        <w:tblStyle w:val="ac"/>
        <w:tblW w:w="9498" w:type="dxa"/>
        <w:jc w:val="center"/>
        <w:tblLayout w:type="fixed"/>
        <w:tblLook w:val="0400" w:firstRow="0" w:lastRow="0" w:firstColumn="0" w:lastColumn="0" w:noHBand="0" w:noVBand="1"/>
      </w:tblPr>
      <w:tblGrid>
        <w:gridCol w:w="1524"/>
        <w:gridCol w:w="713"/>
        <w:gridCol w:w="1559"/>
        <w:gridCol w:w="1024"/>
        <w:gridCol w:w="1134"/>
        <w:gridCol w:w="850"/>
        <w:gridCol w:w="1560"/>
        <w:gridCol w:w="1134"/>
      </w:tblGrid>
      <w:tr w:rsidR="0081466B" w:rsidRPr="00A127F4" w14:paraId="53625218" w14:textId="77777777">
        <w:trPr>
          <w:trHeight w:val="640"/>
          <w:jc w:val="center"/>
        </w:trPr>
        <w:tc>
          <w:tcPr>
            <w:tcW w:w="949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4CE6EA01" w14:textId="77777777" w:rsidR="0081466B" w:rsidRPr="00A127F4" w:rsidRDefault="004F0DED">
            <w:pPr>
              <w:spacing w:after="0"/>
              <w:jc w:val="center"/>
              <w:rPr>
                <w:color w:val="000000" w:themeColor="text1"/>
              </w:rPr>
            </w:pPr>
            <w:r w:rsidRPr="00A127F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Упоредни преглед закључених уговора на основу оквирних споразума </w:t>
            </w:r>
          </w:p>
          <w:p w14:paraId="51AC04AD" w14:textId="3E97DBB9" w:rsidR="0081466B" w:rsidRPr="00A127F4" w:rsidRDefault="00800ABA">
            <w:pPr>
              <w:spacing w:after="0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 првом полугодишту 2017. и 2018</w:t>
            </w:r>
            <w:r w:rsidR="004F0DED" w:rsidRPr="00A127F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године и њихово учешће </w:t>
            </w:r>
          </w:p>
          <w:p w14:paraId="4F3C324B" w14:textId="77777777" w:rsidR="0081466B" w:rsidRPr="00A127F4" w:rsidRDefault="004F0DED">
            <w:pPr>
              <w:spacing w:after="0"/>
              <w:jc w:val="center"/>
              <w:rPr>
                <w:color w:val="000000" w:themeColor="text1"/>
              </w:rPr>
            </w:pPr>
            <w:r w:rsidRPr="00A127F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 укупном броју и вредности уговора о јавним набавкама</w:t>
            </w:r>
          </w:p>
        </w:tc>
      </w:tr>
      <w:tr w:rsidR="0081466B" w:rsidRPr="00A127F4" w14:paraId="53BECF0F" w14:textId="77777777">
        <w:trPr>
          <w:trHeight w:val="220"/>
          <w:jc w:val="center"/>
        </w:trPr>
        <w:tc>
          <w:tcPr>
            <w:tcW w:w="482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DF43D4E" w14:textId="4800D095" w:rsidR="0081466B" w:rsidRPr="00A127F4" w:rsidRDefault="00800ABA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2017</w:t>
            </w:r>
            <w:r w:rsidR="004F0DED" w:rsidRPr="00A127F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 1П</w:t>
            </w:r>
          </w:p>
        </w:tc>
        <w:tc>
          <w:tcPr>
            <w:tcW w:w="4678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DE0CA55" w14:textId="61BC3FBC" w:rsidR="0081466B" w:rsidRPr="00A127F4" w:rsidRDefault="00800ABA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2018</w:t>
            </w:r>
            <w:r w:rsidR="004F0DED" w:rsidRPr="00A127F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 1П</w:t>
            </w:r>
          </w:p>
        </w:tc>
      </w:tr>
      <w:tr w:rsidR="0081466B" w:rsidRPr="00A127F4" w14:paraId="4692EE44" w14:textId="77777777" w:rsidTr="00800ABA">
        <w:trPr>
          <w:trHeight w:val="540"/>
          <w:jc w:val="center"/>
        </w:trPr>
        <w:tc>
          <w:tcPr>
            <w:tcW w:w="15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1A446B" w14:textId="77777777" w:rsidR="0081466B" w:rsidRPr="00A127F4" w:rsidRDefault="004F0DED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A127F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Број уговора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CBFB222" w14:textId="77777777" w:rsidR="0081466B" w:rsidRPr="00A127F4" w:rsidRDefault="004F0DED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A127F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21A675" w14:textId="77777777" w:rsidR="0081466B" w:rsidRPr="00A127F4" w:rsidRDefault="004F0DED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A127F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Уговорена вредност без ПДВ-а*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FBA3C2" w14:textId="77777777" w:rsidR="0081466B" w:rsidRPr="00A127F4" w:rsidRDefault="004F0DED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A127F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C6075E" w14:textId="77777777" w:rsidR="0081466B" w:rsidRPr="00A127F4" w:rsidRDefault="004F0DED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A127F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Број уговора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157C57" w14:textId="77777777" w:rsidR="0081466B" w:rsidRPr="00A127F4" w:rsidRDefault="004F0DED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A127F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4FCB40" w14:textId="77777777" w:rsidR="0081466B" w:rsidRPr="00A127F4" w:rsidRDefault="004F0DED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A127F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Уговорена вредност без ПДВ-а*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135588E" w14:textId="77777777" w:rsidR="0081466B" w:rsidRPr="00A127F4" w:rsidRDefault="004F0DED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A127F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800ABA" w:rsidRPr="00A127F4" w14:paraId="3AED6510" w14:textId="77777777" w:rsidTr="00800ABA">
        <w:trPr>
          <w:trHeight w:val="980"/>
          <w:jc w:val="center"/>
        </w:trPr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CB86C4" w14:textId="5A812766" w:rsidR="00800ABA" w:rsidRPr="00A127F4" w:rsidRDefault="00800ABA" w:rsidP="00800ABA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A127F4">
              <w:rPr>
                <w:color w:val="000000" w:themeColor="text1"/>
              </w:rPr>
              <w:t>10.299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FDBB6F" w14:textId="27D15BE8" w:rsidR="00800ABA" w:rsidRPr="00A127F4" w:rsidRDefault="00800ABA" w:rsidP="00800ABA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A127F4">
              <w:rPr>
                <w:color w:val="000000" w:themeColor="text1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80C6DEF" w14:textId="25BFA3AE" w:rsidR="00800ABA" w:rsidRPr="00A127F4" w:rsidRDefault="00800ABA" w:rsidP="00800ABA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A127F4">
              <w:rPr>
                <w:color w:val="000000" w:themeColor="text1"/>
              </w:rPr>
              <w:t>22.642.249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FE25726" w14:textId="43F7203B" w:rsidR="00800ABA" w:rsidRPr="00A127F4" w:rsidRDefault="00800ABA" w:rsidP="00800ABA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A127F4">
              <w:rPr>
                <w:color w:val="000000" w:themeColor="text1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3600CE" w14:textId="753CDA70" w:rsidR="00800ABA" w:rsidRPr="00800ABA" w:rsidRDefault="00800ABA" w:rsidP="00800ABA">
            <w:pPr>
              <w:spacing w:before="100" w:after="100" w:line="240" w:lineRule="auto"/>
              <w:jc w:val="center"/>
              <w:rPr>
                <w:color w:val="000000" w:themeColor="text1"/>
                <w:lang w:val="sr-Latn-RS"/>
              </w:rPr>
            </w:pPr>
            <w:r>
              <w:rPr>
                <w:color w:val="000000" w:themeColor="text1"/>
                <w:lang w:val="sr-Latn-RS"/>
              </w:rPr>
              <w:t>15</w:t>
            </w:r>
            <w:r w:rsidR="00C3257B">
              <w:rPr>
                <w:color w:val="000000" w:themeColor="text1"/>
                <w:lang w:val="sr-Latn-RS"/>
              </w:rPr>
              <w:t>.32</w:t>
            </w:r>
            <w:r>
              <w:rPr>
                <w:color w:val="000000" w:themeColor="text1"/>
                <w:lang w:val="sr-Latn-RS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C9BAEC" w14:textId="22088438" w:rsidR="00800ABA" w:rsidRPr="00800ABA" w:rsidRDefault="00800ABA" w:rsidP="00800ABA">
            <w:pPr>
              <w:spacing w:before="100" w:after="100" w:line="240" w:lineRule="auto"/>
              <w:jc w:val="center"/>
              <w:rPr>
                <w:color w:val="000000" w:themeColor="text1"/>
                <w:lang w:val="sr-Latn-RS"/>
              </w:rPr>
            </w:pPr>
            <w:r>
              <w:rPr>
                <w:color w:val="000000" w:themeColor="text1"/>
                <w:lang w:val="sr-Latn-RS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114D2A4" w14:textId="1EF9F440" w:rsidR="00800ABA" w:rsidRPr="00A127F4" w:rsidRDefault="00800ABA" w:rsidP="00800ABA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800ABA">
              <w:rPr>
                <w:color w:val="000000" w:themeColor="text1"/>
              </w:rPr>
              <w:t>29</w:t>
            </w:r>
            <w:r w:rsidR="00C3257B">
              <w:rPr>
                <w:color w:val="000000" w:themeColor="text1"/>
                <w:lang w:val="sr-Cyrl-RS"/>
              </w:rPr>
              <w:t>.</w:t>
            </w:r>
            <w:r w:rsidR="00C3257B">
              <w:rPr>
                <w:color w:val="000000" w:themeColor="text1"/>
                <w:lang w:val="sr-Latn-RS"/>
              </w:rPr>
              <w:t>866</w:t>
            </w:r>
            <w:r>
              <w:rPr>
                <w:color w:val="000000" w:themeColor="text1"/>
                <w:lang w:val="sr-Latn-RS"/>
              </w:rPr>
              <w:t>.153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6E1AE6D" w14:textId="3F5D4B65" w:rsidR="00800ABA" w:rsidRPr="00800ABA" w:rsidRDefault="00800ABA" w:rsidP="00800ABA">
            <w:pPr>
              <w:spacing w:before="100" w:after="100" w:line="240" w:lineRule="auto"/>
              <w:jc w:val="center"/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>16</w:t>
            </w:r>
          </w:p>
        </w:tc>
      </w:tr>
    </w:tbl>
    <w:p w14:paraId="404AEC02" w14:textId="77777777" w:rsidR="0081466B" w:rsidRDefault="004F0DED">
      <w:pPr>
        <w:jc w:val="both"/>
      </w:pPr>
      <w:r>
        <w:rPr>
          <w:rFonts w:ascii="Times New Roman" w:eastAsia="Times New Roman" w:hAnsi="Times New Roman" w:cs="Times New Roman"/>
          <w:b/>
        </w:rPr>
        <w:t xml:space="preserve">           *</w:t>
      </w:r>
      <w:r>
        <w:rPr>
          <w:rFonts w:ascii="Times New Roman" w:eastAsia="Times New Roman" w:hAnsi="Times New Roman" w:cs="Times New Roman"/>
        </w:rPr>
        <w:t>Вредности су изражене у хиљадама динара</w:t>
      </w:r>
    </w:p>
    <w:p w14:paraId="04CFFA4B" w14:textId="77777777" w:rsidR="0081466B" w:rsidRPr="00620ABD" w:rsidRDefault="00A75D51">
      <w:pPr>
        <w:spacing w:after="0"/>
        <w:jc w:val="both"/>
        <w:rPr>
          <w:color w:val="auto"/>
        </w:rPr>
      </w:pPr>
      <w:r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Оквирни споразуми </w:t>
      </w:r>
      <w:r w:rsidR="004F0DED"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најчешће </w:t>
      </w:r>
      <w:r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се </w:t>
      </w:r>
      <w:r w:rsidR="004F0DED"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>закључују код поступака обједињених</w:t>
      </w:r>
      <w:r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>, односно централизованих јавних</w:t>
      </w:r>
      <w:r w:rsidR="004F0DED"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набавки. </w:t>
      </w:r>
      <w:r w:rsidR="00C06111"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Поред тога, наручиоци их закључују и </w:t>
      </w:r>
      <w:r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>за сопствене</w:t>
      </w:r>
      <w:r w:rsidR="004F0DED"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потребе. </w:t>
      </w:r>
    </w:p>
    <w:p w14:paraId="39C1CF29" w14:textId="77777777" w:rsidR="00A04844" w:rsidRPr="00620ABD" w:rsidRDefault="00A04844">
      <w:pPr>
        <w:spacing w:after="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0F55E900" w14:textId="6054C072" w:rsidR="00C3257B" w:rsidRDefault="00A75D51">
      <w:pPr>
        <w:spacing w:after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>У првом полугодишту</w:t>
      </w:r>
      <w:r w:rsidR="004A0D5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2018</w:t>
      </w:r>
      <w:r w:rsidR="004C112A"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>. године,</w:t>
      </w:r>
      <w:r w:rsidR="00C06111"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најзаступљ</w:t>
      </w:r>
      <w:r w:rsidR="00FB5978">
        <w:rPr>
          <w:rFonts w:ascii="Times New Roman" w:eastAsia="Times New Roman" w:hAnsi="Times New Roman" w:cs="Times New Roman"/>
          <w:color w:val="auto"/>
          <w:sz w:val="24"/>
          <w:szCs w:val="24"/>
        </w:rPr>
        <w:t>енији предмети у</w:t>
      </w:r>
      <w:r w:rsidR="00872C47">
        <w:rPr>
          <w:rFonts w:ascii="Times New Roman" w:eastAsia="Times New Roman" w:hAnsi="Times New Roman" w:cs="Times New Roman"/>
          <w:color w:val="auto"/>
          <w:sz w:val="24"/>
          <w:szCs w:val="24"/>
          <w:lang w:val="sr-Cyrl-CS"/>
        </w:rPr>
        <w:t xml:space="preserve"> вредности</w:t>
      </w:r>
      <w:r w:rsidR="00FB597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ОС</w:t>
      </w:r>
      <w:r w:rsidR="00C06111"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били су</w:t>
      </w:r>
      <w:r w:rsidR="00A127F4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  <w:r w:rsidR="00C06111"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медицинска опрема, фармацеутски производи</w:t>
      </w:r>
      <w:r w:rsidR="00C3257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и производи за личну негу </w:t>
      </w:r>
    </w:p>
    <w:p w14:paraId="35A6BB3F" w14:textId="77777777" w:rsidR="00147936" w:rsidRDefault="00C06111" w:rsidP="009B1379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>(Табела</w:t>
      </w:r>
      <w:r w:rsidR="00A127F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14</w:t>
      </w:r>
      <w:r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14:paraId="3471FAEA" w14:textId="77777777" w:rsidR="00147936" w:rsidRDefault="00147936" w:rsidP="009B1379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14C85DFD" w14:textId="1C2E39F4" w:rsidR="0081466B" w:rsidRPr="00147936" w:rsidRDefault="008743FC" w:rsidP="009B1379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/>
        </w:rPr>
        <w:t xml:space="preserve">     </w:t>
      </w:r>
      <w:r w:rsidR="009B137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   </w:t>
      </w:r>
      <w:r w:rsidR="00A127F4" w:rsidRPr="00A0415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Табела 14</w:t>
      </w:r>
    </w:p>
    <w:tbl>
      <w:tblPr>
        <w:tblW w:w="9360" w:type="dxa"/>
        <w:jc w:val="center"/>
        <w:tblLayout w:type="fixed"/>
        <w:tblLook w:val="0400" w:firstRow="0" w:lastRow="0" w:firstColumn="0" w:lastColumn="0" w:noHBand="0" w:noVBand="1"/>
      </w:tblPr>
      <w:tblGrid>
        <w:gridCol w:w="6210"/>
        <w:gridCol w:w="1800"/>
        <w:gridCol w:w="1350"/>
      </w:tblGrid>
      <w:tr w:rsidR="004C112A" w:rsidRPr="00A04153" w14:paraId="4791D7ED" w14:textId="77777777" w:rsidTr="00601383">
        <w:trPr>
          <w:trHeight w:val="300"/>
          <w:jc w:val="center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CA78BE" w14:textId="77777777" w:rsidR="004C112A" w:rsidRPr="00A04153" w:rsidRDefault="00C06111" w:rsidP="00045171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415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Најзаступљенији предмети</w:t>
            </w:r>
            <w:r w:rsidR="004C112A" w:rsidRPr="00A0415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набавки </w:t>
            </w:r>
          </w:p>
          <w:p w14:paraId="2386F5F4" w14:textId="77777777" w:rsidR="004C112A" w:rsidRPr="00A04153" w:rsidRDefault="004C112A" w:rsidP="00045171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A0415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по вредности уговора закључених на основу оквирних споразума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965ED2" w14:textId="77777777" w:rsidR="004C112A" w:rsidRPr="00A04153" w:rsidRDefault="004C112A" w:rsidP="00045171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A0415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Уговорена вредност без ПДВ-а*</w:t>
            </w: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C05537" w14:textId="77777777" w:rsidR="004C112A" w:rsidRPr="00A04153" w:rsidRDefault="004C112A" w:rsidP="00045171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A0415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C3257B" w:rsidRPr="00A04153" w14:paraId="1F0B9D3B" w14:textId="77777777" w:rsidTr="005F4712">
        <w:trPr>
          <w:trHeight w:val="300"/>
          <w:jc w:val="center"/>
        </w:trPr>
        <w:tc>
          <w:tcPr>
            <w:tcW w:w="6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1157ABC" w14:textId="349F9795" w:rsidR="00C3257B" w:rsidRPr="00A04153" w:rsidRDefault="00C3257B" w:rsidP="00C3257B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A041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Медицинска опрема, фармацеутски производи, производи за личну негу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125DC1" w14:textId="7A4DBC56" w:rsidR="00C3257B" w:rsidRPr="00E37B06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1952">
              <w:rPr>
                <w:rFonts w:ascii="Times New Roman" w:hAnsi="Times New Roman" w:cs="Times New Roman"/>
                <w:sz w:val="24"/>
                <w:szCs w:val="24"/>
              </w:rPr>
              <w:t>11.954.860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0BA39EB1" w14:textId="7696A1FD" w:rsidR="00C3257B" w:rsidRPr="00E37B06" w:rsidRDefault="00C3257B" w:rsidP="00C3257B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195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3257B" w:rsidRPr="00A04153" w14:paraId="491E369E" w14:textId="77777777" w:rsidTr="005F4712">
        <w:trPr>
          <w:trHeight w:val="300"/>
          <w:jc w:val="center"/>
        </w:trPr>
        <w:tc>
          <w:tcPr>
            <w:tcW w:w="6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B9BAB5D" w14:textId="7CE62469" w:rsidR="00C3257B" w:rsidRPr="00A04153" w:rsidRDefault="00C3257B" w:rsidP="00C3257B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A041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Грађевински радови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09DAD6" w14:textId="0F53C5AA" w:rsidR="00C3257B" w:rsidRPr="00E37B06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1952">
              <w:rPr>
                <w:rFonts w:ascii="Times New Roman" w:hAnsi="Times New Roman" w:cs="Times New Roman"/>
                <w:sz w:val="24"/>
                <w:szCs w:val="24"/>
              </w:rPr>
              <w:t>3.771.683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1B1D2B98" w14:textId="7ECA761D" w:rsidR="00C3257B" w:rsidRPr="00E37B06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19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3257B" w:rsidRPr="00A04153" w14:paraId="2C02A374" w14:textId="77777777" w:rsidTr="005F4712">
        <w:trPr>
          <w:trHeight w:val="300"/>
          <w:jc w:val="center"/>
        </w:trPr>
        <w:tc>
          <w:tcPr>
            <w:tcW w:w="6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722216B" w14:textId="10E041C3" w:rsidR="00C3257B" w:rsidRPr="00A04153" w:rsidRDefault="00C3257B" w:rsidP="00C3257B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A041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Нафтни деривати, гориво, електрична енергија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368CD6D" w14:textId="01F2D406" w:rsidR="00C3257B" w:rsidRPr="00E37B06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1952">
              <w:rPr>
                <w:rFonts w:ascii="Times New Roman" w:hAnsi="Times New Roman" w:cs="Times New Roman"/>
                <w:sz w:val="24"/>
                <w:szCs w:val="24"/>
              </w:rPr>
              <w:t>3.648.462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469DBA58" w14:textId="6D9FEBB6" w:rsidR="00C3257B" w:rsidRPr="00E37B06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19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3257B" w:rsidRPr="00A04153" w14:paraId="089E7B35" w14:textId="77777777" w:rsidTr="005F4712">
        <w:trPr>
          <w:trHeight w:val="300"/>
          <w:jc w:val="center"/>
        </w:trPr>
        <w:tc>
          <w:tcPr>
            <w:tcW w:w="6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4558AD" w14:textId="6AB451F7" w:rsidR="00C3257B" w:rsidRPr="00A04153" w:rsidRDefault="00C3257B" w:rsidP="00C3257B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Комуналне услуге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B67E641" w14:textId="3D59C794" w:rsidR="00C3257B" w:rsidRPr="00E37B06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1952">
              <w:rPr>
                <w:rFonts w:ascii="Times New Roman" w:hAnsi="Times New Roman" w:cs="Times New Roman"/>
                <w:sz w:val="24"/>
                <w:szCs w:val="24"/>
              </w:rPr>
              <w:t>2.209.679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2BF8F367" w14:textId="136D1738" w:rsidR="00C3257B" w:rsidRPr="00E37B06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19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3257B" w:rsidRPr="00A04153" w14:paraId="08863BE6" w14:textId="77777777" w:rsidTr="005F4712">
        <w:trPr>
          <w:trHeight w:val="300"/>
          <w:jc w:val="center"/>
        </w:trPr>
        <w:tc>
          <w:tcPr>
            <w:tcW w:w="6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E949FD" w14:textId="0A4E6C85" w:rsidR="00C3257B" w:rsidRPr="00A04153" w:rsidRDefault="00C3257B" w:rsidP="00C3257B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Храна и пиће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C84F6C" w14:textId="6085178B" w:rsidR="00C3257B" w:rsidRPr="00E37B06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1952">
              <w:rPr>
                <w:rFonts w:ascii="Times New Roman" w:hAnsi="Times New Roman" w:cs="Times New Roman"/>
                <w:sz w:val="24"/>
                <w:szCs w:val="24"/>
              </w:rPr>
              <w:t>1.752.395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419B93E9" w14:textId="2D4D0FC1" w:rsidR="00C3257B" w:rsidRPr="00E37B06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19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257B" w:rsidRPr="00A04153" w14:paraId="0A74F0BF" w14:textId="77777777" w:rsidTr="005F4712">
        <w:trPr>
          <w:trHeight w:val="300"/>
          <w:jc w:val="center"/>
        </w:trPr>
        <w:tc>
          <w:tcPr>
            <w:tcW w:w="6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0B48966" w14:textId="5301BC61" w:rsidR="00C3257B" w:rsidRPr="00A04153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4153">
              <w:rPr>
                <w:rFonts w:ascii="Times New Roman" w:hAnsi="Times New Roman" w:cs="Times New Roman"/>
                <w:color w:val="000000" w:themeColor="text1"/>
                <w:sz w:val="24"/>
              </w:rPr>
              <w:t>Остало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07D34A" w14:textId="40EE0382" w:rsidR="00C3257B" w:rsidRPr="00E37B06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1952">
              <w:rPr>
                <w:rFonts w:ascii="Times New Roman" w:hAnsi="Times New Roman" w:cs="Times New Roman"/>
                <w:sz w:val="24"/>
                <w:szCs w:val="24"/>
              </w:rPr>
              <w:t>6.529.557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4C41916D" w14:textId="32611B67" w:rsidR="00C3257B" w:rsidRPr="00E37B06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195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C3257B" w:rsidRPr="00A04153" w14:paraId="78B15321" w14:textId="77777777" w:rsidTr="005F4712">
        <w:trPr>
          <w:trHeight w:val="300"/>
          <w:jc w:val="center"/>
        </w:trPr>
        <w:tc>
          <w:tcPr>
            <w:tcW w:w="6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448350" w14:textId="0738DD81" w:rsidR="00C3257B" w:rsidRPr="00A04153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04153">
              <w:rPr>
                <w:rFonts w:ascii="Times New Roman" w:hAnsi="Times New Roman" w:cs="Times New Roman"/>
                <w:b/>
                <w:color w:val="000000" w:themeColor="text1"/>
              </w:rPr>
              <w:t>Укупно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66E692F" w14:textId="3F3459DE" w:rsidR="00C3257B" w:rsidRPr="00E37B06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62BC7">
              <w:rPr>
                <w:rFonts w:ascii="Times New Roman" w:hAnsi="Times New Roman" w:cs="Times New Roman"/>
                <w:b/>
                <w:sz w:val="24"/>
                <w:szCs w:val="24"/>
              </w:rPr>
              <w:t>29.866.636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bottom"/>
          </w:tcPr>
          <w:p w14:paraId="44C5F0BD" w14:textId="7DD32EB8" w:rsidR="00C3257B" w:rsidRPr="00E37B06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62BC7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14:paraId="45CF1C56" w14:textId="60838A00" w:rsidR="0081466B" w:rsidRDefault="00620ABD" w:rsidP="00620ABD">
      <w:pPr>
        <w:pStyle w:val="ListParagraph"/>
        <w:spacing w:after="0"/>
        <w:ind w:left="1050"/>
        <w:jc w:val="both"/>
      </w:pPr>
      <w:r>
        <w:t>*</w:t>
      </w:r>
      <w:r>
        <w:rPr>
          <w:rFonts w:ascii="Times New Roman" w:hAnsi="Times New Roman" w:cs="Times New Roman"/>
        </w:rPr>
        <w:t>В</w:t>
      </w:r>
      <w:r w:rsidRPr="00620ABD">
        <w:rPr>
          <w:rFonts w:ascii="Times New Roman" w:hAnsi="Times New Roman" w:cs="Times New Roman"/>
        </w:rPr>
        <w:t>редности су изражене у хиљадама динара</w:t>
      </w:r>
    </w:p>
    <w:p w14:paraId="297DEE42" w14:textId="77777777" w:rsidR="00620ABD" w:rsidRPr="00620ABD" w:rsidRDefault="00620ABD" w:rsidP="00620ABD">
      <w:pPr>
        <w:pStyle w:val="ListParagraph"/>
        <w:spacing w:after="0"/>
        <w:ind w:left="1050"/>
        <w:jc w:val="both"/>
      </w:pPr>
    </w:p>
    <w:p w14:paraId="357EF91E" w14:textId="77777777" w:rsidR="0081466B" w:rsidRDefault="004F0DED">
      <w:pPr>
        <w:numPr>
          <w:ilvl w:val="0"/>
          <w:numId w:val="15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ЦЕНТРАЛИЗОВАНЕ ЈАВНЕ НАБАВКЕ </w:t>
      </w:r>
    </w:p>
    <w:p w14:paraId="6327C0A0" w14:textId="77777777" w:rsidR="00A77120" w:rsidRDefault="00A7712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1593F8" w14:textId="5550EFC0" w:rsidR="0081466B" w:rsidRDefault="004F0DED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Центрaлизaцијa јaвних нaбaвки </w:t>
      </w:r>
      <w:r w:rsidR="001608AC">
        <w:rPr>
          <w:rFonts w:ascii="Times New Roman" w:eastAsia="Times New Roman" w:hAnsi="Times New Roman" w:cs="Times New Roman"/>
          <w:sz w:val="24"/>
          <w:szCs w:val="24"/>
        </w:rPr>
        <w:t>омогућава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08AC">
        <w:rPr>
          <w:rFonts w:ascii="Times New Roman" w:eastAsia="Times New Roman" w:hAnsi="Times New Roman" w:cs="Times New Roman"/>
          <w:sz w:val="24"/>
          <w:szCs w:val="24"/>
        </w:rPr>
        <w:t>наручиоцима да оствaре уштеде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08AC">
        <w:rPr>
          <w:rFonts w:ascii="Times New Roman" w:eastAsia="Times New Roman" w:hAnsi="Times New Roman" w:cs="Times New Roman"/>
          <w:sz w:val="24"/>
          <w:szCs w:val="24"/>
        </w:rPr>
        <w:t>по основ</w:t>
      </w:r>
      <w:r w:rsidR="001C3286">
        <w:rPr>
          <w:rFonts w:ascii="Times New Roman" w:eastAsia="Times New Roman" w:hAnsi="Times New Roman" w:cs="Times New Roman"/>
          <w:sz w:val="24"/>
          <w:szCs w:val="24"/>
        </w:rPr>
        <w:t>у укрупњавања на страни тражње</w:t>
      </w:r>
      <w:r w:rsidR="00393D5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Централизација јавних набавки се остварује обједињавањем нaбaвки које се </w:t>
      </w:r>
      <w:r w:rsidR="001C3286">
        <w:rPr>
          <w:rFonts w:ascii="Times New Roman" w:eastAsia="Times New Roman" w:hAnsi="Times New Roman" w:cs="Times New Roman"/>
          <w:sz w:val="24"/>
          <w:szCs w:val="24"/>
        </w:rPr>
        <w:t xml:space="preserve">потом </w:t>
      </w:r>
      <w:r>
        <w:rPr>
          <w:rFonts w:ascii="Times New Roman" w:eastAsia="Times New Roman" w:hAnsi="Times New Roman" w:cs="Times New Roman"/>
          <w:sz w:val="24"/>
          <w:szCs w:val="24"/>
        </w:rPr>
        <w:t>спроводе преко телa зa центрaлизовaне јaвне нaбaвке и</w:t>
      </w:r>
      <w:r w:rsidR="001C3286">
        <w:rPr>
          <w:rFonts w:ascii="Times New Roman" w:eastAsia="Times New Roman" w:hAnsi="Times New Roman" w:cs="Times New Roman"/>
          <w:sz w:val="24"/>
          <w:szCs w:val="24"/>
        </w:rPr>
        <w:t xml:space="preserve">ли </w:t>
      </w:r>
      <w:r>
        <w:rPr>
          <w:rFonts w:ascii="Times New Roman" w:eastAsia="Times New Roman" w:hAnsi="Times New Roman" w:cs="Times New Roman"/>
          <w:sz w:val="24"/>
          <w:szCs w:val="24"/>
        </w:rPr>
        <w:t>сп</w:t>
      </w:r>
      <w:r w:rsidR="001C3286">
        <w:rPr>
          <w:rFonts w:ascii="Times New Roman" w:eastAsia="Times New Roman" w:hAnsi="Times New Roman" w:cs="Times New Roman"/>
          <w:sz w:val="24"/>
          <w:szCs w:val="24"/>
        </w:rPr>
        <w:t>ровођењем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поступкa јaвне нaбaвке од стрaне више нaручилaцa (заједничка јавна набавка). </w:t>
      </w:r>
    </w:p>
    <w:p w14:paraId="61DA3C67" w14:textId="77777777" w:rsidR="0081466B" w:rsidRPr="001608AC" w:rsidRDefault="0081466B">
      <w:pPr>
        <w:spacing w:after="0"/>
        <w:ind w:firstLine="708"/>
        <w:jc w:val="both"/>
        <w:rPr>
          <w:lang w:val="en-US"/>
        </w:rPr>
      </w:pPr>
    </w:p>
    <w:p w14:paraId="0D0D215D" w14:textId="726188D5" w:rsidR="00620ABD" w:rsidRPr="009612B0" w:rsidRDefault="00353F00" w:rsidP="009612B0">
      <w:pPr>
        <w:ind w:left="-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Учешће 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>централизованих јавних н</w:t>
      </w:r>
      <w:r>
        <w:rPr>
          <w:rFonts w:ascii="Times New Roman" w:eastAsia="Times New Roman" w:hAnsi="Times New Roman" w:cs="Times New Roman"/>
          <w:sz w:val="24"/>
          <w:szCs w:val="24"/>
        </w:rPr>
        <w:t>абавки у укупној вредн</w:t>
      </w:r>
      <w:r w:rsidR="00C3257B">
        <w:rPr>
          <w:rFonts w:ascii="Times New Roman" w:eastAsia="Times New Roman" w:hAnsi="Times New Roman" w:cs="Times New Roman"/>
          <w:sz w:val="24"/>
          <w:szCs w:val="24"/>
        </w:rPr>
        <w:t>ости закључених уговора смањило</w:t>
      </w:r>
      <w:r w:rsidR="00166C95">
        <w:rPr>
          <w:rFonts w:ascii="Times New Roman" w:eastAsia="Times New Roman" w:hAnsi="Times New Roman" w:cs="Times New Roman"/>
          <w:sz w:val="24"/>
          <w:szCs w:val="24"/>
        </w:rPr>
        <w:t xml:space="preserve"> се 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15%</w:t>
      </w:r>
      <w:r w:rsidR="00166C9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 10%</w:t>
      </w:r>
      <w:r w:rsidR="00166C95">
        <w:rPr>
          <w:rFonts w:ascii="Times New Roman" w:eastAsia="Times New Roman" w:hAnsi="Times New Roman" w:cs="Times New Roman"/>
          <w:sz w:val="24"/>
          <w:szCs w:val="24"/>
        </w:rPr>
        <w:t xml:space="preserve"> у односу на исти период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претходне године (Табела 15</w:t>
      </w:r>
      <w:r w:rsidR="004F0DED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DC7176C" w14:textId="0A1A6273" w:rsidR="0081466B" w:rsidRDefault="004F0DED">
      <w:pPr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Pr="00620ABD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Табела 1</w:t>
      </w:r>
      <w:r w:rsidR="00353F00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5</w:t>
      </w:r>
    </w:p>
    <w:tbl>
      <w:tblPr>
        <w:tblStyle w:val="ad"/>
        <w:tblW w:w="9620" w:type="dxa"/>
        <w:jc w:val="center"/>
        <w:tblLayout w:type="fixed"/>
        <w:tblLook w:val="0400" w:firstRow="0" w:lastRow="0" w:firstColumn="0" w:lastColumn="0" w:noHBand="0" w:noVBand="1"/>
      </w:tblPr>
      <w:tblGrid>
        <w:gridCol w:w="1080"/>
        <w:gridCol w:w="766"/>
        <w:gridCol w:w="1701"/>
        <w:gridCol w:w="953"/>
        <w:gridCol w:w="1250"/>
        <w:gridCol w:w="810"/>
        <w:gridCol w:w="1890"/>
        <w:gridCol w:w="1170"/>
      </w:tblGrid>
      <w:tr w:rsidR="0081466B" w14:paraId="187A2B5F" w14:textId="77777777" w:rsidTr="00601383">
        <w:trPr>
          <w:trHeight w:val="660"/>
          <w:jc w:val="center"/>
        </w:trPr>
        <w:tc>
          <w:tcPr>
            <w:tcW w:w="962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39DA7C5A" w14:textId="77777777" w:rsidR="0081466B" w:rsidRDefault="004F0D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Упоредни преглед закључених уговора</w:t>
            </w:r>
          </w:p>
          <w:p w14:paraId="0DE154AD" w14:textId="154C813F" w:rsidR="0081466B" w:rsidRDefault="004F0DED" w:rsidP="00F9479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 основу централизованих јавних </w:t>
            </w:r>
            <w:r w:rsidR="00171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набавки у првом пол</w:t>
            </w:r>
            <w:r w:rsidR="00C325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угодишту 2017. и 2018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године</w:t>
            </w:r>
          </w:p>
        </w:tc>
      </w:tr>
      <w:tr w:rsidR="0081466B" w14:paraId="475F3C48" w14:textId="77777777" w:rsidTr="00385C1E">
        <w:trPr>
          <w:trHeight w:val="313"/>
          <w:jc w:val="center"/>
        </w:trPr>
        <w:tc>
          <w:tcPr>
            <w:tcW w:w="450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DE89AB" w14:textId="49997BC7" w:rsidR="0081466B" w:rsidRPr="00353F00" w:rsidRDefault="00C3257B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2017</w:t>
            </w:r>
            <w:r w:rsidR="004F0DED" w:rsidRPr="00353F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 1П</w:t>
            </w:r>
          </w:p>
        </w:tc>
        <w:tc>
          <w:tcPr>
            <w:tcW w:w="512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543AC3" w14:textId="788ACF2E" w:rsidR="0081466B" w:rsidRPr="00353F00" w:rsidRDefault="00171D05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353F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2017</w:t>
            </w:r>
            <w:r w:rsidR="004F0DED" w:rsidRPr="00353F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. 1П</w:t>
            </w:r>
          </w:p>
        </w:tc>
      </w:tr>
      <w:tr w:rsidR="0081466B" w14:paraId="2982F2FD" w14:textId="77777777" w:rsidTr="00601383">
        <w:trPr>
          <w:trHeight w:val="97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98704C" w14:textId="77777777" w:rsidR="0081466B" w:rsidRPr="00353F00" w:rsidRDefault="004F0DED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353F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Број уговора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218DACB" w14:textId="77777777" w:rsidR="0081466B" w:rsidRPr="00353F00" w:rsidRDefault="004F0DED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353F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E8E66A6" w14:textId="77777777" w:rsidR="0081466B" w:rsidRPr="00353F00" w:rsidRDefault="004F0DED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353F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Уговорена вредност без ПДВ-а*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04E465" w14:textId="77777777" w:rsidR="0081466B" w:rsidRPr="00353F00" w:rsidRDefault="004F0DED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353F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EBAB45C" w14:textId="77777777" w:rsidR="0081466B" w:rsidRPr="00353F00" w:rsidRDefault="004F0DED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353F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Број уговора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A5F3B5" w14:textId="77777777" w:rsidR="0081466B" w:rsidRPr="00353F00" w:rsidRDefault="004F0DED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353F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8328C5" w14:textId="77777777" w:rsidR="0081466B" w:rsidRPr="00353F00" w:rsidRDefault="004F0DED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353F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Уговорена вредност без ПДВ-а*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ABFC203" w14:textId="77777777" w:rsidR="0081466B" w:rsidRPr="00353F00" w:rsidRDefault="004F0DED">
            <w:pPr>
              <w:spacing w:before="100" w:after="100" w:line="240" w:lineRule="auto"/>
              <w:jc w:val="center"/>
              <w:rPr>
                <w:color w:val="000000" w:themeColor="text1"/>
              </w:rPr>
            </w:pPr>
            <w:r w:rsidRPr="00353F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%</w:t>
            </w:r>
          </w:p>
        </w:tc>
      </w:tr>
      <w:tr w:rsidR="00C3257B" w14:paraId="4B0A3419" w14:textId="77777777" w:rsidTr="00601383">
        <w:trPr>
          <w:trHeight w:val="457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FB09E2B" w14:textId="0898CA1F" w:rsidR="00C3257B" w:rsidRPr="00385C1E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5C1E">
              <w:rPr>
                <w:rFonts w:ascii="Times New Roman" w:hAnsi="Times New Roman" w:cs="Times New Roman"/>
                <w:color w:val="000000" w:themeColor="text1"/>
              </w:rPr>
              <w:t>6.949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B08B52" w14:textId="688ECD3E" w:rsidR="00C3257B" w:rsidRPr="00385C1E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5C1E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0DDAF5D" w14:textId="4964B663" w:rsidR="00C3257B" w:rsidRPr="00385C1E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5C1E">
              <w:rPr>
                <w:rFonts w:ascii="Times New Roman" w:hAnsi="Times New Roman" w:cs="Times New Roman"/>
                <w:color w:val="000000" w:themeColor="text1"/>
              </w:rPr>
              <w:t>18.489.514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39D762E" w14:textId="37B5DF43" w:rsidR="00C3257B" w:rsidRPr="00385C1E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5C1E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CB6BB2" w14:textId="3567D81B" w:rsidR="00C3257B" w:rsidRPr="00C3257B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6.338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EF7336" w14:textId="59C3627C" w:rsidR="00C3257B" w:rsidRPr="00C3257B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11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523DFDF" w14:textId="5B3EAD48" w:rsidR="00C3257B" w:rsidRPr="00C3257B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18.495.976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502E3A" w14:textId="7EF2AAF2" w:rsidR="00C3257B" w:rsidRPr="00C3257B" w:rsidRDefault="00C3257B" w:rsidP="00C3257B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RS"/>
              </w:rPr>
              <w:t>10</w:t>
            </w:r>
          </w:p>
        </w:tc>
      </w:tr>
    </w:tbl>
    <w:p w14:paraId="27C39E91" w14:textId="33B4073A" w:rsidR="009612B0" w:rsidRPr="009612B0" w:rsidRDefault="009612B0" w:rsidP="00385C1E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612B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63270">
        <w:rPr>
          <w:rFonts w:ascii="Times New Roman" w:eastAsia="Times New Roman" w:hAnsi="Times New Roman" w:cs="Times New Roman"/>
          <w:color w:val="000000" w:themeColor="text1"/>
        </w:rPr>
        <w:t>вредности су исказане у хиљадама динара</w:t>
      </w:r>
    </w:p>
    <w:p w14:paraId="49169BD5" w14:textId="77777777" w:rsidR="00DE5886" w:rsidRDefault="00DE5886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9BCD84" w14:textId="7C52FA57" w:rsidR="0081466B" w:rsidRPr="00353F00" w:rsidRDefault="004F0DED">
      <w:pPr>
        <w:spacing w:after="0"/>
        <w:jc w:val="both"/>
        <w:rPr>
          <w:color w:val="000000" w:themeColor="text1"/>
        </w:rPr>
      </w:pPr>
      <w:r w:rsidRPr="0035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Доминантан удео у</w:t>
      </w:r>
      <w:r w:rsidR="00872C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вредности</w:t>
      </w:r>
      <w:r w:rsidR="00872C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централизованих јавних набавка</w:t>
      </w:r>
      <w:r w:rsidRPr="0035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77120" w:rsidRPr="0035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 </w:t>
      </w:r>
      <w:r w:rsidR="00166C9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првом полугодишту 2018</w:t>
      </w:r>
      <w:r w:rsidRPr="0035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годин</w:t>
      </w:r>
      <w:r w:rsidR="001C3286" w:rsidRPr="0035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е, имали су медицинска опрема, </w:t>
      </w:r>
      <w:r w:rsidRPr="0035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фармацеутски производи </w:t>
      </w:r>
      <w:r w:rsidR="001C3286" w:rsidRPr="0035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производи за личну негу </w:t>
      </w:r>
      <w:r w:rsidR="00AC473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(70</w:t>
      </w:r>
      <w:r w:rsidRPr="0035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%), а</w:t>
      </w:r>
      <w:r w:rsidR="00353F00" w:rsidRPr="0035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значајније</w:t>
      </w:r>
      <w:r w:rsidRPr="0035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учешће имали су</w:t>
      </w:r>
      <w:r w:rsidR="00411FD5" w:rsidRPr="0035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53F00" w:rsidRPr="0035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411FD5" w:rsidRPr="0035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нафтни деривати, гориво и електрична енергија као</w:t>
      </w:r>
      <w:r w:rsidRPr="0035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грађевински радови </w:t>
      </w:r>
      <w:r w:rsidR="00353F00" w:rsidRPr="0035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(Табела 16</w:t>
      </w:r>
      <w:r w:rsidRPr="0035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353F00" w:rsidRPr="00353F0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То су уједно предмети набавки који су били најзаступљенији код оквирних споразума (Табела 14). Ово подударање се објашњава тиме да се оквирни споразуми највише користе управо код централизованих јавних набавки. </w:t>
      </w:r>
    </w:p>
    <w:p w14:paraId="0827F57B" w14:textId="247D6768" w:rsidR="0081466B" w:rsidRDefault="0081466B">
      <w:pPr>
        <w:spacing w:after="0"/>
        <w:jc w:val="both"/>
        <w:rPr>
          <w:color w:val="000000" w:themeColor="text1"/>
        </w:rPr>
      </w:pPr>
    </w:p>
    <w:p w14:paraId="79F4BF91" w14:textId="4AC4FB8B" w:rsidR="002E0F16" w:rsidRDefault="002E0F16">
      <w:pPr>
        <w:spacing w:after="0"/>
        <w:jc w:val="both"/>
        <w:rPr>
          <w:color w:val="000000" w:themeColor="text1"/>
        </w:rPr>
      </w:pPr>
    </w:p>
    <w:p w14:paraId="01F2EAFA" w14:textId="1B27D278" w:rsidR="002E0F16" w:rsidRDefault="002E0F16">
      <w:pPr>
        <w:spacing w:after="0"/>
        <w:jc w:val="both"/>
        <w:rPr>
          <w:color w:val="000000" w:themeColor="text1"/>
        </w:rPr>
      </w:pPr>
    </w:p>
    <w:p w14:paraId="61C202CF" w14:textId="2C0B28B4" w:rsidR="002E0F16" w:rsidRDefault="002E0F16">
      <w:pPr>
        <w:spacing w:after="0"/>
        <w:jc w:val="both"/>
        <w:rPr>
          <w:color w:val="000000" w:themeColor="text1"/>
        </w:rPr>
      </w:pPr>
    </w:p>
    <w:p w14:paraId="43255B88" w14:textId="7E110182" w:rsidR="002E0F16" w:rsidRDefault="002E0F16">
      <w:pPr>
        <w:spacing w:after="0"/>
        <w:jc w:val="both"/>
        <w:rPr>
          <w:color w:val="000000" w:themeColor="text1"/>
        </w:rPr>
      </w:pPr>
    </w:p>
    <w:p w14:paraId="6D73C22C" w14:textId="68966580" w:rsidR="002E0F16" w:rsidRDefault="002E0F16">
      <w:pPr>
        <w:spacing w:after="0"/>
        <w:jc w:val="both"/>
        <w:rPr>
          <w:color w:val="000000" w:themeColor="text1"/>
        </w:rPr>
      </w:pPr>
    </w:p>
    <w:p w14:paraId="6CC0D8BC" w14:textId="354E7C82" w:rsidR="002E0F16" w:rsidRDefault="002E0F16">
      <w:pPr>
        <w:spacing w:after="0"/>
        <w:jc w:val="both"/>
        <w:rPr>
          <w:color w:val="000000" w:themeColor="text1"/>
        </w:rPr>
      </w:pPr>
    </w:p>
    <w:p w14:paraId="1F0B5B00" w14:textId="6D54753B" w:rsidR="002E0F16" w:rsidRDefault="002E0F16">
      <w:pPr>
        <w:spacing w:after="0"/>
        <w:jc w:val="both"/>
        <w:rPr>
          <w:color w:val="000000" w:themeColor="text1"/>
        </w:rPr>
      </w:pPr>
    </w:p>
    <w:p w14:paraId="5C224814" w14:textId="77777777" w:rsidR="002E0F16" w:rsidRDefault="002E0F16">
      <w:pPr>
        <w:spacing w:after="0"/>
        <w:jc w:val="both"/>
        <w:rPr>
          <w:color w:val="000000" w:themeColor="text1"/>
        </w:rPr>
      </w:pPr>
    </w:p>
    <w:p w14:paraId="00012FD4" w14:textId="10BB0377" w:rsidR="0081466B" w:rsidRPr="00353F00" w:rsidRDefault="004F0DED">
      <w:pPr>
        <w:jc w:val="both"/>
        <w:rPr>
          <w:color w:val="000000" w:themeColor="text1"/>
        </w:rPr>
      </w:pPr>
      <w:r w:rsidRPr="00353F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         Табела 1</w:t>
      </w:r>
      <w:r w:rsidR="00353F00" w:rsidRPr="00353F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6</w:t>
      </w:r>
    </w:p>
    <w:tbl>
      <w:tblPr>
        <w:tblStyle w:val="ae"/>
        <w:tblW w:w="9440" w:type="dxa"/>
        <w:jc w:val="center"/>
        <w:tblLayout w:type="fixed"/>
        <w:tblLook w:val="0400" w:firstRow="0" w:lastRow="0" w:firstColumn="0" w:lastColumn="0" w:noHBand="0" w:noVBand="1"/>
      </w:tblPr>
      <w:tblGrid>
        <w:gridCol w:w="6210"/>
        <w:gridCol w:w="1890"/>
        <w:gridCol w:w="1340"/>
      </w:tblGrid>
      <w:tr w:rsidR="0081466B" w14:paraId="4A49779C" w14:textId="77777777" w:rsidTr="00601383">
        <w:trPr>
          <w:trHeight w:val="300"/>
          <w:jc w:val="center"/>
        </w:trPr>
        <w:tc>
          <w:tcPr>
            <w:tcW w:w="6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89477B6" w14:textId="77777777" w:rsidR="0081466B" w:rsidRDefault="004F0DED">
            <w:pPr>
              <w:spacing w:before="100" w:after="1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Првих пет најзаступљенијих предмета код централизованих набавки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2C15498" w14:textId="77777777" w:rsidR="0081466B" w:rsidRDefault="004F0DED">
            <w:pPr>
              <w:spacing w:before="100" w:after="1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Уговорена вредност без ПДВ-а*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D6F388" w14:textId="77777777" w:rsidR="0081466B" w:rsidRDefault="004F0DED">
            <w:pPr>
              <w:spacing w:before="100" w:after="1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AC473E" w14:paraId="707174B9" w14:textId="77777777" w:rsidTr="005F4712">
        <w:trPr>
          <w:trHeight w:val="300"/>
          <w:jc w:val="center"/>
        </w:trPr>
        <w:tc>
          <w:tcPr>
            <w:tcW w:w="6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F7E65EC" w14:textId="77777777" w:rsidR="00AC473E" w:rsidRDefault="00AC473E" w:rsidP="00AC473E">
            <w:pPr>
              <w:spacing w:before="100" w:after="1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Медицинска опрема, фармацеутски производи, производи за личну негу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F190F2A" w14:textId="0B6234E3" w:rsidR="00AC473E" w:rsidRPr="00353F00" w:rsidRDefault="00AC473E" w:rsidP="00AC473E">
            <w:pPr>
              <w:spacing w:before="100" w:after="24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41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C418F"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C418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677E9E" w14:textId="5193AF45" w:rsidR="00AC473E" w:rsidRPr="00353F00" w:rsidRDefault="00AC473E" w:rsidP="00AC473E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CS"/>
              </w:rPr>
              <w:t>70</w:t>
            </w:r>
          </w:p>
        </w:tc>
      </w:tr>
      <w:tr w:rsidR="00AC473E" w14:paraId="1B024E42" w14:textId="77777777" w:rsidTr="005F4712">
        <w:trPr>
          <w:trHeight w:val="300"/>
          <w:jc w:val="center"/>
        </w:trPr>
        <w:tc>
          <w:tcPr>
            <w:tcW w:w="6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B97CAD4" w14:textId="783A20EF" w:rsidR="00AC473E" w:rsidRDefault="00AC473E" w:rsidP="00AC473E">
            <w:pPr>
              <w:spacing w:before="100" w:after="1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Нафтни деривати, гориво, електрична енергија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94CF6F8" w14:textId="29B7DCDC" w:rsidR="00AC473E" w:rsidRPr="00353F00" w:rsidRDefault="00AC473E" w:rsidP="00AC473E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41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C418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C418F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8AB344D" w14:textId="0DA0A1E4" w:rsidR="00AC473E" w:rsidRPr="00353F00" w:rsidRDefault="00AC473E" w:rsidP="00AC473E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CS"/>
              </w:rPr>
              <w:t>12</w:t>
            </w:r>
          </w:p>
        </w:tc>
      </w:tr>
      <w:tr w:rsidR="00AC473E" w14:paraId="341DF93F" w14:textId="77777777" w:rsidTr="005F4712">
        <w:trPr>
          <w:trHeight w:val="300"/>
          <w:jc w:val="center"/>
        </w:trPr>
        <w:tc>
          <w:tcPr>
            <w:tcW w:w="6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80FD1D" w14:textId="034799D3" w:rsidR="00AC473E" w:rsidRPr="008D7568" w:rsidRDefault="00AC473E" w:rsidP="00AC473E">
            <w:pPr>
              <w:spacing w:before="100" w:after="1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Грађевински радови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97B11C8" w14:textId="666F639E" w:rsidR="00AC473E" w:rsidRPr="00353F00" w:rsidRDefault="00AC473E" w:rsidP="00AC473E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41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C418F"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C418F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66141A" w14:textId="5A4DA2A7" w:rsidR="00AC473E" w:rsidRPr="00353F00" w:rsidRDefault="00AC473E" w:rsidP="00AC473E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CS"/>
              </w:rPr>
              <w:t>8</w:t>
            </w:r>
          </w:p>
        </w:tc>
      </w:tr>
      <w:tr w:rsidR="00AC473E" w14:paraId="2D9980B9" w14:textId="77777777" w:rsidTr="005F4712">
        <w:trPr>
          <w:trHeight w:val="300"/>
          <w:jc w:val="center"/>
        </w:trPr>
        <w:tc>
          <w:tcPr>
            <w:tcW w:w="6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CEFAA85" w14:textId="36956884" w:rsidR="00AC473E" w:rsidRPr="008D7568" w:rsidRDefault="00AC473E" w:rsidP="00AC473E">
            <w:pPr>
              <w:spacing w:before="100" w:after="1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Радио, телевизијска, комуникациона и сродна опрема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116D98D8" w14:textId="6F65BCFA" w:rsidR="00AC473E" w:rsidRPr="00353F00" w:rsidRDefault="00AC473E" w:rsidP="00AC473E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418F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C418F"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</w:p>
        </w:tc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48D58EE" w14:textId="2D0FBAA2" w:rsidR="00AC473E" w:rsidRPr="00353F00" w:rsidRDefault="00AC473E" w:rsidP="00AC473E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sr-Cyrl-CS"/>
              </w:rPr>
              <w:t>2</w:t>
            </w:r>
          </w:p>
        </w:tc>
      </w:tr>
      <w:tr w:rsidR="00AC473E" w14:paraId="00558A77" w14:textId="77777777" w:rsidTr="005F4712">
        <w:trPr>
          <w:trHeight w:val="300"/>
          <w:jc w:val="center"/>
        </w:trPr>
        <w:tc>
          <w:tcPr>
            <w:tcW w:w="6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34C8AE9" w14:textId="139F2D20" w:rsidR="00AC473E" w:rsidRPr="008D7568" w:rsidRDefault="00AC473E" w:rsidP="00AC473E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Канцеларијске и рачунарске машине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A79D89F" w14:textId="4F779D69" w:rsidR="00AC473E" w:rsidRPr="00353F00" w:rsidRDefault="00AC473E" w:rsidP="00AC473E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418F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5C418F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782CA5" w14:textId="3ADEA6B4" w:rsidR="00AC473E" w:rsidRPr="00353F00" w:rsidRDefault="00AC473E" w:rsidP="00AC473E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2</w:t>
            </w:r>
          </w:p>
        </w:tc>
      </w:tr>
      <w:tr w:rsidR="00AC473E" w14:paraId="5C1D0A9F" w14:textId="77777777" w:rsidTr="005F4712">
        <w:trPr>
          <w:trHeight w:val="300"/>
          <w:jc w:val="center"/>
        </w:trPr>
        <w:tc>
          <w:tcPr>
            <w:tcW w:w="6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AE4E13F" w14:textId="6992F910" w:rsidR="00AC473E" w:rsidRPr="004C3064" w:rsidRDefault="00AC473E" w:rsidP="00AC473E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064">
              <w:rPr>
                <w:rFonts w:ascii="Times New Roman" w:hAnsi="Times New Roman" w:cs="Times New Roman"/>
                <w:sz w:val="24"/>
                <w:szCs w:val="24"/>
              </w:rPr>
              <w:t>Остало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9A217B0" w14:textId="0AAE0DE7" w:rsidR="00AC473E" w:rsidRPr="00353F00" w:rsidRDefault="00AC473E" w:rsidP="00AC473E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76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.</w:t>
            </w:r>
            <w:r w:rsidRPr="002F76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.</w:t>
            </w:r>
            <w:r w:rsidRPr="002F76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A7380B3" w14:textId="52580779" w:rsidR="00AC473E" w:rsidRPr="00353F00" w:rsidRDefault="00AC473E" w:rsidP="00AC473E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6</w:t>
            </w:r>
          </w:p>
        </w:tc>
      </w:tr>
      <w:tr w:rsidR="00AC473E" w14:paraId="0AD76756" w14:textId="77777777" w:rsidTr="00601383">
        <w:trPr>
          <w:trHeight w:val="300"/>
          <w:jc w:val="center"/>
        </w:trPr>
        <w:tc>
          <w:tcPr>
            <w:tcW w:w="6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EC0003" w14:textId="612D6D6C" w:rsidR="00AC473E" w:rsidRPr="00A90732" w:rsidRDefault="00AC473E" w:rsidP="00AC473E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732">
              <w:rPr>
                <w:rFonts w:ascii="Times New Roman" w:hAnsi="Times New Roman" w:cs="Times New Roman"/>
                <w:sz w:val="24"/>
                <w:szCs w:val="24"/>
              </w:rPr>
              <w:t>Укупно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C965E2" w14:textId="16237B69" w:rsidR="00AC473E" w:rsidRPr="00353F00" w:rsidRDefault="00AC473E" w:rsidP="00AC473E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B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>18.495.976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5564D10" w14:textId="6A422570" w:rsidR="00AC473E" w:rsidRPr="00353F00" w:rsidRDefault="00AC473E" w:rsidP="00AC473E">
            <w:pPr>
              <w:spacing w:before="100" w:after="10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2BC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>100</w:t>
            </w:r>
          </w:p>
        </w:tc>
      </w:tr>
    </w:tbl>
    <w:p w14:paraId="04A3FFEC" w14:textId="77777777" w:rsidR="0081466B" w:rsidRDefault="004F0DED">
      <w:pPr>
        <w:jc w:val="both"/>
      </w:pPr>
      <w:r>
        <w:rPr>
          <w:rFonts w:ascii="Times New Roman" w:eastAsia="Times New Roman" w:hAnsi="Times New Roman" w:cs="Times New Roman"/>
        </w:rPr>
        <w:t xml:space="preserve">        *Вредности су изражене у хиљадама динара</w:t>
      </w:r>
    </w:p>
    <w:p w14:paraId="02DBBD62" w14:textId="588DA830" w:rsidR="009612B0" w:rsidRDefault="009612B0" w:rsidP="006374CB">
      <w:pPr>
        <w:ind w:right="2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BE2AF82" w14:textId="7A48EADC" w:rsidR="0081466B" w:rsidRDefault="004F0DED">
      <w:pPr>
        <w:numPr>
          <w:ilvl w:val="0"/>
          <w:numId w:val="15"/>
        </w:numPr>
        <w:ind w:hanging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ПРИМЕНА КРИТЕРИЈУМА ЗА ИЗБОР НАЈПОВОЉНИЈЕ</w:t>
      </w:r>
      <w:r w:rsidR="009C4679">
        <w:rPr>
          <w:rFonts w:ascii="Times New Roman" w:eastAsia="Times New Roman" w:hAnsi="Times New Roman" w:cs="Times New Roman"/>
          <w:b/>
          <w:sz w:val="24"/>
          <w:szCs w:val="24"/>
        </w:rPr>
        <w:t xml:space="preserve"> ПОНУДЕ </w:t>
      </w:r>
    </w:p>
    <w:p w14:paraId="2273E359" w14:textId="77777777" w:rsidR="00B11287" w:rsidRDefault="00B1128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E58DFF" w14:textId="3E9D9F05" w:rsidR="0081466B" w:rsidRDefault="004F0DE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F9479D">
        <w:rPr>
          <w:rFonts w:ascii="Times New Roman" w:eastAsia="Times New Roman" w:hAnsi="Times New Roman" w:cs="Times New Roman"/>
          <w:sz w:val="24"/>
          <w:szCs w:val="24"/>
        </w:rPr>
        <w:t xml:space="preserve">ЈН </w:t>
      </w:r>
      <w:r>
        <w:rPr>
          <w:rFonts w:ascii="Times New Roman" w:eastAsia="Times New Roman" w:hAnsi="Times New Roman" w:cs="Times New Roman"/>
          <w:sz w:val="24"/>
          <w:szCs w:val="24"/>
        </w:rPr>
        <w:t>предвиђа две врсте критеријума за оцењивање понуда</w:t>
      </w:r>
      <w:r w:rsidR="009C467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4679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критеријум економски најповољније понуде (ЕНП) и </w:t>
      </w:r>
      <w:r w:rsidR="009C4679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</w:rPr>
        <w:t>критеријум најниже понуђене цене. Избор између критеријума најниже цене и ЕНП наручилац врши у зависности од предмета јавне набавке.</w:t>
      </w:r>
    </w:p>
    <w:p w14:paraId="19D30AED" w14:textId="7F2117AE" w:rsidR="008743FC" w:rsidRDefault="00604BF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првом полугодишту 2018</w:t>
      </w:r>
      <w:r w:rsidR="009C4679">
        <w:rPr>
          <w:rFonts w:ascii="Times New Roman" w:eastAsia="Times New Roman" w:hAnsi="Times New Roman" w:cs="Times New Roman"/>
          <w:sz w:val="24"/>
          <w:szCs w:val="24"/>
        </w:rPr>
        <w:t>. године, критеријум ЕНП кориш</w:t>
      </w:r>
      <w:r>
        <w:rPr>
          <w:rFonts w:ascii="Times New Roman" w:eastAsia="Times New Roman" w:hAnsi="Times New Roman" w:cs="Times New Roman"/>
          <w:sz w:val="24"/>
          <w:szCs w:val="24"/>
        </w:rPr>
        <w:t>ћен је у 13</w:t>
      </w:r>
      <w:r w:rsidR="00383C7E">
        <w:rPr>
          <w:rFonts w:ascii="Times New Roman" w:eastAsia="Times New Roman" w:hAnsi="Times New Roman" w:cs="Times New Roman"/>
          <w:sz w:val="24"/>
          <w:szCs w:val="24"/>
        </w:rPr>
        <w:t>% поступака</w:t>
      </w:r>
      <w:r w:rsidR="009C4679">
        <w:rPr>
          <w:rFonts w:ascii="Times New Roman" w:eastAsia="Times New Roman" w:hAnsi="Times New Roman" w:cs="Times New Roman"/>
          <w:sz w:val="24"/>
          <w:szCs w:val="24"/>
        </w:rPr>
        <w:t>, док је критеријум најни</w:t>
      </w:r>
      <w:r>
        <w:rPr>
          <w:rFonts w:ascii="Times New Roman" w:eastAsia="Times New Roman" w:hAnsi="Times New Roman" w:cs="Times New Roman"/>
          <w:sz w:val="24"/>
          <w:szCs w:val="24"/>
        </w:rPr>
        <w:t>же цене примењен у преосталих 87</w:t>
      </w:r>
      <w:r w:rsidR="009C4679">
        <w:rPr>
          <w:rFonts w:ascii="Times New Roman" w:eastAsia="Times New Roman" w:hAnsi="Times New Roman" w:cs="Times New Roman"/>
          <w:sz w:val="24"/>
          <w:szCs w:val="24"/>
        </w:rPr>
        <w:t>% случајева</w:t>
      </w:r>
      <w:r w:rsidR="00A95406">
        <w:rPr>
          <w:rFonts w:ascii="Times New Roman" w:eastAsia="Times New Roman" w:hAnsi="Times New Roman" w:cs="Times New Roman"/>
          <w:sz w:val="24"/>
          <w:szCs w:val="24"/>
        </w:rPr>
        <w:t>, као што је то био слу</w:t>
      </w:r>
      <w:r w:rsidR="0082050A">
        <w:rPr>
          <w:rFonts w:ascii="Times New Roman" w:eastAsia="Times New Roman" w:hAnsi="Times New Roman" w:cs="Times New Roman"/>
          <w:sz w:val="24"/>
          <w:szCs w:val="24"/>
        </w:rPr>
        <w:t>чај и претходне године (Слика 10</w:t>
      </w:r>
      <w:r w:rsidR="00A95406">
        <w:rPr>
          <w:rFonts w:ascii="Times New Roman" w:eastAsia="Times New Roman" w:hAnsi="Times New Roman" w:cs="Times New Roman"/>
          <w:sz w:val="24"/>
          <w:szCs w:val="24"/>
        </w:rPr>
        <w:t>)</w:t>
      </w:r>
      <w:r w:rsidR="009C46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83C7E">
        <w:rPr>
          <w:rFonts w:ascii="Times New Roman" w:eastAsia="Times New Roman" w:hAnsi="Times New Roman" w:cs="Times New Roman"/>
          <w:sz w:val="24"/>
          <w:szCs w:val="24"/>
        </w:rPr>
        <w:t xml:space="preserve">Слична сразмера постоји и у земљама региона које су чланице ЕУ. У Словенији је, у 2016. години, критеријум ЕНП примењен у 12,4% поступака, у Хрватској у 2,5%, </w:t>
      </w:r>
      <w:r w:rsidR="00383C7E">
        <w:rPr>
          <w:rFonts w:ascii="Times New Roman" w:eastAsia="Times New Roman" w:hAnsi="Times New Roman" w:cs="Times New Roman"/>
          <w:sz w:val="24"/>
          <w:szCs w:val="24"/>
          <w:lang w:val="sr"/>
        </w:rPr>
        <w:t xml:space="preserve">у Словачкој 8,3%, </w:t>
      </w:r>
      <w:r w:rsidR="00A95406">
        <w:rPr>
          <w:rFonts w:ascii="Times New Roman" w:eastAsia="Times New Roman" w:hAnsi="Times New Roman" w:cs="Times New Roman"/>
          <w:sz w:val="24"/>
          <w:szCs w:val="24"/>
          <w:lang w:val="sr"/>
        </w:rPr>
        <w:t xml:space="preserve">у </w:t>
      </w:r>
      <w:r w:rsidR="00383C7E">
        <w:rPr>
          <w:rFonts w:ascii="Times New Roman" w:eastAsia="Times New Roman" w:hAnsi="Times New Roman" w:cs="Times New Roman"/>
          <w:sz w:val="24"/>
          <w:szCs w:val="24"/>
          <w:lang w:val="sr"/>
        </w:rPr>
        <w:t xml:space="preserve">Румунији </w:t>
      </w:r>
      <w:r w:rsidR="00A95406">
        <w:rPr>
          <w:rFonts w:ascii="Times New Roman" w:eastAsia="Times New Roman" w:hAnsi="Times New Roman" w:cs="Times New Roman"/>
          <w:sz w:val="24"/>
          <w:szCs w:val="24"/>
          <w:lang w:val="sr"/>
        </w:rPr>
        <w:t xml:space="preserve">у </w:t>
      </w:r>
      <w:r w:rsidR="00383C7E">
        <w:rPr>
          <w:rFonts w:ascii="Times New Roman" w:eastAsia="Times New Roman" w:hAnsi="Times New Roman" w:cs="Times New Roman"/>
          <w:sz w:val="24"/>
          <w:szCs w:val="24"/>
          <w:lang w:val="sr"/>
        </w:rPr>
        <w:t>5% поступака.</w:t>
      </w:r>
      <w:r w:rsidR="009C4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43F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6374C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</w:p>
    <w:p w14:paraId="697043BA" w14:textId="67AD634D" w:rsidR="008743FC" w:rsidRDefault="008743F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C76B26" w14:textId="363FFE63" w:rsidR="002E0F16" w:rsidRDefault="002E0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0EE099" w14:textId="76B9DA46" w:rsidR="002E0F16" w:rsidRDefault="002E0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F7975B" w14:textId="77777777" w:rsidR="002E0F16" w:rsidRPr="008743FC" w:rsidRDefault="002E0F1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79D1A4" w14:textId="2E697169" w:rsidR="0081466B" w:rsidRDefault="006374CB">
      <w:pPr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</w:t>
      </w:r>
      <w:r w:rsidR="004F0DE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E506F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4F0DE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82050A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Слика 10</w:t>
      </w:r>
      <w:r w:rsidR="004F0DED" w:rsidRPr="00A727AF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 </w:t>
      </w:r>
    </w:p>
    <w:p w14:paraId="2E34B940" w14:textId="764DC9AE" w:rsidR="00A95406" w:rsidRPr="00E506F3" w:rsidRDefault="00D71E8C" w:rsidP="00E506F3">
      <w:pPr>
        <w:jc w:val="center"/>
      </w:pPr>
      <w:bookmarkStart w:id="15" w:name="_lnxbz9" w:colFirst="0" w:colLast="0"/>
      <w:bookmarkEnd w:id="15"/>
      <w:r>
        <w:rPr>
          <w:noProof/>
          <w:lang w:val="sr-Latn-RS" w:eastAsia="sr-Latn-RS"/>
        </w:rPr>
        <w:drawing>
          <wp:inline distT="0" distB="0" distL="0" distR="0" wp14:anchorId="213F06CF" wp14:editId="058E4336">
            <wp:extent cx="4572000" cy="2743200"/>
            <wp:effectExtent l="0" t="0" r="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1D3EAB20" w14:textId="02FEFC74" w:rsidR="0081466B" w:rsidRDefault="0081466B">
      <w:pPr>
        <w:jc w:val="both"/>
      </w:pPr>
    </w:p>
    <w:p w14:paraId="0B27A4D8" w14:textId="254794C8" w:rsidR="00ED24A8" w:rsidRDefault="00ED24A8">
      <w:pPr>
        <w:jc w:val="both"/>
      </w:pPr>
    </w:p>
    <w:p w14:paraId="4A31D813" w14:textId="77777777" w:rsidR="00ED24A8" w:rsidRDefault="00ED24A8">
      <w:pPr>
        <w:jc w:val="both"/>
      </w:pPr>
    </w:p>
    <w:p w14:paraId="0837AD8A" w14:textId="074A1506" w:rsidR="0081466B" w:rsidRDefault="00CE5193">
      <w:pPr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XII</w:t>
      </w:r>
      <w:r w:rsidR="00ED3D0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</w:r>
      <w:r w:rsidR="004F0DED">
        <w:rPr>
          <w:rFonts w:ascii="Times New Roman" w:eastAsia="Times New Roman" w:hAnsi="Times New Roman" w:cs="Times New Roman"/>
          <w:b/>
          <w:sz w:val="24"/>
          <w:szCs w:val="24"/>
        </w:rPr>
        <w:t xml:space="preserve">АКТИВНОСТИ УПРАВЕ </w:t>
      </w:r>
    </w:p>
    <w:p w14:paraId="5B09427A" w14:textId="77777777" w:rsidR="0081466B" w:rsidRDefault="0081466B">
      <w:pPr>
        <w:spacing w:after="0"/>
        <w:jc w:val="both"/>
      </w:pPr>
    </w:p>
    <w:p w14:paraId="030246E4" w14:textId="77777777" w:rsidR="004F5F81" w:rsidRPr="003B44DC" w:rsidRDefault="004F5F81" w:rsidP="004F5F8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3B44D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Процес придруживања ЕУ </w:t>
      </w:r>
    </w:p>
    <w:p w14:paraId="09665333" w14:textId="77777777" w:rsidR="004F5F81" w:rsidRPr="003B44DC" w:rsidRDefault="004F5F81" w:rsidP="004F5F81">
      <w:pPr>
        <w:spacing w:after="0" w:line="240" w:lineRule="auto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CS"/>
        </w:rPr>
      </w:pPr>
    </w:p>
    <w:p w14:paraId="07645F05" w14:textId="77777777" w:rsidR="002E0F16" w:rsidRDefault="002E0F16" w:rsidP="002E0F16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  <w:r w:rsidRPr="00D86CD6">
        <w:rPr>
          <w:rFonts w:ascii="Times New Roman" w:hAnsi="Times New Roman"/>
          <w:color w:val="auto"/>
          <w:sz w:val="24"/>
          <w:szCs w:val="24"/>
          <w:lang w:val="sr-Cyrl-CS"/>
        </w:rPr>
        <w:t xml:space="preserve">Поглавље 5 – јавне набавке ће бити затворено након испуњена следећих мерила: </w:t>
      </w:r>
      <w:r w:rsidRPr="00D86CD6">
        <w:rPr>
          <w:rFonts w:ascii="Times New Roman" w:hAnsi="Times New Roman"/>
          <w:b/>
          <w:color w:val="auto"/>
          <w:sz w:val="24"/>
          <w:szCs w:val="24"/>
          <w:lang w:val="sr-Cyrl-CS"/>
        </w:rPr>
        <w:t>1)</w:t>
      </w:r>
      <w:r w:rsidRPr="00D86CD6">
        <w:rPr>
          <w:rFonts w:ascii="Times New Roman" w:hAnsi="Times New Roman"/>
          <w:color w:val="auto"/>
          <w:sz w:val="24"/>
          <w:szCs w:val="24"/>
          <w:lang w:val="sr-Cyrl-CS"/>
        </w:rPr>
        <w:t xml:space="preserve"> Србија треба у потпуности да усклади свој национални правни оквир са правним тековинама ЕУ у вези са свим областима јавних набавки, укључујући и своје правне прописе о концесијама и међународне споразуме о изузимању одређених радова из правила о јавним набавкама; </w:t>
      </w:r>
      <w:r w:rsidRPr="00D86CD6">
        <w:rPr>
          <w:rFonts w:ascii="Times New Roman" w:hAnsi="Times New Roman"/>
          <w:b/>
          <w:color w:val="auto"/>
          <w:sz w:val="24"/>
          <w:szCs w:val="24"/>
          <w:lang w:val="sr-Cyrl-CS"/>
        </w:rPr>
        <w:t>2)</w:t>
      </w:r>
      <w:r w:rsidRPr="00D86CD6">
        <w:rPr>
          <w:rFonts w:ascii="Times New Roman" w:hAnsi="Times New Roman"/>
          <w:color w:val="auto"/>
          <w:sz w:val="24"/>
          <w:szCs w:val="24"/>
          <w:lang w:val="sr-Cyrl-CS"/>
        </w:rPr>
        <w:t xml:space="preserve"> Србија треба да успостави адекватне административне и институционалне капацитете на свим нивоима и предузме одговарајуће мере како би обезбедила правилно спровођење и примену националног законодавства у овој области на време пре приступања. То нарочито укључује: a) спровођење Стратегије за развој јавних набавки 2014−2018 како би Србија побољшала своје административне капацитете, нарочито јачањем капацитета Управе за јавне набавке и обезбеђивањем одговарајуће обуке на свим нивоима за све заинтересоване стране; б) припрему практичних алата за спровођење и праћење (укључујући административна правила, приручнике и стандардну уговорну документацију); в) јачање механизама контроле, укључујући и детаљно праћење и повећану транспарентност у фази извршења уговора о </w:t>
      </w:r>
      <w:r w:rsidRPr="00D86CD6">
        <w:rPr>
          <w:rFonts w:ascii="Times New Roman" w:hAnsi="Times New Roman"/>
          <w:color w:val="auto"/>
          <w:sz w:val="24"/>
          <w:szCs w:val="24"/>
          <w:lang w:val="sr-Cyrl-CS"/>
        </w:rPr>
        <w:lastRenderedPageBreak/>
        <w:t xml:space="preserve">јавним набавкама и систематску процену ризика уз приоритизацију контрола у осетљивим областима и процедурама; г) ефикасно функционисање система правних средстава; д) мере које се односе на спречавање и борбу против корупције и сукоба интереса у области јавних набавки како на централном тако и на локалном нивоу; ђ) Србија треба да покаже евиденцију о правичном и транспарентном систему јавних набавки који обезбеђује вредност за новац, конкуренцију и оштре заштитне мере за борбу против корупције. С тим у вези напомињемо да је УЈН усвојила Правилник о унутрашњем уређењу и систематизацији радних места у УЈН којим започет поступак запошљавања нових лица у УЈН и јачање капацитета УЈН. Јачање капацитета кроз стручно усавршавање и обуке за представнике УЈН које су организоване уз подршку, пре свега </w:t>
      </w:r>
      <w:r w:rsidRPr="00D86CD6">
        <w:rPr>
          <w:rFonts w:ascii="Times New Roman" w:hAnsi="Times New Roman"/>
          <w:color w:val="auto"/>
          <w:sz w:val="24"/>
          <w:szCs w:val="24"/>
          <w:lang w:val="en-US"/>
        </w:rPr>
        <w:t>GIZ</w:t>
      </w:r>
      <w:r w:rsidRPr="00D86CD6">
        <w:rPr>
          <w:rFonts w:ascii="Times New Roman" w:hAnsi="Times New Roman"/>
          <w:color w:val="auto"/>
          <w:sz w:val="24"/>
          <w:szCs w:val="24"/>
          <w:lang w:val="sr-Cyrl-CS"/>
        </w:rPr>
        <w:t xml:space="preserve"> пројекта </w:t>
      </w:r>
      <w:r w:rsidRPr="00D86CD6">
        <w:rPr>
          <w:rFonts w:ascii="Times New Roman" w:hAnsi="Times New Roman"/>
          <w:color w:val="auto"/>
          <w:sz w:val="24"/>
          <w:szCs w:val="24"/>
          <w:lang w:val="sr-Cyrl-RS"/>
        </w:rPr>
        <w:t>„Подршка даљем унапређењу система јавних набавки у Србији“ (</w:t>
      </w:r>
      <w:r w:rsidRPr="00D86CD6">
        <w:rPr>
          <w:rFonts w:ascii="Times New Roman" w:hAnsi="Times New Roman"/>
          <w:color w:val="auto"/>
          <w:sz w:val="24"/>
          <w:szCs w:val="24"/>
        </w:rPr>
        <w:t xml:space="preserve">IPA </w:t>
      </w:r>
      <w:r w:rsidRPr="00D86CD6">
        <w:rPr>
          <w:rFonts w:ascii="Times New Roman" w:hAnsi="Times New Roman"/>
          <w:color w:val="auto"/>
          <w:sz w:val="24"/>
          <w:szCs w:val="24"/>
          <w:lang w:val="sr-Cyrl-RS"/>
        </w:rPr>
        <w:t>2013)</w:t>
      </w:r>
      <w:r w:rsidRPr="00D86CD6">
        <w:rPr>
          <w:rFonts w:ascii="Times New Roman" w:hAnsi="Times New Roman"/>
          <w:color w:val="auto"/>
          <w:sz w:val="24"/>
          <w:szCs w:val="24"/>
        </w:rPr>
        <w:t xml:space="preserve"> и UNDP</w:t>
      </w:r>
      <w:r w:rsidRPr="00D86CD6">
        <w:rPr>
          <w:rFonts w:ascii="Times New Roman" w:hAnsi="Times New Roman"/>
          <w:color w:val="auto"/>
          <w:sz w:val="24"/>
          <w:szCs w:val="24"/>
          <w:lang w:val="sr-Cyrl-RS"/>
        </w:rPr>
        <w:t>, настављене су и током 2018. године.</w:t>
      </w:r>
    </w:p>
    <w:p w14:paraId="4250CCD4" w14:textId="77777777" w:rsidR="00684EA4" w:rsidRPr="003B44DC" w:rsidRDefault="00684EA4" w:rsidP="004F5F81">
      <w:pPr>
        <w:spacing w:after="0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0E1A096A" w14:textId="77777777" w:rsidR="002E0F16" w:rsidRDefault="002E0F16" w:rsidP="004F5F81">
      <w:pPr>
        <w:spacing w:after="0"/>
        <w:jc w:val="both"/>
        <w:outlineLvl w:val="5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</w:p>
    <w:p w14:paraId="319CA531" w14:textId="069E9DD8" w:rsidR="004F5F81" w:rsidRPr="003B44DC" w:rsidRDefault="004F5F81" w:rsidP="004F5F81">
      <w:pPr>
        <w:spacing w:after="0"/>
        <w:jc w:val="both"/>
        <w:outlineLvl w:val="5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3B44DC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Упутства, модели</w:t>
      </w:r>
    </w:p>
    <w:p w14:paraId="617A0438" w14:textId="77777777" w:rsidR="004F5F81" w:rsidRPr="003B44DC" w:rsidRDefault="004F5F81" w:rsidP="004F5F81">
      <w:pPr>
        <w:spacing w:after="0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CS"/>
        </w:rPr>
      </w:pPr>
    </w:p>
    <w:p w14:paraId="3E6F301B" w14:textId="77777777" w:rsidR="002E0F16" w:rsidRPr="004F7111" w:rsidRDefault="002E0F16" w:rsidP="002E0F16">
      <w:pPr>
        <w:spacing w:after="0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</w:rPr>
      </w:pPr>
      <w:r w:rsidRPr="00D86CD6"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RS"/>
        </w:rPr>
        <w:t>У првој половини 2018. године израђена су два модела тендерске документације: 1) модел тендерске документације за услуге сервисирања и одржавања возила; 2) модел тендерске документације за осигурање лица, имовине и возила.</w:t>
      </w:r>
    </w:p>
    <w:p w14:paraId="32FCE408" w14:textId="77777777" w:rsidR="004F5F81" w:rsidRPr="003B44DC" w:rsidRDefault="004F5F81" w:rsidP="004F5F81">
      <w:pPr>
        <w:spacing w:after="0"/>
        <w:jc w:val="both"/>
        <w:rPr>
          <w:rFonts w:ascii="Times New Roman" w:hAnsi="Times New Roman" w:cs="Times New Roman"/>
          <w:b/>
          <w:noProof/>
          <w:color w:val="auto"/>
          <w:spacing w:val="-4"/>
          <w:sz w:val="24"/>
          <w:szCs w:val="24"/>
          <w:lang w:val="sr-Cyrl-CS"/>
        </w:rPr>
      </w:pPr>
    </w:p>
    <w:p w14:paraId="2AC4D67B" w14:textId="77777777" w:rsidR="004F5F81" w:rsidRPr="003B44DC" w:rsidRDefault="004F5F81" w:rsidP="004F5F81">
      <w:pPr>
        <w:spacing w:after="0"/>
        <w:jc w:val="both"/>
        <w:rPr>
          <w:rFonts w:ascii="Times New Roman" w:hAnsi="Times New Roman" w:cs="Times New Roman"/>
          <w:b/>
          <w:noProof/>
          <w:color w:val="auto"/>
          <w:spacing w:val="-4"/>
          <w:sz w:val="24"/>
          <w:szCs w:val="24"/>
          <w:lang w:val="sr-Cyrl-CS"/>
        </w:rPr>
      </w:pPr>
      <w:r w:rsidRPr="003B44DC">
        <w:rPr>
          <w:rFonts w:ascii="Times New Roman" w:hAnsi="Times New Roman" w:cs="Times New Roman"/>
          <w:b/>
          <w:noProof/>
          <w:color w:val="auto"/>
          <w:spacing w:val="-4"/>
          <w:sz w:val="24"/>
          <w:szCs w:val="24"/>
          <w:lang w:val="sr-Cyrl-CS"/>
        </w:rPr>
        <w:t>Сертификација службеника за јавне набавке</w:t>
      </w:r>
    </w:p>
    <w:p w14:paraId="5C6502C6" w14:textId="77777777" w:rsidR="004F5F81" w:rsidRPr="003B44DC" w:rsidRDefault="004F5F81" w:rsidP="004F5F81">
      <w:pPr>
        <w:spacing w:after="0"/>
        <w:jc w:val="both"/>
        <w:rPr>
          <w:rFonts w:ascii="Times New Roman" w:hAnsi="Times New Roman" w:cs="Times New Roman"/>
          <w:b/>
          <w:noProof/>
          <w:color w:val="auto"/>
          <w:spacing w:val="-4"/>
          <w:sz w:val="24"/>
          <w:szCs w:val="24"/>
          <w:lang w:val="sr-Cyrl-CS"/>
        </w:rPr>
      </w:pPr>
    </w:p>
    <w:p w14:paraId="214C93BB" w14:textId="77777777" w:rsidR="002E0F16" w:rsidRPr="008F5381" w:rsidRDefault="002E0F16" w:rsidP="002E0F16">
      <w:pPr>
        <w:spacing w:after="0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en-US"/>
        </w:rPr>
        <w:t>У првој половини 2018. године, одржано је 13</w:t>
      </w:r>
      <w:r w:rsidRPr="008F5381"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en-US"/>
        </w:rPr>
        <w:t xml:space="preserve"> испита за службеника за јавне набавке, на </w:t>
      </w:r>
      <w:r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en-US"/>
        </w:rPr>
        <w:t>којима је полагало 424 кандидата, а положило 267</w:t>
      </w:r>
      <w:r w:rsidRPr="008F5381"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en-US"/>
        </w:rPr>
        <w:t>. Испити су организовани сваког месеца, у сарадњи са Републичком комисијом за заштиту права у поступцима јавних набавки</w:t>
      </w:r>
      <w:r>
        <w:rPr>
          <w:rFonts w:ascii="Times New Roman" w:hAnsi="Times New Roman" w:cs="Times New Roman"/>
          <w:noProof/>
          <w:color w:val="auto"/>
          <w:spacing w:val="-4"/>
          <w:sz w:val="24"/>
          <w:szCs w:val="24"/>
        </w:rPr>
        <w:t xml:space="preserve"> (у даљем тексту: Републичка комисија)</w:t>
      </w:r>
      <w:r w:rsidRPr="008F5381"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en-US"/>
        </w:rPr>
        <w:t>, у складу са бројем пристиглих пријава.</w:t>
      </w:r>
    </w:p>
    <w:p w14:paraId="11CC3013" w14:textId="77777777" w:rsidR="002E0F16" w:rsidRPr="008F5381" w:rsidRDefault="002E0F16" w:rsidP="002E0F16">
      <w:pPr>
        <w:spacing w:after="0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en-US"/>
        </w:rPr>
      </w:pPr>
      <w:r w:rsidRPr="008F5381"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en-US"/>
        </w:rPr>
        <w:t> </w:t>
      </w:r>
    </w:p>
    <w:p w14:paraId="615CF2C9" w14:textId="77777777" w:rsidR="002E0F16" w:rsidRPr="008F5381" w:rsidRDefault="002E0F16" w:rsidP="002E0F16">
      <w:pPr>
        <w:spacing w:after="0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CS"/>
        </w:rPr>
      </w:pPr>
      <w:r w:rsidRPr="008F5381"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en-US"/>
        </w:rPr>
        <w:t>Ако се погледају подаци од октобра 2014. године, када је започет други циклус сертификације службеника за јавне набавке, за</w:t>
      </w:r>
      <w:r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en-US"/>
        </w:rPr>
        <w:t>кључно са првих шест месеци 2018. године, организовано је 110</w:t>
      </w:r>
      <w:r w:rsidRPr="008F5381"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en-US"/>
        </w:rPr>
        <w:t xml:space="preserve"> испита, </w:t>
      </w:r>
      <w:r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CS"/>
        </w:rPr>
        <w:t>на којима је укупно полагало 3</w:t>
      </w:r>
      <w:r w:rsidRPr="008F5381"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noProof/>
          <w:color w:val="auto"/>
          <w:spacing w:val="-4"/>
          <w:sz w:val="24"/>
          <w:szCs w:val="24"/>
        </w:rPr>
        <w:t>757</w:t>
      </w:r>
      <w:r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CS"/>
        </w:rPr>
        <w:t xml:space="preserve"> кандидата, од којих је 2</w:t>
      </w:r>
      <w:r w:rsidRPr="008F5381"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noProof/>
          <w:color w:val="auto"/>
          <w:spacing w:val="-4"/>
          <w:sz w:val="24"/>
          <w:szCs w:val="24"/>
        </w:rPr>
        <w:t>219</w:t>
      </w:r>
      <w:r w:rsidRPr="008F5381"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CS"/>
        </w:rPr>
        <w:t xml:space="preserve"> положило испит и стекло сертификат за службеника за јавне набавке.</w:t>
      </w:r>
    </w:p>
    <w:p w14:paraId="68C855BC" w14:textId="77777777" w:rsidR="004F5F81" w:rsidRPr="003B44DC" w:rsidRDefault="004F5F81" w:rsidP="004F5F81">
      <w:pPr>
        <w:spacing w:after="0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CS"/>
        </w:rPr>
      </w:pPr>
    </w:p>
    <w:p w14:paraId="688E039B" w14:textId="77777777" w:rsidR="004F5F81" w:rsidRPr="003B44DC" w:rsidRDefault="004F5F81" w:rsidP="004F5F81">
      <w:pPr>
        <w:spacing w:after="0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CS"/>
        </w:rPr>
      </w:pPr>
    </w:p>
    <w:p w14:paraId="28CCC77E" w14:textId="77777777" w:rsidR="004F5F81" w:rsidRPr="003B44DC" w:rsidRDefault="004F5F81" w:rsidP="004F5F81">
      <w:pPr>
        <w:spacing w:after="0"/>
        <w:jc w:val="both"/>
        <w:rPr>
          <w:rFonts w:ascii="Times New Roman" w:hAnsi="Times New Roman" w:cs="Times New Roman"/>
          <w:b/>
          <w:noProof/>
          <w:color w:val="auto"/>
          <w:spacing w:val="-4"/>
          <w:sz w:val="24"/>
          <w:szCs w:val="24"/>
          <w:lang w:val="sr"/>
        </w:rPr>
      </w:pPr>
      <w:r w:rsidRPr="003B44DC">
        <w:rPr>
          <w:rFonts w:ascii="Times New Roman" w:hAnsi="Times New Roman" w:cs="Times New Roman"/>
          <w:b/>
          <w:noProof/>
          <w:color w:val="auto"/>
          <w:spacing w:val="-4"/>
          <w:sz w:val="24"/>
          <w:szCs w:val="24"/>
          <w:lang w:val="sr"/>
        </w:rPr>
        <w:t>Обуке</w:t>
      </w:r>
    </w:p>
    <w:p w14:paraId="530DF4DB" w14:textId="77777777" w:rsidR="004F5F81" w:rsidRPr="003B44DC" w:rsidRDefault="004F5F81" w:rsidP="004F5F81">
      <w:pPr>
        <w:spacing w:after="0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CS"/>
        </w:rPr>
      </w:pPr>
    </w:p>
    <w:p w14:paraId="11CF99B4" w14:textId="77777777" w:rsidR="002E0F16" w:rsidRPr="00D86CD6" w:rsidRDefault="002E0F16" w:rsidP="002E0F16">
      <w:pPr>
        <w:spacing w:after="0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RS"/>
        </w:rPr>
      </w:pPr>
      <w:r w:rsidRPr="00D86CD6"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RS"/>
        </w:rPr>
        <w:t>Представници УЈН учестовали су на радионицама у Врњачкој Бањи у периоду од 29. до 31. јануара под називом „</w:t>
      </w:r>
      <w:r w:rsidRPr="00D86CD6">
        <w:rPr>
          <w:rFonts w:ascii="Times New Roman" w:hAnsi="Times New Roman" w:cs="Times New Roman"/>
          <w:noProof/>
          <w:color w:val="auto"/>
          <w:spacing w:val="-4"/>
          <w:sz w:val="24"/>
          <w:szCs w:val="24"/>
        </w:rPr>
        <w:t>Проактивна истрага о коруптивним предметима, финансијској превари и привредном криминалу“</w:t>
      </w:r>
      <w:r w:rsidRPr="00D86CD6"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RS"/>
        </w:rPr>
        <w:t xml:space="preserve">. Радионица је била пре свега намењена за представнике тужиоца и полицијских инспектора. Циљ тренинга/радионица су повећање капацитета тужиоца, полицијских инспектора и других надлежних органа за превентивно деловање и </w:t>
      </w:r>
      <w:r w:rsidRPr="00D86CD6"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RS"/>
        </w:rPr>
        <w:lastRenderedPageBreak/>
        <w:t xml:space="preserve">истрагу коруптивних радњи и случајева финансијских превара и привредног криминала. Такође, у оквиру пројекта „Превенција и борба против корупције“ (ИПА 2013), Министарство правде је у сарадњи са Правосудном академијом организовала обуку на ову тему за оперативне руководиоце у тужилаштвима и полицији, а на којој су присуствовали и представници УЈН. Обука је одржана у Ечкој у периоду од 11. до 13. маја 2018. године. </w:t>
      </w:r>
    </w:p>
    <w:p w14:paraId="6448538C" w14:textId="77777777" w:rsidR="002E0F16" w:rsidRPr="00D86CD6" w:rsidRDefault="002E0F16" w:rsidP="002E0F16">
      <w:pPr>
        <w:spacing w:after="0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RS"/>
        </w:rPr>
      </w:pPr>
    </w:p>
    <w:p w14:paraId="4E25A4D1" w14:textId="40D2862C" w:rsidR="00C15A1F" w:rsidRDefault="00C15A1F" w:rsidP="00C15A1F">
      <w:pPr>
        <w:spacing w:after="0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RS"/>
        </w:rPr>
      </w:pPr>
      <w:r w:rsidRPr="00C15A1F"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RS"/>
        </w:rPr>
        <w:t>УЈН је 3. априла 2018. године у Београду, уз подршку Програмa Уједињених нација за развој (UNDP) и Шведске агенције за међународни развој и сарадњу (SIDA), организовала радионицу са циљем разматрања садржине припремљеног модела конкурсне документације за услуге сервисирања и одржавања возила са закључењем оквирног споразума. На радионици је, са представницима наручилаца и понуђача, разматрана применљивост датог модела, посебно са становишта описа предмета услуге, услова за учешће, предложених елемената критеријума економски најповољније понуде и доделе појединачних уговора/наруџбеница. Такође, УЈН је 10. априла 2018. године у Београду, уз подршку UNDP и SIDA, организовала другу радионицу са циљем разматрања садржине припремљеног модела конкурсне документације за конкретан предмет јавне набавке, и то услуге осигурања (лица, имовине и возила).</w:t>
      </w:r>
    </w:p>
    <w:p w14:paraId="67722750" w14:textId="77777777" w:rsidR="00C15A1F" w:rsidRPr="00C15A1F" w:rsidRDefault="00C15A1F" w:rsidP="00C15A1F">
      <w:pPr>
        <w:spacing w:after="0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RS"/>
        </w:rPr>
      </w:pPr>
    </w:p>
    <w:p w14:paraId="0EBCC861" w14:textId="3267AB5C" w:rsidR="002E0F16" w:rsidRPr="00D86CD6" w:rsidRDefault="002E0F16" w:rsidP="002E0F16">
      <w:pPr>
        <w:spacing w:after="0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RS"/>
        </w:rPr>
      </w:pPr>
      <w:r w:rsidRPr="00D86CD6"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RS"/>
        </w:rPr>
        <w:t xml:space="preserve">УЈН је, у сарадњи са Генералним секретаријатом Владе и подршку UNDP и SIDA, организовала у Врднику у периоду од 16-17. априла 2018. године радионицу под називом „Економски најповољнија понуда и оквирни споразуми у сврси економичнијих и ефикаснијих јавних набавки“. Циљ радионице био је да се истакне важност примене економски најповољније понуде у поступцима јавних набавки приликом трошења јавних средстава. Оквирни споразуми су такође разматрани као средство и начин за унапређење ефикасности у поступцима јавних набавки. </w:t>
      </w:r>
    </w:p>
    <w:p w14:paraId="7B5FE4C9" w14:textId="77777777" w:rsidR="002E0F16" w:rsidRPr="00D86CD6" w:rsidRDefault="002E0F16" w:rsidP="002E0F16">
      <w:pPr>
        <w:spacing w:after="0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RS"/>
        </w:rPr>
      </w:pPr>
      <w:r w:rsidRPr="00D86CD6"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RS"/>
        </w:rPr>
        <w:t xml:space="preserve">У периоду од 23. до 25. априла 2018. године у Београду, УЈН је организовала тренинг на тему „Јавне набавке – планирање и спровођење“. Циљ тренинг је био повећање и унапређење капацитета и свести у спровођењу економичнијих и ефикаснијих јавних набавки. </w:t>
      </w:r>
    </w:p>
    <w:p w14:paraId="28D8F206" w14:textId="77777777" w:rsidR="002E0F16" w:rsidRPr="00D86CD6" w:rsidRDefault="002E0F16" w:rsidP="002E0F16">
      <w:pPr>
        <w:spacing w:after="0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RS"/>
        </w:rPr>
      </w:pPr>
      <w:r w:rsidRPr="00D86CD6"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RS"/>
        </w:rPr>
        <w:t xml:space="preserve">У сарадњи са Светском банком и Амбасадом Велике Британије, УЈН је организовала у Београду дводневни округли сто представљајући модерна средства за унапређење економичности и ефикасности јавних набавки. Радионица је носила назив „Употреба оквирних споразума, критеријум економски најповољније понуде и управљање уговорима“. Горенаведна радионица одржана је 31. маја и 1. јуна 2018. године у Палати Србије и била је намењена за представнике јавних набавки, наручиоце и понуђаче. Присутнима је омогућено да се упознају са искуствима у примени оквирних споразума и економски најповољније понуде од стране органа за централизоване јавне набавке у Словенији. </w:t>
      </w:r>
    </w:p>
    <w:p w14:paraId="4105A714" w14:textId="77777777" w:rsidR="004F5F81" w:rsidRPr="003B44DC" w:rsidRDefault="004F5F81" w:rsidP="004F5F81">
      <w:pPr>
        <w:spacing w:after="0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CS"/>
        </w:rPr>
      </w:pPr>
    </w:p>
    <w:p w14:paraId="10E77AD1" w14:textId="7902B132" w:rsidR="004F5F81" w:rsidRDefault="004F5F81" w:rsidP="004F5F81">
      <w:pPr>
        <w:spacing w:after="0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CS"/>
        </w:rPr>
      </w:pPr>
    </w:p>
    <w:p w14:paraId="7754B123" w14:textId="77777777" w:rsidR="00827F6D" w:rsidRPr="003B44DC" w:rsidRDefault="00827F6D" w:rsidP="004F5F81">
      <w:pPr>
        <w:spacing w:after="0"/>
        <w:jc w:val="both"/>
        <w:rPr>
          <w:rFonts w:ascii="Times New Roman" w:hAnsi="Times New Roman" w:cs="Times New Roman"/>
          <w:noProof/>
          <w:color w:val="auto"/>
          <w:spacing w:val="-4"/>
          <w:sz w:val="24"/>
          <w:szCs w:val="24"/>
          <w:lang w:val="sr-Cyrl-CS"/>
        </w:rPr>
      </w:pPr>
      <w:bookmarkStart w:id="16" w:name="_GoBack"/>
      <w:bookmarkEnd w:id="16"/>
    </w:p>
    <w:p w14:paraId="1B5F6185" w14:textId="77777777" w:rsidR="004F5F81" w:rsidRPr="003B44DC" w:rsidRDefault="004F5F81" w:rsidP="004F5F81">
      <w:pPr>
        <w:spacing w:after="0"/>
        <w:jc w:val="both"/>
        <w:outlineLvl w:val="5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en-US"/>
        </w:rPr>
      </w:pPr>
      <w:r w:rsidRPr="003B44DC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en-US"/>
        </w:rPr>
        <w:lastRenderedPageBreak/>
        <w:t>Мишљења и тумачења</w:t>
      </w:r>
    </w:p>
    <w:p w14:paraId="352CEAA2" w14:textId="77777777" w:rsidR="004F5F81" w:rsidRPr="003B44DC" w:rsidRDefault="004F5F81" w:rsidP="004F5F81">
      <w:pPr>
        <w:spacing w:after="0"/>
        <w:jc w:val="both"/>
        <w:outlineLvl w:val="5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</w:p>
    <w:p w14:paraId="0E3CA9CC" w14:textId="77777777" w:rsidR="008A4CA6" w:rsidRDefault="008A4CA6" w:rsidP="008A4CA6">
      <w:pPr>
        <w:spacing w:after="0"/>
        <w:jc w:val="both"/>
        <w:outlineLvl w:val="5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  <w:r w:rsidRPr="00BC3094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У складу са чланом 136. ЗЈН, у првој половини 201</w:t>
      </w:r>
      <w:r w:rsidRPr="00BC3094">
        <w:rPr>
          <w:rFonts w:ascii="Times New Roman" w:eastAsia="Times New Roman" w:hAnsi="Times New Roman" w:cs="Times New Roman"/>
          <w:color w:val="auto"/>
          <w:sz w:val="24"/>
          <w:szCs w:val="24"/>
          <w:lang w:val="sr-Latn-ME" w:eastAsia="en-US"/>
        </w:rPr>
        <w:t>8</w:t>
      </w:r>
      <w:r w:rsidRPr="00BC3094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. године, УЈН је дала</w:t>
      </w:r>
      <w:r w:rsidRPr="00BC3094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</w:t>
      </w:r>
      <w:r w:rsidRPr="00BC3094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13</w:t>
      </w:r>
      <w:r w:rsidRPr="00BC3094">
        <w:rPr>
          <w:rFonts w:ascii="Times New Roman" w:eastAsia="Times New Roman" w:hAnsi="Times New Roman" w:cs="Times New Roman"/>
          <w:color w:val="auto"/>
          <w:sz w:val="24"/>
          <w:szCs w:val="24"/>
          <w:lang w:val="sr-Latn-ME" w:eastAsia="en-US"/>
        </w:rPr>
        <w:t>4</w:t>
      </w:r>
      <w:r w:rsidRPr="00BC3094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мишљења о тумачењу и примени одредаба ЗЈН. У истом периоду УЈН је дала и </w:t>
      </w:r>
      <w:r w:rsidRPr="00BC3094">
        <w:rPr>
          <w:rFonts w:ascii="Times New Roman" w:hAnsi="Times New Roman" w:cs="Times New Roman"/>
          <w:color w:val="auto"/>
        </w:rPr>
        <w:t>9</w:t>
      </w:r>
      <w:r w:rsidRPr="00BC3094">
        <w:rPr>
          <w:rFonts w:ascii="Times New Roman" w:hAnsi="Times New Roman" w:cs="Times New Roman"/>
          <w:color w:val="auto"/>
          <w:lang w:val="sr-Latn-ME"/>
        </w:rPr>
        <w:t>95</w:t>
      </w:r>
      <w:r w:rsidRPr="00BC3094">
        <w:rPr>
          <w:rFonts w:ascii="Times New Roman" w:hAnsi="Times New Roman" w:cs="Times New Roman"/>
          <w:color w:val="auto"/>
        </w:rPr>
        <w:t xml:space="preserve"> м</w:t>
      </w:r>
      <w:r w:rsidRPr="00BC3094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ишљење о основаности примене преговарачког поступка без објављивања позива за подношење понуда, из члана 36. став 1. тач. 2)-6) ЗЈН, од тога </w:t>
      </w:r>
      <w:r w:rsidRPr="00BC3094">
        <w:rPr>
          <w:rFonts w:ascii="Times New Roman" w:eastAsia="Times New Roman" w:hAnsi="Times New Roman" w:cs="Times New Roman"/>
          <w:color w:val="auto"/>
          <w:sz w:val="24"/>
          <w:szCs w:val="24"/>
          <w:lang w:val="sr-Latn-ME" w:eastAsia="en-US"/>
        </w:rPr>
        <w:t>942</w:t>
      </w:r>
      <w:r w:rsidRPr="00BC3094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позитивн</w:t>
      </w:r>
      <w:r w:rsidRPr="00BC3094">
        <w:rPr>
          <w:rFonts w:ascii="Times New Roman" w:eastAsia="Times New Roman" w:hAnsi="Times New Roman" w:cs="Times New Roman"/>
          <w:color w:val="auto"/>
          <w:sz w:val="24"/>
          <w:szCs w:val="24"/>
          <w:lang w:val="sr-Latn-ME" w:eastAsia="en-US"/>
        </w:rPr>
        <w:t>a</w:t>
      </w:r>
      <w:r w:rsidRPr="00BC3094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, </w:t>
      </w:r>
      <w:r w:rsidRPr="00BC3094">
        <w:rPr>
          <w:rFonts w:ascii="Times New Roman" w:eastAsia="Times New Roman" w:hAnsi="Times New Roman" w:cs="Times New Roman"/>
          <w:color w:val="auto"/>
          <w:sz w:val="24"/>
          <w:szCs w:val="24"/>
          <w:lang w:val="sr-Latn-ME" w:eastAsia="en-US"/>
        </w:rPr>
        <w:t>53</w:t>
      </w:r>
      <w:r w:rsidRPr="00BC3094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негативна, док је у </w:t>
      </w:r>
      <w:r w:rsidRPr="00BC3094">
        <w:rPr>
          <w:rFonts w:ascii="Times New Roman" w:eastAsia="Times New Roman" w:hAnsi="Times New Roman" w:cs="Times New Roman"/>
          <w:color w:val="auto"/>
          <w:sz w:val="24"/>
          <w:szCs w:val="24"/>
          <w:lang w:val="sr-Latn-ME" w:eastAsia="en-US"/>
        </w:rPr>
        <w:t>324</w:t>
      </w:r>
      <w:r w:rsidRPr="00BC3094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захтева тражено уређење.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</w:p>
    <w:p w14:paraId="71A7A35F" w14:textId="77777777" w:rsidR="008A4CA6" w:rsidRPr="00BC3094" w:rsidRDefault="008A4CA6" w:rsidP="008A4CA6">
      <w:pPr>
        <w:spacing w:after="0"/>
        <w:jc w:val="both"/>
        <w:outlineLvl w:val="5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BC3094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Сва мишљења, позитивна и негативна, дата у вези примене члана 36. ЗЈН, УЈН је објавила на Порталу јавних набавки. Поред тога, УЈН објављује на својој интернет страници о</w:t>
      </w:r>
      <w:r w:rsidRPr="00BC3094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дговоре на најчешћа питања постављена при захтевима за тумачењем.</w:t>
      </w:r>
    </w:p>
    <w:p w14:paraId="3D5E54A6" w14:textId="77777777" w:rsidR="008A4CA6" w:rsidRDefault="008A4CA6" w:rsidP="004F5F8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en-US"/>
        </w:rPr>
      </w:pPr>
    </w:p>
    <w:p w14:paraId="33A055E6" w14:textId="18ACEF20" w:rsidR="004F5F81" w:rsidRPr="003B44DC" w:rsidRDefault="004F5F81" w:rsidP="004F5F8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en-US"/>
        </w:rPr>
      </w:pPr>
      <w:r w:rsidRPr="003B44DC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en-US"/>
        </w:rPr>
        <w:t>Стручна помоћ наручиоцима и понуђачима</w:t>
      </w:r>
    </w:p>
    <w:p w14:paraId="49185922" w14:textId="77777777" w:rsidR="008A4CA6" w:rsidRPr="008A4CA6" w:rsidRDefault="008A4CA6" w:rsidP="008A4CA6">
      <w:pPr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A4CA6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Поред припреме и објављивања ажурираних модела конкурсних документација, давања мишљења и тумачења, УЈН је, у првом полугодишту 201</w:t>
      </w:r>
      <w:r w:rsidRPr="008A4CA6">
        <w:rPr>
          <w:rFonts w:ascii="Times New Roman" w:eastAsia="Times New Roman" w:hAnsi="Times New Roman" w:cs="Times New Roman"/>
          <w:color w:val="auto"/>
          <w:sz w:val="24"/>
          <w:szCs w:val="24"/>
          <w:lang w:val="sr-Latn-ME" w:eastAsia="en-US"/>
        </w:rPr>
        <w:t>8</w:t>
      </w:r>
      <w:r w:rsidRPr="008A4CA6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. године, сваког радног дана пружала стручну помоћ наручиоцима и понуђачима путем консултација и то: правних консултација, путем телефона, у периоду од 9-12 часова (у просеку око 20-25 консултација дневно), као и консултација у вези са</w:t>
      </w:r>
      <w:r w:rsidRPr="008A4CA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пословима планирања јавних набавки и кварталног извештавања, као и Портала, сваког радног дана, у периоду од 9-14 часова (у просеку 20 телефонских консултација дневно и око 10 консултација путем е-маила). </w:t>
      </w:r>
    </w:p>
    <w:p w14:paraId="46204864" w14:textId="77777777" w:rsidR="008A4CA6" w:rsidRPr="008A4CA6" w:rsidRDefault="008A4CA6" w:rsidP="008A4CA6">
      <w:pPr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8A4CA6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Поред тога, УЈН је одржавала, у просеку, два састанка дневно са представницима различититх институција и министарстава, као и других наручилаца. </w:t>
      </w:r>
    </w:p>
    <w:p w14:paraId="04B21552" w14:textId="77777777" w:rsidR="0021027C" w:rsidRDefault="0021027C" w:rsidP="004F5F81">
      <w:pPr>
        <w:spacing w:after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</w:p>
    <w:p w14:paraId="047644E1" w14:textId="77777777" w:rsidR="0021027C" w:rsidRDefault="0021027C" w:rsidP="004F5F81">
      <w:pPr>
        <w:spacing w:after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</w:p>
    <w:p w14:paraId="5E297B1D" w14:textId="0B242398" w:rsidR="004F5F81" w:rsidRPr="003B44DC" w:rsidRDefault="004F5F81" w:rsidP="004F5F81">
      <w:pPr>
        <w:spacing w:after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  <w:r w:rsidRPr="003B44DC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Надзор</w:t>
      </w:r>
    </w:p>
    <w:p w14:paraId="7864F77A" w14:textId="77777777" w:rsidR="004F5F81" w:rsidRPr="003B44DC" w:rsidRDefault="004F5F81" w:rsidP="004F5F81">
      <w:pPr>
        <w:spacing w:after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</w:p>
    <w:p w14:paraId="0C68AEEC" w14:textId="77777777" w:rsidR="008A4CA6" w:rsidRPr="00991CFE" w:rsidRDefault="008A4CA6" w:rsidP="008A4CA6">
      <w:pPr>
        <w:jc w:val="both"/>
        <w:rPr>
          <w:rFonts w:ascii="Times New Roman" w:hAnsi="Times New Roman"/>
          <w:color w:val="auto"/>
          <w:sz w:val="24"/>
          <w:szCs w:val="24"/>
        </w:rPr>
      </w:pPr>
      <w:r w:rsidRPr="00991CFE">
        <w:rPr>
          <w:rFonts w:ascii="Times New Roman" w:hAnsi="Times New Roman" w:cs="Times New Roman"/>
          <w:color w:val="auto"/>
          <w:sz w:val="24"/>
          <w:szCs w:val="24"/>
        </w:rPr>
        <w:t>УЈН је Влади и Одбору за финансије, републички буџет и контролу трошења јавних средстава Народне скупштине, у складу са одредбама ЗЈН, поднела Извештај о спроведеном надзору за 201</w:t>
      </w:r>
      <w:r w:rsidRPr="00991CFE">
        <w:rPr>
          <w:rFonts w:ascii="Times New Roman" w:hAnsi="Times New Roman" w:cs="Times New Roman"/>
          <w:color w:val="auto"/>
          <w:sz w:val="24"/>
          <w:szCs w:val="24"/>
          <w:lang w:val="sr-Latn-ME"/>
        </w:rPr>
        <w:t>7</w:t>
      </w:r>
      <w:r w:rsidRPr="00991CFE">
        <w:rPr>
          <w:rFonts w:ascii="Times New Roman" w:hAnsi="Times New Roman" w:cs="Times New Roman"/>
          <w:color w:val="auto"/>
          <w:sz w:val="24"/>
          <w:szCs w:val="24"/>
        </w:rPr>
        <w:t xml:space="preserve">. годину. У извештају </w:t>
      </w:r>
      <w:r w:rsidRPr="00991CFE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су дати </w:t>
      </w:r>
      <w:r w:rsidRPr="00991CFE">
        <w:rPr>
          <w:rFonts w:ascii="Times New Roman" w:hAnsi="Times New Roman"/>
          <w:color w:val="auto"/>
          <w:sz w:val="24"/>
          <w:szCs w:val="24"/>
        </w:rPr>
        <w:t xml:space="preserve">предлози могућих унапређења </w:t>
      </w:r>
      <w:r w:rsidRPr="00991CFE">
        <w:rPr>
          <w:rFonts w:ascii="Times New Roman" w:hAnsi="Times New Roman"/>
          <w:color w:val="auto"/>
          <w:sz w:val="24"/>
          <w:szCs w:val="24"/>
          <w:lang w:val="sr-Cyrl-RS"/>
        </w:rPr>
        <w:t xml:space="preserve">како кроз доношење и примену </w:t>
      </w:r>
      <w:r w:rsidRPr="00991CFE">
        <w:rPr>
          <w:rFonts w:ascii="Times New Roman" w:hAnsi="Times New Roman"/>
          <w:color w:val="auto"/>
          <w:sz w:val="24"/>
          <w:szCs w:val="24"/>
        </w:rPr>
        <w:t xml:space="preserve">новог Закона о јавним набавкама, тако и </w:t>
      </w:r>
      <w:r w:rsidRPr="00991CFE">
        <w:rPr>
          <w:rFonts w:ascii="Times New Roman" w:hAnsi="Times New Roman"/>
          <w:color w:val="auto"/>
          <w:sz w:val="24"/>
          <w:szCs w:val="24"/>
          <w:lang w:val="sr-Cyrl-RS"/>
        </w:rPr>
        <w:t xml:space="preserve">када је реч о </w:t>
      </w:r>
      <w:r w:rsidRPr="00991CFE">
        <w:rPr>
          <w:rFonts w:ascii="Times New Roman" w:hAnsi="Times New Roman"/>
          <w:color w:val="auto"/>
          <w:sz w:val="24"/>
          <w:szCs w:val="24"/>
        </w:rPr>
        <w:t>спровођењу контроле и надзора над применом ЗЈН укључујући све релевантне институције, њихове улоге и надлежности.</w:t>
      </w:r>
    </w:p>
    <w:p w14:paraId="270B54B3" w14:textId="77777777" w:rsidR="008A4CA6" w:rsidRPr="00991CFE" w:rsidRDefault="008A4CA6" w:rsidP="008A4CA6">
      <w:pPr>
        <w:spacing w:after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1CFE">
        <w:rPr>
          <w:rFonts w:ascii="Times New Roman" w:hAnsi="Times New Roman"/>
          <w:color w:val="auto"/>
          <w:sz w:val="24"/>
          <w:szCs w:val="24"/>
          <w:lang w:val="sr-Cyrl-RS"/>
        </w:rPr>
        <w:t xml:space="preserve">Истакнут је значај </w:t>
      </w:r>
      <w:r w:rsidRPr="00991CFE">
        <w:rPr>
          <w:rFonts w:ascii="Times New Roman" w:hAnsi="Times New Roman"/>
          <w:color w:val="auto"/>
          <w:sz w:val="24"/>
          <w:szCs w:val="24"/>
        </w:rPr>
        <w:t>испуњавањ</w:t>
      </w:r>
      <w:r w:rsidRPr="00991CFE">
        <w:rPr>
          <w:rFonts w:ascii="Times New Roman" w:hAnsi="Times New Roman"/>
          <w:color w:val="auto"/>
          <w:sz w:val="24"/>
          <w:szCs w:val="24"/>
          <w:lang w:val="sr-Cyrl-RS"/>
        </w:rPr>
        <w:t>а</w:t>
      </w:r>
      <w:r w:rsidRPr="00991CFE">
        <w:rPr>
          <w:rFonts w:ascii="Times New Roman" w:hAnsi="Times New Roman"/>
          <w:color w:val="auto"/>
          <w:sz w:val="24"/>
          <w:szCs w:val="24"/>
        </w:rPr>
        <w:t xml:space="preserve"> мерила за затварање поглавља 5 – Јавне набавке</w:t>
      </w:r>
      <w:r w:rsidRPr="00991CFE">
        <w:rPr>
          <w:rFonts w:ascii="Times New Roman" w:hAnsi="Times New Roman"/>
          <w:color w:val="auto"/>
          <w:sz w:val="24"/>
          <w:szCs w:val="24"/>
          <w:lang w:val="sr-Cyrl-RS"/>
        </w:rPr>
        <w:t>, те наглашена п</w:t>
      </w:r>
      <w:r w:rsidRPr="00991CFE">
        <w:rPr>
          <w:rFonts w:ascii="Times New Roman" w:hAnsi="Times New Roman" w:cs="Times New Roman"/>
          <w:color w:val="auto"/>
          <w:sz w:val="24"/>
          <w:szCs w:val="24"/>
        </w:rPr>
        <w:t>отреб</w:t>
      </w:r>
      <w:r w:rsidRPr="00991CFE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а</w:t>
      </w:r>
      <w:r w:rsidRPr="00991CFE">
        <w:rPr>
          <w:rFonts w:ascii="Times New Roman" w:hAnsi="Times New Roman" w:cs="Times New Roman"/>
          <w:color w:val="auto"/>
          <w:sz w:val="24"/>
          <w:szCs w:val="24"/>
        </w:rPr>
        <w:t xml:space="preserve"> препозна</w:t>
      </w:r>
      <w:r w:rsidRPr="00991CFE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вања</w:t>
      </w:r>
      <w:r w:rsidRPr="00991CFE">
        <w:rPr>
          <w:rFonts w:ascii="Times New Roman" w:hAnsi="Times New Roman" w:cs="Times New Roman"/>
          <w:color w:val="auto"/>
          <w:sz w:val="24"/>
          <w:szCs w:val="24"/>
        </w:rPr>
        <w:t xml:space="preserve"> св</w:t>
      </w:r>
      <w:r w:rsidRPr="00991CFE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их</w:t>
      </w:r>
      <w:r w:rsidRPr="00991CFE">
        <w:rPr>
          <w:rFonts w:ascii="Times New Roman" w:hAnsi="Times New Roman" w:cs="Times New Roman"/>
          <w:color w:val="auto"/>
          <w:sz w:val="24"/>
          <w:szCs w:val="24"/>
        </w:rPr>
        <w:t xml:space="preserve"> захтев</w:t>
      </w:r>
      <w:r w:rsidRPr="00991CFE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а</w:t>
      </w:r>
      <w:r w:rsidRPr="00991CFE">
        <w:rPr>
          <w:rFonts w:ascii="Times New Roman" w:hAnsi="Times New Roman" w:cs="Times New Roman"/>
          <w:color w:val="auto"/>
          <w:sz w:val="24"/>
          <w:szCs w:val="24"/>
        </w:rPr>
        <w:t>, мер</w:t>
      </w:r>
      <w:r w:rsidRPr="00991CFE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а</w:t>
      </w:r>
      <w:r w:rsidRPr="00991CFE">
        <w:rPr>
          <w:rFonts w:ascii="Times New Roman" w:hAnsi="Times New Roman" w:cs="Times New Roman"/>
          <w:color w:val="auto"/>
          <w:sz w:val="24"/>
          <w:szCs w:val="24"/>
        </w:rPr>
        <w:t xml:space="preserve"> и активности којима се захтеви реализују, </w:t>
      </w:r>
      <w:r w:rsidRPr="00991CFE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и</w:t>
      </w:r>
      <w:r w:rsidRPr="00991CFE">
        <w:rPr>
          <w:rFonts w:ascii="Times New Roman" w:hAnsi="Times New Roman" w:cs="Times New Roman"/>
          <w:color w:val="auto"/>
          <w:sz w:val="24"/>
          <w:szCs w:val="24"/>
        </w:rPr>
        <w:t xml:space="preserve"> извештавања кој</w:t>
      </w:r>
      <w:r w:rsidRPr="00991CFE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е</w:t>
      </w:r>
      <w:r w:rsidRPr="00991CFE">
        <w:rPr>
          <w:rFonts w:ascii="Times New Roman" w:hAnsi="Times New Roman" w:cs="Times New Roman"/>
          <w:color w:val="auto"/>
          <w:sz w:val="24"/>
          <w:szCs w:val="24"/>
        </w:rPr>
        <w:t xml:space="preserve"> ће подразумевати размену и прибављање података од различитих институција, по различитим мерама и показатељима.</w:t>
      </w:r>
    </w:p>
    <w:p w14:paraId="78BD1D02" w14:textId="77777777" w:rsidR="008A4CA6" w:rsidRPr="00991CFE" w:rsidRDefault="008A4CA6" w:rsidP="008A4CA6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1CFE">
        <w:rPr>
          <w:rFonts w:ascii="Times New Roman" w:hAnsi="Times New Roman" w:cs="Times New Roman"/>
          <w:color w:val="auto"/>
          <w:sz w:val="24"/>
          <w:szCs w:val="24"/>
        </w:rPr>
        <w:lastRenderedPageBreak/>
        <w:t>У 2017. години УЈН је наставила са активностима праћења и превентивног отклањања неправилности приликом оглашавања на Порталу јавних набавки. У том погледу, УЈН је континуирано пратила и указивала наручиоцима на уочене недостатке приликом објављивања огласа и друге документације на Порталу јавних набавки.</w:t>
      </w:r>
      <w:r w:rsidRPr="00991CFE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</w:t>
      </w:r>
      <w:r w:rsidRPr="00991CFE">
        <w:rPr>
          <w:rFonts w:ascii="Times New Roman" w:hAnsi="Times New Roman" w:cs="Times New Roman"/>
          <w:color w:val="auto"/>
          <w:sz w:val="24"/>
          <w:szCs w:val="24"/>
        </w:rPr>
        <w:t xml:space="preserve">Такође, УЈН је указивала наручиоцима на уочене/пријављене недостатке док је поступак у току, као и накнадно у циљу превентивног деловања на наручиоце у погледу нових поступака јавних набавки. </w:t>
      </w:r>
    </w:p>
    <w:p w14:paraId="0A0EC898" w14:textId="77777777" w:rsidR="008A4CA6" w:rsidRPr="00991CFE" w:rsidRDefault="008A4CA6" w:rsidP="008A4CA6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1CFE">
        <w:rPr>
          <w:rFonts w:ascii="Times New Roman" w:hAnsi="Times New Roman" w:cs="Times New Roman"/>
          <w:color w:val="auto"/>
          <w:sz w:val="24"/>
          <w:szCs w:val="24"/>
        </w:rPr>
        <w:t>У првом полугодишту 201</w:t>
      </w:r>
      <w:r w:rsidRPr="00991CFE">
        <w:rPr>
          <w:rFonts w:ascii="Times New Roman" w:hAnsi="Times New Roman" w:cs="Times New Roman"/>
          <w:color w:val="auto"/>
          <w:sz w:val="24"/>
          <w:szCs w:val="24"/>
          <w:lang w:val="sr-Cyrl-RS"/>
        </w:rPr>
        <w:t>8</w:t>
      </w:r>
      <w:r w:rsidRPr="00991CFE">
        <w:rPr>
          <w:rFonts w:ascii="Times New Roman" w:hAnsi="Times New Roman" w:cs="Times New Roman"/>
          <w:color w:val="auto"/>
          <w:sz w:val="24"/>
          <w:szCs w:val="24"/>
        </w:rPr>
        <w:t xml:space="preserve">. године, УЈН је поступала и вршила надзор над применом ЗЈН у </w:t>
      </w:r>
      <w:r w:rsidRPr="00991CFE">
        <w:rPr>
          <w:rFonts w:ascii="Times New Roman" w:hAnsi="Times New Roman" w:cs="Times New Roman"/>
          <w:color w:val="auto"/>
          <w:sz w:val="24"/>
          <w:szCs w:val="24"/>
          <w:lang w:val="sr-Cyrl-RS"/>
        </w:rPr>
        <w:t>37</w:t>
      </w:r>
      <w:r w:rsidRPr="00991CFE">
        <w:rPr>
          <w:rFonts w:ascii="Times New Roman" w:hAnsi="Times New Roman" w:cs="Times New Roman"/>
          <w:color w:val="auto"/>
          <w:sz w:val="24"/>
          <w:szCs w:val="24"/>
        </w:rPr>
        <w:t xml:space="preserve"> случај</w:t>
      </w:r>
      <w:r w:rsidRPr="00991CFE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ева</w:t>
      </w:r>
      <w:r w:rsidRPr="00991CFE">
        <w:rPr>
          <w:rFonts w:ascii="Times New Roman" w:hAnsi="Times New Roman" w:cs="Times New Roman"/>
          <w:color w:val="auto"/>
          <w:sz w:val="24"/>
          <w:szCs w:val="24"/>
        </w:rPr>
        <w:t xml:space="preserve"> пријављених неправилности. Реч је о пријавама/указивањима достављеним од понуђача, наручилаца и њихових запослених, других заинтересованих лица, као и анонимним пријавама. Рад у поменутим случајевима захтевао је и прикупљање додатних информација и података, пре свега од наручилаца, али и других субјеката, ради комплетирања документације и сагледавања свих чињеница, као и утврђивања евентуалног даљег поступања.</w:t>
      </w:r>
    </w:p>
    <w:p w14:paraId="7432343A" w14:textId="77777777" w:rsidR="008A4CA6" w:rsidRPr="00991CFE" w:rsidRDefault="008A4CA6" w:rsidP="008A4CA6">
      <w:p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1CFE">
        <w:rPr>
          <w:rFonts w:ascii="Times New Roman" w:hAnsi="Times New Roman" w:cs="Times New Roman"/>
          <w:color w:val="auto"/>
          <w:sz w:val="24"/>
          <w:szCs w:val="24"/>
        </w:rPr>
        <w:t>У првој половини 201</w:t>
      </w:r>
      <w:r w:rsidRPr="00991CFE">
        <w:rPr>
          <w:rFonts w:ascii="Times New Roman" w:hAnsi="Times New Roman" w:cs="Times New Roman"/>
          <w:color w:val="auto"/>
          <w:sz w:val="24"/>
          <w:szCs w:val="24"/>
          <w:lang w:val="sr-Cyrl-RS"/>
        </w:rPr>
        <w:t>8</w:t>
      </w:r>
      <w:r w:rsidRPr="00991CFE">
        <w:rPr>
          <w:rFonts w:ascii="Times New Roman" w:hAnsi="Times New Roman" w:cs="Times New Roman"/>
          <w:color w:val="auto"/>
          <w:sz w:val="24"/>
          <w:szCs w:val="24"/>
        </w:rPr>
        <w:t xml:space="preserve">. године, УЈН је поступала у </w:t>
      </w:r>
      <w:r w:rsidRPr="00991CFE">
        <w:rPr>
          <w:rFonts w:ascii="Times New Roman" w:hAnsi="Times New Roman" w:cs="Times New Roman"/>
          <w:color w:val="auto"/>
          <w:sz w:val="24"/>
          <w:szCs w:val="24"/>
          <w:lang w:val="sr-Cyrl-RS"/>
        </w:rPr>
        <w:t>11</w:t>
      </w:r>
      <w:r w:rsidRPr="00991CFE">
        <w:rPr>
          <w:rFonts w:ascii="Times New Roman" w:hAnsi="Times New Roman" w:cs="Times New Roman"/>
          <w:color w:val="auto"/>
          <w:sz w:val="24"/>
          <w:szCs w:val="24"/>
        </w:rPr>
        <w:t xml:space="preserve"> предмета достављених од тужилаштва, </w:t>
      </w:r>
      <w:r w:rsidRPr="00991CFE">
        <w:rPr>
          <w:rFonts w:ascii="Times New Roman" w:hAnsi="Times New Roman" w:cs="Times New Roman"/>
          <w:color w:val="auto"/>
          <w:sz w:val="24"/>
          <w:szCs w:val="24"/>
          <w:lang w:val="sr-Cyrl-RS"/>
        </w:rPr>
        <w:t>4</w:t>
      </w:r>
      <w:r w:rsidRPr="00991CFE">
        <w:rPr>
          <w:rFonts w:ascii="Times New Roman" w:hAnsi="Times New Roman" w:cs="Times New Roman"/>
          <w:color w:val="auto"/>
          <w:sz w:val="24"/>
          <w:szCs w:val="24"/>
        </w:rPr>
        <w:t xml:space="preserve"> предмета достављених од МУП-а и </w:t>
      </w:r>
      <w:r w:rsidRPr="00991CFE">
        <w:rPr>
          <w:rFonts w:ascii="Times New Roman" w:hAnsi="Times New Roman" w:cs="Times New Roman"/>
          <w:color w:val="auto"/>
          <w:sz w:val="24"/>
          <w:szCs w:val="24"/>
          <w:lang w:val="sr-Cyrl-RS"/>
        </w:rPr>
        <w:t>5</w:t>
      </w:r>
      <w:r w:rsidRPr="00991CFE">
        <w:rPr>
          <w:rFonts w:ascii="Times New Roman" w:hAnsi="Times New Roman" w:cs="Times New Roman"/>
          <w:color w:val="auto"/>
          <w:sz w:val="24"/>
          <w:szCs w:val="24"/>
        </w:rPr>
        <w:t xml:space="preserve"> предмета достављена од Агенције за борбу против корупције. При разматрању ових предмета УЈН је анализирала и додатну документацију од учесника у поступцима јавних набавки, пре свега од наручилаца, с тим да се поједини предмети односе и на период важења претходних закона о јавним набавкама.</w:t>
      </w:r>
    </w:p>
    <w:p w14:paraId="450A7A13" w14:textId="77777777" w:rsidR="008A4CA6" w:rsidRPr="00991CFE" w:rsidRDefault="008A4CA6" w:rsidP="008A4CA6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991CFE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Међуинституционална сарадња остварена је са више институција, укључујући полицију и тужилаштво, кроз више одржаних састанака, радионица и конференција. Сарадња је остваривана и при разматрању конкретних захтева и предмета у вези са пријавама и надлежностима институција.</w:t>
      </w:r>
    </w:p>
    <w:p w14:paraId="3DF9FF0C" w14:textId="77777777" w:rsidR="008A4CA6" w:rsidRPr="00991CFE" w:rsidRDefault="008A4CA6" w:rsidP="008A4CA6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991CFE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За поступке јавних набавки процењене вредности преко милијарду динара, УЈН је, за првих шест месеци 201</w:t>
      </w:r>
      <w:r w:rsidRPr="00991CFE">
        <w:rPr>
          <w:rFonts w:ascii="Times New Roman" w:eastAsia="Times New Roman" w:hAnsi="Times New Roman" w:cs="Times New Roman"/>
          <w:color w:val="auto"/>
          <w:sz w:val="24"/>
          <w:szCs w:val="24"/>
          <w:lang w:val="sr-Cyrl-RS" w:eastAsia="en-US"/>
        </w:rPr>
        <w:t>8</w:t>
      </w:r>
      <w:r w:rsidRPr="00991CFE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. године, именовала грађанске надзорнике у </w:t>
      </w:r>
      <w:r w:rsidRPr="00991CFE">
        <w:rPr>
          <w:rFonts w:ascii="Times New Roman" w:eastAsia="Times New Roman" w:hAnsi="Times New Roman" w:cs="Times New Roman"/>
          <w:color w:val="auto"/>
          <w:sz w:val="24"/>
          <w:szCs w:val="24"/>
          <w:lang w:val="sr-Cyrl-RS" w:eastAsia="en-US"/>
        </w:rPr>
        <w:t>32</w:t>
      </w:r>
      <w:r w:rsidRPr="00991CFE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поступк</w:t>
      </w:r>
      <w:r w:rsidRPr="00991CFE">
        <w:rPr>
          <w:rFonts w:ascii="Times New Roman" w:eastAsia="Times New Roman" w:hAnsi="Times New Roman" w:cs="Times New Roman"/>
          <w:color w:val="auto"/>
          <w:sz w:val="24"/>
          <w:szCs w:val="24"/>
          <w:lang w:val="sr-Cyrl-RS" w:eastAsia="en-US"/>
        </w:rPr>
        <w:t>а</w:t>
      </w:r>
      <w:r w:rsidRPr="00991CFE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јавне набавке и разматрала </w:t>
      </w:r>
      <w:r w:rsidRPr="00991CFE">
        <w:rPr>
          <w:rFonts w:ascii="Times New Roman" w:eastAsia="Times New Roman" w:hAnsi="Times New Roman" w:cs="Times New Roman"/>
          <w:color w:val="auto"/>
          <w:sz w:val="24"/>
          <w:szCs w:val="24"/>
          <w:lang w:val="sr-Cyrl-RS" w:eastAsia="en-US"/>
        </w:rPr>
        <w:t>четири</w:t>
      </w:r>
      <w:r w:rsidRPr="00991CFE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извештаја грађанског надзорника достављена у датом периоду. </w:t>
      </w:r>
    </w:p>
    <w:p w14:paraId="42BC008F" w14:textId="77777777" w:rsidR="004F5F81" w:rsidRPr="003B44DC" w:rsidRDefault="004F5F81" w:rsidP="004F5F81">
      <w:pPr>
        <w:spacing w:after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</w:p>
    <w:p w14:paraId="416E4D1C" w14:textId="77777777" w:rsidR="004F5F81" w:rsidRPr="003B44DC" w:rsidRDefault="004F5F81" w:rsidP="004F5F81">
      <w:pPr>
        <w:spacing w:after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  <w:r w:rsidRPr="003B44DC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Извештаји о јавним набавкама у РС</w:t>
      </w:r>
    </w:p>
    <w:p w14:paraId="3F90F8DF" w14:textId="77777777" w:rsidR="004F5F81" w:rsidRPr="003B44DC" w:rsidRDefault="004F5F81" w:rsidP="004F5F81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61C596F6" w14:textId="77777777" w:rsidR="008A4CA6" w:rsidRPr="003B44DC" w:rsidRDefault="008A4CA6" w:rsidP="008A4CA6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3B44DC">
        <w:rPr>
          <w:rFonts w:ascii="Times New Roman" w:hAnsi="Times New Roman" w:cs="Times New Roman"/>
          <w:color w:val="auto"/>
          <w:sz w:val="24"/>
          <w:szCs w:val="24"/>
          <w:lang w:eastAsia="en-US"/>
        </w:rPr>
        <w:t>Чланом 133. ЗЈН прописано је да је УЈН дужна да на основу појединачних тромесечних извештаја наручилаца припреми полугодишњи и годишњи извештај о јавним набавкама у РС, да га достави Влади и објави на својој интернет страници. На основу тромесечних из</w:t>
      </w: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>вештаја наручилаца, у марту 2018</w:t>
      </w:r>
      <w:r w:rsidRPr="003B44DC">
        <w:rPr>
          <w:rFonts w:ascii="Times New Roman" w:hAnsi="Times New Roman" w:cs="Times New Roman"/>
          <w:color w:val="auto"/>
          <w:sz w:val="24"/>
          <w:szCs w:val="24"/>
          <w:lang w:eastAsia="en-US"/>
        </w:rPr>
        <w:t>. године урађен је и достављен Влади ради информисања Извештај</w:t>
      </w:r>
      <w:r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о јавним набавкама у РС за 2017</w:t>
      </w:r>
      <w:r w:rsidRPr="003B44DC">
        <w:rPr>
          <w:rFonts w:ascii="Times New Roman" w:hAnsi="Times New Roman" w:cs="Times New Roman"/>
          <w:color w:val="auto"/>
          <w:sz w:val="24"/>
          <w:szCs w:val="24"/>
          <w:lang w:eastAsia="en-US"/>
        </w:rPr>
        <w:t>. годину, са предлогом мера за унапређење система јавних набавки.</w:t>
      </w:r>
    </w:p>
    <w:p w14:paraId="33C846CC" w14:textId="60F3793B" w:rsidR="00B65D17" w:rsidRDefault="00B65D17" w:rsidP="004F5F81">
      <w:pPr>
        <w:rPr>
          <w:color w:val="auto"/>
        </w:rPr>
      </w:pPr>
    </w:p>
    <w:p w14:paraId="777EC058" w14:textId="77777777" w:rsidR="00B65D17" w:rsidRPr="003B44DC" w:rsidRDefault="00B65D17" w:rsidP="004F5F81">
      <w:pPr>
        <w:rPr>
          <w:color w:val="auto"/>
        </w:rPr>
      </w:pPr>
    </w:p>
    <w:p w14:paraId="0F1AEBD0" w14:textId="77777777" w:rsidR="004F5F81" w:rsidRPr="003B44DC" w:rsidRDefault="004F5F81" w:rsidP="004F5F81">
      <w:pPr>
        <w:spacing w:after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  <w:r w:rsidRPr="003B44DC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Међуинституционална сарадња </w:t>
      </w:r>
    </w:p>
    <w:p w14:paraId="16D5515F" w14:textId="55CA38CA" w:rsidR="004F5F81" w:rsidRDefault="004F5F81" w:rsidP="004F5F81">
      <w:pPr>
        <w:spacing w:after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</w:p>
    <w:p w14:paraId="5D26C613" w14:textId="77777777" w:rsidR="00C15A1F" w:rsidRPr="00C15A1F" w:rsidRDefault="00C15A1F" w:rsidP="00C15A1F">
      <w:pPr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C15A1F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Друштво за информатику Србије и Привредна комора Србије организовали су округли сто на тему „Употреба и сигурност отворених података“ на којем су учествовали и представици УЈН. Округли сто је одржан 28. марта 2018. године у Београду.</w:t>
      </w:r>
    </w:p>
    <w:p w14:paraId="434CDAA9" w14:textId="77777777" w:rsidR="00C15A1F" w:rsidRPr="00C15A1F" w:rsidRDefault="00C15A1F" w:rsidP="00C15A1F">
      <w:pPr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C15A1F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Представници УЈН су учествовала на консултативном састанку орагнизованом од стране Глобалне организације посланика за борбу против корупције (GOPAC), уз подршку UNDP 15-16. јуна 2018. године у Врднику. На консултавном састанак разматрана су искуства у примени закона релевантних органа и њихови годишњи извештаји. Осим представника УЈН, консултативном састанку су присуствовали и представници Државне ревизорске институције, Агенције за борбу против корупције и Републичке комисије за заштиту права у поступцима јавних набавки.</w:t>
      </w:r>
    </w:p>
    <w:p w14:paraId="49F17D4A" w14:textId="77777777" w:rsidR="00C15A1F" w:rsidRPr="003B44DC" w:rsidRDefault="00C15A1F" w:rsidP="004F5F81">
      <w:pPr>
        <w:spacing w:after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</w:p>
    <w:p w14:paraId="21ACEE86" w14:textId="77777777" w:rsidR="004F5F81" w:rsidRPr="003B44DC" w:rsidRDefault="004F5F81" w:rsidP="004F5F81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02475CA8" w14:textId="77777777" w:rsidR="004F5F81" w:rsidRPr="003B44DC" w:rsidRDefault="004F5F81" w:rsidP="004F5F81">
      <w:pPr>
        <w:spacing w:after="0"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</w:pPr>
      <w:r w:rsidRPr="003B44DC">
        <w:rPr>
          <w:rFonts w:ascii="Times New Roman" w:hAnsi="Times New Roman" w:cs="Times New Roman"/>
          <w:b/>
          <w:color w:val="auto"/>
          <w:sz w:val="24"/>
          <w:szCs w:val="24"/>
          <w:lang w:eastAsia="en-US"/>
        </w:rPr>
        <w:t>Међународна сарадња</w:t>
      </w:r>
    </w:p>
    <w:p w14:paraId="06BA4D13" w14:textId="77777777" w:rsidR="004F5F81" w:rsidRPr="003B44DC" w:rsidRDefault="004F5F81" w:rsidP="004F5F81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3759C529" w14:textId="77777777" w:rsidR="00755E2F" w:rsidRPr="00755E2F" w:rsidRDefault="00755E2F" w:rsidP="00755E2F">
      <w:pPr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755E2F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Представници УЈН учествовали су, у организацији Центра за европске политике и подршку Републике Словеније, на међународној конферецније „Размена искустава у отварању података јавног сектора“ која је одржана 28. фебруара 2018. године у Београду. Циљ конференције је била размена искустава и примера добре праксе првенствено Словеније и Србије, као и добијање нових идеја за отвореније и транспарентије податке у јавном сектору.</w:t>
      </w:r>
    </w:p>
    <w:p w14:paraId="09ED828D" w14:textId="77777777" w:rsidR="00755E2F" w:rsidRPr="00755E2F" w:rsidRDefault="00755E2F" w:rsidP="00755E2F">
      <w:pPr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755E2F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УЈН је учествовала на састанку Експертске групе за јавне набавке Европске комисије који је оджан 1. марта 2018. године у Бриселу. Неке од главних тема које су биле заступљене на састанку биле су професионализација, е – јавне набавке, иновативне и социјално одговорне набавке итд. </w:t>
      </w:r>
    </w:p>
    <w:p w14:paraId="77B607BA" w14:textId="77777777" w:rsidR="00755E2F" w:rsidRPr="00755E2F" w:rsidRDefault="00755E2F" w:rsidP="00755E2F">
      <w:pPr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755E2F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На конференцији „Отворена Влада и трошење јавних средстава“, која је одржана 25. априла 2018. године у Гдањску у Пољској, учестовао је и представник УЈН, као и други представници релевантних институција како са нивоа републике тако и локалне самоуправе и држава чланица ЕУ, који су разменили искуства и праксе у области отворених података и дигитализације. </w:t>
      </w:r>
    </w:p>
    <w:p w14:paraId="1D5366BB" w14:textId="77777777" w:rsidR="00755E2F" w:rsidRPr="00755E2F" w:rsidRDefault="00755E2F" w:rsidP="00755E2F">
      <w:pPr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755E2F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Представници УЈН учествовали су на радионици у вези са неопходним условима ЕУ у примени електронских јавних набавки и њиховом имплементацијом у Словенији. </w:t>
      </w:r>
      <w:r w:rsidRPr="00755E2F">
        <w:rPr>
          <w:rFonts w:ascii="Times New Roman" w:hAnsi="Times New Roman" w:cs="Times New Roman"/>
          <w:color w:val="auto"/>
          <w:sz w:val="24"/>
          <w:szCs w:val="24"/>
          <w:lang w:val="sr-Cyrl-RS"/>
        </w:rPr>
        <w:lastRenderedPageBreak/>
        <w:t>Радионица је одржана 26-27. априла 2018. године у Аранђеловцу. Представљен је правни оквир у овој области у Словенији, као и искуства у успостављању система електронских јавних набавки и његов даљи развој у Словенији.</w:t>
      </w:r>
    </w:p>
    <w:p w14:paraId="2398C6AA" w14:textId="77777777" w:rsidR="00755E2F" w:rsidRPr="00755E2F" w:rsidRDefault="00755E2F" w:rsidP="00755E2F">
      <w:pPr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755E2F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УЈН је учествовала на форуму „Набавке, интегритет, управљање и отвореност“ </w:t>
      </w:r>
      <w:r w:rsidRPr="00755E2F">
        <w:rPr>
          <w:rFonts w:ascii="Times New Roman" w:hAnsi="Times New Roman" w:cs="Times New Roman"/>
          <w:color w:val="auto"/>
          <w:sz w:val="24"/>
          <w:szCs w:val="24"/>
        </w:rPr>
        <w:t>(PRIMO)</w:t>
      </w:r>
      <w:r w:rsidRPr="00755E2F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одржаном у периоду од 8. до 10. маја 2018. године у Букурешту у Румунији. Главне теме овог форума биле су иновације у јавним набавкама и стратегија, као и размена искустава органа надлежних за јавне набавке у примени прописа из ове области. Такође, један од циљева овог форума била је и глобална сарадња и умрежавање надлежних органа у области јавних набавки.</w:t>
      </w:r>
    </w:p>
    <w:p w14:paraId="370A1A1C" w14:textId="77777777" w:rsidR="00755E2F" w:rsidRPr="00755E2F" w:rsidRDefault="00755E2F" w:rsidP="00755E2F">
      <w:pPr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755E2F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Први форум јавних набавки „Подстицање професионализације и конкуренције у јавним набавкама“ организован је од стране УЈН, уз подршку пројекта „Подршка даљем унапређењу система јавних набавки у Србији“ (</w:t>
      </w:r>
      <w:r w:rsidRPr="00755E2F">
        <w:rPr>
          <w:rFonts w:ascii="Times New Roman" w:hAnsi="Times New Roman" w:cs="Times New Roman"/>
          <w:color w:val="auto"/>
          <w:sz w:val="24"/>
          <w:szCs w:val="24"/>
        </w:rPr>
        <w:t xml:space="preserve">IPA </w:t>
      </w:r>
      <w:r w:rsidRPr="00755E2F">
        <w:rPr>
          <w:rFonts w:ascii="Times New Roman" w:hAnsi="Times New Roman" w:cs="Times New Roman"/>
          <w:color w:val="auto"/>
          <w:sz w:val="24"/>
          <w:szCs w:val="24"/>
          <w:lang w:val="sr-Cyrl-RS"/>
        </w:rPr>
        <w:t>2013)</w:t>
      </w:r>
      <w:r w:rsidRPr="00755E2F">
        <w:rPr>
          <w:rFonts w:ascii="Times New Roman" w:hAnsi="Times New Roman" w:cs="Times New Roman"/>
          <w:color w:val="auto"/>
          <w:sz w:val="24"/>
          <w:szCs w:val="24"/>
        </w:rPr>
        <w:t xml:space="preserve">, UNDP </w:t>
      </w:r>
      <w:r w:rsidRPr="00755E2F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и</w:t>
      </w:r>
      <w:r w:rsidRPr="00755E2F">
        <w:rPr>
          <w:rFonts w:ascii="Times New Roman" w:hAnsi="Times New Roman" w:cs="Times New Roman"/>
          <w:color w:val="auto"/>
          <w:sz w:val="24"/>
          <w:szCs w:val="24"/>
        </w:rPr>
        <w:t xml:space="preserve"> SIGMA</w:t>
      </w:r>
      <w:r w:rsidRPr="00755E2F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, у Београду 23-24. маја 2018. године. Главна тема дводневног форума била је унапређење рада службеника за јавне набавке, њихових капацитета, знања и способности, као охрабрење здравије конкуренције у поступцима јавних набавки. </w:t>
      </w:r>
    </w:p>
    <w:p w14:paraId="19988069" w14:textId="77777777" w:rsidR="00755E2F" w:rsidRPr="00755E2F" w:rsidRDefault="00755E2F" w:rsidP="00755E2F">
      <w:pPr>
        <w:jc w:val="both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755E2F">
        <w:rPr>
          <w:rFonts w:ascii="Times New Roman" w:hAnsi="Times New Roman" w:cs="Times New Roman"/>
          <w:color w:val="auto"/>
          <w:sz w:val="24"/>
          <w:szCs w:val="24"/>
          <w:lang w:val="sr-Cyrl-RS"/>
        </w:rPr>
        <w:t>Представници УЈН учествовали су на конференцији „</w:t>
      </w:r>
      <w:r w:rsidRPr="00755E2F">
        <w:rPr>
          <w:rFonts w:ascii="Times New Roman" w:hAnsi="Times New Roman" w:cs="Times New Roman"/>
          <w:color w:val="auto"/>
          <w:sz w:val="24"/>
          <w:szCs w:val="24"/>
        </w:rPr>
        <w:t>IPA</w:t>
      </w:r>
      <w:r w:rsidRPr="00755E2F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 регионална конференција о јавним набавкама“ која је одржана 13-14. јуна у Црној Гори, на којој је једна од главних тема била како прилагодити систем јавних набавки са међународном праксом.</w:t>
      </w:r>
    </w:p>
    <w:p w14:paraId="509D7B7C" w14:textId="77777777" w:rsidR="003D4775" w:rsidRDefault="003D4775" w:rsidP="003D4775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49732F1" w14:textId="77777777" w:rsidR="005A06C6" w:rsidRDefault="005A06C6">
      <w:pPr>
        <w:spacing w:after="0"/>
        <w:jc w:val="both"/>
        <w:rPr>
          <w:lang w:val="en-US"/>
        </w:rPr>
      </w:pPr>
    </w:p>
    <w:p w14:paraId="56E68538" w14:textId="77777777" w:rsidR="00B47E65" w:rsidRPr="00B47E65" w:rsidRDefault="00B47E65" w:rsidP="00B47E65">
      <w:pPr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47E65">
        <w:rPr>
          <w:rFonts w:ascii="Times New Roman" w:eastAsia="Times New Roman" w:hAnsi="Times New Roman" w:cs="Times New Roman"/>
          <w:b/>
          <w:sz w:val="24"/>
          <w:szCs w:val="24"/>
        </w:rPr>
        <w:t>XIII</w:t>
      </w:r>
      <w:r w:rsidRPr="00B47E6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B47E65">
        <w:rPr>
          <w:rFonts w:ascii="Times New Roman" w:eastAsia="Times New Roman" w:hAnsi="Times New Roman" w:cs="Times New Roman"/>
          <w:b/>
          <w:sz w:val="24"/>
          <w:szCs w:val="24"/>
        </w:rPr>
        <w:t xml:space="preserve">   ЗАКЉУЧЦИ И ПРЕПОРУКЕ </w:t>
      </w:r>
    </w:p>
    <w:p w14:paraId="6491A1B0" w14:textId="77777777" w:rsidR="00B47E65" w:rsidRPr="00B47E65" w:rsidRDefault="00B47E65" w:rsidP="00B47E6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0A3DDF" w14:textId="3D842CD5" w:rsidR="00E50135" w:rsidRDefault="00B47E65" w:rsidP="00E50135">
      <w:pPr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47E65">
        <w:rPr>
          <w:rFonts w:ascii="Times New Roman" w:eastAsia="Times New Roman" w:hAnsi="Times New Roman" w:cs="Times New Roman"/>
          <w:sz w:val="24"/>
          <w:szCs w:val="24"/>
        </w:rPr>
        <w:t>На основу анализе података о јавним на</w:t>
      </w:r>
      <w:r w:rsidR="00E50135">
        <w:rPr>
          <w:rFonts w:ascii="Times New Roman" w:eastAsia="Times New Roman" w:hAnsi="Times New Roman" w:cs="Times New Roman"/>
          <w:sz w:val="24"/>
          <w:szCs w:val="24"/>
        </w:rPr>
        <w:t xml:space="preserve">бавкама у првом </w:t>
      </w:r>
      <w:r w:rsidR="007B4857">
        <w:rPr>
          <w:rFonts w:ascii="Times New Roman" w:eastAsia="Times New Roman" w:hAnsi="Times New Roman" w:cs="Times New Roman"/>
          <w:sz w:val="24"/>
          <w:szCs w:val="24"/>
        </w:rPr>
        <w:t>полугодишту 2018</w:t>
      </w:r>
      <w:r w:rsidRPr="00B47E65">
        <w:rPr>
          <w:rFonts w:ascii="Times New Roman" w:eastAsia="Times New Roman" w:hAnsi="Times New Roman" w:cs="Times New Roman"/>
          <w:sz w:val="24"/>
          <w:szCs w:val="24"/>
        </w:rPr>
        <w:t xml:space="preserve">. године могу се извући следећи закључци: </w:t>
      </w:r>
    </w:p>
    <w:p w14:paraId="2DB2C111" w14:textId="77777777" w:rsidR="003E7CBC" w:rsidRDefault="00E50135" w:rsidP="003E7CBC">
      <w:pPr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50135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B4857">
        <w:rPr>
          <w:rFonts w:ascii="Times New Roman" w:eastAsia="Times New Roman" w:hAnsi="Times New Roman" w:cs="Times New Roman"/>
          <w:sz w:val="24"/>
          <w:szCs w:val="24"/>
        </w:rPr>
        <w:t xml:space="preserve">посматраном периоду </w:t>
      </w:r>
      <w:r w:rsidR="00FD0E49">
        <w:rPr>
          <w:rFonts w:ascii="Times New Roman" w:eastAsia="Times New Roman" w:hAnsi="Times New Roman" w:cs="Times New Roman"/>
          <w:sz w:val="24"/>
          <w:szCs w:val="24"/>
          <w:lang w:val="sr-Cyrl-RS"/>
        </w:rPr>
        <w:t>настављен је тренд</w:t>
      </w:r>
      <w:r w:rsidR="007B4857">
        <w:rPr>
          <w:rFonts w:ascii="Times New Roman" w:eastAsia="Times New Roman" w:hAnsi="Times New Roman" w:cs="Times New Roman"/>
          <w:sz w:val="24"/>
          <w:szCs w:val="24"/>
        </w:rPr>
        <w:t xml:space="preserve"> скраћења </w:t>
      </w:r>
      <w:r w:rsidRPr="00FD0E49">
        <w:rPr>
          <w:rFonts w:ascii="Times New Roman" w:eastAsia="Times New Roman" w:hAnsi="Times New Roman" w:cs="Times New Roman"/>
          <w:sz w:val="24"/>
          <w:szCs w:val="24"/>
        </w:rPr>
        <w:t>дужине трајања поступ</w:t>
      </w:r>
      <w:r w:rsidR="00FD0E49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FD0E49">
        <w:rPr>
          <w:rFonts w:ascii="Times New Roman" w:eastAsia="Times New Roman" w:hAnsi="Times New Roman" w:cs="Times New Roman"/>
          <w:sz w:val="24"/>
          <w:szCs w:val="24"/>
        </w:rPr>
        <w:t>ка</w:t>
      </w:r>
      <w:r w:rsidR="00FD0E4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јавних набавки. У исто време дошло је и до смањења </w:t>
      </w:r>
      <w:r w:rsidR="00FD0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0E49">
        <w:rPr>
          <w:rFonts w:ascii="Times New Roman" w:eastAsia="Times New Roman" w:hAnsi="Times New Roman" w:cs="Times New Roman"/>
          <w:sz w:val="24"/>
          <w:szCs w:val="24"/>
        </w:rPr>
        <w:t>учешћа обустављених поступака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 односу на исти период претходне године. </w:t>
      </w:r>
    </w:p>
    <w:p w14:paraId="5851F94C" w14:textId="696019BE" w:rsidR="003E7CBC" w:rsidRPr="003E7CBC" w:rsidRDefault="00B47E65" w:rsidP="003E7CBC">
      <w:pPr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D0E49">
        <w:rPr>
          <w:rFonts w:ascii="Times New Roman" w:eastAsia="Times New Roman" w:hAnsi="Times New Roman" w:cs="Times New Roman"/>
          <w:sz w:val="24"/>
          <w:szCs w:val="24"/>
        </w:rPr>
        <w:t>Интензитет конкуренције</w:t>
      </w:r>
      <w:r w:rsidR="007B4857">
        <w:rPr>
          <w:rFonts w:ascii="Times New Roman" w:eastAsia="Times New Roman" w:hAnsi="Times New Roman" w:cs="Times New Roman"/>
          <w:sz w:val="24"/>
          <w:szCs w:val="24"/>
        </w:rPr>
        <w:t xml:space="preserve"> је </w:t>
      </w:r>
      <w:r w:rsidR="00FD0E4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посматраном периоду </w:t>
      </w:r>
      <w:r w:rsidR="007B4857">
        <w:rPr>
          <w:rFonts w:ascii="Times New Roman" w:eastAsia="Times New Roman" w:hAnsi="Times New Roman" w:cs="Times New Roman"/>
          <w:sz w:val="24"/>
          <w:szCs w:val="24"/>
        </w:rPr>
        <w:t>смањен са 3 на 2,5 понуд</w:t>
      </w:r>
      <w:r w:rsidR="00FD0E49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FD0E49">
        <w:rPr>
          <w:rFonts w:ascii="Times New Roman" w:eastAsia="Times New Roman" w:hAnsi="Times New Roman" w:cs="Times New Roman"/>
          <w:sz w:val="24"/>
          <w:szCs w:val="24"/>
        </w:rPr>
        <w:t xml:space="preserve"> по поступку. </w:t>
      </w:r>
      <w:r w:rsidR="00E50135">
        <w:rPr>
          <w:rFonts w:ascii="Times New Roman" w:eastAsia="Times New Roman" w:hAnsi="Times New Roman" w:cs="Times New Roman"/>
          <w:sz w:val="24"/>
          <w:szCs w:val="24"/>
        </w:rPr>
        <w:t xml:space="preserve">У циљу повећања интензитета конкуренције, </w:t>
      </w:r>
      <w:r w:rsidR="00387E23" w:rsidRPr="00387E23">
        <w:rPr>
          <w:rFonts w:ascii="Times New Roman" w:eastAsia="Times New Roman" w:hAnsi="Times New Roman" w:cs="Times New Roman"/>
          <w:sz w:val="24"/>
          <w:szCs w:val="24"/>
          <w:lang w:val="sr-Cyrl-RS"/>
        </w:rPr>
        <w:t>у оквиру</w:t>
      </w:r>
      <w:r w:rsidR="00387E23" w:rsidRPr="00387E2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387E23" w:rsidRPr="00387E23">
        <w:rPr>
          <w:rFonts w:ascii="Times New Roman" w:eastAsia="Times New Roman" w:hAnsi="Times New Roman" w:cs="Times New Roman"/>
          <w:sz w:val="24"/>
          <w:szCs w:val="24"/>
          <w:lang w:val="sr-Latn-RS"/>
        </w:rPr>
        <w:t>ЕУ Пројекта подршке даљем унапређењ</w:t>
      </w:r>
      <w:r w:rsidR="00387E23" w:rsidRPr="00387E23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система јавних набавки у Србији</w:t>
      </w:r>
      <w:r w:rsidR="00387E23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387E23" w:rsidRPr="00387E2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B4857">
        <w:rPr>
          <w:rFonts w:ascii="Times New Roman" w:eastAsia="Times New Roman" w:hAnsi="Times New Roman" w:cs="Times New Roman"/>
          <w:sz w:val="24"/>
          <w:szCs w:val="24"/>
        </w:rPr>
        <w:t>ура</w:t>
      </w:r>
      <w:r w:rsidR="00387E23">
        <w:rPr>
          <w:rFonts w:ascii="Times New Roman" w:eastAsia="Times New Roman" w:hAnsi="Times New Roman" w:cs="Times New Roman"/>
          <w:sz w:val="24"/>
          <w:szCs w:val="24"/>
          <w:lang w:val="sr-Cyrl-RS"/>
        </w:rPr>
        <w:t>ђена је</w:t>
      </w:r>
      <w:r w:rsidR="00E50135">
        <w:rPr>
          <w:rFonts w:ascii="Times New Roman" w:eastAsia="Times New Roman" w:hAnsi="Times New Roman" w:cs="Times New Roman"/>
          <w:sz w:val="24"/>
          <w:szCs w:val="24"/>
        </w:rPr>
        <w:t xml:space="preserve"> анализа фактора који делуј</w:t>
      </w:r>
      <w:r w:rsidR="00207B68">
        <w:rPr>
          <w:rFonts w:ascii="Times New Roman" w:eastAsia="Times New Roman" w:hAnsi="Times New Roman" w:cs="Times New Roman"/>
          <w:sz w:val="24"/>
          <w:szCs w:val="24"/>
        </w:rPr>
        <w:t>у ограничавајуће на учешће понуђ</w:t>
      </w:r>
      <w:r w:rsidR="00E50135">
        <w:rPr>
          <w:rFonts w:ascii="Times New Roman" w:eastAsia="Times New Roman" w:hAnsi="Times New Roman" w:cs="Times New Roman"/>
          <w:sz w:val="24"/>
          <w:szCs w:val="24"/>
        </w:rPr>
        <w:t>ача у поступцима јавних набавки</w:t>
      </w:r>
      <w:r w:rsidR="00387E23">
        <w:rPr>
          <w:rFonts w:ascii="Times New Roman" w:eastAsia="Times New Roman" w:hAnsi="Times New Roman" w:cs="Times New Roman"/>
          <w:sz w:val="24"/>
          <w:szCs w:val="24"/>
          <w:lang w:val="sr-Cyrl-RS"/>
        </w:rPr>
        <w:t>. У складу са закључ</w:t>
      </w:r>
      <w:r w:rsidR="009624C3">
        <w:rPr>
          <w:rFonts w:ascii="Times New Roman" w:eastAsia="Times New Roman" w:hAnsi="Times New Roman" w:cs="Times New Roman"/>
          <w:sz w:val="24"/>
          <w:szCs w:val="24"/>
          <w:lang w:val="sr-Cyrl-RS"/>
        </w:rPr>
        <w:t>ц</w:t>
      </w:r>
      <w:r w:rsidR="00387E2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има ове анализе, у наредном периоду </w:t>
      </w:r>
      <w:r w:rsidR="00E12EDE">
        <w:rPr>
          <w:rFonts w:ascii="Times New Roman" w:eastAsia="Times New Roman" w:hAnsi="Times New Roman" w:cs="Times New Roman"/>
          <w:sz w:val="24"/>
          <w:szCs w:val="24"/>
          <w:lang w:val="sr-Cyrl-RS"/>
        </w:rPr>
        <w:t>биће предузете мере</w:t>
      </w:r>
      <w:r w:rsidR="003E7C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ка отклањању административних и других препрека које дестимулишу понуђаче да учествују у поступцима јавних набавки</w:t>
      </w:r>
      <w:r w:rsidR="00E12EDE">
        <w:rPr>
          <w:rFonts w:ascii="Times New Roman" w:eastAsia="Times New Roman" w:hAnsi="Times New Roman" w:cs="Times New Roman"/>
          <w:sz w:val="24"/>
          <w:szCs w:val="24"/>
          <w:lang w:val="sr-Cyrl-RS"/>
        </w:rPr>
        <w:t>. Као један од фактора који делује ограничавајуће на повећање интензитета конкуренције идентификовано је недовољно истраживање тржи</w:t>
      </w:r>
      <w:r w:rsidR="00124F0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шта од </w:t>
      </w:r>
      <w:r w:rsidR="00124F0F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стране наручилаца. У појединим случајевима наручиоци, услед недовољног познавања стања на тржишту, одређивањем услова за учешће у поступку и сачињавањем техничких спецификација предмета јавне набавке, сужавају круг потенцијалних понуђача.</w:t>
      </w:r>
      <w:r w:rsidR="003E7C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124F0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наредном периоду неопходно је промовисати препоруке садржане у </w:t>
      </w:r>
      <w:r w:rsidR="003E7CBC" w:rsidRPr="003E7CBC">
        <w:rPr>
          <w:rFonts w:ascii="Times New Roman" w:eastAsia="Times New Roman" w:hAnsi="Times New Roman" w:cs="Times New Roman"/>
          <w:sz w:val="24"/>
          <w:szCs w:val="24"/>
          <w:lang w:val="sr-Cyrl-RS"/>
        </w:rPr>
        <w:t>документ</w:t>
      </w:r>
      <w:r w:rsidR="003E7CBC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3E7CBC" w:rsidRPr="003E7C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под називом „Истраживање тржишта као инструмент за подстицање конкурентности“</w:t>
      </w:r>
      <w:r w:rsidR="003E7C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израђеном у оквиру </w:t>
      </w:r>
      <w:r w:rsidR="003E7CBC" w:rsidRPr="003E7CBC">
        <w:rPr>
          <w:rFonts w:ascii="Times New Roman" w:eastAsia="Times New Roman" w:hAnsi="Times New Roman" w:cs="Times New Roman"/>
          <w:sz w:val="24"/>
          <w:szCs w:val="24"/>
          <w:lang w:val="sr-Latn-RS"/>
        </w:rPr>
        <w:t>ЕУ Пројекта подршке даљем унапређењ</w:t>
      </w:r>
      <w:r w:rsidR="003E7CBC" w:rsidRPr="003E7CBC">
        <w:rPr>
          <w:rFonts w:ascii="Times New Roman" w:eastAsia="Times New Roman" w:hAnsi="Times New Roman" w:cs="Times New Roman"/>
          <w:sz w:val="24"/>
          <w:szCs w:val="24"/>
          <w:lang w:val="sr-Cyrl-RS"/>
        </w:rPr>
        <w:t>у система јавних набавки у Србији</w:t>
      </w:r>
      <w:r w:rsidR="003E7CBC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3E7CBC" w:rsidRPr="003E7CB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6AA70058" w14:textId="135A93DF" w:rsidR="009D5ACE" w:rsidRPr="009624C3" w:rsidRDefault="00207B68" w:rsidP="009D5ACE">
      <w:pPr>
        <w:ind w:left="-142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Број посета </w:t>
      </w:r>
      <w:r w:rsidRPr="009624C3">
        <w:rPr>
          <w:rFonts w:ascii="Times New Roman" w:hAnsi="Times New Roman" w:cs="Times New Roman"/>
          <w:sz w:val="24"/>
          <w:szCs w:val="24"/>
        </w:rPr>
        <w:t>Порталу јавних набавки</w:t>
      </w:r>
      <w:r>
        <w:rPr>
          <w:rFonts w:ascii="Times New Roman" w:hAnsi="Times New Roman" w:cs="Times New Roman"/>
          <w:sz w:val="24"/>
          <w:szCs w:val="24"/>
        </w:rPr>
        <w:t xml:space="preserve"> наставио је да расте што јасно указује на његов значај за наручиоце и понуђаче. </w:t>
      </w:r>
      <w:r w:rsidR="003E7CBC" w:rsidRPr="009624C3">
        <w:rPr>
          <w:rFonts w:ascii="Times New Roman" w:hAnsi="Times New Roman" w:cs="Times New Roman"/>
          <w:color w:val="auto"/>
          <w:sz w:val="24"/>
          <w:szCs w:val="24"/>
          <w:lang w:val="sr-Cyrl-RS"/>
        </w:rPr>
        <w:t xml:space="preserve">И у посматраном периоду, </w:t>
      </w:r>
      <w:r w:rsidR="009D5ACE" w:rsidRPr="009624C3">
        <w:rPr>
          <w:rFonts w:ascii="Times New Roman" w:eastAsia="Times New Roman" w:hAnsi="Times New Roman" w:cs="Times New Roman"/>
          <w:color w:val="auto"/>
          <w:sz w:val="24"/>
          <w:szCs w:val="24"/>
        </w:rPr>
        <w:t>УЈН</w:t>
      </w:r>
      <w:r w:rsidR="003E7CBC" w:rsidRPr="009624C3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 xml:space="preserve"> је</w:t>
      </w:r>
      <w:r w:rsidR="009D5ACE" w:rsidRPr="009624C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заједно са </w:t>
      </w:r>
      <w:r w:rsidR="009624C3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 w:rsidR="009624C3" w:rsidRPr="009624C3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 xml:space="preserve">другим институцијама </w:t>
      </w:r>
      <w:r w:rsidR="003E7CBC" w:rsidRPr="009624C3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>наставила у</w:t>
      </w:r>
      <w:r w:rsidR="009D5ACE" w:rsidRPr="009624C3">
        <w:rPr>
          <w:rFonts w:ascii="Times New Roman" w:eastAsia="Times New Roman" w:hAnsi="Times New Roman" w:cs="Times New Roman"/>
          <w:color w:val="auto"/>
          <w:sz w:val="24"/>
          <w:szCs w:val="24"/>
        </w:rPr>
        <w:t>че</w:t>
      </w:r>
      <w:r w:rsidR="003E7CBC" w:rsidRPr="009624C3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>шће</w:t>
      </w:r>
      <w:r w:rsidR="009D5ACE" w:rsidRPr="009624C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 реализацији пројекта “</w:t>
      </w:r>
      <w:r w:rsidR="009D5ACE" w:rsidRPr="009624C3">
        <w:rPr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Open data</w:t>
      </w:r>
      <w:r w:rsidR="009D5ACE" w:rsidRPr="009624C3">
        <w:rPr>
          <w:rFonts w:ascii="Times New Roman" w:eastAsia="Times New Roman" w:hAnsi="Times New Roman" w:cs="Times New Roman"/>
          <w:color w:val="auto"/>
          <w:sz w:val="24"/>
          <w:szCs w:val="24"/>
        </w:rPr>
        <w:t>”. УЈН је приступила пројекту са циљем да јавности омогући приступ подацима којима располаже у формату који је информатички читљив и обрадив. То значи да лица која су заинтересована за податке УЈН могу да их користе уз минимум информатичког знања. Подаци се налазе у CSV формату и објављују се на Порталу јавних набавки на дневном нивоу.</w:t>
      </w:r>
      <w:r w:rsidR="003E7CBC" w:rsidRPr="009624C3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 xml:space="preserve"> </w:t>
      </w:r>
    </w:p>
    <w:p w14:paraId="19798667" w14:textId="53A1F812" w:rsidR="002362FF" w:rsidRDefault="00B47E65" w:rsidP="002362FF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9624C3">
        <w:rPr>
          <w:rFonts w:ascii="Times New Roman" w:eastAsia="Times New Roman" w:hAnsi="Times New Roman" w:cs="Times New Roman"/>
          <w:sz w:val="24"/>
          <w:szCs w:val="24"/>
        </w:rPr>
        <w:t>Учешће преговарачког поступка без објављивања</w:t>
      </w:r>
      <w:r w:rsidRPr="00B47E65">
        <w:rPr>
          <w:rFonts w:ascii="Times New Roman" w:eastAsia="Times New Roman" w:hAnsi="Times New Roman" w:cs="Times New Roman"/>
          <w:sz w:val="24"/>
          <w:szCs w:val="24"/>
        </w:rPr>
        <w:t xml:space="preserve"> позива за подношење понуда износило је </w:t>
      </w:r>
      <w:r w:rsidRPr="009624C3">
        <w:rPr>
          <w:rFonts w:ascii="Times New Roman" w:eastAsia="Times New Roman" w:hAnsi="Times New Roman" w:cs="Times New Roman"/>
          <w:sz w:val="24"/>
          <w:szCs w:val="24"/>
        </w:rPr>
        <w:t>3%</w:t>
      </w:r>
      <w:r w:rsidRPr="00B47E65">
        <w:rPr>
          <w:rFonts w:ascii="Times New Roman" w:eastAsia="Times New Roman" w:hAnsi="Times New Roman" w:cs="Times New Roman"/>
          <w:sz w:val="24"/>
          <w:szCs w:val="24"/>
        </w:rPr>
        <w:t xml:space="preserve"> што је</w:t>
      </w:r>
      <w:r w:rsidR="0071250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наставак тренда</w:t>
      </w:r>
      <w:r w:rsidR="007125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250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започетог </w:t>
      </w:r>
      <w:r w:rsidR="00712500">
        <w:rPr>
          <w:rFonts w:ascii="Times New Roman" w:eastAsia="Times New Roman" w:hAnsi="Times New Roman" w:cs="Times New Roman"/>
          <w:sz w:val="24"/>
          <w:szCs w:val="24"/>
        </w:rPr>
        <w:t>2014</w:t>
      </w:r>
      <w:r w:rsidRPr="00B47E65">
        <w:rPr>
          <w:rFonts w:ascii="Times New Roman" w:eastAsia="Times New Roman" w:hAnsi="Times New Roman" w:cs="Times New Roman"/>
          <w:sz w:val="24"/>
          <w:szCs w:val="24"/>
        </w:rPr>
        <w:t xml:space="preserve">. године.  </w:t>
      </w:r>
    </w:p>
    <w:p w14:paraId="0CB1B822" w14:textId="6EACA07E" w:rsidR="00137E10" w:rsidRPr="003E7CBC" w:rsidRDefault="00207B68" w:rsidP="00137E10">
      <w:pPr>
        <w:ind w:left="-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349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  првом полугодишту 201</w:t>
      </w:r>
      <w:r w:rsidR="00EA33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8</w:t>
      </w:r>
      <w:r w:rsidRPr="003349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године УЈН је дала </w:t>
      </w:r>
      <w:r w:rsidR="00EA33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942</w:t>
      </w:r>
      <w:r w:rsidR="00631E0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позитивна и 53 негативна</w:t>
      </w:r>
      <w:r w:rsidRPr="003349E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мишљења за преговарачки поступак без објављивања позива за подношење понуда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CEAD16E" w14:textId="106BE10A" w:rsidR="00B47E65" w:rsidRPr="00CC7A36" w:rsidRDefault="00B47E65" w:rsidP="000813F3">
      <w:pPr>
        <w:ind w:left="-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404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Набавке на које се </w:t>
      </w:r>
      <w:r w:rsidR="00640496" w:rsidRPr="00640496">
        <w:rPr>
          <w:rFonts w:ascii="Times New Roman" w:hAnsi="Times New Roman" w:cs="Times New Roman"/>
          <w:color w:val="000000" w:themeColor="text1"/>
          <w:sz w:val="24"/>
          <w:szCs w:val="24"/>
        </w:rPr>
        <w:t>ЗЈН</w:t>
      </w:r>
      <w:r w:rsidR="00640496" w:rsidRPr="00B47E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404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није примењивао </w:t>
      </w:r>
      <w:r w:rsidRPr="00B47E65">
        <w:rPr>
          <w:rFonts w:ascii="Times New Roman" w:hAnsi="Times New Roman" w:cs="Times New Roman"/>
          <w:color w:val="000000" w:themeColor="text1"/>
          <w:sz w:val="24"/>
          <w:szCs w:val="24"/>
          <w:lang w:val="sr"/>
        </w:rPr>
        <w:t>учествовале су</w:t>
      </w:r>
      <w:r w:rsidRPr="00B47E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ук</w:t>
      </w:r>
      <w:r w:rsidR="00712500">
        <w:rPr>
          <w:rFonts w:ascii="Times New Roman" w:hAnsi="Times New Roman" w:cs="Times New Roman"/>
          <w:color w:val="000000" w:themeColor="text1"/>
          <w:sz w:val="24"/>
          <w:szCs w:val="24"/>
        </w:rPr>
        <w:t>упној уговореној вредности са 28%</w:t>
      </w:r>
      <w:r w:rsidR="0064049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7125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што </w:t>
      </w:r>
      <w:r w:rsidR="0064049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представља смањење у односу на </w:t>
      </w:r>
      <w:r w:rsidR="00640496">
        <w:rPr>
          <w:rFonts w:ascii="Times New Roman" w:hAnsi="Times New Roman" w:cs="Times New Roman"/>
          <w:color w:val="000000" w:themeColor="text1"/>
          <w:sz w:val="24"/>
          <w:szCs w:val="24"/>
        </w:rPr>
        <w:t>ниво</w:t>
      </w:r>
      <w:r w:rsidR="009D5A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претходне године. </w:t>
      </w:r>
      <w:r w:rsidRPr="00B47E65">
        <w:rPr>
          <w:rFonts w:ascii="Times New Roman" w:eastAsia="Times New Roman" w:hAnsi="Times New Roman" w:cs="Times New Roman"/>
          <w:sz w:val="24"/>
          <w:szCs w:val="24"/>
        </w:rPr>
        <w:t xml:space="preserve">УЈН ће </w:t>
      </w:r>
      <w:r w:rsidR="00640496">
        <w:rPr>
          <w:rFonts w:ascii="Times New Roman" w:eastAsia="Times New Roman" w:hAnsi="Times New Roman" w:cs="Times New Roman"/>
          <w:sz w:val="24"/>
          <w:szCs w:val="24"/>
          <w:lang w:val="sr-Cyrl-RS"/>
        </w:rPr>
        <w:t>и у</w:t>
      </w:r>
      <w:r w:rsidR="00640496">
        <w:rPr>
          <w:rFonts w:ascii="Times New Roman" w:eastAsia="Times New Roman" w:hAnsi="Times New Roman" w:cs="Times New Roman"/>
          <w:sz w:val="24"/>
          <w:szCs w:val="24"/>
        </w:rPr>
        <w:t xml:space="preserve"> наредном периоду </w:t>
      </w:r>
      <w:r w:rsidRPr="00B47E65">
        <w:rPr>
          <w:rFonts w:ascii="Times New Roman" w:eastAsia="Times New Roman" w:hAnsi="Times New Roman" w:cs="Times New Roman"/>
          <w:sz w:val="24"/>
          <w:szCs w:val="24"/>
        </w:rPr>
        <w:t>наставити да прати основаност примене изузетака</w:t>
      </w:r>
      <w:r w:rsidR="00640496">
        <w:rPr>
          <w:rFonts w:ascii="Times New Roman" w:eastAsia="Times New Roman" w:hAnsi="Times New Roman" w:cs="Times New Roman"/>
          <w:sz w:val="24"/>
          <w:szCs w:val="24"/>
          <w:lang w:val="sr-Cyrl-RS"/>
        </w:rPr>
        <w:t>. Како и код ових</w:t>
      </w:r>
      <w:r w:rsidRPr="00B47E65">
        <w:rPr>
          <w:rFonts w:ascii="Times New Roman" w:eastAsia="Times New Roman" w:hAnsi="Times New Roman" w:cs="Times New Roman"/>
          <w:sz w:val="24"/>
          <w:szCs w:val="24"/>
        </w:rPr>
        <w:t xml:space="preserve"> набавки</w:t>
      </w:r>
      <w:r w:rsidR="006404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наручиоци имају обавезу да</w:t>
      </w:r>
      <w:r w:rsidRPr="00B47E65">
        <w:rPr>
          <w:rFonts w:ascii="Times New Roman" w:eastAsia="Times New Roman" w:hAnsi="Times New Roman" w:cs="Times New Roman"/>
          <w:sz w:val="24"/>
          <w:szCs w:val="24"/>
        </w:rPr>
        <w:t xml:space="preserve"> обезбеде примену основних начела јавних набавки</w:t>
      </w:r>
      <w:r w:rsidR="00640496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640496" w:rsidRPr="006404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6404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потребно је обезбедити ефикасну контролу </w:t>
      </w:r>
      <w:r w:rsidR="00CC7A36">
        <w:rPr>
          <w:rFonts w:ascii="Times New Roman" w:eastAsia="Times New Roman" w:hAnsi="Times New Roman" w:cs="Times New Roman"/>
          <w:sz w:val="24"/>
          <w:szCs w:val="24"/>
          <w:lang w:val="sr-Cyrl-RS"/>
        </w:rPr>
        <w:t>њиховог спровођења,</w:t>
      </w:r>
      <w:r w:rsidR="0064049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коју ће бити </w:t>
      </w:r>
      <w:r w:rsidRPr="00B47E65">
        <w:rPr>
          <w:rFonts w:ascii="Times New Roman" w:eastAsia="Times New Roman" w:hAnsi="Times New Roman" w:cs="Times New Roman"/>
          <w:sz w:val="24"/>
          <w:szCs w:val="24"/>
        </w:rPr>
        <w:t>укључ</w:t>
      </w:r>
      <w:r w:rsidR="00CC7A36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640496">
        <w:rPr>
          <w:rFonts w:ascii="Times New Roman" w:eastAsia="Times New Roman" w:hAnsi="Times New Roman" w:cs="Times New Roman"/>
          <w:sz w:val="24"/>
          <w:szCs w:val="24"/>
          <w:lang w:val="sr-Cyrl-RS"/>
        </w:rPr>
        <w:t>не</w:t>
      </w:r>
      <w:r w:rsidRPr="00B47E65">
        <w:rPr>
          <w:rFonts w:ascii="Times New Roman" w:eastAsia="Times New Roman" w:hAnsi="Times New Roman" w:cs="Times New Roman"/>
          <w:sz w:val="24"/>
          <w:szCs w:val="24"/>
        </w:rPr>
        <w:t xml:space="preserve"> и остале надлежне институције. </w:t>
      </w:r>
    </w:p>
    <w:p w14:paraId="4E8E69B7" w14:textId="5E85BB3D" w:rsidR="000541BF" w:rsidRDefault="00B47E65" w:rsidP="000541BF">
      <w:pPr>
        <w:ind w:left="-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47E6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 </w:t>
      </w:r>
      <w:r w:rsidR="006404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посматраном периоду </w:t>
      </w:r>
      <w:r w:rsidR="009D5A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настављен је </w:t>
      </w:r>
      <w:r w:rsidR="006404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тренд </w:t>
      </w:r>
      <w:r w:rsidR="009D5ACE" w:rsidRPr="009624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раст</w:t>
      </w:r>
      <w:r w:rsidR="009624C3" w:rsidRPr="009624C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="009D5ACE" w:rsidRPr="009624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примене </w:t>
      </w:r>
      <w:r w:rsidRPr="009624C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оквирних споразума.</w:t>
      </w:r>
      <w:r w:rsidRPr="00B47E6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04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току првог полугодишта 2018. године </w:t>
      </w:r>
      <w:r w:rsidR="00640496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>н</w:t>
      </w:r>
      <w:r w:rsidR="00B57D55">
        <w:rPr>
          <w:rFonts w:ascii="Times New Roman" w:eastAsia="Times New Roman" w:hAnsi="Times New Roman" w:cs="Times New Roman"/>
          <w:color w:val="auto"/>
          <w:sz w:val="24"/>
          <w:szCs w:val="24"/>
        </w:rPr>
        <w:t>а основу оквирних споразума</w:t>
      </w:r>
      <w:r w:rsidR="00B57D55" w:rsidRPr="00C64F3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закључено је</w:t>
      </w:r>
      <w:r w:rsidR="00B57D55" w:rsidRPr="00C64F38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</w:t>
      </w:r>
      <w:r w:rsidR="00B57D55">
        <w:rPr>
          <w:rFonts w:ascii="Times New Roman" w:eastAsia="Times New Roman" w:hAnsi="Times New Roman" w:cs="Times New Roman"/>
          <w:color w:val="auto"/>
          <w:sz w:val="24"/>
          <w:szCs w:val="24"/>
        </w:rPr>
        <w:t>преко</w:t>
      </w:r>
      <w:r w:rsidR="0077128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петнаест</w:t>
      </w:r>
      <w:r w:rsidR="00B57D55" w:rsidRPr="00C64F3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хиљада уговора</w:t>
      </w:r>
      <w:r w:rsidR="00172594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 xml:space="preserve">. Вредност ових уговора је за </w:t>
      </w:r>
      <w:r w:rsidR="00B57D55" w:rsidRPr="00C64F3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17259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32% већа </w:t>
      </w:r>
      <w:r w:rsidR="00172594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>у односу на вредност уговора закључених у истом периоду претходне године.</w:t>
      </w:r>
      <w:r w:rsidR="0089536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172594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>Томе је свакако допринело промовисање употребе оквирних споразума</w:t>
      </w:r>
      <w:r w:rsidR="00CC7A36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 xml:space="preserve"> и модела конкурсних документација израђених за поједине предмете јавних набавки. </w:t>
      </w:r>
      <w:r w:rsidR="00172594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 xml:space="preserve">Као и у претходном периоду </w:t>
      </w:r>
      <w:r w:rsidR="00B57D55">
        <w:rPr>
          <w:rFonts w:ascii="Times New Roman" w:eastAsia="Times New Roman" w:hAnsi="Times New Roman" w:cs="Times New Roman"/>
          <w:color w:val="auto"/>
          <w:sz w:val="24"/>
          <w:szCs w:val="24"/>
        </w:rPr>
        <w:t>н</w:t>
      </w:r>
      <w:r w:rsidR="00B57D55"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ајзаступљенији предмети </w:t>
      </w:r>
      <w:r w:rsidR="00172594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 xml:space="preserve">јавних </w:t>
      </w:r>
      <w:r w:rsidR="00B57D55"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набавки </w:t>
      </w:r>
      <w:r w:rsidR="00172594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 xml:space="preserve">за које су закључени </w:t>
      </w:r>
      <w:r w:rsidR="00172594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оквирни споразуми </w:t>
      </w:r>
      <w:r w:rsidR="00B57D55"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>били су</w:t>
      </w:r>
      <w:r w:rsidR="00B57D55">
        <w:rPr>
          <w:rFonts w:ascii="Times New Roman" w:eastAsia="Times New Roman" w:hAnsi="Times New Roman" w:cs="Times New Roman"/>
          <w:color w:val="auto"/>
          <w:sz w:val="24"/>
          <w:szCs w:val="24"/>
        </w:rPr>
        <w:t>:</w:t>
      </w:r>
      <w:r w:rsidR="00B57D55" w:rsidRPr="00620AB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медицинска опрема, фармацеутски производи</w:t>
      </w:r>
      <w:r w:rsidR="00B57D5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и производи за ли</w:t>
      </w:r>
      <w:r w:rsidR="00BF44C5">
        <w:rPr>
          <w:rFonts w:ascii="Times New Roman" w:eastAsia="Times New Roman" w:hAnsi="Times New Roman" w:cs="Times New Roman"/>
          <w:color w:val="auto"/>
          <w:sz w:val="24"/>
          <w:szCs w:val="24"/>
        </w:rPr>
        <w:t>чну негу</w:t>
      </w:r>
      <w:r w:rsidR="00172594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>,</w:t>
      </w:r>
      <w:r w:rsidR="00BF44C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који су чинили 40%</w:t>
      </w:r>
      <w:r w:rsidR="00B57D55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вредности уговора закључених на основу оквирних споразума. </w:t>
      </w:r>
    </w:p>
    <w:p w14:paraId="15401507" w14:textId="08C0F428" w:rsidR="004B4E30" w:rsidRPr="00CC7A36" w:rsidRDefault="00172594" w:rsidP="00CC7A36">
      <w:pPr>
        <w:ind w:left="-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Имајући у виду да о</w:t>
      </w:r>
      <w:r w:rsidR="00B960E8" w:rsidRPr="00B47E65">
        <w:rPr>
          <w:rFonts w:ascii="Times New Roman" w:eastAsia="Times New Roman" w:hAnsi="Times New Roman" w:cs="Times New Roman"/>
          <w:sz w:val="24"/>
          <w:szCs w:val="24"/>
        </w:rPr>
        <w:t>квирни споразуми имају низ поте</w:t>
      </w:r>
      <w:r w:rsidR="00B960E8">
        <w:rPr>
          <w:rFonts w:ascii="Times New Roman" w:eastAsia="Times New Roman" w:hAnsi="Times New Roman" w:cs="Times New Roman"/>
          <w:sz w:val="24"/>
          <w:szCs w:val="24"/>
        </w:rPr>
        <w:t>нцијалних позитивних ефеката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B96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44C5">
        <w:rPr>
          <w:rFonts w:ascii="Times New Roman" w:eastAsia="Times New Roman" w:hAnsi="Times New Roman" w:cs="Times New Roman"/>
          <w:sz w:val="24"/>
          <w:szCs w:val="24"/>
        </w:rPr>
        <w:t>УЈН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ће и</w:t>
      </w:r>
      <w:r w:rsidR="00BF44C5">
        <w:rPr>
          <w:rFonts w:ascii="Times New Roman" w:eastAsia="Times New Roman" w:hAnsi="Times New Roman" w:cs="Times New Roman"/>
          <w:sz w:val="24"/>
          <w:szCs w:val="24"/>
        </w:rPr>
        <w:t xml:space="preserve"> у 2019</w:t>
      </w:r>
      <w:r w:rsidR="00B960E8">
        <w:rPr>
          <w:rFonts w:ascii="Times New Roman" w:eastAsia="Times New Roman" w:hAnsi="Times New Roman" w:cs="Times New Roman"/>
          <w:sz w:val="24"/>
          <w:szCs w:val="24"/>
        </w:rPr>
        <w:t xml:space="preserve">. години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предузимати активности у циљу свеобухватнијег упознавања наручилаца са </w:t>
      </w:r>
      <w:r w:rsidR="00B96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могућностима примене оквирних споразума</w:t>
      </w:r>
      <w:r w:rsidR="00B960E8">
        <w:rPr>
          <w:rFonts w:ascii="Times New Roman" w:eastAsia="Times New Roman" w:hAnsi="Times New Roman" w:cs="Times New Roman"/>
          <w:sz w:val="24"/>
          <w:szCs w:val="24"/>
        </w:rPr>
        <w:t>.</w:t>
      </w:r>
      <w:r w:rsidR="00B960E8" w:rsidRPr="00B47E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7A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обукама које УЈН буде </w:t>
      </w:r>
      <w:r w:rsidR="00CC7A36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организовала биће обухваћена и питања која се тичу унапређења праксе примене оквирних споразума. </w:t>
      </w:r>
    </w:p>
    <w:p w14:paraId="5B5457BA" w14:textId="68D78D6C" w:rsidR="005F6A09" w:rsidRDefault="00CC7A36" w:rsidP="005F6A09">
      <w:pPr>
        <w:spacing w:after="0"/>
        <w:ind w:left="-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"/>
        </w:rPr>
      </w:pPr>
      <w:r w:rsidRPr="00CC7A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Примена критеријума </w:t>
      </w:r>
      <w:r w:rsidR="00B47E65" w:rsidRPr="00CC7A36">
        <w:rPr>
          <w:rFonts w:ascii="Times New Roman" w:eastAsia="Times New Roman" w:hAnsi="Times New Roman" w:cs="Times New Roman"/>
          <w:sz w:val="24"/>
          <w:szCs w:val="24"/>
        </w:rPr>
        <w:t>економски најповољније понуде (ЕНП)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забележила је незнатан раст у односу на исти период претходне године. У првом полугодишту 2018. године овај  критеријум коришћен је у </w:t>
      </w:r>
      <w:r w:rsidR="00BF44C5">
        <w:rPr>
          <w:rFonts w:ascii="Times New Roman" w:eastAsia="Times New Roman" w:hAnsi="Times New Roman" w:cs="Times New Roman"/>
          <w:sz w:val="24"/>
          <w:szCs w:val="24"/>
        </w:rPr>
        <w:t>13</w:t>
      </w:r>
      <w:r w:rsidR="00B47E65" w:rsidRPr="00B47E65">
        <w:rPr>
          <w:rFonts w:ascii="Times New Roman" w:eastAsia="Times New Roman" w:hAnsi="Times New Roman" w:cs="Times New Roman"/>
          <w:sz w:val="24"/>
          <w:szCs w:val="24"/>
        </w:rPr>
        <w:t>% јавних набавки</w:t>
      </w:r>
      <w:r w:rsidR="000541BF">
        <w:rPr>
          <w:rFonts w:ascii="Times New Roman" w:eastAsia="Times New Roman" w:hAnsi="Times New Roman" w:cs="Times New Roman"/>
          <w:sz w:val="24"/>
          <w:szCs w:val="24"/>
          <w:lang w:val="s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Како је досадашња пракса показала да је критеријум економски најповољније понуде погоднији код сложени</w:t>
      </w:r>
      <w:r w:rsidR="00BB6E3C">
        <w:rPr>
          <w:rFonts w:ascii="Times New Roman" w:eastAsia="Times New Roman" w:hAnsi="Times New Roman" w:cs="Times New Roman"/>
          <w:sz w:val="24"/>
          <w:szCs w:val="24"/>
          <w:lang w:val="sr-Cyrl-RS"/>
        </w:rPr>
        <w:t>ји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х набавки, као и код набавки код кој</w:t>
      </w:r>
      <w:r w:rsidR="00BB6E3C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х је неопходно узети у обзир и квалитативне карактеристике предмета набавк</w:t>
      </w:r>
      <w:r w:rsidR="00BB6E3C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BB6E3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УЈН ће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наредном периоду </w:t>
      </w:r>
      <w:r w:rsidR="00BB6E3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наставити са промовисањем израђених модела конкурсних документација у којима се користи критеријум ЕНП. </w:t>
      </w:r>
    </w:p>
    <w:p w14:paraId="4D96A660" w14:textId="2298A06E" w:rsidR="009F0D79" w:rsidRDefault="009F0D79" w:rsidP="00BB6E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5B619A" w14:textId="0474392A" w:rsidR="003319C6" w:rsidRDefault="00BB6E3C" w:rsidP="003319C6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предстојећем периоду </w:t>
      </w:r>
      <w:r w:rsidR="000541BF">
        <w:rPr>
          <w:rFonts w:ascii="Times New Roman" w:eastAsia="Times New Roman" w:hAnsi="Times New Roman" w:cs="Times New Roman"/>
          <w:sz w:val="24"/>
          <w:szCs w:val="24"/>
          <w:lang w:val="sr"/>
        </w:rPr>
        <w:t xml:space="preserve">пажња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ће бити усмерена и на промовисање тзв.</w:t>
      </w:r>
      <w:r>
        <w:rPr>
          <w:rFonts w:ascii="Times New Roman" w:eastAsia="Times New Roman" w:hAnsi="Times New Roman" w:cs="Times New Roman"/>
          <w:sz w:val="24"/>
          <w:szCs w:val="24"/>
          <w:lang w:val="sr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зелених набавки“</w:t>
      </w:r>
      <w:r w:rsidR="000541BF">
        <w:rPr>
          <w:rFonts w:ascii="Times New Roman" w:eastAsia="Times New Roman" w:hAnsi="Times New Roman" w:cs="Times New Roman"/>
          <w:sz w:val="24"/>
          <w:szCs w:val="24"/>
          <w:lang w:val="sr"/>
        </w:rPr>
        <w:t xml:space="preserve"> које у обзир узимају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еколошке аспекте набавки и које посматрано на дужи рок, узимају у обзир и трошкове које </w:t>
      </w:r>
      <w:r w:rsidR="000541BF">
        <w:rPr>
          <w:rFonts w:ascii="Times New Roman" w:eastAsia="Times New Roman" w:hAnsi="Times New Roman" w:cs="Times New Roman"/>
          <w:sz w:val="24"/>
          <w:szCs w:val="24"/>
          <w:lang w:val="sr"/>
        </w:rPr>
        <w:t>по том основу сноси друштво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целини</w:t>
      </w:r>
      <w:r w:rsidR="000541BF">
        <w:rPr>
          <w:rFonts w:ascii="Times New Roman" w:eastAsia="Times New Roman" w:hAnsi="Times New Roman" w:cs="Times New Roman"/>
          <w:sz w:val="24"/>
          <w:szCs w:val="24"/>
          <w:lang w:val="s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Такође, предузеће се активности у циљу промовисања употребе „иновативних набавки“</w:t>
      </w:r>
      <w:r w:rsidR="000541BF">
        <w:rPr>
          <w:rFonts w:ascii="Times New Roman" w:eastAsia="Times New Roman" w:hAnsi="Times New Roman" w:cs="Times New Roman"/>
          <w:sz w:val="24"/>
          <w:szCs w:val="24"/>
          <w:lang w:val="sr"/>
        </w:rPr>
        <w:t xml:space="preserve"> </w:t>
      </w:r>
      <w:r w:rsidRPr="009624C3">
        <w:rPr>
          <w:rFonts w:ascii="Times New Roman" w:eastAsia="Times New Roman" w:hAnsi="Times New Roman" w:cs="Times New Roman"/>
          <w:sz w:val="24"/>
          <w:szCs w:val="24"/>
          <w:lang w:val="sr-Cyrl-RS"/>
        </w:rPr>
        <w:t>као једног од инструмената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0541BF">
        <w:rPr>
          <w:rFonts w:ascii="Times New Roman" w:eastAsia="Times New Roman" w:hAnsi="Times New Roman" w:cs="Times New Roman"/>
          <w:sz w:val="24"/>
          <w:szCs w:val="24"/>
          <w:lang w:val="sr"/>
        </w:rPr>
        <w:t xml:space="preserve"> кој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0541BF">
        <w:rPr>
          <w:rFonts w:ascii="Times New Roman" w:eastAsia="Times New Roman" w:hAnsi="Times New Roman" w:cs="Times New Roman"/>
          <w:sz w:val="24"/>
          <w:szCs w:val="24"/>
          <w:lang w:val="sr"/>
        </w:rPr>
        <w:t xml:space="preserve"> подстичу иновације </w:t>
      </w:r>
      <w:r w:rsidR="009624C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0541BF">
        <w:rPr>
          <w:rFonts w:ascii="Times New Roman" w:eastAsia="Times New Roman" w:hAnsi="Times New Roman" w:cs="Times New Roman"/>
          <w:sz w:val="24"/>
          <w:szCs w:val="24"/>
          <w:lang w:val="sr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приносе развоју читаве заједнице</w:t>
      </w:r>
      <w:r w:rsidR="000541BF">
        <w:rPr>
          <w:rFonts w:ascii="Times New Roman" w:eastAsia="Times New Roman" w:hAnsi="Times New Roman" w:cs="Times New Roman"/>
          <w:sz w:val="24"/>
          <w:szCs w:val="24"/>
          <w:lang w:val="sr"/>
        </w:rPr>
        <w:t xml:space="preserve">. </w:t>
      </w:r>
    </w:p>
    <w:p w14:paraId="4DD5783C" w14:textId="77777777" w:rsidR="003319C6" w:rsidRDefault="003319C6" w:rsidP="003319C6">
      <w:pPr>
        <w:spacing w:after="0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464D46" w14:textId="77777777" w:rsidR="00B47E65" w:rsidRPr="00B47E65" w:rsidRDefault="00B47E65">
      <w:pPr>
        <w:spacing w:after="0"/>
        <w:jc w:val="both"/>
        <w:rPr>
          <w:lang w:val="en-US"/>
        </w:rPr>
      </w:pPr>
    </w:p>
    <w:sectPr w:rsidR="00B47E65" w:rsidRPr="00B47E65" w:rsidSect="00F60903">
      <w:footerReference w:type="default" r:id="rId27"/>
      <w:pgSz w:w="11906" w:h="16838" w:code="9"/>
      <w:pgMar w:top="1440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3885B" w14:textId="77777777" w:rsidR="00F222D5" w:rsidRDefault="00F222D5">
      <w:pPr>
        <w:spacing w:after="0" w:line="240" w:lineRule="auto"/>
      </w:pPr>
      <w:r>
        <w:separator/>
      </w:r>
    </w:p>
  </w:endnote>
  <w:endnote w:type="continuationSeparator" w:id="0">
    <w:p w14:paraId="2DDE7871" w14:textId="77777777" w:rsidR="00F222D5" w:rsidRDefault="00F22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NewRomanPSMT">
    <w:altName w:val="Times New Roman"/>
    <w:charset w:val="EE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5092F" w14:textId="086C3D91" w:rsidR="00FD0E49" w:rsidRDefault="00FD0E49">
    <w:pPr>
      <w:tabs>
        <w:tab w:val="center" w:pos="4536"/>
        <w:tab w:val="right" w:pos="9072"/>
      </w:tabs>
      <w:spacing w:after="708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827F6D">
      <w:rPr>
        <w:noProof/>
      </w:rPr>
      <w:t>28</w:t>
    </w:r>
    <w:r>
      <w:fldChar w:fldCharType="end"/>
    </w:r>
  </w:p>
  <w:p w14:paraId="5FEE3AEC" w14:textId="77777777" w:rsidR="00FD0E49" w:rsidRDefault="00FD0E49">
    <w:pPr>
      <w:tabs>
        <w:tab w:val="center" w:pos="4536"/>
        <w:tab w:val="right" w:pos="9072"/>
      </w:tabs>
      <w:spacing w:after="708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0A15B" w14:textId="77777777" w:rsidR="00F222D5" w:rsidRDefault="00F222D5">
      <w:pPr>
        <w:spacing w:after="0" w:line="240" w:lineRule="auto"/>
      </w:pPr>
      <w:r>
        <w:separator/>
      </w:r>
    </w:p>
  </w:footnote>
  <w:footnote w:type="continuationSeparator" w:id="0">
    <w:p w14:paraId="6A4259D0" w14:textId="77777777" w:rsidR="00F222D5" w:rsidRDefault="00F222D5">
      <w:pPr>
        <w:spacing w:after="0" w:line="240" w:lineRule="auto"/>
      </w:pPr>
      <w:r>
        <w:continuationSeparator/>
      </w:r>
    </w:p>
  </w:footnote>
  <w:footnote w:id="1">
    <w:p w14:paraId="29D1DBE3" w14:textId="5E8246E4" w:rsidR="00FD0E49" w:rsidRPr="006D2DE7" w:rsidRDefault="00FD0E49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Процена Републичког завода за статистику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33165"/>
    <w:multiLevelType w:val="hybridMultilevel"/>
    <w:tmpl w:val="92FA1AA2"/>
    <w:lvl w:ilvl="0" w:tplc="FAA2B9C0">
      <w:start w:val="2015"/>
      <w:numFmt w:val="bullet"/>
      <w:lvlText w:val=""/>
      <w:lvlJc w:val="left"/>
      <w:pPr>
        <w:ind w:left="1050" w:hanging="360"/>
      </w:pPr>
      <w:rPr>
        <w:rFonts w:ascii="Symbol" w:eastAsia="Calibri" w:hAnsi="Symbol" w:cs="Calibri" w:hint="default"/>
      </w:rPr>
    </w:lvl>
    <w:lvl w:ilvl="1" w:tplc="241A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 w15:restartNumberingAfterBreak="0">
    <w:nsid w:val="086548B4"/>
    <w:multiLevelType w:val="hybridMultilevel"/>
    <w:tmpl w:val="72A0C438"/>
    <w:lvl w:ilvl="0" w:tplc="0E2CF3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B41E0"/>
    <w:multiLevelType w:val="multilevel"/>
    <w:tmpl w:val="BC7EBE0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 w15:restartNumberingAfterBreak="0">
    <w:nsid w:val="09FA5BB5"/>
    <w:multiLevelType w:val="hybridMultilevel"/>
    <w:tmpl w:val="60A62486"/>
    <w:lvl w:ilvl="0" w:tplc="67C4403A">
      <w:start w:val="18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0D9C423B"/>
    <w:multiLevelType w:val="multilevel"/>
    <w:tmpl w:val="49C2FA5C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 w15:restartNumberingAfterBreak="0">
    <w:nsid w:val="11AE60D8"/>
    <w:multiLevelType w:val="multilevel"/>
    <w:tmpl w:val="34E0DB04"/>
    <w:lvl w:ilvl="0">
      <w:start w:val="1"/>
      <w:numFmt w:val="decimal"/>
      <w:lvlText w:val="%1."/>
      <w:lvlJc w:val="left"/>
      <w:pPr>
        <w:ind w:left="1080" w:firstLine="720"/>
      </w:pPr>
    </w:lvl>
    <w:lvl w:ilvl="1">
      <w:start w:val="1"/>
      <w:numFmt w:val="lowerLetter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6" w15:restartNumberingAfterBreak="0">
    <w:nsid w:val="12DD4C51"/>
    <w:multiLevelType w:val="multilevel"/>
    <w:tmpl w:val="28AEFD22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 w15:restartNumberingAfterBreak="0">
    <w:nsid w:val="1DC3797A"/>
    <w:multiLevelType w:val="hybridMultilevel"/>
    <w:tmpl w:val="3A5672F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46D07"/>
    <w:multiLevelType w:val="multilevel"/>
    <w:tmpl w:val="CB7E56A4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9" w15:restartNumberingAfterBreak="0">
    <w:nsid w:val="215B45F1"/>
    <w:multiLevelType w:val="hybridMultilevel"/>
    <w:tmpl w:val="E66A1DF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A0987"/>
    <w:multiLevelType w:val="hybridMultilevel"/>
    <w:tmpl w:val="738ACF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00CE2"/>
    <w:multiLevelType w:val="hybridMultilevel"/>
    <w:tmpl w:val="F850AC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84A54"/>
    <w:multiLevelType w:val="multilevel"/>
    <w:tmpl w:val="6750D002"/>
    <w:lvl w:ilvl="0">
      <w:start w:val="1"/>
      <w:numFmt w:val="upperRoman"/>
      <w:lvlText w:val="%1."/>
      <w:lvlJc w:val="right"/>
      <w:pPr>
        <w:ind w:left="720" w:firstLine="36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3" w15:restartNumberingAfterBreak="0">
    <w:nsid w:val="28AD30BD"/>
    <w:multiLevelType w:val="multilevel"/>
    <w:tmpl w:val="11541F08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4" w15:restartNumberingAfterBreak="0">
    <w:nsid w:val="2AF1217F"/>
    <w:multiLevelType w:val="hybridMultilevel"/>
    <w:tmpl w:val="148C7D5A"/>
    <w:lvl w:ilvl="0" w:tplc="6B72507C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E7D92"/>
    <w:multiLevelType w:val="hybridMultilevel"/>
    <w:tmpl w:val="88B61DB6"/>
    <w:lvl w:ilvl="0" w:tplc="2FD697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D701D"/>
    <w:multiLevelType w:val="multilevel"/>
    <w:tmpl w:val="BC349936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7" w15:restartNumberingAfterBreak="0">
    <w:nsid w:val="310536ED"/>
    <w:multiLevelType w:val="hybridMultilevel"/>
    <w:tmpl w:val="EB744C82"/>
    <w:lvl w:ilvl="0" w:tplc="B74665E8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325C338C"/>
    <w:multiLevelType w:val="multilevel"/>
    <w:tmpl w:val="71E8451C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9" w15:restartNumberingAfterBreak="0">
    <w:nsid w:val="3534436D"/>
    <w:multiLevelType w:val="multilevel"/>
    <w:tmpl w:val="F252CDCC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0" w15:restartNumberingAfterBreak="0">
    <w:nsid w:val="37E0463B"/>
    <w:multiLevelType w:val="hybridMultilevel"/>
    <w:tmpl w:val="A68CDD84"/>
    <w:lvl w:ilvl="0" w:tplc="43C2DC28">
      <w:start w:val="18"/>
      <w:numFmt w:val="bullet"/>
      <w:lvlText w:val=""/>
      <w:lvlJc w:val="left"/>
      <w:pPr>
        <w:ind w:left="84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3EDB0FCA"/>
    <w:multiLevelType w:val="multilevel"/>
    <w:tmpl w:val="CC56B884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2" w15:restartNumberingAfterBreak="0">
    <w:nsid w:val="484B183F"/>
    <w:multiLevelType w:val="multilevel"/>
    <w:tmpl w:val="CE16BE3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3" w15:restartNumberingAfterBreak="0">
    <w:nsid w:val="4A141ACC"/>
    <w:multiLevelType w:val="multilevel"/>
    <w:tmpl w:val="91469E4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231"/>
      <w:numFmt w:val="decimal"/>
      <w:lvlText w:val="%1.%2"/>
      <w:lvlJc w:val="left"/>
      <w:pPr>
        <w:ind w:left="1350" w:firstLine="720"/>
      </w:pPr>
    </w:lvl>
    <w:lvl w:ilvl="2">
      <w:start w:val="1"/>
      <w:numFmt w:val="decimal"/>
      <w:lvlText w:val="%1.%2.%3"/>
      <w:lvlJc w:val="left"/>
      <w:pPr>
        <w:ind w:left="1800" w:firstLine="1080"/>
      </w:pPr>
    </w:lvl>
    <w:lvl w:ilvl="3">
      <w:start w:val="1"/>
      <w:numFmt w:val="decimal"/>
      <w:lvlText w:val="%1.%2.%3.%4"/>
      <w:lvlJc w:val="left"/>
      <w:pPr>
        <w:ind w:left="2160" w:firstLine="1440"/>
      </w:pPr>
    </w:lvl>
    <w:lvl w:ilvl="4">
      <w:start w:val="1"/>
      <w:numFmt w:val="decimal"/>
      <w:lvlText w:val="%1.%2.%3.%4.%5"/>
      <w:lvlJc w:val="left"/>
      <w:pPr>
        <w:ind w:left="2880" w:firstLine="1800"/>
      </w:pPr>
    </w:lvl>
    <w:lvl w:ilvl="5">
      <w:start w:val="1"/>
      <w:numFmt w:val="decimal"/>
      <w:lvlText w:val="%1.%2.%3.%4.%5.%6"/>
      <w:lvlJc w:val="left"/>
      <w:pPr>
        <w:ind w:left="3240" w:firstLine="2160"/>
      </w:pPr>
    </w:lvl>
    <w:lvl w:ilvl="6">
      <w:start w:val="1"/>
      <w:numFmt w:val="decimal"/>
      <w:lvlText w:val="%1.%2.%3.%4.%5.%6.%7"/>
      <w:lvlJc w:val="left"/>
      <w:pPr>
        <w:ind w:left="3960" w:firstLine="2520"/>
      </w:pPr>
    </w:lvl>
    <w:lvl w:ilvl="7">
      <w:start w:val="1"/>
      <w:numFmt w:val="decimal"/>
      <w:lvlText w:val="%1.%2.%3.%4.%5.%6.%7.%8"/>
      <w:lvlJc w:val="left"/>
      <w:pPr>
        <w:ind w:left="4320" w:firstLine="2880"/>
      </w:pPr>
    </w:lvl>
    <w:lvl w:ilvl="8">
      <w:start w:val="1"/>
      <w:numFmt w:val="decimal"/>
      <w:lvlText w:val="%1.%2.%3.%4.%5.%6.%7.%8.%9"/>
      <w:lvlJc w:val="left"/>
      <w:pPr>
        <w:ind w:left="5040" w:firstLine="3240"/>
      </w:pPr>
    </w:lvl>
  </w:abstractNum>
  <w:abstractNum w:abstractNumId="24" w15:restartNumberingAfterBreak="0">
    <w:nsid w:val="50033B3D"/>
    <w:multiLevelType w:val="hybridMultilevel"/>
    <w:tmpl w:val="9328CBF2"/>
    <w:lvl w:ilvl="0" w:tplc="A35EC3A8">
      <w:numFmt w:val="bullet"/>
      <w:lvlText w:val=""/>
      <w:lvlJc w:val="left"/>
      <w:pPr>
        <w:ind w:left="1200" w:hanging="360"/>
      </w:pPr>
      <w:rPr>
        <w:rFonts w:ascii="Symbol" w:eastAsia="Calibri" w:hAnsi="Symbol" w:cs="Calibri" w:hint="default"/>
      </w:rPr>
    </w:lvl>
    <w:lvl w:ilvl="1" w:tplc="241A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0EE0E96"/>
    <w:multiLevelType w:val="multilevel"/>
    <w:tmpl w:val="6EAE90F8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6" w15:restartNumberingAfterBreak="0">
    <w:nsid w:val="52321929"/>
    <w:multiLevelType w:val="hybridMultilevel"/>
    <w:tmpl w:val="C48E2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44CAC"/>
    <w:multiLevelType w:val="hybridMultilevel"/>
    <w:tmpl w:val="503C60F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67F68"/>
    <w:multiLevelType w:val="multilevel"/>
    <w:tmpl w:val="2AA2EF9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9" w15:restartNumberingAfterBreak="0">
    <w:nsid w:val="55653D40"/>
    <w:multiLevelType w:val="multilevel"/>
    <w:tmpl w:val="F1A62A82"/>
    <w:lvl w:ilvl="0">
      <w:start w:val="1"/>
      <w:numFmt w:val="decimal"/>
      <w:lvlText w:val="%1)"/>
      <w:lvlJc w:val="left"/>
      <w:pPr>
        <w:ind w:left="1788" w:firstLine="1428"/>
      </w:pPr>
    </w:lvl>
    <w:lvl w:ilvl="1">
      <w:start w:val="1"/>
      <w:numFmt w:val="lowerLetter"/>
      <w:lvlText w:val="%2."/>
      <w:lvlJc w:val="left"/>
      <w:pPr>
        <w:ind w:left="2508" w:firstLine="2148"/>
      </w:pPr>
    </w:lvl>
    <w:lvl w:ilvl="2">
      <w:start w:val="1"/>
      <w:numFmt w:val="lowerRoman"/>
      <w:lvlText w:val="%3."/>
      <w:lvlJc w:val="right"/>
      <w:pPr>
        <w:ind w:left="3228" w:firstLine="3048"/>
      </w:pPr>
    </w:lvl>
    <w:lvl w:ilvl="3">
      <w:start w:val="1"/>
      <w:numFmt w:val="decimal"/>
      <w:lvlText w:val="%4."/>
      <w:lvlJc w:val="left"/>
      <w:pPr>
        <w:ind w:left="3948" w:firstLine="3588"/>
      </w:pPr>
    </w:lvl>
    <w:lvl w:ilvl="4">
      <w:start w:val="1"/>
      <w:numFmt w:val="lowerLetter"/>
      <w:lvlText w:val="%5."/>
      <w:lvlJc w:val="left"/>
      <w:pPr>
        <w:ind w:left="4668" w:firstLine="4308"/>
      </w:pPr>
    </w:lvl>
    <w:lvl w:ilvl="5">
      <w:start w:val="1"/>
      <w:numFmt w:val="lowerRoman"/>
      <w:lvlText w:val="%6."/>
      <w:lvlJc w:val="right"/>
      <w:pPr>
        <w:ind w:left="5388" w:firstLine="5208"/>
      </w:pPr>
    </w:lvl>
    <w:lvl w:ilvl="6">
      <w:start w:val="1"/>
      <w:numFmt w:val="decimal"/>
      <w:lvlText w:val="%7."/>
      <w:lvlJc w:val="left"/>
      <w:pPr>
        <w:ind w:left="6108" w:firstLine="5748"/>
      </w:pPr>
    </w:lvl>
    <w:lvl w:ilvl="7">
      <w:start w:val="1"/>
      <w:numFmt w:val="lowerLetter"/>
      <w:lvlText w:val="%8."/>
      <w:lvlJc w:val="left"/>
      <w:pPr>
        <w:ind w:left="6828" w:firstLine="6468"/>
      </w:pPr>
    </w:lvl>
    <w:lvl w:ilvl="8">
      <w:start w:val="1"/>
      <w:numFmt w:val="lowerRoman"/>
      <w:lvlText w:val="%9."/>
      <w:lvlJc w:val="right"/>
      <w:pPr>
        <w:ind w:left="7548" w:firstLine="7368"/>
      </w:pPr>
    </w:lvl>
  </w:abstractNum>
  <w:abstractNum w:abstractNumId="30" w15:restartNumberingAfterBreak="0">
    <w:nsid w:val="5F685F22"/>
    <w:multiLevelType w:val="multilevel"/>
    <w:tmpl w:val="DF80D10C"/>
    <w:lvl w:ilvl="0">
      <w:start w:val="1"/>
      <w:numFmt w:val="decimal"/>
      <w:lvlText w:val="%1)"/>
      <w:lvlJc w:val="left"/>
      <w:pPr>
        <w:ind w:left="1776" w:firstLine="1416"/>
      </w:pPr>
    </w:lvl>
    <w:lvl w:ilvl="1">
      <w:start w:val="1"/>
      <w:numFmt w:val="lowerLetter"/>
      <w:lvlText w:val="%2."/>
      <w:lvlJc w:val="left"/>
      <w:pPr>
        <w:ind w:left="2496" w:firstLine="2136"/>
      </w:pPr>
    </w:lvl>
    <w:lvl w:ilvl="2">
      <w:start w:val="1"/>
      <w:numFmt w:val="lowerRoman"/>
      <w:lvlText w:val="%3."/>
      <w:lvlJc w:val="right"/>
      <w:pPr>
        <w:ind w:left="3216" w:firstLine="3036"/>
      </w:pPr>
    </w:lvl>
    <w:lvl w:ilvl="3">
      <w:start w:val="1"/>
      <w:numFmt w:val="decimal"/>
      <w:lvlText w:val="%4."/>
      <w:lvlJc w:val="left"/>
      <w:pPr>
        <w:ind w:left="3936" w:firstLine="3576"/>
      </w:pPr>
    </w:lvl>
    <w:lvl w:ilvl="4">
      <w:start w:val="1"/>
      <w:numFmt w:val="lowerLetter"/>
      <w:lvlText w:val="%5."/>
      <w:lvlJc w:val="left"/>
      <w:pPr>
        <w:ind w:left="4656" w:firstLine="4296"/>
      </w:pPr>
    </w:lvl>
    <w:lvl w:ilvl="5">
      <w:start w:val="1"/>
      <w:numFmt w:val="lowerRoman"/>
      <w:lvlText w:val="%6."/>
      <w:lvlJc w:val="right"/>
      <w:pPr>
        <w:ind w:left="5376" w:firstLine="5196"/>
      </w:pPr>
    </w:lvl>
    <w:lvl w:ilvl="6">
      <w:start w:val="1"/>
      <w:numFmt w:val="decimal"/>
      <w:lvlText w:val="%7."/>
      <w:lvlJc w:val="left"/>
      <w:pPr>
        <w:ind w:left="6096" w:firstLine="5736"/>
      </w:pPr>
    </w:lvl>
    <w:lvl w:ilvl="7">
      <w:start w:val="1"/>
      <w:numFmt w:val="lowerLetter"/>
      <w:lvlText w:val="%8."/>
      <w:lvlJc w:val="left"/>
      <w:pPr>
        <w:ind w:left="6816" w:firstLine="6456"/>
      </w:pPr>
    </w:lvl>
    <w:lvl w:ilvl="8">
      <w:start w:val="1"/>
      <w:numFmt w:val="lowerRoman"/>
      <w:lvlText w:val="%9."/>
      <w:lvlJc w:val="right"/>
      <w:pPr>
        <w:ind w:left="7536" w:firstLine="7356"/>
      </w:pPr>
    </w:lvl>
  </w:abstractNum>
  <w:abstractNum w:abstractNumId="31" w15:restartNumberingAfterBreak="0">
    <w:nsid w:val="60711DD3"/>
    <w:multiLevelType w:val="hybridMultilevel"/>
    <w:tmpl w:val="7F6E0118"/>
    <w:lvl w:ilvl="0" w:tplc="CE9CAFE6">
      <w:start w:val="18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67560E76"/>
    <w:multiLevelType w:val="hybridMultilevel"/>
    <w:tmpl w:val="0DC23034"/>
    <w:lvl w:ilvl="0" w:tplc="24368A32">
      <w:start w:val="18"/>
      <w:numFmt w:val="bullet"/>
      <w:lvlText w:val=""/>
      <w:lvlJc w:val="left"/>
      <w:pPr>
        <w:ind w:left="84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3" w15:restartNumberingAfterBreak="0">
    <w:nsid w:val="67F62477"/>
    <w:multiLevelType w:val="multilevel"/>
    <w:tmpl w:val="4BF8B7EE"/>
    <w:lvl w:ilvl="0">
      <w:start w:val="1"/>
      <w:numFmt w:val="decimal"/>
      <w:lvlText w:val="%1)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4" w15:restartNumberingAfterBreak="0">
    <w:nsid w:val="6D1477B5"/>
    <w:multiLevelType w:val="multilevel"/>
    <w:tmpl w:val="6E8675E0"/>
    <w:lvl w:ilvl="0">
      <w:start w:val="1"/>
      <w:numFmt w:val="bullet"/>
      <w:lvlText w:val="-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5" w15:restartNumberingAfterBreak="0">
    <w:nsid w:val="71870C5B"/>
    <w:multiLevelType w:val="multilevel"/>
    <w:tmpl w:val="3DE6F9B2"/>
    <w:lvl w:ilvl="0">
      <w:start w:val="1"/>
      <w:numFmt w:val="decimal"/>
      <w:lvlText w:val="%1)"/>
      <w:lvlJc w:val="left"/>
      <w:pPr>
        <w:ind w:left="1788" w:firstLine="1428"/>
      </w:pPr>
    </w:lvl>
    <w:lvl w:ilvl="1">
      <w:start w:val="1"/>
      <w:numFmt w:val="lowerLetter"/>
      <w:lvlText w:val="%2."/>
      <w:lvlJc w:val="left"/>
      <w:pPr>
        <w:ind w:left="2508" w:firstLine="2148"/>
      </w:pPr>
    </w:lvl>
    <w:lvl w:ilvl="2">
      <w:start w:val="1"/>
      <w:numFmt w:val="lowerRoman"/>
      <w:lvlText w:val="%3."/>
      <w:lvlJc w:val="right"/>
      <w:pPr>
        <w:ind w:left="3228" w:firstLine="3048"/>
      </w:pPr>
    </w:lvl>
    <w:lvl w:ilvl="3">
      <w:start w:val="1"/>
      <w:numFmt w:val="decimal"/>
      <w:lvlText w:val="%4."/>
      <w:lvlJc w:val="left"/>
      <w:pPr>
        <w:ind w:left="3948" w:firstLine="3588"/>
      </w:pPr>
    </w:lvl>
    <w:lvl w:ilvl="4">
      <w:start w:val="1"/>
      <w:numFmt w:val="lowerLetter"/>
      <w:lvlText w:val="%5."/>
      <w:lvlJc w:val="left"/>
      <w:pPr>
        <w:ind w:left="4668" w:firstLine="4308"/>
      </w:pPr>
    </w:lvl>
    <w:lvl w:ilvl="5">
      <w:start w:val="1"/>
      <w:numFmt w:val="lowerRoman"/>
      <w:lvlText w:val="%6."/>
      <w:lvlJc w:val="right"/>
      <w:pPr>
        <w:ind w:left="5388" w:firstLine="5208"/>
      </w:pPr>
    </w:lvl>
    <w:lvl w:ilvl="6">
      <w:start w:val="1"/>
      <w:numFmt w:val="decimal"/>
      <w:lvlText w:val="%7."/>
      <w:lvlJc w:val="left"/>
      <w:pPr>
        <w:ind w:left="6108" w:firstLine="5748"/>
      </w:pPr>
    </w:lvl>
    <w:lvl w:ilvl="7">
      <w:start w:val="1"/>
      <w:numFmt w:val="lowerLetter"/>
      <w:lvlText w:val="%8."/>
      <w:lvlJc w:val="left"/>
      <w:pPr>
        <w:ind w:left="6828" w:firstLine="6468"/>
      </w:pPr>
    </w:lvl>
    <w:lvl w:ilvl="8">
      <w:start w:val="1"/>
      <w:numFmt w:val="lowerRoman"/>
      <w:lvlText w:val="%9."/>
      <w:lvlJc w:val="right"/>
      <w:pPr>
        <w:ind w:left="7548" w:firstLine="7368"/>
      </w:pPr>
    </w:lvl>
  </w:abstractNum>
  <w:abstractNum w:abstractNumId="36" w15:restartNumberingAfterBreak="0">
    <w:nsid w:val="788025EC"/>
    <w:multiLevelType w:val="hybridMultilevel"/>
    <w:tmpl w:val="712AB9E2"/>
    <w:lvl w:ilvl="0" w:tplc="33C6987C">
      <w:start w:val="18"/>
      <w:numFmt w:val="bullet"/>
      <w:lvlText w:val=""/>
      <w:lvlJc w:val="left"/>
      <w:pPr>
        <w:ind w:left="84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7" w15:restartNumberingAfterBreak="0">
    <w:nsid w:val="7DEF0212"/>
    <w:multiLevelType w:val="hybridMultilevel"/>
    <w:tmpl w:val="5CFC8918"/>
    <w:lvl w:ilvl="0" w:tplc="585A0FB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23"/>
  </w:num>
  <w:num w:numId="4">
    <w:abstractNumId w:val="29"/>
  </w:num>
  <w:num w:numId="5">
    <w:abstractNumId w:val="5"/>
  </w:num>
  <w:num w:numId="6">
    <w:abstractNumId w:val="35"/>
  </w:num>
  <w:num w:numId="7">
    <w:abstractNumId w:val="33"/>
  </w:num>
  <w:num w:numId="8">
    <w:abstractNumId w:val="30"/>
  </w:num>
  <w:num w:numId="9">
    <w:abstractNumId w:val="18"/>
  </w:num>
  <w:num w:numId="10">
    <w:abstractNumId w:val="22"/>
  </w:num>
  <w:num w:numId="11">
    <w:abstractNumId w:val="19"/>
  </w:num>
  <w:num w:numId="12">
    <w:abstractNumId w:val="28"/>
  </w:num>
  <w:num w:numId="13">
    <w:abstractNumId w:val="8"/>
  </w:num>
  <w:num w:numId="14">
    <w:abstractNumId w:val="16"/>
  </w:num>
  <w:num w:numId="15">
    <w:abstractNumId w:val="12"/>
  </w:num>
  <w:num w:numId="16">
    <w:abstractNumId w:val="13"/>
  </w:num>
  <w:num w:numId="17">
    <w:abstractNumId w:val="34"/>
  </w:num>
  <w:num w:numId="18">
    <w:abstractNumId w:val="25"/>
  </w:num>
  <w:num w:numId="19">
    <w:abstractNumId w:val="4"/>
  </w:num>
  <w:num w:numId="20">
    <w:abstractNumId w:val="1"/>
  </w:num>
  <w:num w:numId="21">
    <w:abstractNumId w:val="2"/>
  </w:num>
  <w:num w:numId="22">
    <w:abstractNumId w:val="0"/>
  </w:num>
  <w:num w:numId="23">
    <w:abstractNumId w:val="24"/>
  </w:num>
  <w:num w:numId="24">
    <w:abstractNumId w:val="14"/>
  </w:num>
  <w:num w:numId="25">
    <w:abstractNumId w:val="15"/>
  </w:num>
  <w:num w:numId="26">
    <w:abstractNumId w:val="20"/>
  </w:num>
  <w:num w:numId="27">
    <w:abstractNumId w:val="36"/>
  </w:num>
  <w:num w:numId="28">
    <w:abstractNumId w:val="32"/>
  </w:num>
  <w:num w:numId="29">
    <w:abstractNumId w:val="3"/>
  </w:num>
  <w:num w:numId="30">
    <w:abstractNumId w:val="31"/>
  </w:num>
  <w:num w:numId="31">
    <w:abstractNumId w:val="37"/>
  </w:num>
  <w:num w:numId="32">
    <w:abstractNumId w:val="11"/>
  </w:num>
  <w:num w:numId="33">
    <w:abstractNumId w:val="26"/>
  </w:num>
  <w:num w:numId="34">
    <w:abstractNumId w:val="10"/>
  </w:num>
  <w:num w:numId="35">
    <w:abstractNumId w:val="27"/>
  </w:num>
  <w:num w:numId="36">
    <w:abstractNumId w:val="9"/>
  </w:num>
  <w:num w:numId="37">
    <w:abstractNumId w:val="7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66B"/>
    <w:rsid w:val="00003594"/>
    <w:rsid w:val="000126A1"/>
    <w:rsid w:val="00015695"/>
    <w:rsid w:val="00020108"/>
    <w:rsid w:val="00023557"/>
    <w:rsid w:val="0002404D"/>
    <w:rsid w:val="000258CC"/>
    <w:rsid w:val="00027A55"/>
    <w:rsid w:val="00037833"/>
    <w:rsid w:val="00040467"/>
    <w:rsid w:val="00044F8B"/>
    <w:rsid w:val="00045171"/>
    <w:rsid w:val="00047E7D"/>
    <w:rsid w:val="0005224A"/>
    <w:rsid w:val="0005281A"/>
    <w:rsid w:val="00052933"/>
    <w:rsid w:val="000541BF"/>
    <w:rsid w:val="00056942"/>
    <w:rsid w:val="00061344"/>
    <w:rsid w:val="0007333A"/>
    <w:rsid w:val="0007633E"/>
    <w:rsid w:val="000813F3"/>
    <w:rsid w:val="000818F4"/>
    <w:rsid w:val="00081D20"/>
    <w:rsid w:val="00096216"/>
    <w:rsid w:val="0009719D"/>
    <w:rsid w:val="00097CBA"/>
    <w:rsid w:val="000A1813"/>
    <w:rsid w:val="000A7A67"/>
    <w:rsid w:val="000B74B4"/>
    <w:rsid w:val="000C0DA1"/>
    <w:rsid w:val="000C14CA"/>
    <w:rsid w:val="000C2985"/>
    <w:rsid w:val="000C2F3D"/>
    <w:rsid w:val="000C3D20"/>
    <w:rsid w:val="000C65AD"/>
    <w:rsid w:val="000C6683"/>
    <w:rsid w:val="000D2E5B"/>
    <w:rsid w:val="000D442D"/>
    <w:rsid w:val="000D4B92"/>
    <w:rsid w:val="000D5B07"/>
    <w:rsid w:val="000D5DA7"/>
    <w:rsid w:val="000E0419"/>
    <w:rsid w:val="000E31A0"/>
    <w:rsid w:val="000E44A5"/>
    <w:rsid w:val="000E57AE"/>
    <w:rsid w:val="000F0E54"/>
    <w:rsid w:val="000F3883"/>
    <w:rsid w:val="000F3BCB"/>
    <w:rsid w:val="000F45E3"/>
    <w:rsid w:val="000F4715"/>
    <w:rsid w:val="000F4D4E"/>
    <w:rsid w:val="000F76C5"/>
    <w:rsid w:val="00101819"/>
    <w:rsid w:val="00101D74"/>
    <w:rsid w:val="00105BE6"/>
    <w:rsid w:val="00107EFD"/>
    <w:rsid w:val="00112332"/>
    <w:rsid w:val="00114215"/>
    <w:rsid w:val="00117C68"/>
    <w:rsid w:val="00124F0F"/>
    <w:rsid w:val="0012501E"/>
    <w:rsid w:val="001250D9"/>
    <w:rsid w:val="00132CE5"/>
    <w:rsid w:val="00136C5A"/>
    <w:rsid w:val="00137E10"/>
    <w:rsid w:val="00141DB8"/>
    <w:rsid w:val="00141FBF"/>
    <w:rsid w:val="00143581"/>
    <w:rsid w:val="0014577D"/>
    <w:rsid w:val="00147936"/>
    <w:rsid w:val="00147A95"/>
    <w:rsid w:val="0015169A"/>
    <w:rsid w:val="00151CAE"/>
    <w:rsid w:val="0015287B"/>
    <w:rsid w:val="00157321"/>
    <w:rsid w:val="001608AC"/>
    <w:rsid w:val="00161C34"/>
    <w:rsid w:val="00162212"/>
    <w:rsid w:val="00166C95"/>
    <w:rsid w:val="0016755D"/>
    <w:rsid w:val="00171D05"/>
    <w:rsid w:val="00172594"/>
    <w:rsid w:val="00176F4D"/>
    <w:rsid w:val="00181D88"/>
    <w:rsid w:val="0018652F"/>
    <w:rsid w:val="00191456"/>
    <w:rsid w:val="001937BA"/>
    <w:rsid w:val="0019473A"/>
    <w:rsid w:val="00194E24"/>
    <w:rsid w:val="00195014"/>
    <w:rsid w:val="001960F4"/>
    <w:rsid w:val="0019614E"/>
    <w:rsid w:val="001A1634"/>
    <w:rsid w:val="001A414F"/>
    <w:rsid w:val="001A5688"/>
    <w:rsid w:val="001B11C4"/>
    <w:rsid w:val="001B753B"/>
    <w:rsid w:val="001B78E6"/>
    <w:rsid w:val="001C012B"/>
    <w:rsid w:val="001C27B6"/>
    <w:rsid w:val="001C3286"/>
    <w:rsid w:val="001C3A8C"/>
    <w:rsid w:val="001C3C25"/>
    <w:rsid w:val="001C55BA"/>
    <w:rsid w:val="001D2929"/>
    <w:rsid w:val="001D4848"/>
    <w:rsid w:val="001D493C"/>
    <w:rsid w:val="001E21A2"/>
    <w:rsid w:val="001E5CFF"/>
    <w:rsid w:val="001E7E45"/>
    <w:rsid w:val="001F270A"/>
    <w:rsid w:val="001F49C7"/>
    <w:rsid w:val="001F508D"/>
    <w:rsid w:val="001F6960"/>
    <w:rsid w:val="001F725F"/>
    <w:rsid w:val="0020503E"/>
    <w:rsid w:val="00207B68"/>
    <w:rsid w:val="0021027C"/>
    <w:rsid w:val="002162A3"/>
    <w:rsid w:val="002164DB"/>
    <w:rsid w:val="0021764D"/>
    <w:rsid w:val="0022218F"/>
    <w:rsid w:val="00222414"/>
    <w:rsid w:val="00222C72"/>
    <w:rsid w:val="002362FF"/>
    <w:rsid w:val="00236D28"/>
    <w:rsid w:val="00237289"/>
    <w:rsid w:val="00242A7F"/>
    <w:rsid w:val="00252186"/>
    <w:rsid w:val="002600E8"/>
    <w:rsid w:val="002619E4"/>
    <w:rsid w:val="00263B40"/>
    <w:rsid w:val="00265DA6"/>
    <w:rsid w:val="00267379"/>
    <w:rsid w:val="0027054C"/>
    <w:rsid w:val="002734A0"/>
    <w:rsid w:val="00274D65"/>
    <w:rsid w:val="002768DA"/>
    <w:rsid w:val="002871ED"/>
    <w:rsid w:val="00290253"/>
    <w:rsid w:val="002914EF"/>
    <w:rsid w:val="0029217C"/>
    <w:rsid w:val="002A1330"/>
    <w:rsid w:val="002A2F0F"/>
    <w:rsid w:val="002A32A0"/>
    <w:rsid w:val="002A3601"/>
    <w:rsid w:val="002A554F"/>
    <w:rsid w:val="002A6282"/>
    <w:rsid w:val="002A716A"/>
    <w:rsid w:val="002B2357"/>
    <w:rsid w:val="002B4402"/>
    <w:rsid w:val="002B6B8B"/>
    <w:rsid w:val="002C0444"/>
    <w:rsid w:val="002C1BDC"/>
    <w:rsid w:val="002C4BE3"/>
    <w:rsid w:val="002C5415"/>
    <w:rsid w:val="002C7D90"/>
    <w:rsid w:val="002D178A"/>
    <w:rsid w:val="002D2247"/>
    <w:rsid w:val="002D4A7B"/>
    <w:rsid w:val="002D6CA5"/>
    <w:rsid w:val="002D7DCF"/>
    <w:rsid w:val="002E0461"/>
    <w:rsid w:val="002E0F16"/>
    <w:rsid w:val="002E4BEA"/>
    <w:rsid w:val="002F2661"/>
    <w:rsid w:val="002F2F7A"/>
    <w:rsid w:val="002F4695"/>
    <w:rsid w:val="002F71C8"/>
    <w:rsid w:val="00301E0F"/>
    <w:rsid w:val="00303D7C"/>
    <w:rsid w:val="00304FC8"/>
    <w:rsid w:val="00310797"/>
    <w:rsid w:val="00312ABC"/>
    <w:rsid w:val="0031432B"/>
    <w:rsid w:val="00315029"/>
    <w:rsid w:val="0031590A"/>
    <w:rsid w:val="00315B89"/>
    <w:rsid w:val="00317EBF"/>
    <w:rsid w:val="00320BEA"/>
    <w:rsid w:val="00325640"/>
    <w:rsid w:val="00327A8C"/>
    <w:rsid w:val="003304AA"/>
    <w:rsid w:val="003318C1"/>
    <w:rsid w:val="003319C6"/>
    <w:rsid w:val="00334301"/>
    <w:rsid w:val="003349E2"/>
    <w:rsid w:val="003350E9"/>
    <w:rsid w:val="00335363"/>
    <w:rsid w:val="0033649C"/>
    <w:rsid w:val="00336A70"/>
    <w:rsid w:val="00337320"/>
    <w:rsid w:val="00344652"/>
    <w:rsid w:val="003446D4"/>
    <w:rsid w:val="00344CAC"/>
    <w:rsid w:val="003456A2"/>
    <w:rsid w:val="00346F23"/>
    <w:rsid w:val="00352D96"/>
    <w:rsid w:val="00353C64"/>
    <w:rsid w:val="00353F00"/>
    <w:rsid w:val="00355DAA"/>
    <w:rsid w:val="00364959"/>
    <w:rsid w:val="00371E02"/>
    <w:rsid w:val="0037431B"/>
    <w:rsid w:val="00383C7E"/>
    <w:rsid w:val="00385C1E"/>
    <w:rsid w:val="00387E23"/>
    <w:rsid w:val="00391375"/>
    <w:rsid w:val="003922D5"/>
    <w:rsid w:val="00393D5B"/>
    <w:rsid w:val="003962AD"/>
    <w:rsid w:val="003A3E5F"/>
    <w:rsid w:val="003A50AF"/>
    <w:rsid w:val="003A5862"/>
    <w:rsid w:val="003B131C"/>
    <w:rsid w:val="003B1E68"/>
    <w:rsid w:val="003B201F"/>
    <w:rsid w:val="003B2D6E"/>
    <w:rsid w:val="003B65B1"/>
    <w:rsid w:val="003B79AD"/>
    <w:rsid w:val="003C0C42"/>
    <w:rsid w:val="003C274E"/>
    <w:rsid w:val="003C5B46"/>
    <w:rsid w:val="003D4775"/>
    <w:rsid w:val="003D6AE2"/>
    <w:rsid w:val="003E1160"/>
    <w:rsid w:val="003E3307"/>
    <w:rsid w:val="003E58E3"/>
    <w:rsid w:val="003E7CBC"/>
    <w:rsid w:val="003F2E16"/>
    <w:rsid w:val="003F366C"/>
    <w:rsid w:val="003F4488"/>
    <w:rsid w:val="003F46D8"/>
    <w:rsid w:val="003F50DC"/>
    <w:rsid w:val="003F528E"/>
    <w:rsid w:val="003F68A9"/>
    <w:rsid w:val="00403027"/>
    <w:rsid w:val="00404AF6"/>
    <w:rsid w:val="00406D8E"/>
    <w:rsid w:val="00411FD5"/>
    <w:rsid w:val="004130BC"/>
    <w:rsid w:val="00423622"/>
    <w:rsid w:val="00430EF3"/>
    <w:rsid w:val="004319AB"/>
    <w:rsid w:val="00434A0E"/>
    <w:rsid w:val="00442463"/>
    <w:rsid w:val="004449B8"/>
    <w:rsid w:val="00446FF4"/>
    <w:rsid w:val="004538E2"/>
    <w:rsid w:val="00457420"/>
    <w:rsid w:val="0046192B"/>
    <w:rsid w:val="00462A48"/>
    <w:rsid w:val="00462EC5"/>
    <w:rsid w:val="00464AD7"/>
    <w:rsid w:val="004662C8"/>
    <w:rsid w:val="0046638C"/>
    <w:rsid w:val="0047075B"/>
    <w:rsid w:val="00474742"/>
    <w:rsid w:val="00474FDC"/>
    <w:rsid w:val="00475820"/>
    <w:rsid w:val="00483EDB"/>
    <w:rsid w:val="004907F3"/>
    <w:rsid w:val="0049359A"/>
    <w:rsid w:val="00495C4F"/>
    <w:rsid w:val="004961B1"/>
    <w:rsid w:val="00497EAC"/>
    <w:rsid w:val="004A0D54"/>
    <w:rsid w:val="004A1B59"/>
    <w:rsid w:val="004A621B"/>
    <w:rsid w:val="004A6BBD"/>
    <w:rsid w:val="004B4E30"/>
    <w:rsid w:val="004C0ADD"/>
    <w:rsid w:val="004C112A"/>
    <w:rsid w:val="004C1A7F"/>
    <w:rsid w:val="004C3064"/>
    <w:rsid w:val="004C5D95"/>
    <w:rsid w:val="004D5815"/>
    <w:rsid w:val="004E4C36"/>
    <w:rsid w:val="004E5145"/>
    <w:rsid w:val="004E7A2A"/>
    <w:rsid w:val="004F0C5D"/>
    <w:rsid w:val="004F0DED"/>
    <w:rsid w:val="004F1346"/>
    <w:rsid w:val="004F321E"/>
    <w:rsid w:val="004F43C5"/>
    <w:rsid w:val="004F4F4B"/>
    <w:rsid w:val="004F5F81"/>
    <w:rsid w:val="004F7111"/>
    <w:rsid w:val="00501256"/>
    <w:rsid w:val="00506D37"/>
    <w:rsid w:val="00507882"/>
    <w:rsid w:val="00511899"/>
    <w:rsid w:val="00513043"/>
    <w:rsid w:val="0051435F"/>
    <w:rsid w:val="00515B3F"/>
    <w:rsid w:val="005235B2"/>
    <w:rsid w:val="00527B99"/>
    <w:rsid w:val="00530DD7"/>
    <w:rsid w:val="00531A9A"/>
    <w:rsid w:val="0053238A"/>
    <w:rsid w:val="0054152D"/>
    <w:rsid w:val="0054777A"/>
    <w:rsid w:val="00547C1E"/>
    <w:rsid w:val="005512F4"/>
    <w:rsid w:val="00563A7A"/>
    <w:rsid w:val="00563D28"/>
    <w:rsid w:val="005671A4"/>
    <w:rsid w:val="00567923"/>
    <w:rsid w:val="005845AE"/>
    <w:rsid w:val="0058542E"/>
    <w:rsid w:val="00587ED4"/>
    <w:rsid w:val="0059066E"/>
    <w:rsid w:val="005909B7"/>
    <w:rsid w:val="00597262"/>
    <w:rsid w:val="005A0327"/>
    <w:rsid w:val="005A06C6"/>
    <w:rsid w:val="005A50A9"/>
    <w:rsid w:val="005B2DE7"/>
    <w:rsid w:val="005B7CB7"/>
    <w:rsid w:val="005C058A"/>
    <w:rsid w:val="005C0CEA"/>
    <w:rsid w:val="005C298E"/>
    <w:rsid w:val="005C2DA4"/>
    <w:rsid w:val="005C5446"/>
    <w:rsid w:val="005C7A20"/>
    <w:rsid w:val="005D7703"/>
    <w:rsid w:val="005E08C5"/>
    <w:rsid w:val="005E3C22"/>
    <w:rsid w:val="005E7BEF"/>
    <w:rsid w:val="005F361E"/>
    <w:rsid w:val="005F4712"/>
    <w:rsid w:val="005F6A09"/>
    <w:rsid w:val="00601383"/>
    <w:rsid w:val="00601964"/>
    <w:rsid w:val="00604BFF"/>
    <w:rsid w:val="006055AF"/>
    <w:rsid w:val="006124AC"/>
    <w:rsid w:val="0061408D"/>
    <w:rsid w:val="00614B24"/>
    <w:rsid w:val="00614E33"/>
    <w:rsid w:val="00620ABD"/>
    <w:rsid w:val="00622DD5"/>
    <w:rsid w:val="00624E19"/>
    <w:rsid w:val="006262E1"/>
    <w:rsid w:val="00627A6E"/>
    <w:rsid w:val="00631BB7"/>
    <w:rsid w:val="00631E02"/>
    <w:rsid w:val="00632CA0"/>
    <w:rsid w:val="00636984"/>
    <w:rsid w:val="006374CB"/>
    <w:rsid w:val="00640496"/>
    <w:rsid w:val="00641096"/>
    <w:rsid w:val="00641864"/>
    <w:rsid w:val="006445E9"/>
    <w:rsid w:val="0064712C"/>
    <w:rsid w:val="00656316"/>
    <w:rsid w:val="00656771"/>
    <w:rsid w:val="00660567"/>
    <w:rsid w:val="00660C63"/>
    <w:rsid w:val="00662B5F"/>
    <w:rsid w:val="006631DF"/>
    <w:rsid w:val="006641EE"/>
    <w:rsid w:val="00665F34"/>
    <w:rsid w:val="00667905"/>
    <w:rsid w:val="00684EA4"/>
    <w:rsid w:val="0068734A"/>
    <w:rsid w:val="006A3821"/>
    <w:rsid w:val="006A63B9"/>
    <w:rsid w:val="006B4792"/>
    <w:rsid w:val="006B5953"/>
    <w:rsid w:val="006B7AED"/>
    <w:rsid w:val="006C24A0"/>
    <w:rsid w:val="006C3616"/>
    <w:rsid w:val="006C3621"/>
    <w:rsid w:val="006C3CF2"/>
    <w:rsid w:val="006C5D6C"/>
    <w:rsid w:val="006D0574"/>
    <w:rsid w:val="006D2DE7"/>
    <w:rsid w:val="006D31D3"/>
    <w:rsid w:val="006E07B8"/>
    <w:rsid w:val="006E0E2D"/>
    <w:rsid w:val="006E2AED"/>
    <w:rsid w:val="006E2F68"/>
    <w:rsid w:val="006E360E"/>
    <w:rsid w:val="006F2E5D"/>
    <w:rsid w:val="006F640F"/>
    <w:rsid w:val="006F7978"/>
    <w:rsid w:val="006F7C60"/>
    <w:rsid w:val="00700646"/>
    <w:rsid w:val="00703C49"/>
    <w:rsid w:val="00707612"/>
    <w:rsid w:val="00712500"/>
    <w:rsid w:val="0071540A"/>
    <w:rsid w:val="00716460"/>
    <w:rsid w:val="00716D74"/>
    <w:rsid w:val="00720C10"/>
    <w:rsid w:val="00722AFE"/>
    <w:rsid w:val="007255C3"/>
    <w:rsid w:val="00727B86"/>
    <w:rsid w:val="007341F8"/>
    <w:rsid w:val="0073550C"/>
    <w:rsid w:val="0073692E"/>
    <w:rsid w:val="007407BC"/>
    <w:rsid w:val="00741886"/>
    <w:rsid w:val="0074337A"/>
    <w:rsid w:val="00744641"/>
    <w:rsid w:val="00744CAC"/>
    <w:rsid w:val="00744F1D"/>
    <w:rsid w:val="00745912"/>
    <w:rsid w:val="007469E6"/>
    <w:rsid w:val="00751444"/>
    <w:rsid w:val="007533E8"/>
    <w:rsid w:val="00755E2F"/>
    <w:rsid w:val="00764669"/>
    <w:rsid w:val="0076471F"/>
    <w:rsid w:val="007661D9"/>
    <w:rsid w:val="00770278"/>
    <w:rsid w:val="0077128E"/>
    <w:rsid w:val="00774F10"/>
    <w:rsid w:val="0077595F"/>
    <w:rsid w:val="007764D0"/>
    <w:rsid w:val="00777193"/>
    <w:rsid w:val="00781F06"/>
    <w:rsid w:val="00786E92"/>
    <w:rsid w:val="00790750"/>
    <w:rsid w:val="00790C20"/>
    <w:rsid w:val="00791BA9"/>
    <w:rsid w:val="00793B64"/>
    <w:rsid w:val="00793BC1"/>
    <w:rsid w:val="00794F8B"/>
    <w:rsid w:val="00795E44"/>
    <w:rsid w:val="00797C0C"/>
    <w:rsid w:val="007A4E96"/>
    <w:rsid w:val="007B4857"/>
    <w:rsid w:val="007B79D9"/>
    <w:rsid w:val="007C1107"/>
    <w:rsid w:val="007C1683"/>
    <w:rsid w:val="007C4526"/>
    <w:rsid w:val="007C5601"/>
    <w:rsid w:val="007D0E15"/>
    <w:rsid w:val="007D2125"/>
    <w:rsid w:val="007D5994"/>
    <w:rsid w:val="007D6680"/>
    <w:rsid w:val="007E3A8A"/>
    <w:rsid w:val="007E69F3"/>
    <w:rsid w:val="007F1D22"/>
    <w:rsid w:val="007F4053"/>
    <w:rsid w:val="007F68FD"/>
    <w:rsid w:val="00800904"/>
    <w:rsid w:val="00800966"/>
    <w:rsid w:val="00800ABA"/>
    <w:rsid w:val="00800F87"/>
    <w:rsid w:val="00803DAB"/>
    <w:rsid w:val="00807106"/>
    <w:rsid w:val="00810500"/>
    <w:rsid w:val="008105BF"/>
    <w:rsid w:val="0081466B"/>
    <w:rsid w:val="00815FA7"/>
    <w:rsid w:val="00816DF6"/>
    <w:rsid w:val="0082050A"/>
    <w:rsid w:val="0082480A"/>
    <w:rsid w:val="00827F6D"/>
    <w:rsid w:val="0083034C"/>
    <w:rsid w:val="00832A33"/>
    <w:rsid w:val="00834D91"/>
    <w:rsid w:val="008404B7"/>
    <w:rsid w:val="008463C1"/>
    <w:rsid w:val="0086008B"/>
    <w:rsid w:val="00860BC7"/>
    <w:rsid w:val="00860CAC"/>
    <w:rsid w:val="008616D8"/>
    <w:rsid w:val="00861DFF"/>
    <w:rsid w:val="00862F89"/>
    <w:rsid w:val="008631D5"/>
    <w:rsid w:val="008635E9"/>
    <w:rsid w:val="0087058A"/>
    <w:rsid w:val="00872C47"/>
    <w:rsid w:val="008743FC"/>
    <w:rsid w:val="00875A0B"/>
    <w:rsid w:val="00877120"/>
    <w:rsid w:val="0088143A"/>
    <w:rsid w:val="00882436"/>
    <w:rsid w:val="00890BC7"/>
    <w:rsid w:val="0089370C"/>
    <w:rsid w:val="008939AD"/>
    <w:rsid w:val="0089536B"/>
    <w:rsid w:val="008A0103"/>
    <w:rsid w:val="008A237A"/>
    <w:rsid w:val="008A3F8A"/>
    <w:rsid w:val="008A4CA6"/>
    <w:rsid w:val="008A5A72"/>
    <w:rsid w:val="008B11FB"/>
    <w:rsid w:val="008B2D1D"/>
    <w:rsid w:val="008B4BBF"/>
    <w:rsid w:val="008B5FF9"/>
    <w:rsid w:val="008C008D"/>
    <w:rsid w:val="008C2EB4"/>
    <w:rsid w:val="008C380D"/>
    <w:rsid w:val="008C7A60"/>
    <w:rsid w:val="008D1A37"/>
    <w:rsid w:val="008D7568"/>
    <w:rsid w:val="008D7DC9"/>
    <w:rsid w:val="008E2A9B"/>
    <w:rsid w:val="008E611C"/>
    <w:rsid w:val="008E71D6"/>
    <w:rsid w:val="008F5381"/>
    <w:rsid w:val="00904468"/>
    <w:rsid w:val="009076E5"/>
    <w:rsid w:val="00907A5E"/>
    <w:rsid w:val="009115D6"/>
    <w:rsid w:val="00912E11"/>
    <w:rsid w:val="00915869"/>
    <w:rsid w:val="00916F59"/>
    <w:rsid w:val="00917D9D"/>
    <w:rsid w:val="00920AA4"/>
    <w:rsid w:val="00922997"/>
    <w:rsid w:val="00922B83"/>
    <w:rsid w:val="00924118"/>
    <w:rsid w:val="0093281F"/>
    <w:rsid w:val="00932E93"/>
    <w:rsid w:val="009355B3"/>
    <w:rsid w:val="009509AB"/>
    <w:rsid w:val="009514F5"/>
    <w:rsid w:val="00951C9E"/>
    <w:rsid w:val="0095224D"/>
    <w:rsid w:val="00953BD0"/>
    <w:rsid w:val="009612B0"/>
    <w:rsid w:val="00961C0C"/>
    <w:rsid w:val="009624C3"/>
    <w:rsid w:val="00962951"/>
    <w:rsid w:val="00963AB8"/>
    <w:rsid w:val="00966A20"/>
    <w:rsid w:val="00967F3C"/>
    <w:rsid w:val="009731A2"/>
    <w:rsid w:val="0097381C"/>
    <w:rsid w:val="00974289"/>
    <w:rsid w:val="009760FB"/>
    <w:rsid w:val="009767E8"/>
    <w:rsid w:val="00984449"/>
    <w:rsid w:val="00990445"/>
    <w:rsid w:val="009916F5"/>
    <w:rsid w:val="00992ACD"/>
    <w:rsid w:val="009A07C2"/>
    <w:rsid w:val="009A22C6"/>
    <w:rsid w:val="009A2451"/>
    <w:rsid w:val="009A7D7A"/>
    <w:rsid w:val="009B1379"/>
    <w:rsid w:val="009B1E6C"/>
    <w:rsid w:val="009C084A"/>
    <w:rsid w:val="009C0CD1"/>
    <w:rsid w:val="009C4679"/>
    <w:rsid w:val="009C5C0C"/>
    <w:rsid w:val="009D1D4E"/>
    <w:rsid w:val="009D31DE"/>
    <w:rsid w:val="009D5924"/>
    <w:rsid w:val="009D5982"/>
    <w:rsid w:val="009D5ACE"/>
    <w:rsid w:val="009E19C8"/>
    <w:rsid w:val="009E2342"/>
    <w:rsid w:val="009F0D79"/>
    <w:rsid w:val="009F0DEC"/>
    <w:rsid w:val="009F1A19"/>
    <w:rsid w:val="009F27C6"/>
    <w:rsid w:val="00A04153"/>
    <w:rsid w:val="00A04844"/>
    <w:rsid w:val="00A04866"/>
    <w:rsid w:val="00A04E4E"/>
    <w:rsid w:val="00A062FD"/>
    <w:rsid w:val="00A12146"/>
    <w:rsid w:val="00A127F4"/>
    <w:rsid w:val="00A13293"/>
    <w:rsid w:val="00A23077"/>
    <w:rsid w:val="00A23E36"/>
    <w:rsid w:val="00A250A4"/>
    <w:rsid w:val="00A2522A"/>
    <w:rsid w:val="00A30C48"/>
    <w:rsid w:val="00A31EEF"/>
    <w:rsid w:val="00A4082E"/>
    <w:rsid w:val="00A41EA8"/>
    <w:rsid w:val="00A43968"/>
    <w:rsid w:val="00A46236"/>
    <w:rsid w:val="00A5158E"/>
    <w:rsid w:val="00A528A8"/>
    <w:rsid w:val="00A53DE0"/>
    <w:rsid w:val="00A540C0"/>
    <w:rsid w:val="00A6011B"/>
    <w:rsid w:val="00A602B4"/>
    <w:rsid w:val="00A6197E"/>
    <w:rsid w:val="00A627BD"/>
    <w:rsid w:val="00A679E4"/>
    <w:rsid w:val="00A67EF8"/>
    <w:rsid w:val="00A727AF"/>
    <w:rsid w:val="00A74A3C"/>
    <w:rsid w:val="00A75D51"/>
    <w:rsid w:val="00A75F48"/>
    <w:rsid w:val="00A77120"/>
    <w:rsid w:val="00A771C9"/>
    <w:rsid w:val="00A821F8"/>
    <w:rsid w:val="00A90732"/>
    <w:rsid w:val="00A91229"/>
    <w:rsid w:val="00A91A0A"/>
    <w:rsid w:val="00A95406"/>
    <w:rsid w:val="00A95703"/>
    <w:rsid w:val="00AA1BD4"/>
    <w:rsid w:val="00AA3048"/>
    <w:rsid w:val="00AA3E19"/>
    <w:rsid w:val="00AA43B7"/>
    <w:rsid w:val="00AA50F6"/>
    <w:rsid w:val="00AC3DA8"/>
    <w:rsid w:val="00AC3DEE"/>
    <w:rsid w:val="00AC473E"/>
    <w:rsid w:val="00AC72FB"/>
    <w:rsid w:val="00AD3EA2"/>
    <w:rsid w:val="00AD61F9"/>
    <w:rsid w:val="00AD651E"/>
    <w:rsid w:val="00AE1F74"/>
    <w:rsid w:val="00AE5CE1"/>
    <w:rsid w:val="00AE67CA"/>
    <w:rsid w:val="00AE7F07"/>
    <w:rsid w:val="00AF3619"/>
    <w:rsid w:val="00AF707C"/>
    <w:rsid w:val="00B11287"/>
    <w:rsid w:val="00B11F50"/>
    <w:rsid w:val="00B203D9"/>
    <w:rsid w:val="00B241C0"/>
    <w:rsid w:val="00B262E4"/>
    <w:rsid w:val="00B27FDA"/>
    <w:rsid w:val="00B41399"/>
    <w:rsid w:val="00B414CD"/>
    <w:rsid w:val="00B468D5"/>
    <w:rsid w:val="00B47C5D"/>
    <w:rsid w:val="00B47E65"/>
    <w:rsid w:val="00B57D55"/>
    <w:rsid w:val="00B6542C"/>
    <w:rsid w:val="00B65D17"/>
    <w:rsid w:val="00B663A1"/>
    <w:rsid w:val="00B7015D"/>
    <w:rsid w:val="00B73783"/>
    <w:rsid w:val="00B763F1"/>
    <w:rsid w:val="00B82803"/>
    <w:rsid w:val="00B82DA2"/>
    <w:rsid w:val="00B82E80"/>
    <w:rsid w:val="00B904B9"/>
    <w:rsid w:val="00B9265B"/>
    <w:rsid w:val="00B9382B"/>
    <w:rsid w:val="00B9568B"/>
    <w:rsid w:val="00B960E8"/>
    <w:rsid w:val="00BB0D88"/>
    <w:rsid w:val="00BB6E3C"/>
    <w:rsid w:val="00BC0E21"/>
    <w:rsid w:val="00BC4451"/>
    <w:rsid w:val="00BC7058"/>
    <w:rsid w:val="00BD431F"/>
    <w:rsid w:val="00BD7541"/>
    <w:rsid w:val="00BD7BF2"/>
    <w:rsid w:val="00BE0D9B"/>
    <w:rsid w:val="00BE1FB0"/>
    <w:rsid w:val="00BE6181"/>
    <w:rsid w:val="00BF1D7A"/>
    <w:rsid w:val="00BF44C5"/>
    <w:rsid w:val="00BF700A"/>
    <w:rsid w:val="00C00244"/>
    <w:rsid w:val="00C05420"/>
    <w:rsid w:val="00C06111"/>
    <w:rsid w:val="00C07DDF"/>
    <w:rsid w:val="00C11519"/>
    <w:rsid w:val="00C122C7"/>
    <w:rsid w:val="00C15A1F"/>
    <w:rsid w:val="00C166E0"/>
    <w:rsid w:val="00C25EF3"/>
    <w:rsid w:val="00C3187B"/>
    <w:rsid w:val="00C321AE"/>
    <w:rsid w:val="00C3257B"/>
    <w:rsid w:val="00C32762"/>
    <w:rsid w:val="00C33919"/>
    <w:rsid w:val="00C3441C"/>
    <w:rsid w:val="00C364E7"/>
    <w:rsid w:val="00C428EA"/>
    <w:rsid w:val="00C43F72"/>
    <w:rsid w:val="00C53E87"/>
    <w:rsid w:val="00C54A83"/>
    <w:rsid w:val="00C551DA"/>
    <w:rsid w:val="00C56EC3"/>
    <w:rsid w:val="00C63270"/>
    <w:rsid w:val="00C64F38"/>
    <w:rsid w:val="00C675A5"/>
    <w:rsid w:val="00C73B13"/>
    <w:rsid w:val="00C763B9"/>
    <w:rsid w:val="00C812A6"/>
    <w:rsid w:val="00C82C98"/>
    <w:rsid w:val="00C864D5"/>
    <w:rsid w:val="00C86BE2"/>
    <w:rsid w:val="00C86E44"/>
    <w:rsid w:val="00C87725"/>
    <w:rsid w:val="00C92AF6"/>
    <w:rsid w:val="00C92B5F"/>
    <w:rsid w:val="00CA3D1E"/>
    <w:rsid w:val="00CB0513"/>
    <w:rsid w:val="00CB243D"/>
    <w:rsid w:val="00CB3A69"/>
    <w:rsid w:val="00CB47EE"/>
    <w:rsid w:val="00CB581F"/>
    <w:rsid w:val="00CC26C3"/>
    <w:rsid w:val="00CC4161"/>
    <w:rsid w:val="00CC7A36"/>
    <w:rsid w:val="00CD1753"/>
    <w:rsid w:val="00CD22F0"/>
    <w:rsid w:val="00CD491F"/>
    <w:rsid w:val="00CD4995"/>
    <w:rsid w:val="00CD4E4B"/>
    <w:rsid w:val="00CD7285"/>
    <w:rsid w:val="00CD7AAF"/>
    <w:rsid w:val="00CE1CE7"/>
    <w:rsid w:val="00CE5193"/>
    <w:rsid w:val="00CF23AC"/>
    <w:rsid w:val="00CF2CF6"/>
    <w:rsid w:val="00CF50F3"/>
    <w:rsid w:val="00CF5FDD"/>
    <w:rsid w:val="00D004C0"/>
    <w:rsid w:val="00D05F4B"/>
    <w:rsid w:val="00D12C23"/>
    <w:rsid w:val="00D1369A"/>
    <w:rsid w:val="00D173F3"/>
    <w:rsid w:val="00D20281"/>
    <w:rsid w:val="00D30B34"/>
    <w:rsid w:val="00D32EE1"/>
    <w:rsid w:val="00D37580"/>
    <w:rsid w:val="00D42EE2"/>
    <w:rsid w:val="00D44C0A"/>
    <w:rsid w:val="00D47553"/>
    <w:rsid w:val="00D4766C"/>
    <w:rsid w:val="00D537EC"/>
    <w:rsid w:val="00D561DF"/>
    <w:rsid w:val="00D60E5E"/>
    <w:rsid w:val="00D71BEF"/>
    <w:rsid w:val="00D71E8C"/>
    <w:rsid w:val="00D7254B"/>
    <w:rsid w:val="00D75518"/>
    <w:rsid w:val="00D805C9"/>
    <w:rsid w:val="00D855E9"/>
    <w:rsid w:val="00D85FF4"/>
    <w:rsid w:val="00D90E41"/>
    <w:rsid w:val="00DA204F"/>
    <w:rsid w:val="00DA5170"/>
    <w:rsid w:val="00DA787E"/>
    <w:rsid w:val="00DC0719"/>
    <w:rsid w:val="00DC0841"/>
    <w:rsid w:val="00DC6E84"/>
    <w:rsid w:val="00DD17C2"/>
    <w:rsid w:val="00DD42B5"/>
    <w:rsid w:val="00DD51B9"/>
    <w:rsid w:val="00DD6225"/>
    <w:rsid w:val="00DD7824"/>
    <w:rsid w:val="00DD7874"/>
    <w:rsid w:val="00DE15D8"/>
    <w:rsid w:val="00DE5886"/>
    <w:rsid w:val="00DE6311"/>
    <w:rsid w:val="00DE7429"/>
    <w:rsid w:val="00DF10CE"/>
    <w:rsid w:val="00DF7CE2"/>
    <w:rsid w:val="00E00D57"/>
    <w:rsid w:val="00E0385C"/>
    <w:rsid w:val="00E04EA0"/>
    <w:rsid w:val="00E0561A"/>
    <w:rsid w:val="00E05BF4"/>
    <w:rsid w:val="00E12023"/>
    <w:rsid w:val="00E12EDE"/>
    <w:rsid w:val="00E1430B"/>
    <w:rsid w:val="00E16AD6"/>
    <w:rsid w:val="00E16F0A"/>
    <w:rsid w:val="00E250B2"/>
    <w:rsid w:val="00E272F8"/>
    <w:rsid w:val="00E31FA7"/>
    <w:rsid w:val="00E358EC"/>
    <w:rsid w:val="00E37B06"/>
    <w:rsid w:val="00E427F7"/>
    <w:rsid w:val="00E43873"/>
    <w:rsid w:val="00E46F6E"/>
    <w:rsid w:val="00E50135"/>
    <w:rsid w:val="00E506F3"/>
    <w:rsid w:val="00E50E59"/>
    <w:rsid w:val="00E52127"/>
    <w:rsid w:val="00E53556"/>
    <w:rsid w:val="00E547B6"/>
    <w:rsid w:val="00E57531"/>
    <w:rsid w:val="00E60951"/>
    <w:rsid w:val="00E6155F"/>
    <w:rsid w:val="00E6402B"/>
    <w:rsid w:val="00E641BC"/>
    <w:rsid w:val="00E644CE"/>
    <w:rsid w:val="00E67BBC"/>
    <w:rsid w:val="00E7109C"/>
    <w:rsid w:val="00E744B2"/>
    <w:rsid w:val="00E744F5"/>
    <w:rsid w:val="00E75416"/>
    <w:rsid w:val="00E75CAC"/>
    <w:rsid w:val="00E804E3"/>
    <w:rsid w:val="00E82A01"/>
    <w:rsid w:val="00E85C65"/>
    <w:rsid w:val="00E90685"/>
    <w:rsid w:val="00E943BA"/>
    <w:rsid w:val="00EA31A1"/>
    <w:rsid w:val="00EA338F"/>
    <w:rsid w:val="00EA72ED"/>
    <w:rsid w:val="00EB0BDC"/>
    <w:rsid w:val="00EB1699"/>
    <w:rsid w:val="00EB3FCD"/>
    <w:rsid w:val="00EB6EFA"/>
    <w:rsid w:val="00EB6FD5"/>
    <w:rsid w:val="00EB733E"/>
    <w:rsid w:val="00EC35F2"/>
    <w:rsid w:val="00EC43F0"/>
    <w:rsid w:val="00EC457E"/>
    <w:rsid w:val="00EC4623"/>
    <w:rsid w:val="00EC49F8"/>
    <w:rsid w:val="00EC519D"/>
    <w:rsid w:val="00ED15C0"/>
    <w:rsid w:val="00ED24A8"/>
    <w:rsid w:val="00ED35C9"/>
    <w:rsid w:val="00ED3D0B"/>
    <w:rsid w:val="00ED3E20"/>
    <w:rsid w:val="00ED63B6"/>
    <w:rsid w:val="00ED763E"/>
    <w:rsid w:val="00EE12DA"/>
    <w:rsid w:val="00EF2925"/>
    <w:rsid w:val="00EF37D7"/>
    <w:rsid w:val="00F01ECA"/>
    <w:rsid w:val="00F04825"/>
    <w:rsid w:val="00F04C31"/>
    <w:rsid w:val="00F068AD"/>
    <w:rsid w:val="00F068F1"/>
    <w:rsid w:val="00F17307"/>
    <w:rsid w:val="00F2080F"/>
    <w:rsid w:val="00F21019"/>
    <w:rsid w:val="00F222D5"/>
    <w:rsid w:val="00F22A91"/>
    <w:rsid w:val="00F24B2D"/>
    <w:rsid w:val="00F26096"/>
    <w:rsid w:val="00F2633A"/>
    <w:rsid w:val="00F3169E"/>
    <w:rsid w:val="00F37A4A"/>
    <w:rsid w:val="00F40F76"/>
    <w:rsid w:val="00F51902"/>
    <w:rsid w:val="00F5359B"/>
    <w:rsid w:val="00F535DA"/>
    <w:rsid w:val="00F55FF3"/>
    <w:rsid w:val="00F5690F"/>
    <w:rsid w:val="00F60903"/>
    <w:rsid w:val="00F710D8"/>
    <w:rsid w:val="00F7172A"/>
    <w:rsid w:val="00F760B0"/>
    <w:rsid w:val="00F824FA"/>
    <w:rsid w:val="00F82A92"/>
    <w:rsid w:val="00F85360"/>
    <w:rsid w:val="00F92971"/>
    <w:rsid w:val="00F9479D"/>
    <w:rsid w:val="00FA0C08"/>
    <w:rsid w:val="00FA2861"/>
    <w:rsid w:val="00FA3547"/>
    <w:rsid w:val="00FA614A"/>
    <w:rsid w:val="00FA63C0"/>
    <w:rsid w:val="00FB0C6C"/>
    <w:rsid w:val="00FB1B25"/>
    <w:rsid w:val="00FB1BE1"/>
    <w:rsid w:val="00FB3930"/>
    <w:rsid w:val="00FB4001"/>
    <w:rsid w:val="00FB5978"/>
    <w:rsid w:val="00FC20EA"/>
    <w:rsid w:val="00FC3887"/>
    <w:rsid w:val="00FC6705"/>
    <w:rsid w:val="00FD0E49"/>
    <w:rsid w:val="00FD257E"/>
    <w:rsid w:val="00FD4A6A"/>
    <w:rsid w:val="00FD70AC"/>
    <w:rsid w:val="00FE2E2D"/>
    <w:rsid w:val="00FE584E"/>
    <w:rsid w:val="00FE66F7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Cyrl-U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78A975"/>
  <w15:docId w15:val="{10351CDF-B335-413E-B2F4-22C577CF9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uz-Cyrl-UZ" w:eastAsia="uz-Cyrl-U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1D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263B40"/>
    <w:pPr>
      <w:spacing w:after="0" w:line="240" w:lineRule="auto"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63B40"/>
    <w:rPr>
      <w:rFonts w:asciiTheme="minorHAnsi" w:eastAsiaTheme="minorEastAsia" w:hAnsiTheme="minorHAnsi" w:cstheme="minorBidi"/>
      <w:color w:val="auto"/>
      <w:sz w:val="20"/>
      <w:szCs w:val="20"/>
      <w:lang w:val="uz-Cyrl-UZ" w:eastAsia="uz-Cyrl-UZ"/>
    </w:rPr>
  </w:style>
  <w:style w:type="character" w:styleId="FootnoteReference">
    <w:name w:val="footnote reference"/>
    <w:basedOn w:val="DefaultParagraphFont"/>
    <w:uiPriority w:val="99"/>
    <w:semiHidden/>
    <w:unhideWhenUsed/>
    <w:rsid w:val="00263B4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23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557"/>
  </w:style>
  <w:style w:type="paragraph" w:styleId="Footer">
    <w:name w:val="footer"/>
    <w:basedOn w:val="Normal"/>
    <w:link w:val="FooterChar"/>
    <w:uiPriority w:val="99"/>
    <w:unhideWhenUsed/>
    <w:rsid w:val="00023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557"/>
  </w:style>
  <w:style w:type="paragraph" w:styleId="ListParagraph">
    <w:name w:val="List Paragraph"/>
    <w:basedOn w:val="Normal"/>
    <w:link w:val="ListParagraphChar"/>
    <w:uiPriority w:val="34"/>
    <w:qFormat/>
    <w:rsid w:val="001960F4"/>
    <w:pPr>
      <w:ind w:left="720"/>
      <w:contextualSpacing/>
    </w:pPr>
    <w:rPr>
      <w:rFonts w:asciiTheme="minorHAnsi" w:eastAsiaTheme="minorEastAsia" w:hAnsiTheme="minorHAnsi" w:cstheme="minorBidi"/>
      <w:color w:val="auto"/>
    </w:rPr>
  </w:style>
  <w:style w:type="table" w:customStyle="1" w:styleId="TableGrid2">
    <w:name w:val="Table Grid2"/>
    <w:basedOn w:val="TableNormal"/>
    <w:next w:val="TableGrid"/>
    <w:uiPriority w:val="59"/>
    <w:rsid w:val="001960F4"/>
    <w:pPr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1960F4"/>
    <w:pPr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196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2Char">
    <w:name w:val="Char Char Char2 Char"/>
    <w:basedOn w:val="Normal"/>
    <w:rsid w:val="00A77120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Cyrl-C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D47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4775"/>
    <w:pPr>
      <w:spacing w:line="240" w:lineRule="auto"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4775"/>
    <w:rPr>
      <w:rFonts w:asciiTheme="minorHAnsi" w:eastAsiaTheme="minorEastAsia" w:hAnsiTheme="minorHAnsi" w:cstheme="minorBidi"/>
      <w:color w:val="auto"/>
      <w:sz w:val="20"/>
      <w:szCs w:val="20"/>
      <w:lang w:val="uz-Cyrl-UZ" w:eastAsia="uz-Cyrl-UZ"/>
    </w:rPr>
  </w:style>
  <w:style w:type="paragraph" w:customStyle="1" w:styleId="Normal1">
    <w:name w:val="Normal1"/>
    <w:rsid w:val="003D477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4775"/>
    <w:rPr>
      <w:rFonts w:ascii="Calibri" w:eastAsia="Calibri" w:hAnsi="Calibri" w:cs="Calibri"/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4775"/>
    <w:rPr>
      <w:rFonts w:asciiTheme="minorHAnsi" w:eastAsiaTheme="minorEastAsia" w:hAnsiTheme="minorHAnsi" w:cstheme="minorBidi"/>
      <w:b/>
      <w:bCs/>
      <w:color w:val="auto"/>
      <w:sz w:val="20"/>
      <w:szCs w:val="20"/>
      <w:lang w:val="uz-Cyrl-UZ" w:eastAsia="uz-Cyrl-UZ"/>
    </w:rPr>
  </w:style>
  <w:style w:type="character" w:customStyle="1" w:styleId="ListParagraphChar">
    <w:name w:val="List Paragraph Char"/>
    <w:link w:val="ListParagraph"/>
    <w:uiPriority w:val="34"/>
    <w:rsid w:val="00834D91"/>
    <w:rPr>
      <w:rFonts w:asciiTheme="minorHAnsi" w:eastAsiaTheme="minorEastAsia" w:hAnsiTheme="minorHAnsi" w:cstheme="minorBidi"/>
      <w:color w:val="auto"/>
    </w:rPr>
  </w:style>
  <w:style w:type="paragraph" w:customStyle="1" w:styleId="m2775718054655217200msolistparagraph">
    <w:name w:val="m_2775718054655217200msolistparagraph"/>
    <w:basedOn w:val="Normal"/>
    <w:rsid w:val="004F5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0196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05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3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7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7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1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8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1.xml"/><Relationship Id="rId18" Type="http://schemas.openxmlformats.org/officeDocument/2006/relationships/image" Target="media/image4.png"/><Relationship Id="rId26" Type="http://schemas.openxmlformats.org/officeDocument/2006/relationships/chart" Target="charts/chart7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_Worksheet.xlsx"/><Relationship Id="rId17" Type="http://schemas.openxmlformats.org/officeDocument/2006/relationships/package" Target="embeddings/Microsoft_Excel_Worksheet1.xlsx"/><Relationship Id="rId25" Type="http://schemas.openxmlformats.org/officeDocument/2006/relationships/package" Target="embeddings/Microsoft_Excel_Worksheet3.xlsx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chart" Target="charts/chart5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chart" Target="charts/chart3.xml"/><Relationship Id="rId23" Type="http://schemas.openxmlformats.org/officeDocument/2006/relationships/package" Target="embeddings/Microsoft_Excel_Worksheet2.xlsx"/><Relationship Id="rId28" Type="http://schemas.openxmlformats.org/officeDocument/2006/relationships/fontTable" Target="fontTable.xml"/><Relationship Id="rId10" Type="http://schemas.openxmlformats.org/officeDocument/2006/relationships/hyperlink" Target="http://portal.ujn.gov.rs" TargetMode="External"/><Relationship Id="rId19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hyperlink" Target="http://www.ujn.gov.rs" TargetMode="External"/><Relationship Id="rId14" Type="http://schemas.openxmlformats.org/officeDocument/2006/relationships/chart" Target="charts/chart2.xml"/><Relationship Id="rId22" Type="http://schemas.openxmlformats.org/officeDocument/2006/relationships/image" Target="media/image5.emf"/><Relationship Id="rId27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laden%20Alempijevic\Documents\IZVESTAJI%20ZA%20VLADU\Godisnji%20izvestaj%20za%20prvo%20polugodiste%202018.%20godine\1p%202018\Slika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laden%20Alempijevic\Documents\IZVESTAJI%20ZA%20VLADU\Godisnji%20izvestaj%20za%20prvo%20polugodiste%202018.%20godine\1p%202018\Slika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lempml.UJN\Documents\Izvestaji\Polugodisnji%20izvestaj%20za%202017.%20godinu\Slika%202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laden%20Alempijevic\Documents\IZVESTAJI%20ZA%20VLADU\Godisnji%20izvestaj%20za%20prvo%20polugodiste%202018.%20godine\1p%202018\Slika%206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laden%20Alempijevic\Documents\IZVESTAJI%20ZA%20VLADU\Godisnji%20izvestaj%20za%20prvo%20polugodiste%202018.%20godine\Slika%206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laden%20Alempijevic\Documents\IZVESTAJI%20ZA%20VLADU\Godisnji%20izvestaj%20za%20prvo%20polugodiste%202018.%20godine\1p%202018\Slika%207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laden%20Alempijevic\Documents\IZVESTAJI%20ZA%20VLADU\Polugodisnji%20izvestaj%20za%202017.%20godinu\1p2016-tabele\Slika1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sr-Cyrl-RS" sz="1400"/>
              <a:t>Структуктура јавних набавки у вредности </a:t>
            </a:r>
          </a:p>
          <a:p>
            <a:pPr>
              <a:defRPr sz="1400"/>
            </a:pPr>
            <a:r>
              <a:rPr lang="sr-Cyrl-RS" sz="1400"/>
              <a:t>по предмету набавке</a:t>
            </a:r>
            <a:endParaRPr lang="sr-Latn-RS" sz="14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26738800194903839"/>
          <c:y val="0.2387202614379085"/>
          <c:w val="0.43577941176470586"/>
          <c:h val="0.72629901960784315"/>
        </c:manualLayout>
      </c:layout>
      <c:pieChart>
        <c:varyColors val="1"/>
        <c:ser>
          <c:idx val="0"/>
          <c:order val="0"/>
          <c:explosion val="10"/>
          <c:dPt>
            <c:idx val="0"/>
            <c:bubble3D val="0"/>
            <c:explosion val="23"/>
            <c:extLst>
              <c:ext xmlns:c16="http://schemas.microsoft.com/office/drawing/2014/chart" uri="{C3380CC4-5D6E-409C-BE32-E72D297353CC}">
                <c16:uniqueId val="{00000001-76DC-43AB-8082-5833044A0039}"/>
              </c:ext>
            </c:extLst>
          </c:dPt>
          <c:dPt>
            <c:idx val="1"/>
            <c:bubble3D val="0"/>
            <c:explosion val="5"/>
            <c:extLst>
              <c:ext xmlns:c16="http://schemas.microsoft.com/office/drawing/2014/chart" uri="{C3380CC4-5D6E-409C-BE32-E72D297353CC}">
                <c16:uniqueId val="{00000003-76DC-43AB-8082-5833044A0039}"/>
              </c:ext>
            </c:extLst>
          </c:dPt>
          <c:dPt>
            <c:idx val="2"/>
            <c:bubble3D val="0"/>
            <c:explosion val="5"/>
            <c:extLst>
              <c:ext xmlns:c16="http://schemas.microsoft.com/office/drawing/2014/chart" uri="{C3380CC4-5D6E-409C-BE32-E72D297353CC}">
                <c16:uniqueId val="{00000005-76DC-43AB-8082-5833044A003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aseline="0">
                    <a:latin typeface="Times New Roman" panose="02020603050405020304" pitchFamily="18" charset="0"/>
                  </a:defRPr>
                </a:pPr>
                <a:endParaRPr lang="sr-Latn-RS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Sheet1!$B$3:$B$5</c:f>
              <c:strCache>
                <c:ptCount val="3"/>
                <c:pt idx="0">
                  <c:v>добра</c:v>
                </c:pt>
                <c:pt idx="1">
                  <c:v>услуге </c:v>
                </c:pt>
                <c:pt idx="2">
                  <c:v>радови</c:v>
                </c:pt>
              </c:strCache>
            </c:strRef>
          </c:cat>
          <c:val>
            <c:numRef>
              <c:f>Sheet1!$C$3:$C$5</c:f>
              <c:numCache>
                <c:formatCode>0%</c:formatCode>
                <c:ptCount val="3"/>
                <c:pt idx="0">
                  <c:v>0.49</c:v>
                </c:pt>
                <c:pt idx="1">
                  <c:v>0.25</c:v>
                </c:pt>
                <c:pt idx="2">
                  <c:v>0.26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76DC-43AB-8082-5833044A00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81232372549019594"/>
          <c:y val="0.33942124183006533"/>
          <c:w val="0.17273509803921572"/>
          <c:h val="0.3671846405228758"/>
        </c:manualLayout>
      </c:layout>
      <c:overlay val="0"/>
      <c:txPr>
        <a:bodyPr/>
        <a:lstStyle/>
        <a:p>
          <a:pPr>
            <a:defRPr sz="14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sr-Cyrl-RS" sz="1400"/>
              <a:t>Структуктура јавних набавки у броју </a:t>
            </a:r>
          </a:p>
          <a:p>
            <a:pPr>
              <a:defRPr sz="1400"/>
            </a:pPr>
            <a:r>
              <a:rPr lang="sr-Cyrl-RS" sz="1400"/>
              <a:t>по предмету набавке</a:t>
            </a:r>
            <a:endParaRPr lang="sr-Latn-RS" sz="14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23098684399094271"/>
          <c:y val="0.25532156862745098"/>
          <c:w val="0.43577941176470586"/>
          <c:h val="0.72629901960784315"/>
        </c:manualLayout>
      </c:layout>
      <c:pieChart>
        <c:varyColors val="1"/>
        <c:ser>
          <c:idx val="0"/>
          <c:order val="0"/>
          <c:explosion val="16"/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CF64-43C1-ADCB-98A7E675A233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CF64-43C1-ADCB-98A7E675A233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CF64-43C1-ADCB-98A7E675A23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aseline="0">
                    <a:latin typeface="Times New Roman" panose="02020603050405020304" pitchFamily="18" charset="0"/>
                  </a:defRPr>
                </a:pPr>
                <a:endParaRPr lang="sr-Latn-RS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Sheet1!$B$3:$B$5</c:f>
              <c:strCache>
                <c:ptCount val="3"/>
                <c:pt idx="0">
                  <c:v>добра</c:v>
                </c:pt>
                <c:pt idx="1">
                  <c:v>услуге </c:v>
                </c:pt>
                <c:pt idx="2">
                  <c:v>радови</c:v>
                </c:pt>
              </c:strCache>
            </c:strRef>
          </c:cat>
          <c:val>
            <c:numRef>
              <c:f>Sheet1!$C$3:$C$5</c:f>
              <c:numCache>
                <c:formatCode>#,##0</c:formatCode>
                <c:ptCount val="3"/>
                <c:pt idx="0">
                  <c:v>35796</c:v>
                </c:pt>
                <c:pt idx="1">
                  <c:v>18912</c:v>
                </c:pt>
                <c:pt idx="2">
                  <c:v>4657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F64-43C1-ADCB-98A7E675A2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81232372549019594"/>
          <c:y val="0.33942124183006533"/>
          <c:w val="0.17273509803921572"/>
          <c:h val="0.3671846405228758"/>
        </c:manualLayout>
      </c:layout>
      <c:overlay val="0"/>
      <c:txPr>
        <a:bodyPr/>
        <a:lstStyle/>
        <a:p>
          <a:pPr>
            <a:defRPr sz="14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x-none" sz="1200"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x-none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закључених уговора по врсти поступка </a:t>
            </a:r>
          </a:p>
          <a:p>
            <a:pPr>
              <a:defRPr sz="1200"/>
            </a:pPr>
            <a:r>
              <a:rPr lang="x-none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у првом полугодишту 201</a:t>
            </a:r>
            <a:r>
              <a:rPr lang="sr-Cyrl-CS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8</a:t>
            </a:r>
            <a:r>
              <a:rPr lang="x-none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. године</a:t>
            </a:r>
            <a:endParaRPr lang="x-none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explosion val="25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Sheet1!$C$5:$C$7</c:f>
              <c:strCache>
                <c:ptCount val="3"/>
                <c:pt idx="0">
                  <c:v>отворени поступак</c:v>
                </c:pt>
                <c:pt idx="1">
                  <c:v>преговарачки поступак без објављивања</c:v>
                </c:pt>
                <c:pt idx="2">
                  <c:v>остало</c:v>
                </c:pt>
              </c:strCache>
            </c:strRef>
          </c:cat>
          <c:val>
            <c:numRef>
              <c:f>Sheet1!$D$5:$D$7</c:f>
              <c:numCache>
                <c:formatCode>0%</c:formatCode>
                <c:ptCount val="3"/>
                <c:pt idx="0">
                  <c:v>0.93</c:v>
                </c:pt>
                <c:pt idx="1">
                  <c:v>0.03</c:v>
                </c:pt>
                <c:pt idx="2">
                  <c:v>0.04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72F-4DCD-B2FC-B7A672FF41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layout>
        <c:manualLayout>
          <c:xMode val="edge"/>
          <c:yMode val="edge"/>
          <c:x val="6.0338801399824997E-2"/>
          <c:y val="0.869958836471867"/>
          <c:w val="0.89876684164479503"/>
          <c:h val="0.102263543388281"/>
        </c:manualLayout>
      </c:layout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Cyrl-RS" sz="1400">
                <a:latin typeface="Times New Roman" panose="02020603050405020304" pitchFamily="18" charset="0"/>
                <a:cs typeface="Times New Roman" panose="02020603050405020304" pitchFamily="18" charset="0"/>
              </a:rPr>
              <a:t>Процентуално</a:t>
            </a:r>
            <a:r>
              <a:rPr lang="sr-Cyrl-RS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учешће основа за </a:t>
            </a:r>
            <a:r>
              <a:rPr lang="sr-Cyrl-RS" sz="1400">
                <a:latin typeface="Times New Roman" panose="02020603050405020304" pitchFamily="18" charset="0"/>
                <a:cs typeface="Times New Roman" panose="02020603050405020304" pitchFamily="18" charset="0"/>
              </a:rPr>
              <a:t>преговарачки</a:t>
            </a:r>
            <a:r>
              <a:rPr lang="sr-Cyrl-RS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поступак без објављивању 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Sheet1!$D$5</c:f>
              <c:strCache>
                <c:ptCount val="1"/>
                <c:pt idx="0">
                  <c:v>2018 1П</c:v>
                </c:pt>
              </c:strCache>
            </c:strRef>
          </c:tx>
          <c:dPt>
            <c:idx val="0"/>
            <c:bubble3D val="0"/>
            <c:explosion val="4"/>
            <c:extLst>
              <c:ext xmlns:c16="http://schemas.microsoft.com/office/drawing/2014/chart" uri="{C3380CC4-5D6E-409C-BE32-E72D297353CC}">
                <c16:uniqueId val="{00000001-D1FD-4859-9A8F-F699CB1A5254}"/>
              </c:ext>
            </c:extLst>
          </c:dPt>
          <c:dPt>
            <c:idx val="1"/>
            <c:bubble3D val="0"/>
            <c:explosion val="5"/>
            <c:extLst>
              <c:ext xmlns:c16="http://schemas.microsoft.com/office/drawing/2014/chart" uri="{C3380CC4-5D6E-409C-BE32-E72D297353CC}">
                <c16:uniqueId val="{00000003-D1FD-4859-9A8F-F699CB1A5254}"/>
              </c:ext>
            </c:extLst>
          </c:dPt>
          <c:dPt>
            <c:idx val="2"/>
            <c:bubble3D val="0"/>
            <c:explosion val="4"/>
            <c:extLst>
              <c:ext xmlns:c16="http://schemas.microsoft.com/office/drawing/2014/chart" uri="{C3380CC4-5D6E-409C-BE32-E72D297353CC}">
                <c16:uniqueId val="{00000005-D1FD-4859-9A8F-F699CB1A5254}"/>
              </c:ext>
            </c:extLst>
          </c:dPt>
          <c:dPt>
            <c:idx val="3"/>
            <c:bubble3D val="0"/>
            <c:explosion val="4"/>
            <c:extLst>
              <c:ext xmlns:c16="http://schemas.microsoft.com/office/drawing/2014/chart" uri="{C3380CC4-5D6E-409C-BE32-E72D297353CC}">
                <c16:uniqueId val="{00000007-D1FD-4859-9A8F-F699CB1A5254}"/>
              </c:ext>
            </c:extLst>
          </c:dPt>
          <c:dLbls>
            <c:dLbl>
              <c:idx val="0"/>
              <c:layout>
                <c:manualLayout>
                  <c:x val="1.4539402173913044E-2"/>
                  <c:y val="5.1168478260869565E-3"/>
                </c:manualLayout>
              </c:layout>
              <c:tx>
                <c:rich>
                  <a:bodyPr/>
                  <a:lstStyle/>
                  <a:p>
                    <a:fld id="{5F21E0AB-4164-4C5A-A735-2D8280AC72F0}" type="CELLREF">
                      <a:rPr lang="en-US"/>
                      <a:pPr/>
                      <a:t>[CELLREF]</a:t>
                    </a:fld>
                    <a:endParaRPr lang="sr-Latn-RS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{5F21E0AB-4164-4C5A-A735-2D8280AC72F0}</c15:txfldGUID>
                      <c15:f>Sheet1!$D$6</c15:f>
                      <c15:dlblFieldTableCache>
                        <c:ptCount val="1"/>
                        <c:pt idx="0">
                          <c:v>22%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1-D1FD-4859-9A8F-F699CB1A5254}"/>
                </c:ext>
              </c:extLst>
            </c:dLbl>
            <c:dLbl>
              <c:idx val="1"/>
              <c:layout>
                <c:manualLayout>
                  <c:x val="0.14633088768115943"/>
                  <c:y val="-5.2416062801932367E-2"/>
                </c:manualLayout>
              </c:layout>
              <c:tx>
                <c:rich>
                  <a:bodyPr/>
                  <a:lstStyle/>
                  <a:p>
                    <a:fld id="{2B85A0B0-AE31-41F3-923B-E77FDD218AEA}" type="CELLREF">
                      <a:rPr lang="en-US"/>
                      <a:pPr/>
                      <a:t>[CELLREF]</a:t>
                    </a:fld>
                    <a:endParaRPr lang="sr-Latn-RS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{2B85A0B0-AE31-41F3-923B-E77FDD218AEA}</c15:txfldGUID>
                      <c15:f>Sheet1!$D$7</c15:f>
                      <c15:dlblFieldTableCache>
                        <c:ptCount val="1"/>
                        <c:pt idx="0">
                          <c:v>65%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3-D1FD-4859-9A8F-F699CB1A5254}"/>
                </c:ext>
              </c:extLst>
            </c:dLbl>
            <c:dLbl>
              <c:idx val="2"/>
              <c:layout>
                <c:manualLayout>
                  <c:x val="-1.4850815217391315E-2"/>
                  <c:y val="1.3872584541062766E-2"/>
                </c:manualLayout>
              </c:layout>
              <c:tx>
                <c:rich>
                  <a:bodyPr/>
                  <a:lstStyle/>
                  <a:p>
                    <a:fld id="{A412A72D-E07B-480E-BE54-630FDBDF6990}" type="CELLREF">
                      <a:rPr lang="en-US"/>
                      <a:pPr/>
                      <a:t>[CELLREF]</a:t>
                    </a:fld>
                    <a:endParaRPr lang="sr-Latn-RS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{A412A72D-E07B-480E-BE54-630FDBDF6990}</c15:txfldGUID>
                      <c15:f>Sheet1!$D$8</c15:f>
                      <c15:dlblFieldTableCache>
                        <c:ptCount val="1"/>
                        <c:pt idx="0">
                          <c:v>22%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5-D1FD-4859-9A8F-F699CB1A5254}"/>
                </c:ext>
              </c:extLst>
            </c:dLbl>
            <c:dLbl>
              <c:idx val="3"/>
              <c:layout>
                <c:manualLayout>
                  <c:x val="1.0265571382500336E-3"/>
                  <c:y val="-2.5815900529212372E-3"/>
                </c:manualLayout>
              </c:layout>
              <c:tx>
                <c:rich>
                  <a:bodyPr/>
                  <a:lstStyle/>
                  <a:p>
                    <a:fld id="{4016DA23-05F5-4E88-A916-CB7507379092}" type="CELLREF">
                      <a:rPr lang="en-US"/>
                      <a:pPr/>
                      <a:t>[CELLREF]</a:t>
                    </a:fld>
                    <a:endParaRPr lang="sr-Latn-RS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{4016DA23-05F5-4E88-A916-CB7507379092}</c15:txfldGUID>
                      <c15:f>Sheet1!$D$9</c15:f>
                      <c15:dlblFieldTableCache>
                        <c:ptCount val="1"/>
                        <c:pt idx="0">
                          <c:v>4%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7-D1FD-4859-9A8F-F699CB1A5254}"/>
                </c:ext>
              </c:extLst>
            </c:dLbl>
            <c:dLbl>
              <c:idx val="4"/>
              <c:layout>
                <c:manualLayout>
                  <c:x val="3.3382221320356127E-2"/>
                  <c:y val="-6.5951487607673201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1FD-4859-9A8F-F699CB1A525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Sheet1!$C$6:$C$10</c:f>
              <c:strCache>
                <c:ptCount val="5"/>
                <c:pt idx="0">
                  <c:v>хитност</c:v>
                </c:pt>
                <c:pt idx="1">
                  <c:v>тачно одређени понуђач</c:v>
                </c:pt>
                <c:pt idx="2">
                  <c:v>неуспели отворени и рестриктивни</c:v>
                </c:pt>
                <c:pt idx="3">
                  <c:v>додатни радови и услуге</c:v>
                </c:pt>
                <c:pt idx="4">
                  <c:v>додатне испоруке добара од првобитног добављача</c:v>
                </c:pt>
              </c:strCache>
            </c:strRef>
          </c:cat>
          <c:val>
            <c:numRef>
              <c:f>Sheet1!$D$6:$D$10</c:f>
              <c:numCache>
                <c:formatCode>0%</c:formatCode>
                <c:ptCount val="5"/>
                <c:pt idx="0">
                  <c:v>0.22</c:v>
                </c:pt>
                <c:pt idx="1">
                  <c:v>0.65</c:v>
                </c:pt>
                <c:pt idx="2">
                  <c:v>0.22</c:v>
                </c:pt>
                <c:pt idx="3">
                  <c:v>0.04</c:v>
                </c:pt>
                <c:pt idx="4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D1FD-4859-9A8F-F699CB1A5254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Cyrl-RS" sz="1400">
                <a:latin typeface="Times New Roman" panose="02020603050405020304" pitchFamily="18" charset="0"/>
                <a:cs typeface="Times New Roman" panose="02020603050405020304" pitchFamily="18" charset="0"/>
              </a:rPr>
              <a:t>Преговарачки</a:t>
            </a:r>
            <a:r>
              <a:rPr lang="sr-Cyrl-RS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поступак без објављивања </a:t>
            </a:r>
          </a:p>
          <a:p>
            <a:pPr>
              <a:defRPr/>
            </a:pPr>
            <a:r>
              <a:rPr lang="sr-Cyrl-RS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по најчешћем основу за примену </a:t>
            </a:r>
            <a:endParaRPr lang="sr-Latn-RS" sz="14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3.2210144927536231E-2"/>
          <c:y val="0.29662892512077293"/>
          <c:w val="0.94938405797101444"/>
          <c:h val="0.5452732487922705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Sheet1!$D$5</c:f>
              <c:strCache>
                <c:ptCount val="1"/>
                <c:pt idx="0">
                  <c:v>2017 1П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5307971014492753E-2"/>
                  <c:y val="-1.1503623188405938E-2"/>
                </c:manualLayout>
              </c:layout>
              <c:tx>
                <c:rich>
                  <a:bodyPr/>
                  <a:lstStyle/>
                  <a:p>
                    <a:fld id="{5F21E0AB-4164-4C5A-A735-2D8280AC72F0}" type="CELLREF">
                      <a:rPr lang="en-US"/>
                      <a:pPr/>
                      <a:t>[CELLREF]</a:t>
                    </a:fld>
                    <a:endParaRPr lang="sr-Latn-R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{5F21E0AB-4164-4C5A-A735-2D8280AC72F0}</c15:txfldGUID>
                      <c15:f>'[Slika 6.xlsx]Sheet1'!$D$6</c15:f>
                      <c15:dlblFieldTableCache>
                        <c:ptCount val="1"/>
                        <c:pt idx="0">
                          <c:v>216.466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0-2024-44B0-9FBA-0CBFAE596F07}"/>
                </c:ext>
              </c:extLst>
            </c:dLbl>
            <c:dLbl>
              <c:idx val="1"/>
              <c:layout>
                <c:manualLayout>
                  <c:x val="-5.0615942028985547E-2"/>
                  <c:y val="-1.1503623188405797E-2"/>
                </c:manualLayout>
              </c:layout>
              <c:tx>
                <c:rich>
                  <a:bodyPr/>
                  <a:lstStyle/>
                  <a:p>
                    <a:fld id="{2B85A0B0-AE31-41F3-923B-E77FDD218AEA}" type="CELLREF">
                      <a:rPr lang="en-US"/>
                      <a:pPr/>
                      <a:t>[CELLREF]</a:t>
                    </a:fld>
                    <a:endParaRPr lang="sr-Latn-R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{2B85A0B0-AE31-41F3-923B-E77FDD218AEA}</c15:txfldGUID>
                      <c15:f>'[Slika 6.xlsx]Sheet1'!$D$7</c15:f>
                      <c15:dlblFieldTableCache>
                        <c:ptCount val="1"/>
                        <c:pt idx="0">
                          <c:v>2.901.319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1-2024-44B0-9FBA-0CBFAE596F07}"/>
                </c:ext>
              </c:extLst>
            </c:dLbl>
            <c:dLbl>
              <c:idx val="2"/>
              <c:layout>
                <c:manualLayout>
                  <c:x val="-2.2222222222222223E-2"/>
                  <c:y val="-4.6299941673957424E-3"/>
                </c:manualLayout>
              </c:layout>
              <c:tx>
                <c:rich>
                  <a:bodyPr/>
                  <a:lstStyle/>
                  <a:p>
                    <a:fld id="{A412A72D-E07B-480E-BE54-630FDBDF6990}" type="CELLREF">
                      <a:rPr lang="en-US"/>
                      <a:pPr/>
                      <a:t>[CELLREF]</a:t>
                    </a:fld>
                    <a:endParaRPr lang="sr-Latn-R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{A412A72D-E07B-480E-BE54-630FDBDF6990}</c15:txfldGUID>
                      <c15:f>'[Slika 6.xlsx]Sheet1'!$D$8</c15:f>
                      <c15:dlblFieldTableCache>
                        <c:ptCount val="1"/>
                        <c:pt idx="0">
                          <c:v>438.185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2-2024-44B0-9FBA-0CBFAE596F07}"/>
                </c:ext>
              </c:extLst>
            </c:dLbl>
            <c:dLbl>
              <c:idx val="3"/>
              <c:layout>
                <c:manualLayout>
                  <c:x val="-1.9444663167104113E-2"/>
                  <c:y val="-1.3888888888888805E-2"/>
                </c:manualLayout>
              </c:layout>
              <c:tx>
                <c:rich>
                  <a:bodyPr/>
                  <a:lstStyle/>
                  <a:p>
                    <a:fld id="{4016DA23-05F5-4E88-A916-CB7507379092}" type="CELLREF">
                      <a:rPr lang="en-US"/>
                      <a:pPr/>
                      <a:t>[CELLREF]</a:t>
                    </a:fld>
                    <a:endParaRPr lang="sr-Latn-R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{4016DA23-05F5-4E88-A916-CB7507379092}</c15:txfldGUID>
                      <c15:f>'[Slika 6.xlsx]Sheet1'!$D$9</c15:f>
                      <c15:dlblFieldTableCache>
                        <c:ptCount val="1"/>
                        <c:pt idx="0">
                          <c:v>164.087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3-2024-44B0-9FBA-0CBFAE596F0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Sheet1!$C$6:$C$9</c:f>
              <c:strCache>
                <c:ptCount val="4"/>
                <c:pt idx="0">
                  <c:v>хитност</c:v>
                </c:pt>
                <c:pt idx="1">
                  <c:v>тачно одређени понуђач</c:v>
                </c:pt>
                <c:pt idx="2">
                  <c:v>неуспели отворени и рестриктивни</c:v>
                </c:pt>
                <c:pt idx="3">
                  <c:v>додатни радови и услуге</c:v>
                </c:pt>
              </c:strCache>
            </c:strRef>
          </c:cat>
          <c:val>
            <c:numRef>
              <c:f>Sheet1!$D$6:$D$9</c:f>
              <c:numCache>
                <c:formatCode>#,##0</c:formatCode>
                <c:ptCount val="4"/>
                <c:pt idx="0">
                  <c:v>216466</c:v>
                </c:pt>
                <c:pt idx="1">
                  <c:v>2901319</c:v>
                </c:pt>
                <c:pt idx="2">
                  <c:v>438185</c:v>
                </c:pt>
                <c:pt idx="3">
                  <c:v>164087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024-44B0-9FBA-0CBFAE596F07}"/>
            </c:ext>
          </c:extLst>
        </c:ser>
        <c:ser>
          <c:idx val="1"/>
          <c:order val="1"/>
          <c:tx>
            <c:strRef>
              <c:f>Sheet1!$E$5</c:f>
              <c:strCache>
                <c:ptCount val="1"/>
                <c:pt idx="0">
                  <c:v>2018 1П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7704710144927326E-3"/>
                  <c:y val="-1.6928442028985507E-2"/>
                </c:manualLayout>
              </c:layout>
              <c:tx>
                <c:rich>
                  <a:bodyPr/>
                  <a:lstStyle/>
                  <a:p>
                    <a:fld id="{D14381A4-62A0-4071-A04C-98B100D8BA29}" type="CELLREF">
                      <a:rPr lang="en-US"/>
                      <a:pPr/>
                      <a:t>[CELLREF]</a:t>
                    </a:fld>
                    <a:endParaRPr lang="sr-Latn-R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{D14381A4-62A0-4071-A04C-98B100D8BA29}</c15:txfldGUID>
                      <c15:f>'[Slika 6.xlsx]Sheet1'!$E$6</c15:f>
                      <c15:dlblFieldTableCache>
                        <c:ptCount val="1"/>
                        <c:pt idx="0">
                          <c:v>1.277.766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5-2024-44B0-9FBA-0CBFAE596F07}"/>
                </c:ext>
              </c:extLst>
            </c:dLbl>
            <c:dLbl>
              <c:idx val="1"/>
              <c:layout>
                <c:manualLayout>
                  <c:x val="9.2331521739130434E-3"/>
                  <c:y val="-7.6690821256038648E-3"/>
                </c:manualLayout>
              </c:layout>
              <c:tx>
                <c:rich>
                  <a:bodyPr/>
                  <a:lstStyle/>
                  <a:p>
                    <a:fld id="{721904A0-2D06-4DA5-B76C-C1F5693EE5FF}" type="CELLREF">
                      <a:rPr lang="en-US"/>
                      <a:pPr/>
                      <a:t>[CELLREF]</a:t>
                    </a:fld>
                    <a:endParaRPr lang="sr-Latn-R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{721904A0-2D06-4DA5-B76C-C1F5693EE5FF}</c15:txfldGUID>
                      <c15:f>'[Slika 6.xlsx]Sheet1'!$E$7</c15:f>
                      <c15:dlblFieldTableCache>
                        <c:ptCount val="1"/>
                        <c:pt idx="0">
                          <c:v>3.732.062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6-2024-44B0-9FBA-0CBFAE596F07}"/>
                </c:ext>
              </c:extLst>
            </c:dLbl>
            <c:dLbl>
              <c:idx val="2"/>
              <c:layout>
                <c:manualLayout>
                  <c:x val="2.5000000000000001E-2"/>
                  <c:y val="-2.7777777777777693E-2"/>
                </c:manualLayout>
              </c:layout>
              <c:tx>
                <c:rich>
                  <a:bodyPr/>
                  <a:lstStyle/>
                  <a:p>
                    <a:fld id="{86DD3930-1E07-4273-B089-DF1984FBE4F8}" type="CELLREF">
                      <a:rPr lang="en-US"/>
                      <a:pPr/>
                      <a:t>[CELLREF]</a:t>
                    </a:fld>
                    <a:endParaRPr lang="sr-Latn-R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{86DD3930-1E07-4273-B089-DF1984FBE4F8}</c15:txfldGUID>
                      <c15:f>'[Slika 6.xlsx]Sheet1'!$E$8</c15:f>
                      <c15:dlblFieldTableCache>
                        <c:ptCount val="1"/>
                        <c:pt idx="0">
                          <c:v>527.909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7-2024-44B0-9FBA-0CBFAE596F07}"/>
                </c:ext>
              </c:extLst>
            </c:dLbl>
            <c:dLbl>
              <c:idx val="3"/>
              <c:layout>
                <c:manualLayout>
                  <c:x val="1.6666666666666767E-2"/>
                  <c:y val="-1.8518518518518517E-2"/>
                </c:manualLayout>
              </c:layout>
              <c:tx>
                <c:rich>
                  <a:bodyPr/>
                  <a:lstStyle/>
                  <a:p>
                    <a:fld id="{1F93DA64-13F3-4981-986C-856507956439}" type="CELLREF">
                      <a:rPr lang="en-US"/>
                      <a:pPr/>
                      <a:t>[CELLREF]</a:t>
                    </a:fld>
                    <a:endParaRPr lang="sr-Latn-RS"/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>
                    <c15:dlblFTEntry>
                      <c15:txfldGUID>{1F93DA64-13F3-4981-986C-856507956439}</c15:txfldGUID>
                      <c15:f>'[Slika 6.xlsx]Sheet1'!$E$9</c15:f>
                      <c15:dlblFieldTableCache>
                        <c:ptCount val="1"/>
                        <c:pt idx="0">
                          <c:v>199.235</c:v>
                        </c:pt>
                      </c15:dlblFieldTableCache>
                    </c15:dlblFTEntry>
                  </c15:dlblFieldTable>
                  <c15:showDataLabelsRange val="0"/>
                </c:ext>
                <c:ext xmlns:c16="http://schemas.microsoft.com/office/drawing/2014/chart" uri="{C3380CC4-5D6E-409C-BE32-E72D297353CC}">
                  <c16:uniqueId val="{00000008-2024-44B0-9FBA-0CBFAE596F0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Sheet1!$C$6:$C$9</c:f>
              <c:strCache>
                <c:ptCount val="4"/>
                <c:pt idx="0">
                  <c:v>хитност</c:v>
                </c:pt>
                <c:pt idx="1">
                  <c:v>тачно одређени понуђач</c:v>
                </c:pt>
                <c:pt idx="2">
                  <c:v>неуспели отворени и рестриктивни</c:v>
                </c:pt>
                <c:pt idx="3">
                  <c:v>додатни радови и услуге</c:v>
                </c:pt>
              </c:strCache>
            </c:strRef>
          </c:cat>
          <c:val>
            <c:numRef>
              <c:f>Sheet1!$E$6:$E$9</c:f>
              <c:numCache>
                <c:formatCode>#,##0</c:formatCode>
                <c:ptCount val="4"/>
                <c:pt idx="0">
                  <c:v>1277766</c:v>
                </c:pt>
                <c:pt idx="1">
                  <c:v>3732062</c:v>
                </c:pt>
                <c:pt idx="2">
                  <c:v>527909</c:v>
                </c:pt>
                <c:pt idx="3">
                  <c:v>199235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2024-44B0-9FBA-0CBFAE596F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9053440"/>
        <c:axId val="89657344"/>
      </c:barChart>
      <c:catAx>
        <c:axId val="890534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r-Latn-RS"/>
          </a:p>
        </c:txPr>
        <c:crossAx val="89657344"/>
        <c:crosses val="autoZero"/>
        <c:auto val="1"/>
        <c:lblAlgn val="ctr"/>
        <c:lblOffset val="100"/>
        <c:noMultiLvlLbl val="0"/>
      </c:catAx>
      <c:valAx>
        <c:axId val="89657344"/>
        <c:scaling>
          <c:orientation val="minMax"/>
        </c:scaling>
        <c:delete val="1"/>
        <c:axPos val="l"/>
        <c:numFmt formatCode="#,##0" sourceLinked="1"/>
        <c:majorTickMark val="out"/>
        <c:minorTickMark val="none"/>
        <c:tickLblPos val="nextTo"/>
        <c:crossAx val="89053440"/>
        <c:crosses val="autoZero"/>
        <c:crossBetween val="between"/>
      </c:valAx>
    </c:plotArea>
    <c:legend>
      <c:legendPos val="t"/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Cyrl-RS" sz="1200"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sr-Cyrl-RS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набавки према вредности уговора додељених понуђачима из Србије, ЕУ и држава ван ЕУ у првом полугодишту 201</a:t>
            </a:r>
            <a:r>
              <a:rPr lang="en-US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8</a:t>
            </a:r>
            <a:r>
              <a:rPr lang="sr-Cyrl-RS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. године</a:t>
            </a:r>
            <a:endParaRPr lang="sr-Latn-RS" sz="12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700658295281583"/>
          <c:y val="0.2600187087772704"/>
          <c:w val="0.38764935312024357"/>
          <c:h val="0.64608225520040596"/>
        </c:manualLayout>
      </c:layout>
      <c:pieChart>
        <c:varyColors val="1"/>
        <c:ser>
          <c:idx val="0"/>
          <c:order val="0"/>
          <c:explosion val="25"/>
          <c:dLbls>
            <c:dLbl>
              <c:idx val="1"/>
              <c:layout>
                <c:manualLayout>
                  <c:x val="-3.7557077625570777E-2"/>
                  <c:y val="9.842719431760531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F58-489A-BF70-6A8B7E161FBB}"/>
                </c:ext>
              </c:extLst>
            </c:dLbl>
            <c:dLbl>
              <c:idx val="2"/>
              <c:layout>
                <c:manualLayout>
                  <c:x val="4.4197108066971122E-2"/>
                  <c:y val="7.708650431253175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F58-489A-BF70-6A8B7E161FB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Sheet1!$D$5:$D$7</c:f>
              <c:strCache>
                <c:ptCount val="3"/>
                <c:pt idx="0">
                  <c:v>Србија</c:v>
                </c:pt>
                <c:pt idx="1">
                  <c:v>Европска унија</c:v>
                </c:pt>
                <c:pt idx="2">
                  <c:v>ван Европске уније</c:v>
                </c:pt>
              </c:strCache>
            </c:strRef>
          </c:cat>
          <c:val>
            <c:numRef>
              <c:f>Sheet1!$E$5:$E$7</c:f>
              <c:numCache>
                <c:formatCode>0%</c:formatCode>
                <c:ptCount val="3"/>
                <c:pt idx="0">
                  <c:v>0.97</c:v>
                </c:pt>
                <c:pt idx="1">
                  <c:v>0.02</c:v>
                </c:pt>
                <c:pt idx="2">
                  <c:v>0.01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F58-489A-BF70-6A8B7E161FBB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Sheet1!$C$7</c:f>
              <c:strCache>
                <c:ptCount val="1"/>
                <c:pt idx="0">
                  <c:v>Економски најповољнија понуда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Sheet1!$B$8:$B$9</c:f>
              <c:strCache>
                <c:ptCount val="2"/>
                <c:pt idx="0">
                  <c:v>2017 1П</c:v>
                </c:pt>
                <c:pt idx="1">
                  <c:v>2018 1П</c:v>
                </c:pt>
              </c:strCache>
            </c:strRef>
          </c:cat>
          <c:val>
            <c:numRef>
              <c:f>Sheet1!$C$8:$C$9</c:f>
              <c:numCache>
                <c:formatCode>0%</c:formatCode>
                <c:ptCount val="2"/>
                <c:pt idx="0">
                  <c:v>0.12</c:v>
                </c:pt>
                <c:pt idx="1">
                  <c:v>0.13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98-4EEF-BBC2-10506D40E867}"/>
            </c:ext>
          </c:extLst>
        </c:ser>
        <c:ser>
          <c:idx val="1"/>
          <c:order val="1"/>
          <c:tx>
            <c:strRef>
              <c:f>Sheet1!$D$7</c:f>
              <c:strCache>
                <c:ptCount val="1"/>
                <c:pt idx="0">
                  <c:v>Најнижа понуђена цена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sr-Latn-R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Sheet1!$B$8:$B$9</c:f>
              <c:strCache>
                <c:ptCount val="2"/>
                <c:pt idx="0">
                  <c:v>2017 1П</c:v>
                </c:pt>
                <c:pt idx="1">
                  <c:v>2018 1П</c:v>
                </c:pt>
              </c:strCache>
            </c:strRef>
          </c:cat>
          <c:val>
            <c:numRef>
              <c:f>Sheet1!$D$8:$D$9</c:f>
              <c:numCache>
                <c:formatCode>0%</c:formatCode>
                <c:ptCount val="2"/>
                <c:pt idx="0">
                  <c:v>0.88</c:v>
                </c:pt>
                <c:pt idx="1">
                  <c:v>0.87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098-4EEF-BBC2-10506D40E8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633664"/>
        <c:axId val="43639552"/>
      </c:barChart>
      <c:catAx>
        <c:axId val="43633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sr-Latn-RS"/>
          </a:p>
        </c:txPr>
        <c:crossAx val="43639552"/>
        <c:crosses val="autoZero"/>
        <c:auto val="1"/>
        <c:lblAlgn val="ctr"/>
        <c:lblOffset val="100"/>
        <c:noMultiLvlLbl val="0"/>
      </c:catAx>
      <c:valAx>
        <c:axId val="43639552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43633664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sr-Latn-R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D84D8-15FA-481A-B0AC-A380020E8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33</Pages>
  <Words>6949</Words>
  <Characters>39613</Characters>
  <Application>Microsoft Office Word</Application>
  <DocSecurity>0</DocSecurity>
  <Lines>330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Mladen Alempijevic</dc:creator>
  <cp:lastModifiedBy>Dragana Maric</cp:lastModifiedBy>
  <cp:revision>7</cp:revision>
  <cp:lastPrinted>2018-11-07T13:46:00Z</cp:lastPrinted>
  <dcterms:created xsi:type="dcterms:W3CDTF">2018-11-06T12:17:00Z</dcterms:created>
  <dcterms:modified xsi:type="dcterms:W3CDTF">2018-11-07T13:46:00Z</dcterms:modified>
</cp:coreProperties>
</file>