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bookmarkStart w:id="0" w:name="_GoBack"/>
      <w:bookmarkEnd w:id="0"/>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На основу члана 61. став 10. и члана 77. став 10. Закона о јавним набавкама („Службени гласник РС”, бр. 124/12, 14/15 и 68/15),</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Управа за јавне набавке доноси</w:t>
      </w:r>
    </w:p>
    <w:p w:rsidR="00C57573" w:rsidRPr="00C57573" w:rsidRDefault="00C57573" w:rsidP="00C57573">
      <w:pPr>
        <w:spacing w:before="360" w:after="15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ПРАВИЛНИК</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 xml:space="preserve">о обавезним елементима конкурсне документације </w:t>
      </w:r>
      <w:r w:rsidRPr="00C57573">
        <w:rPr>
          <w:rFonts w:ascii="Verdana" w:eastAsia="Times New Roman" w:hAnsi="Verdana" w:cs="Times New Roman"/>
          <w:b/>
          <w:bCs/>
          <w:sz w:val="15"/>
          <w:szCs w:val="15"/>
          <w:lang w:eastAsia="sr-Latn-RS"/>
        </w:rPr>
        <w:br/>
        <w:t xml:space="preserve">у поступцима јавних набавки и начину доказивања </w:t>
      </w:r>
      <w:r w:rsidRPr="00C57573">
        <w:rPr>
          <w:rFonts w:ascii="Verdana" w:eastAsia="Times New Roman" w:hAnsi="Verdana" w:cs="Times New Roman"/>
          <w:b/>
          <w:bCs/>
          <w:sz w:val="15"/>
          <w:szCs w:val="15"/>
          <w:lang w:eastAsia="sr-Latn-RS"/>
        </w:rPr>
        <w:br/>
        <w:t>испуњености услова</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I. УВОДНА ОДРЕДБА</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Предмет уређивања</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1.</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Овим правилником ближе се уређују обавезни елементи конкурсне документације коју наручилац припрема у поступку јавне набавке (у даљем тексту: конкурсна документација) и начин доказивања испуњености услова за учешће у поступку јавне набавке.</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II. ОБАВЕЗНИ ЕЛЕМЕНТИ КОНКУРСНЕ ДОКУМЕНТАЦИЈЕ</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1. Обавезни елементи конкурсне документације у отвореном поступку</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2.</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сходно природи предмета набавке у отвореном поступку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опште податке о јавној набавци: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предмет јавне набавке;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опис сваке партије, ако је предмет јавне набавке обликован по партијама;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3) техничку документацију и планове; </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услове за учешће у поступку јавне набавке из чл. 75. и 76. Закона о јавним набавкама (у даљем тексту: Закон) и упутство како се доказује испуњеност тих услова;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5) критеријумe за доделу уговора: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елементе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6) обрасце који чине саставни део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lastRenderedPageBreak/>
        <w:t>(1) образац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образац структуре понуђене цене, са упутством како да се попуни;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образац трошкова припреме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образац изјаве о независној понуди;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(5) образац изјаве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7) модел уговора, односно модел оквирног споразума;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8) упутство понуђачима како да сачине понуду.</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у отвореном поступку може да садржи и друге елементе који су, с обзиром на предмет јавне набавке, неопходни за припрему понуде.</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 xml:space="preserve">2. Обавезни елементи конкурсне документације </w:t>
      </w:r>
      <w:r w:rsidRPr="00C57573">
        <w:rPr>
          <w:rFonts w:ascii="Verdana" w:eastAsia="Times New Roman" w:hAnsi="Verdana" w:cs="Times New Roman"/>
          <w:b/>
          <w:bCs/>
          <w:sz w:val="15"/>
          <w:szCs w:val="15"/>
          <w:lang w:eastAsia="sr-Latn-RS"/>
        </w:rPr>
        <w:br/>
        <w:t>у рестриктивном и квалификационом поступку</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3.</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за прву фазу рестриктивног и квалификационог поступка сходно природи предмета набавке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опште податке о јавној набавци: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предмет јавне набавке;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(2) опис сваке партије, ако је предмет јавне набавке обликован по партијама; </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у случају квалификационог поступка, период за који се кандидатима признаје квалификација;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услове за учешће у поступку јавне набавке из чл. 75. и 76. Закона и упутство како се доказује испуњеност тих услова, са обрасцем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пријаве;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начин достављања пријава.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за другу фазу рестриктивног и квалификационог поступка сходно природи предмета набавке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опште податке о јавној набавци: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предмет јавне набавке;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опис сваке партије, ако је предмет јавне набавке обликован по партијама;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техничку документацију и планове;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критеријуме за доделу уговора: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lastRenderedPageBreak/>
        <w:t>(1)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елементе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5) обрасце који чине саставни део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образац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образац структуре понуђене цене, са упутством како да се попуни;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образац трошкова припреме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образац изјаве о независној понуди;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6) модел уговора, односно модел оквирног споразума;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7) упутство понуђачима како да сачине понуду.</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у рестриктивном и квалификационом поступку може да садржи и друге елементе који су, с обзиром на предмет јавне набавке, неопходни за припрему понуде.</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 xml:space="preserve">3. Обавезни елементи конкурсне документације </w:t>
      </w:r>
      <w:r w:rsidRPr="00C57573">
        <w:rPr>
          <w:rFonts w:ascii="Verdana" w:eastAsia="Times New Roman" w:hAnsi="Verdana" w:cs="Times New Roman"/>
          <w:b/>
          <w:bCs/>
          <w:sz w:val="15"/>
          <w:szCs w:val="15"/>
          <w:lang w:eastAsia="sr-Latn-RS"/>
        </w:rPr>
        <w:br/>
        <w:t>у конкурентном дијалогу</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4.</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за фазу квалификације сходно природи предмета набавке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опште податке о јавној набавци: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опис потребе наручиоца;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(2) опис сваке партије, ако је предмет јавне набавке обликован по партијама; </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услове за учешће у поступку јавне набавке из чл. 75. и 76. Закона и упутство како се доказује испуњеност тих услова, са обрасцем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начин достављања пријава.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за фазу дијалога сходно природи предмета набавке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начин на који ће наручилац да води дијалог;</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напомену уколико се поступак спроводи у више фаза у циљу смањења броја решења о којима ће се водити дијалог, као и критеријум на основу којег ће се смањивати број решења;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елементе критеријума економски најповољније понуде на основу којег се додељује уговор.</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за фазу доделе уговора сходно природи предмета набавке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опште податке о јавној набавци: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предмет јавне набавке;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lastRenderedPageBreak/>
        <w:t>(2) опис сваке партије, ако је предмет јавне набавке обликован по партијама;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техничку документацију и планове;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упутство понуђачима како да сачине понуду;</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5) образац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6) модел уговора, односно оквирног споразума; </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7) образац структуре понуђене цене, са упутством како да се попуни;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8) образац трошкова припреме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9) образац изјаве о независној понуди.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у конкурентном дијалогу може да садржи и друге елементе који су, с обзиром на предмет јавне набавке, неопходни за припрему понуде.</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 xml:space="preserve">4. Обавезни елементи конкурсне документације </w:t>
      </w:r>
      <w:r w:rsidRPr="00C57573">
        <w:rPr>
          <w:rFonts w:ascii="Verdana" w:eastAsia="Times New Roman" w:hAnsi="Verdana" w:cs="Times New Roman"/>
          <w:b/>
          <w:bCs/>
          <w:sz w:val="15"/>
          <w:szCs w:val="15"/>
          <w:lang w:eastAsia="sr-Latn-RS"/>
        </w:rPr>
        <w:br/>
        <w:t xml:space="preserve">у преговарачком поступку са објављивањем позива </w:t>
      </w:r>
      <w:r w:rsidRPr="00C57573">
        <w:rPr>
          <w:rFonts w:ascii="Verdana" w:eastAsia="Times New Roman" w:hAnsi="Verdana" w:cs="Times New Roman"/>
          <w:b/>
          <w:bCs/>
          <w:sz w:val="15"/>
          <w:szCs w:val="15"/>
          <w:lang w:eastAsia="sr-Latn-RS"/>
        </w:rPr>
        <w:br/>
        <w:t xml:space="preserve">за подношење понуда и преговарачком поступку </w:t>
      </w:r>
      <w:r w:rsidRPr="00C57573">
        <w:rPr>
          <w:rFonts w:ascii="Verdana" w:eastAsia="Times New Roman" w:hAnsi="Verdana" w:cs="Times New Roman"/>
          <w:b/>
          <w:bCs/>
          <w:sz w:val="15"/>
          <w:szCs w:val="15"/>
          <w:lang w:eastAsia="sr-Latn-RS"/>
        </w:rPr>
        <w:br/>
        <w:t>без објављивања позива за подношење понуда</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5.</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у преговарачком поступку са објављивањем позива за подношење понуда и преговарачком поступку без објављивања позива за подношење понуда сходно природи предмета набавке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опште податке о јавној набавци: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предмет јавне набавке;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опис сваке партије, ако је предмет јавне набавке обликован по партијама;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2)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техничку документацију и планове;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услове за учешће у поступку јавне набавке из чл. 75. и 76. Закона и упутство како се доказује испуњеност тих услова;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5) критеријуме за доделу уговора: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елементе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lastRenderedPageBreak/>
        <w:t xml:space="preserve">(3) елементе уговора о којима ће се преговарати и начин преговарања; </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6) обрасце који чине саставни део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образац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образац структуре понуђене цене, са упутством како да се попуни;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образац трошкова припреме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образац изјаве о независној понуди;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(5) 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7) упутство понуђачима како да сачине понуду.</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У преговарачком поступку на основу члана 35. став 1. тачка 1) Закона, у ситуацији када наручилац у преговарачки поступак позове само и све понуђаче који су учествовали у отвореном, рестриктивном или квалификационом поступку или конкурентном дијалогу да допуне своје понуде, тако да их учине прихватљивим, наручилац уместо конкурсне документације припрема позив за допуну понуда које су у отвореном, рестриктивном или квалификационом поступку или конкурентном дијалогу оцењене као неприхватљиве, који садржи елементе који су неопходни за допуну понуда, као и елементе уговора о којима ће се преговарати и начин преговарања.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у преговарачком поступку може да садржи и друге елементе који су, с обзиром на предмет јавне набавке, неопходни за припрему понуде.</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 xml:space="preserve">5. Обавезни елементи конкурсне документације </w:t>
      </w:r>
      <w:r w:rsidRPr="00C57573">
        <w:rPr>
          <w:rFonts w:ascii="Verdana" w:eastAsia="Times New Roman" w:hAnsi="Verdana" w:cs="Times New Roman"/>
          <w:b/>
          <w:bCs/>
          <w:sz w:val="15"/>
          <w:szCs w:val="15"/>
          <w:lang w:eastAsia="sr-Latn-RS"/>
        </w:rPr>
        <w:br/>
        <w:t>у поступку јавне набавке мале вредности</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6.</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у поступку јавне набавке мале вредности сходно природи предмета набавке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опште податке о јавној набавци: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предмет јавне набавке;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опис сваке партије, ако је предмет јавне набавке обликован по партијама;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техничку документацију и планове;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услове за учешће у поступку јавне набавке из чл. 75. и 76. Закона и упутство како се доказује испуњеност тих услова;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5) критеријуме за доделу уговора: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lastRenderedPageBreak/>
        <w:t>(2) елементе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6) обрасце који чине саставни део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образац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образац структуре понуђене цене, са упутством како да се попуни;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образац трошкова припреме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образац изјаве о независној понуди;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(5) образац изјаве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7) модел уговора, односно модел оквирног споразума;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8) упутство понуђачима како да сачине понуду.</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Приликом примене одредбе члана 39. став 6. Закона наручилац није у обавези да припреми конкурсну документацију у складу са ставом 1. овог члана. У том случају наручилац уместо конкурсне документације припрема позив за подношење понуда који садржи податке о предмету набавке, услове за учешће, критеријум за доделу уговора, као и друге елементе који су неопходни за подношење прихватљиве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у поступку јавне набавке мале вредности може да садржи и друге елементе који су, с обзиром на предмет јавне набавке, неопходни за припрему понуде.</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 xml:space="preserve">6. Обавезни елементи конкурсне документације у поступку конкурса за дизајн </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7.</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у поступку конкурса за дизајн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опште податке о јавној набавци: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предмет јавне набавке, односно опис и захтев у вези дизајна, односно пројекта као и начин и рок за предају дизајна, односно пројекта;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опис сваке партије, ако је предмет јавне набавке обликован по партијама;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навођење професије и одређивање одговарајућег доказа, ако је учешће резервисано за одређену професију;</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критеријум за оцену дизајна, односно пројекта;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број и врсту награда, ако се додељују награде.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Ако се конкурс за дизајн спроводи као поступак који претходи додели уговора о јавној набавци услуга, конкурсну документацију чиниће и остали елементи прописани за отворени, односно рестриктивни поступак, у зависности од тога у којем се поступку додељује уговор. </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у поступку конкурса за дизајн може да садржи и друге елементе који су, с обзиром на предмет јавне набавке, неопходни за припрему понуде.</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 xml:space="preserve">7. Обавезни елементи конкурсне документације у случају </w:t>
      </w:r>
      <w:r w:rsidRPr="00C57573">
        <w:rPr>
          <w:rFonts w:ascii="Verdana" w:eastAsia="Times New Roman" w:hAnsi="Verdana" w:cs="Times New Roman"/>
          <w:b/>
          <w:bCs/>
          <w:sz w:val="15"/>
          <w:szCs w:val="15"/>
          <w:lang w:eastAsia="sr-Latn-RS"/>
        </w:rPr>
        <w:br/>
        <w:t>закључења оквирног споразума и електронске лицитације</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lastRenderedPageBreak/>
        <w:t>Члан 8.</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Ако се поступак јавне набавке спроводи ради закључења оквирног споразума, сходно врсти поступка и природи предмета јавне набавке конкурсна документација садржи назнаку да ли се оквирни споразум закључује са једним или више понуђача, време трајања оквирног споразума, начин закључења уговора о јавној набавци на основу оквирног споразума и податке о наручиоцима који могу да користе оквирни споразум.</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Ако се спроводи електронска лицитација, конкурсна документација садржи податке предвиђене чланом 43. Закона.</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8. Упутство понуђачима како да сачине понуду</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9.</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Упутство понуђачима како да сачине понуду (у даљем тексту: упутство) сходно врсти поступка и природи предмета јавне набавке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податке о језику на којем понуда треба да буде састављена, а уколико је дозвољена могућност да се понуде, у целини или делимично, дају и на страном језику, назнаку на ком страном језику, као и који део понуде може бити на страном језику;</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начин подношења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обавештење о могућности да понуђач може да поднесе понуду за једну или више партија и упутство о начину на који понуда треба да буде поднета, уколико је предмет јавне набавке обликован у више партија;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обавештење о могућности подношењa понуде са варијантама, уколико је подношење такве понуде дозвољено;</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5) начин измене, допуне и опозива понуде у смислу члана 87. став 6. Закона;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7) захтев да понуђач, уколико ангажује подизвођача, наведе у својој понуди податке о подизвођачу, проценат укупне вредности набавке који ће поверити подизвођачу и део предмета набавке који ће извршити преко подизвођача, као и правила поступања наручиоца у случају да се определио да искористи могућност да доспела потраживања преносе директно подизвођачу за део набавке који се извршава преко тог подизвођача;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као и податке о обавезној садржини тог споразума;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9) захтеве у погледу траженог начина и услова плаћања, гарантног рока, као и евентуалних других околности од којих зависи прихватљивост понуде;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10) валуту и начин на који треба да буде наведена и изражена цена у понуди;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11) податке о врсти, садржини, начину подношења, висини и роковима обезбеђења финансијског испуњења обавеза понуђача, уколико исто наручилац захтева;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13) обавештење о начину преузимања техничке документације и планова, односно појединих њених делова, ако због обима и техничких разлога исту није могуће објавити;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14) 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w:t>
      </w:r>
      <w:r w:rsidRPr="00C57573">
        <w:rPr>
          <w:rFonts w:ascii="Verdana" w:eastAsia="Times New Roman" w:hAnsi="Verdana" w:cs="Times New Roman"/>
          <w:sz w:val="15"/>
          <w:szCs w:val="15"/>
          <w:lang w:eastAsia="sr-Latn-RS"/>
        </w:rPr>
        <w:lastRenderedPageBreak/>
        <w:t>у конкурсној документацији, уз напомену да се комуникација у поступку јавне набавке врши на начин одређен чланом 20. Закона;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16) oбaвeштeњe дa нaкнaду зa кoришћeњe пaтeнaтa, кao и oдгoвoрнoст зa пoврeду зaштићeних прaвa интeлeктуaлнe свojинe трeћих лицa снoси пoнуђaч;</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17) 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9. Образац понуде</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10.</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Образац понуде припрема се тако да попуњен од стране понуђача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опште податке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контакт и др.);</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рок важења понуде изражен у броју дана од дана отварања понуда, који не може бити краћи од 30 дана;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предмет, цену и остале податке које наручилац сматра релевантним за закључење уговора;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податке о проценту укупне вредности набавке који ће поверити подизвођачу.</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10. Услови за учешће у поступку јавне набавке из чл. 75. и 76. Закона и упутство како се доказује испуњеност тих услова</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11.</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Конкурсна документација садржи услове које понуђач мора да испуни да би могао да учествује у поступку јавне набавке, као и доказе којима се доказује њихова испуњеност.</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Конкурсна документација садржи и додатне услове за учешће у поступку јавне набавке у погледу финансијског, пословног, техничког и кадровског капацитета, ако је испуњавање тих услова неопходно за оцену способности понуђача или подносиоца пријаве, за извршење одређеног уговора о јавној набавци. </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У конкурсној документацији наводе се: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обавезни услови за учешће у поступку јавне набавке из члана 75. Закона;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додатни услови за учешће у поступку јавне набавке из члана 76. Закона уколико их је наручилац одредио;</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услови које мора да испуни подизвођач у складу са чланом 80. Закона;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услови које мора да испуни сваки од понуђача из групе понуђача у складу са чланом 81. Закона.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Упутство како се доказује испуњеност услова из чл. 75. и 76. Закона садржи: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lastRenderedPageBreak/>
        <w:t>1) прецизно навођење једног или више доказа одређених Законом и овим правилником за сваки од предвиђених услова за учешће у поступку јавне набавке и органа надлежног за њихово издавање;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навођење да се испуњеност услова доказује изјавом из члана 77. став 4. Закона, уколико се наручилац за ту могућност определио;</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прецизно навођење доказа у случају доказивања испуњености услова на начин прописан чланом 77. став 5. Закона;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5) обавештење да ће наручилац у случају када се испуњеност услова доказује изјавом из члана 77. став 4. Закона, поступити у складу са чланом 79. ст. 2. и 3. Закона.</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11. Образац структуре цене са упутством како да се попуни</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12.</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У обрасцу структуре цене по потреби наводе се основни елементи понуђене цене: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цена (јединична и укупна) са и без ПДВ-а;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и др.). </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Сматраће се да је сачињен образац структуре цене, уколико су основни елементи понуђене цене садржани у обрасцу понуде.</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12. Средства обезбеђења</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13.</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У конкурсној документацији може да се наведе средство финансијског обезбеђења којим понуђачи обезбеђују испуњење својих обавеза у поступку јавне набавке, као и испуњење својих уговорних обавеза, односно за повраћај авансног плаћања.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Средство обезбеђења за озбиљност понуде, односно за извршење уговорне обавезе, наручилац може да тражи у износу не већем од 10% од вредности понуде без ПДВ-а, односно уговора, осим у случају обезбеђења за авансно плаћање. </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Средство обезбеђења може бити: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банкарска гаранција;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хипотека;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јемство другог правног лица са одговарајућим бонитетом;</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један од облика ручне залоге хартија од вредности или других покретних ствари;</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5) меница;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6) полиса осигурања и др.</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14.</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lastRenderedPageBreak/>
        <w:t>Средство обезбеђења траје најмање онолико колико траје рок за испуњење обавезе понуђача која је предмет обезбеђења.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Средство обезбеђења не може се вратити понуђачу пре истека рока трајања, осим ако је понуђач у целости испунио своју обезбеђену обавезу.</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У случају договореног авансног плаћања наручилац не може да исплати ниједан износ пре него што прими тражено средство обезбеђења за повраћај авансног плаћања.</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13. Образац трошкова припреме понуде</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15.</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14. Изјава о независној понуди</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16.</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III. ДОКАЗИВАЊЕ ИСПУЊЕНОСТИ УСЛОВА ЗА УЧЕШЋЕ </w:t>
      </w:r>
      <w:r w:rsidRPr="00C57573">
        <w:rPr>
          <w:rFonts w:ascii="Verdana" w:eastAsia="Times New Roman" w:hAnsi="Verdana" w:cs="Times New Roman"/>
          <w:sz w:val="15"/>
          <w:szCs w:val="15"/>
          <w:lang w:eastAsia="sr-Latn-RS"/>
        </w:rPr>
        <w:br/>
        <w:t>У ПОСТУПКУ ЈАВНЕ НАБАВКЕ</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 xml:space="preserve">1. Доказивање испуњености обавезних услова из члана 75. </w:t>
      </w:r>
      <w:r w:rsidRPr="00C57573">
        <w:rPr>
          <w:rFonts w:ascii="Verdana" w:eastAsia="Times New Roman" w:hAnsi="Verdana" w:cs="Times New Roman"/>
          <w:b/>
          <w:bCs/>
          <w:sz w:val="15"/>
          <w:szCs w:val="15"/>
          <w:lang w:eastAsia="sr-Latn-RS"/>
        </w:rPr>
        <w:br/>
        <w:t>Закона за правна лица као понуђаче или подносиоце пријава</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17.</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извода из регистра Агенције за привредне регистре, односно извода из регистра надлежног привредног суда;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важеће дозволе за обављање одговарајуће делатности, издате од стране надлежног органа, ако је таква дозвола предвиђена посебним прописом;</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5)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 xml:space="preserve">2. Доказивање испуњености обавезних услова из члана 75. </w:t>
      </w:r>
      <w:r w:rsidRPr="00C57573">
        <w:rPr>
          <w:rFonts w:ascii="Verdana" w:eastAsia="Times New Roman" w:hAnsi="Verdana" w:cs="Times New Roman"/>
          <w:b/>
          <w:bCs/>
          <w:sz w:val="15"/>
          <w:szCs w:val="15"/>
          <w:lang w:eastAsia="sr-Latn-RS"/>
        </w:rPr>
        <w:br/>
        <w:t>Закона за предузетнике као понуђаче или подносиоце пријава</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18.</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lastRenderedPageBreak/>
        <w:t>Испуњеност обавезних услова за учешће у поступку јавне набавке, предузетник као понуђач, или подносилац пријаве, доказује достављањем следећих доказа: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извода из регистра Агенције за привредне регистре, односно извода из одговарајућег регистра;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4) важеће дозволе за обављање одговарајуће делатности, издате од стране надлежног органа, ако је таква дозвола предвиђена посебним прописом;</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5)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 xml:space="preserve">3. Доказивање испуњености обавезних услова из члана 75. </w:t>
      </w:r>
      <w:r w:rsidRPr="00C57573">
        <w:rPr>
          <w:rFonts w:ascii="Verdana" w:eastAsia="Times New Roman" w:hAnsi="Verdana" w:cs="Times New Roman"/>
          <w:b/>
          <w:bCs/>
          <w:sz w:val="15"/>
          <w:szCs w:val="15"/>
          <w:lang w:eastAsia="sr-Latn-RS"/>
        </w:rPr>
        <w:br/>
        <w:t>Закона за физичка лица као понуђаче или подносиоце пријава</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19.</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Испуњеност обавезних услова за учешће у поступку јавне набавке, физичко лице као понуђач или подносилац пријаве, доказује достављањем следећих доказа: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2)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3) важеће дозволе за обављање одговарајуће делатности, издате од стране надлежног органа, ако је таква дозвола предвиђена посебним прописом;</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4)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4. Доказивање испуњености услова из члана 76. Закона</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20.</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Испуњеност додатних услова из члана 76. Закона доказује се путем јавних исправа, као и на други начин у складу са Законом.</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IV. ЗАВРШНЕ ОДРЕДБЕ</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1. Престанак важења ранијег прописа</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Члан 21. </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lastRenderedPageBreak/>
        <w:t>Даном ступања на снагу овог правилника, престаје да важи Правилник о обавезним елементима конкурсне документације у поступцима јавних набавки и начину доказивања испуњености услова (,,Службени гласник РС”, бр. 29/13 и 104/13).</w:t>
      </w:r>
    </w:p>
    <w:p w:rsidR="00C57573" w:rsidRPr="00C57573" w:rsidRDefault="00C57573" w:rsidP="00C57573">
      <w:pPr>
        <w:spacing w:before="100" w:beforeAutospacing="1" w:after="0" w:line="210" w:lineRule="atLeast"/>
        <w:ind w:firstLine="480"/>
        <w:jc w:val="center"/>
        <w:rPr>
          <w:rFonts w:ascii="Verdana" w:eastAsia="Times New Roman" w:hAnsi="Verdana" w:cs="Times New Roman"/>
          <w:b/>
          <w:bCs/>
          <w:sz w:val="15"/>
          <w:szCs w:val="15"/>
          <w:lang w:eastAsia="sr-Latn-RS"/>
        </w:rPr>
      </w:pPr>
      <w:r w:rsidRPr="00C57573">
        <w:rPr>
          <w:rFonts w:ascii="Verdana" w:eastAsia="Times New Roman" w:hAnsi="Verdana" w:cs="Times New Roman"/>
          <w:b/>
          <w:bCs/>
          <w:sz w:val="15"/>
          <w:szCs w:val="15"/>
          <w:lang w:eastAsia="sr-Latn-RS"/>
        </w:rPr>
        <w:t>2. Ступање на снагу</w:t>
      </w:r>
    </w:p>
    <w:p w:rsidR="00C57573" w:rsidRPr="00C57573" w:rsidRDefault="00C57573" w:rsidP="00C57573">
      <w:pPr>
        <w:spacing w:before="420" w:after="0" w:line="210" w:lineRule="atLeast"/>
        <w:ind w:firstLine="480"/>
        <w:jc w:val="center"/>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Члан 22.</w:t>
      </w:r>
    </w:p>
    <w:p w:rsidR="00C57573" w:rsidRPr="00C57573" w:rsidRDefault="00C57573" w:rsidP="00C57573">
      <w:pPr>
        <w:spacing w:before="100" w:beforeAutospacing="1" w:after="0" w:line="210" w:lineRule="atLeast"/>
        <w:ind w:firstLine="480"/>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Овај правилник ступа на снагу наредног дана од дана објављивања у „Службеном гласнику Републике Србије”.</w:t>
      </w:r>
    </w:p>
    <w:p w:rsidR="00C57573" w:rsidRPr="00C57573" w:rsidRDefault="00C57573" w:rsidP="00C57573">
      <w:pPr>
        <w:spacing w:before="100" w:beforeAutospacing="1" w:after="0" w:line="210" w:lineRule="atLeast"/>
        <w:ind w:firstLine="480"/>
        <w:jc w:val="right"/>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Број 110-00-20/2015</w:t>
      </w:r>
    </w:p>
    <w:p w:rsidR="00C57573" w:rsidRPr="00C57573" w:rsidRDefault="00C57573" w:rsidP="00C57573">
      <w:pPr>
        <w:spacing w:before="100" w:beforeAutospacing="1" w:after="0" w:line="210" w:lineRule="atLeast"/>
        <w:ind w:firstLine="480"/>
        <w:jc w:val="right"/>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У Београду, 12. октобра 2015. године</w:t>
      </w:r>
    </w:p>
    <w:p w:rsidR="00C57573" w:rsidRPr="00C57573" w:rsidRDefault="00C57573" w:rsidP="00C57573">
      <w:pPr>
        <w:spacing w:before="100" w:beforeAutospacing="1" w:after="0" w:line="210" w:lineRule="atLeast"/>
        <w:ind w:firstLine="480"/>
        <w:jc w:val="right"/>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Директор,</w:t>
      </w:r>
    </w:p>
    <w:p w:rsidR="00C57573" w:rsidRPr="00C57573" w:rsidRDefault="00C57573" w:rsidP="00C57573">
      <w:pPr>
        <w:spacing w:before="100" w:beforeAutospacing="1" w:after="0" w:line="210" w:lineRule="atLeast"/>
        <w:ind w:firstLine="480"/>
        <w:jc w:val="right"/>
        <w:rPr>
          <w:rFonts w:ascii="Verdana" w:eastAsia="Times New Roman" w:hAnsi="Verdana" w:cs="Times New Roman"/>
          <w:sz w:val="15"/>
          <w:szCs w:val="15"/>
          <w:lang w:eastAsia="sr-Latn-RS"/>
        </w:rPr>
      </w:pPr>
      <w:r w:rsidRPr="00C57573">
        <w:rPr>
          <w:rFonts w:ascii="Verdana" w:eastAsia="Times New Roman" w:hAnsi="Verdana" w:cs="Times New Roman"/>
          <w:sz w:val="15"/>
          <w:szCs w:val="15"/>
          <w:lang w:eastAsia="sr-Latn-RS"/>
        </w:rPr>
        <w:t xml:space="preserve">др </w:t>
      </w:r>
      <w:r w:rsidRPr="00C57573">
        <w:rPr>
          <w:rFonts w:ascii="Verdana" w:eastAsia="Times New Roman" w:hAnsi="Verdana" w:cs="Times New Roman"/>
          <w:b/>
          <w:bCs/>
          <w:sz w:val="15"/>
          <w:szCs w:val="15"/>
          <w:lang w:eastAsia="sr-Latn-RS"/>
        </w:rPr>
        <w:t xml:space="preserve">Предраг Јовановић, </w:t>
      </w:r>
      <w:r w:rsidRPr="00C57573">
        <w:rPr>
          <w:rFonts w:ascii="Verdana" w:eastAsia="Times New Roman" w:hAnsi="Verdana" w:cs="Times New Roman"/>
          <w:sz w:val="15"/>
          <w:szCs w:val="15"/>
          <w:lang w:eastAsia="sr-Latn-RS"/>
        </w:rPr>
        <w:t>с.р.</w:t>
      </w:r>
    </w:p>
    <w:p w:rsidR="00C155B2" w:rsidRPr="000328F6" w:rsidRDefault="00C57573">
      <w:pPr>
        <w:rPr>
          <w:lang w:val="en-US"/>
        </w:rPr>
      </w:pPr>
    </w:p>
    <w:sectPr w:rsidR="00C155B2" w:rsidRPr="00032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73"/>
    <w:rsid w:val="000328F6"/>
    <w:rsid w:val="008A7B8F"/>
    <w:rsid w:val="009835D4"/>
    <w:rsid w:val="00AC51D1"/>
    <w:rsid w:val="00AF60D3"/>
    <w:rsid w:val="00B336E1"/>
    <w:rsid w:val="00C57573"/>
    <w:rsid w:val="00D910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1">
    <w:name w:val="broj1"/>
    <w:basedOn w:val="Normal"/>
    <w:rsid w:val="00C57573"/>
    <w:pPr>
      <w:spacing w:before="100" w:beforeAutospacing="1" w:after="0" w:line="210" w:lineRule="atLeast"/>
      <w:ind w:firstLine="480"/>
      <w:jc w:val="center"/>
    </w:pPr>
    <w:rPr>
      <w:rFonts w:ascii="Verdana" w:eastAsia="Times New Roman" w:hAnsi="Verdana" w:cs="Times New Roman"/>
      <w:b/>
      <w:bCs/>
      <w:sz w:val="15"/>
      <w:szCs w:val="15"/>
      <w:lang w:eastAsia="sr-Latn-RS"/>
    </w:rPr>
  </w:style>
  <w:style w:type="paragraph" w:customStyle="1" w:styleId="odluka-zakon1">
    <w:name w:val="odluka-zakon1"/>
    <w:basedOn w:val="Normal"/>
    <w:rsid w:val="00C57573"/>
    <w:pPr>
      <w:spacing w:before="360" w:after="150" w:line="210" w:lineRule="atLeast"/>
      <w:ind w:firstLine="480"/>
      <w:jc w:val="center"/>
    </w:pPr>
    <w:rPr>
      <w:rFonts w:ascii="Verdana" w:eastAsia="Times New Roman" w:hAnsi="Verdana" w:cs="Times New Roman"/>
      <w:b/>
      <w:bCs/>
      <w:sz w:val="15"/>
      <w:szCs w:val="15"/>
      <w:lang w:eastAsia="sr-Latn-RS"/>
    </w:rPr>
  </w:style>
  <w:style w:type="paragraph" w:customStyle="1" w:styleId="naslov1">
    <w:name w:val="naslov1"/>
    <w:basedOn w:val="Normal"/>
    <w:rsid w:val="00C57573"/>
    <w:pPr>
      <w:spacing w:before="100" w:beforeAutospacing="1" w:after="0" w:line="210" w:lineRule="atLeast"/>
      <w:ind w:firstLine="480"/>
      <w:jc w:val="center"/>
    </w:pPr>
    <w:rPr>
      <w:rFonts w:ascii="Verdana" w:eastAsia="Times New Roman" w:hAnsi="Verdana" w:cs="Times New Roman"/>
      <w:b/>
      <w:bCs/>
      <w:sz w:val="15"/>
      <w:szCs w:val="15"/>
      <w:lang w:eastAsia="sr-Latn-RS"/>
    </w:rPr>
  </w:style>
  <w:style w:type="paragraph" w:customStyle="1" w:styleId="clan1">
    <w:name w:val="clan1"/>
    <w:basedOn w:val="Normal"/>
    <w:rsid w:val="00C57573"/>
    <w:pPr>
      <w:spacing w:before="420" w:after="0" w:line="210" w:lineRule="atLeast"/>
      <w:ind w:firstLine="480"/>
      <w:jc w:val="center"/>
    </w:pPr>
    <w:rPr>
      <w:rFonts w:ascii="Verdana" w:eastAsia="Times New Roman" w:hAnsi="Verdana" w:cs="Times New Roman"/>
      <w:sz w:val="15"/>
      <w:szCs w:val="15"/>
      <w:lang w:eastAsia="sr-Latn-RS"/>
    </w:rPr>
  </w:style>
  <w:style w:type="paragraph" w:customStyle="1" w:styleId="bold1">
    <w:name w:val="bold1"/>
    <w:basedOn w:val="Normal"/>
    <w:rsid w:val="00C57573"/>
    <w:pPr>
      <w:spacing w:before="100" w:beforeAutospacing="1" w:after="0" w:line="210" w:lineRule="atLeast"/>
      <w:ind w:firstLine="480"/>
      <w:jc w:val="center"/>
    </w:pPr>
    <w:rPr>
      <w:rFonts w:ascii="Verdana" w:eastAsia="Times New Roman" w:hAnsi="Verdana" w:cs="Times New Roman"/>
      <w:b/>
      <w:bCs/>
      <w:sz w:val="15"/>
      <w:szCs w:val="15"/>
      <w:lang w:eastAsia="sr-Latn-RS"/>
    </w:rPr>
  </w:style>
  <w:style w:type="paragraph" w:customStyle="1" w:styleId="potpis1">
    <w:name w:val="potpis1"/>
    <w:basedOn w:val="Normal"/>
    <w:rsid w:val="00C57573"/>
    <w:pPr>
      <w:spacing w:before="100" w:beforeAutospacing="1" w:after="0" w:line="210" w:lineRule="atLeast"/>
      <w:ind w:firstLine="480"/>
      <w:jc w:val="right"/>
    </w:pPr>
    <w:rPr>
      <w:rFonts w:ascii="Verdana" w:eastAsia="Times New Roman" w:hAnsi="Verdana" w:cs="Times New Roman"/>
      <w:sz w:val="15"/>
      <w:szCs w:val="15"/>
      <w:lang w:eastAsia="sr-Latn-RS"/>
    </w:rPr>
  </w:style>
  <w:style w:type="character" w:customStyle="1" w:styleId="bold2">
    <w:name w:val="bold2"/>
    <w:basedOn w:val="DefaultParagraphFont"/>
    <w:rsid w:val="00C575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1">
    <w:name w:val="broj1"/>
    <w:basedOn w:val="Normal"/>
    <w:rsid w:val="00C57573"/>
    <w:pPr>
      <w:spacing w:before="100" w:beforeAutospacing="1" w:after="0" w:line="210" w:lineRule="atLeast"/>
      <w:ind w:firstLine="480"/>
      <w:jc w:val="center"/>
    </w:pPr>
    <w:rPr>
      <w:rFonts w:ascii="Verdana" w:eastAsia="Times New Roman" w:hAnsi="Verdana" w:cs="Times New Roman"/>
      <w:b/>
      <w:bCs/>
      <w:sz w:val="15"/>
      <w:szCs w:val="15"/>
      <w:lang w:eastAsia="sr-Latn-RS"/>
    </w:rPr>
  </w:style>
  <w:style w:type="paragraph" w:customStyle="1" w:styleId="odluka-zakon1">
    <w:name w:val="odluka-zakon1"/>
    <w:basedOn w:val="Normal"/>
    <w:rsid w:val="00C57573"/>
    <w:pPr>
      <w:spacing w:before="360" w:after="150" w:line="210" w:lineRule="atLeast"/>
      <w:ind w:firstLine="480"/>
      <w:jc w:val="center"/>
    </w:pPr>
    <w:rPr>
      <w:rFonts w:ascii="Verdana" w:eastAsia="Times New Roman" w:hAnsi="Verdana" w:cs="Times New Roman"/>
      <w:b/>
      <w:bCs/>
      <w:sz w:val="15"/>
      <w:szCs w:val="15"/>
      <w:lang w:eastAsia="sr-Latn-RS"/>
    </w:rPr>
  </w:style>
  <w:style w:type="paragraph" w:customStyle="1" w:styleId="naslov1">
    <w:name w:val="naslov1"/>
    <w:basedOn w:val="Normal"/>
    <w:rsid w:val="00C57573"/>
    <w:pPr>
      <w:spacing w:before="100" w:beforeAutospacing="1" w:after="0" w:line="210" w:lineRule="atLeast"/>
      <w:ind w:firstLine="480"/>
      <w:jc w:val="center"/>
    </w:pPr>
    <w:rPr>
      <w:rFonts w:ascii="Verdana" w:eastAsia="Times New Roman" w:hAnsi="Verdana" w:cs="Times New Roman"/>
      <w:b/>
      <w:bCs/>
      <w:sz w:val="15"/>
      <w:szCs w:val="15"/>
      <w:lang w:eastAsia="sr-Latn-RS"/>
    </w:rPr>
  </w:style>
  <w:style w:type="paragraph" w:customStyle="1" w:styleId="clan1">
    <w:name w:val="clan1"/>
    <w:basedOn w:val="Normal"/>
    <w:rsid w:val="00C57573"/>
    <w:pPr>
      <w:spacing w:before="420" w:after="0" w:line="210" w:lineRule="atLeast"/>
      <w:ind w:firstLine="480"/>
      <w:jc w:val="center"/>
    </w:pPr>
    <w:rPr>
      <w:rFonts w:ascii="Verdana" w:eastAsia="Times New Roman" w:hAnsi="Verdana" w:cs="Times New Roman"/>
      <w:sz w:val="15"/>
      <w:szCs w:val="15"/>
      <w:lang w:eastAsia="sr-Latn-RS"/>
    </w:rPr>
  </w:style>
  <w:style w:type="paragraph" w:customStyle="1" w:styleId="bold1">
    <w:name w:val="bold1"/>
    <w:basedOn w:val="Normal"/>
    <w:rsid w:val="00C57573"/>
    <w:pPr>
      <w:spacing w:before="100" w:beforeAutospacing="1" w:after="0" w:line="210" w:lineRule="atLeast"/>
      <w:ind w:firstLine="480"/>
      <w:jc w:val="center"/>
    </w:pPr>
    <w:rPr>
      <w:rFonts w:ascii="Verdana" w:eastAsia="Times New Roman" w:hAnsi="Verdana" w:cs="Times New Roman"/>
      <w:b/>
      <w:bCs/>
      <w:sz w:val="15"/>
      <w:szCs w:val="15"/>
      <w:lang w:eastAsia="sr-Latn-RS"/>
    </w:rPr>
  </w:style>
  <w:style w:type="paragraph" w:customStyle="1" w:styleId="potpis1">
    <w:name w:val="potpis1"/>
    <w:basedOn w:val="Normal"/>
    <w:rsid w:val="00C57573"/>
    <w:pPr>
      <w:spacing w:before="100" w:beforeAutospacing="1" w:after="0" w:line="210" w:lineRule="atLeast"/>
      <w:ind w:firstLine="480"/>
      <w:jc w:val="right"/>
    </w:pPr>
    <w:rPr>
      <w:rFonts w:ascii="Verdana" w:eastAsia="Times New Roman" w:hAnsi="Verdana" w:cs="Times New Roman"/>
      <w:sz w:val="15"/>
      <w:szCs w:val="15"/>
      <w:lang w:eastAsia="sr-Latn-RS"/>
    </w:rPr>
  </w:style>
  <w:style w:type="character" w:customStyle="1" w:styleId="bold2">
    <w:name w:val="bold2"/>
    <w:basedOn w:val="DefaultParagraphFont"/>
    <w:rsid w:val="00C57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9188">
      <w:bodyDiv w:val="1"/>
      <w:marLeft w:val="0"/>
      <w:marRight w:val="0"/>
      <w:marTop w:val="0"/>
      <w:marBottom w:val="0"/>
      <w:divBdr>
        <w:top w:val="none" w:sz="0" w:space="0" w:color="auto"/>
        <w:left w:val="none" w:sz="0" w:space="0" w:color="auto"/>
        <w:bottom w:val="none" w:sz="0" w:space="0" w:color="auto"/>
        <w:right w:val="none" w:sz="0" w:space="0" w:color="auto"/>
      </w:divBdr>
      <w:divsChild>
        <w:div w:id="846335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3909</Words>
  <Characters>22285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Alempijevic</dc:creator>
  <cp:lastModifiedBy>Mladen Alempijevic</cp:lastModifiedBy>
  <cp:revision>1</cp:revision>
  <dcterms:created xsi:type="dcterms:W3CDTF">2015-10-16T13:20:00Z</dcterms:created>
  <dcterms:modified xsi:type="dcterms:W3CDTF">2015-10-16T13:22:00Z</dcterms:modified>
</cp:coreProperties>
</file>