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На основу </w:t>
      </w:r>
      <w:hyperlink r:id="rId5" w:anchor="c0134" w:history="1">
        <w:r w:rsidRPr="00580B4A">
          <w:rPr>
            <w:rFonts w:ascii="Arial" w:eastAsia="Times New Roman" w:hAnsi="Arial" w:cs="Arial"/>
            <w:b/>
            <w:bCs/>
            <w:sz w:val="20"/>
            <w:szCs w:val="20"/>
            <w:lang w:val="sr-Cyrl-RS"/>
          </w:rPr>
          <w:t>члана 134.</w:t>
        </w:r>
      </w:hyperlink>
      <w:r w:rsidRPr="00580B4A">
        <w:rPr>
          <w:rFonts w:ascii="Arial" w:eastAsia="Times New Roman" w:hAnsi="Arial" w:cs="Arial"/>
          <w:sz w:val="20"/>
          <w:szCs w:val="20"/>
          <w:lang w:val="sr-Cyrl-RS"/>
        </w:rPr>
        <w:t> став 4. Закона о јавним набавкама ("Службени гласник РС", број 124/12),</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Управа за јавне набавке доноси</w:t>
      </w:r>
    </w:p>
    <w:p w:rsidR="00560902" w:rsidRPr="00580B4A" w:rsidRDefault="00560902" w:rsidP="00560902">
      <w:pPr>
        <w:spacing w:before="100" w:beforeAutospacing="1" w:after="100" w:afterAutospacing="1" w:line="240" w:lineRule="auto"/>
        <w:jc w:val="center"/>
        <w:outlineLvl w:val="0"/>
        <w:rPr>
          <w:rFonts w:ascii="Arial" w:eastAsia="Times New Roman" w:hAnsi="Arial" w:cs="Arial"/>
          <w:b/>
          <w:bCs/>
          <w:kern w:val="36"/>
          <w:sz w:val="28"/>
          <w:szCs w:val="28"/>
          <w:lang w:val="sr-Cyrl-RS"/>
        </w:rPr>
      </w:pPr>
      <w:r w:rsidRPr="00580B4A">
        <w:rPr>
          <w:rFonts w:ascii="Arial" w:eastAsia="Times New Roman" w:hAnsi="Arial" w:cs="Arial"/>
          <w:b/>
          <w:bCs/>
          <w:kern w:val="36"/>
          <w:sz w:val="28"/>
          <w:szCs w:val="28"/>
          <w:lang w:val="sr-Cyrl-RS"/>
        </w:rPr>
        <w:t>ПРАВИЛНИК </w:t>
      </w:r>
      <w:r w:rsidRPr="00580B4A">
        <w:rPr>
          <w:rFonts w:ascii="Arial" w:eastAsia="Times New Roman" w:hAnsi="Arial" w:cs="Arial"/>
          <w:b/>
          <w:bCs/>
          <w:kern w:val="36"/>
          <w:sz w:val="28"/>
          <w:szCs w:val="28"/>
          <w:lang w:val="sr-Cyrl-RS"/>
        </w:rPr>
        <w:br/>
        <w:t>О НАЧИНУ И ПРОГРАМУ СТРУЧНОГ ОСПОСОБЉАВАЊА И НАЧИНУ ПОЛАГАЊА СТРУЧНОГ ИСПИТА ЗА СЛУЖБЕНИКА ЗА ЈАВНЕ НАБАВКЕ</w:t>
      </w:r>
    </w:p>
    <w:p w:rsidR="00560902" w:rsidRPr="00580B4A" w:rsidRDefault="00560902" w:rsidP="00560902">
      <w:pPr>
        <w:spacing w:after="150" w:line="240" w:lineRule="auto"/>
        <w:jc w:val="center"/>
        <w:rPr>
          <w:rFonts w:ascii="Verdana" w:eastAsia="Times New Roman" w:hAnsi="Verdana" w:cs="Arial"/>
          <w:b/>
          <w:bCs/>
          <w:sz w:val="19"/>
          <w:szCs w:val="19"/>
          <w:lang w:val="sr-Cyrl-RS"/>
        </w:rPr>
      </w:pPr>
      <w:r w:rsidRPr="00580B4A">
        <w:rPr>
          <w:rFonts w:ascii="Verdana" w:eastAsia="Times New Roman" w:hAnsi="Verdana" w:cs="Arial"/>
          <w:b/>
          <w:bCs/>
          <w:sz w:val="19"/>
          <w:szCs w:val="19"/>
          <w:lang w:val="sr-Cyrl-RS"/>
        </w:rPr>
        <w:t>(Сл. гласник РС бр. </w:t>
      </w:r>
      <w:hyperlink r:id="rId6" w:tooltip="Pravilnik o načinu i programu stručnog osposobljavanja i načinu polaganja stručnog ispita za službenika za javne nabavke (24/07/2014)" w:history="1">
        <w:r w:rsidRPr="00580B4A">
          <w:rPr>
            <w:rFonts w:ascii="Verdana" w:eastAsia="Times New Roman" w:hAnsi="Verdana" w:cs="Arial"/>
            <w:b/>
            <w:bCs/>
            <w:sz w:val="19"/>
            <w:szCs w:val="19"/>
            <w:lang w:val="sr-Cyrl-RS"/>
          </w:rPr>
          <w:t>77/14</w:t>
        </w:r>
      </w:hyperlink>
      <w:r w:rsidRPr="00580B4A">
        <w:rPr>
          <w:rFonts w:ascii="Verdana" w:eastAsia="Times New Roman" w:hAnsi="Verdana" w:cs="Arial"/>
          <w:b/>
          <w:bCs/>
          <w:sz w:val="19"/>
          <w:szCs w:val="19"/>
          <w:lang w:val="sr-Cyrl-RS"/>
        </w:rPr>
        <w:t>, </w:t>
      </w:r>
      <w:hyperlink r:id="rId7" w:tooltip="Pravilnik o izmeni i dopuni Pravilnika o načinu i programu stručnog osposobljavanja i načinu polaganja stručnog ispita za službenika za javne nabavke (03/10/2015)" w:history="1">
        <w:r w:rsidRPr="00580B4A">
          <w:rPr>
            <w:rFonts w:ascii="Verdana" w:eastAsia="Times New Roman" w:hAnsi="Verdana" w:cs="Arial"/>
            <w:b/>
            <w:bCs/>
            <w:sz w:val="19"/>
            <w:szCs w:val="19"/>
            <w:lang w:val="sr-Cyrl-RS"/>
          </w:rPr>
          <w:t>83/15</w:t>
        </w:r>
      </w:hyperlink>
      <w:r w:rsidRPr="00580B4A">
        <w:rPr>
          <w:rFonts w:ascii="Verdana" w:eastAsia="Times New Roman" w:hAnsi="Verdana" w:cs="Arial"/>
          <w:b/>
          <w:bCs/>
          <w:sz w:val="19"/>
          <w:szCs w:val="19"/>
          <w:lang w:val="sr-Cyrl-RS"/>
        </w:rPr>
        <w:t>)</w:t>
      </w:r>
    </w:p>
    <w:p w:rsidR="00560902" w:rsidRPr="00580B4A" w:rsidRDefault="00560902" w:rsidP="00560902">
      <w:pPr>
        <w:spacing w:after="150" w:line="240" w:lineRule="auto"/>
        <w:jc w:val="center"/>
        <w:rPr>
          <w:rFonts w:ascii="Verdana" w:eastAsia="Times New Roman" w:hAnsi="Verdana" w:cs="Arial"/>
          <w:b/>
          <w:bCs/>
          <w:sz w:val="17"/>
          <w:szCs w:val="17"/>
          <w:lang w:val="sr-Cyrl-RS"/>
        </w:rPr>
      </w:pPr>
      <w:r w:rsidRPr="00580B4A">
        <w:rPr>
          <w:rFonts w:ascii="Verdana" w:eastAsia="Times New Roman" w:hAnsi="Verdana" w:cs="Arial"/>
          <w:b/>
          <w:bCs/>
          <w:sz w:val="17"/>
          <w:szCs w:val="17"/>
          <w:lang w:val="sr-Cyrl-RS"/>
        </w:rPr>
        <w:t>Пречишћен текст закључно са изменама из Сл. гл. РС бр. 83/15  које су у примени од 11/10/2015 </w:t>
      </w:r>
      <w:r w:rsidRPr="00580B4A">
        <w:rPr>
          <w:rFonts w:ascii="Verdana" w:eastAsia="Times New Roman" w:hAnsi="Verdana" w:cs="Arial"/>
          <w:b/>
          <w:bCs/>
          <w:sz w:val="17"/>
          <w:szCs w:val="17"/>
          <w:lang w:val="sr-Cyrl-RS"/>
        </w:rPr>
        <w:br/>
        <w:t>(измене у чл.: </w:t>
      </w:r>
      <w:hyperlink r:id="rId8" w:anchor="c0003" w:tooltip="Član je izmenjen." w:history="1">
        <w:r w:rsidRPr="00580B4A">
          <w:rPr>
            <w:rFonts w:ascii="Verdana" w:eastAsia="Times New Roman" w:hAnsi="Verdana" w:cs="Arial"/>
            <w:b/>
            <w:bCs/>
            <w:sz w:val="17"/>
            <w:szCs w:val="17"/>
            <w:lang w:val="sr-Cyrl-RS"/>
          </w:rPr>
          <w:t>3</w:t>
        </w:r>
      </w:hyperlink>
      <w:r w:rsidRPr="00580B4A">
        <w:rPr>
          <w:rFonts w:ascii="Verdana" w:eastAsia="Times New Roman" w:hAnsi="Verdana" w:cs="Arial"/>
          <w:b/>
          <w:bCs/>
          <w:sz w:val="17"/>
          <w:szCs w:val="17"/>
          <w:lang w:val="sr-Cyrl-RS"/>
        </w:rPr>
        <w:t>).</w:t>
      </w:r>
    </w:p>
    <w:p w:rsidR="00560902" w:rsidRPr="00580B4A" w:rsidRDefault="00560902" w:rsidP="00560902">
      <w:pPr>
        <w:spacing w:after="0" w:line="240" w:lineRule="auto"/>
        <w:jc w:val="center"/>
        <w:outlineLvl w:val="1"/>
        <w:rPr>
          <w:rFonts w:ascii="Arial" w:eastAsia="Times New Roman" w:hAnsi="Arial" w:cs="Arial"/>
          <w:b/>
          <w:bCs/>
          <w:sz w:val="26"/>
          <w:szCs w:val="26"/>
          <w:lang w:val="sr-Cyrl-RS"/>
        </w:rPr>
      </w:pPr>
      <w:bookmarkStart w:id="0" w:name="toc1"/>
      <w:bookmarkEnd w:id="0"/>
    </w:p>
    <w:p w:rsidR="00560902" w:rsidRPr="00580B4A" w:rsidRDefault="00560902" w:rsidP="00560902">
      <w:pPr>
        <w:spacing w:after="0" w:line="240" w:lineRule="auto"/>
        <w:jc w:val="center"/>
        <w:outlineLvl w:val="1"/>
        <w:rPr>
          <w:rFonts w:ascii="Arial" w:eastAsia="Times New Roman" w:hAnsi="Arial" w:cs="Arial"/>
          <w:b/>
          <w:bCs/>
          <w:sz w:val="26"/>
          <w:szCs w:val="26"/>
          <w:lang w:val="sr-Cyrl-RS"/>
        </w:rPr>
      </w:pPr>
      <w:r w:rsidRPr="00580B4A">
        <w:rPr>
          <w:rFonts w:ascii="Arial" w:eastAsia="Times New Roman" w:hAnsi="Arial" w:cs="Arial"/>
          <w:b/>
          <w:bCs/>
          <w:sz w:val="26"/>
          <w:szCs w:val="26"/>
          <w:lang w:val="sr-Cyrl-RS"/>
        </w:rPr>
        <w:t>Опште одредбе</w:t>
      </w:r>
    </w:p>
    <w:p w:rsidR="00560902" w:rsidRPr="00580B4A" w:rsidRDefault="00560902" w:rsidP="00560902">
      <w:pPr>
        <w:spacing w:after="0" w:line="240" w:lineRule="auto"/>
        <w:jc w:val="center"/>
        <w:outlineLvl w:val="3"/>
        <w:rPr>
          <w:rFonts w:ascii="Arial" w:eastAsia="Times New Roman" w:hAnsi="Arial" w:cs="Arial"/>
          <w:b/>
          <w:bCs/>
          <w:sz w:val="20"/>
          <w:szCs w:val="20"/>
          <w:lang w:val="sr-Cyrl-RS"/>
        </w:rPr>
      </w:pPr>
      <w:bookmarkStart w:id="1" w:name="c0001"/>
      <w:bookmarkEnd w:id="1"/>
    </w:p>
    <w:p w:rsidR="00560902" w:rsidRDefault="00560902" w:rsidP="00560902">
      <w:pPr>
        <w:spacing w:after="0" w:line="240" w:lineRule="auto"/>
        <w:jc w:val="center"/>
        <w:outlineLvl w:val="3"/>
        <w:rPr>
          <w:rFonts w:ascii="Arial" w:eastAsia="Times New Roman" w:hAnsi="Arial" w:cs="Arial"/>
          <w:b/>
          <w:bCs/>
          <w:sz w:val="20"/>
          <w:szCs w:val="20"/>
          <w:lang w:val="sr-Cyrl-RS"/>
        </w:rPr>
      </w:pPr>
      <w:r w:rsidRPr="00580B4A">
        <w:rPr>
          <w:rFonts w:ascii="Arial" w:eastAsia="Times New Roman" w:hAnsi="Arial" w:cs="Arial"/>
          <w:b/>
          <w:bCs/>
          <w:sz w:val="20"/>
          <w:szCs w:val="20"/>
          <w:lang w:val="sr-Cyrl-RS"/>
        </w:rPr>
        <w:t>Члан 1.</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Овим правилником утврђује се начин и програм стручног оспособљавања и начин полагања стручног испита за службеника за јавне набавке (у даљем тексту: службеник).</w:t>
      </w:r>
    </w:p>
    <w:p w:rsidR="00560902" w:rsidRPr="00580B4A" w:rsidRDefault="00560902" w:rsidP="00560902">
      <w:pPr>
        <w:spacing w:after="0" w:line="240" w:lineRule="auto"/>
        <w:jc w:val="center"/>
        <w:outlineLvl w:val="1"/>
        <w:rPr>
          <w:rFonts w:ascii="Arial" w:eastAsia="Times New Roman" w:hAnsi="Arial" w:cs="Arial"/>
          <w:b/>
          <w:bCs/>
          <w:sz w:val="26"/>
          <w:szCs w:val="26"/>
          <w:lang w:val="sr-Cyrl-RS"/>
        </w:rPr>
      </w:pPr>
      <w:bookmarkStart w:id="2" w:name="toc2"/>
      <w:bookmarkEnd w:id="2"/>
    </w:p>
    <w:p w:rsidR="00560902" w:rsidRPr="00580B4A" w:rsidRDefault="00560902" w:rsidP="00560902">
      <w:pPr>
        <w:spacing w:after="0" w:line="240" w:lineRule="auto"/>
        <w:jc w:val="center"/>
        <w:outlineLvl w:val="1"/>
        <w:rPr>
          <w:rFonts w:ascii="Arial" w:eastAsia="Times New Roman" w:hAnsi="Arial" w:cs="Arial"/>
          <w:b/>
          <w:bCs/>
          <w:sz w:val="26"/>
          <w:szCs w:val="26"/>
          <w:lang w:val="sr-Cyrl-RS"/>
        </w:rPr>
      </w:pPr>
      <w:r w:rsidRPr="00580B4A">
        <w:rPr>
          <w:rFonts w:ascii="Arial" w:eastAsia="Times New Roman" w:hAnsi="Arial" w:cs="Arial"/>
          <w:b/>
          <w:bCs/>
          <w:sz w:val="26"/>
          <w:szCs w:val="26"/>
          <w:lang w:val="sr-Cyrl-RS"/>
        </w:rPr>
        <w:t>Начин и програм стручног оспособљавања</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bookmarkStart w:id="3" w:name="c0002"/>
      <w:bookmarkEnd w:id="3"/>
    </w:p>
    <w:p w:rsidR="00560902" w:rsidRDefault="00560902" w:rsidP="00560902">
      <w:pPr>
        <w:spacing w:after="0" w:line="240" w:lineRule="auto"/>
        <w:jc w:val="center"/>
        <w:outlineLvl w:val="3"/>
        <w:rPr>
          <w:rFonts w:ascii="Arial" w:eastAsia="Times New Roman" w:hAnsi="Arial" w:cs="Arial"/>
          <w:b/>
          <w:bCs/>
          <w:sz w:val="20"/>
          <w:szCs w:val="20"/>
          <w:lang w:val="sr-Cyrl-RS"/>
        </w:rPr>
      </w:pPr>
      <w:r w:rsidRPr="00580B4A">
        <w:rPr>
          <w:rFonts w:ascii="Arial" w:eastAsia="Times New Roman" w:hAnsi="Arial" w:cs="Arial"/>
          <w:b/>
          <w:bCs/>
          <w:sz w:val="20"/>
          <w:szCs w:val="20"/>
          <w:lang w:val="sr-Cyrl-RS"/>
        </w:rPr>
        <w:t>Члан 2.</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За потребе стручног оспособљавања и припреме за полагање стручног испита за службеника (у даљем тексту: испит) користе се правни извори из члана 3. став 2. овог правилника.</w:t>
      </w:r>
    </w:p>
    <w:p w:rsidR="00560902" w:rsidRPr="00580B4A" w:rsidRDefault="00560902" w:rsidP="00560902">
      <w:pPr>
        <w:spacing w:after="0" w:line="240" w:lineRule="auto"/>
        <w:jc w:val="center"/>
        <w:outlineLvl w:val="3"/>
        <w:rPr>
          <w:rFonts w:ascii="Arial" w:eastAsia="Times New Roman" w:hAnsi="Arial" w:cs="Arial"/>
          <w:b/>
          <w:bCs/>
          <w:sz w:val="20"/>
          <w:szCs w:val="20"/>
          <w:lang w:val="sr-Cyrl-RS"/>
        </w:rPr>
      </w:pPr>
      <w:bookmarkStart w:id="4" w:name="c0003"/>
      <w:bookmarkEnd w:id="4"/>
    </w:p>
    <w:p w:rsidR="00560902" w:rsidRDefault="00560902" w:rsidP="00560902">
      <w:pPr>
        <w:spacing w:after="0" w:line="240" w:lineRule="auto"/>
        <w:jc w:val="center"/>
        <w:outlineLvl w:val="3"/>
        <w:rPr>
          <w:rFonts w:ascii="Arial" w:eastAsia="Times New Roman" w:hAnsi="Arial" w:cs="Arial"/>
          <w:b/>
          <w:bCs/>
          <w:sz w:val="20"/>
          <w:szCs w:val="20"/>
          <w:lang w:val="sr-Cyrl-RS"/>
        </w:rPr>
      </w:pPr>
      <w:r w:rsidRPr="00580B4A">
        <w:rPr>
          <w:rFonts w:ascii="Arial" w:eastAsia="Times New Roman" w:hAnsi="Arial" w:cs="Arial"/>
          <w:b/>
          <w:bCs/>
          <w:sz w:val="20"/>
          <w:szCs w:val="20"/>
          <w:lang w:val="sr-Cyrl-RS"/>
        </w:rPr>
        <w:t>Члан 3. </w:t>
      </w:r>
      <w:r w:rsidR="00580B4A" w:rsidRPr="00580B4A">
        <w:rPr>
          <w:rFonts w:ascii="Arial" w:eastAsia="Times New Roman" w:hAnsi="Arial" w:cs="Arial"/>
          <w:b/>
          <w:bCs/>
          <w:sz w:val="20"/>
          <w:szCs w:val="20"/>
          <w:lang w:val="sr-Cyrl-RS"/>
        </w:rPr>
        <w:t xml:space="preserve"> </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 Програм стручног оспособљавања за службеника (у даљем тексту: програм), садржи следеће области: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 Законодавни и институционални оквир јавних набавки у Републици Србији;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 Појам и предмет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3) Начела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4) Набавке на које се закон не примењује;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5) Заштита података, документација и евидентирање поступка;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6) Језик, валута и комуникација у поступку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7) Спречавање корупције и сукоба интереса;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8) Поступци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(а) отворени поступак;</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(б) рестриктивни поступак;</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(в) квалификациони поступак;</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(г) преговарачки поступак са објављивањем позива за подношење понуда;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(д) преговарачки поступак објављивања позива за подношење понуда;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(ђ) конкурентни дијалог;</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(е) конкурс за дизајн;</w:t>
      </w:r>
    </w:p>
    <w:p w:rsidR="00560902" w:rsidRPr="00580B4A" w:rsidRDefault="00560902" w:rsidP="00560902">
      <w:pPr>
        <w:spacing w:after="75"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(ж) поступак јавне набавке мале вредности;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9) Посебни облици поступака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10) Електронска лицитација;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11) Централизоване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12) План набавки;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lastRenderedPageBreak/>
        <w:t>13) Процењена вредност, покретање и избор поступка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14) Огласи о јавној набавци;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15) Конкурсна документација - припрема, садржина, објављивање, измене и допуне;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16) Услови за учешће у поступку јавне набавке и доказивање испуњености услова;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17) Техничке спецификације;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18) Критеријуми за доделу уговора;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19) Негативне референце;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20) Понуда - подношење и важење;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21) Рокови у поступку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22) Пријем и отварање понуда;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23) Додела уговора, одлука о обустави поступка;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24) Уговор о јавној набавци;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25) Јавне набавке у области водопривреде, енергетике, саобраћаја и поштанских услуга;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26) Јавне набавке у области одбране и безбедности </w:t>
      </w:r>
      <w:r w:rsidRPr="00580B4A">
        <w:rPr>
          <w:rFonts w:ascii="Arial" w:eastAsia="Times New Roman" w:hAnsi="Arial" w:cs="Arial"/>
          <w:b/>
          <w:bCs/>
          <w:sz w:val="20"/>
          <w:szCs w:val="20"/>
          <w:lang w:val="sr-Cyrl-RS"/>
        </w:rPr>
        <w:t>и јавне набавке ради отклањања последица елементарних непогода и техничко-технолошких несрећа - удеса</w:t>
      </w:r>
      <w:r w:rsidRPr="00580B4A">
        <w:rPr>
          <w:rFonts w:ascii="Arial" w:eastAsia="Times New Roman" w:hAnsi="Arial" w:cs="Arial"/>
          <w:sz w:val="20"/>
          <w:szCs w:val="20"/>
          <w:lang w:val="sr-Cyrl-RS"/>
        </w:rPr>
        <w:t>;</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27) Евиденција и извештаји о јавним набавкама;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28) Заштита права у поступку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29) Ништавост уговора;</w:t>
      </w:r>
    </w:p>
    <w:p w:rsidR="00560902" w:rsidRPr="00580B4A" w:rsidRDefault="00560902" w:rsidP="00560902">
      <w:pPr>
        <w:spacing w:after="75"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30) Казнене одредбе - прекршаји.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 Правни извори: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 </w:t>
      </w:r>
      <w:hyperlink r:id="rId9" w:history="1">
        <w:r w:rsidRPr="00580B4A">
          <w:rPr>
            <w:rFonts w:ascii="Arial" w:eastAsia="Times New Roman" w:hAnsi="Arial" w:cs="Arial"/>
            <w:b/>
            <w:bCs/>
            <w:sz w:val="20"/>
            <w:szCs w:val="20"/>
            <w:u w:val="single"/>
            <w:lang w:val="sr-Cyrl-RS"/>
          </w:rPr>
          <w:t>Закон о јавним набавкама</w:t>
        </w:r>
      </w:hyperlink>
      <w:r w:rsidRPr="00580B4A">
        <w:rPr>
          <w:rFonts w:ascii="Arial" w:eastAsia="Times New Roman" w:hAnsi="Arial" w:cs="Arial"/>
          <w:sz w:val="20"/>
          <w:szCs w:val="20"/>
          <w:lang w:val="sr-Cyrl-RS"/>
        </w:rPr>
        <w:t> ("Службени гласник РС", </w:t>
      </w:r>
      <w:r w:rsidRPr="00580B4A">
        <w:rPr>
          <w:rFonts w:ascii="Arial" w:eastAsia="Times New Roman" w:hAnsi="Arial" w:cs="Arial"/>
          <w:b/>
          <w:bCs/>
          <w:sz w:val="20"/>
          <w:szCs w:val="20"/>
          <w:lang w:val="sr-Cyrl-RS"/>
        </w:rPr>
        <w:t>бр. 124/12, 14/15 и 68/15</w:t>
      </w:r>
      <w:r w:rsidRPr="00580B4A">
        <w:rPr>
          <w:rFonts w:ascii="Arial" w:eastAsia="Times New Roman" w:hAnsi="Arial" w:cs="Arial"/>
          <w:sz w:val="20"/>
          <w:szCs w:val="20"/>
          <w:lang w:val="sr-Cyrl-RS"/>
        </w:rPr>
        <w:t>) и подзаконска акта донета на основу тог закона;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 </w:t>
      </w:r>
      <w:hyperlink r:id="rId10" w:history="1">
        <w:r w:rsidRPr="00580B4A">
          <w:rPr>
            <w:rFonts w:ascii="Arial" w:eastAsia="Times New Roman" w:hAnsi="Arial" w:cs="Arial"/>
            <w:b/>
            <w:bCs/>
            <w:sz w:val="20"/>
            <w:szCs w:val="20"/>
            <w:u w:val="single"/>
            <w:lang w:val="sr-Cyrl-RS"/>
          </w:rPr>
          <w:t>Закон о општем управном поступку</w:t>
        </w:r>
      </w:hyperlink>
      <w:r w:rsidRPr="00580B4A">
        <w:rPr>
          <w:rFonts w:ascii="Arial" w:eastAsia="Times New Roman" w:hAnsi="Arial" w:cs="Arial"/>
          <w:sz w:val="20"/>
          <w:szCs w:val="20"/>
          <w:lang w:val="sr-Cyrl-RS"/>
        </w:rPr>
        <w:t> ("Службени лист СРЈ", бр. 33/97 и 31/01 и "Службени гласник РС", број 30/10) и</w:t>
      </w:r>
    </w:p>
    <w:p w:rsidR="00560902" w:rsidRPr="00580B4A" w:rsidRDefault="00560902" w:rsidP="00560902">
      <w:pPr>
        <w:spacing w:after="75"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 </w:t>
      </w:r>
      <w:hyperlink r:id="rId11" w:history="1">
        <w:r w:rsidRPr="00580B4A">
          <w:rPr>
            <w:rFonts w:ascii="Arial" w:eastAsia="Times New Roman" w:hAnsi="Arial" w:cs="Arial"/>
            <w:b/>
            <w:bCs/>
            <w:sz w:val="20"/>
            <w:szCs w:val="20"/>
            <w:u w:val="single"/>
            <w:lang w:val="sr-Cyrl-RS"/>
          </w:rPr>
          <w:t>Закон о облигационим односима</w:t>
        </w:r>
      </w:hyperlink>
      <w:r w:rsidRPr="00580B4A">
        <w:rPr>
          <w:rFonts w:ascii="Arial" w:eastAsia="Times New Roman" w:hAnsi="Arial" w:cs="Arial"/>
          <w:sz w:val="20"/>
          <w:szCs w:val="20"/>
          <w:lang w:val="sr-Cyrl-RS"/>
        </w:rPr>
        <w:t> ("Службени лист СФРЈ", бр. 29/78, 39/85, 45/89 - УСЈ и 57/89, "Службени лист СРЈ", бр. 31/93 и 44/99 - др. пропис).</w:t>
      </w:r>
    </w:p>
    <w:p w:rsidR="00560902" w:rsidRPr="00580B4A" w:rsidRDefault="00560902" w:rsidP="00560902">
      <w:pPr>
        <w:spacing w:after="0" w:line="240" w:lineRule="auto"/>
        <w:jc w:val="center"/>
        <w:outlineLvl w:val="1"/>
        <w:rPr>
          <w:rFonts w:ascii="Arial" w:eastAsia="Times New Roman" w:hAnsi="Arial" w:cs="Arial"/>
          <w:b/>
          <w:bCs/>
          <w:sz w:val="26"/>
          <w:szCs w:val="26"/>
          <w:lang w:val="sr-Cyrl-RS"/>
        </w:rPr>
      </w:pPr>
      <w:bookmarkStart w:id="5" w:name="toc3"/>
      <w:bookmarkEnd w:id="5"/>
    </w:p>
    <w:p w:rsidR="00560902" w:rsidRPr="00580B4A" w:rsidRDefault="00560902" w:rsidP="00560902">
      <w:pPr>
        <w:spacing w:after="0" w:line="240" w:lineRule="auto"/>
        <w:jc w:val="center"/>
        <w:outlineLvl w:val="1"/>
        <w:rPr>
          <w:rFonts w:ascii="Arial" w:eastAsia="Times New Roman" w:hAnsi="Arial" w:cs="Arial"/>
          <w:b/>
          <w:bCs/>
          <w:sz w:val="26"/>
          <w:szCs w:val="26"/>
          <w:lang w:val="sr-Cyrl-RS"/>
        </w:rPr>
      </w:pPr>
      <w:r w:rsidRPr="00580B4A">
        <w:rPr>
          <w:rFonts w:ascii="Arial" w:eastAsia="Times New Roman" w:hAnsi="Arial" w:cs="Arial"/>
          <w:b/>
          <w:bCs/>
          <w:sz w:val="26"/>
          <w:szCs w:val="26"/>
          <w:lang w:val="sr-Cyrl-RS"/>
        </w:rPr>
        <w:t>Начин полагања стручног испита</w:t>
      </w:r>
    </w:p>
    <w:p w:rsidR="00560902" w:rsidRPr="00580B4A" w:rsidRDefault="00560902" w:rsidP="00560902">
      <w:pPr>
        <w:spacing w:after="0" w:line="240" w:lineRule="auto"/>
        <w:jc w:val="center"/>
        <w:outlineLvl w:val="3"/>
        <w:rPr>
          <w:rFonts w:ascii="Arial" w:eastAsia="Times New Roman" w:hAnsi="Arial" w:cs="Arial"/>
          <w:b/>
          <w:bCs/>
          <w:sz w:val="20"/>
          <w:szCs w:val="20"/>
          <w:lang w:val="sr-Cyrl-RS"/>
        </w:rPr>
      </w:pPr>
      <w:bookmarkStart w:id="6" w:name="c0004"/>
      <w:bookmarkEnd w:id="6"/>
    </w:p>
    <w:p w:rsidR="00560902" w:rsidRDefault="00560902" w:rsidP="00560902">
      <w:pPr>
        <w:spacing w:after="0" w:line="240" w:lineRule="auto"/>
        <w:jc w:val="center"/>
        <w:outlineLvl w:val="3"/>
        <w:rPr>
          <w:rFonts w:ascii="Arial" w:eastAsia="Times New Roman" w:hAnsi="Arial" w:cs="Arial"/>
          <w:b/>
          <w:bCs/>
          <w:sz w:val="20"/>
          <w:szCs w:val="20"/>
          <w:lang w:val="sr-Cyrl-RS"/>
        </w:rPr>
      </w:pPr>
      <w:r w:rsidRPr="00580B4A">
        <w:rPr>
          <w:rFonts w:ascii="Arial" w:eastAsia="Times New Roman" w:hAnsi="Arial" w:cs="Arial"/>
          <w:b/>
          <w:bCs/>
          <w:sz w:val="20"/>
          <w:szCs w:val="20"/>
          <w:lang w:val="sr-Cyrl-RS"/>
        </w:rPr>
        <w:t>Члан 4.</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 Статус кандидата за полагање испита (у даљем тексту: кандидат) стиче лице за које је наручилац поднео пријаву за полагање испита, лице за које је друго правно лице поднело пријаву за полагање испита или друго заинтересовано лице које поднесе пријаву за полагање испита.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 Пријава за полагање испита (у даљем тексту: пријава), подноси се Управи за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(3) Уз пријаву се подноси доказ о плаћеним трошковима полагања испита.</w:t>
      </w:r>
    </w:p>
    <w:p w:rsidR="00560902" w:rsidRPr="00580B4A" w:rsidRDefault="00560902" w:rsidP="00560902">
      <w:pPr>
        <w:spacing w:after="0" w:line="240" w:lineRule="auto"/>
        <w:jc w:val="center"/>
        <w:outlineLvl w:val="3"/>
        <w:rPr>
          <w:rFonts w:ascii="Arial" w:eastAsia="Times New Roman" w:hAnsi="Arial" w:cs="Arial"/>
          <w:b/>
          <w:bCs/>
          <w:sz w:val="20"/>
          <w:szCs w:val="20"/>
          <w:lang w:val="sr-Cyrl-RS"/>
        </w:rPr>
      </w:pPr>
      <w:bookmarkStart w:id="7" w:name="c0005"/>
      <w:bookmarkEnd w:id="7"/>
    </w:p>
    <w:p w:rsidR="00560902" w:rsidRDefault="00560902" w:rsidP="00560902">
      <w:pPr>
        <w:spacing w:after="0" w:line="240" w:lineRule="auto"/>
        <w:jc w:val="center"/>
        <w:outlineLvl w:val="3"/>
        <w:rPr>
          <w:rFonts w:ascii="Arial" w:eastAsia="Times New Roman" w:hAnsi="Arial" w:cs="Arial"/>
          <w:b/>
          <w:bCs/>
          <w:sz w:val="20"/>
          <w:szCs w:val="20"/>
          <w:lang w:val="sr-Cyrl-RS"/>
        </w:rPr>
      </w:pPr>
      <w:r w:rsidRPr="00580B4A">
        <w:rPr>
          <w:rFonts w:ascii="Arial" w:eastAsia="Times New Roman" w:hAnsi="Arial" w:cs="Arial"/>
          <w:b/>
          <w:bCs/>
          <w:sz w:val="20"/>
          <w:szCs w:val="20"/>
          <w:lang w:val="sr-Cyrl-RS"/>
        </w:rPr>
        <w:t>Члан 5.</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 Испит се организује, по правилу, једном месечно за најмање 15 пријављених кандидата.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 Термине и место одржавања испита Управа за јавне набавке објављује на својој интернет страници.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(3) Управа за јавне набавке решењем одобрава полагање испита ако су испуњени услови из члана 4. овог члана.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(4) Решење којим се одобрава полагање испита нарочито садржи име кандидата, податак о датуму, времену и месту одржавања испита.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(5) О одобравању полагања испита кандидат се обавештава на адресу наведену у пријави најкасније 15 дана пре одржавања испита.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(6) На молбу кандидата Управа за јавне набавке може одложити полагање испита, ако је кандидат због болести или других оправданих разлога спречен да полаже испит.</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(7) Кандидат је дужан да разлоге због којих тражи одлагање испита учини вероватним.</w:t>
      </w:r>
    </w:p>
    <w:p w:rsidR="00560902" w:rsidRPr="00580B4A" w:rsidRDefault="00560902" w:rsidP="00560902">
      <w:pPr>
        <w:spacing w:after="0" w:line="240" w:lineRule="auto"/>
        <w:jc w:val="center"/>
        <w:outlineLvl w:val="3"/>
        <w:rPr>
          <w:rFonts w:ascii="Arial" w:eastAsia="Times New Roman" w:hAnsi="Arial" w:cs="Arial"/>
          <w:b/>
          <w:bCs/>
          <w:sz w:val="20"/>
          <w:szCs w:val="20"/>
          <w:lang w:val="sr-Cyrl-RS"/>
        </w:rPr>
      </w:pPr>
      <w:bookmarkStart w:id="8" w:name="c0006"/>
      <w:bookmarkEnd w:id="8"/>
    </w:p>
    <w:p w:rsidR="00580B4A" w:rsidRDefault="00580B4A" w:rsidP="00560902">
      <w:pPr>
        <w:spacing w:after="0" w:line="240" w:lineRule="auto"/>
        <w:jc w:val="center"/>
        <w:outlineLvl w:val="3"/>
        <w:rPr>
          <w:rFonts w:ascii="Arial" w:eastAsia="Times New Roman" w:hAnsi="Arial" w:cs="Arial"/>
          <w:b/>
          <w:bCs/>
          <w:sz w:val="20"/>
          <w:szCs w:val="20"/>
          <w:lang w:val="sr-Cyrl-RS"/>
        </w:rPr>
      </w:pPr>
    </w:p>
    <w:p w:rsidR="00580B4A" w:rsidRDefault="00580B4A" w:rsidP="00560902">
      <w:pPr>
        <w:spacing w:after="0" w:line="240" w:lineRule="auto"/>
        <w:jc w:val="center"/>
        <w:outlineLvl w:val="3"/>
        <w:rPr>
          <w:rFonts w:ascii="Arial" w:eastAsia="Times New Roman" w:hAnsi="Arial" w:cs="Arial"/>
          <w:b/>
          <w:bCs/>
          <w:sz w:val="20"/>
          <w:szCs w:val="20"/>
          <w:lang w:val="sr-Cyrl-RS"/>
        </w:rPr>
      </w:pPr>
    </w:p>
    <w:p w:rsid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Default="00560902" w:rsidP="00560902">
      <w:pPr>
        <w:spacing w:after="0" w:line="240" w:lineRule="auto"/>
        <w:jc w:val="center"/>
        <w:outlineLvl w:val="3"/>
        <w:rPr>
          <w:rFonts w:ascii="Arial" w:eastAsia="Times New Roman" w:hAnsi="Arial" w:cs="Arial"/>
          <w:b/>
          <w:bCs/>
          <w:sz w:val="20"/>
          <w:szCs w:val="20"/>
          <w:lang w:val="sr-Cyrl-RS"/>
        </w:rPr>
      </w:pPr>
      <w:r w:rsidRPr="00580B4A">
        <w:rPr>
          <w:rFonts w:ascii="Arial" w:eastAsia="Times New Roman" w:hAnsi="Arial" w:cs="Arial"/>
          <w:b/>
          <w:bCs/>
          <w:sz w:val="20"/>
          <w:szCs w:val="20"/>
          <w:lang w:val="sr-Cyrl-RS"/>
        </w:rPr>
        <w:lastRenderedPageBreak/>
        <w:t>Члан 6.</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Административно-стручне и техничке послове за потребе полагања испита обавља Управа за јавне набавке.</w:t>
      </w:r>
    </w:p>
    <w:p w:rsidR="00560902" w:rsidRPr="00580B4A" w:rsidRDefault="00560902" w:rsidP="00560902">
      <w:pPr>
        <w:spacing w:after="0" w:line="240" w:lineRule="auto"/>
        <w:rPr>
          <w:rFonts w:ascii="Arial" w:eastAsia="Times New Roman" w:hAnsi="Arial" w:cs="Arial"/>
          <w:sz w:val="20"/>
          <w:szCs w:val="20"/>
          <w:lang w:val="sr-Cyrl-RS"/>
        </w:rPr>
      </w:pPr>
    </w:p>
    <w:p w:rsidR="00560902" w:rsidRDefault="00560902" w:rsidP="00560902">
      <w:pPr>
        <w:spacing w:after="0" w:line="240" w:lineRule="auto"/>
        <w:jc w:val="center"/>
        <w:outlineLvl w:val="3"/>
        <w:rPr>
          <w:rFonts w:ascii="Arial" w:eastAsia="Times New Roman" w:hAnsi="Arial" w:cs="Arial"/>
          <w:b/>
          <w:bCs/>
          <w:sz w:val="20"/>
          <w:szCs w:val="20"/>
          <w:lang w:val="sr-Cyrl-RS"/>
        </w:rPr>
      </w:pPr>
      <w:bookmarkStart w:id="9" w:name="c0007"/>
      <w:bookmarkEnd w:id="9"/>
      <w:r w:rsidRPr="00580B4A">
        <w:rPr>
          <w:rFonts w:ascii="Arial" w:eastAsia="Times New Roman" w:hAnsi="Arial" w:cs="Arial"/>
          <w:b/>
          <w:bCs/>
          <w:sz w:val="20"/>
          <w:szCs w:val="20"/>
          <w:lang w:val="sr-Cyrl-RS"/>
        </w:rPr>
        <w:t>Члан 7.</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 Испит се полаже пред испитном комисијом (у даљем тексту: комисија).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 Комисија има три члана, коју чине представници Управе за јавне набавке и Републичке комисије за заштиту права у поступцима јавних набавки.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(3) Комисију решењем именује директор Управе за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(4) Испит се полаже тестирањем у писаном облику које траје три школска часа, односно 135 минута без прекида и пауза.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(5) За време полагања испита дозвољено је коришћење закона и подзаконских аката, осим ако су у облику публикација које садрже тумачење односно образложење појединих чланова тих прописа.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(6) Тест за сваки испит посебно утврђује комисија, према програму из </w:t>
      </w:r>
      <w:hyperlink r:id="rId12" w:anchor="c0003" w:history="1">
        <w:r w:rsidRPr="00580B4A">
          <w:rPr>
            <w:rFonts w:ascii="Arial" w:eastAsia="Times New Roman" w:hAnsi="Arial" w:cs="Arial"/>
            <w:b/>
            <w:bCs/>
            <w:sz w:val="20"/>
            <w:szCs w:val="20"/>
            <w:u w:val="single"/>
            <w:lang w:val="sr-Cyrl-RS"/>
          </w:rPr>
          <w:t>члана 3.</w:t>
        </w:r>
      </w:hyperlink>
      <w:r w:rsidRPr="00580B4A">
        <w:rPr>
          <w:rFonts w:ascii="Arial" w:eastAsia="Times New Roman" w:hAnsi="Arial" w:cs="Arial"/>
          <w:sz w:val="20"/>
          <w:szCs w:val="20"/>
          <w:lang w:val="sr-Cyrl-RS"/>
        </w:rPr>
        <w:t> овог правилника.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(7) Тест има укупно 45 испитних питања, од којих 30 питања носе по један бод, а 15 питања носе по два бода, што укупно чини 60 бодова.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(8) Комисија оцењује успех кандидата, а кандидат који на испиту добије најмање 45 бодова положио је испит.</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(9) Сматра се да испит није положио кандидат који је одустао од започетог тестирања, као и кандидат који је на испиту добио мање од 45 бодова.</w:t>
      </w:r>
    </w:p>
    <w:p w:rsidR="00560902" w:rsidRPr="00580B4A" w:rsidRDefault="00560902" w:rsidP="00560902">
      <w:pPr>
        <w:spacing w:after="0" w:line="240" w:lineRule="auto"/>
        <w:jc w:val="center"/>
        <w:outlineLvl w:val="3"/>
        <w:rPr>
          <w:rFonts w:ascii="Arial" w:eastAsia="Times New Roman" w:hAnsi="Arial" w:cs="Arial"/>
          <w:b/>
          <w:bCs/>
          <w:sz w:val="20"/>
          <w:szCs w:val="20"/>
          <w:lang w:val="sr-Cyrl-RS"/>
        </w:rPr>
      </w:pPr>
      <w:bookmarkStart w:id="10" w:name="c0008"/>
      <w:bookmarkEnd w:id="10"/>
    </w:p>
    <w:p w:rsidR="00560902" w:rsidRDefault="00560902" w:rsidP="00560902">
      <w:pPr>
        <w:spacing w:after="0" w:line="240" w:lineRule="auto"/>
        <w:jc w:val="center"/>
        <w:outlineLvl w:val="3"/>
        <w:rPr>
          <w:rFonts w:ascii="Arial" w:eastAsia="Times New Roman" w:hAnsi="Arial" w:cs="Arial"/>
          <w:b/>
          <w:bCs/>
          <w:sz w:val="20"/>
          <w:szCs w:val="20"/>
          <w:lang w:val="sr-Cyrl-RS"/>
        </w:rPr>
      </w:pPr>
      <w:r w:rsidRPr="00580B4A">
        <w:rPr>
          <w:rFonts w:ascii="Arial" w:eastAsia="Times New Roman" w:hAnsi="Arial" w:cs="Arial"/>
          <w:b/>
          <w:bCs/>
          <w:sz w:val="20"/>
          <w:szCs w:val="20"/>
          <w:lang w:val="sr-Cyrl-RS"/>
        </w:rPr>
        <w:t>Члан 8.</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 Комисија саставља записник о обављеном испиту (у даљем тексту: записник).</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 Записник нарочито садржи:</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 датум, време и место полагања испита;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 број и датум решења којим је образована комисија;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3) имена и презимена чланова комисије;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4) податке о кандидатима (име и презиме, ЈМБГ и адреса);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5) број и датум решења којим је одобрено полагање испита за сваког кандидата;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6) успех (оцену) сваког кандидата постигнут на испиту;</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7) укупан број кандидата који су приступили полагању испита;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8) број кандидата који су положили испит;</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9) датум сачињавања записника и</w:t>
      </w:r>
    </w:p>
    <w:p w:rsidR="00560902" w:rsidRPr="00580B4A" w:rsidRDefault="00560902" w:rsidP="00560902">
      <w:pPr>
        <w:spacing w:after="75"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10) потписе чланова комисије.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(3) Уз записник се прилажу и тестови кандидата који су полагали испит.</w:t>
      </w:r>
    </w:p>
    <w:p w:rsidR="00560902" w:rsidRPr="00580B4A" w:rsidRDefault="00560902" w:rsidP="00560902">
      <w:pPr>
        <w:spacing w:after="0" w:line="240" w:lineRule="auto"/>
        <w:jc w:val="center"/>
        <w:outlineLvl w:val="3"/>
        <w:rPr>
          <w:rFonts w:ascii="Arial" w:eastAsia="Times New Roman" w:hAnsi="Arial" w:cs="Arial"/>
          <w:b/>
          <w:bCs/>
          <w:sz w:val="20"/>
          <w:szCs w:val="20"/>
          <w:lang w:val="sr-Cyrl-RS"/>
        </w:rPr>
      </w:pPr>
      <w:bookmarkStart w:id="11" w:name="c0009"/>
      <w:bookmarkEnd w:id="11"/>
    </w:p>
    <w:p w:rsidR="00560902" w:rsidRDefault="00560902" w:rsidP="00560902">
      <w:pPr>
        <w:spacing w:after="0" w:line="240" w:lineRule="auto"/>
        <w:jc w:val="center"/>
        <w:outlineLvl w:val="3"/>
        <w:rPr>
          <w:rFonts w:ascii="Arial" w:eastAsia="Times New Roman" w:hAnsi="Arial" w:cs="Arial"/>
          <w:b/>
          <w:bCs/>
          <w:sz w:val="20"/>
          <w:szCs w:val="20"/>
          <w:lang w:val="sr-Cyrl-RS"/>
        </w:rPr>
      </w:pPr>
      <w:r w:rsidRPr="00580B4A">
        <w:rPr>
          <w:rFonts w:ascii="Arial" w:eastAsia="Times New Roman" w:hAnsi="Arial" w:cs="Arial"/>
          <w:b/>
          <w:bCs/>
          <w:sz w:val="20"/>
          <w:szCs w:val="20"/>
          <w:lang w:val="sr-Cyrl-RS"/>
        </w:rPr>
        <w:t>Члан 9.</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(1) Управа за јавне набавке кандидату доставља обавештење о успеху на испиту у року од 15 дана од дана полагања испита.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(2) Кандидат који је полагао испит може извршити увид у свој тест.</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(3) Захтев за увид у тест доставља се Управи за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(4) Управа за јавне набавке ће омогућити кандидату увид у тест у року од три дана од дана пријема захтева из става 3. овог члана.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(5) Кандидат има право приговора на резултате испита у року од седам дана од дана пријема обавештења из става 1. овог члана.</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(6) Приговор се подноси комисији преко Управе за јавне набавке.</w:t>
      </w: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(7) О приговору кандидата одлучује комисија у року од седам дана од дана пријема приговора.</w:t>
      </w:r>
    </w:p>
    <w:p w:rsidR="00560902" w:rsidRPr="00580B4A" w:rsidRDefault="00560902" w:rsidP="00560902">
      <w:pPr>
        <w:spacing w:after="0" w:line="240" w:lineRule="auto"/>
        <w:jc w:val="center"/>
        <w:outlineLvl w:val="3"/>
        <w:rPr>
          <w:rFonts w:ascii="Arial" w:eastAsia="Times New Roman" w:hAnsi="Arial" w:cs="Arial"/>
          <w:b/>
          <w:bCs/>
          <w:sz w:val="20"/>
          <w:szCs w:val="20"/>
          <w:lang w:val="sr-Cyrl-RS"/>
        </w:rPr>
      </w:pPr>
      <w:bookmarkStart w:id="12" w:name="c0010"/>
      <w:bookmarkEnd w:id="12"/>
    </w:p>
    <w:p w:rsidR="00560902" w:rsidRDefault="00560902" w:rsidP="00560902">
      <w:pPr>
        <w:spacing w:after="0" w:line="240" w:lineRule="auto"/>
        <w:jc w:val="center"/>
        <w:outlineLvl w:val="3"/>
        <w:rPr>
          <w:rFonts w:ascii="Arial" w:eastAsia="Times New Roman" w:hAnsi="Arial" w:cs="Arial"/>
          <w:b/>
          <w:bCs/>
          <w:sz w:val="20"/>
          <w:szCs w:val="20"/>
          <w:lang w:val="sr-Cyrl-RS"/>
        </w:rPr>
      </w:pPr>
      <w:r w:rsidRPr="00580B4A">
        <w:rPr>
          <w:rFonts w:ascii="Arial" w:eastAsia="Times New Roman" w:hAnsi="Arial" w:cs="Arial"/>
          <w:b/>
          <w:bCs/>
          <w:sz w:val="20"/>
          <w:szCs w:val="20"/>
          <w:lang w:val="sr-Cyrl-RS"/>
        </w:rPr>
        <w:t>Члан 10.</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Уверење о положеном испиту кандидату се доставља у року од 20 дана од дана полагања испита, а сертификат службеника за јавне набавке у року од 90 дана од дана полагања испита.</w:t>
      </w:r>
    </w:p>
    <w:p w:rsidR="00560902" w:rsidRPr="00580B4A" w:rsidRDefault="00560902" w:rsidP="00560902">
      <w:pPr>
        <w:spacing w:after="0" w:line="240" w:lineRule="auto"/>
        <w:jc w:val="center"/>
        <w:outlineLvl w:val="1"/>
        <w:rPr>
          <w:rFonts w:ascii="Arial" w:eastAsia="Times New Roman" w:hAnsi="Arial" w:cs="Arial"/>
          <w:b/>
          <w:bCs/>
          <w:sz w:val="26"/>
          <w:szCs w:val="26"/>
          <w:lang w:val="sr-Cyrl-RS"/>
        </w:rPr>
      </w:pPr>
      <w:bookmarkStart w:id="13" w:name="toc4"/>
      <w:bookmarkEnd w:id="13"/>
    </w:p>
    <w:p w:rsidR="00560902" w:rsidRPr="00580B4A" w:rsidRDefault="00560902" w:rsidP="00560902">
      <w:pPr>
        <w:spacing w:after="0" w:line="240" w:lineRule="auto"/>
        <w:jc w:val="center"/>
        <w:outlineLvl w:val="1"/>
        <w:rPr>
          <w:rFonts w:ascii="Arial" w:eastAsia="Times New Roman" w:hAnsi="Arial" w:cs="Arial"/>
          <w:b/>
          <w:bCs/>
          <w:sz w:val="26"/>
          <w:szCs w:val="26"/>
          <w:lang w:val="sr-Cyrl-RS"/>
        </w:rPr>
      </w:pPr>
      <w:r w:rsidRPr="00580B4A">
        <w:rPr>
          <w:rFonts w:ascii="Arial" w:eastAsia="Times New Roman" w:hAnsi="Arial" w:cs="Arial"/>
          <w:b/>
          <w:bCs/>
          <w:sz w:val="26"/>
          <w:szCs w:val="26"/>
          <w:lang w:val="sr-Cyrl-RS"/>
        </w:rPr>
        <w:t>Завршне одредбе</w:t>
      </w:r>
    </w:p>
    <w:p w:rsidR="00560902" w:rsidRPr="00580B4A" w:rsidRDefault="00560902" w:rsidP="00560902">
      <w:pPr>
        <w:spacing w:after="0" w:line="240" w:lineRule="auto"/>
        <w:jc w:val="center"/>
        <w:outlineLvl w:val="3"/>
        <w:rPr>
          <w:rFonts w:ascii="Arial" w:eastAsia="Times New Roman" w:hAnsi="Arial" w:cs="Arial"/>
          <w:b/>
          <w:bCs/>
          <w:sz w:val="20"/>
          <w:szCs w:val="20"/>
          <w:lang w:val="sr-Cyrl-RS"/>
        </w:rPr>
      </w:pPr>
      <w:bookmarkStart w:id="14" w:name="c0011"/>
      <w:bookmarkEnd w:id="14"/>
    </w:p>
    <w:p w:rsidR="00560902" w:rsidRDefault="00560902" w:rsidP="00560902">
      <w:pPr>
        <w:spacing w:after="0" w:line="240" w:lineRule="auto"/>
        <w:jc w:val="center"/>
        <w:outlineLvl w:val="3"/>
        <w:rPr>
          <w:rFonts w:ascii="Arial" w:eastAsia="Times New Roman" w:hAnsi="Arial" w:cs="Arial"/>
          <w:b/>
          <w:bCs/>
          <w:sz w:val="20"/>
          <w:szCs w:val="20"/>
          <w:lang w:val="sr-Cyrl-RS"/>
        </w:rPr>
      </w:pPr>
      <w:r w:rsidRPr="00580B4A">
        <w:rPr>
          <w:rFonts w:ascii="Arial" w:eastAsia="Times New Roman" w:hAnsi="Arial" w:cs="Arial"/>
          <w:b/>
          <w:bCs/>
          <w:sz w:val="20"/>
          <w:szCs w:val="20"/>
          <w:lang w:val="sr-Cyrl-RS"/>
        </w:rPr>
        <w:t>Члан 11.</w:t>
      </w:r>
    </w:p>
    <w:p w:rsidR="00580B4A" w:rsidRPr="00580B4A" w:rsidRDefault="00580B4A" w:rsidP="00560902">
      <w:pPr>
        <w:spacing w:after="0" w:line="240" w:lineRule="auto"/>
        <w:jc w:val="center"/>
        <w:outlineLvl w:val="3"/>
        <w:rPr>
          <w:rFonts w:ascii="Arial" w:eastAsia="Times New Roman" w:hAnsi="Arial" w:cs="Arial"/>
          <w:b/>
          <w:bCs/>
          <w:sz w:val="20"/>
          <w:szCs w:val="20"/>
          <w:lang w:val="sr-Cyrl-RS"/>
        </w:rPr>
      </w:pPr>
      <w:bookmarkStart w:id="15" w:name="_GoBack"/>
      <w:bookmarkEnd w:id="15"/>
    </w:p>
    <w:p w:rsidR="00560902" w:rsidRPr="00580B4A" w:rsidRDefault="00560902" w:rsidP="00560902">
      <w:pPr>
        <w:spacing w:after="0" w:line="240" w:lineRule="auto"/>
        <w:rPr>
          <w:rFonts w:ascii="Arial" w:eastAsia="Times New Roman" w:hAnsi="Arial" w:cs="Arial"/>
          <w:sz w:val="20"/>
          <w:szCs w:val="20"/>
          <w:lang w:val="sr-Cyrl-RS"/>
        </w:rPr>
      </w:pPr>
      <w:r w:rsidRPr="00580B4A">
        <w:rPr>
          <w:rFonts w:ascii="Arial" w:eastAsia="Times New Roman" w:hAnsi="Arial" w:cs="Arial"/>
          <w:sz w:val="20"/>
          <w:szCs w:val="20"/>
          <w:lang w:val="sr-Cyrl-RS"/>
        </w:rPr>
        <w:t xml:space="preserve">Овај правилник ступа на снагу осмог дана од дана објављивања у "Службеном гласнику Републике Србије". </w:t>
      </w:r>
    </w:p>
    <w:p w:rsidR="00933BD0" w:rsidRPr="00580B4A" w:rsidRDefault="00580B4A">
      <w:pPr>
        <w:rPr>
          <w:lang w:val="sr-Cyrl-RS"/>
        </w:rPr>
      </w:pPr>
    </w:p>
    <w:sectPr w:rsidR="00933BD0" w:rsidRPr="00580B4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57"/>
    <w:rsid w:val="00266749"/>
    <w:rsid w:val="00560902"/>
    <w:rsid w:val="00580B4A"/>
    <w:rsid w:val="00885ACC"/>
    <w:rsid w:val="00A01857"/>
    <w:rsid w:val="00E042DC"/>
    <w:rsid w:val="00ED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DC"/>
  </w:style>
  <w:style w:type="paragraph" w:styleId="Heading1">
    <w:name w:val="heading 1"/>
    <w:basedOn w:val="Normal"/>
    <w:link w:val="Heading1Char"/>
    <w:uiPriority w:val="9"/>
    <w:qFormat/>
    <w:rsid w:val="00560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09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609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9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090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6090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60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0902"/>
  </w:style>
  <w:style w:type="character" w:styleId="Hyperlink">
    <w:name w:val="Hyperlink"/>
    <w:basedOn w:val="DefaultParagraphFont"/>
    <w:uiPriority w:val="99"/>
    <w:semiHidden/>
    <w:unhideWhenUsed/>
    <w:rsid w:val="00560902"/>
    <w:rPr>
      <w:color w:val="0000FF"/>
      <w:u w:val="single"/>
    </w:rPr>
  </w:style>
  <w:style w:type="paragraph" w:customStyle="1" w:styleId="pn1">
    <w:name w:val="pn1"/>
    <w:basedOn w:val="Normal"/>
    <w:rsid w:val="00560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buttonlinks">
    <w:name w:val="span_button_links"/>
    <w:basedOn w:val="DefaultParagraphFont"/>
    <w:rsid w:val="00560902"/>
  </w:style>
  <w:style w:type="paragraph" w:customStyle="1" w:styleId="notranslate">
    <w:name w:val="notranslate"/>
    <w:basedOn w:val="Normal"/>
    <w:rsid w:val="005609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DC"/>
  </w:style>
  <w:style w:type="paragraph" w:styleId="Heading1">
    <w:name w:val="heading 1"/>
    <w:basedOn w:val="Normal"/>
    <w:link w:val="Heading1Char"/>
    <w:uiPriority w:val="9"/>
    <w:qFormat/>
    <w:rsid w:val="005609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09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5609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9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090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56090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60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0902"/>
  </w:style>
  <w:style w:type="character" w:styleId="Hyperlink">
    <w:name w:val="Hyperlink"/>
    <w:basedOn w:val="DefaultParagraphFont"/>
    <w:uiPriority w:val="99"/>
    <w:semiHidden/>
    <w:unhideWhenUsed/>
    <w:rsid w:val="00560902"/>
    <w:rPr>
      <w:color w:val="0000FF"/>
      <w:u w:val="single"/>
    </w:rPr>
  </w:style>
  <w:style w:type="paragraph" w:customStyle="1" w:styleId="pn1">
    <w:name w:val="pn1"/>
    <w:basedOn w:val="Normal"/>
    <w:rsid w:val="005609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buttonlinks">
    <w:name w:val="span_button_links"/>
    <w:basedOn w:val="DefaultParagraphFont"/>
    <w:rsid w:val="00560902"/>
  </w:style>
  <w:style w:type="paragraph" w:customStyle="1" w:styleId="notranslate">
    <w:name w:val="notranslate"/>
    <w:basedOn w:val="Normal"/>
    <w:rsid w:val="005609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34539">
      <w:bodyDiv w:val="1"/>
      <w:marLeft w:val="0"/>
      <w:marRight w:val="0"/>
      <w:marTop w:val="0"/>
      <w:marBottom w:val="0"/>
      <w:divBdr>
        <w:top w:val="none" w:sz="0" w:space="0" w:color="auto"/>
        <w:left w:val="none" w:sz="0" w:space="0" w:color="auto"/>
        <w:bottom w:val="none" w:sz="0" w:space="0" w:color="auto"/>
        <w:right w:val="none" w:sz="0" w:space="0" w:color="auto"/>
      </w:divBdr>
      <w:divsChild>
        <w:div w:id="677654252">
          <w:marLeft w:val="0"/>
          <w:marRight w:val="0"/>
          <w:marTop w:val="0"/>
          <w:marBottom w:val="0"/>
          <w:divBdr>
            <w:top w:val="single" w:sz="2" w:space="0" w:color="FF0000"/>
            <w:left w:val="single" w:sz="2" w:space="4" w:color="FF0000"/>
            <w:bottom w:val="single" w:sz="2" w:space="4" w:color="FF0000"/>
            <w:right w:val="single" w:sz="2" w:space="4" w:color="FF0000"/>
          </w:divBdr>
          <w:divsChild>
            <w:div w:id="526985330">
              <w:marLeft w:val="0"/>
              <w:marRight w:val="0"/>
              <w:marTop w:val="0"/>
              <w:marBottom w:val="0"/>
              <w:divBdr>
                <w:top w:val="single" w:sz="2" w:space="4" w:color="FF0000"/>
                <w:left w:val="single" w:sz="2" w:space="4" w:color="FF0000"/>
                <w:bottom w:val="single" w:sz="2" w:space="4" w:color="FF0000"/>
                <w:right w:val="single" w:sz="2" w:space="4" w:color="FF0000"/>
              </w:divBdr>
              <w:divsChild>
                <w:div w:id="1227380557">
                  <w:marLeft w:val="0"/>
                  <w:marRight w:val="0"/>
                  <w:marTop w:val="0"/>
                  <w:marBottom w:val="0"/>
                  <w:divBdr>
                    <w:top w:val="single" w:sz="2" w:space="4" w:color="FF0000"/>
                    <w:left w:val="single" w:sz="2" w:space="4" w:color="FF0000"/>
                    <w:bottom w:val="single" w:sz="2" w:space="4" w:color="FF0000"/>
                    <w:right w:val="single" w:sz="2" w:space="4" w:color="FF0000"/>
                  </w:divBdr>
                </w:div>
                <w:div w:id="1202863000">
                  <w:marLeft w:val="0"/>
                  <w:marRight w:val="0"/>
                  <w:marTop w:val="0"/>
                  <w:marBottom w:val="0"/>
                  <w:divBdr>
                    <w:top w:val="single" w:sz="2" w:space="4" w:color="FF0000"/>
                    <w:left w:val="single" w:sz="2" w:space="4" w:color="FF0000"/>
                    <w:bottom w:val="single" w:sz="2" w:space="4" w:color="FF0000"/>
                    <w:right w:val="single" w:sz="2" w:space="4" w:color="FF0000"/>
                  </w:divBdr>
                </w:div>
                <w:div w:id="1230774333">
                  <w:marLeft w:val="0"/>
                  <w:marRight w:val="0"/>
                  <w:marTop w:val="0"/>
                  <w:marBottom w:val="0"/>
                  <w:divBdr>
                    <w:top w:val="single" w:sz="2" w:space="4" w:color="FF0000"/>
                    <w:left w:val="single" w:sz="2" w:space="4" w:color="FF0000"/>
                    <w:bottom w:val="single" w:sz="2" w:space="4" w:color="FF0000"/>
                    <w:right w:val="single" w:sz="2" w:space="4" w:color="FF0000"/>
                  </w:divBdr>
                </w:div>
                <w:div w:id="1542280875">
                  <w:marLeft w:val="0"/>
                  <w:marRight w:val="0"/>
                  <w:marTop w:val="0"/>
                  <w:marBottom w:val="0"/>
                  <w:divBdr>
                    <w:top w:val="single" w:sz="2" w:space="4" w:color="FF0000"/>
                    <w:left w:val="single" w:sz="2" w:space="4" w:color="FF0000"/>
                    <w:bottom w:val="single" w:sz="2" w:space="4" w:color="FF0000"/>
                    <w:right w:val="single" w:sz="2" w:space="4" w:color="FF0000"/>
                  </w:divBdr>
                </w:div>
                <w:div w:id="1460804358">
                  <w:marLeft w:val="0"/>
                  <w:marRight w:val="0"/>
                  <w:marTop w:val="0"/>
                  <w:marBottom w:val="0"/>
                  <w:divBdr>
                    <w:top w:val="single" w:sz="2" w:space="4" w:color="FF0000"/>
                    <w:left w:val="single" w:sz="2" w:space="4" w:color="FF0000"/>
                    <w:bottom w:val="single" w:sz="2" w:space="4" w:color="FF0000"/>
                    <w:right w:val="single" w:sz="2" w:space="4" w:color="FF0000"/>
                  </w:divBdr>
                  <w:divsChild>
                    <w:div w:id="542408213">
                      <w:blockQuote w:val="1"/>
                      <w:marLeft w:val="720"/>
                      <w:marRight w:val="75"/>
                      <w:marTop w:val="75"/>
                      <w:marBottom w:val="75"/>
                      <w:divBdr>
                        <w:top w:val="none" w:sz="0" w:space="0" w:color="auto"/>
                        <w:left w:val="none" w:sz="0" w:space="0" w:color="auto"/>
                        <w:bottom w:val="none" w:sz="0" w:space="0" w:color="auto"/>
                        <w:right w:val="none" w:sz="0" w:space="0" w:color="auto"/>
                      </w:divBdr>
                      <w:divsChild>
                        <w:div w:id="1857117628">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313610725">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102914855">
                  <w:marLeft w:val="0"/>
                  <w:marRight w:val="0"/>
                  <w:marTop w:val="0"/>
                  <w:marBottom w:val="0"/>
                  <w:divBdr>
                    <w:top w:val="single" w:sz="2" w:space="4" w:color="FF0000"/>
                    <w:left w:val="single" w:sz="2" w:space="4" w:color="FF0000"/>
                    <w:bottom w:val="single" w:sz="2" w:space="4" w:color="FF0000"/>
                    <w:right w:val="single" w:sz="2" w:space="4" w:color="FF0000"/>
                  </w:divBdr>
                </w:div>
                <w:div w:id="1836338493">
                  <w:marLeft w:val="0"/>
                  <w:marRight w:val="0"/>
                  <w:marTop w:val="0"/>
                  <w:marBottom w:val="0"/>
                  <w:divBdr>
                    <w:top w:val="single" w:sz="2" w:space="4" w:color="FF0000"/>
                    <w:left w:val="single" w:sz="2" w:space="4" w:color="FF0000"/>
                    <w:bottom w:val="single" w:sz="2" w:space="4" w:color="FF0000"/>
                    <w:right w:val="single" w:sz="2" w:space="4" w:color="FF0000"/>
                  </w:divBdr>
                </w:div>
                <w:div w:id="948394282">
                  <w:marLeft w:val="0"/>
                  <w:marRight w:val="0"/>
                  <w:marTop w:val="0"/>
                  <w:marBottom w:val="0"/>
                  <w:divBdr>
                    <w:top w:val="single" w:sz="2" w:space="4" w:color="FF0000"/>
                    <w:left w:val="single" w:sz="2" w:space="4" w:color="FF0000"/>
                    <w:bottom w:val="single" w:sz="2" w:space="4" w:color="FF0000"/>
                    <w:right w:val="single" w:sz="2" w:space="4" w:color="FF0000"/>
                  </w:divBdr>
                </w:div>
                <w:div w:id="1393653814">
                  <w:marLeft w:val="0"/>
                  <w:marRight w:val="0"/>
                  <w:marTop w:val="0"/>
                  <w:marBottom w:val="0"/>
                  <w:divBdr>
                    <w:top w:val="single" w:sz="2" w:space="4" w:color="FF0000"/>
                    <w:left w:val="single" w:sz="2" w:space="4" w:color="FF0000"/>
                    <w:bottom w:val="single" w:sz="2" w:space="4" w:color="FF0000"/>
                    <w:right w:val="single" w:sz="2" w:space="4" w:color="FF0000"/>
                  </w:divBdr>
                </w:div>
                <w:div w:id="1629237032">
                  <w:marLeft w:val="0"/>
                  <w:marRight w:val="0"/>
                  <w:marTop w:val="0"/>
                  <w:marBottom w:val="0"/>
                  <w:divBdr>
                    <w:top w:val="single" w:sz="2" w:space="4" w:color="FF0000"/>
                    <w:left w:val="single" w:sz="2" w:space="4" w:color="FF0000"/>
                    <w:bottom w:val="single" w:sz="2" w:space="4" w:color="FF0000"/>
                    <w:right w:val="single" w:sz="2" w:space="4" w:color="FF0000"/>
                  </w:divBdr>
                  <w:divsChild>
                    <w:div w:id="1716274710">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572080025">
                  <w:marLeft w:val="0"/>
                  <w:marRight w:val="0"/>
                  <w:marTop w:val="0"/>
                  <w:marBottom w:val="0"/>
                  <w:divBdr>
                    <w:top w:val="single" w:sz="2" w:space="4" w:color="FF0000"/>
                    <w:left w:val="single" w:sz="2" w:space="4" w:color="FF0000"/>
                    <w:bottom w:val="single" w:sz="2" w:space="4" w:color="FF0000"/>
                    <w:right w:val="single" w:sz="2" w:space="4" w:color="FF0000"/>
                  </w:divBdr>
                </w:div>
                <w:div w:id="1672833125">
                  <w:marLeft w:val="0"/>
                  <w:marRight w:val="0"/>
                  <w:marTop w:val="0"/>
                  <w:marBottom w:val="0"/>
                  <w:divBdr>
                    <w:top w:val="single" w:sz="2" w:space="4" w:color="FF0000"/>
                    <w:left w:val="single" w:sz="2" w:space="4" w:color="FF0000"/>
                    <w:bottom w:val="single" w:sz="2" w:space="4" w:color="FF0000"/>
                    <w:right w:val="single" w:sz="2" w:space="4" w:color="FF0000"/>
                  </w:divBdr>
                </w:div>
                <w:div w:id="145440229">
                  <w:marLeft w:val="0"/>
                  <w:marRight w:val="0"/>
                  <w:marTop w:val="0"/>
                  <w:marBottom w:val="0"/>
                  <w:divBdr>
                    <w:top w:val="single" w:sz="2" w:space="4" w:color="FF0000"/>
                    <w:left w:val="single" w:sz="2" w:space="4" w:color="FF0000"/>
                    <w:bottom w:val="single" w:sz="2" w:space="4" w:color="FF0000"/>
                    <w:right w:val="single" w:sz="2" w:space="4" w:color="FF0000"/>
                  </w:divBdr>
                </w:div>
              </w:divsChild>
            </w:div>
          </w:divsChild>
        </w:div>
      </w:divsChild>
    </w:div>
    <w:div w:id="1979532056">
      <w:bodyDiv w:val="1"/>
      <w:marLeft w:val="0"/>
      <w:marRight w:val="0"/>
      <w:marTop w:val="0"/>
      <w:marBottom w:val="0"/>
      <w:divBdr>
        <w:top w:val="none" w:sz="0" w:space="0" w:color="auto"/>
        <w:left w:val="none" w:sz="0" w:space="0" w:color="auto"/>
        <w:bottom w:val="none" w:sz="0" w:space="0" w:color="auto"/>
        <w:right w:val="none" w:sz="0" w:space="0" w:color="auto"/>
      </w:divBdr>
      <w:divsChild>
        <w:div w:id="1484934896">
          <w:marLeft w:val="0"/>
          <w:marRight w:val="0"/>
          <w:marTop w:val="0"/>
          <w:marBottom w:val="0"/>
          <w:divBdr>
            <w:top w:val="single" w:sz="2" w:space="0" w:color="FF0000"/>
            <w:left w:val="single" w:sz="2" w:space="4" w:color="FF0000"/>
            <w:bottom w:val="single" w:sz="2" w:space="4" w:color="FF0000"/>
            <w:right w:val="single" w:sz="2" w:space="4" w:color="FF0000"/>
          </w:divBdr>
          <w:divsChild>
            <w:div w:id="393509795">
              <w:marLeft w:val="0"/>
              <w:marRight w:val="0"/>
              <w:marTop w:val="0"/>
              <w:marBottom w:val="0"/>
              <w:divBdr>
                <w:top w:val="single" w:sz="2" w:space="4" w:color="FF0000"/>
                <w:left w:val="single" w:sz="2" w:space="4" w:color="FF0000"/>
                <w:bottom w:val="single" w:sz="2" w:space="4" w:color="FF0000"/>
                <w:right w:val="single" w:sz="2" w:space="4" w:color="FF0000"/>
              </w:divBdr>
              <w:divsChild>
                <w:div w:id="782192428">
                  <w:marLeft w:val="0"/>
                  <w:marRight w:val="0"/>
                  <w:marTop w:val="0"/>
                  <w:marBottom w:val="0"/>
                  <w:divBdr>
                    <w:top w:val="single" w:sz="2" w:space="4" w:color="FF0000"/>
                    <w:left w:val="single" w:sz="2" w:space="4" w:color="FF0000"/>
                    <w:bottom w:val="single" w:sz="2" w:space="4" w:color="FF0000"/>
                    <w:right w:val="single" w:sz="2" w:space="4" w:color="FF0000"/>
                  </w:divBdr>
                </w:div>
                <w:div w:id="1670476867">
                  <w:marLeft w:val="0"/>
                  <w:marRight w:val="0"/>
                  <w:marTop w:val="0"/>
                  <w:marBottom w:val="0"/>
                  <w:divBdr>
                    <w:top w:val="single" w:sz="2" w:space="4" w:color="FF0000"/>
                    <w:left w:val="single" w:sz="2" w:space="4" w:color="FF0000"/>
                    <w:bottom w:val="single" w:sz="2" w:space="4" w:color="FF0000"/>
                    <w:right w:val="single" w:sz="2" w:space="4" w:color="FF0000"/>
                  </w:divBdr>
                </w:div>
                <w:div w:id="1416705800">
                  <w:marLeft w:val="0"/>
                  <w:marRight w:val="0"/>
                  <w:marTop w:val="0"/>
                  <w:marBottom w:val="0"/>
                  <w:divBdr>
                    <w:top w:val="single" w:sz="2" w:space="4" w:color="FF0000"/>
                    <w:left w:val="single" w:sz="2" w:space="4" w:color="FF0000"/>
                    <w:bottom w:val="single" w:sz="2" w:space="4" w:color="FF0000"/>
                    <w:right w:val="single" w:sz="2" w:space="4" w:color="FF0000"/>
                  </w:divBdr>
                </w:div>
                <w:div w:id="1420642695">
                  <w:marLeft w:val="0"/>
                  <w:marRight w:val="0"/>
                  <w:marTop w:val="0"/>
                  <w:marBottom w:val="0"/>
                  <w:divBdr>
                    <w:top w:val="single" w:sz="2" w:space="4" w:color="FF0000"/>
                    <w:left w:val="single" w:sz="2" w:space="4" w:color="FF0000"/>
                    <w:bottom w:val="single" w:sz="2" w:space="4" w:color="FF0000"/>
                    <w:right w:val="single" w:sz="2" w:space="4" w:color="FF0000"/>
                  </w:divBdr>
                </w:div>
                <w:div w:id="2074499749">
                  <w:marLeft w:val="0"/>
                  <w:marRight w:val="0"/>
                  <w:marTop w:val="0"/>
                  <w:marBottom w:val="0"/>
                  <w:divBdr>
                    <w:top w:val="single" w:sz="2" w:space="4" w:color="FF0000"/>
                    <w:left w:val="single" w:sz="2" w:space="4" w:color="FF0000"/>
                    <w:bottom w:val="single" w:sz="2" w:space="4" w:color="FF0000"/>
                    <w:right w:val="single" w:sz="2" w:space="4" w:color="FF0000"/>
                  </w:divBdr>
                  <w:divsChild>
                    <w:div w:id="99767378">
                      <w:blockQuote w:val="1"/>
                      <w:marLeft w:val="720"/>
                      <w:marRight w:val="75"/>
                      <w:marTop w:val="75"/>
                      <w:marBottom w:val="75"/>
                      <w:divBdr>
                        <w:top w:val="none" w:sz="0" w:space="0" w:color="auto"/>
                        <w:left w:val="none" w:sz="0" w:space="0" w:color="auto"/>
                        <w:bottom w:val="none" w:sz="0" w:space="0" w:color="auto"/>
                        <w:right w:val="none" w:sz="0" w:space="0" w:color="auto"/>
                      </w:divBdr>
                      <w:divsChild>
                        <w:div w:id="1514875827">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932423012">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2145852502">
                  <w:marLeft w:val="0"/>
                  <w:marRight w:val="0"/>
                  <w:marTop w:val="0"/>
                  <w:marBottom w:val="0"/>
                  <w:divBdr>
                    <w:top w:val="single" w:sz="2" w:space="4" w:color="FF0000"/>
                    <w:left w:val="single" w:sz="2" w:space="4" w:color="FF0000"/>
                    <w:bottom w:val="single" w:sz="2" w:space="4" w:color="FF0000"/>
                    <w:right w:val="single" w:sz="2" w:space="4" w:color="FF0000"/>
                  </w:divBdr>
                </w:div>
                <w:div w:id="322466526">
                  <w:marLeft w:val="0"/>
                  <w:marRight w:val="0"/>
                  <w:marTop w:val="0"/>
                  <w:marBottom w:val="0"/>
                  <w:divBdr>
                    <w:top w:val="single" w:sz="2" w:space="4" w:color="FF0000"/>
                    <w:left w:val="single" w:sz="2" w:space="4" w:color="FF0000"/>
                    <w:bottom w:val="single" w:sz="2" w:space="4" w:color="FF0000"/>
                    <w:right w:val="single" w:sz="2" w:space="4" w:color="FF0000"/>
                  </w:divBdr>
                </w:div>
                <w:div w:id="1401176412">
                  <w:marLeft w:val="0"/>
                  <w:marRight w:val="0"/>
                  <w:marTop w:val="0"/>
                  <w:marBottom w:val="0"/>
                  <w:divBdr>
                    <w:top w:val="single" w:sz="2" w:space="4" w:color="FF0000"/>
                    <w:left w:val="single" w:sz="2" w:space="4" w:color="FF0000"/>
                    <w:bottom w:val="single" w:sz="2" w:space="4" w:color="FF0000"/>
                    <w:right w:val="single" w:sz="2" w:space="4" w:color="FF0000"/>
                  </w:divBdr>
                </w:div>
                <w:div w:id="151139387">
                  <w:marLeft w:val="0"/>
                  <w:marRight w:val="0"/>
                  <w:marTop w:val="0"/>
                  <w:marBottom w:val="0"/>
                  <w:divBdr>
                    <w:top w:val="single" w:sz="2" w:space="4" w:color="FF0000"/>
                    <w:left w:val="single" w:sz="2" w:space="4" w:color="FF0000"/>
                    <w:bottom w:val="single" w:sz="2" w:space="4" w:color="FF0000"/>
                    <w:right w:val="single" w:sz="2" w:space="4" w:color="FF0000"/>
                  </w:divBdr>
                </w:div>
                <w:div w:id="1380857167">
                  <w:marLeft w:val="0"/>
                  <w:marRight w:val="0"/>
                  <w:marTop w:val="0"/>
                  <w:marBottom w:val="0"/>
                  <w:divBdr>
                    <w:top w:val="single" w:sz="2" w:space="4" w:color="FF0000"/>
                    <w:left w:val="single" w:sz="2" w:space="4" w:color="FF0000"/>
                    <w:bottom w:val="single" w:sz="2" w:space="4" w:color="FF0000"/>
                    <w:right w:val="single" w:sz="2" w:space="4" w:color="FF0000"/>
                  </w:divBdr>
                  <w:divsChild>
                    <w:div w:id="1101877015">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717045416">
                  <w:marLeft w:val="0"/>
                  <w:marRight w:val="0"/>
                  <w:marTop w:val="0"/>
                  <w:marBottom w:val="0"/>
                  <w:divBdr>
                    <w:top w:val="single" w:sz="2" w:space="4" w:color="FF0000"/>
                    <w:left w:val="single" w:sz="2" w:space="4" w:color="FF0000"/>
                    <w:bottom w:val="single" w:sz="2" w:space="4" w:color="FF0000"/>
                    <w:right w:val="single" w:sz="2" w:space="4" w:color="FF0000"/>
                  </w:divBdr>
                </w:div>
                <w:div w:id="1201747533">
                  <w:marLeft w:val="0"/>
                  <w:marRight w:val="0"/>
                  <w:marTop w:val="0"/>
                  <w:marBottom w:val="0"/>
                  <w:divBdr>
                    <w:top w:val="single" w:sz="2" w:space="4" w:color="FF0000"/>
                    <w:left w:val="single" w:sz="2" w:space="4" w:color="FF0000"/>
                    <w:bottom w:val="single" w:sz="2" w:space="4" w:color="FF0000"/>
                    <w:right w:val="single" w:sz="2" w:space="4" w:color="FF0000"/>
                  </w:divBdr>
                </w:div>
                <w:div w:id="759790448">
                  <w:marLeft w:val="0"/>
                  <w:marRight w:val="0"/>
                  <w:marTop w:val="0"/>
                  <w:marBottom w:val="0"/>
                  <w:divBdr>
                    <w:top w:val="single" w:sz="2" w:space="4" w:color="FF0000"/>
                    <w:left w:val="single" w:sz="2" w:space="4" w:color="FF0000"/>
                    <w:bottom w:val="single" w:sz="2" w:space="4" w:color="FF0000"/>
                    <w:right w:val="single" w:sz="2" w:space="4"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faces/index.jsp%3F%26action%3Dpropis%26file%3D10353002.html%26path%3D10353002.html%26query%3Dslu--3--benika+za+javne%26mark%3Dfalse%26tipPretrage%3D2%26tipPropisa%3D1%26domen%3D0%26mojiPropisi%3Dfalse%26datumOd%3D%26datumDo%3D%26groups%3D0-%40-0-%40--%40--%40-0-%40-0%26regExpZaMarkiranje%3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2.cekos.com/ce/faces/index.jsp%3F%26file%3Df113654%26action%3Dpropis%26path%3D11365401.html%26domen%3D0%26mark%3Dfalse%26query%3Dslu--3--benika+za+javne%26tipPretrage%3D2%26tipPropisa%3D1%26domen%3D0%26mojiPropisi%3Dfalse%26datumOd%3D%26datumDo%3D%26groups%3D-%40--%40--%40--%40--%40-" TargetMode="External"/><Relationship Id="rId12" Type="http://schemas.openxmlformats.org/officeDocument/2006/relationships/hyperlink" Target="http://we2.cekos.com/ce/faces/index.jsp%3F%26action%3Dpropis%26file%3D10353002.html%26path%3D10353002.html%26query%3Dslu--3--benika+za+javne%26mark%3Dfalse%26tipPretrage%3D2%26tipPropisa%3D1%26domen%3D0%26mojiPropisi%3Dfalse%26datumOd%3D%26datumDo%3D%26groups%3D0-%40-0-%40--%40--%40-0-%40-0%26regExpZaMarkiranje%3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2.cekos.com/ce/faces/index.jsp%3F%26file%3Df103530%26action%3Dpropis%26path%3D10353001.html%26domen%3D0%26mark%3Dfalse%26query%3Dslu--3--benika+za+javne%26tipPretrage%3D2%26tipPropisa%3D1%26domen%3D0%26mojiPropisi%3Dfalse%26datumOd%3D%26datumDo%3D%26groups%3D-%40--%40--%40--%40--%40-" TargetMode="External"/><Relationship Id="rId11" Type="http://schemas.openxmlformats.org/officeDocument/2006/relationships/hyperlink" Target="http://we2.cekos.com/ce/faces/index.jsp%3F%26file%3Df818%26action%3Dpropis%26path%3D00081808.html%26domen%3D0%26mark%3Dfalse%26query%3Dslu--3--benika+za+javne%26tipPretrage%3D2%26tipPropisa%3D1%26domen%3D0%26mojiPropisi%3Dfalse%26datumOd%3D%26datumDo%3D%26groups%3D-%40--%40--%40--%40--%40-" TargetMode="External"/><Relationship Id="rId5" Type="http://schemas.openxmlformats.org/officeDocument/2006/relationships/hyperlink" Target="http://we2.cekos.com/ce/faces/index.jsp%3F%26file%3Df91929%26action%3Dpropis%26path%3D09192901.html%26domen%3D0%26mark%3Dfalse%26query%3Dslu--3--benika+za+javne%26tipPretrage%3D2%26tipPropisa%3D1%26domen%3D0%26mojiPropisi%3Dfalse%26datumOd%3D%26datumDo%3D%26groups%3D-%40--%40--%40--%40--%40-%26anchor%3Dc0134" TargetMode="External"/><Relationship Id="rId10" Type="http://schemas.openxmlformats.org/officeDocument/2006/relationships/hyperlink" Target="http://we2.cekos.com/ce/faces/index.jsp%3F%26file%3Df8121%26action%3Dpropis%26path%3D00812103.html%26domen%3D0%26mark%3Dfalse%26query%3Dslu--3--benika+za+javne%26tipPretrage%3D2%26tipPropisa%3D1%26domen%3D0%26mojiPropisi%3Dfalse%26datumOd%3D%26datumDo%3D%26groups%3D-%40--%40--%40--%40--%40-" TargetMode="External"/><Relationship Id="rId4" Type="http://schemas.openxmlformats.org/officeDocument/2006/relationships/webSettings" Target="webSettings.xml"/><Relationship Id="rId9" Type="http://schemas.openxmlformats.org/officeDocument/2006/relationships/hyperlink" Target="http://we2.cekos.com/ce/faces/index.jsp%3F%26file%3Df91929%26action%3Dpropis%26path%3D09192903.html%26domen%3D0%26mark%3Dfalse%26query%3Dslu--3--benika+za+javne%26tipPretrage%3D2%26tipPropisa%3D1%26domen%3D0%26mojiPropisi%3Dfalse%26datumOd%3D%26datumDo%3D%26groups%3D-%40--%40--%40--%40--%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1500</Words>
  <Characters>8554</Characters>
  <Application>Microsoft Office Word</Application>
  <DocSecurity>0</DocSecurity>
  <Lines>71</Lines>
  <Paragraphs>20</Paragraphs>
  <ScaleCrop>false</ScaleCrop>
  <Company>Microsoft</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Uros Stojkovic</dc:creator>
  <cp:keywords/>
  <dc:description/>
  <cp:lastModifiedBy>Uros Stojkovic</cp:lastModifiedBy>
  <cp:revision>4</cp:revision>
  <dcterms:created xsi:type="dcterms:W3CDTF">2016-02-01T13:02:00Z</dcterms:created>
  <dcterms:modified xsi:type="dcterms:W3CDTF">2016-02-01T13:08:00Z</dcterms:modified>
</cp:coreProperties>
</file>