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ED" w:rsidRPr="00A22AE4" w:rsidRDefault="007123ED" w:rsidP="00A22A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lang w:val="sr-Cyrl-CS"/>
        </w:rPr>
      </w:pPr>
      <w:bookmarkStart w:id="0" w:name="_GoBack"/>
      <w:bookmarkEnd w:id="0"/>
      <w:r w:rsidRPr="00A22AE4">
        <w:rPr>
          <w:rFonts w:ascii="Times New Roman" w:hAnsi="Times New Roman" w:cs="Times New Roman"/>
          <w:b/>
          <w:bCs/>
          <w:lang w:val="sr-Cyrl-CS"/>
        </w:rPr>
        <w:t>Влада Републике Србије</w:t>
      </w: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123ED" w:rsidRPr="0096283E" w:rsidRDefault="000420E0" w:rsidP="00A22AE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ОСНОВ</w:t>
      </w:r>
      <w:r>
        <w:rPr>
          <w:rFonts w:ascii="Times New Roman" w:hAnsi="Times New Roman" w:cs="Times New Roman"/>
          <w:b/>
          <w:bCs/>
        </w:rPr>
        <w:t>A</w:t>
      </w:r>
      <w:r w:rsidR="007123ED" w:rsidRPr="00A22AE4">
        <w:rPr>
          <w:rFonts w:ascii="Times New Roman" w:hAnsi="Times New Roman" w:cs="Times New Roman"/>
          <w:b/>
          <w:bCs/>
          <w:lang w:val="sr-Cyrl-CS"/>
        </w:rPr>
        <w:t xml:space="preserve"> ЗА ВОЂЕЊЕ ПРЕГОВОРА И ЗАКЉУЧИВАЊЕ УГОВОРА О ПРИСТУПАЊУ РЕПУБЛИКЕ СРБИЈЕ ЕВРОПСКОЈ УНИЈИ</w:t>
      </w: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lang w:val="sr-Cyrl-CS"/>
        </w:rPr>
      </w:pP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lang w:val="sr-Cyrl-CS"/>
        </w:rPr>
      </w:pPr>
    </w:p>
    <w:p w:rsidR="007123ED" w:rsidRPr="00A22AE4" w:rsidRDefault="007123ED" w:rsidP="00A22A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sr-Cyrl-CS"/>
        </w:rPr>
      </w:pPr>
    </w:p>
    <w:p w:rsidR="007123ED" w:rsidRDefault="007123ED" w:rsidP="00E51829">
      <w:pPr>
        <w:jc w:val="center"/>
        <w:rPr>
          <w:rFonts w:ascii="Times New Roman" w:hAnsi="Times New Roman" w:cs="Times New Roman"/>
          <w:b/>
          <w:bCs/>
          <w:lang w:val="sr-Cyrl-CS"/>
        </w:rPr>
      </w:pPr>
      <w:r w:rsidRPr="00E97419">
        <w:rPr>
          <w:rFonts w:ascii="Times New Roman" w:hAnsi="Times New Roman" w:cs="Times New Roman"/>
          <w:b/>
          <w:bCs/>
          <w:lang w:val="sr-Cyrl-CS"/>
        </w:rPr>
        <w:t>Септембар</w:t>
      </w:r>
      <w:r>
        <w:rPr>
          <w:rFonts w:ascii="Times New Roman" w:hAnsi="Times New Roman" w:cs="Times New Roman"/>
          <w:b/>
          <w:bCs/>
          <w:lang w:val="sr-Cyrl-CS"/>
        </w:rPr>
        <w:t xml:space="preserve"> 2013. године</w:t>
      </w:r>
    </w:p>
    <w:p w:rsidR="007123ED" w:rsidRPr="00E97419" w:rsidRDefault="007123ED" w:rsidP="00A22AE4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7123ED" w:rsidRPr="00A22AE4" w:rsidRDefault="007123ED" w:rsidP="0037390F">
      <w:pPr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A22AE4">
        <w:rPr>
          <w:rFonts w:ascii="Times New Roman" w:hAnsi="Times New Roman" w:cs="Times New Roman"/>
          <w:color w:val="000000"/>
          <w:lang w:val="sr-Cyrl-CS"/>
        </w:rPr>
        <w:lastRenderedPageBreak/>
        <w:t>На основу ч</w:t>
      </w:r>
      <w:r w:rsidRPr="00E97419">
        <w:rPr>
          <w:rFonts w:ascii="Times New Roman" w:hAnsi="Times New Roman" w:cs="Times New Roman"/>
          <w:color w:val="000000"/>
          <w:lang w:val="sr-Cyrl-CS"/>
        </w:rPr>
        <w:t>л</w:t>
      </w:r>
      <w:r w:rsidRPr="00A22AE4">
        <w:rPr>
          <w:rFonts w:ascii="Times New Roman" w:hAnsi="Times New Roman" w:cs="Times New Roman"/>
          <w:color w:val="000000"/>
          <w:lang w:val="sr-Cyrl-CS"/>
        </w:rPr>
        <w:t>ана 5.</w:t>
      </w:r>
      <w:r>
        <w:rPr>
          <w:rFonts w:ascii="Times New Roman" w:hAnsi="Times New Roman" w:cs="Times New Roman"/>
          <w:color w:val="000000"/>
          <w:lang w:val="ru-RU"/>
        </w:rPr>
        <w:t xml:space="preserve"> Закона о закључивању и извршавању међународних уговора („Службени гласник РС”, бр. 32/2013) и </w:t>
      </w:r>
      <w:r w:rsidRPr="00A22AE4">
        <w:rPr>
          <w:rFonts w:ascii="Times New Roman" w:hAnsi="Times New Roman" w:cs="Times New Roman"/>
          <w:color w:val="000000"/>
          <w:lang w:val="sr-Cyrl-CS"/>
        </w:rPr>
        <w:t>чла</w:t>
      </w:r>
      <w:r>
        <w:rPr>
          <w:rFonts w:ascii="Times New Roman" w:hAnsi="Times New Roman" w:cs="Times New Roman"/>
          <w:color w:val="000000"/>
          <w:lang w:val="sr-Cyrl-CS"/>
        </w:rPr>
        <w:t>на 43. став 3. Закона о Влади (</w:t>
      </w:r>
      <w:r>
        <w:rPr>
          <w:rFonts w:ascii="Times New Roman" w:hAnsi="Times New Roman" w:cs="Times New Roman"/>
          <w:color w:val="000000"/>
          <w:lang w:val="ru-RU"/>
        </w:rPr>
        <w:t>„</w:t>
      </w:r>
      <w:r>
        <w:rPr>
          <w:rFonts w:ascii="Times New Roman" w:hAnsi="Times New Roman" w:cs="Times New Roman"/>
          <w:color w:val="000000"/>
          <w:lang w:val="sr-Cyrl-CS"/>
        </w:rPr>
        <w:t>Службени гласник РС</w:t>
      </w:r>
      <w:r>
        <w:rPr>
          <w:rFonts w:ascii="Times New Roman" w:hAnsi="Times New Roman" w:cs="Times New Roman"/>
          <w:color w:val="000000"/>
          <w:lang w:val="ru-RU"/>
        </w:rPr>
        <w:t>”</w:t>
      </w:r>
      <w:r w:rsidRPr="00A22AE4">
        <w:rPr>
          <w:rFonts w:ascii="Times New Roman" w:hAnsi="Times New Roman" w:cs="Times New Roman"/>
          <w:color w:val="000000"/>
          <w:lang w:val="sr-Cyrl-CS"/>
        </w:rPr>
        <w:t>, бр. 55/05, 71/05 – исправка, 101/07</w:t>
      </w:r>
      <w:r w:rsidRPr="00A22AE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A22AE4">
        <w:rPr>
          <w:rFonts w:ascii="Times New Roman" w:hAnsi="Times New Roman" w:cs="Times New Roman"/>
          <w:color w:val="000000"/>
          <w:lang w:val="sr-Cyrl-CS"/>
        </w:rPr>
        <w:t xml:space="preserve">65/08, 16/11, 68/12 </w:t>
      </w:r>
      <w:r w:rsidRPr="00A22AE4">
        <w:rPr>
          <w:rFonts w:ascii="Times New Roman" w:hAnsi="Times New Roman" w:cs="Times New Roman"/>
          <w:color w:val="000000"/>
          <w:lang w:val="ru-RU"/>
        </w:rPr>
        <w:t xml:space="preserve">‒ </w:t>
      </w:r>
      <w:r w:rsidR="00330FAD">
        <w:rPr>
          <w:rFonts w:ascii="Times New Roman" w:hAnsi="Times New Roman" w:cs="Times New Roman"/>
          <w:color w:val="000000"/>
          <w:lang w:val="sr-Cyrl-CS"/>
        </w:rPr>
        <w:t>УС и 72/12)</w:t>
      </w:r>
      <w:r>
        <w:rPr>
          <w:rFonts w:ascii="Times New Roman" w:hAnsi="Times New Roman" w:cs="Times New Roman"/>
          <w:color w:val="000000"/>
          <w:lang w:val="sr-Cyrl-CS"/>
        </w:rPr>
        <w:t>,</w:t>
      </w:r>
      <w:r w:rsidR="00330FAD">
        <w:rPr>
          <w:rFonts w:ascii="Times New Roman" w:hAnsi="Times New Roman" w:cs="Times New Roman"/>
          <w:color w:val="000000"/>
          <w:lang w:val="sr-Cyrl-CS"/>
        </w:rPr>
        <w:t xml:space="preserve"> на предлог Канцеларије за европске интеграције,</w:t>
      </w:r>
    </w:p>
    <w:p w:rsidR="007123ED" w:rsidRPr="00A22AE4" w:rsidRDefault="00330FAD" w:rsidP="00A22AE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Влада доноси</w:t>
      </w: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З А К Љ У Ч А К</w:t>
      </w:r>
    </w:p>
    <w:p w:rsidR="007123ED" w:rsidRPr="00E97419" w:rsidRDefault="007123ED" w:rsidP="004C2E5C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E97419">
        <w:rPr>
          <w:rFonts w:ascii="Times New Roman" w:hAnsi="Times New Roman" w:cs="Times New Roman"/>
          <w:lang w:val="sr-Cyrl-CS"/>
        </w:rPr>
        <w:t>1.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E97419">
        <w:rPr>
          <w:rFonts w:ascii="Times New Roman" w:hAnsi="Times New Roman" w:cs="Times New Roman"/>
          <w:lang w:val="sr-Cyrl-CS"/>
        </w:rPr>
        <w:t>Утврђује се Основа за вођење преговора и закључивање Уговора о приступању Републике Србије Европској унији, која чини саставни део овог закључка.</w:t>
      </w:r>
    </w:p>
    <w:p w:rsidR="007123ED" w:rsidRPr="00E97419" w:rsidRDefault="007123ED" w:rsidP="004C2E5C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E97419">
        <w:rPr>
          <w:rFonts w:ascii="Times New Roman" w:hAnsi="Times New Roman" w:cs="Times New Roman"/>
          <w:noProof/>
          <w:lang w:val="sr-Cyrl-CS"/>
        </w:rPr>
        <w:t xml:space="preserve">2.Овај закључак, ради реализације, доставити </w:t>
      </w:r>
      <w:r w:rsidRPr="004C2E5C">
        <w:rPr>
          <w:rFonts w:ascii="Times New Roman" w:hAnsi="Times New Roman" w:cs="Times New Roman"/>
          <w:color w:val="000000"/>
          <w:lang w:val="sr-Cyrl-CS"/>
        </w:rPr>
        <w:t>свим министарствима, посебним организацијама и службама Владе,</w:t>
      </w:r>
      <w:r w:rsidR="00330FAD">
        <w:rPr>
          <w:rFonts w:ascii="Times New Roman" w:hAnsi="Times New Roman" w:cs="Times New Roman"/>
          <w:color w:val="000000"/>
          <w:lang w:val="sr-Cyrl-CS"/>
        </w:rPr>
        <w:t xml:space="preserve"> а ради информисања – Н</w:t>
      </w:r>
      <w:r w:rsidRPr="004C2E5C">
        <w:rPr>
          <w:rFonts w:ascii="Times New Roman" w:hAnsi="Times New Roman" w:cs="Times New Roman"/>
          <w:color w:val="000000"/>
          <w:lang w:val="sr-Cyrl-CS"/>
        </w:rPr>
        <w:t>ародној скупштини и Народној банци Србије.</w:t>
      </w:r>
    </w:p>
    <w:p w:rsidR="007123ED" w:rsidRPr="00A22AE4" w:rsidRDefault="007123ED" w:rsidP="00A22AE4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7123ED" w:rsidRPr="00A22AE4" w:rsidRDefault="007123ED" w:rsidP="00A22AE4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05 Број:</w:t>
      </w:r>
    </w:p>
    <w:p w:rsidR="007123ED" w:rsidRPr="00A22AE4" w:rsidRDefault="007123ED" w:rsidP="00A22AE4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Београду,</w:t>
      </w:r>
    </w:p>
    <w:p w:rsidR="007123ED" w:rsidRPr="00A22AE4" w:rsidRDefault="007123ED" w:rsidP="00A22AE4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Влада</w:t>
      </w:r>
    </w:p>
    <w:p w:rsidR="007123ED" w:rsidRPr="00E97419" w:rsidRDefault="007123ED" w:rsidP="00A22AE4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                                        Председник,</w:t>
      </w:r>
    </w:p>
    <w:p w:rsidR="007123ED" w:rsidRPr="00A22AE4" w:rsidRDefault="007123ED" w:rsidP="00A22AE4">
      <w:pPr>
        <w:rPr>
          <w:rFonts w:ascii="Times New Roman" w:hAnsi="Times New Roman" w:cs="Times New Roman"/>
          <w:b/>
          <w:bCs/>
          <w:lang w:val="sr-Cyrl-CS"/>
        </w:rPr>
      </w:pPr>
    </w:p>
    <w:p w:rsidR="007123ED" w:rsidRPr="00A22AE4" w:rsidRDefault="007123ED" w:rsidP="00A22AE4">
      <w:pPr>
        <w:rPr>
          <w:rFonts w:ascii="Times New Roman" w:hAnsi="Times New Roman" w:cs="Times New Roman"/>
          <w:b/>
          <w:bCs/>
          <w:lang w:val="sr-Cyrl-CS"/>
        </w:rPr>
      </w:pPr>
    </w:p>
    <w:p w:rsidR="007123ED" w:rsidRPr="00E97419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123ED" w:rsidRPr="00E97419" w:rsidRDefault="007123ED" w:rsidP="00A22AE4">
      <w:pPr>
        <w:pStyle w:val="FootnoteText"/>
        <w:tabs>
          <w:tab w:val="left" w:pos="567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7123ED" w:rsidRPr="00E97419" w:rsidRDefault="007123ED" w:rsidP="00A22AE4">
      <w:pPr>
        <w:pStyle w:val="FootnoteText"/>
        <w:tabs>
          <w:tab w:val="left" w:pos="567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7123ED" w:rsidRPr="00E97419" w:rsidRDefault="007123ED" w:rsidP="00A22AE4">
      <w:pPr>
        <w:pStyle w:val="FootnoteText"/>
        <w:tabs>
          <w:tab w:val="left" w:pos="567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7123ED" w:rsidRPr="00E97419" w:rsidRDefault="007123ED" w:rsidP="00A22AE4">
      <w:pPr>
        <w:pStyle w:val="FootnoteText"/>
        <w:tabs>
          <w:tab w:val="left" w:pos="567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7123ED" w:rsidRPr="00E97419" w:rsidRDefault="007123ED" w:rsidP="00A22AE4">
      <w:pPr>
        <w:pStyle w:val="FootnoteText"/>
        <w:tabs>
          <w:tab w:val="left" w:pos="567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7123ED" w:rsidRPr="00E97419" w:rsidRDefault="007123ED" w:rsidP="00A22AE4">
      <w:pPr>
        <w:pStyle w:val="FootnoteText"/>
        <w:tabs>
          <w:tab w:val="left" w:pos="567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7123ED" w:rsidRPr="00E97419" w:rsidRDefault="007123ED" w:rsidP="00A22AE4">
      <w:pPr>
        <w:spacing w:after="120" w:line="240" w:lineRule="auto"/>
        <w:jc w:val="right"/>
        <w:rPr>
          <w:rFonts w:ascii="Times New Roman" w:hAnsi="Times New Roman" w:cs="Times New Roman"/>
          <w:lang w:val="sr-Cyrl-CS"/>
        </w:rPr>
      </w:pPr>
    </w:p>
    <w:p w:rsidR="007123ED" w:rsidRPr="00E97419" w:rsidRDefault="007123ED" w:rsidP="00A22AE4">
      <w:pPr>
        <w:spacing w:after="120" w:line="240" w:lineRule="auto"/>
        <w:jc w:val="right"/>
        <w:rPr>
          <w:rFonts w:ascii="Times New Roman" w:hAnsi="Times New Roman" w:cs="Times New Roman"/>
          <w:lang w:val="sr-Cyrl-CS"/>
        </w:rPr>
      </w:pPr>
    </w:p>
    <w:p w:rsidR="007123ED" w:rsidRPr="00E97419" w:rsidRDefault="007123ED" w:rsidP="00A22AE4">
      <w:pPr>
        <w:spacing w:after="120" w:line="240" w:lineRule="auto"/>
        <w:jc w:val="right"/>
        <w:rPr>
          <w:rFonts w:ascii="Times New Roman" w:hAnsi="Times New Roman" w:cs="Times New Roman"/>
          <w:lang w:val="sr-Cyrl-CS"/>
        </w:rPr>
      </w:pPr>
    </w:p>
    <w:p w:rsidR="007123ED" w:rsidRPr="00E97419" w:rsidRDefault="007123ED" w:rsidP="00A22AE4">
      <w:pPr>
        <w:spacing w:after="120" w:line="240" w:lineRule="auto"/>
        <w:jc w:val="right"/>
        <w:rPr>
          <w:rFonts w:ascii="Times New Roman" w:hAnsi="Times New Roman" w:cs="Times New Roman"/>
          <w:lang w:val="sr-Cyrl-CS"/>
        </w:rPr>
      </w:pPr>
    </w:p>
    <w:p w:rsidR="007123ED" w:rsidRPr="00E97419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123ED" w:rsidRPr="00E97419" w:rsidRDefault="007123ED" w:rsidP="00A22AE4">
      <w:pPr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B87B81" w:rsidRDefault="00B87B81" w:rsidP="00A22AE4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7B81" w:rsidRDefault="00B87B81" w:rsidP="00A22AE4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23ED" w:rsidRPr="00A22AE4" w:rsidRDefault="007123ED" w:rsidP="00A22AE4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CA3ECF">
        <w:rPr>
          <w:rFonts w:ascii="Times New Roman" w:hAnsi="Times New Roman" w:cs="Times New Roman"/>
          <w:b/>
          <w:bCs/>
          <w:lang w:val="ru-RU"/>
        </w:rPr>
        <w:lastRenderedPageBreak/>
        <w:t>ОСНОВА ЗА ВОЂЕЊЕ ПРЕГОВОРА И ЗАКЉУЧИВАЊЕ УГОВОРА О ПРИСТУПАЊУ РЕПУБЛИКЕ СРБИЈЕ ЕВРОПСКОЈ УНИЈИ</w:t>
      </w:r>
    </w:p>
    <w:p w:rsidR="007123ED" w:rsidRPr="00A22AE4" w:rsidRDefault="007123ED" w:rsidP="00A22AE4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CA3ECF">
        <w:rPr>
          <w:rFonts w:ascii="Times New Roman" w:hAnsi="Times New Roman" w:cs="Times New Roman"/>
          <w:b/>
          <w:bCs/>
          <w:u w:val="single"/>
        </w:rPr>
        <w:t>I</w:t>
      </w:r>
      <w:r w:rsidRPr="00CA3ECF">
        <w:rPr>
          <w:rFonts w:ascii="Times New Roman" w:hAnsi="Times New Roman" w:cs="Times New Roman"/>
          <w:b/>
          <w:bCs/>
          <w:u w:val="single"/>
          <w:lang w:val="ru-RU"/>
        </w:rPr>
        <w:t xml:space="preserve"> Уставни основ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t>Уставни основ за закључивање Уговора о приступању Републике Србије Европској унији саржан је у одредби члана 97. тачка 1. Устава Републике Србије којим је прописано да Република Србија уређује и обезбеђује њен међународни положај и односе са другим државама и међународним организацијама.</w:t>
      </w:r>
    </w:p>
    <w:p w:rsidR="007123ED" w:rsidRPr="00A22AE4" w:rsidRDefault="007123ED" w:rsidP="00A22AE4">
      <w:pPr>
        <w:spacing w:after="120" w:line="240" w:lineRule="auto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CA3ECF">
        <w:rPr>
          <w:rFonts w:ascii="Times New Roman" w:hAnsi="Times New Roman" w:cs="Times New Roman"/>
          <w:b/>
          <w:bCs/>
          <w:u w:val="single"/>
        </w:rPr>
        <w:t>II</w:t>
      </w:r>
      <w:r w:rsidRPr="00CA3ECF">
        <w:rPr>
          <w:rFonts w:ascii="Times New Roman" w:hAnsi="Times New Roman" w:cs="Times New Roman"/>
          <w:b/>
          <w:bCs/>
          <w:u w:val="single"/>
          <w:lang w:val="ru-RU"/>
        </w:rPr>
        <w:t xml:space="preserve"> Оцена стања односа између Републике Србије и Европске уније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CA3ECF">
        <w:rPr>
          <w:rFonts w:ascii="Times New Roman" w:hAnsi="Times New Roman" w:cs="Times New Roman"/>
          <w:lang w:val="sr-Cyrl-CS"/>
        </w:rPr>
        <w:t>Србија, као део Савезне Републике Југославије, постала је део Процеса стабилизације и придруживања (ПСП) новембра 2000. Од 2001. постале су јој доступне све мере и инструменти овог процеса, укључујући и сврставање Србије на листу држава које имају могућност бесцаринског извоза највећег броја производа на тржиште ЕУ у оквиру тзв. Аутономних трговинских мера и пре потписивања Споразума о стабилизацији и придруживању.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CA3ECF">
        <w:rPr>
          <w:rFonts w:ascii="Times New Roman" w:hAnsi="Times New Roman" w:cs="Times New Roman"/>
          <w:lang w:val="sr-Cyrl-CS"/>
        </w:rPr>
        <w:t>Ипак, одлука о отварању преговора за закључивање Споразума о стабилизацији и придруживању (у даљем тексту ССП) донета је тек априла 2005, након прихватања принципа „двоструког колосека” за преговоре са државном заједницом Србија и Црна Гора, када је ЕУ прихватила одвојене разговоре са Црном Гором и Србијом о трговинским односима у складу са надлежностима република чланица према Уставној повељи државне заједнице</w:t>
      </w:r>
      <w:r w:rsidRPr="00CA3ECF">
        <w:rPr>
          <w:rFonts w:ascii="Times New Roman" w:hAnsi="Times New Roman" w:cs="Times New Roman"/>
          <w:lang w:val="ru-RU"/>
        </w:rPr>
        <w:t xml:space="preserve"> СЦГ</w:t>
      </w:r>
      <w:r w:rsidRPr="00CA3ECF">
        <w:rPr>
          <w:rFonts w:ascii="Times New Roman" w:hAnsi="Times New Roman" w:cs="Times New Roman"/>
          <w:lang w:val="sr-Cyrl-CS"/>
        </w:rPr>
        <w:t xml:space="preserve">. Преговори су званично отворени 10. октобра, а прва званична рунда је одржана 7. новембра 2005. У мају 2006, преговори о ССП су отказани одлуком Европске комисије, да би били обновљени 10. јуна 2007. и успешно окончани парафирањем Споразума о стабилизацији и придруживању, 7. новембра 2007. Споразум о стабилизацији и придруживању и Прелазни споразум о трговини и трговинским питањима (у даљем тексту ПТС) су потписани 29. априла 2008. на састанку Савета за опште послове и спољне односе ЕУ у Луксембургу. Ипак, Европска унија је донела одлуку да не примењује ПТС док Србија не оствари задовољавајући ниво сарадње са Међународним кривичним трибуналом у Хагу. 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CA3ECF">
        <w:rPr>
          <w:rFonts w:ascii="Times New Roman" w:hAnsi="Times New Roman" w:cs="Times New Roman"/>
          <w:lang w:val="sr-Cyrl-CS"/>
        </w:rPr>
        <w:t xml:space="preserve">Народна скупштина Републике Србије је 9. септембра 2008. ратификовала ССП и ПТС (Закон о потврђивању Споразума о стабилизацији и придруживању између Европских заједница и њихових држава чланица, са једне стране, и Републике Србије, са друге стране и Закон о потврђивању Прелазног споразума о трговини и трговинским питањима између Европске заједнице, са једне стране, и Републике Србије, са друге стране, „Сл. гласник РС”, 83/08). ПТС је ступио на снагу 1. фебруара 2010. након што су га потврдиле институције ЕУ, децембра 2009. </w:t>
      </w:r>
      <w:r>
        <w:rPr>
          <w:rFonts w:ascii="Times New Roman" w:hAnsi="Times New Roman" w:cs="Times New Roman"/>
          <w:lang w:val="sr-Cyrl-CS"/>
        </w:rPr>
        <w:t xml:space="preserve">Европска унија је завршила процес ратификације </w:t>
      </w:r>
      <w:r w:rsidRPr="00CA3ECF">
        <w:rPr>
          <w:rFonts w:ascii="Times New Roman" w:hAnsi="Times New Roman" w:cs="Times New Roman"/>
          <w:lang w:val="sr-Cyrl-CS"/>
        </w:rPr>
        <w:t xml:space="preserve">ССП </w:t>
      </w:r>
      <w:r>
        <w:rPr>
          <w:rFonts w:ascii="Times New Roman" w:hAnsi="Times New Roman" w:cs="Times New Roman"/>
          <w:lang w:val="sr-Cyrl-CS"/>
        </w:rPr>
        <w:t xml:space="preserve">у јулу 2013. године након што су га све државе чланице ратификовале, а Савет потврдио у име ЕУ. </w:t>
      </w:r>
      <w:r w:rsidRPr="00CA3ECF">
        <w:rPr>
          <w:rFonts w:ascii="Times New Roman" w:hAnsi="Times New Roman" w:cs="Times New Roman"/>
          <w:lang w:val="ru-RU"/>
        </w:rPr>
        <w:t xml:space="preserve">ССП </w:t>
      </w:r>
      <w:r>
        <w:rPr>
          <w:rFonts w:ascii="Times New Roman" w:hAnsi="Times New Roman" w:cs="Times New Roman"/>
          <w:lang w:val="ru-RU"/>
        </w:rPr>
        <w:t>је ступио на снагу</w:t>
      </w:r>
      <w:r w:rsidRPr="00CA3ECF">
        <w:rPr>
          <w:rFonts w:ascii="Times New Roman" w:hAnsi="Times New Roman" w:cs="Times New Roman"/>
          <w:lang w:val="ru-RU"/>
        </w:rPr>
        <w:t xml:space="preserve"> 1. септембра 2013. године</w:t>
      </w:r>
      <w:r w:rsidRPr="00CA3EC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Истог дана је престало важење ПТС.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CA3ECF">
        <w:rPr>
          <w:rFonts w:ascii="Times New Roman" w:hAnsi="Times New Roman" w:cs="Times New Roman"/>
          <w:lang w:val="sr-Cyrl-CS"/>
        </w:rPr>
        <w:t>У намери да убрза процес интеграције и покаже посвећеност процесу, као и да би ојачала планирани захтев за пријем у чланство ЕУ, Србија је почела да примењује ПТС и спроводи своје обавезе у складу са њим 1. јануара 2009. ЕУ је почела да примењује ПТС 8. децембра 2009. након што је оценила да Србија остварује задовољавајући ниво сарадње са Међународним кривичним трибуналом у Хагу. Србија и ЕУ су ушле у пету годину примене ПТС 1. јануара 2013.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CA3ECF">
        <w:rPr>
          <w:rFonts w:ascii="Times New Roman" w:hAnsi="Times New Roman" w:cs="Times New Roman"/>
          <w:lang w:val="sr-Cyrl-CS"/>
        </w:rPr>
        <w:t xml:space="preserve">Паралелно са преговорима о овом Споразуму, текао је процес европске интеграције Републике Србије. Народна Скупштина је у октобру 2004. усвојила Резолуцију о придруживању Европској унији („Сл. гласник РС”, 112/04) којом се истиче да је стратешко опредељење Србије чланство у Европској унији. Влада је јуна 2005. усвојила Националну стратегију Србије за приступање Србије и Црне Горе Европској унији, као кровни документ читавог процеса европске интеграције. Ова Стратегија је предвидела активности које Република Србија треба да предузме до 2012. у свим секторима свога друштва, политике и </w:t>
      </w:r>
      <w:r w:rsidRPr="00CA3ECF">
        <w:rPr>
          <w:rFonts w:ascii="Times New Roman" w:hAnsi="Times New Roman" w:cs="Times New Roman"/>
          <w:lang w:val="sr-Cyrl-CS"/>
        </w:rPr>
        <w:lastRenderedPageBreak/>
        <w:t xml:space="preserve">права, како би била спремна да преузме обавезе које проистичу из чланства у Европској унији, тј. води приступне преговоре. 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CA3ECF">
        <w:rPr>
          <w:rFonts w:ascii="Times New Roman" w:hAnsi="Times New Roman" w:cs="Times New Roman"/>
          <w:lang w:val="sr-Cyrl-CS"/>
        </w:rPr>
        <w:t xml:space="preserve">Од 2004, Република Србија сачињава годишње Акционе планове за спровођење Европског партнерства. Иако без правне обавезе, будући да ССП још није био потписан, Република Србија је од 2004. започела и са процесом усклађивања свога законодавства са правном тековином ЕУ, и сваке године је, до 2008, усвајала годишњи Акциони план за усклађивање. 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CA3ECF">
        <w:rPr>
          <w:rFonts w:ascii="Times New Roman" w:hAnsi="Times New Roman" w:cs="Times New Roman"/>
          <w:lang w:val="sr-Cyrl-CS"/>
        </w:rPr>
        <w:t>Пот</w:t>
      </w:r>
      <w:r w:rsidRPr="00CA3ECF">
        <w:rPr>
          <w:rFonts w:ascii="Times New Roman" w:hAnsi="Times New Roman" w:cs="Times New Roman"/>
          <w:lang w:val="sr-Latn-CS"/>
        </w:rPr>
        <w:t xml:space="preserve">писивањем </w:t>
      </w:r>
      <w:r w:rsidRPr="00CA3ECF">
        <w:rPr>
          <w:rFonts w:ascii="Times New Roman" w:hAnsi="Times New Roman" w:cs="Times New Roman"/>
          <w:lang w:val="ru-RU"/>
        </w:rPr>
        <w:t>ССП 2008</w:t>
      </w:r>
      <w:r w:rsidRPr="00CA3ECF">
        <w:rPr>
          <w:rFonts w:ascii="Times New Roman" w:hAnsi="Times New Roman" w:cs="Times New Roman"/>
          <w:lang w:val="sr-Cyrl-CS"/>
        </w:rPr>
        <w:t>,</w:t>
      </w:r>
      <w:r w:rsidRPr="00CA3ECF">
        <w:rPr>
          <w:rFonts w:ascii="Times New Roman" w:hAnsi="Times New Roman" w:cs="Times New Roman"/>
          <w:lang w:val="sr-Latn-CS"/>
        </w:rPr>
        <w:t xml:space="preserve"> </w:t>
      </w:r>
      <w:r w:rsidRPr="00CA3ECF">
        <w:rPr>
          <w:rFonts w:ascii="Times New Roman" w:hAnsi="Times New Roman" w:cs="Times New Roman"/>
          <w:lang w:val="sr-Cyrl-CS"/>
        </w:rPr>
        <w:t xml:space="preserve">Република Србија </w:t>
      </w:r>
      <w:r w:rsidRPr="00CA3ECF">
        <w:rPr>
          <w:rFonts w:ascii="Times New Roman" w:hAnsi="Times New Roman" w:cs="Times New Roman"/>
          <w:lang w:val="ru-RU"/>
        </w:rPr>
        <w:t>је започела</w:t>
      </w:r>
      <w:r w:rsidRPr="00CA3ECF">
        <w:rPr>
          <w:rFonts w:ascii="Times New Roman" w:hAnsi="Times New Roman" w:cs="Times New Roman"/>
          <w:lang w:val="sr-Latn-CS"/>
        </w:rPr>
        <w:t xml:space="preserve"> нову фазу односа са </w:t>
      </w:r>
      <w:r w:rsidRPr="00CA3ECF">
        <w:rPr>
          <w:rFonts w:ascii="Times New Roman" w:hAnsi="Times New Roman" w:cs="Times New Roman"/>
          <w:lang w:val="ru-RU"/>
        </w:rPr>
        <w:t>ЕУ</w:t>
      </w:r>
      <w:r w:rsidRPr="00CA3ECF">
        <w:rPr>
          <w:rFonts w:ascii="Times New Roman" w:hAnsi="Times New Roman" w:cs="Times New Roman"/>
          <w:lang w:val="sr-Latn-CS"/>
        </w:rPr>
        <w:t xml:space="preserve">. По први пут, односи са </w:t>
      </w:r>
      <w:r w:rsidRPr="00CA3ECF">
        <w:rPr>
          <w:rFonts w:ascii="Times New Roman" w:hAnsi="Times New Roman" w:cs="Times New Roman"/>
          <w:lang w:val="ru-RU"/>
        </w:rPr>
        <w:t>ЕУ</w:t>
      </w:r>
      <w:r w:rsidRPr="00CA3ECF">
        <w:rPr>
          <w:rFonts w:ascii="Times New Roman" w:hAnsi="Times New Roman" w:cs="Times New Roman"/>
          <w:lang w:val="sr-Latn-CS"/>
        </w:rPr>
        <w:t xml:space="preserve"> </w:t>
      </w:r>
      <w:r w:rsidRPr="00CA3ECF">
        <w:rPr>
          <w:rFonts w:ascii="Times New Roman" w:hAnsi="Times New Roman" w:cs="Times New Roman"/>
          <w:lang w:val="sr-Cyrl-CS"/>
        </w:rPr>
        <w:t>се заснивају</w:t>
      </w:r>
      <w:r w:rsidRPr="00CA3ECF">
        <w:rPr>
          <w:rFonts w:ascii="Times New Roman" w:hAnsi="Times New Roman" w:cs="Times New Roman"/>
          <w:lang w:val="sr-Latn-CS"/>
        </w:rPr>
        <w:t xml:space="preserve"> на уговорној</w:t>
      </w:r>
      <w:r w:rsidRPr="00CA3ECF">
        <w:rPr>
          <w:rFonts w:ascii="Times New Roman" w:hAnsi="Times New Roman" w:cs="Times New Roman"/>
          <w:lang w:val="sr-Cyrl-CS"/>
        </w:rPr>
        <w:t xml:space="preserve"> основи</w:t>
      </w:r>
      <w:r w:rsidRPr="00CA3ECF">
        <w:rPr>
          <w:rFonts w:ascii="Times New Roman" w:hAnsi="Times New Roman" w:cs="Times New Roman"/>
          <w:lang w:val="sr-Latn-CS"/>
        </w:rPr>
        <w:t>. Потписивањем ССП</w:t>
      </w:r>
      <w:r w:rsidRPr="00CA3ECF">
        <w:rPr>
          <w:rFonts w:ascii="Times New Roman" w:hAnsi="Times New Roman" w:cs="Times New Roman"/>
          <w:lang w:val="sr-Cyrl-CS"/>
        </w:rPr>
        <w:t>, Србија</w:t>
      </w:r>
      <w:r w:rsidRPr="00CA3ECF">
        <w:rPr>
          <w:rFonts w:ascii="Times New Roman" w:hAnsi="Times New Roman" w:cs="Times New Roman"/>
          <w:lang w:val="sr-Latn-CS"/>
        </w:rPr>
        <w:t xml:space="preserve"> </w:t>
      </w:r>
      <w:r w:rsidRPr="00CA3ECF">
        <w:rPr>
          <w:rFonts w:ascii="Times New Roman" w:hAnsi="Times New Roman" w:cs="Times New Roman"/>
          <w:lang w:val="sr-Cyrl-CS"/>
        </w:rPr>
        <w:t xml:space="preserve">се обавезала на постепено </w:t>
      </w:r>
      <w:r w:rsidRPr="00CA3ECF">
        <w:rPr>
          <w:rFonts w:ascii="Times New Roman" w:hAnsi="Times New Roman" w:cs="Times New Roman"/>
          <w:lang w:val="sr-Latn-CS"/>
        </w:rPr>
        <w:t xml:space="preserve">усклађивање </w:t>
      </w:r>
      <w:r w:rsidRPr="00CA3ECF">
        <w:rPr>
          <w:rFonts w:ascii="Times New Roman" w:hAnsi="Times New Roman" w:cs="Times New Roman"/>
          <w:lang w:val="ru-RU"/>
        </w:rPr>
        <w:t xml:space="preserve">домаћег </w:t>
      </w:r>
      <w:r w:rsidRPr="00CA3ECF">
        <w:rPr>
          <w:rFonts w:ascii="Times New Roman" w:hAnsi="Times New Roman" w:cs="Times New Roman"/>
          <w:lang w:val="sr-Latn-CS"/>
        </w:rPr>
        <w:t>законодавства са</w:t>
      </w:r>
      <w:r w:rsidRPr="00CA3ECF">
        <w:rPr>
          <w:rFonts w:ascii="Times New Roman" w:hAnsi="Times New Roman" w:cs="Times New Roman"/>
          <w:lang w:val="ru-RU"/>
        </w:rPr>
        <w:t>,</w:t>
      </w:r>
      <w:r w:rsidRPr="00CA3ECF">
        <w:rPr>
          <w:rFonts w:ascii="Times New Roman" w:hAnsi="Times New Roman" w:cs="Times New Roman"/>
          <w:lang w:val="sr-Latn-CS"/>
        </w:rPr>
        <w:t xml:space="preserve"> </w:t>
      </w:r>
      <w:r w:rsidRPr="00CA3ECF">
        <w:rPr>
          <w:rFonts w:ascii="Times New Roman" w:hAnsi="Times New Roman" w:cs="Times New Roman"/>
          <w:lang w:val="ru-RU"/>
        </w:rPr>
        <w:t xml:space="preserve">раније </w:t>
      </w:r>
      <w:r w:rsidRPr="00CA3ECF">
        <w:rPr>
          <w:rFonts w:ascii="Times New Roman" w:hAnsi="Times New Roman" w:cs="Times New Roman"/>
          <w:lang w:val="sr-Cyrl-CS"/>
        </w:rPr>
        <w:t>правним тековинама</w:t>
      </w:r>
      <w:r w:rsidRPr="00CA3ECF">
        <w:rPr>
          <w:rFonts w:ascii="Times New Roman" w:hAnsi="Times New Roman" w:cs="Times New Roman"/>
          <w:lang w:val="sr-Latn-CS"/>
        </w:rPr>
        <w:t xml:space="preserve"> </w:t>
      </w:r>
      <w:r w:rsidRPr="00CA3ECF">
        <w:rPr>
          <w:rFonts w:ascii="Times New Roman" w:hAnsi="Times New Roman" w:cs="Times New Roman"/>
          <w:lang w:val="ru-RU"/>
        </w:rPr>
        <w:t>е</w:t>
      </w:r>
      <w:r w:rsidRPr="00CA3ECF">
        <w:rPr>
          <w:rFonts w:ascii="Times New Roman" w:hAnsi="Times New Roman" w:cs="Times New Roman"/>
          <w:lang w:val="sr-Latn-CS"/>
        </w:rPr>
        <w:t>вропских</w:t>
      </w:r>
      <w:r w:rsidRPr="00CA3ECF">
        <w:rPr>
          <w:rFonts w:ascii="Times New Roman" w:hAnsi="Times New Roman" w:cs="Times New Roman"/>
          <w:lang w:val="sr-Cyrl-CS"/>
        </w:rPr>
        <w:t xml:space="preserve"> заједница, а данас правним тековинама ЕУ,</w:t>
      </w:r>
      <w:r w:rsidRPr="00CA3ECF">
        <w:rPr>
          <w:rFonts w:ascii="Times New Roman" w:hAnsi="Times New Roman" w:cs="Times New Roman"/>
          <w:lang w:val="sr-Latn-CS"/>
        </w:rPr>
        <w:t xml:space="preserve"> </w:t>
      </w:r>
      <w:r w:rsidRPr="00CA3ECF">
        <w:rPr>
          <w:rFonts w:ascii="Times New Roman" w:hAnsi="Times New Roman" w:cs="Times New Roman"/>
          <w:lang w:val="sr-Cyrl-CS"/>
        </w:rPr>
        <w:t xml:space="preserve">као и на његову </w:t>
      </w:r>
      <w:r w:rsidRPr="00CA3ECF">
        <w:rPr>
          <w:rFonts w:ascii="Times New Roman" w:hAnsi="Times New Roman" w:cs="Times New Roman"/>
          <w:lang w:val="sr-Latn-CS"/>
        </w:rPr>
        <w:t>дос</w:t>
      </w:r>
      <w:r w:rsidRPr="00CA3ECF">
        <w:rPr>
          <w:rFonts w:ascii="Times New Roman" w:hAnsi="Times New Roman" w:cs="Times New Roman"/>
          <w:lang w:val="sr-Cyrl-CS"/>
        </w:rPr>
        <w:t xml:space="preserve">ледну </w:t>
      </w:r>
      <w:r w:rsidRPr="00CA3ECF">
        <w:rPr>
          <w:rFonts w:ascii="Times New Roman" w:hAnsi="Times New Roman" w:cs="Times New Roman"/>
          <w:lang w:val="sr-Latn-CS"/>
        </w:rPr>
        <w:t>примену</w:t>
      </w:r>
      <w:r w:rsidRPr="00CA3ECF">
        <w:rPr>
          <w:rFonts w:ascii="Times New Roman" w:hAnsi="Times New Roman" w:cs="Times New Roman"/>
          <w:lang w:val="sr-Cyrl-CS"/>
        </w:rPr>
        <w:t>.</w:t>
      </w:r>
      <w:r w:rsidRPr="00CA3ECF">
        <w:rPr>
          <w:rFonts w:ascii="Times New Roman" w:hAnsi="Times New Roman" w:cs="Times New Roman"/>
          <w:lang w:val="sr-Latn-CS"/>
        </w:rPr>
        <w:t xml:space="preserve"> </w:t>
      </w:r>
      <w:r w:rsidRPr="00CA3ECF">
        <w:rPr>
          <w:rFonts w:ascii="Times New Roman" w:hAnsi="Times New Roman" w:cs="Times New Roman"/>
          <w:lang w:val="sr-Cyrl-CS"/>
        </w:rPr>
        <w:t>П</w:t>
      </w:r>
      <w:r w:rsidRPr="00CA3ECF">
        <w:rPr>
          <w:rFonts w:ascii="Times New Roman" w:hAnsi="Times New Roman" w:cs="Times New Roman"/>
          <w:lang w:val="sr-Latn-CS"/>
        </w:rPr>
        <w:t>рема члану 7</w:t>
      </w:r>
      <w:r w:rsidRPr="00CA3ECF">
        <w:rPr>
          <w:rFonts w:ascii="Times New Roman" w:hAnsi="Times New Roman" w:cs="Times New Roman"/>
          <w:lang w:val="sr-Cyrl-CS"/>
        </w:rPr>
        <w:t>2.</w:t>
      </w:r>
      <w:r w:rsidRPr="00CA3ECF">
        <w:rPr>
          <w:rFonts w:ascii="Times New Roman" w:hAnsi="Times New Roman" w:cs="Times New Roman"/>
          <w:lang w:val="sr-Latn-CS"/>
        </w:rPr>
        <w:t xml:space="preserve"> ССП, </w:t>
      </w:r>
      <w:r w:rsidRPr="00CA3ECF">
        <w:rPr>
          <w:rFonts w:ascii="Times New Roman" w:hAnsi="Times New Roman" w:cs="Times New Roman"/>
          <w:lang w:val="sr-Cyrl-CS"/>
        </w:rPr>
        <w:t xml:space="preserve">Србија је преузела обавезу да </w:t>
      </w:r>
      <w:r w:rsidRPr="00CA3ECF">
        <w:rPr>
          <w:rFonts w:ascii="Times New Roman" w:hAnsi="Times New Roman" w:cs="Times New Roman"/>
          <w:lang w:val="sr-Latn-CS"/>
        </w:rPr>
        <w:t>у договору са Европском комисијом, припреми посеб</w:t>
      </w:r>
      <w:r w:rsidRPr="00CA3ECF">
        <w:rPr>
          <w:rFonts w:ascii="Times New Roman" w:hAnsi="Times New Roman" w:cs="Times New Roman"/>
          <w:lang w:val="sr-Cyrl-CS"/>
        </w:rPr>
        <w:t>ан</w:t>
      </w:r>
      <w:r w:rsidRPr="00CA3ECF">
        <w:rPr>
          <w:rFonts w:ascii="Times New Roman" w:hAnsi="Times New Roman" w:cs="Times New Roman"/>
          <w:lang w:val="sr-Latn-CS"/>
        </w:rPr>
        <w:t xml:space="preserve"> </w:t>
      </w:r>
      <w:r w:rsidRPr="00CA3ECF">
        <w:rPr>
          <w:rFonts w:ascii="Times New Roman" w:hAnsi="Times New Roman" w:cs="Times New Roman"/>
          <w:lang w:val="sr-Cyrl-CS"/>
        </w:rPr>
        <w:t>П</w:t>
      </w:r>
      <w:r w:rsidRPr="00CA3ECF">
        <w:rPr>
          <w:rFonts w:ascii="Times New Roman" w:hAnsi="Times New Roman" w:cs="Times New Roman"/>
          <w:lang w:val="sr-Latn-CS"/>
        </w:rPr>
        <w:t>рограм за спрово</w:t>
      </w:r>
      <w:r w:rsidRPr="00CA3ECF">
        <w:rPr>
          <w:rFonts w:ascii="Times New Roman" w:hAnsi="Times New Roman" w:cs="Times New Roman"/>
          <w:lang w:val="sr-Cyrl-CS"/>
        </w:rPr>
        <w:t>ђ</w:t>
      </w:r>
      <w:r w:rsidRPr="00CA3ECF">
        <w:rPr>
          <w:rFonts w:ascii="Times New Roman" w:hAnsi="Times New Roman" w:cs="Times New Roman"/>
          <w:lang w:val="sr-Latn-CS"/>
        </w:rPr>
        <w:t>ење</w:t>
      </w:r>
      <w:r w:rsidRPr="00CA3ECF">
        <w:rPr>
          <w:rFonts w:ascii="Times New Roman" w:hAnsi="Times New Roman" w:cs="Times New Roman"/>
          <w:lang w:val="sr-Cyrl-CS"/>
        </w:rPr>
        <w:t xml:space="preserve"> обавеза из</w:t>
      </w:r>
      <w:r w:rsidRPr="00CA3ECF">
        <w:rPr>
          <w:rFonts w:ascii="Times New Roman" w:hAnsi="Times New Roman" w:cs="Times New Roman"/>
          <w:lang w:val="sr-Latn-CS"/>
        </w:rPr>
        <w:t xml:space="preserve"> ССП. </w:t>
      </w:r>
      <w:r w:rsidRPr="00CA3ECF">
        <w:rPr>
          <w:rFonts w:ascii="Times New Roman" w:hAnsi="Times New Roman" w:cs="Times New Roman"/>
          <w:lang w:val="ru-RU"/>
        </w:rPr>
        <w:t>ЕУ прати у</w:t>
      </w:r>
      <w:r w:rsidRPr="00CA3ECF">
        <w:rPr>
          <w:rFonts w:ascii="Times New Roman" w:hAnsi="Times New Roman" w:cs="Times New Roman"/>
          <w:lang w:val="sr-Latn-CS"/>
        </w:rPr>
        <w:t>склађивање законодавства и спровођење закона</w:t>
      </w:r>
      <w:r w:rsidRPr="00CA3ECF">
        <w:rPr>
          <w:rFonts w:ascii="Times New Roman" w:hAnsi="Times New Roman" w:cs="Times New Roman"/>
          <w:lang w:val="sr-Cyrl-CS"/>
        </w:rPr>
        <w:t xml:space="preserve"> из тог програма. Усклађивање је, у складу са чланом 72, почело даном потписивања ССП, </w:t>
      </w:r>
      <w:r w:rsidRPr="00CA3ECF">
        <w:rPr>
          <w:rFonts w:ascii="Times New Roman" w:hAnsi="Times New Roman" w:cs="Times New Roman"/>
          <w:lang w:val="sr-Latn-CS"/>
        </w:rPr>
        <w:t>у</w:t>
      </w:r>
      <w:r w:rsidRPr="00CA3ECF">
        <w:rPr>
          <w:rFonts w:ascii="Times New Roman" w:hAnsi="Times New Roman" w:cs="Times New Roman"/>
          <w:lang w:val="ru-RU"/>
        </w:rPr>
        <w:t xml:space="preserve"> складу са</w:t>
      </w:r>
      <w:r w:rsidRPr="00CA3ECF">
        <w:rPr>
          <w:rFonts w:ascii="Times New Roman" w:hAnsi="Times New Roman" w:cs="Times New Roman"/>
          <w:lang w:val="sr-Latn-CS"/>
        </w:rPr>
        <w:t xml:space="preserve"> </w:t>
      </w:r>
      <w:r w:rsidRPr="00CA3ECF">
        <w:rPr>
          <w:rFonts w:ascii="Times New Roman" w:hAnsi="Times New Roman" w:cs="Times New Roman"/>
          <w:lang w:val="ru-RU"/>
        </w:rPr>
        <w:t>договореним</w:t>
      </w:r>
      <w:r w:rsidRPr="00CA3ECF">
        <w:rPr>
          <w:rFonts w:ascii="Times New Roman" w:hAnsi="Times New Roman" w:cs="Times New Roman"/>
          <w:lang w:val="sr-Latn-CS"/>
        </w:rPr>
        <w:t xml:space="preserve"> транзиционим роковима</w:t>
      </w:r>
      <w:r w:rsidRPr="00CA3ECF">
        <w:rPr>
          <w:rFonts w:ascii="Times New Roman" w:hAnsi="Times New Roman" w:cs="Times New Roman"/>
          <w:lang w:val="sr-Cyrl-CS"/>
        </w:rPr>
        <w:t>.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FF0000"/>
          <w:lang w:val="ru-RU"/>
        </w:rPr>
      </w:pPr>
      <w:r w:rsidRPr="00CA3ECF">
        <w:rPr>
          <w:rFonts w:ascii="Times New Roman" w:hAnsi="Times New Roman" w:cs="Times New Roman"/>
          <w:lang w:val="sr-Cyrl-CS"/>
        </w:rPr>
        <w:t>Како би испунила обавезу предвиђену ССП, и на свеобухватан и системски начин утврдила вишегодишњи програм усклађивања свог законодавства са правном тековином ЕУ, доказујући при том постојање неопходног административног капацитета, Србиј</w:t>
      </w:r>
      <w:r w:rsidRPr="00E97419">
        <w:rPr>
          <w:rFonts w:ascii="Times New Roman" w:hAnsi="Times New Roman" w:cs="Times New Roman"/>
          <w:lang w:val="sr-Latn-CS"/>
        </w:rPr>
        <w:t>a</w:t>
      </w:r>
      <w:r w:rsidRPr="00CA3ECF">
        <w:rPr>
          <w:rFonts w:ascii="Times New Roman" w:hAnsi="Times New Roman" w:cs="Times New Roman"/>
          <w:lang w:val="sr-Cyrl-CS"/>
        </w:rPr>
        <w:t xml:space="preserve"> је 9. октобра 2008. усвојила Национални програм интеграције Републике Србије у ЕУ за период 2008-2012 (НПИ). У дотадашњој пракси процеса проширења ЕУ било је уобичајено да такав документ израђују државе које имају статус кандидата за чланство у ЕУ које се припремају за почетак приступних преговора. Међутим, Србија је, иако у том тренутку није имала статус кандидата, у циљу исказивања решености да поштује своје уговорне обавезе и показивања стварних административних способности донела одлуку да изради такав програм</w:t>
      </w:r>
      <w:r w:rsidRPr="00CA3ECF">
        <w:rPr>
          <w:rFonts w:ascii="Times New Roman" w:hAnsi="Times New Roman" w:cs="Times New Roman"/>
          <w:lang w:val="sr-Latn-CS"/>
        </w:rPr>
        <w:t xml:space="preserve">. </w:t>
      </w:r>
      <w:r w:rsidRPr="00CA3ECF">
        <w:rPr>
          <w:rFonts w:ascii="Times New Roman" w:hAnsi="Times New Roman" w:cs="Times New Roman"/>
          <w:lang w:val="sr-Cyrl-CS"/>
        </w:rPr>
        <w:t xml:space="preserve">Овим документом су биле предвиђене законодавне активности у наредне четири године са циљем даљег усклађивања са правном тековином ЕУ. НПИ представља први вишегодишњи програм  усклађивања са правном тековином ЕУ. Испуњеност НПИ је у периоду од 1. јула 2008. до 31. децембра 2012. била на завидном нивоу од </w:t>
      </w:r>
      <w:r w:rsidRPr="00CA3ECF">
        <w:rPr>
          <w:rFonts w:ascii="Times New Roman" w:hAnsi="Times New Roman" w:cs="Times New Roman"/>
          <w:lang w:val="ru-RU"/>
        </w:rPr>
        <w:t>88% (1030/1172), будући да је од 1,172 планиране мере усвојено је њих 1,030. О</w:t>
      </w:r>
      <w:r w:rsidRPr="00CA3ECF">
        <w:rPr>
          <w:rFonts w:ascii="Times New Roman" w:hAnsi="Times New Roman" w:cs="Times New Roman"/>
          <w:lang w:val="sr-Cyrl-CS"/>
        </w:rPr>
        <w:t xml:space="preserve">д тога је било предвиђено </w:t>
      </w:r>
      <w:r w:rsidRPr="00CA3ECF">
        <w:rPr>
          <w:rFonts w:ascii="Times New Roman" w:hAnsi="Times New Roman" w:cs="Times New Roman"/>
          <w:lang w:val="ru-RU"/>
        </w:rPr>
        <w:t>усвајање 243 закона, а усвојено их је 201, што представља 83% испуњености плана.</w:t>
      </w:r>
      <w:r w:rsidRPr="00CA3ECF">
        <w:rPr>
          <w:rFonts w:ascii="Times New Roman" w:hAnsi="Times New Roman" w:cs="Times New Roman"/>
          <w:color w:val="FF0000"/>
          <w:lang w:val="ru-RU"/>
        </w:rPr>
        <w:t xml:space="preserve"> 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CA3ECF">
        <w:rPr>
          <w:rFonts w:ascii="Times New Roman" w:hAnsi="Times New Roman" w:cs="Times New Roman"/>
          <w:lang w:val="ru-RU"/>
        </w:rPr>
        <w:t>Упоредо са спровођењем ПТС и НПИ процес интеграције је текао даље. Тако су грађанима Србије за путовање у државе Шенгенског споразума укинуте визе 30. новембра 2009. Србија је званично поднела захтев за пријем у чланство ЕУ 22. децембра 2009. Подношење захтева за пријем у чланство представља јасну поруку о намери и спремности Републике Србије да испуни све политичке, привредне, институционалне и правне критеријуме за чланство у ЕУ. Савет министара спољних послова ЕУ је 14. јуна 2010. донео одлуку о почетку ратификације ССП са Србијом чиме је Европска комисија добила одобрење да почне процедуру оцењивања захтева Србије за пријем у чланство ЕУ. Србија је 25. новембра 2011. добила Упитник ЕК са 2,563 питања на основу којих је ЕК донела своју оцену о могућностима за пријем Србије у ЕУ. Србија је доставила одговоре за 45 радних дана, тј. 31. јануара 2011.</w:t>
      </w:r>
      <w:r w:rsidRPr="00CA3ECF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t xml:space="preserve">На основу одговора које је Србија доставила на Упитник, 12. октобар 2011. ЕК је објавила Мишљење о захтеву Србије за пријем у чланство (тзв. </w:t>
      </w:r>
      <w:r w:rsidRPr="00CA3ECF">
        <w:rPr>
          <w:rFonts w:ascii="Times New Roman" w:hAnsi="Times New Roman" w:cs="Times New Roman"/>
          <w:i/>
          <w:iCs/>
        </w:rPr>
        <w:t>avis</w:t>
      </w:r>
      <w:r w:rsidRPr="00CA3ECF">
        <w:rPr>
          <w:rFonts w:ascii="Times New Roman" w:hAnsi="Times New Roman" w:cs="Times New Roman"/>
          <w:lang w:val="ru-RU"/>
        </w:rPr>
        <w:t xml:space="preserve">) и препоручила давање статуса кандидата Србији и отварање приступних преговора уз списак услова везаних за питање Косова и Метохије. На основу мишљења ЕК и напретка у дијалогу са привременим институцијама у Приштини, 1. марта 2012. Европски савет је усвојио закључак о додељивању статуса кандидата Републици Србији. Тиме је Србија званично добила статус кандидата за чланство у ЕУ. 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t>У Годишњем извештају о напретку Србије, објављеном 2012. Европска комисија је поновила критеријуме за отварање приступних преговора наведених у Мишљењу из 2011. и потврдила да ће представити извештај чим процени да је Србија постигла одговарајући ниво испуњења критеријума за чланство, а нарочито кључног приоритета у смислу конкретних корака ка видљивом и одрживом унапређењу односа са Косовом.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lastRenderedPageBreak/>
        <w:t>Европски савет 13-14. децембра 2012. је поздравио и прихватио Закључке Савета од 11. децембра о проширењу и Процесу стабилизације и придруживања, којим се Европска комисија и Високи представник позивају да током пролећа 2013. представе извештај на основу којих ће бити одлучено о почетку преговора о приступању Србије ЕУ.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CA3ECF">
        <w:rPr>
          <w:rFonts w:ascii="Times New Roman" w:hAnsi="Times New Roman" w:cs="Times New Roman"/>
          <w:lang w:val="ru-RU"/>
        </w:rPr>
        <w:t xml:space="preserve">У околностима очекиваног отварања приступних преговора, покренут је низ свеобухватних унутрашњих реформи и интензивних припрема за отварање преговора о приступању. Влада Републике Србије је 28. фебруара донела нови вишегодишњи програм усклађивања домаћег законодавства са правном тековином ЕУ, под називом </w:t>
      </w:r>
      <w:r w:rsidRPr="00CA3ECF">
        <w:rPr>
          <w:rFonts w:ascii="Times New Roman" w:hAnsi="Times New Roman" w:cs="Times New Roman"/>
          <w:lang w:val="sr-Cyrl-CS"/>
        </w:rPr>
        <w:t xml:space="preserve">Национални програм за усвајање правних тековина ЕУ (енг. </w:t>
      </w:r>
      <w:r w:rsidRPr="00CA3ECF">
        <w:rPr>
          <w:rFonts w:ascii="Times New Roman" w:hAnsi="Times New Roman" w:cs="Times New Roman"/>
          <w:i/>
          <w:iCs/>
        </w:rPr>
        <w:t>National</w:t>
      </w:r>
      <w:r w:rsidRPr="00CA3ECF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CA3ECF">
        <w:rPr>
          <w:rFonts w:ascii="Times New Roman" w:hAnsi="Times New Roman" w:cs="Times New Roman"/>
          <w:i/>
          <w:iCs/>
        </w:rPr>
        <w:t>Programme</w:t>
      </w:r>
      <w:r w:rsidRPr="00CA3ECF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CA3ECF">
        <w:rPr>
          <w:rFonts w:ascii="Times New Roman" w:hAnsi="Times New Roman" w:cs="Times New Roman"/>
          <w:i/>
          <w:iCs/>
        </w:rPr>
        <w:t>for</w:t>
      </w:r>
      <w:r w:rsidRPr="00CA3ECF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CA3ECF">
        <w:rPr>
          <w:rFonts w:ascii="Times New Roman" w:hAnsi="Times New Roman" w:cs="Times New Roman"/>
          <w:i/>
          <w:iCs/>
        </w:rPr>
        <w:t>the</w:t>
      </w:r>
      <w:r w:rsidRPr="00CA3ECF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CA3ECF">
        <w:rPr>
          <w:rFonts w:ascii="Times New Roman" w:hAnsi="Times New Roman" w:cs="Times New Roman"/>
          <w:i/>
          <w:iCs/>
        </w:rPr>
        <w:t>Adoption</w:t>
      </w:r>
      <w:r w:rsidRPr="00CA3ECF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CA3ECF">
        <w:rPr>
          <w:rFonts w:ascii="Times New Roman" w:hAnsi="Times New Roman" w:cs="Times New Roman"/>
          <w:i/>
          <w:iCs/>
        </w:rPr>
        <w:t>of</w:t>
      </w:r>
      <w:r w:rsidRPr="00CA3ECF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CA3ECF">
        <w:rPr>
          <w:rFonts w:ascii="Times New Roman" w:hAnsi="Times New Roman" w:cs="Times New Roman"/>
          <w:i/>
          <w:iCs/>
        </w:rPr>
        <w:t>the</w:t>
      </w:r>
      <w:r w:rsidRPr="00CA3ECF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CA3ECF">
        <w:rPr>
          <w:rFonts w:ascii="Times New Roman" w:hAnsi="Times New Roman" w:cs="Times New Roman"/>
          <w:i/>
          <w:iCs/>
        </w:rPr>
        <w:t>Acquis</w:t>
      </w:r>
      <w:r w:rsidRPr="00CA3ECF">
        <w:rPr>
          <w:rFonts w:ascii="Times New Roman" w:hAnsi="Times New Roman" w:cs="Times New Roman"/>
          <w:i/>
          <w:iCs/>
          <w:lang w:val="sr-Cyrl-CS"/>
        </w:rPr>
        <w:t xml:space="preserve"> – </w:t>
      </w:r>
      <w:r w:rsidRPr="00CA3ECF">
        <w:rPr>
          <w:rFonts w:ascii="Times New Roman" w:hAnsi="Times New Roman" w:cs="Times New Roman"/>
          <w:i/>
          <w:iCs/>
        </w:rPr>
        <w:t>NPAA</w:t>
      </w:r>
      <w:r w:rsidRPr="00CA3ECF">
        <w:rPr>
          <w:rFonts w:ascii="Times New Roman" w:hAnsi="Times New Roman" w:cs="Times New Roman"/>
          <w:lang w:val="sr-Cyrl-CS"/>
        </w:rPr>
        <w:t>) – 2013-2016. НПАА обухвата планове за спровођење приоритета из ССП-а, ПТС-а, као и Годишњег извештаја Европске комисије о напретку Републике Србије у процесу европских интеграција за 2012. годину и Аналитичког извештаја који прати Мишљење Европске комисије о захтеву Републике Србије за чланство у Европској унији, као и мере за реализацију наведених приоритета.</w:t>
      </w:r>
    </w:p>
    <w:p w:rsidR="007123ED" w:rsidRPr="00E97419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CA3ECF">
        <w:rPr>
          <w:rFonts w:ascii="Times New Roman" w:hAnsi="Times New Roman" w:cs="Times New Roman"/>
          <w:lang w:val="sr-Cyrl-CS"/>
        </w:rPr>
        <w:t xml:space="preserve">Период његове примене ће бити од 1. марта 2013. до 31. децембра 2016. Документ садржи детаљан преглед приоритета за 2013. годину у погледу усклађивања законодавства, као и </w:t>
      </w:r>
      <w:r w:rsidRPr="00CA3ECF">
        <w:rPr>
          <w:rFonts w:ascii="Times New Roman" w:hAnsi="Times New Roman" w:cs="Times New Roman"/>
          <w:b/>
          <w:bCs/>
          <w:lang w:val="sr-Cyrl-CS"/>
        </w:rPr>
        <w:t>пројекцију за наредне три године примене</w:t>
      </w:r>
      <w:r w:rsidRPr="00CA3ECF">
        <w:rPr>
          <w:rFonts w:ascii="Times New Roman" w:hAnsi="Times New Roman" w:cs="Times New Roman"/>
          <w:b/>
          <w:bCs/>
          <w:lang w:val="ru-RU"/>
        </w:rPr>
        <w:t xml:space="preserve"> НПАА</w:t>
      </w:r>
      <w:r w:rsidRPr="00CA3ECF">
        <w:rPr>
          <w:rFonts w:ascii="Times New Roman" w:hAnsi="Times New Roman" w:cs="Times New Roman"/>
          <w:lang w:val="sr-Cyrl-CS"/>
        </w:rPr>
        <w:t xml:space="preserve">, полазећи од тога да ће план за сваку посебну годину примене документа бити разрађен и конкретизован приликом одговарајуће годишње ревизије </w:t>
      </w:r>
      <w:r w:rsidRPr="00CA3ECF">
        <w:rPr>
          <w:rFonts w:ascii="Times New Roman" w:hAnsi="Times New Roman" w:cs="Times New Roman"/>
          <w:lang w:val="ru-RU"/>
        </w:rPr>
        <w:t xml:space="preserve">НПАА, имајући у виду остварени напредак у процесу приступних преговора. </w:t>
      </w:r>
    </w:p>
    <w:p w:rsidR="007123ED" w:rsidRPr="00A22AE4" w:rsidRDefault="007123ED" w:rsidP="005B7D2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CA3ECF">
        <w:rPr>
          <w:rFonts w:ascii="Times New Roman" w:hAnsi="Times New Roman" w:cs="Times New Roman"/>
          <w:lang w:val="ru-RU"/>
        </w:rPr>
        <w:t xml:space="preserve">Процес ратификације </w:t>
      </w:r>
      <w:r w:rsidRPr="00A22AE4">
        <w:rPr>
          <w:rFonts w:ascii="Times New Roman" w:hAnsi="Times New Roman" w:cs="Times New Roman"/>
          <w:lang w:val="ru-RU"/>
        </w:rPr>
        <w:t>Споразума о стабилизацији и придруживању између Европских заједница и њихових држава чланица, са једне стране, и Републике Србије са друге стране (</w:t>
      </w:r>
      <w:r w:rsidRPr="00CA3ECF">
        <w:rPr>
          <w:rFonts w:ascii="Times New Roman" w:hAnsi="Times New Roman" w:cs="Times New Roman"/>
          <w:lang w:val="ru-RU"/>
        </w:rPr>
        <w:t xml:space="preserve">завршен је 18. јуна 2013. године, када га је ратификовала Литванија, а пре ње су то учинили Европски парламент и 26 држава чланица ЕУ. ССП ће </w:t>
      </w:r>
      <w:r w:rsidRPr="00A22AE4">
        <w:rPr>
          <w:rFonts w:ascii="Times New Roman" w:hAnsi="Times New Roman" w:cs="Times New Roman"/>
          <w:lang w:val="sr-Cyrl-CS"/>
        </w:rPr>
        <w:t xml:space="preserve">ступити на снагу 1. септембра 2013. године </w:t>
      </w:r>
      <w:r w:rsidRPr="00A22AE4">
        <w:rPr>
          <w:rFonts w:ascii="Times New Roman" w:hAnsi="Times New Roman" w:cs="Times New Roman"/>
          <w:lang w:val="ru-RU"/>
        </w:rPr>
        <w:t>након што је Савет Европске уније известио Србију о окончању поступка одобравања Споразума, у складу са чланом 138</w:t>
      </w:r>
      <w:r w:rsidRPr="00A22AE4">
        <w:rPr>
          <w:rFonts w:ascii="Times New Roman" w:hAnsi="Times New Roman" w:cs="Times New Roman"/>
          <w:lang w:val="sr-Cyrl-CS"/>
        </w:rPr>
        <w:t xml:space="preserve">. Споразума, </w:t>
      </w:r>
      <w:r w:rsidRPr="00CA3ECF">
        <w:rPr>
          <w:rFonts w:ascii="Times New Roman" w:hAnsi="Times New Roman" w:cs="Times New Roman"/>
          <w:lang w:val="ru-RU"/>
        </w:rPr>
        <w:t>чиме је Србија добила статус државе придружене Европској унији.</w:t>
      </w:r>
      <w:r w:rsidRPr="00CA3ECF">
        <w:rPr>
          <w:rFonts w:ascii="Times New Roman" w:hAnsi="Times New Roman" w:cs="Times New Roman"/>
          <w:lang w:val="sr-Latn-CS"/>
        </w:rPr>
        <w:t xml:space="preserve"> Србија планира да након ступања на снагу ССП у највећој могућој мери користи механизме ССП у припремама за чланство у ЕУ. На овај начин ће оквир ССП бити комплементаран испуњавању обавеза преузетих у преговорима о приступању.</w:t>
      </w:r>
    </w:p>
    <w:p w:rsidR="007123ED" w:rsidRPr="00A22AE4" w:rsidRDefault="007123ED" w:rsidP="005B7D2C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CA3ECF">
        <w:rPr>
          <w:rFonts w:ascii="Times New Roman" w:hAnsi="Times New Roman" w:cs="Times New Roman"/>
          <w:lang w:val="sr-Cyrl-CS"/>
        </w:rPr>
        <w:t>Европски савет 28. јуна 2013. је поздравио и прихватио Закључке Савета од 25. јуна о проширењу и Процесу стабилизације и донео одлуку отварању приступних преговора са Србијом, којом се Европска комисија позива да изради Преговарачки оквир за вођење преговора о приступ</w:t>
      </w:r>
      <w:r w:rsidRPr="00CA3ECF">
        <w:rPr>
          <w:rFonts w:ascii="Times New Roman" w:hAnsi="Times New Roman" w:cs="Times New Roman"/>
          <w:lang w:val="hr-HR"/>
        </w:rPr>
        <w:t>a</w:t>
      </w:r>
      <w:r w:rsidRPr="00CA3ECF">
        <w:rPr>
          <w:rFonts w:ascii="Times New Roman" w:hAnsi="Times New Roman" w:cs="Times New Roman"/>
          <w:lang w:val="sr-Cyrl-CS"/>
        </w:rPr>
        <w:t xml:space="preserve">њу Републике Србије Европској унији и којом се одређује да прва Међувладина конференција буде одржана најкасније у јануару 2014. </w:t>
      </w:r>
      <w:r>
        <w:rPr>
          <w:rFonts w:ascii="Times New Roman" w:hAnsi="Times New Roman" w:cs="Times New Roman"/>
          <w:lang w:val="sr-Cyrl-CS"/>
        </w:rPr>
        <w:t>г</w:t>
      </w:r>
      <w:r w:rsidRPr="00CA3ECF">
        <w:rPr>
          <w:rFonts w:ascii="Times New Roman" w:hAnsi="Times New Roman" w:cs="Times New Roman"/>
          <w:lang w:val="sr-Cyrl-CS"/>
        </w:rPr>
        <w:t xml:space="preserve">одине. </w:t>
      </w:r>
    </w:p>
    <w:p w:rsidR="007123ED" w:rsidRPr="00A22AE4" w:rsidRDefault="007123ED" w:rsidP="00A22AE4">
      <w:pPr>
        <w:spacing w:after="120" w:line="240" w:lineRule="auto"/>
        <w:jc w:val="both"/>
        <w:rPr>
          <w:rFonts w:ascii="Times New Roman" w:hAnsi="Times New Roman" w:cs="Times New Roman"/>
          <w:lang w:val="ru-RU"/>
        </w:rPr>
      </w:pPr>
    </w:p>
    <w:p w:rsidR="007123ED" w:rsidRPr="00A22AE4" w:rsidRDefault="007123ED" w:rsidP="00A22AE4">
      <w:pPr>
        <w:pStyle w:val="stil1tekst"/>
        <w:spacing w:after="120"/>
        <w:ind w:left="0" w:right="50" w:firstLine="720"/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 w:rsidRPr="00CA3ECF">
        <w:rPr>
          <w:rFonts w:ascii="Times New Roman" w:hAnsi="Times New Roman" w:cs="Times New Roman"/>
          <w:b/>
          <w:bCs/>
          <w:sz w:val="22"/>
          <w:szCs w:val="22"/>
          <w:u w:val="single"/>
        </w:rPr>
        <w:t>III</w:t>
      </w:r>
      <w:r w:rsidRPr="00CA3ECF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 xml:space="preserve"> Разлози за закључивање Уговора о приступању Републике Србије Европској унији</w:t>
      </w:r>
    </w:p>
    <w:p w:rsidR="007123ED" w:rsidRPr="00A22AE4" w:rsidRDefault="007123ED" w:rsidP="00A22AE4">
      <w:pPr>
        <w:pStyle w:val="stil1tekst"/>
        <w:spacing w:after="120"/>
        <w:ind w:left="0" w:right="50"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CA3ECF">
        <w:rPr>
          <w:rFonts w:ascii="Times New Roman" w:hAnsi="Times New Roman" w:cs="Times New Roman"/>
          <w:sz w:val="22"/>
          <w:szCs w:val="22"/>
          <w:lang w:val="ru-RU"/>
        </w:rPr>
        <w:t>Чланство у Европској унији представља стратешки циљ Републике Србије, а произилази из снажне привржености основним идејама, достигнућима и вредностима Европске уније.</w:t>
      </w:r>
    </w:p>
    <w:p w:rsidR="007123ED" w:rsidRPr="00A22AE4" w:rsidRDefault="007123ED" w:rsidP="00A22AE4">
      <w:pPr>
        <w:pStyle w:val="stil1tekst"/>
        <w:spacing w:after="120"/>
        <w:ind w:left="0" w:right="50"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CA3ECF">
        <w:rPr>
          <w:rFonts w:ascii="Times New Roman" w:hAnsi="Times New Roman" w:cs="Times New Roman"/>
          <w:sz w:val="22"/>
          <w:szCs w:val="22"/>
          <w:lang w:val="ru-RU"/>
        </w:rPr>
        <w:t>Своју одлуку да поднесе захтев за пријем у чланство Република Србија заснива на неколико основних постулата. Први и основни подразумева искрену посвећеност Србије да у потпуности учествује у полувековној тежњи европских народа да изграде Европу мира, правде, слободе, солидарности и безбедности. Попут других држава, чланица Уније, Република Србија тежи изградњи друштва у коме најзначајније вредности представљају плурализам, толеранција, солидарност и спречавање дискриминације.</w:t>
      </w:r>
    </w:p>
    <w:p w:rsidR="007123ED" w:rsidRPr="00A22AE4" w:rsidRDefault="007123ED" w:rsidP="00A22AE4">
      <w:pPr>
        <w:pStyle w:val="stil1tekst"/>
        <w:spacing w:after="120"/>
        <w:ind w:left="0" w:right="50"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CA3ECF">
        <w:rPr>
          <w:rFonts w:ascii="Times New Roman" w:hAnsi="Times New Roman" w:cs="Times New Roman"/>
          <w:sz w:val="22"/>
          <w:szCs w:val="22"/>
          <w:lang w:val="ru-RU"/>
        </w:rPr>
        <w:t xml:space="preserve">Национални и културни идентитет Србије део је заједничког културног обрасца ЕУ утемељеног у максими </w:t>
      </w:r>
      <w:r w:rsidRPr="00E97419">
        <w:rPr>
          <w:rFonts w:ascii="Times New Roman" w:hAnsi="Times New Roman" w:cs="Times New Roman"/>
          <w:sz w:val="22"/>
          <w:szCs w:val="22"/>
          <w:lang w:val="ru-RU"/>
        </w:rPr>
        <w:t>„</w:t>
      </w:r>
      <w:r w:rsidRPr="00CA3ECF">
        <w:rPr>
          <w:rFonts w:ascii="Times New Roman" w:hAnsi="Times New Roman" w:cs="Times New Roman"/>
          <w:sz w:val="22"/>
          <w:szCs w:val="22"/>
          <w:lang w:val="ru-RU"/>
        </w:rPr>
        <w:t>уједињени у различитостима</w:t>
      </w:r>
      <w:r w:rsidRPr="00E97419">
        <w:rPr>
          <w:rFonts w:ascii="Times New Roman" w:hAnsi="Times New Roman" w:cs="Times New Roman"/>
          <w:sz w:val="22"/>
          <w:szCs w:val="22"/>
          <w:lang w:val="ru-RU"/>
        </w:rPr>
        <w:t>“</w:t>
      </w:r>
      <w:r w:rsidRPr="00CA3ECF">
        <w:rPr>
          <w:rFonts w:ascii="Times New Roman" w:hAnsi="Times New Roman" w:cs="Times New Roman"/>
          <w:sz w:val="22"/>
          <w:szCs w:val="22"/>
          <w:lang w:val="ru-RU"/>
        </w:rPr>
        <w:t>. Истовремено, Србија припада баштини заједничке европске вредности оличене у основним демократским начелима. Као држава која настоји да постане чланица Европске уније, Србија у потпуности подстиче културу поштовања различитости, солидарности, једнакости и партнерства међу државама и залаже се за очување културног идентитета, језика и традиције међу народима.</w:t>
      </w:r>
    </w:p>
    <w:p w:rsidR="007123ED" w:rsidRPr="00A22AE4" w:rsidRDefault="007123ED" w:rsidP="00A22AE4">
      <w:pPr>
        <w:pStyle w:val="stil1tekst"/>
        <w:spacing w:after="120"/>
        <w:ind w:left="0" w:right="50"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CA3ECF">
        <w:rPr>
          <w:rFonts w:ascii="Times New Roman" w:hAnsi="Times New Roman" w:cs="Times New Roman"/>
          <w:sz w:val="22"/>
          <w:szCs w:val="22"/>
          <w:lang w:val="ru-RU"/>
        </w:rPr>
        <w:lastRenderedPageBreak/>
        <w:t>Србија жели да, испуњавањем услова који су неопходни за чланство у ЕУ, допринесе изградњи функционалног, одрживог и ефикасног система ЕУ. У том смислу, процес приступања даје снажан подстрек окончању политичких и економских реформи у Србији. Имајући у виду да је унутрашње тржиште камен темељац Европске уније, Србија наставља да усклађује своје законодавсто с правним тековинама Европске уније, ради уклањања свих препрека слободном кретању људи, роба, услуга и капитала.</w:t>
      </w:r>
    </w:p>
    <w:p w:rsidR="007123ED" w:rsidRPr="00A22AE4" w:rsidRDefault="007123ED" w:rsidP="00A22AE4">
      <w:pPr>
        <w:pStyle w:val="stil1tekst"/>
        <w:spacing w:after="120"/>
        <w:ind w:left="0" w:right="50"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CA3ECF">
        <w:rPr>
          <w:rFonts w:ascii="Times New Roman" w:hAnsi="Times New Roman" w:cs="Times New Roman"/>
          <w:sz w:val="22"/>
          <w:szCs w:val="22"/>
          <w:lang w:val="ru-RU"/>
        </w:rPr>
        <w:t>Истовремено, ступање Републике Србије у чланство Европске уније, допринело би стабилности региона и заокруживању зоне мира и безбедности у Европи. Србија развија добре односе са суседним државама, како на билатералној основи, тако и учешћем у мултилатералним регионалним иницијативама и остаје чврсто опредељена за мирно решавање свих отворених питања на темељу дијалога, међусобног разумевања, поштовања европских вредности и начела међународног права.</w:t>
      </w:r>
    </w:p>
    <w:p w:rsidR="007123ED" w:rsidRPr="00A22AE4" w:rsidRDefault="007123ED" w:rsidP="00A22AE4">
      <w:pPr>
        <w:pStyle w:val="stil1tekst"/>
        <w:spacing w:after="120"/>
        <w:ind w:left="0" w:right="50"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CA3ECF">
        <w:rPr>
          <w:rFonts w:ascii="Times New Roman" w:hAnsi="Times New Roman" w:cs="Times New Roman"/>
          <w:sz w:val="22"/>
          <w:szCs w:val="22"/>
          <w:lang w:val="ru-RU"/>
        </w:rPr>
        <w:t>Истовремено, у циљу поштовања европских стандарда на подручју правде, слободе и безбедности, Србија улаже напоре у сузбијању организованог криминала, трговине наркотицима, илегалних имиграција и илегалног запошљавања.</w:t>
      </w:r>
    </w:p>
    <w:p w:rsidR="007123ED" w:rsidRPr="00A22AE4" w:rsidRDefault="007123ED" w:rsidP="00A22AE4">
      <w:pPr>
        <w:pStyle w:val="stil1tekst"/>
        <w:spacing w:after="120"/>
        <w:ind w:left="0" w:right="50"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CA3ECF">
        <w:rPr>
          <w:rFonts w:ascii="Times New Roman" w:hAnsi="Times New Roman" w:cs="Times New Roman"/>
          <w:sz w:val="22"/>
          <w:szCs w:val="22"/>
          <w:lang w:val="ru-RU"/>
        </w:rPr>
        <w:t xml:space="preserve">Са економског аспекта разлози за приступање Европској унији огледају се и у повезаности привреда Републике Србије и Европске уније. Европска унија је најважнији спољнотрговински </w:t>
      </w:r>
      <w:r w:rsidRPr="00E97419">
        <w:rPr>
          <w:rFonts w:ascii="Times New Roman" w:hAnsi="Times New Roman" w:cs="Times New Roman"/>
          <w:sz w:val="22"/>
          <w:szCs w:val="22"/>
          <w:lang w:val="ru-RU"/>
        </w:rPr>
        <w:t xml:space="preserve">партнер </w:t>
      </w:r>
      <w:r w:rsidRPr="00CA3ECF">
        <w:rPr>
          <w:rFonts w:ascii="Times New Roman" w:hAnsi="Times New Roman" w:cs="Times New Roman"/>
          <w:sz w:val="22"/>
          <w:szCs w:val="22"/>
          <w:lang w:val="ru-RU"/>
        </w:rPr>
        <w:t>са којом се обавља 60% спољнотрговинске размене и у којој се реализује 61% извоза из Србије.</w:t>
      </w:r>
      <w:r w:rsidRPr="00CA3ECF">
        <w:rPr>
          <w:rStyle w:val="FootnoteReference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CA3ECF">
        <w:rPr>
          <w:rFonts w:ascii="Times New Roman" w:hAnsi="Times New Roman" w:cs="Times New Roman"/>
          <w:sz w:val="22"/>
          <w:szCs w:val="22"/>
          <w:lang w:val="ru-RU"/>
        </w:rPr>
        <w:t xml:space="preserve"> ЕУ је и највећи инвестициони партнер Републике Србије. Од 2001. године до 2013. године у Србију је уложено око 19 милијарди евра директних страних инвестиција. Од тог износа око 60% су инвестиције из земаља Европске уније, што потврђује висок степен економске повезаности Србије и ЕУ.</w:t>
      </w:r>
      <w:r w:rsidRPr="00CA3ECF">
        <w:rPr>
          <w:rStyle w:val="FootnoteReference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CA3ECF">
        <w:rPr>
          <w:rFonts w:ascii="Times New Roman" w:hAnsi="Times New Roman" w:cs="Times New Roman"/>
          <w:sz w:val="22"/>
          <w:szCs w:val="22"/>
          <w:lang w:val="ru-RU"/>
        </w:rPr>
        <w:t xml:space="preserve"> У последње две године скоро 90% укупних страних улагања долази из ЕУ.</w:t>
      </w:r>
    </w:p>
    <w:p w:rsidR="007123ED" w:rsidRPr="00A22AE4" w:rsidRDefault="007123ED" w:rsidP="00A22AE4">
      <w:pPr>
        <w:pStyle w:val="stil1tekst"/>
        <w:spacing w:after="120"/>
        <w:ind w:left="0" w:right="50"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CA3ECF">
        <w:rPr>
          <w:rFonts w:ascii="Times New Roman" w:hAnsi="Times New Roman" w:cs="Times New Roman"/>
          <w:sz w:val="22"/>
          <w:szCs w:val="22"/>
          <w:lang w:val="ru-RU"/>
        </w:rPr>
        <w:t>Чланство у Европској унији створило би окружење за бржи и стабилнији развој, допринело макроекономској стабилности и повећању прилива инвестиција, омогућило повећање животног стандарда и социјалне сигурности грађана и дало подстрек развоју конкурентне привреде утемељене на знању. Истовремено, ступање у чланство Европске уније би се позитивно одразило на кредитни рејтинг Србије.</w:t>
      </w:r>
    </w:p>
    <w:p w:rsidR="007123ED" w:rsidRPr="00A22AE4" w:rsidRDefault="007123ED" w:rsidP="00A22AE4">
      <w:pPr>
        <w:pStyle w:val="stil1tekst"/>
        <w:spacing w:after="120"/>
        <w:ind w:left="0" w:right="50"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CA3ECF">
        <w:rPr>
          <w:rFonts w:ascii="Times New Roman" w:hAnsi="Times New Roman" w:cs="Times New Roman"/>
          <w:sz w:val="22"/>
          <w:szCs w:val="22"/>
          <w:lang w:val="ru-RU"/>
        </w:rPr>
        <w:t>У оквиру процеса приступања, један од најважнијих циљева привредне политике Републике Србије је, између осталог, и јачање конкурентности српске привреде, ради побољшања способности да издржи притисак конкуренције и тржишних снага у Европској унији. С тим у вези, исход преговора би требало да осигура услове за стабилно финансијско и макроекономско окружење, конкурентну тржишну привреду, оснажене индустријске и пољопривредне секторе, као и образовану и прилагодљиву радну снагу.</w:t>
      </w:r>
    </w:p>
    <w:p w:rsidR="007123ED" w:rsidRPr="00A22AE4" w:rsidRDefault="007123ED" w:rsidP="00A22AE4">
      <w:pPr>
        <w:pStyle w:val="stil1tekst"/>
        <w:spacing w:after="120"/>
        <w:ind w:left="0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:rsidR="007123ED" w:rsidRPr="00A22AE4" w:rsidRDefault="007123ED" w:rsidP="00E2535E">
      <w:pPr>
        <w:pStyle w:val="stil1tekst"/>
        <w:spacing w:after="120"/>
        <w:ind w:left="0" w:right="72" w:firstLine="720"/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 w:rsidRPr="00CA3ECF">
        <w:rPr>
          <w:rFonts w:ascii="Times New Roman" w:hAnsi="Times New Roman" w:cs="Times New Roman"/>
          <w:b/>
          <w:bCs/>
          <w:sz w:val="22"/>
          <w:szCs w:val="22"/>
          <w:u w:val="single"/>
        </w:rPr>
        <w:t>IV</w:t>
      </w:r>
      <w:r w:rsidRPr="00CA3ECF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 xml:space="preserve"> Основна питања о којима ће се водити преговори, битни елементи које уговор треба да садржи и предлог ставова делегације Републике Србије у вези са тим питањима</w:t>
      </w:r>
    </w:p>
    <w:p w:rsidR="007123ED" w:rsidRPr="00A22AE4" w:rsidRDefault="007123ED" w:rsidP="00A22A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hr-HR" w:eastAsia="de-DE"/>
        </w:rPr>
      </w:pPr>
      <w:r w:rsidRPr="00CA3ECF">
        <w:rPr>
          <w:rFonts w:ascii="Times New Roman" w:hAnsi="Times New Roman" w:cs="Times New Roman"/>
          <w:color w:val="000000"/>
          <w:lang w:val="hr-HR" w:eastAsia="de-DE"/>
        </w:rPr>
        <w:t>Србија у потпуности уважава чињеницу да важећ</w:t>
      </w:r>
      <w:r w:rsidRPr="00E97419">
        <w:rPr>
          <w:rFonts w:ascii="Times New Roman" w:hAnsi="Times New Roman" w:cs="Times New Roman"/>
          <w:color w:val="000000"/>
          <w:lang w:val="ru-RU" w:eastAsia="de-DE"/>
        </w:rPr>
        <w:t>е</w:t>
      </w:r>
      <w:r w:rsidRPr="00CA3ECF">
        <w:rPr>
          <w:rFonts w:ascii="Times New Roman" w:hAnsi="Times New Roman" w:cs="Times New Roman"/>
          <w:color w:val="000000"/>
          <w:lang w:val="hr-HR" w:eastAsia="de-DE"/>
        </w:rPr>
        <w:t xml:space="preserve"> правн</w:t>
      </w:r>
      <w:r w:rsidRPr="00E97419">
        <w:rPr>
          <w:rFonts w:ascii="Times New Roman" w:hAnsi="Times New Roman" w:cs="Times New Roman"/>
          <w:color w:val="000000"/>
          <w:lang w:val="ru-RU" w:eastAsia="de-DE"/>
        </w:rPr>
        <w:t>е</w:t>
      </w:r>
      <w:r w:rsidRPr="00CA3ECF">
        <w:rPr>
          <w:rFonts w:ascii="Times New Roman" w:hAnsi="Times New Roman" w:cs="Times New Roman"/>
          <w:color w:val="000000"/>
          <w:lang w:val="hr-HR" w:eastAsia="de-DE"/>
        </w:rPr>
        <w:t xml:space="preserve"> тековин</w:t>
      </w:r>
      <w:r w:rsidRPr="00E97419">
        <w:rPr>
          <w:rFonts w:ascii="Times New Roman" w:hAnsi="Times New Roman" w:cs="Times New Roman"/>
          <w:color w:val="000000"/>
          <w:lang w:val="ru-RU" w:eastAsia="de-DE"/>
        </w:rPr>
        <w:t>е</w:t>
      </w:r>
      <w:r w:rsidRPr="00CA3ECF">
        <w:rPr>
          <w:rFonts w:ascii="Times New Roman" w:hAnsi="Times New Roman" w:cs="Times New Roman"/>
          <w:color w:val="000000"/>
          <w:lang w:val="hr-HR" w:eastAsia="de-DE"/>
        </w:rPr>
        <w:t xml:space="preserve"> ЕУ представља</w:t>
      </w:r>
      <w:r w:rsidRPr="00E97419">
        <w:rPr>
          <w:rFonts w:ascii="Times New Roman" w:hAnsi="Times New Roman" w:cs="Times New Roman"/>
          <w:color w:val="000000"/>
          <w:lang w:val="ru-RU" w:eastAsia="de-DE"/>
        </w:rPr>
        <w:t>ју</w:t>
      </w:r>
      <w:r w:rsidRPr="00CA3ECF">
        <w:rPr>
          <w:rFonts w:ascii="Times New Roman" w:hAnsi="Times New Roman" w:cs="Times New Roman"/>
          <w:color w:val="000000"/>
          <w:lang w:val="hr-HR" w:eastAsia="de-DE"/>
        </w:rPr>
        <w:t xml:space="preserve"> основ за преговоре, и, истовремено, прихвата права и обавезе које проистичу из правн</w:t>
      </w:r>
      <w:r w:rsidRPr="00E97419">
        <w:rPr>
          <w:rFonts w:ascii="Times New Roman" w:hAnsi="Times New Roman" w:cs="Times New Roman"/>
          <w:color w:val="000000"/>
          <w:lang w:val="ru-RU" w:eastAsia="de-DE"/>
        </w:rPr>
        <w:t>их</w:t>
      </w:r>
      <w:r w:rsidRPr="00CA3ECF">
        <w:rPr>
          <w:rFonts w:ascii="Times New Roman" w:hAnsi="Times New Roman" w:cs="Times New Roman"/>
          <w:color w:val="000000"/>
          <w:lang w:val="hr-HR" w:eastAsia="de-DE"/>
        </w:rPr>
        <w:t xml:space="preserve"> тековин</w:t>
      </w:r>
      <w:r w:rsidRPr="00E97419">
        <w:rPr>
          <w:rFonts w:ascii="Times New Roman" w:hAnsi="Times New Roman" w:cs="Times New Roman"/>
          <w:color w:val="000000"/>
          <w:lang w:val="ru-RU" w:eastAsia="de-DE"/>
        </w:rPr>
        <w:t>а</w:t>
      </w:r>
      <w:r w:rsidRPr="00CA3ECF">
        <w:rPr>
          <w:rFonts w:ascii="Times New Roman" w:hAnsi="Times New Roman" w:cs="Times New Roman"/>
          <w:color w:val="000000"/>
          <w:lang w:val="hr-HR" w:eastAsia="de-DE"/>
        </w:rPr>
        <w:t xml:space="preserve"> ЕУ и изражава намеру да успостави одговарајуће услове за преузимање свих обавеза и стицање права, као и за делотворну примену правне тековине ЕУ.</w:t>
      </w:r>
    </w:p>
    <w:p w:rsidR="007123ED" w:rsidRPr="00A22AE4" w:rsidRDefault="007123ED" w:rsidP="00A22A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 w:eastAsia="de-DE"/>
        </w:rPr>
      </w:pPr>
      <w:r w:rsidRPr="00CA3ECF">
        <w:rPr>
          <w:rFonts w:ascii="Times New Roman" w:hAnsi="Times New Roman" w:cs="Times New Roman"/>
          <w:color w:val="000000"/>
          <w:lang w:val="sr-Cyrl-CS" w:eastAsia="de-DE"/>
        </w:rPr>
        <w:t>Услов за ступање у чланство ЕУ је прихватање свих права и обавеза на којима се заснива ЕУ и инситуционални оквир који је чини. Правне тековине ЕУ (</w:t>
      </w:r>
      <w:r w:rsidRPr="00CA3ECF">
        <w:rPr>
          <w:rFonts w:ascii="Times New Roman" w:hAnsi="Times New Roman" w:cs="Times New Roman"/>
          <w:lang w:val="sr-Cyrl-CS" w:eastAsia="de-DE"/>
        </w:rPr>
        <w:t xml:space="preserve">примарно законодавство - оснивачки уговори, секундарно законодавство - уредбе, директиве, одлуке, препоруке и мишљења, остали акти (резолуције, изјаве, смернице, заједничке акције и др.) и други извори права, тј. принципи дефинисани у пресудама Суда правде ЕУ, општа правна начела, међународни уговори) </w:t>
      </w:r>
      <w:r w:rsidRPr="00CA3ECF">
        <w:rPr>
          <w:rFonts w:ascii="Times New Roman" w:hAnsi="Times New Roman" w:cs="Times New Roman"/>
          <w:color w:val="000000"/>
          <w:lang w:val="sr-Cyrl-CS" w:eastAsia="de-DE"/>
        </w:rPr>
        <w:t xml:space="preserve">су подељене у 35 преговарачких поглавља. С обзиром да се </w:t>
      </w:r>
      <w:r w:rsidRPr="00CA3ECF">
        <w:rPr>
          <w:rFonts w:ascii="Times New Roman" w:hAnsi="Times New Roman" w:cs="Times New Roman"/>
          <w:color w:val="000000"/>
          <w:lang w:val="sr-Cyrl-CS" w:eastAsia="de-DE"/>
        </w:rPr>
        <w:lastRenderedPageBreak/>
        <w:t xml:space="preserve">преговори не воде у правом смислу речи, </w:t>
      </w:r>
      <w:r w:rsidRPr="00CA3ECF">
        <w:rPr>
          <w:rFonts w:ascii="Times New Roman" w:hAnsi="Times New Roman" w:cs="Times New Roman"/>
          <w:lang w:val="sr-Cyrl-CS" w:eastAsia="de-DE"/>
        </w:rPr>
        <w:t xml:space="preserve">дакле, не преговара се суштина правних тековина ЕУ, мора се истаћи да држава кандидат прихвата правне тековине ЕУ у постојећем облику и прилагођава се правном, економском и друштвеном систему ЕУ, а преговарају се услови и модалитети приступања државе кандидата том систему. </w:t>
      </w:r>
    </w:p>
    <w:p w:rsidR="007123ED" w:rsidRPr="00A22AE4" w:rsidRDefault="007123ED" w:rsidP="00A22A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hr-HR" w:eastAsia="de-DE"/>
        </w:rPr>
      </w:pPr>
      <w:r w:rsidRPr="00CA3ECF">
        <w:rPr>
          <w:rFonts w:ascii="Times New Roman" w:hAnsi="Times New Roman" w:cs="Times New Roman"/>
          <w:color w:val="000000"/>
          <w:lang w:val="hr-HR" w:eastAsia="de-DE"/>
        </w:rPr>
        <w:t xml:space="preserve">У оквиру преговора одређене области ће бити од посебног значаја узимајући у обзир обим законодавства ЕУ, као и спецфичности постојећег домаћег законодавства. Током преговoра биће затражени </w:t>
      </w:r>
      <w:r w:rsidRPr="00CA3ECF">
        <w:rPr>
          <w:rFonts w:ascii="Times New Roman" w:hAnsi="Times New Roman" w:cs="Times New Roman"/>
          <w:b/>
          <w:bCs/>
          <w:color w:val="000000"/>
          <w:lang w:val="hr-HR" w:eastAsia="de-DE"/>
        </w:rPr>
        <w:t xml:space="preserve">прелазни рокови </w:t>
      </w:r>
      <w:r w:rsidRPr="00CA3ECF">
        <w:rPr>
          <w:rFonts w:ascii="Times New Roman" w:hAnsi="Times New Roman" w:cs="Times New Roman"/>
          <w:b/>
          <w:bCs/>
          <w:color w:val="000000"/>
          <w:lang w:val="ru-RU" w:eastAsia="de-DE"/>
        </w:rPr>
        <w:t>или изузећа од примене</w:t>
      </w:r>
      <w:r w:rsidRPr="00CA3ECF">
        <w:rPr>
          <w:rFonts w:ascii="Times New Roman" w:hAnsi="Times New Roman" w:cs="Times New Roman"/>
          <w:color w:val="000000"/>
          <w:lang w:val="ru-RU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val="hr-HR" w:eastAsia="de-DE"/>
        </w:rPr>
        <w:t>за оне области у којима, у тренутку приступања Европској унији, неће постојати довољан ниво припремљености за њихово потпуно усклађивање и примену. Наведени прелазни рокови</w:t>
      </w:r>
      <w:r w:rsidRPr="00CA3ECF">
        <w:rPr>
          <w:rFonts w:ascii="Times New Roman" w:hAnsi="Times New Roman" w:cs="Times New Roman"/>
          <w:b/>
          <w:bCs/>
          <w:color w:val="000000"/>
          <w:lang w:val="ru-RU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val="ru-RU" w:eastAsia="de-DE"/>
        </w:rPr>
        <w:t>или изузећа од примене</w:t>
      </w:r>
      <w:r w:rsidRPr="00CA3ECF">
        <w:rPr>
          <w:rFonts w:ascii="Times New Roman" w:hAnsi="Times New Roman" w:cs="Times New Roman"/>
          <w:color w:val="000000"/>
          <w:lang w:val="hr-HR" w:eastAsia="de-DE"/>
        </w:rPr>
        <w:t xml:space="preserve"> ће бити ограничени у погледу трајања и обима и</w:t>
      </w:r>
      <w:r w:rsidRPr="00E97419">
        <w:rPr>
          <w:rFonts w:ascii="Times New Roman" w:hAnsi="Times New Roman" w:cs="Times New Roman"/>
          <w:color w:val="000000"/>
          <w:lang w:val="hr-HR" w:eastAsia="de-DE"/>
        </w:rPr>
        <w:t xml:space="preserve"> биће</w:t>
      </w:r>
      <w:r w:rsidRPr="00CA3ECF">
        <w:rPr>
          <w:rFonts w:ascii="Times New Roman" w:hAnsi="Times New Roman" w:cs="Times New Roman"/>
          <w:color w:val="000000"/>
          <w:lang w:val="hr-HR" w:eastAsia="de-DE"/>
        </w:rPr>
        <w:t xml:space="preserve"> праћени планом са прецизно дефинисаним корацима до њихове пуне примене</w:t>
      </w:r>
      <w:r w:rsidRPr="00CA3ECF">
        <w:rPr>
          <w:rFonts w:ascii="Times New Roman" w:hAnsi="Times New Roman" w:cs="Times New Roman"/>
          <w:color w:val="000000"/>
          <w:lang w:val="ru-RU" w:eastAsia="de-DE"/>
        </w:rPr>
        <w:t>, као и предвиђеним средствима неопходним за достизање пуне примене правних тековина ЕУ</w:t>
      </w:r>
      <w:r w:rsidRPr="00CA3ECF">
        <w:rPr>
          <w:rFonts w:ascii="Times New Roman" w:hAnsi="Times New Roman" w:cs="Times New Roman"/>
          <w:color w:val="000000"/>
          <w:lang w:val="hr-HR" w:eastAsia="de-DE"/>
        </w:rPr>
        <w:t xml:space="preserve">. 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t>Прелазни периоди представљају додатне временске периоде за потпуно усклађивање националног законодавства са правним тековинама Европске уније у одређеном подручју и након приступања Европској унији. Затражени прелазни периоди морају бити временски и садржајно ограничени и не смеју нарушавати слободно тржиште или утицати на деловање унутрашњег тржишта Уније. Прелазни периоди за примену правних тековина могу бити договорени и у интересу Европске уније, на пример: прелазни периоди за слободно кретање радника држављана нове чланице у период</w:t>
      </w:r>
      <w:r>
        <w:rPr>
          <w:rFonts w:ascii="Times New Roman" w:hAnsi="Times New Roman" w:cs="Times New Roman"/>
          <w:lang w:val="sr-Cyrl-CS"/>
        </w:rPr>
        <w:t>у</w:t>
      </w:r>
      <w:r w:rsidRPr="00CA3ECF">
        <w:rPr>
          <w:rFonts w:ascii="Times New Roman" w:hAnsi="Times New Roman" w:cs="Times New Roman"/>
          <w:lang w:val="ru-RU"/>
        </w:rPr>
        <w:t xml:space="preserve"> од неколико година након ступања у чланство (принцип 2+3+2 године).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t>Питања о којима ће бити вођени преговори, груписана су у 35 преговарачких поглавља: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СЛОБОДА КРЕТАЊА  РОБА;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webHidden/>
        </w:rPr>
      </w:pPr>
      <w:r w:rsidRPr="00CA3ECF">
        <w:rPr>
          <w:rFonts w:ascii="Times New Roman" w:hAnsi="Times New Roman" w:cs="Times New Roman"/>
        </w:rPr>
        <w:t>СЛОБОДА КРЕТАЊА РАДНИКА;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ПРАВО ПОСЛОВНОГ НАСТАЊИВАЊА И СЛОБОДА ПРУЖАЊА УСЛУГА;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СЛОБОДНО КРЕТАЊЕ КАПИТАЛА;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ЈАВНЕ НАБАВКЕ;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webHidden/>
        </w:rPr>
      </w:pPr>
      <w:r w:rsidRPr="00CA3ECF">
        <w:rPr>
          <w:rFonts w:ascii="Times New Roman" w:hAnsi="Times New Roman" w:cs="Times New Roman"/>
        </w:rPr>
        <w:t>ПРАВО ПРИВРЕДНИХ ДРУШТАВА;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ПРАВО ИНТЕЛЕКТУАЛНЕ СВОЈИНЕ;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ПОЛИТИКА КОНКУРЕНЦИЈЕ;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ФИНАНСИЈСКЕ УСЛУГЕ;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ИНФОРМАЦИОНО ДРУШТВО И МЕДИЈИ;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ПОЉОПРИВРЕДА И РУРАЛНИ РАЗВОЈ;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БЕЗБЕДНОСТ ХРАНЕ, ВЕТЕРИНАРСКА И ФИТОСАНИТАРНА  ПОЛИТИКА;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РИБАРСТВО;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webHidden/>
        </w:rPr>
      </w:pPr>
      <w:r w:rsidRPr="00CA3ECF">
        <w:rPr>
          <w:rFonts w:ascii="Times New Roman" w:hAnsi="Times New Roman" w:cs="Times New Roman"/>
        </w:rPr>
        <w:t>ТРАНСПОРТНА ПОЛИТИКА;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ЕНЕРГЕТИКА;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ОПОРЕЗИВАЊЕ;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ЕКОНОМСКА И МОНЕТАРНА ПОЛИТИКА;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СТАТИСТИКА;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СОЦИЈАЛНА ПОЛИТИКА И ЗАПОШЉАВАЊЕ;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webHidden/>
        </w:rPr>
      </w:pPr>
      <w:r w:rsidRPr="00CA3ECF">
        <w:rPr>
          <w:rFonts w:ascii="Times New Roman" w:hAnsi="Times New Roman" w:cs="Times New Roman"/>
        </w:rPr>
        <w:t>ПРЕДУЗЕТНИЧКА И ИНДУСТРИЈСКА ПОЛИТИКА;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ТРАНС-ЕВРОПСКЕ МРЕЖЕ;</w:t>
      </w:r>
    </w:p>
    <w:p w:rsidR="007123ED" w:rsidRDefault="007123ED">
      <w:pPr>
        <w:numPr>
          <w:ilvl w:val="0"/>
          <w:numId w:val="18"/>
        </w:numPr>
        <w:spacing w:after="12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lastRenderedPageBreak/>
        <w:t>РЕГИОНАЛНА ПОЛИ</w:t>
      </w:r>
      <w:r>
        <w:rPr>
          <w:rFonts w:ascii="Times New Roman" w:hAnsi="Times New Roman" w:cs="Times New Roman"/>
        </w:rPr>
        <w:t xml:space="preserve">ТИКА И КООРДИНАЦИЈА СТРУКТУРНИХ </w:t>
      </w:r>
      <w:r w:rsidRPr="00CA3ECF">
        <w:rPr>
          <w:rFonts w:ascii="Times New Roman" w:hAnsi="Times New Roman" w:cs="Times New Roman"/>
        </w:rPr>
        <w:t>ИНСТРУМЕНАТА;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ПРАВОСУЂЕ И ОСНОВНА ПРАВА;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ПРАВДА, СЛОБОДА И БЕЗБЕДНОСТ;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НАУКА И ИСТРАЖИВАЊЕ;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ОБРАЗОВАЊЕ И КУЛТУРА;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ЖИВОТНА СРЕДИНА;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webHidden/>
        </w:rPr>
      </w:pPr>
      <w:r w:rsidRPr="00CA3ECF">
        <w:rPr>
          <w:rFonts w:ascii="Times New Roman" w:hAnsi="Times New Roman" w:cs="Times New Roman"/>
        </w:rPr>
        <w:t xml:space="preserve">ЗДРАВСТВЕНА ЗАШТИТА И ЗАШТИТА ПОТРОШАЧА 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ЦАРИНСКА УНИЈА;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ЕКОНОМСКИ ОДНОСИ СА ИНОСТРАНСТВОМ;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СПОЉНА, БЕЗБЕДНОСНА И ОДБРАМБЕНА ПОЛИТИКА;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ФИНАНСИЈСКА КОНТРОЛА;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ФИНАНСИЈСКЕ И БУЏЕТСКЕ ОДРЕДБЕ;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ИНСТИТУЦИЈЕ;</w:t>
      </w:r>
    </w:p>
    <w:p w:rsidR="007123ED" w:rsidRPr="00A22AE4" w:rsidRDefault="007123ED" w:rsidP="00F4458B">
      <w:pPr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ОСТАЛА ПИТАЊА.</w:t>
      </w:r>
    </w:p>
    <w:p w:rsidR="007123ED" w:rsidRPr="00A22AE4" w:rsidRDefault="007123ED" w:rsidP="00A22AE4">
      <w:pPr>
        <w:pStyle w:val="ListParagraph"/>
        <w:tabs>
          <w:tab w:val="left" w:pos="993"/>
        </w:tabs>
        <w:spacing w:after="120" w:line="240" w:lineRule="auto"/>
        <w:ind w:left="0"/>
        <w:jc w:val="both"/>
        <w:rPr>
          <w:rFonts w:ascii="Times New Roman" w:hAnsi="Times New Roman" w:cs="Times New Roman"/>
          <w:noProof/>
          <w:lang w:val="sr-Cyrl-CS"/>
        </w:rPr>
      </w:pP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CA3ECF">
        <w:rPr>
          <w:rFonts w:ascii="Times New Roman" w:hAnsi="Times New Roman" w:cs="Times New Roman"/>
          <w:color w:val="000000"/>
          <w:lang w:val="sr-Cyrl-CS"/>
        </w:rPr>
        <w:t xml:space="preserve">Временски период у коме ће се вршити преговори у великој мери зависи од времена за које ће држава кандидат бити спремна да у потпуности поштује обавезе из чланства у ЕУ. Наведени временски период ће зависити и од спремности Европске уније за прихватање нове државе чланице. Евентуални прелазни периоди ће бити дефинисани у зависности од периода у коме ће држава кандидат бити унутрашње спремна за поштовање обавеза из чланства. У Мишљењу Европске комисије констатује се да је </w:t>
      </w:r>
      <w:r w:rsidRPr="00CA3ECF">
        <w:rPr>
          <w:rFonts w:ascii="Times New Roman" w:hAnsi="Times New Roman" w:cs="Times New Roman"/>
          <w:color w:val="000000"/>
          <w:lang w:val="ru-RU"/>
        </w:rPr>
        <w:t xml:space="preserve">Србија остварила </w:t>
      </w:r>
      <w:r w:rsidRPr="00CA3ECF">
        <w:rPr>
          <w:rFonts w:ascii="Times New Roman" w:hAnsi="Times New Roman" w:cs="Times New Roman"/>
          <w:color w:val="000000"/>
          <w:lang w:val="sr-Cyrl-CS"/>
        </w:rPr>
        <w:t>з</w:t>
      </w:r>
      <w:r w:rsidRPr="00CA3ECF">
        <w:rPr>
          <w:rFonts w:ascii="Times New Roman" w:hAnsi="Times New Roman" w:cs="Times New Roman"/>
          <w:color w:val="000000"/>
          <w:lang w:val="ru-RU"/>
        </w:rPr>
        <w:t>на</w:t>
      </w:r>
      <w:r w:rsidRPr="00CA3ECF">
        <w:rPr>
          <w:rFonts w:ascii="Times New Roman" w:hAnsi="Times New Roman" w:cs="Times New Roman"/>
          <w:color w:val="000000"/>
          <w:lang w:val="sr-Cyrl-CS"/>
        </w:rPr>
        <w:t>ч</w:t>
      </w:r>
      <w:r w:rsidRPr="00CA3ECF">
        <w:rPr>
          <w:rFonts w:ascii="Times New Roman" w:hAnsi="Times New Roman" w:cs="Times New Roman"/>
          <w:color w:val="000000"/>
          <w:lang w:val="ru-RU"/>
        </w:rPr>
        <w:t xml:space="preserve">ајан напредак у погледу </w:t>
      </w:r>
      <w:r w:rsidRPr="00CA3ECF">
        <w:rPr>
          <w:rFonts w:ascii="Times New Roman" w:hAnsi="Times New Roman" w:cs="Times New Roman"/>
          <w:color w:val="000000"/>
          <w:lang w:val="sr-Cyrl-CS"/>
        </w:rPr>
        <w:t>испуњавања</w:t>
      </w:r>
      <w:r w:rsidRPr="00CA3ECF">
        <w:rPr>
          <w:rFonts w:ascii="Times New Roman" w:hAnsi="Times New Roman" w:cs="Times New Roman"/>
          <w:color w:val="000000"/>
          <w:lang w:val="ru-RU"/>
        </w:rPr>
        <w:t xml:space="preserve"> полити</w:t>
      </w:r>
      <w:r w:rsidRPr="00CA3ECF">
        <w:rPr>
          <w:rFonts w:ascii="Times New Roman" w:hAnsi="Times New Roman" w:cs="Times New Roman"/>
          <w:color w:val="000000"/>
          <w:lang w:val="sr-Cyrl-CS"/>
        </w:rPr>
        <w:t>ч</w:t>
      </w:r>
      <w:r w:rsidRPr="00CA3ECF">
        <w:rPr>
          <w:rFonts w:ascii="Times New Roman" w:hAnsi="Times New Roman" w:cs="Times New Roman"/>
          <w:color w:val="000000"/>
          <w:lang w:val="ru-RU"/>
        </w:rPr>
        <w:t xml:space="preserve">ких </w:t>
      </w:r>
      <w:r w:rsidRPr="00CA3ECF">
        <w:rPr>
          <w:rFonts w:ascii="Times New Roman" w:hAnsi="Times New Roman" w:cs="Times New Roman"/>
          <w:color w:val="000000"/>
          <w:lang w:val="sr-Cyrl-CS"/>
        </w:rPr>
        <w:t>к</w:t>
      </w:r>
      <w:r w:rsidRPr="00CA3ECF">
        <w:rPr>
          <w:rFonts w:ascii="Times New Roman" w:hAnsi="Times New Roman" w:cs="Times New Roman"/>
          <w:color w:val="000000"/>
          <w:lang w:val="ru-RU"/>
        </w:rPr>
        <w:t>ритеријума</w:t>
      </w:r>
      <w:r w:rsidRPr="00CA3ECF">
        <w:rPr>
          <w:rFonts w:ascii="Times New Roman" w:hAnsi="Times New Roman" w:cs="Times New Roman"/>
          <w:color w:val="000000"/>
          <w:lang w:val="sr-Cyrl-CS"/>
        </w:rPr>
        <w:t xml:space="preserve"> који се односе на стабилност институција које гарантују демократију, владавину права, људска права и поштовање и заштиту права мањина, као и у погледу услова Процеса стабилизације и придруживања, оцењујући да је њен уставни, законодавни и институционални оквир генерално усклађен са европским и међународним стандардима. </w:t>
      </w:r>
      <w:r w:rsidRPr="00CA3ECF">
        <w:rPr>
          <w:rFonts w:ascii="Times New Roman" w:hAnsi="Times New Roman" w:cs="Times New Roman"/>
          <w:color w:val="000000"/>
          <w:lang w:val="sr-Cyrl-CS" w:eastAsia="de-DE"/>
        </w:rPr>
        <w:t xml:space="preserve">Комисија је оценила да ће Србија бити у позицији да преузме обавезе које произлазе из чланства у средњем року </w:t>
      </w:r>
      <w:r w:rsidRPr="00CA3ECF">
        <w:rPr>
          <w:rFonts w:ascii="Times New Roman" w:hAnsi="Times New Roman" w:cs="Times New Roman"/>
          <w:lang w:val="sr-Cyrl-CS" w:eastAsia="de-DE"/>
        </w:rPr>
        <w:t>(тј. у року од 5 година),</w:t>
      </w:r>
      <w:r w:rsidRPr="00CA3ECF">
        <w:rPr>
          <w:rFonts w:ascii="Times New Roman" w:hAnsi="Times New Roman" w:cs="Times New Roman"/>
          <w:color w:val="000000"/>
          <w:lang w:val="sr-Cyrl-CS" w:eastAsia="de-DE"/>
        </w:rPr>
        <w:t xml:space="preserve"> у готово свим областима </w:t>
      </w:r>
      <w:r w:rsidRPr="00CA3ECF">
        <w:rPr>
          <w:rFonts w:ascii="Times New Roman" w:hAnsi="Times New Roman" w:cs="Times New Roman"/>
          <w:noProof/>
          <w:lang w:val="sr-Cyrl-CS"/>
        </w:rPr>
        <w:t>правних тековина Европске уније</w:t>
      </w:r>
      <w:r w:rsidRPr="00CA3ECF">
        <w:rPr>
          <w:rFonts w:ascii="Times New Roman" w:hAnsi="Times New Roman" w:cs="Times New Roman"/>
          <w:i/>
          <w:iCs/>
          <w:color w:val="000000"/>
          <w:lang w:val="sr-Cyrl-CS" w:eastAsia="de-DE"/>
        </w:rPr>
        <w:t xml:space="preserve">, </w:t>
      </w:r>
      <w:r w:rsidRPr="00CA3ECF">
        <w:rPr>
          <w:rFonts w:ascii="Times New Roman" w:hAnsi="Times New Roman" w:cs="Times New Roman"/>
          <w:color w:val="000000"/>
          <w:lang w:val="sr-Cyrl-CS" w:eastAsia="de-DE"/>
        </w:rPr>
        <w:t xml:space="preserve">уколико процес усклађивања буде настављен заједно са даљим напорима у правцу осигурања примене законодавства.   </w:t>
      </w:r>
    </w:p>
    <w:p w:rsidR="007123ED" w:rsidRPr="00A22AE4" w:rsidRDefault="007123ED" w:rsidP="00E2535E">
      <w:pPr>
        <w:tabs>
          <w:tab w:val="left" w:pos="81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lang w:val="sr-Cyrl-CS"/>
        </w:rPr>
      </w:pPr>
      <w:r w:rsidRPr="00E97419">
        <w:rPr>
          <w:rFonts w:ascii="Times New Roman" w:hAnsi="Times New Roman" w:cs="Times New Roman"/>
          <w:b/>
          <w:bCs/>
          <w:noProof/>
          <w:lang w:val="sr-Cyrl-CS"/>
        </w:rPr>
        <w:tab/>
      </w:r>
      <w:r w:rsidRPr="00CA3ECF">
        <w:rPr>
          <w:rFonts w:ascii="Times New Roman" w:hAnsi="Times New Roman" w:cs="Times New Roman"/>
          <w:b/>
          <w:bCs/>
          <w:noProof/>
          <w:lang w:val="sr-Cyrl-CS"/>
        </w:rPr>
        <w:t>Република Србија ће морати да одреди циљани датум када ће према властитој процени бити унутрашње спремна за преношење највећег дела правних тековина Европске уније и њихово спровођење и примену. У односу на овако одређен датум одређиваће се и евентуални захтев</w:t>
      </w:r>
      <w:r>
        <w:rPr>
          <w:rFonts w:ascii="Times New Roman" w:hAnsi="Times New Roman" w:cs="Times New Roman"/>
          <w:b/>
          <w:bCs/>
          <w:noProof/>
          <w:lang w:val="sr-Cyrl-CS"/>
        </w:rPr>
        <w:t>и за прелазне периоде за усклађивање прописа са</w:t>
      </w:r>
      <w:r w:rsidRPr="00CA3ECF">
        <w:rPr>
          <w:rFonts w:ascii="Times New Roman" w:hAnsi="Times New Roman" w:cs="Times New Roman"/>
          <w:b/>
          <w:bCs/>
          <w:noProof/>
          <w:lang w:val="sr-Cyrl-CS"/>
        </w:rPr>
        <w:t xml:space="preserve"> појединих делова правних тековина ЕУ и њихову примену, а што ће бити предмет преговора.</w:t>
      </w:r>
    </w:p>
    <w:p w:rsidR="007123ED" w:rsidRPr="00A22AE4" w:rsidRDefault="007123ED" w:rsidP="00A22AE4">
      <w:pPr>
        <w:pStyle w:val="stil1tekst"/>
        <w:spacing w:after="120"/>
        <w:ind w:left="0" w:right="50"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CA3ECF">
        <w:rPr>
          <w:rFonts w:ascii="Times New Roman" w:hAnsi="Times New Roman" w:cs="Times New Roman"/>
          <w:sz w:val="22"/>
          <w:szCs w:val="22"/>
          <w:lang w:val="ru-RU"/>
        </w:rPr>
        <w:t xml:space="preserve">Процес преговора о приступању Републике Србије Европској унији ће бити предмет редовних јавних расправа, при чему ће посебну улогу имати привреда и цивилно друштво, чиме ће процес европских интеграција бити заједничко власништво свих грађана. </w:t>
      </w:r>
      <w:r w:rsidRPr="00CA3ECF">
        <w:rPr>
          <w:rFonts w:ascii="Times New Roman" w:hAnsi="Times New Roman" w:cs="Times New Roman"/>
          <w:color w:val="000000"/>
          <w:sz w:val="22"/>
          <w:szCs w:val="22"/>
          <w:lang w:val="ru-RU" w:eastAsia="de-DE"/>
        </w:rPr>
        <w:t>После потписивања, Уговор о приступању мора проћи процес ратификације у државама чланицама, а у држави која приступа ЕУ се у складу са домаћим уставним и законским решењима може организовати референдум о чланству на ком би грађани донели коначну одлуку о приступању ЕУ</w:t>
      </w:r>
      <w:r w:rsidRPr="00CA3ECF">
        <w:rPr>
          <w:rFonts w:ascii="Times New Roman" w:hAnsi="Times New Roman" w:cs="Times New Roman"/>
          <w:sz w:val="22"/>
          <w:szCs w:val="22"/>
          <w:lang w:val="ru-RU" w:eastAsia="de-DE"/>
        </w:rPr>
        <w:t>, мада је било примера држава које нису одржале референдум о чланству ЕУ</w:t>
      </w:r>
      <w:r w:rsidRPr="00CA3E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A3ECF">
        <w:rPr>
          <w:rFonts w:ascii="Times New Roman" w:hAnsi="Times New Roman" w:cs="Times New Roman"/>
          <w:color w:val="000000"/>
          <w:sz w:val="22"/>
          <w:szCs w:val="22"/>
          <w:lang w:val="ru-RU" w:eastAsia="de-DE"/>
        </w:rPr>
        <w:t xml:space="preserve">(Бугарска, Румунија, Кипар). </w:t>
      </w: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noProof/>
          <w:lang w:val="sr-Cyrl-CS"/>
        </w:rPr>
      </w:pP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i/>
          <w:iCs/>
          <w:lang w:val="sr-Latn-CS"/>
        </w:rPr>
      </w:pPr>
      <w:r>
        <w:rPr>
          <w:rFonts w:ascii="Times New Roman" w:hAnsi="Times New Roman" w:cs="Times New Roman"/>
          <w:i/>
          <w:iCs/>
          <w:lang w:val="sr-Latn-CS"/>
        </w:rPr>
        <w:tab/>
      </w:r>
      <w:r w:rsidRPr="00CA3ECF">
        <w:rPr>
          <w:rFonts w:ascii="Times New Roman" w:hAnsi="Times New Roman" w:cs="Times New Roman"/>
          <w:i/>
          <w:iCs/>
          <w:lang w:val="sr-Latn-CS"/>
        </w:rPr>
        <w:t>Фазе у процесу преговора</w:t>
      </w:r>
    </w:p>
    <w:p w:rsidR="007123ED" w:rsidRPr="00A22AE4" w:rsidRDefault="007123ED" w:rsidP="00DA5B4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CA3ECF">
        <w:rPr>
          <w:rFonts w:ascii="Times New Roman" w:hAnsi="Times New Roman" w:cs="Times New Roman"/>
          <w:color w:val="000000"/>
          <w:lang w:val="sr-Latn-CS" w:eastAsia="de-DE"/>
        </w:rPr>
        <w:lastRenderedPageBreak/>
        <w:t>Након политичке одлуке Европског савета да земља кандидат може да почне са преговорима за улазак, ЕУ усваја преговарачки оквир (</w:t>
      </w:r>
      <w:r w:rsidRPr="00CA3ECF">
        <w:rPr>
          <w:rFonts w:ascii="Times New Roman" w:hAnsi="Times New Roman" w:cs="Times New Roman"/>
          <w:lang w:val="sr-Latn-CS" w:eastAsia="de-DE"/>
        </w:rPr>
        <w:t xml:space="preserve">енг. </w:t>
      </w:r>
      <w:r w:rsidRPr="00CA3ECF">
        <w:rPr>
          <w:rFonts w:ascii="Times New Roman" w:hAnsi="Times New Roman" w:cs="Times New Roman"/>
          <w:i/>
          <w:iCs/>
          <w:lang w:val="sr-Latn-CS" w:eastAsia="de-DE"/>
        </w:rPr>
        <w:t>Negotiating Framework</w:t>
      </w:r>
      <w:r w:rsidRPr="00CA3ECF">
        <w:rPr>
          <w:rFonts w:ascii="Times New Roman" w:hAnsi="Times New Roman" w:cs="Times New Roman"/>
          <w:lang w:val="sr-Latn-CS" w:eastAsia="de-DE"/>
        </w:rPr>
        <w:t>). Реч је о документу ЕУ који одре</w:t>
      </w:r>
      <w:r w:rsidRPr="00CA3ECF">
        <w:rPr>
          <w:rFonts w:ascii="Times New Roman" w:hAnsi="Times New Roman" w:cs="Times New Roman"/>
          <w:lang w:eastAsia="de-DE"/>
        </w:rPr>
        <w:t>ђ</w:t>
      </w:r>
      <w:r w:rsidRPr="00CA3ECF">
        <w:rPr>
          <w:rFonts w:ascii="Times New Roman" w:hAnsi="Times New Roman" w:cs="Times New Roman"/>
          <w:lang w:val="sr-Latn-CS" w:eastAsia="de-DE"/>
        </w:rPr>
        <w:t>ује принципе, суштину и поступке за вођење преговора. На бази тог документа сазива се први састанак међувладине конференције, што представља формални почетак преговора. На том састанку</w:t>
      </w:r>
      <w:r w:rsidRPr="00E97419">
        <w:rPr>
          <w:rFonts w:ascii="Times New Roman" w:hAnsi="Times New Roman" w:cs="Times New Roman"/>
          <w:lang w:val="sr-Latn-CS" w:eastAsia="de-DE"/>
        </w:rPr>
        <w:t>,</w:t>
      </w:r>
      <w:r w:rsidRPr="00CA3ECF">
        <w:rPr>
          <w:rFonts w:ascii="Times New Roman" w:hAnsi="Times New Roman" w:cs="Times New Roman"/>
          <w:lang w:val="sr-Latn-CS" w:eastAsia="de-DE"/>
        </w:rPr>
        <w:t xml:space="preserve"> ЕУ и држава кандидат представљају своја очекивања у вези </w:t>
      </w:r>
      <w:r>
        <w:rPr>
          <w:rFonts w:ascii="Times New Roman" w:hAnsi="Times New Roman" w:cs="Times New Roman"/>
          <w:lang w:val="sr-Cyrl-CS" w:eastAsia="de-DE"/>
        </w:rPr>
        <w:t xml:space="preserve">са </w:t>
      </w:r>
      <w:r w:rsidRPr="00CA3ECF">
        <w:rPr>
          <w:rFonts w:ascii="Times New Roman" w:hAnsi="Times New Roman" w:cs="Times New Roman"/>
          <w:lang w:val="sr-Latn-CS" w:eastAsia="de-DE"/>
        </w:rPr>
        <w:t>преговор</w:t>
      </w:r>
      <w:r>
        <w:rPr>
          <w:rFonts w:ascii="Times New Roman" w:hAnsi="Times New Roman" w:cs="Times New Roman"/>
          <w:lang w:val="sr-Cyrl-CS" w:eastAsia="de-DE"/>
        </w:rPr>
        <w:t>има</w:t>
      </w:r>
      <w:r w:rsidRPr="00CA3ECF">
        <w:rPr>
          <w:rFonts w:ascii="Times New Roman" w:hAnsi="Times New Roman" w:cs="Times New Roman"/>
          <w:lang w:val="sr-Latn-CS" w:eastAsia="de-DE"/>
        </w:rPr>
        <w:t xml:space="preserve"> који предстоје. Преговори ће се формално одвијати у облику састанака поменуте међувладине конференције, 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при чему ће се по правилу одржавати барем један састанак свак</w:t>
      </w:r>
      <w:r w:rsidRPr="00CA3ECF">
        <w:rPr>
          <w:rFonts w:ascii="Times New Roman" w:hAnsi="Times New Roman" w:cs="Times New Roman"/>
          <w:color w:val="000000"/>
          <w:lang w:eastAsia="de-DE"/>
        </w:rPr>
        <w:t>их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пола године на министарском нивоу и по један састанак на нивоу заменика (шефа Преговарачког тима). Фреквенција ових састанака може се прилагођавати динамици стварних потреба преговора. </w:t>
      </w:r>
      <w:r w:rsidRPr="00CA3ECF">
        <w:rPr>
          <w:rFonts w:ascii="Times New Roman" w:hAnsi="Times New Roman" w:cs="Times New Roman"/>
          <w:lang w:val="sr-Latn-CS" w:eastAsia="de-DE"/>
        </w:rPr>
        <w:t xml:space="preserve">    </w:t>
      </w:r>
    </w:p>
    <w:p w:rsidR="007123ED" w:rsidRPr="00A22AE4" w:rsidRDefault="007123ED" w:rsidP="00DA5B4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lang w:val="sr-Latn-CS" w:eastAsia="de-DE"/>
        </w:rPr>
      </w:pPr>
      <w:r w:rsidRPr="00CA3ECF">
        <w:rPr>
          <w:rFonts w:ascii="Times New Roman" w:hAnsi="Times New Roman" w:cs="Times New Roman"/>
          <w:lang w:val="sr-Latn-CS" w:eastAsia="de-DE"/>
        </w:rPr>
        <w:t xml:space="preserve">После формалног отварања преговора почиње фаза аналитичког прегледа законодавства (тј. </w:t>
      </w:r>
      <w:r w:rsidRPr="00CA3ECF">
        <w:rPr>
          <w:rFonts w:ascii="Times New Roman" w:hAnsi="Times New Roman" w:cs="Times New Roman"/>
          <w:b/>
          <w:bCs/>
          <w:lang w:val="sr-Latn-CS" w:eastAsia="de-DE"/>
        </w:rPr>
        <w:t xml:space="preserve">скрининга, енг. </w:t>
      </w:r>
      <w:r w:rsidRPr="00CA3ECF">
        <w:rPr>
          <w:rFonts w:ascii="Times New Roman" w:hAnsi="Times New Roman" w:cs="Times New Roman"/>
          <w:b/>
          <w:bCs/>
          <w:i/>
          <w:iCs/>
          <w:lang w:val="sr-Latn-CS" w:eastAsia="de-DE"/>
        </w:rPr>
        <w:t>screening</w:t>
      </w:r>
      <w:r w:rsidRPr="00CA3ECF">
        <w:rPr>
          <w:rFonts w:ascii="Times New Roman" w:hAnsi="Times New Roman" w:cs="Times New Roman"/>
          <w:b/>
          <w:bCs/>
          <w:lang w:val="sr-Latn-CS" w:eastAsia="de-DE"/>
        </w:rPr>
        <w:t>)</w:t>
      </w:r>
      <w:r w:rsidRPr="00CA3ECF">
        <w:rPr>
          <w:rFonts w:ascii="Times New Roman" w:hAnsi="Times New Roman" w:cs="Times New Roman"/>
          <w:lang w:val="sr-Latn-CS" w:eastAsia="de-DE"/>
        </w:rPr>
        <w:t xml:space="preserve">, која представља фазу провере и оцене у којој мери је законодавство државе кандидата усклађено са правним тековинама ЕУ. Процес скрининга се обавља за свако преговарачко поглавље. </w:t>
      </w:r>
      <w:r>
        <w:rPr>
          <w:rFonts w:ascii="Times New Roman" w:hAnsi="Times New Roman" w:cs="Times New Roman"/>
          <w:lang w:val="sr-Cyrl-CS" w:eastAsia="de-DE"/>
        </w:rPr>
        <w:t>К</w:t>
      </w:r>
      <w:r w:rsidRPr="00CA3ECF">
        <w:rPr>
          <w:rFonts w:ascii="Times New Roman" w:hAnsi="Times New Roman" w:cs="Times New Roman"/>
          <w:lang w:val="sr-Latn-CS" w:eastAsia="de-DE"/>
        </w:rPr>
        <w:t xml:space="preserve">ао у случају Црне Горе, </w:t>
      </w:r>
      <w:r>
        <w:rPr>
          <w:rFonts w:ascii="Times New Roman" w:hAnsi="Times New Roman" w:cs="Times New Roman"/>
          <w:lang w:val="sr-Cyrl-CS" w:eastAsia="de-DE"/>
        </w:rPr>
        <w:t>и Србија почиње преговоре</w:t>
      </w:r>
      <w:r w:rsidRPr="00CA3ECF">
        <w:rPr>
          <w:rFonts w:ascii="Times New Roman" w:hAnsi="Times New Roman" w:cs="Times New Roman"/>
          <w:lang w:val="sr-Latn-CS" w:eastAsia="de-DE"/>
        </w:rPr>
        <w:t>скрининг</w:t>
      </w:r>
      <w:r>
        <w:rPr>
          <w:rFonts w:ascii="Times New Roman" w:hAnsi="Times New Roman" w:cs="Times New Roman"/>
          <w:lang w:val="sr-Cyrl-CS" w:eastAsia="de-DE"/>
        </w:rPr>
        <w:t>ом</w:t>
      </w:r>
      <w:r w:rsidRPr="00CA3ECF">
        <w:rPr>
          <w:rFonts w:ascii="Times New Roman" w:hAnsi="Times New Roman" w:cs="Times New Roman"/>
          <w:lang w:val="sr-Latn-CS" w:eastAsia="de-DE"/>
        </w:rPr>
        <w:t xml:space="preserve"> за поглавља 23 (Правосуђе и основна права) и 24 (Правда, слобода и безбедност) и пре</w:t>
      </w:r>
      <w:r w:rsidRPr="00E97419">
        <w:rPr>
          <w:rFonts w:ascii="Times New Roman" w:hAnsi="Times New Roman" w:cs="Times New Roman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lang w:eastAsia="de-DE"/>
        </w:rPr>
        <w:t>одржавања</w:t>
      </w:r>
      <w:r w:rsidRPr="00CA3ECF">
        <w:rPr>
          <w:rFonts w:ascii="Times New Roman" w:hAnsi="Times New Roman" w:cs="Times New Roman"/>
          <w:lang w:val="sr-Latn-CS" w:eastAsia="de-DE"/>
        </w:rPr>
        <w:t xml:space="preserve"> првог састанка међувладине конференције. </w:t>
      </w:r>
    </w:p>
    <w:p w:rsidR="007123ED" w:rsidRPr="00A22AE4" w:rsidRDefault="007123ED" w:rsidP="00A22A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У првој фази процеса скрининга Европска комисија представља правне тековине ЕУ подељене у преговарачка поглавља </w:t>
      </w:r>
      <w:r w:rsidRPr="00CA3ECF">
        <w:rPr>
          <w:rFonts w:ascii="Times New Roman" w:hAnsi="Times New Roman" w:cs="Times New Roman"/>
          <w:i/>
          <w:iCs/>
          <w:color w:val="000000"/>
          <w:lang w:val="sr-Latn-CS" w:eastAsia="de-DE"/>
        </w:rPr>
        <w:t>(</w:t>
      </w:r>
      <w:r w:rsidRPr="00CA3ECF">
        <w:rPr>
          <w:rFonts w:ascii="Times New Roman" w:hAnsi="Times New Roman" w:cs="Times New Roman"/>
          <w:color w:val="000000"/>
          <w:lang w:eastAsia="de-DE"/>
        </w:rPr>
        <w:t>енг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CA3ECF">
        <w:rPr>
          <w:rFonts w:ascii="Times New Roman" w:hAnsi="Times New Roman" w:cs="Times New Roman"/>
          <w:i/>
          <w:iCs/>
          <w:color w:val="000000"/>
          <w:lang w:val="sr-Latn-CS" w:eastAsia="de-DE"/>
        </w:rPr>
        <w:t>explanatory screening).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У следећој фази (</w:t>
      </w:r>
      <w:r w:rsidRPr="00CA3ECF">
        <w:rPr>
          <w:rFonts w:ascii="Times New Roman" w:hAnsi="Times New Roman" w:cs="Times New Roman"/>
          <w:color w:val="000000"/>
          <w:lang w:eastAsia="de-DE"/>
        </w:rPr>
        <w:t>енг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CA3ECF">
        <w:rPr>
          <w:rFonts w:ascii="Times New Roman" w:hAnsi="Times New Roman" w:cs="Times New Roman"/>
          <w:i/>
          <w:iCs/>
          <w:color w:val="000000"/>
          <w:lang w:val="sr-Latn-CS" w:eastAsia="de-DE"/>
        </w:rPr>
        <w:t>bilateral screening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) држава кандидат представља своје законодавство, даје своје оцене усклађености њених прописа са правним тековинама ЕУ, као и планове за постизање потпуне усаглашености. Дужина </w:t>
      </w:r>
      <w:r w:rsidRPr="00CA3ECF">
        <w:rPr>
          <w:rFonts w:ascii="Times New Roman" w:hAnsi="Times New Roman" w:cs="Times New Roman"/>
          <w:color w:val="000000"/>
          <w:lang w:eastAsia="de-DE"/>
        </w:rPr>
        <w:t>трајања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састанака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скрининга за поједина поглавља је различита и траје од најмање једног дана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, 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до читаве недеље за поједину фазу у неким поглављима. </w:t>
      </w:r>
      <w:r w:rsidRPr="00CA3ECF">
        <w:rPr>
          <w:rFonts w:ascii="Times New Roman" w:hAnsi="Times New Roman" w:cs="Times New Roman"/>
          <w:b/>
          <w:bCs/>
          <w:color w:val="000000"/>
          <w:lang w:val="sr-Latn-CS" w:eastAsia="de-DE"/>
        </w:rPr>
        <w:t>Читав процес скрининга траје око годину и по дана.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</w:p>
    <w:p w:rsidR="007123ED" w:rsidRPr="00A22AE4" w:rsidRDefault="007123ED" w:rsidP="00A22A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CA3ECF">
        <w:rPr>
          <w:rFonts w:ascii="Times New Roman" w:hAnsi="Times New Roman" w:cs="Times New Roman"/>
          <w:color w:val="000000"/>
          <w:lang w:val="sr-Latn-CS" w:eastAsia="de-DE"/>
        </w:rPr>
        <w:t>Циљ скрининга је да се уоче разлике између прописа државе кандидата и правних тековина ЕУ. Скрининг служи како Европској унији тако и држави кандидату као основа за утврђивање временског периода који ће јој бити потребан за ускла</w:t>
      </w:r>
      <w:r w:rsidRPr="00CA3ECF">
        <w:rPr>
          <w:rFonts w:ascii="Times New Roman" w:hAnsi="Times New Roman" w:cs="Times New Roman"/>
          <w:color w:val="000000"/>
          <w:lang w:eastAsia="de-DE"/>
        </w:rPr>
        <w:t>ђ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ивање националног законодавства са правним тековинама ЕУ. Скрининг представља и добру основу за израду преговарачких позиција државе кандидата, а нарочито оних где је потребно да се дефинишу прелазни рокови за усклађивање и спровођење одређеног броја прописа ЕУ, док је за Европску комисију то показатељ спремности државе кандидата за отварање појединих преговарачких поглавља. </w:t>
      </w:r>
    </w:p>
    <w:p w:rsidR="007123ED" w:rsidRPr="00A22AE4" w:rsidRDefault="007123ED" w:rsidP="00A22A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CA3ECF">
        <w:rPr>
          <w:rFonts w:ascii="Times New Roman" w:hAnsi="Times New Roman" w:cs="Times New Roman"/>
          <w:color w:val="000000"/>
          <w:lang w:val="sr-Latn-CS" w:eastAsia="de-DE"/>
        </w:rPr>
        <w:t>После обављеног скрининга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>,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за свако преговарачко поглавље Европска комисија израђује </w:t>
      </w:r>
      <w:r w:rsidRPr="00CA3ECF">
        <w:rPr>
          <w:rFonts w:ascii="Times New Roman" w:hAnsi="Times New Roman" w:cs="Times New Roman"/>
          <w:b/>
          <w:bCs/>
          <w:color w:val="000000"/>
          <w:lang w:val="sr-Latn-CS" w:eastAsia="de-DE"/>
        </w:rPr>
        <w:t>извештај о скринингу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. Код припреме овог извештаја користе се документи и информације дате од стране државе кандидата како на самом скринингу тако и после њега. Извештај садржи процену Европске комисије о достигнутом нивоу усаглашености правног поретка државе кандидата са правним тековинама ЕУ те ниво имплементације, као и процену у којој мери су планови за буду</w:t>
      </w:r>
      <w:r w:rsidRPr="00CA3ECF">
        <w:rPr>
          <w:rFonts w:ascii="Times New Roman" w:hAnsi="Times New Roman" w:cs="Times New Roman"/>
          <w:color w:val="000000"/>
          <w:lang w:eastAsia="de-DE"/>
        </w:rPr>
        <w:t>ћ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е ус</w:t>
      </w:r>
      <w:r w:rsidRPr="00CA3ECF">
        <w:rPr>
          <w:rFonts w:ascii="Times New Roman" w:hAnsi="Times New Roman" w:cs="Times New Roman"/>
          <w:color w:val="000000"/>
          <w:lang w:eastAsia="de-DE"/>
        </w:rPr>
        <w:t>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глашавање реални. </w:t>
      </w:r>
    </w:p>
    <w:p w:rsidR="007123ED" w:rsidRPr="00A22AE4" w:rsidRDefault="007123ED" w:rsidP="00A22A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На основи извештаја о скринингу Савет усваја </w:t>
      </w:r>
      <w:r w:rsidRPr="00CA3ECF">
        <w:rPr>
          <w:rFonts w:ascii="Times New Roman" w:hAnsi="Times New Roman" w:cs="Times New Roman"/>
          <w:color w:val="000000"/>
          <w:lang w:eastAsia="de-DE"/>
        </w:rPr>
        <w:t>документ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који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се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зове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резултат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скрининга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(</w:t>
      </w:r>
      <w:r w:rsidRPr="00CA3ECF">
        <w:rPr>
          <w:rFonts w:ascii="Times New Roman" w:hAnsi="Times New Roman" w:cs="Times New Roman"/>
          <w:color w:val="000000"/>
          <w:lang w:eastAsia="de-DE"/>
        </w:rPr>
        <w:t>енг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CA3ECF">
        <w:rPr>
          <w:rFonts w:ascii="Times New Roman" w:hAnsi="Times New Roman" w:cs="Times New Roman"/>
          <w:i/>
          <w:iCs/>
          <w:color w:val="000000"/>
          <w:lang w:val="sr-Latn-CS" w:eastAsia="de-DE"/>
        </w:rPr>
        <w:t>Outcome of screening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>)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у коме ЕУ оцењује да ли је држава кандидат достигла довољан ниво усклађености са правним тековинама ЕУ, тако да могу почети преговори о конкретном поглављу. У случају да ЕУ оцени да држава кандидат још није достигла захтевани ниво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>,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одређује </w:t>
      </w:r>
      <w:r w:rsidRPr="00CA3ECF">
        <w:rPr>
          <w:rFonts w:ascii="Times New Roman" w:hAnsi="Times New Roman" w:cs="Times New Roman"/>
          <w:color w:val="000000"/>
          <w:lang w:eastAsia="de-DE"/>
        </w:rPr>
        <w:t>мерила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за отварање преговора (</w:t>
      </w:r>
      <w:r w:rsidRPr="00CA3ECF">
        <w:rPr>
          <w:rFonts w:ascii="Times New Roman" w:hAnsi="Times New Roman" w:cs="Times New Roman"/>
          <w:color w:val="000000"/>
          <w:lang w:eastAsia="de-DE"/>
        </w:rPr>
        <w:t>енг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CA3ECF">
        <w:rPr>
          <w:rFonts w:ascii="Times New Roman" w:hAnsi="Times New Roman" w:cs="Times New Roman"/>
          <w:i/>
          <w:iCs/>
          <w:color w:val="000000"/>
          <w:lang w:val="sr-Latn-CS" w:eastAsia="de-DE"/>
        </w:rPr>
        <w:t>opening benchmarks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) које треба да држава кандидат испуни као предуслов за отварање преговора у том поглављу. </w:t>
      </w:r>
      <w:r w:rsidRPr="00CA3ECF">
        <w:rPr>
          <w:rFonts w:ascii="Times New Roman" w:hAnsi="Times New Roman" w:cs="Times New Roman"/>
          <w:color w:val="000000"/>
          <w:lang w:eastAsia="de-DE"/>
        </w:rPr>
        <w:t>Мерила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за отварање преговора по појединим поглављима могу имати различите форме, као што су захтеви за усвајање стратегија и акционих планова, захтеви за испуњавање уговорних обавеза са ЕУ, пре свега спровођење Споразума о стабилизацији и придруживању, те захтеви о усвајање закона и подзаконских аката. Отварање преговора о поглављу за које су бил</w:t>
      </w:r>
      <w:r w:rsidRPr="00CA3ECF">
        <w:rPr>
          <w:rFonts w:ascii="Times New Roman" w:hAnsi="Times New Roman" w:cs="Times New Roman"/>
          <w:color w:val="000000"/>
          <w:lang w:eastAsia="de-DE"/>
        </w:rPr>
        <w:t>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утврђен</w:t>
      </w:r>
      <w:r w:rsidRPr="00CA3ECF">
        <w:rPr>
          <w:rFonts w:ascii="Times New Roman" w:hAnsi="Times New Roman" w:cs="Times New Roman"/>
          <w:color w:val="000000"/>
          <w:lang w:eastAsia="de-DE"/>
        </w:rPr>
        <w:t>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мерила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за отварање преговора</w:t>
      </w:r>
      <w:r>
        <w:rPr>
          <w:rFonts w:ascii="Times New Roman" w:hAnsi="Times New Roman" w:cs="Times New Roman"/>
          <w:color w:val="000000"/>
          <w:lang w:val="sr-Cyrl-CS" w:eastAsia="de-DE"/>
        </w:rPr>
        <w:t>,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може започети тек нако</w:t>
      </w:r>
      <w:r w:rsidRPr="00CA3ECF">
        <w:rPr>
          <w:rFonts w:ascii="Times New Roman" w:hAnsi="Times New Roman" w:cs="Times New Roman"/>
          <w:color w:val="000000"/>
          <w:lang w:eastAsia="de-DE"/>
        </w:rPr>
        <w:t>н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одлуке Савета да је држава кандидат испунила т</w:t>
      </w:r>
      <w:r w:rsidRPr="00CA3ECF">
        <w:rPr>
          <w:rFonts w:ascii="Times New Roman" w:hAnsi="Times New Roman" w:cs="Times New Roman"/>
          <w:color w:val="000000"/>
          <w:lang w:eastAsia="de-DE"/>
        </w:rPr>
        <w:t>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мерила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.  </w:t>
      </w:r>
    </w:p>
    <w:p w:rsidR="007123ED" w:rsidRPr="00A22AE4" w:rsidRDefault="007123ED" w:rsidP="00A22A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CA3ECF">
        <w:rPr>
          <w:rFonts w:ascii="Times New Roman" w:hAnsi="Times New Roman" w:cs="Times New Roman"/>
          <w:color w:val="000000"/>
          <w:lang w:val="sr-Latn-CS" w:eastAsia="de-DE"/>
        </w:rPr>
        <w:t>Када је у Савету остварена сагласност да је држава кандидат у одре</w:t>
      </w:r>
      <w:r w:rsidRPr="00CA3ECF">
        <w:rPr>
          <w:rFonts w:ascii="Times New Roman" w:hAnsi="Times New Roman" w:cs="Times New Roman"/>
          <w:color w:val="000000"/>
          <w:lang w:eastAsia="de-DE"/>
        </w:rPr>
        <w:t>ђ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еном поглављу остварила задовољавајући ниво усаглашености са правним тековинама ЕУ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, </w:t>
      </w:r>
      <w:r w:rsidRPr="00CA3ECF">
        <w:rPr>
          <w:rFonts w:ascii="Times New Roman" w:hAnsi="Times New Roman" w:cs="Times New Roman"/>
          <w:color w:val="000000"/>
          <w:lang w:eastAsia="de-DE"/>
        </w:rPr>
        <w:t>Савет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позива државу кандидата да предложи преговар</w:t>
      </w:r>
      <w:r w:rsidRPr="00CA3ECF">
        <w:rPr>
          <w:rFonts w:ascii="Times New Roman" w:hAnsi="Times New Roman" w:cs="Times New Roman"/>
          <w:color w:val="000000"/>
          <w:lang w:eastAsia="de-DE"/>
        </w:rPr>
        <w:t>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чк</w:t>
      </w:r>
      <w:r w:rsidRPr="00CA3ECF">
        <w:rPr>
          <w:rFonts w:ascii="Times New Roman" w:hAnsi="Times New Roman" w:cs="Times New Roman"/>
          <w:color w:val="000000"/>
          <w:lang w:eastAsia="de-DE"/>
        </w:rPr>
        <w:t>у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позициј</w:t>
      </w:r>
      <w:r w:rsidRPr="00CA3ECF">
        <w:rPr>
          <w:rFonts w:ascii="Times New Roman" w:hAnsi="Times New Roman" w:cs="Times New Roman"/>
          <w:color w:val="000000"/>
          <w:lang w:eastAsia="de-DE"/>
        </w:rPr>
        <w:t>у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за </w:t>
      </w:r>
      <w:r w:rsidRPr="00CA3ECF">
        <w:rPr>
          <w:rFonts w:ascii="Times New Roman" w:hAnsi="Times New Roman" w:cs="Times New Roman"/>
          <w:color w:val="000000"/>
          <w:lang w:eastAsia="de-DE"/>
        </w:rPr>
        <w:t>дато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поглавље.</w:t>
      </w:r>
    </w:p>
    <w:p w:rsidR="007123ED" w:rsidRPr="00A22AE4" w:rsidRDefault="007123ED" w:rsidP="00A22A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CA3ECF">
        <w:rPr>
          <w:rFonts w:ascii="Times New Roman" w:hAnsi="Times New Roman" w:cs="Times New Roman"/>
          <w:color w:val="000000"/>
          <w:lang w:val="sr-Latn-CS" w:eastAsia="de-DE"/>
        </w:rPr>
        <w:lastRenderedPageBreak/>
        <w:t xml:space="preserve">  </w:t>
      </w:r>
      <w:r>
        <w:rPr>
          <w:rFonts w:ascii="Times New Roman" w:hAnsi="Times New Roman" w:cs="Times New Roman"/>
          <w:color w:val="000000"/>
          <w:lang w:val="sr-Latn-CS" w:eastAsia="de-DE"/>
        </w:rPr>
        <w:tab/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У преговар</w:t>
      </w:r>
      <w:r w:rsidRPr="00CA3ECF">
        <w:rPr>
          <w:rFonts w:ascii="Times New Roman" w:hAnsi="Times New Roman" w:cs="Times New Roman"/>
          <w:color w:val="000000"/>
          <w:lang w:eastAsia="de-DE"/>
        </w:rPr>
        <w:t>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чкој позицији за поједино поглавље </w:t>
      </w:r>
      <w:r w:rsidRPr="00CA3ECF">
        <w:rPr>
          <w:rFonts w:ascii="Times New Roman" w:hAnsi="Times New Roman" w:cs="Times New Roman"/>
          <w:color w:val="000000"/>
          <w:lang w:eastAsia="de-DE"/>
        </w:rPr>
        <w:t>држава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кандидат представља достигнути ниво усаглашености са правним тековинама ЕУ, програм преосталог усаглашавања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>,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те преглед постојећих и будућих административних капацитета за имплем</w:t>
      </w:r>
      <w:r w:rsidRPr="00CA3ECF">
        <w:rPr>
          <w:rFonts w:ascii="Times New Roman" w:hAnsi="Times New Roman" w:cs="Times New Roman"/>
          <w:color w:val="000000"/>
          <w:lang w:eastAsia="de-DE"/>
        </w:rPr>
        <w:t>е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нтацију. Поред тога, у преговарачкој позицији држава кандидат дефинише и захтеве за прелазн</w:t>
      </w:r>
      <w:r w:rsidRPr="00CA3ECF">
        <w:rPr>
          <w:rFonts w:ascii="Times New Roman" w:hAnsi="Times New Roman" w:cs="Times New Roman"/>
          <w:color w:val="000000"/>
          <w:lang w:eastAsia="de-DE"/>
        </w:rPr>
        <w:t>им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роков</w:t>
      </w:r>
      <w:r w:rsidRPr="00CA3ECF">
        <w:rPr>
          <w:rFonts w:ascii="Times New Roman" w:hAnsi="Times New Roman" w:cs="Times New Roman"/>
          <w:color w:val="000000"/>
          <w:lang w:eastAsia="de-DE"/>
        </w:rPr>
        <w:t>има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>,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односно изузећа </w:t>
      </w:r>
      <w:r w:rsidRPr="00CA3ECF">
        <w:rPr>
          <w:rFonts w:ascii="Times New Roman" w:hAnsi="Times New Roman" w:cs="Times New Roman"/>
          <w:color w:val="000000"/>
          <w:lang w:eastAsia="de-DE"/>
        </w:rPr>
        <w:t>у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оним сегментима где сматра да, због оправданих разлога, неће бити у могућности да у потпуности </w:t>
      </w:r>
      <w:r w:rsidRPr="00CA3ECF">
        <w:rPr>
          <w:rFonts w:ascii="Times New Roman" w:hAnsi="Times New Roman" w:cs="Times New Roman"/>
          <w:color w:val="000000"/>
          <w:lang w:eastAsia="de-DE"/>
        </w:rPr>
        <w:t>пренесе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правни поредак ЕУ </w:t>
      </w:r>
      <w:r w:rsidRPr="00CA3ECF">
        <w:rPr>
          <w:rFonts w:ascii="Times New Roman" w:hAnsi="Times New Roman" w:cs="Times New Roman"/>
          <w:color w:val="000000"/>
          <w:lang w:eastAsia="de-DE"/>
        </w:rPr>
        <w:t>у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домаћи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оквир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у време предвиђеног </w:t>
      </w:r>
      <w:r w:rsidRPr="00CA3ECF">
        <w:rPr>
          <w:rFonts w:ascii="Times New Roman" w:hAnsi="Times New Roman" w:cs="Times New Roman"/>
          <w:color w:val="000000"/>
          <w:lang w:eastAsia="de-DE"/>
        </w:rPr>
        <w:t>приступања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ЕУ. Држава кандидат може током преговора доставити ЕУ допуну односно промену преговарачких позиција.  </w:t>
      </w:r>
    </w:p>
    <w:p w:rsidR="007123ED" w:rsidRPr="00A22AE4" w:rsidRDefault="007123ED" w:rsidP="00A22A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На бази преговарачке позиције </w:t>
      </w:r>
      <w:r w:rsidRPr="00CA3ECF">
        <w:rPr>
          <w:rFonts w:ascii="Times New Roman" w:hAnsi="Times New Roman" w:cs="Times New Roman"/>
          <w:color w:val="000000"/>
          <w:lang w:eastAsia="de-DE"/>
        </w:rPr>
        <w:t>државе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кандидата за одређено поглавље, Савет усваја заједничку позицију (</w:t>
      </w:r>
      <w:r w:rsidRPr="00CA3ECF">
        <w:rPr>
          <w:rFonts w:ascii="Times New Roman" w:hAnsi="Times New Roman" w:cs="Times New Roman"/>
          <w:color w:val="000000"/>
          <w:lang w:eastAsia="de-DE"/>
        </w:rPr>
        <w:t>енг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CA3ECF">
        <w:rPr>
          <w:rFonts w:ascii="Times New Roman" w:hAnsi="Times New Roman" w:cs="Times New Roman"/>
          <w:i/>
          <w:iCs/>
          <w:color w:val="000000"/>
          <w:lang w:val="sr-Latn-CS" w:eastAsia="de-DE"/>
        </w:rPr>
        <w:t>European Union common positio</w:t>
      </w:r>
      <w:r w:rsidRPr="00E97419">
        <w:rPr>
          <w:rFonts w:ascii="Times New Roman" w:hAnsi="Times New Roman" w:cs="Times New Roman"/>
          <w:i/>
          <w:iCs/>
          <w:color w:val="000000"/>
          <w:lang w:val="sr-Latn-CS" w:eastAsia="de-DE"/>
        </w:rPr>
        <w:t>n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) као одговор на позицију </w:t>
      </w:r>
      <w:r w:rsidRPr="00CA3ECF">
        <w:rPr>
          <w:rFonts w:ascii="Times New Roman" w:hAnsi="Times New Roman" w:cs="Times New Roman"/>
          <w:color w:val="000000"/>
          <w:lang w:eastAsia="de-DE"/>
        </w:rPr>
        <w:t>државе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кандидата. У том документу ЕУ може констатовати да је </w:t>
      </w:r>
      <w:r w:rsidRPr="00CA3ECF">
        <w:rPr>
          <w:rFonts w:ascii="Times New Roman" w:hAnsi="Times New Roman" w:cs="Times New Roman"/>
          <w:color w:val="000000"/>
          <w:lang w:eastAsia="de-DE"/>
        </w:rPr>
        <w:t>држава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кандидат у овом поглављу достигла довољан ниво усаглашености са правним тековинама ЕУ те да даљи преговори на том поглављу нису потребни. У том случају се поглавље привремено затвара. У већини случајева ЕУ ће констатовати да ниво усклађености није на нивоу који би омогућавао привремено затварање поглавља те ће одредити </w:t>
      </w:r>
      <w:r w:rsidRPr="00CA3ECF">
        <w:rPr>
          <w:rFonts w:ascii="Times New Roman" w:hAnsi="Times New Roman" w:cs="Times New Roman"/>
          <w:color w:val="000000"/>
          <w:lang w:eastAsia="de-DE"/>
        </w:rPr>
        <w:t>мерила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које </w:t>
      </w:r>
      <w:r w:rsidRPr="00CA3ECF">
        <w:rPr>
          <w:rFonts w:ascii="Times New Roman" w:hAnsi="Times New Roman" w:cs="Times New Roman"/>
          <w:color w:val="000000"/>
          <w:lang w:eastAsia="de-DE"/>
        </w:rPr>
        <w:t>држава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кандидат мора да испуни пре затварања поглавља (</w:t>
      </w:r>
      <w:r w:rsidRPr="00CA3ECF">
        <w:rPr>
          <w:rFonts w:ascii="Times New Roman" w:hAnsi="Times New Roman" w:cs="Times New Roman"/>
          <w:color w:val="000000"/>
          <w:lang w:eastAsia="de-DE"/>
        </w:rPr>
        <w:t>енг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CA3ECF">
        <w:rPr>
          <w:rFonts w:ascii="Times New Roman" w:hAnsi="Times New Roman" w:cs="Times New Roman"/>
          <w:i/>
          <w:iCs/>
          <w:color w:val="000000"/>
          <w:lang w:val="sr-Latn-CS" w:eastAsia="de-DE"/>
        </w:rPr>
        <w:t>closing benchmarks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). У појединим значајним поглављима, поготово у поглављима 23 и 24, у тој фази биће одређен</w:t>
      </w:r>
      <w:r>
        <w:rPr>
          <w:rFonts w:ascii="Times New Roman" w:hAnsi="Times New Roman" w:cs="Times New Roman"/>
          <w:color w:val="000000"/>
          <w:lang w:val="sr-Cyrl-CS" w:eastAsia="de-DE"/>
        </w:rPr>
        <w:t>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међуфазн</w:t>
      </w:r>
      <w:r w:rsidRPr="00CA3ECF">
        <w:rPr>
          <w:rFonts w:ascii="Times New Roman" w:hAnsi="Times New Roman" w:cs="Times New Roman"/>
          <w:color w:val="000000"/>
          <w:lang w:eastAsia="de-DE"/>
        </w:rPr>
        <w:t>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мерила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(</w:t>
      </w:r>
      <w:r w:rsidRPr="00CA3ECF">
        <w:rPr>
          <w:rFonts w:ascii="Times New Roman" w:hAnsi="Times New Roman" w:cs="Times New Roman"/>
          <w:color w:val="000000"/>
          <w:lang w:eastAsia="de-DE"/>
        </w:rPr>
        <w:t>енг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CA3ECF">
        <w:rPr>
          <w:rFonts w:ascii="Times New Roman" w:hAnsi="Times New Roman" w:cs="Times New Roman"/>
          <w:i/>
          <w:iCs/>
          <w:color w:val="000000"/>
          <w:lang w:val="sr-Latn-CS" w:eastAsia="de-DE"/>
        </w:rPr>
        <w:t>interim benchmarks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) и тек након њиховог испуњења биће дефинисан</w:t>
      </w:r>
      <w:r w:rsidRPr="00CA3ECF">
        <w:rPr>
          <w:rFonts w:ascii="Times New Roman" w:hAnsi="Times New Roman" w:cs="Times New Roman"/>
          <w:color w:val="000000"/>
          <w:lang w:eastAsia="de-DE"/>
        </w:rPr>
        <w:t>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мерила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за затварање поглав</w:t>
      </w:r>
      <w:r w:rsidRPr="00CA3ECF">
        <w:rPr>
          <w:rFonts w:ascii="Times New Roman" w:hAnsi="Times New Roman" w:cs="Times New Roman"/>
          <w:color w:val="000000"/>
          <w:lang w:eastAsia="de-DE"/>
        </w:rPr>
        <w:t>љ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а (</w:t>
      </w:r>
      <w:r w:rsidRPr="00CA3ECF">
        <w:rPr>
          <w:rFonts w:ascii="Times New Roman" w:hAnsi="Times New Roman" w:cs="Times New Roman"/>
          <w:color w:val="000000"/>
          <w:lang w:eastAsia="de-DE"/>
        </w:rPr>
        <w:t>енг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CA3ECF">
        <w:rPr>
          <w:rFonts w:ascii="Times New Roman" w:hAnsi="Times New Roman" w:cs="Times New Roman"/>
          <w:i/>
          <w:iCs/>
          <w:color w:val="000000"/>
          <w:lang w:val="sr-Latn-CS" w:eastAsia="de-DE"/>
        </w:rPr>
        <w:t>closing benchmarks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). Сем тога, ЕУ ће по правилу тим документом тражити од </w:t>
      </w:r>
      <w:r w:rsidRPr="00CA3ECF">
        <w:rPr>
          <w:rFonts w:ascii="Times New Roman" w:hAnsi="Times New Roman" w:cs="Times New Roman"/>
          <w:color w:val="000000"/>
          <w:lang w:eastAsia="de-DE"/>
        </w:rPr>
        <w:t>државе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кандидата додатне информације и анализе, поготово у областима где се траже прелазни периоди односно изузећа.      </w:t>
      </w:r>
    </w:p>
    <w:p w:rsidR="007123ED" w:rsidRPr="00A22AE4" w:rsidRDefault="007123ED" w:rsidP="00A22A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CA3ECF">
        <w:rPr>
          <w:rFonts w:ascii="Times New Roman" w:hAnsi="Times New Roman" w:cs="Times New Roman"/>
          <w:color w:val="000000"/>
          <w:lang w:val="sr-Latn-CS" w:eastAsia="de-DE"/>
        </w:rPr>
        <w:t>Процес преговора који у суштини значи процес усаглашавањ</w:t>
      </w:r>
      <w:r w:rsidRPr="00CA3ECF">
        <w:rPr>
          <w:rFonts w:ascii="Times New Roman" w:hAnsi="Times New Roman" w:cs="Times New Roman"/>
          <w:color w:val="000000"/>
          <w:lang w:eastAsia="de-DE"/>
        </w:rPr>
        <w:t>а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обе стране обавља се у комуникацији изме</w:t>
      </w:r>
      <w:r w:rsidRPr="00CA3ECF">
        <w:rPr>
          <w:rFonts w:ascii="Times New Roman" w:hAnsi="Times New Roman" w:cs="Times New Roman"/>
          <w:color w:val="000000"/>
          <w:lang w:eastAsia="de-DE"/>
        </w:rPr>
        <w:t>ђ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у надлежних институција ЕУ и државе кандидата, а формално се преговори о појединим поглављима отварају и привремено затварају у оквиру састанака међувладине конференције. Значајн</w:t>
      </w:r>
      <w:r w:rsidRPr="00CA3ECF">
        <w:rPr>
          <w:rFonts w:ascii="Times New Roman" w:hAnsi="Times New Roman" w:cs="Times New Roman"/>
          <w:color w:val="000000"/>
          <w:lang w:eastAsia="de-DE"/>
        </w:rPr>
        <w:t>и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принцип преговора јесте да се сва поглавља затварају привремено, што значи да „ништа није договорено, док све није договорено“. </w:t>
      </w:r>
    </w:p>
    <w:p w:rsidR="007123ED" w:rsidRPr="00A22AE4" w:rsidRDefault="007123ED" w:rsidP="00A22A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Преговори су завршени када је постигнута сагласност </w:t>
      </w:r>
      <w:r w:rsidRPr="00CA3ECF">
        <w:rPr>
          <w:rFonts w:ascii="Times New Roman" w:hAnsi="Times New Roman" w:cs="Times New Roman"/>
          <w:color w:val="000000"/>
          <w:lang w:eastAsia="de-DE"/>
        </w:rPr>
        <w:t>државе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кандидата и ЕУ </w:t>
      </w:r>
      <w:r w:rsidRPr="00CA3ECF">
        <w:rPr>
          <w:rFonts w:ascii="Times New Roman" w:hAnsi="Times New Roman" w:cs="Times New Roman"/>
          <w:color w:val="000000"/>
          <w:lang w:eastAsia="de-DE"/>
        </w:rPr>
        <w:t>у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свих 35 поглавља и кад то потврди и Европски савет, што </w:t>
      </w:r>
      <w:r w:rsidRPr="00CA3ECF">
        <w:rPr>
          <w:rFonts w:ascii="Times New Roman" w:hAnsi="Times New Roman" w:cs="Times New Roman"/>
          <w:color w:val="000000"/>
          <w:lang w:eastAsia="de-DE"/>
        </w:rPr>
        <w:t>представља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и акт формалног завршетка преговора. Све до тог тренутка постоји могућност поновног отварања поглавља у случају да држава кандидат не испуњава преузете обавезе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, </w:t>
      </w:r>
      <w:r w:rsidRPr="00CA3ECF">
        <w:rPr>
          <w:rFonts w:ascii="Times New Roman" w:hAnsi="Times New Roman" w:cs="Times New Roman"/>
          <w:color w:val="000000"/>
          <w:lang w:eastAsia="de-DE"/>
        </w:rPr>
        <w:t>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што Европска комисија континуирано надгледа. Пред сам крај преговора одреди</w:t>
      </w:r>
      <w:r w:rsidRPr="00CA3ECF">
        <w:rPr>
          <w:rFonts w:ascii="Times New Roman" w:hAnsi="Times New Roman" w:cs="Times New Roman"/>
          <w:color w:val="000000"/>
          <w:lang w:eastAsia="de-DE"/>
        </w:rPr>
        <w:t>ће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се и предвиђени датум </w:t>
      </w:r>
      <w:r w:rsidRPr="00CA3ECF">
        <w:rPr>
          <w:rFonts w:ascii="Times New Roman" w:hAnsi="Times New Roman" w:cs="Times New Roman"/>
          <w:color w:val="000000"/>
          <w:lang w:eastAsia="de-DE"/>
        </w:rPr>
        <w:t>приступања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државе ЕУ јер је то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, </w:t>
      </w:r>
      <w:r w:rsidRPr="00CA3ECF">
        <w:rPr>
          <w:rFonts w:ascii="Times New Roman" w:hAnsi="Times New Roman" w:cs="Times New Roman"/>
          <w:color w:val="000000"/>
          <w:lang w:eastAsia="de-DE"/>
        </w:rPr>
        <w:t>између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осталог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>,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неопходно за затварање оних поглавља у преговорима који имају финансијске импликације.</w:t>
      </w:r>
    </w:p>
    <w:p w:rsidR="007123ED" w:rsidRPr="00A22AE4" w:rsidRDefault="007123ED" w:rsidP="00A22A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Европска комисија током </w:t>
      </w:r>
      <w:r w:rsidRPr="00CA3ECF">
        <w:rPr>
          <w:rFonts w:ascii="Times New Roman" w:hAnsi="Times New Roman" w:cs="Times New Roman"/>
          <w:color w:val="000000"/>
          <w:lang w:eastAsia="de-DE"/>
        </w:rPr>
        <w:t>трајања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преговора извештава Савет о испуњавању критеријума за чланство и преузетих обавеза државе кандидата по преговарачким поглављима, а такође </w:t>
      </w:r>
      <w:r w:rsidRPr="00CA3ECF">
        <w:rPr>
          <w:rFonts w:ascii="Times New Roman" w:hAnsi="Times New Roman" w:cs="Times New Roman"/>
          <w:color w:val="000000"/>
          <w:lang w:eastAsia="de-DE"/>
        </w:rPr>
        <w:t>при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према и редовне годишње извештаје о напретку држав</w:t>
      </w:r>
      <w:r w:rsidRPr="00CA3ECF">
        <w:rPr>
          <w:rFonts w:ascii="Times New Roman" w:hAnsi="Times New Roman" w:cs="Times New Roman"/>
          <w:color w:val="000000"/>
          <w:lang w:eastAsia="de-DE"/>
        </w:rPr>
        <w:t>е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у процесу приступања. О току преговора се редовно извештава и Европски парламент.</w:t>
      </w:r>
    </w:p>
    <w:p w:rsidR="007123ED" w:rsidRPr="00E97419" w:rsidRDefault="007123ED" w:rsidP="00A22A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CA3ECF">
        <w:rPr>
          <w:rFonts w:ascii="Times New Roman" w:hAnsi="Times New Roman" w:cs="Times New Roman"/>
          <w:color w:val="000000"/>
          <w:lang w:val="sr-Latn-CS" w:eastAsia="de-DE"/>
        </w:rPr>
        <w:t>С обзиром да је поштовање политичких критеријума нешто што се прати током целог процеса приступања, у случају да се у држави кандидату утврде озбиљна кршење владавине права и демократских принципа, затим кршење људских права и слобода, Савет на предлог Европске комисије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, </w:t>
      </w:r>
      <w:r w:rsidRPr="00CA3ECF">
        <w:rPr>
          <w:rFonts w:ascii="Times New Roman" w:hAnsi="Times New Roman" w:cs="Times New Roman"/>
          <w:color w:val="000000"/>
          <w:lang w:eastAsia="de-DE"/>
        </w:rPr>
        <w:t>или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једне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трећине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држава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чланица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>,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може одлучити о привременом прекиду преговора и условима под којима би били настављени.</w:t>
      </w:r>
    </w:p>
    <w:p w:rsidR="007123ED" w:rsidRPr="00E97419" w:rsidRDefault="007123ED" w:rsidP="0037250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CA3ECF">
        <w:rPr>
          <w:rFonts w:ascii="Times New Roman" w:hAnsi="Times New Roman" w:cs="Times New Roman"/>
          <w:color w:val="000000"/>
          <w:lang w:val="sr-Latn-CS" w:eastAsia="de-DE"/>
        </w:rPr>
        <w:t>Након формалног завршетка преговора</w:t>
      </w:r>
      <w:r>
        <w:rPr>
          <w:rFonts w:ascii="Times New Roman" w:hAnsi="Times New Roman" w:cs="Times New Roman"/>
          <w:color w:val="000000"/>
          <w:lang w:val="sr-Cyrl-CS" w:eastAsia="de-DE"/>
        </w:rPr>
        <w:t>,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саставља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се Уговор о приступању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Европској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унији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. После његовог потписивања, који је од прилике пола године после формалног завршетка преговора, отпочиње процес ратификације </w:t>
      </w:r>
      <w:r w:rsidRPr="00CA3ECF">
        <w:rPr>
          <w:rFonts w:ascii="Times New Roman" w:hAnsi="Times New Roman" w:cs="Times New Roman"/>
          <w:color w:val="000000"/>
          <w:lang w:eastAsia="de-DE"/>
        </w:rPr>
        <w:t>к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ако у </w:t>
      </w:r>
      <w:r w:rsidRPr="00CA3ECF">
        <w:rPr>
          <w:rFonts w:ascii="Times New Roman" w:hAnsi="Times New Roman" w:cs="Times New Roman"/>
          <w:color w:val="000000"/>
          <w:lang w:eastAsia="de-DE"/>
        </w:rPr>
        <w:t>држав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и кандидату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>,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т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ако и у свим </w:t>
      </w:r>
      <w:r w:rsidRPr="00CA3ECF">
        <w:rPr>
          <w:rFonts w:ascii="Times New Roman" w:hAnsi="Times New Roman" w:cs="Times New Roman"/>
          <w:color w:val="000000"/>
          <w:lang w:eastAsia="de-DE"/>
        </w:rPr>
        <w:t>држав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>ама чланицама. Процес ратификације траје изме</w:t>
      </w:r>
      <w:r w:rsidRPr="00CA3ECF">
        <w:rPr>
          <w:rFonts w:ascii="Times New Roman" w:hAnsi="Times New Roman" w:cs="Times New Roman"/>
          <w:color w:val="000000"/>
          <w:lang w:eastAsia="de-DE"/>
        </w:rPr>
        <w:t>ђ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у године и по и две године. Сагласност </w:t>
      </w:r>
      <w:r w:rsidRPr="00CA3ECF">
        <w:rPr>
          <w:rFonts w:ascii="Times New Roman" w:hAnsi="Times New Roman" w:cs="Times New Roman"/>
          <w:color w:val="000000"/>
          <w:lang w:eastAsia="de-DE"/>
        </w:rPr>
        <w:t>у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погледу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приступања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државе</w:t>
      </w:r>
      <w:r w:rsidRPr="00E97419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CA3ECF">
        <w:rPr>
          <w:rFonts w:ascii="Times New Roman" w:hAnsi="Times New Roman" w:cs="Times New Roman"/>
          <w:color w:val="000000"/>
          <w:lang w:eastAsia="de-DE"/>
        </w:rPr>
        <w:t>кандидата</w:t>
      </w:r>
      <w:r w:rsidRPr="00CA3ECF">
        <w:rPr>
          <w:rFonts w:ascii="Times New Roman" w:hAnsi="Times New Roman" w:cs="Times New Roman"/>
          <w:color w:val="000000"/>
          <w:lang w:val="sr-Latn-CS" w:eastAsia="de-DE"/>
        </w:rPr>
        <w:t xml:space="preserve"> даје и Европски парламент. </w:t>
      </w: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lang w:val="ru-RU"/>
        </w:rPr>
      </w:pP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  <w:bCs/>
          <w:u w:val="single"/>
          <w:lang w:val="sr-Latn-CS"/>
        </w:rPr>
      </w:pPr>
      <w:r w:rsidRPr="00F4458B">
        <w:rPr>
          <w:rFonts w:ascii="Times New Roman" w:hAnsi="Times New Roman" w:cs="Times New Roman"/>
          <w:b/>
          <w:bCs/>
          <w:lang w:val="sr-Latn-CS"/>
        </w:rPr>
        <w:tab/>
      </w:r>
      <w:r w:rsidRPr="00CA3ECF">
        <w:rPr>
          <w:rFonts w:ascii="Times New Roman" w:hAnsi="Times New Roman" w:cs="Times New Roman"/>
          <w:b/>
          <w:bCs/>
          <w:u w:val="single"/>
          <w:lang w:val="sr-Latn-CS"/>
        </w:rPr>
        <w:t>V</w:t>
      </w:r>
      <w:r w:rsidRPr="00CA3ECF">
        <w:rPr>
          <w:rFonts w:ascii="Times New Roman" w:hAnsi="Times New Roman" w:cs="Times New Roman"/>
          <w:b/>
          <w:bCs/>
          <w:u w:val="single"/>
          <w:lang w:val="ru-RU"/>
        </w:rPr>
        <w:t xml:space="preserve"> Оцена потребе финансијских средстава за извршење уговора и начин њиховог обезбеђивања</w:t>
      </w: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E97419">
        <w:rPr>
          <w:rFonts w:ascii="Times New Roman" w:hAnsi="Times New Roman" w:cs="Times New Roman"/>
          <w:lang w:val="sr-Latn-CS"/>
        </w:rPr>
        <w:lastRenderedPageBreak/>
        <w:tab/>
      </w:r>
      <w:r w:rsidRPr="00CA3ECF">
        <w:rPr>
          <w:rFonts w:ascii="Times New Roman" w:hAnsi="Times New Roman" w:cs="Times New Roman"/>
          <w:lang w:val="ru-RU"/>
        </w:rPr>
        <w:t>Приступ</w:t>
      </w:r>
      <w:r w:rsidRPr="00CA3ECF">
        <w:rPr>
          <w:rFonts w:ascii="Times New Roman" w:hAnsi="Times New Roman" w:cs="Times New Roman"/>
          <w:lang w:val="sl-SI"/>
        </w:rPr>
        <w:t xml:space="preserve">ање </w:t>
      </w:r>
      <w:r w:rsidRPr="00CA3ECF">
        <w:rPr>
          <w:rFonts w:ascii="Times New Roman" w:hAnsi="Times New Roman" w:cs="Times New Roman"/>
        </w:rPr>
        <w:t>државе</w:t>
      </w:r>
      <w:r w:rsidRPr="00E97419">
        <w:rPr>
          <w:rFonts w:ascii="Times New Roman" w:hAnsi="Times New Roman" w:cs="Times New Roman"/>
          <w:lang w:val="sr-Latn-CS"/>
        </w:rPr>
        <w:t xml:space="preserve"> </w:t>
      </w:r>
      <w:r w:rsidRPr="00CA3ECF">
        <w:rPr>
          <w:rFonts w:ascii="Times New Roman" w:hAnsi="Times New Roman" w:cs="Times New Roman"/>
        </w:rPr>
        <w:t>кандидата</w:t>
      </w:r>
      <w:r w:rsidRPr="00CA3ECF">
        <w:rPr>
          <w:rFonts w:ascii="Times New Roman" w:hAnsi="Times New Roman" w:cs="Times New Roman"/>
          <w:lang w:val="sl-SI"/>
        </w:rPr>
        <w:t xml:space="preserve"> ЕУ има значајне финансијске импликације које је могуће у основи подели на индиректне и директне. </w:t>
      </w: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ab/>
      </w:r>
      <w:r w:rsidRPr="00CA3ECF">
        <w:rPr>
          <w:rFonts w:ascii="Times New Roman" w:hAnsi="Times New Roman" w:cs="Times New Roman"/>
          <w:lang w:val="sl-SI"/>
        </w:rPr>
        <w:t>У прву групу сврста</w:t>
      </w:r>
      <w:r w:rsidRPr="00E97419">
        <w:rPr>
          <w:rFonts w:ascii="Times New Roman" w:hAnsi="Times New Roman" w:cs="Times New Roman"/>
          <w:lang w:val="sl-SI"/>
        </w:rPr>
        <w:t>ва</w:t>
      </w:r>
      <w:r w:rsidRPr="00CA3ECF">
        <w:rPr>
          <w:rFonts w:ascii="Times New Roman" w:hAnsi="Times New Roman" w:cs="Times New Roman"/>
          <w:lang w:val="sl-SI"/>
        </w:rPr>
        <w:t xml:space="preserve">ју се све оне импликације које проистичу из боље </w:t>
      </w:r>
      <w:r w:rsidRPr="00E97419">
        <w:rPr>
          <w:rFonts w:ascii="Times New Roman" w:hAnsi="Times New Roman" w:cs="Times New Roman"/>
          <w:lang w:val="sl-SI"/>
        </w:rPr>
        <w:t>припремљености државе</w:t>
      </w:r>
      <w:r w:rsidRPr="00CA3ECF">
        <w:rPr>
          <w:rFonts w:ascii="Times New Roman" w:hAnsi="Times New Roman" w:cs="Times New Roman"/>
          <w:lang w:val="sl-SI"/>
        </w:rPr>
        <w:t xml:space="preserve"> да се суочава за конкурентским притисцима на европском</w:t>
      </w:r>
      <w:r w:rsidRPr="00E97419">
        <w:rPr>
          <w:rFonts w:ascii="Times New Roman" w:hAnsi="Times New Roman" w:cs="Times New Roman"/>
          <w:lang w:val="sl-SI"/>
        </w:rPr>
        <w:t>,</w:t>
      </w:r>
      <w:r w:rsidRPr="00CA3ECF">
        <w:rPr>
          <w:rFonts w:ascii="Times New Roman" w:hAnsi="Times New Roman" w:cs="Times New Roman"/>
          <w:lang w:val="sl-SI"/>
        </w:rPr>
        <w:t xml:space="preserve"> а тиме и светском тржишту. Искуства претходних </w:t>
      </w:r>
      <w:r w:rsidRPr="00E97419">
        <w:rPr>
          <w:rFonts w:ascii="Times New Roman" w:hAnsi="Times New Roman" w:cs="Times New Roman"/>
          <w:lang w:val="sl-SI"/>
        </w:rPr>
        <w:t>проширења ЕУ</w:t>
      </w:r>
      <w:r w:rsidRPr="00CA3ECF">
        <w:rPr>
          <w:rFonts w:ascii="Times New Roman" w:hAnsi="Times New Roman" w:cs="Times New Roman"/>
          <w:lang w:val="sl-SI"/>
        </w:rPr>
        <w:t xml:space="preserve"> по правилу указују како су </w:t>
      </w:r>
      <w:r w:rsidRPr="00E97419">
        <w:rPr>
          <w:rFonts w:ascii="Times New Roman" w:hAnsi="Times New Roman" w:cs="Times New Roman"/>
          <w:lang w:val="sl-SI"/>
        </w:rPr>
        <w:t>државе</w:t>
      </w:r>
      <w:r w:rsidRPr="00CA3ECF">
        <w:rPr>
          <w:rFonts w:ascii="Times New Roman" w:hAnsi="Times New Roman" w:cs="Times New Roman"/>
          <w:lang w:val="sl-SI"/>
        </w:rPr>
        <w:t xml:space="preserve"> које су ушле у ЕУ још у току </w:t>
      </w:r>
      <w:r w:rsidRPr="00E97419">
        <w:rPr>
          <w:rFonts w:ascii="Times New Roman" w:hAnsi="Times New Roman" w:cs="Times New Roman"/>
          <w:lang w:val="sl-SI"/>
        </w:rPr>
        <w:t>процеса приступања</w:t>
      </w:r>
      <w:r w:rsidRPr="00CA3ECF">
        <w:rPr>
          <w:rFonts w:ascii="Times New Roman" w:hAnsi="Times New Roman" w:cs="Times New Roman"/>
          <w:lang w:val="sl-SI"/>
        </w:rPr>
        <w:t xml:space="preserve"> постале интересантније за страна улагања, да се њихов </w:t>
      </w:r>
      <w:r w:rsidRPr="00E97419">
        <w:rPr>
          <w:rFonts w:ascii="Times New Roman" w:hAnsi="Times New Roman" w:cs="Times New Roman"/>
          <w:lang w:val="sl-SI"/>
        </w:rPr>
        <w:t>“</w:t>
      </w:r>
      <w:r w:rsidRPr="00CA3ECF">
        <w:rPr>
          <w:rFonts w:ascii="Times New Roman" w:hAnsi="Times New Roman" w:cs="Times New Roman"/>
          <w:i/>
          <w:iCs/>
          <w:lang w:val="sl-SI"/>
        </w:rPr>
        <w:t>country risk</w:t>
      </w:r>
      <w:r w:rsidRPr="00E97419">
        <w:rPr>
          <w:rFonts w:ascii="Times New Roman" w:hAnsi="Times New Roman" w:cs="Times New Roman"/>
          <w:lang w:val="sl-SI"/>
        </w:rPr>
        <w:t xml:space="preserve">“ индекс </w:t>
      </w:r>
      <w:r w:rsidRPr="00CA3ECF">
        <w:rPr>
          <w:rFonts w:ascii="Times New Roman" w:hAnsi="Times New Roman" w:cs="Times New Roman"/>
          <w:lang w:val="sl-SI"/>
        </w:rPr>
        <w:t xml:space="preserve">снизио те да </w:t>
      </w:r>
      <w:r w:rsidRPr="00CA3ECF">
        <w:rPr>
          <w:rFonts w:ascii="Times New Roman" w:hAnsi="Times New Roman" w:cs="Times New Roman"/>
          <w:lang w:val="sr-Cyrl-CS"/>
        </w:rPr>
        <w:t>с</w:t>
      </w:r>
      <w:r w:rsidRPr="00CA3ECF">
        <w:rPr>
          <w:rFonts w:ascii="Times New Roman" w:hAnsi="Times New Roman" w:cs="Times New Roman"/>
          <w:lang w:val="sl-SI"/>
        </w:rPr>
        <w:t xml:space="preserve">у се услови задуживања побољшали што се све позитивно одразило на стопу њиховог привредног раста.  </w:t>
      </w: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ab/>
      </w:r>
      <w:r w:rsidRPr="00CA3ECF">
        <w:rPr>
          <w:rFonts w:ascii="Times New Roman" w:hAnsi="Times New Roman" w:cs="Times New Roman"/>
          <w:lang w:val="sl-SI"/>
        </w:rPr>
        <w:t xml:space="preserve">Друга група финансијских импликација </w:t>
      </w:r>
      <w:r w:rsidRPr="00E97419">
        <w:rPr>
          <w:rFonts w:ascii="Times New Roman" w:hAnsi="Times New Roman" w:cs="Times New Roman"/>
          <w:lang w:val="sl-SI"/>
        </w:rPr>
        <w:t>приступања државе кандидата</w:t>
      </w:r>
      <w:r w:rsidRPr="00CA3ECF">
        <w:rPr>
          <w:rFonts w:ascii="Times New Roman" w:hAnsi="Times New Roman" w:cs="Times New Roman"/>
          <w:lang w:val="sl-SI"/>
        </w:rPr>
        <w:t xml:space="preserve"> ЕУ су директног карактера, </w:t>
      </w:r>
      <w:r w:rsidRPr="00E97419">
        <w:rPr>
          <w:rFonts w:ascii="Times New Roman" w:hAnsi="Times New Roman" w:cs="Times New Roman"/>
          <w:lang w:val="sl-SI"/>
        </w:rPr>
        <w:t xml:space="preserve">а </w:t>
      </w:r>
      <w:r w:rsidRPr="00CA3ECF">
        <w:rPr>
          <w:rFonts w:ascii="Times New Roman" w:hAnsi="Times New Roman" w:cs="Times New Roman"/>
          <w:lang w:val="sl-SI"/>
        </w:rPr>
        <w:t>њих је грубо опет могуће поделити у две подгрупе. Прва се састоји од трошкова прилаго</w:t>
      </w:r>
      <w:r w:rsidRPr="00E97419">
        <w:rPr>
          <w:rFonts w:ascii="Times New Roman" w:hAnsi="Times New Roman" w:cs="Times New Roman"/>
          <w:lang w:val="sl-SI"/>
        </w:rPr>
        <w:t>ђ</w:t>
      </w:r>
      <w:r w:rsidRPr="00CA3ECF">
        <w:rPr>
          <w:rFonts w:ascii="Times New Roman" w:hAnsi="Times New Roman" w:cs="Times New Roman"/>
          <w:lang w:val="sl-SI"/>
        </w:rPr>
        <w:t xml:space="preserve">авања </w:t>
      </w:r>
      <w:r w:rsidRPr="00E97419">
        <w:rPr>
          <w:rFonts w:ascii="Times New Roman" w:hAnsi="Times New Roman" w:cs="Times New Roman"/>
          <w:lang w:val="sl-SI"/>
        </w:rPr>
        <w:t>државе кандидата</w:t>
      </w:r>
      <w:r w:rsidRPr="00CA3ECF">
        <w:rPr>
          <w:rFonts w:ascii="Times New Roman" w:hAnsi="Times New Roman" w:cs="Times New Roman"/>
          <w:lang w:val="sl-SI"/>
        </w:rPr>
        <w:t xml:space="preserve"> правним тековинама ЕУ и концентрисана је на период пре </w:t>
      </w:r>
      <w:r w:rsidRPr="00E97419">
        <w:rPr>
          <w:rFonts w:ascii="Times New Roman" w:hAnsi="Times New Roman" w:cs="Times New Roman"/>
          <w:lang w:val="sl-SI"/>
        </w:rPr>
        <w:t>приступања</w:t>
      </w:r>
      <w:r w:rsidRPr="00CA3ECF">
        <w:rPr>
          <w:rFonts w:ascii="Times New Roman" w:hAnsi="Times New Roman" w:cs="Times New Roman"/>
          <w:lang w:val="sl-SI"/>
        </w:rPr>
        <w:t xml:space="preserve"> ЕУ. Реч је о свим улагањима </w:t>
      </w:r>
      <w:r w:rsidRPr="00CA3ECF">
        <w:rPr>
          <w:rFonts w:ascii="Times New Roman" w:hAnsi="Times New Roman" w:cs="Times New Roman"/>
          <w:lang w:val="ru-RU"/>
        </w:rPr>
        <w:t xml:space="preserve">која је неопходно извршити у циљу оспособљавања државе и привредног сектора за преузимање обавеза из чланства, односно </w:t>
      </w:r>
      <w:r w:rsidRPr="00CA3ECF">
        <w:rPr>
          <w:rFonts w:ascii="Times New Roman" w:hAnsi="Times New Roman" w:cs="Times New Roman"/>
          <w:lang w:val="sl-SI"/>
        </w:rPr>
        <w:t xml:space="preserve">у циљу </w:t>
      </w:r>
      <w:r w:rsidRPr="00CA3ECF">
        <w:rPr>
          <w:rFonts w:ascii="Times New Roman" w:hAnsi="Times New Roman" w:cs="Times New Roman"/>
          <w:lang w:val="ru-RU"/>
        </w:rPr>
        <w:t>оспособљавања за пуну примену правних тековина Е</w:t>
      </w:r>
      <w:r w:rsidRPr="00CA3ECF">
        <w:rPr>
          <w:rFonts w:ascii="Times New Roman" w:hAnsi="Times New Roman" w:cs="Times New Roman"/>
          <w:lang w:val="sl-SI"/>
        </w:rPr>
        <w:t>У</w:t>
      </w:r>
      <w:r w:rsidRPr="00CA3ECF">
        <w:rPr>
          <w:rFonts w:ascii="Times New Roman" w:hAnsi="Times New Roman" w:cs="Times New Roman"/>
          <w:lang w:val="ru-RU"/>
        </w:rPr>
        <w:t xml:space="preserve">, у роковима договореним Уговором о приступању ЕУ. </w:t>
      </w:r>
      <w:r w:rsidRPr="00CA3ECF">
        <w:rPr>
          <w:rFonts w:ascii="Times New Roman" w:hAnsi="Times New Roman" w:cs="Times New Roman"/>
          <w:lang w:val="sl-SI"/>
        </w:rPr>
        <w:t xml:space="preserve">У том се контексту значајни </w:t>
      </w:r>
      <w:r w:rsidRPr="00CA3ECF">
        <w:rPr>
          <w:rFonts w:ascii="Times New Roman" w:hAnsi="Times New Roman" w:cs="Times New Roman"/>
          <w:lang w:val="ru-RU"/>
        </w:rPr>
        <w:t>трошкови могу очекивати у областима као што су животна средина, пољопривреда, инфраструктура, контрола граница, као и у погледу изградње административних капацитета. При томе треба имати у виду да је готово немогуће</w:t>
      </w:r>
      <w:r w:rsidRPr="00CA3ECF">
        <w:rPr>
          <w:rFonts w:ascii="Times New Roman" w:hAnsi="Times New Roman" w:cs="Times New Roman"/>
          <w:lang w:val="sl-SI"/>
        </w:rPr>
        <w:t xml:space="preserve"> </w:t>
      </w:r>
      <w:r w:rsidRPr="00CA3ECF">
        <w:rPr>
          <w:rFonts w:ascii="Times New Roman" w:hAnsi="Times New Roman" w:cs="Times New Roman"/>
          <w:lang w:val="ru-RU"/>
        </w:rPr>
        <w:t xml:space="preserve">повући јасну границу између трошкова транзиције привреде и државе </w:t>
      </w:r>
      <w:r w:rsidRPr="00E97419">
        <w:rPr>
          <w:rFonts w:ascii="Times New Roman" w:hAnsi="Times New Roman" w:cs="Times New Roman"/>
          <w:lang w:val="ru-RU"/>
        </w:rPr>
        <w:t>и</w:t>
      </w:r>
      <w:r w:rsidRPr="00CA3ECF">
        <w:rPr>
          <w:rFonts w:ascii="Times New Roman" w:hAnsi="Times New Roman" w:cs="Times New Roman"/>
          <w:lang w:val="sl-SI"/>
        </w:rPr>
        <w:t xml:space="preserve"> </w:t>
      </w:r>
      <w:r w:rsidRPr="00CA3ECF">
        <w:rPr>
          <w:rFonts w:ascii="Times New Roman" w:hAnsi="Times New Roman" w:cs="Times New Roman"/>
          <w:lang w:val="ru-RU"/>
        </w:rPr>
        <w:t>трошкова прилагођавања стандардима Е</w:t>
      </w:r>
      <w:r w:rsidRPr="00CA3ECF">
        <w:rPr>
          <w:rFonts w:ascii="Times New Roman" w:hAnsi="Times New Roman" w:cs="Times New Roman"/>
          <w:lang w:val="sl-SI"/>
        </w:rPr>
        <w:t>У</w:t>
      </w:r>
      <w:r w:rsidRPr="00CA3ECF">
        <w:rPr>
          <w:rFonts w:ascii="Times New Roman" w:hAnsi="Times New Roman" w:cs="Times New Roman"/>
          <w:lang w:val="ru-RU"/>
        </w:rPr>
        <w:t>. Прецизније процене биће могуће дати тек по завршетку процеса скрининга и израде преговарачких позиција за поједина поглавља.</w:t>
      </w:r>
      <w:r w:rsidRPr="00CA3ECF">
        <w:rPr>
          <w:rFonts w:ascii="Times New Roman" w:hAnsi="Times New Roman" w:cs="Times New Roman"/>
          <w:lang w:val="sl-SI"/>
        </w:rPr>
        <w:t xml:space="preserve"> Искуства неких земаља ипак указују да је трошкове повезане за прилаго</w:t>
      </w:r>
      <w:r w:rsidRPr="00E97419">
        <w:rPr>
          <w:rFonts w:ascii="Times New Roman" w:hAnsi="Times New Roman" w:cs="Times New Roman"/>
          <w:lang w:val="sl-SI"/>
        </w:rPr>
        <w:t>ђ</w:t>
      </w:r>
      <w:r w:rsidRPr="00CA3ECF">
        <w:rPr>
          <w:rFonts w:ascii="Times New Roman" w:hAnsi="Times New Roman" w:cs="Times New Roman"/>
          <w:lang w:val="sl-SI"/>
        </w:rPr>
        <w:t>авањем правним тековинама ЕУ могу</w:t>
      </w:r>
      <w:r w:rsidRPr="00E97419">
        <w:rPr>
          <w:rFonts w:ascii="Times New Roman" w:hAnsi="Times New Roman" w:cs="Times New Roman"/>
          <w:lang w:val="sl-SI"/>
        </w:rPr>
        <w:t>ћ</w:t>
      </w:r>
      <w:r w:rsidRPr="00CA3ECF">
        <w:rPr>
          <w:rFonts w:ascii="Times New Roman" w:hAnsi="Times New Roman" w:cs="Times New Roman"/>
          <w:lang w:val="sl-SI"/>
        </w:rPr>
        <w:t xml:space="preserve">е проценити на ниво од преко 1% БДП у годинама пре уласка у ЕУ.  </w:t>
      </w: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sl-SI"/>
        </w:rPr>
        <w:t xml:space="preserve">  </w:t>
      </w:r>
      <w:r>
        <w:rPr>
          <w:rFonts w:ascii="Times New Roman" w:hAnsi="Times New Roman" w:cs="Times New Roman"/>
          <w:lang w:val="sl-SI"/>
        </w:rPr>
        <w:tab/>
      </w:r>
      <w:r w:rsidRPr="00CA3ECF">
        <w:rPr>
          <w:rFonts w:ascii="Times New Roman" w:hAnsi="Times New Roman" w:cs="Times New Roman"/>
          <w:lang w:val="sl-SI"/>
        </w:rPr>
        <w:t xml:space="preserve">У ову подгрупу треба сврстати и </w:t>
      </w:r>
      <w:r w:rsidRPr="00CA3ECF">
        <w:rPr>
          <w:rFonts w:ascii="Times New Roman" w:hAnsi="Times New Roman" w:cs="Times New Roman"/>
          <w:lang w:val="ru-RU"/>
        </w:rPr>
        <w:t xml:space="preserve">трошкове који </w:t>
      </w:r>
      <w:r w:rsidRPr="00CA3ECF">
        <w:rPr>
          <w:rFonts w:ascii="Times New Roman" w:hAnsi="Times New Roman" w:cs="Times New Roman"/>
          <w:lang w:val="sl-SI"/>
        </w:rPr>
        <w:t>су потребни за само во</w:t>
      </w:r>
      <w:r w:rsidRPr="00E97419">
        <w:rPr>
          <w:rFonts w:ascii="Times New Roman" w:hAnsi="Times New Roman" w:cs="Times New Roman"/>
          <w:lang w:val="sl-SI"/>
        </w:rPr>
        <w:t>ђ</w:t>
      </w:r>
      <w:r w:rsidRPr="00CA3ECF">
        <w:rPr>
          <w:rFonts w:ascii="Times New Roman" w:hAnsi="Times New Roman" w:cs="Times New Roman"/>
          <w:lang w:val="sl-SI"/>
        </w:rPr>
        <w:t xml:space="preserve">ење </w:t>
      </w:r>
      <w:r w:rsidRPr="00CA3ECF">
        <w:rPr>
          <w:rFonts w:ascii="Times New Roman" w:hAnsi="Times New Roman" w:cs="Times New Roman"/>
          <w:lang w:val="ru-RU"/>
        </w:rPr>
        <w:t>процеса преговора.</w:t>
      </w:r>
      <w:r w:rsidRPr="00CA3ECF">
        <w:rPr>
          <w:rFonts w:ascii="Times New Roman" w:hAnsi="Times New Roman" w:cs="Times New Roman"/>
          <w:lang w:val="sl-SI"/>
        </w:rPr>
        <w:t xml:space="preserve"> У квантитативном смислу реч </w:t>
      </w:r>
      <w:r w:rsidRPr="00CA3ECF">
        <w:rPr>
          <w:rFonts w:ascii="Times New Roman" w:hAnsi="Times New Roman" w:cs="Times New Roman"/>
          <w:lang w:val="sr-Cyrl-CS"/>
        </w:rPr>
        <w:t xml:space="preserve">је </w:t>
      </w:r>
      <w:r w:rsidRPr="00CA3ECF">
        <w:rPr>
          <w:rFonts w:ascii="Times New Roman" w:hAnsi="Times New Roman" w:cs="Times New Roman"/>
          <w:lang w:val="sl-SI"/>
        </w:rPr>
        <w:t>ипак о релативно мали</w:t>
      </w:r>
      <w:r w:rsidRPr="00E97419">
        <w:rPr>
          <w:rFonts w:ascii="Times New Roman" w:hAnsi="Times New Roman" w:cs="Times New Roman"/>
          <w:lang w:val="sl-SI"/>
        </w:rPr>
        <w:t>м</w:t>
      </w:r>
      <w:r w:rsidRPr="00CA3ECF">
        <w:rPr>
          <w:rFonts w:ascii="Times New Roman" w:hAnsi="Times New Roman" w:cs="Times New Roman"/>
          <w:lang w:val="sl-SI"/>
        </w:rPr>
        <w:t xml:space="preserve"> трошковима у однос</w:t>
      </w:r>
      <w:r w:rsidRPr="00E97419">
        <w:rPr>
          <w:rFonts w:ascii="Times New Roman" w:hAnsi="Times New Roman" w:cs="Times New Roman"/>
          <w:lang w:val="sl-SI"/>
        </w:rPr>
        <w:t>у</w:t>
      </w:r>
      <w:r w:rsidRPr="00CA3ECF">
        <w:rPr>
          <w:rFonts w:ascii="Times New Roman" w:hAnsi="Times New Roman" w:cs="Times New Roman"/>
          <w:lang w:val="sl-SI"/>
        </w:rPr>
        <w:t xml:space="preserve"> на трошкове за прилаго</w:t>
      </w:r>
      <w:r w:rsidRPr="00E97419">
        <w:rPr>
          <w:rFonts w:ascii="Times New Roman" w:hAnsi="Times New Roman" w:cs="Times New Roman"/>
          <w:lang w:val="sl-SI"/>
        </w:rPr>
        <w:t>ђ</w:t>
      </w:r>
      <w:r w:rsidRPr="00CA3ECF">
        <w:rPr>
          <w:rFonts w:ascii="Times New Roman" w:hAnsi="Times New Roman" w:cs="Times New Roman"/>
          <w:lang w:val="sl-SI"/>
        </w:rPr>
        <w:t>авање правним тековинама ЕУ</w:t>
      </w:r>
      <w:r w:rsidRPr="00E97419">
        <w:rPr>
          <w:rFonts w:ascii="Times New Roman" w:hAnsi="Times New Roman" w:cs="Times New Roman"/>
          <w:lang w:val="sl-SI"/>
        </w:rPr>
        <w:t>,</w:t>
      </w:r>
      <w:r w:rsidRPr="00CA3ECF">
        <w:rPr>
          <w:rFonts w:ascii="Times New Roman" w:hAnsi="Times New Roman" w:cs="Times New Roman"/>
          <w:lang w:val="ru-RU"/>
        </w:rPr>
        <w:t xml:space="preserve"> </w:t>
      </w:r>
      <w:r w:rsidRPr="00CA3ECF">
        <w:rPr>
          <w:rFonts w:ascii="Times New Roman" w:hAnsi="Times New Roman" w:cs="Times New Roman"/>
          <w:lang w:val="sl-SI"/>
        </w:rPr>
        <w:t xml:space="preserve">а </w:t>
      </w:r>
      <w:r w:rsidRPr="00CA3ECF">
        <w:rPr>
          <w:rFonts w:ascii="Times New Roman" w:hAnsi="Times New Roman" w:cs="Times New Roman"/>
          <w:lang w:val="ru-RU"/>
        </w:rPr>
        <w:t>између осталог подразумевају, трошкове рада Преговарачког тима и преговарачких група (накнаде за чланове Преговарачког тима, трошкови службених путовања, трошкови превода документације), трошкове израде Националне верзије правних тековина Европске уније и трошкове јачања Сталне мисије Републике Србије при Европској унији и Канцеларије за европске интеграције.</w:t>
      </w: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ab/>
      </w:r>
      <w:r w:rsidRPr="00CA3ECF">
        <w:rPr>
          <w:rFonts w:ascii="Times New Roman" w:hAnsi="Times New Roman" w:cs="Times New Roman"/>
          <w:lang w:val="sl-SI"/>
        </w:rPr>
        <w:t xml:space="preserve">Друга подгрупа директих финансијских импликација </w:t>
      </w:r>
      <w:r w:rsidRPr="00E97419">
        <w:rPr>
          <w:rFonts w:ascii="Times New Roman" w:hAnsi="Times New Roman" w:cs="Times New Roman"/>
          <w:lang w:val="sl-SI"/>
        </w:rPr>
        <w:t>приступања државе кандидата</w:t>
      </w:r>
      <w:r w:rsidRPr="00CA3ECF">
        <w:rPr>
          <w:rFonts w:ascii="Times New Roman" w:hAnsi="Times New Roman" w:cs="Times New Roman"/>
          <w:lang w:val="sl-SI"/>
        </w:rPr>
        <w:t xml:space="preserve"> ЕУ произлази из финансијских токова на релацији изме</w:t>
      </w:r>
      <w:r w:rsidRPr="00E97419">
        <w:rPr>
          <w:rFonts w:ascii="Times New Roman" w:hAnsi="Times New Roman" w:cs="Times New Roman"/>
          <w:lang w:val="sl-SI"/>
        </w:rPr>
        <w:t>ђ</w:t>
      </w:r>
      <w:r w:rsidRPr="00CA3ECF">
        <w:rPr>
          <w:rFonts w:ascii="Times New Roman" w:hAnsi="Times New Roman" w:cs="Times New Roman"/>
          <w:lang w:val="sl-SI"/>
        </w:rPr>
        <w:t>у бу</w:t>
      </w:r>
      <w:r w:rsidRPr="00E97419">
        <w:rPr>
          <w:rFonts w:ascii="Times New Roman" w:hAnsi="Times New Roman" w:cs="Times New Roman"/>
          <w:lang w:val="sl-SI"/>
        </w:rPr>
        <w:t>џ</w:t>
      </w:r>
      <w:r w:rsidRPr="00CA3ECF">
        <w:rPr>
          <w:rFonts w:ascii="Times New Roman" w:hAnsi="Times New Roman" w:cs="Times New Roman"/>
          <w:lang w:val="sl-SI"/>
        </w:rPr>
        <w:t xml:space="preserve">ета ЕУ и </w:t>
      </w:r>
      <w:r w:rsidRPr="00E97419">
        <w:rPr>
          <w:rFonts w:ascii="Times New Roman" w:hAnsi="Times New Roman" w:cs="Times New Roman"/>
          <w:lang w:val="sl-SI"/>
        </w:rPr>
        <w:t>конкретне државе</w:t>
      </w:r>
      <w:r w:rsidRPr="00CA3ECF">
        <w:rPr>
          <w:rFonts w:ascii="Times New Roman" w:hAnsi="Times New Roman" w:cs="Times New Roman"/>
          <w:lang w:val="sl-SI"/>
        </w:rPr>
        <w:t xml:space="preserve">. </w:t>
      </w: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ab/>
      </w:r>
      <w:r w:rsidRPr="00CA3ECF">
        <w:rPr>
          <w:rFonts w:ascii="Times New Roman" w:hAnsi="Times New Roman" w:cs="Times New Roman"/>
          <w:lang w:val="sl-SI"/>
        </w:rPr>
        <w:t>У претприступној фази реч је искључиво о приливима из буџета ЕУ у облику претприст</w:t>
      </w:r>
      <w:r w:rsidRPr="00E97419">
        <w:rPr>
          <w:rFonts w:ascii="Times New Roman" w:hAnsi="Times New Roman" w:cs="Times New Roman"/>
          <w:lang w:val="sl-SI"/>
        </w:rPr>
        <w:t>у</w:t>
      </w:r>
      <w:r w:rsidRPr="00CA3ECF">
        <w:rPr>
          <w:rFonts w:ascii="Times New Roman" w:hAnsi="Times New Roman" w:cs="Times New Roman"/>
          <w:lang w:val="sl-SI"/>
        </w:rPr>
        <w:t>пне помо</w:t>
      </w:r>
      <w:r w:rsidRPr="00E97419">
        <w:rPr>
          <w:rFonts w:ascii="Times New Roman" w:hAnsi="Times New Roman" w:cs="Times New Roman"/>
          <w:lang w:val="sl-SI"/>
        </w:rPr>
        <w:t>ћ</w:t>
      </w:r>
      <w:r w:rsidRPr="00CA3ECF">
        <w:rPr>
          <w:rFonts w:ascii="Times New Roman" w:hAnsi="Times New Roman" w:cs="Times New Roman"/>
          <w:lang w:val="sl-SI"/>
        </w:rPr>
        <w:t>и</w:t>
      </w:r>
      <w:r w:rsidRPr="00E97419">
        <w:rPr>
          <w:rFonts w:ascii="Times New Roman" w:hAnsi="Times New Roman" w:cs="Times New Roman"/>
          <w:lang w:val="sl-SI"/>
        </w:rPr>
        <w:t>,</w:t>
      </w:r>
      <w:r w:rsidRPr="00CA3ECF">
        <w:rPr>
          <w:rFonts w:ascii="Times New Roman" w:hAnsi="Times New Roman" w:cs="Times New Roman"/>
          <w:lang w:val="sl-SI"/>
        </w:rPr>
        <w:t xml:space="preserve"> која се употребљава како за подршку процеса преношења правних тековина ЕУ тако и за припрему земље за кориш</w:t>
      </w:r>
      <w:r w:rsidRPr="00E97419">
        <w:rPr>
          <w:rFonts w:ascii="Times New Roman" w:hAnsi="Times New Roman" w:cs="Times New Roman"/>
          <w:lang w:val="sl-SI"/>
        </w:rPr>
        <w:t>ћ</w:t>
      </w:r>
      <w:r w:rsidRPr="00CA3ECF">
        <w:rPr>
          <w:rFonts w:ascii="Times New Roman" w:hAnsi="Times New Roman" w:cs="Times New Roman"/>
          <w:lang w:val="sl-SI"/>
        </w:rPr>
        <w:t>ење средстава кохези</w:t>
      </w:r>
      <w:r w:rsidRPr="00E97419">
        <w:rPr>
          <w:rFonts w:ascii="Times New Roman" w:hAnsi="Times New Roman" w:cs="Times New Roman"/>
          <w:lang w:val="sl-SI"/>
        </w:rPr>
        <w:t>он</w:t>
      </w:r>
      <w:r w:rsidRPr="00CA3ECF">
        <w:rPr>
          <w:rFonts w:ascii="Times New Roman" w:hAnsi="Times New Roman" w:cs="Times New Roman"/>
          <w:lang w:val="sl-SI"/>
        </w:rPr>
        <w:t xml:space="preserve">е политике ЕУ и заједничке пољопривредне политике после уласка </w:t>
      </w:r>
      <w:r w:rsidRPr="00E97419">
        <w:rPr>
          <w:rFonts w:ascii="Times New Roman" w:hAnsi="Times New Roman" w:cs="Times New Roman"/>
          <w:lang w:val="sl-SI"/>
        </w:rPr>
        <w:t>државе</w:t>
      </w:r>
      <w:r w:rsidRPr="00CA3ECF">
        <w:rPr>
          <w:rFonts w:ascii="Times New Roman" w:hAnsi="Times New Roman" w:cs="Times New Roman"/>
          <w:lang w:val="sl-SI"/>
        </w:rPr>
        <w:t xml:space="preserve"> у ЕУ.      </w:t>
      </w: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 w:rsidRPr="00CA3ECF">
        <w:rPr>
          <w:rFonts w:ascii="Times New Roman" w:hAnsi="Times New Roman" w:cs="Times New Roman"/>
          <w:lang w:val="ru-RU"/>
        </w:rPr>
        <w:t>Ступање</w:t>
      </w:r>
      <w:r w:rsidRPr="00CA3ECF">
        <w:rPr>
          <w:rFonts w:ascii="Times New Roman" w:hAnsi="Times New Roman" w:cs="Times New Roman"/>
          <w:lang w:val="sl-SI"/>
        </w:rPr>
        <w:t>м</w:t>
      </w:r>
      <w:r w:rsidRPr="00CA3ECF">
        <w:rPr>
          <w:rFonts w:ascii="Times New Roman" w:hAnsi="Times New Roman" w:cs="Times New Roman"/>
          <w:lang w:val="ru-RU"/>
        </w:rPr>
        <w:t xml:space="preserve"> у чланство Е</w:t>
      </w:r>
      <w:r w:rsidRPr="00CA3ECF">
        <w:rPr>
          <w:rFonts w:ascii="Times New Roman" w:hAnsi="Times New Roman" w:cs="Times New Roman"/>
          <w:lang w:val="sl-SI"/>
        </w:rPr>
        <w:t>У почиње и упла</w:t>
      </w:r>
      <w:r w:rsidRPr="00E97419">
        <w:rPr>
          <w:rFonts w:ascii="Times New Roman" w:hAnsi="Times New Roman" w:cs="Times New Roman"/>
          <w:lang w:val="sl-SI"/>
        </w:rPr>
        <w:t>ћ</w:t>
      </w:r>
      <w:r w:rsidRPr="00CA3ECF">
        <w:rPr>
          <w:rFonts w:ascii="Times New Roman" w:hAnsi="Times New Roman" w:cs="Times New Roman"/>
          <w:lang w:val="sl-SI"/>
        </w:rPr>
        <w:t xml:space="preserve">ивање </w:t>
      </w:r>
      <w:r w:rsidRPr="00E97419">
        <w:rPr>
          <w:rFonts w:ascii="Times New Roman" w:hAnsi="Times New Roman" w:cs="Times New Roman"/>
          <w:lang w:val="sl-SI"/>
        </w:rPr>
        <w:t xml:space="preserve">финансијских средстава </w:t>
      </w:r>
      <w:r w:rsidRPr="00CA3ECF">
        <w:rPr>
          <w:rFonts w:ascii="Times New Roman" w:hAnsi="Times New Roman" w:cs="Times New Roman"/>
          <w:lang w:val="sl-SI"/>
        </w:rPr>
        <w:t>нове државе чланице у буџет ЕУ, што значи да се финансијски токови изме</w:t>
      </w:r>
      <w:r w:rsidRPr="00E97419">
        <w:rPr>
          <w:rFonts w:ascii="Times New Roman" w:hAnsi="Times New Roman" w:cs="Times New Roman"/>
          <w:lang w:val="sl-SI"/>
        </w:rPr>
        <w:t>ђ</w:t>
      </w:r>
      <w:r w:rsidRPr="00CA3ECF">
        <w:rPr>
          <w:rFonts w:ascii="Times New Roman" w:hAnsi="Times New Roman" w:cs="Times New Roman"/>
          <w:lang w:val="sl-SI"/>
        </w:rPr>
        <w:t>у буџета ЕУ и државе чланице поч</w:t>
      </w:r>
      <w:r w:rsidRPr="00E97419">
        <w:rPr>
          <w:rFonts w:ascii="Times New Roman" w:hAnsi="Times New Roman" w:cs="Times New Roman"/>
          <w:lang w:val="sl-SI"/>
        </w:rPr>
        <w:t>ињу</w:t>
      </w:r>
      <w:r w:rsidRPr="00CA3ECF">
        <w:rPr>
          <w:rFonts w:ascii="Times New Roman" w:hAnsi="Times New Roman" w:cs="Times New Roman"/>
          <w:lang w:val="ru-RU"/>
        </w:rPr>
        <w:t xml:space="preserve"> одражава</w:t>
      </w:r>
      <w:r w:rsidRPr="00CA3ECF">
        <w:rPr>
          <w:rFonts w:ascii="Times New Roman" w:hAnsi="Times New Roman" w:cs="Times New Roman"/>
          <w:lang w:val="sl-SI"/>
        </w:rPr>
        <w:t>ти</w:t>
      </w:r>
      <w:r w:rsidRPr="00CA3ECF">
        <w:rPr>
          <w:rFonts w:ascii="Times New Roman" w:hAnsi="Times New Roman" w:cs="Times New Roman"/>
          <w:lang w:val="ru-RU"/>
        </w:rPr>
        <w:t xml:space="preserve"> </w:t>
      </w:r>
      <w:r w:rsidRPr="00CA3ECF">
        <w:rPr>
          <w:rFonts w:ascii="Times New Roman" w:hAnsi="Times New Roman" w:cs="Times New Roman"/>
          <w:lang w:val="sl-SI"/>
        </w:rPr>
        <w:t>како</w:t>
      </w:r>
      <w:r w:rsidRPr="00CA3ECF">
        <w:rPr>
          <w:rFonts w:ascii="Times New Roman" w:hAnsi="Times New Roman" w:cs="Times New Roman"/>
          <w:lang w:val="ru-RU"/>
        </w:rPr>
        <w:t xml:space="preserve"> на приходну </w:t>
      </w:r>
      <w:r w:rsidRPr="00CA3ECF">
        <w:rPr>
          <w:rFonts w:ascii="Times New Roman" w:hAnsi="Times New Roman" w:cs="Times New Roman"/>
          <w:lang w:val="sl-SI"/>
        </w:rPr>
        <w:t xml:space="preserve">тако </w:t>
      </w:r>
      <w:r w:rsidRPr="00CA3ECF">
        <w:rPr>
          <w:rFonts w:ascii="Times New Roman" w:hAnsi="Times New Roman" w:cs="Times New Roman"/>
          <w:lang w:val="ru-RU"/>
        </w:rPr>
        <w:t xml:space="preserve">и на расходну страну </w:t>
      </w:r>
      <w:r w:rsidRPr="00CA3ECF">
        <w:rPr>
          <w:rFonts w:ascii="Times New Roman" w:hAnsi="Times New Roman" w:cs="Times New Roman"/>
          <w:lang w:val="sl-SI"/>
        </w:rPr>
        <w:t xml:space="preserve">њеног </w:t>
      </w:r>
      <w:r w:rsidRPr="00CA3ECF">
        <w:rPr>
          <w:rFonts w:ascii="Times New Roman" w:hAnsi="Times New Roman" w:cs="Times New Roman"/>
          <w:lang w:val="ru-RU"/>
        </w:rPr>
        <w:t>буџета</w:t>
      </w:r>
      <w:r w:rsidRPr="00CA3ECF">
        <w:rPr>
          <w:rFonts w:ascii="Times New Roman" w:hAnsi="Times New Roman" w:cs="Times New Roman"/>
          <w:lang w:val="sl-SI"/>
        </w:rPr>
        <w:t xml:space="preserve">. </w:t>
      </w: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l-SI"/>
        </w:rPr>
        <w:tab/>
      </w:r>
      <w:r w:rsidRPr="00CA3ECF">
        <w:rPr>
          <w:rFonts w:ascii="Times New Roman" w:hAnsi="Times New Roman" w:cs="Times New Roman"/>
          <w:lang w:val="sl-SI"/>
        </w:rPr>
        <w:t xml:space="preserve">Што </w:t>
      </w:r>
      <w:r w:rsidRPr="00CA3ECF">
        <w:rPr>
          <w:rFonts w:ascii="Times New Roman" w:hAnsi="Times New Roman" w:cs="Times New Roman"/>
          <w:lang w:val="sr-Cyrl-CS"/>
        </w:rPr>
        <w:t xml:space="preserve">се тиче </w:t>
      </w:r>
      <w:r w:rsidRPr="00CA3ECF">
        <w:rPr>
          <w:rFonts w:ascii="Times New Roman" w:hAnsi="Times New Roman" w:cs="Times New Roman"/>
          <w:lang w:val="sl-SI"/>
        </w:rPr>
        <w:t>упла</w:t>
      </w:r>
      <w:r w:rsidRPr="00E97419">
        <w:rPr>
          <w:rFonts w:ascii="Times New Roman" w:hAnsi="Times New Roman" w:cs="Times New Roman"/>
          <w:lang w:val="sl-SI"/>
        </w:rPr>
        <w:t>ћ</w:t>
      </w:r>
      <w:r w:rsidRPr="00CA3ECF">
        <w:rPr>
          <w:rFonts w:ascii="Times New Roman" w:hAnsi="Times New Roman" w:cs="Times New Roman"/>
          <w:lang w:val="sl-SI"/>
        </w:rPr>
        <w:t>ивања у буџет ЕУ</w:t>
      </w:r>
      <w:r w:rsidRPr="00E97419">
        <w:rPr>
          <w:rFonts w:ascii="Times New Roman" w:hAnsi="Times New Roman" w:cs="Times New Roman"/>
          <w:lang w:val="sl-SI"/>
        </w:rPr>
        <w:t>,</w:t>
      </w:r>
      <w:r w:rsidRPr="00CA3ECF">
        <w:rPr>
          <w:rFonts w:ascii="Times New Roman" w:hAnsi="Times New Roman" w:cs="Times New Roman"/>
          <w:lang w:val="sl-SI"/>
        </w:rPr>
        <w:t xml:space="preserve"> </w:t>
      </w:r>
      <w:r w:rsidRPr="00CA3ECF">
        <w:rPr>
          <w:rFonts w:ascii="Times New Roman" w:hAnsi="Times New Roman" w:cs="Times New Roman"/>
          <w:lang w:val="ru-RU"/>
        </w:rPr>
        <w:t xml:space="preserve">нова држава чланица дужна је </w:t>
      </w:r>
      <w:r w:rsidRPr="00CA3ECF">
        <w:rPr>
          <w:rFonts w:ascii="Times New Roman" w:hAnsi="Times New Roman" w:cs="Times New Roman"/>
          <w:lang w:val="sl-SI"/>
        </w:rPr>
        <w:t>да их упла</w:t>
      </w:r>
      <w:r w:rsidRPr="00E97419">
        <w:rPr>
          <w:rFonts w:ascii="Times New Roman" w:hAnsi="Times New Roman" w:cs="Times New Roman"/>
          <w:lang w:val="sl-SI"/>
        </w:rPr>
        <w:t>ћ</w:t>
      </w:r>
      <w:r w:rsidRPr="00CA3ECF">
        <w:rPr>
          <w:rFonts w:ascii="Times New Roman" w:hAnsi="Times New Roman" w:cs="Times New Roman"/>
          <w:lang w:val="sl-SI"/>
        </w:rPr>
        <w:t xml:space="preserve">ује </w:t>
      </w:r>
      <w:r w:rsidRPr="00CA3ECF">
        <w:rPr>
          <w:rFonts w:ascii="Times New Roman" w:hAnsi="Times New Roman" w:cs="Times New Roman"/>
          <w:lang w:val="ru-RU"/>
        </w:rPr>
        <w:t xml:space="preserve"> према </w:t>
      </w:r>
      <w:r w:rsidRPr="00CA3ECF">
        <w:rPr>
          <w:rFonts w:ascii="Times New Roman" w:hAnsi="Times New Roman" w:cs="Times New Roman"/>
          <w:lang w:val="sl-SI"/>
        </w:rPr>
        <w:t xml:space="preserve">правилима </w:t>
      </w:r>
      <w:r w:rsidRPr="00E97419">
        <w:rPr>
          <w:rFonts w:ascii="Times New Roman" w:hAnsi="Times New Roman" w:cs="Times New Roman"/>
          <w:lang w:val="sl-SI"/>
        </w:rPr>
        <w:t xml:space="preserve">која су прописана </w:t>
      </w:r>
      <w:r w:rsidRPr="00CA3ECF">
        <w:rPr>
          <w:rFonts w:ascii="Times New Roman" w:hAnsi="Times New Roman" w:cs="Times New Roman"/>
          <w:lang w:val="sl-SI"/>
        </w:rPr>
        <w:t xml:space="preserve">правним тековинама ЕУ </w:t>
      </w:r>
      <w:r w:rsidRPr="00CA3ECF">
        <w:rPr>
          <w:rFonts w:ascii="Times New Roman" w:hAnsi="Times New Roman" w:cs="Times New Roman"/>
          <w:lang w:val="ru-RU"/>
        </w:rPr>
        <w:t xml:space="preserve">(по основу ПДВ-а, по основу бруто националног дохотка (БНД) и на име корекције за Велику Британију), као и да издваја одређена средства за допринос капиталу и резервама Европске инвестиционе банке (ЕИБ). Такође, ступањем у чланство ЕУ приходи од царина (традиционални сопствени приходи ЕУ) </w:t>
      </w:r>
      <w:r w:rsidRPr="00CA3ECF">
        <w:rPr>
          <w:rFonts w:ascii="Times New Roman" w:hAnsi="Times New Roman" w:cs="Times New Roman"/>
          <w:lang w:val="sl-SI"/>
        </w:rPr>
        <w:t xml:space="preserve">постају непосредан извор </w:t>
      </w:r>
      <w:r w:rsidRPr="00CA3ECF">
        <w:rPr>
          <w:rFonts w:ascii="Times New Roman" w:hAnsi="Times New Roman" w:cs="Times New Roman"/>
          <w:lang w:val="ru-RU"/>
        </w:rPr>
        <w:t xml:space="preserve"> буџет</w:t>
      </w:r>
      <w:r w:rsidRPr="00CA3ECF">
        <w:rPr>
          <w:rFonts w:ascii="Times New Roman" w:hAnsi="Times New Roman" w:cs="Times New Roman"/>
          <w:lang w:val="sl-SI"/>
        </w:rPr>
        <w:t>а</w:t>
      </w:r>
      <w:r w:rsidRPr="00CA3ECF">
        <w:rPr>
          <w:rFonts w:ascii="Times New Roman" w:hAnsi="Times New Roman" w:cs="Times New Roman"/>
          <w:lang w:val="ru-RU"/>
        </w:rPr>
        <w:t xml:space="preserve"> Е</w:t>
      </w:r>
      <w:r w:rsidRPr="00CA3ECF">
        <w:rPr>
          <w:rFonts w:ascii="Times New Roman" w:hAnsi="Times New Roman" w:cs="Times New Roman"/>
          <w:lang w:val="sl-SI"/>
        </w:rPr>
        <w:t>У</w:t>
      </w:r>
      <w:r w:rsidRPr="00CA3ECF">
        <w:rPr>
          <w:rFonts w:ascii="Times New Roman" w:hAnsi="Times New Roman" w:cs="Times New Roman"/>
          <w:lang w:val="ru-RU"/>
        </w:rPr>
        <w:t xml:space="preserve"> (држава чланица задржава мањи део средстава, око 10%, </w:t>
      </w:r>
      <w:r w:rsidRPr="00CA3ECF">
        <w:rPr>
          <w:rFonts w:ascii="Times New Roman" w:hAnsi="Times New Roman" w:cs="Times New Roman"/>
          <w:lang w:val="sl-SI"/>
        </w:rPr>
        <w:t xml:space="preserve">из наслова </w:t>
      </w:r>
      <w:r w:rsidRPr="00CA3ECF">
        <w:rPr>
          <w:rFonts w:ascii="Times New Roman" w:hAnsi="Times New Roman" w:cs="Times New Roman"/>
          <w:lang w:val="ru-RU"/>
        </w:rPr>
        <w:t xml:space="preserve"> трошков</w:t>
      </w:r>
      <w:r w:rsidRPr="00CA3ECF">
        <w:rPr>
          <w:rFonts w:ascii="Times New Roman" w:hAnsi="Times New Roman" w:cs="Times New Roman"/>
          <w:lang w:val="sl-SI"/>
        </w:rPr>
        <w:t>а</w:t>
      </w:r>
      <w:r w:rsidRPr="00CA3ECF">
        <w:rPr>
          <w:rFonts w:ascii="Times New Roman" w:hAnsi="Times New Roman" w:cs="Times New Roman"/>
          <w:lang w:val="ru-RU"/>
        </w:rPr>
        <w:t xml:space="preserve"> администрирања). У складу са искуствима држава које су постале чланице ЕУ </w:t>
      </w:r>
      <w:r w:rsidRPr="00CA3ECF">
        <w:rPr>
          <w:rFonts w:ascii="Times New Roman" w:hAnsi="Times New Roman" w:cs="Times New Roman"/>
          <w:lang w:val="sl-SI"/>
        </w:rPr>
        <w:t xml:space="preserve">у </w:t>
      </w:r>
      <w:r w:rsidRPr="00CA3ECF">
        <w:rPr>
          <w:rFonts w:ascii="Times New Roman" w:hAnsi="Times New Roman" w:cs="Times New Roman"/>
          <w:lang w:val="ru-RU"/>
        </w:rPr>
        <w:t>2004. годин</w:t>
      </w:r>
      <w:r w:rsidRPr="00CA3ECF">
        <w:rPr>
          <w:rFonts w:ascii="Times New Roman" w:hAnsi="Times New Roman" w:cs="Times New Roman"/>
          <w:lang w:val="sl-SI"/>
        </w:rPr>
        <w:t>и</w:t>
      </w:r>
      <w:r w:rsidRPr="00CA3ECF">
        <w:rPr>
          <w:rFonts w:ascii="Times New Roman" w:hAnsi="Times New Roman" w:cs="Times New Roman"/>
          <w:lang w:val="ru-RU"/>
        </w:rPr>
        <w:t>, очекује се да ће Република Србија уплаћивати око 1% свог БДП-а у буџет Е</w:t>
      </w:r>
      <w:r w:rsidRPr="00CA3ECF">
        <w:rPr>
          <w:rFonts w:ascii="Times New Roman" w:hAnsi="Times New Roman" w:cs="Times New Roman"/>
          <w:lang w:val="sl-SI"/>
        </w:rPr>
        <w:t>У</w:t>
      </w:r>
      <w:r w:rsidRPr="00CA3ECF">
        <w:rPr>
          <w:rFonts w:ascii="Times New Roman" w:hAnsi="Times New Roman" w:cs="Times New Roman"/>
          <w:lang w:val="ru-RU"/>
        </w:rPr>
        <w:t>.</w:t>
      </w: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ab/>
      </w:r>
      <w:r w:rsidRPr="00CA3ECF">
        <w:rPr>
          <w:rFonts w:ascii="Times New Roman" w:hAnsi="Times New Roman" w:cs="Times New Roman"/>
          <w:lang w:val="sl-SI"/>
        </w:rPr>
        <w:t xml:space="preserve">На страни прилива средстава буџета ЕУ у буџет </w:t>
      </w:r>
      <w:r w:rsidRPr="00E97419">
        <w:rPr>
          <w:rFonts w:ascii="Times New Roman" w:hAnsi="Times New Roman" w:cs="Times New Roman"/>
          <w:lang w:val="sl-SI"/>
        </w:rPr>
        <w:t>државе</w:t>
      </w:r>
      <w:r w:rsidRPr="00CA3ECF">
        <w:rPr>
          <w:rFonts w:ascii="Times New Roman" w:hAnsi="Times New Roman" w:cs="Times New Roman"/>
          <w:lang w:val="sl-SI"/>
        </w:rPr>
        <w:t xml:space="preserve"> чланице далеко најзначајнији су приходи из наслова кохезионе политике</w:t>
      </w:r>
      <w:r w:rsidRPr="00E97419">
        <w:rPr>
          <w:rFonts w:ascii="Times New Roman" w:hAnsi="Times New Roman" w:cs="Times New Roman"/>
          <w:lang w:val="sl-SI"/>
        </w:rPr>
        <w:t>,</w:t>
      </w:r>
      <w:r w:rsidRPr="00CA3ECF">
        <w:rPr>
          <w:rFonts w:ascii="Times New Roman" w:hAnsi="Times New Roman" w:cs="Times New Roman"/>
          <w:lang w:val="sl-SI"/>
        </w:rPr>
        <w:t xml:space="preserve"> те заједничке пољопривредне политике (само ове политике обухва</w:t>
      </w:r>
      <w:r w:rsidRPr="00E97419">
        <w:rPr>
          <w:rFonts w:ascii="Times New Roman" w:hAnsi="Times New Roman" w:cs="Times New Roman"/>
          <w:lang w:val="sl-SI"/>
        </w:rPr>
        <w:t>т</w:t>
      </w:r>
      <w:r w:rsidRPr="00CA3ECF">
        <w:rPr>
          <w:rFonts w:ascii="Times New Roman" w:hAnsi="Times New Roman" w:cs="Times New Roman"/>
          <w:lang w:val="sl-SI"/>
        </w:rPr>
        <w:t xml:space="preserve">ају чак око 80% укупних издатака буџета ЕУ). Средства из оба </w:t>
      </w:r>
      <w:r w:rsidRPr="00E97419">
        <w:rPr>
          <w:rFonts w:ascii="Times New Roman" w:hAnsi="Times New Roman" w:cs="Times New Roman"/>
          <w:lang w:val="sl-SI"/>
        </w:rPr>
        <w:t>наведена</w:t>
      </w:r>
      <w:r w:rsidRPr="00CA3ECF">
        <w:rPr>
          <w:rFonts w:ascii="Times New Roman" w:hAnsi="Times New Roman" w:cs="Times New Roman"/>
          <w:lang w:val="sl-SI"/>
        </w:rPr>
        <w:t xml:space="preserve"> наслова деле се изме</w:t>
      </w:r>
      <w:r w:rsidRPr="00E97419">
        <w:rPr>
          <w:rFonts w:ascii="Times New Roman" w:hAnsi="Times New Roman" w:cs="Times New Roman"/>
          <w:lang w:val="sl-SI"/>
        </w:rPr>
        <w:t>ђ</w:t>
      </w:r>
      <w:r w:rsidRPr="00CA3ECF">
        <w:rPr>
          <w:rFonts w:ascii="Times New Roman" w:hAnsi="Times New Roman" w:cs="Times New Roman"/>
          <w:lang w:val="sl-SI"/>
        </w:rPr>
        <w:t xml:space="preserve">у </w:t>
      </w:r>
      <w:r w:rsidRPr="00E97419">
        <w:rPr>
          <w:rFonts w:ascii="Times New Roman" w:hAnsi="Times New Roman" w:cs="Times New Roman"/>
          <w:lang w:val="sl-SI"/>
        </w:rPr>
        <w:t>држава</w:t>
      </w:r>
      <w:r w:rsidRPr="00CA3ECF">
        <w:rPr>
          <w:rFonts w:ascii="Times New Roman" w:hAnsi="Times New Roman" w:cs="Times New Roman"/>
          <w:lang w:val="sl-SI"/>
        </w:rPr>
        <w:t xml:space="preserve"> чланица на бази </w:t>
      </w:r>
      <w:r w:rsidRPr="00E97419">
        <w:rPr>
          <w:rFonts w:ascii="Times New Roman" w:hAnsi="Times New Roman" w:cs="Times New Roman"/>
          <w:lang w:val="sl-SI"/>
        </w:rPr>
        <w:t>„</w:t>
      </w:r>
      <w:r w:rsidRPr="00CA3ECF">
        <w:rPr>
          <w:rFonts w:ascii="Times New Roman" w:hAnsi="Times New Roman" w:cs="Times New Roman"/>
          <w:lang w:val="sl-SI"/>
        </w:rPr>
        <w:t xml:space="preserve">државних </w:t>
      </w:r>
      <w:r w:rsidRPr="00E97419">
        <w:rPr>
          <w:rFonts w:ascii="Times New Roman" w:hAnsi="Times New Roman" w:cs="Times New Roman"/>
          <w:lang w:val="sl-SI"/>
        </w:rPr>
        <w:t xml:space="preserve">коверти“ односно </w:t>
      </w:r>
      <w:r w:rsidRPr="00E97419">
        <w:rPr>
          <w:rFonts w:ascii="Times New Roman" w:hAnsi="Times New Roman" w:cs="Times New Roman"/>
          <w:lang w:val="sl-SI"/>
        </w:rPr>
        <w:lastRenderedPageBreak/>
        <w:t>алокација</w:t>
      </w:r>
      <w:r w:rsidRPr="00CA3ECF">
        <w:rPr>
          <w:rFonts w:ascii="Times New Roman" w:hAnsi="Times New Roman" w:cs="Times New Roman"/>
          <w:lang w:val="sl-SI"/>
        </w:rPr>
        <w:t xml:space="preserve"> испреговараних током преговора о вишегодишњем финансијском оквиру</w:t>
      </w:r>
      <w:r w:rsidRPr="00E97419">
        <w:rPr>
          <w:rFonts w:ascii="Times New Roman" w:hAnsi="Times New Roman" w:cs="Times New Roman"/>
          <w:lang w:val="sl-SI"/>
        </w:rPr>
        <w:t xml:space="preserve"> ЕУ.</w:t>
      </w:r>
      <w:r w:rsidRPr="00CA3ECF">
        <w:rPr>
          <w:rFonts w:ascii="Times New Roman" w:hAnsi="Times New Roman" w:cs="Times New Roman"/>
          <w:lang w:val="sl-SI"/>
        </w:rPr>
        <w:t xml:space="preserve"> За кориш</w:t>
      </w:r>
      <w:r w:rsidRPr="00E97419">
        <w:rPr>
          <w:rFonts w:ascii="Times New Roman" w:hAnsi="Times New Roman" w:cs="Times New Roman"/>
          <w:lang w:val="sl-SI"/>
        </w:rPr>
        <w:t>ћ</w:t>
      </w:r>
      <w:r w:rsidRPr="00CA3ECF">
        <w:rPr>
          <w:rFonts w:ascii="Times New Roman" w:hAnsi="Times New Roman" w:cs="Times New Roman"/>
          <w:lang w:val="sl-SI"/>
        </w:rPr>
        <w:t>ење ве</w:t>
      </w:r>
      <w:r w:rsidRPr="00E97419">
        <w:rPr>
          <w:rFonts w:ascii="Times New Roman" w:hAnsi="Times New Roman" w:cs="Times New Roman"/>
          <w:lang w:val="sl-SI"/>
        </w:rPr>
        <w:t>ћ</w:t>
      </w:r>
      <w:r w:rsidRPr="00CA3ECF">
        <w:rPr>
          <w:rFonts w:ascii="Times New Roman" w:hAnsi="Times New Roman" w:cs="Times New Roman"/>
          <w:lang w:val="sl-SI"/>
        </w:rPr>
        <w:t>ег дела средстава из ова два наслова – важи за средства кохези</w:t>
      </w:r>
      <w:r w:rsidRPr="00E97419">
        <w:rPr>
          <w:rFonts w:ascii="Times New Roman" w:hAnsi="Times New Roman" w:cs="Times New Roman"/>
          <w:lang w:val="sl-SI"/>
        </w:rPr>
        <w:t>он</w:t>
      </w:r>
      <w:r w:rsidRPr="00CA3ECF">
        <w:rPr>
          <w:rFonts w:ascii="Times New Roman" w:hAnsi="Times New Roman" w:cs="Times New Roman"/>
          <w:lang w:val="sl-SI"/>
        </w:rPr>
        <w:t xml:space="preserve">е политике и средства за рурални развој – потребно је </w:t>
      </w:r>
      <w:r w:rsidRPr="00CA3ECF">
        <w:rPr>
          <w:rFonts w:ascii="Times New Roman" w:hAnsi="Times New Roman" w:cs="Times New Roman"/>
          <w:lang w:val="ru-RU"/>
        </w:rPr>
        <w:t xml:space="preserve">кофинансирање </w:t>
      </w:r>
      <w:r w:rsidRPr="00CA3ECF">
        <w:rPr>
          <w:rFonts w:ascii="Times New Roman" w:hAnsi="Times New Roman" w:cs="Times New Roman"/>
          <w:lang w:val="sl-SI"/>
        </w:rPr>
        <w:t>са националним средст</w:t>
      </w:r>
      <w:r w:rsidRPr="00E97419">
        <w:rPr>
          <w:rFonts w:ascii="Times New Roman" w:hAnsi="Times New Roman" w:cs="Times New Roman"/>
          <w:lang w:val="sl-SI"/>
        </w:rPr>
        <w:t>в</w:t>
      </w:r>
      <w:r w:rsidRPr="00CA3ECF">
        <w:rPr>
          <w:rFonts w:ascii="Times New Roman" w:hAnsi="Times New Roman" w:cs="Times New Roman"/>
          <w:lang w:val="sl-SI"/>
        </w:rPr>
        <w:t>има</w:t>
      </w:r>
      <w:r w:rsidRPr="00CA3ECF">
        <w:rPr>
          <w:rFonts w:ascii="Times New Roman" w:hAnsi="Times New Roman" w:cs="Times New Roman"/>
          <w:lang w:val="ru-RU"/>
        </w:rPr>
        <w:t xml:space="preserve">, што производи додатне финанијске импликације на буџет државе чланице. У зависности од области, пројекти се могу финансирати средствима ЕУ максимално до 75-85%, док се остатак средстава обезбеђује из буџета државе чланице односно другог корисника пројекта. (У складу са досадашњим искуствима, очекивано је да држава у просеку кофинансира 35% средстава из структурних фондова и средстава за рурални развој и око 25% средстава из кохезионог фонда.) Процењено је да су нове државе чланице (проширење 2004. године) издвајале у просеку 0,3% БДП-а за кофинансирање пројеката. </w:t>
      </w:r>
      <w:r w:rsidRPr="00CA3ECF">
        <w:rPr>
          <w:rFonts w:ascii="Times New Roman" w:hAnsi="Times New Roman" w:cs="Times New Roman"/>
          <w:lang w:val="sl-SI"/>
        </w:rPr>
        <w:t xml:space="preserve">По логици </w:t>
      </w:r>
      <w:r w:rsidRPr="00E97419">
        <w:rPr>
          <w:rFonts w:ascii="Times New Roman" w:hAnsi="Times New Roman" w:cs="Times New Roman"/>
          <w:lang w:val="ru-RU"/>
        </w:rPr>
        <w:t>„д</w:t>
      </w:r>
      <w:r w:rsidRPr="00CA3ECF">
        <w:rPr>
          <w:rFonts w:ascii="Times New Roman" w:hAnsi="Times New Roman" w:cs="Times New Roman"/>
          <w:lang w:val="sl-SI"/>
        </w:rPr>
        <w:t xml:space="preserve">ржавних </w:t>
      </w:r>
      <w:r w:rsidRPr="00E97419">
        <w:rPr>
          <w:rFonts w:ascii="Times New Roman" w:hAnsi="Times New Roman" w:cs="Times New Roman"/>
          <w:lang w:val="ru-RU"/>
        </w:rPr>
        <w:t>коверти“, односно алокација,</w:t>
      </w:r>
      <w:r w:rsidRPr="00CA3ECF">
        <w:rPr>
          <w:rFonts w:ascii="Times New Roman" w:hAnsi="Times New Roman" w:cs="Times New Roman"/>
          <w:lang w:val="sl-SI"/>
        </w:rPr>
        <w:t xml:space="preserve"> деле се и средства неких унутрашњих политика те финансијске компензације на које </w:t>
      </w:r>
      <w:r w:rsidRPr="00E97419">
        <w:rPr>
          <w:rFonts w:ascii="Times New Roman" w:hAnsi="Times New Roman" w:cs="Times New Roman"/>
          <w:lang w:val="ru-RU"/>
        </w:rPr>
        <w:t>држава</w:t>
      </w:r>
      <w:r w:rsidRPr="00CA3ECF">
        <w:rPr>
          <w:rFonts w:ascii="Times New Roman" w:hAnsi="Times New Roman" w:cs="Times New Roman"/>
          <w:lang w:val="sl-SI"/>
        </w:rPr>
        <w:t xml:space="preserve"> чланица </w:t>
      </w:r>
      <w:r w:rsidRPr="00E97419">
        <w:rPr>
          <w:rFonts w:ascii="Times New Roman" w:hAnsi="Times New Roman" w:cs="Times New Roman"/>
          <w:lang w:val="ru-RU"/>
        </w:rPr>
        <w:t>има право</w:t>
      </w:r>
      <w:r w:rsidRPr="00CA3ECF">
        <w:rPr>
          <w:rFonts w:ascii="Times New Roman" w:hAnsi="Times New Roman" w:cs="Times New Roman"/>
          <w:lang w:val="sl-SI"/>
        </w:rPr>
        <w:t xml:space="preserve"> у прве две или три године чланства у ЕУ.     </w:t>
      </w:r>
    </w:p>
    <w:p w:rsidR="007123ED" w:rsidRPr="00A22AE4" w:rsidRDefault="007123ED" w:rsidP="00A22AE4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t xml:space="preserve"> </w:t>
      </w:r>
      <w:r w:rsidRPr="00CA3ECF">
        <w:rPr>
          <w:rFonts w:ascii="Times New Roman" w:hAnsi="Times New Roman" w:cs="Times New Roman"/>
          <w:lang w:val="ru-RU"/>
        </w:rPr>
        <w:tab/>
      </w:r>
      <w:r w:rsidRPr="00CA3ECF">
        <w:rPr>
          <w:rFonts w:ascii="Times New Roman" w:hAnsi="Times New Roman" w:cs="Times New Roman"/>
          <w:lang w:val="ru-RU"/>
        </w:rPr>
        <w:tab/>
        <w:t xml:space="preserve">Држава чланица може повлачити средства из буџета ЕУ, на основу учешћа у заједничким политикама Европске уније. </w:t>
      </w:r>
      <w:r w:rsidRPr="00CA3ECF">
        <w:rPr>
          <w:rFonts w:ascii="Times New Roman" w:hAnsi="Times New Roman" w:cs="Times New Roman"/>
          <w:b/>
          <w:bCs/>
          <w:lang w:val="ru-RU"/>
        </w:rPr>
        <w:t>Трансфери из буџета могу се поделити на трансфере који нису везани за пројекте, па њихов износ по аутоматизму постаје приход буџета државе чланице и на трансфере који зависе од пројеката, па њихов прилив зависи од апсорпционог капацитета државе чланице, односно од њене способности да изради и реализује пројекте</w:t>
      </w:r>
      <w:r w:rsidRPr="00CA3ECF">
        <w:rPr>
          <w:rFonts w:ascii="Times New Roman" w:hAnsi="Times New Roman" w:cs="Times New Roman"/>
          <w:lang w:val="ru-RU"/>
        </w:rPr>
        <w:t xml:space="preserve">. </w:t>
      </w:r>
    </w:p>
    <w:p w:rsidR="007123ED" w:rsidRPr="00A22AE4" w:rsidRDefault="007123ED" w:rsidP="00A22AE4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tab/>
        <w:t xml:space="preserve">У прву групу спадају директна буџетска помоћ, издвајања за пољопривреду и трансфери по основу унутрашњих политика. У другу групу спадају Програми ЕУ, трансфери из структурних фондова, кохезионог фонда и средстава за рурални развој. </w:t>
      </w:r>
    </w:p>
    <w:p w:rsidR="007123ED" w:rsidRPr="00A22AE4" w:rsidRDefault="007123ED" w:rsidP="00A22AE4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tab/>
        <w:t xml:space="preserve">Када је реч о трансферима који су везани за (развојне) пројекте они подразумевају финансијски допринос ЕУ спровођењу заједничких политика ЕУ у различитим областима (саобраћај, животна средина, енергетика, истраживање и развој, запошљавање, образовање итд.) и подлежу стриктним правилима управљања, финансирања и временских ограничења, тј. периода до када средства морају да се утроше. Правила финансирања подразумевају да се пројекти суфинансирају из буџета ЕУ у износу до 85% његове вредности, док преостали износ се финансира из државног буџета. Исто тако, правила финансирања захтевају да пре него што се изврши уплата из буџета ЕУ, држава предфинансира пројектне активности, а када се потврди да су активности спроведене у складу са правилима управљања врши се уплата из буџета ЕУ. Несумњиво да овакав систем финансирања производи додатне финанијске импликације на буџет државе чланице. </w:t>
      </w: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l-SI"/>
        </w:rPr>
        <w:tab/>
      </w:r>
      <w:r w:rsidRPr="00CA3ECF">
        <w:rPr>
          <w:rFonts w:ascii="Times New Roman" w:hAnsi="Times New Roman" w:cs="Times New Roman"/>
          <w:lang w:val="sl-SI"/>
        </w:rPr>
        <w:t>Код неких заједничиких политика ЕУ д</w:t>
      </w:r>
      <w:r w:rsidRPr="00CA3ECF">
        <w:rPr>
          <w:rFonts w:ascii="Times New Roman" w:hAnsi="Times New Roman" w:cs="Times New Roman"/>
          <w:lang w:val="ru-RU"/>
        </w:rPr>
        <w:t>ржава чланица може повлачити средства из буџета ЕУ</w:t>
      </w:r>
      <w:r w:rsidRPr="00CA3ECF">
        <w:rPr>
          <w:rFonts w:ascii="Times New Roman" w:hAnsi="Times New Roman" w:cs="Times New Roman"/>
          <w:lang w:val="sl-SI"/>
        </w:rPr>
        <w:t xml:space="preserve"> и</w:t>
      </w:r>
      <w:r w:rsidRPr="00CA3ECF">
        <w:rPr>
          <w:rFonts w:ascii="Times New Roman" w:hAnsi="Times New Roman" w:cs="Times New Roman"/>
          <w:lang w:val="ru-RU"/>
        </w:rPr>
        <w:t xml:space="preserve"> на основу </w:t>
      </w:r>
      <w:r w:rsidRPr="00CA3ECF">
        <w:rPr>
          <w:rFonts w:ascii="Times New Roman" w:hAnsi="Times New Roman" w:cs="Times New Roman"/>
          <w:lang w:val="sl-SI"/>
        </w:rPr>
        <w:t xml:space="preserve">средстава добијених на тендерима расписаним од стране Европске комисије. Пример поделе средстава на бази </w:t>
      </w:r>
      <w:r w:rsidRPr="00E97419">
        <w:rPr>
          <w:rFonts w:ascii="Times New Roman" w:hAnsi="Times New Roman" w:cs="Times New Roman"/>
          <w:lang w:val="sl-SI"/>
        </w:rPr>
        <w:t xml:space="preserve"> „</w:t>
      </w:r>
      <w:r w:rsidRPr="00CA3ECF">
        <w:rPr>
          <w:rFonts w:ascii="Times New Roman" w:hAnsi="Times New Roman" w:cs="Times New Roman"/>
          <w:lang w:val="sl-SI"/>
        </w:rPr>
        <w:t>квалитета понуде</w:t>
      </w:r>
      <w:r w:rsidRPr="00E97419">
        <w:rPr>
          <w:rFonts w:ascii="Times New Roman" w:hAnsi="Times New Roman" w:cs="Times New Roman"/>
          <w:lang w:val="sl-SI"/>
        </w:rPr>
        <w:t xml:space="preserve">“ </w:t>
      </w:r>
      <w:r w:rsidRPr="00CA3ECF">
        <w:rPr>
          <w:rFonts w:ascii="Times New Roman" w:hAnsi="Times New Roman" w:cs="Times New Roman"/>
          <w:lang w:val="sl-SI"/>
        </w:rPr>
        <w:t xml:space="preserve">су на пример средства за  истраживање и развој. </w:t>
      </w: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l-SI"/>
        </w:rPr>
        <w:tab/>
      </w:r>
      <w:r w:rsidRPr="00CA3ECF">
        <w:rPr>
          <w:rFonts w:ascii="Times New Roman" w:hAnsi="Times New Roman" w:cs="Times New Roman"/>
          <w:lang w:val="sl-SI"/>
        </w:rPr>
        <w:t>И</w:t>
      </w:r>
      <w:r w:rsidRPr="00CA3ECF">
        <w:rPr>
          <w:rFonts w:ascii="Times New Roman" w:hAnsi="Times New Roman" w:cs="Times New Roman"/>
          <w:lang w:val="ru-RU"/>
        </w:rPr>
        <w:t>скуства држава које су постале чланице Е</w:t>
      </w:r>
      <w:r w:rsidRPr="00CA3ECF">
        <w:rPr>
          <w:rFonts w:ascii="Times New Roman" w:hAnsi="Times New Roman" w:cs="Times New Roman"/>
          <w:lang w:val="sl-SI"/>
        </w:rPr>
        <w:t>У</w:t>
      </w:r>
      <w:r w:rsidRPr="00CA3ECF">
        <w:rPr>
          <w:rFonts w:ascii="Times New Roman" w:hAnsi="Times New Roman" w:cs="Times New Roman"/>
          <w:lang w:val="ru-RU"/>
        </w:rPr>
        <w:t xml:space="preserve"> 2004. године, показују да </w:t>
      </w:r>
      <w:r w:rsidRPr="00CA3ECF">
        <w:rPr>
          <w:rFonts w:ascii="Times New Roman" w:hAnsi="Times New Roman" w:cs="Times New Roman"/>
          <w:lang w:val="sl-SI"/>
        </w:rPr>
        <w:t>је предви</w:t>
      </w:r>
      <w:r w:rsidRPr="00E97419">
        <w:rPr>
          <w:rFonts w:ascii="Times New Roman" w:hAnsi="Times New Roman" w:cs="Times New Roman"/>
          <w:lang w:val="sl-SI"/>
        </w:rPr>
        <w:t>ђ</w:t>
      </w:r>
      <w:r w:rsidRPr="00CA3ECF">
        <w:rPr>
          <w:rFonts w:ascii="Times New Roman" w:hAnsi="Times New Roman" w:cs="Times New Roman"/>
          <w:lang w:val="sl-SI"/>
        </w:rPr>
        <w:t>ена нето финансијска позиција, то јест разлика изме</w:t>
      </w:r>
      <w:r w:rsidRPr="00E97419">
        <w:rPr>
          <w:rFonts w:ascii="Times New Roman" w:hAnsi="Times New Roman" w:cs="Times New Roman"/>
          <w:lang w:val="sl-SI"/>
        </w:rPr>
        <w:t>ђ</w:t>
      </w:r>
      <w:r w:rsidRPr="00CA3ECF">
        <w:rPr>
          <w:rFonts w:ascii="Times New Roman" w:hAnsi="Times New Roman" w:cs="Times New Roman"/>
          <w:lang w:val="sl-SI"/>
        </w:rPr>
        <w:t>у обима средстава алоцираних за по</w:t>
      </w:r>
      <w:r w:rsidRPr="00E97419">
        <w:rPr>
          <w:rFonts w:ascii="Times New Roman" w:hAnsi="Times New Roman" w:cs="Times New Roman"/>
          <w:lang w:val="sl-SI"/>
        </w:rPr>
        <w:t>ј</w:t>
      </w:r>
      <w:r w:rsidRPr="00CA3ECF">
        <w:rPr>
          <w:rFonts w:ascii="Times New Roman" w:hAnsi="Times New Roman" w:cs="Times New Roman"/>
          <w:lang w:val="sl-SI"/>
        </w:rPr>
        <w:t xml:space="preserve">едину </w:t>
      </w:r>
      <w:r w:rsidRPr="00E97419">
        <w:rPr>
          <w:rFonts w:ascii="Times New Roman" w:hAnsi="Times New Roman" w:cs="Times New Roman"/>
          <w:lang w:val="sl-SI"/>
        </w:rPr>
        <w:t>државу</w:t>
      </w:r>
      <w:r w:rsidRPr="00CA3ECF">
        <w:rPr>
          <w:rFonts w:ascii="Times New Roman" w:hAnsi="Times New Roman" w:cs="Times New Roman"/>
          <w:lang w:val="sl-SI"/>
        </w:rPr>
        <w:t xml:space="preserve"> </w:t>
      </w:r>
      <w:r w:rsidRPr="00E97419">
        <w:rPr>
          <w:rFonts w:ascii="Times New Roman" w:hAnsi="Times New Roman" w:cs="Times New Roman"/>
          <w:lang w:val="sl-SI"/>
        </w:rPr>
        <w:t>и</w:t>
      </w:r>
      <w:r w:rsidRPr="00CA3ECF">
        <w:rPr>
          <w:rFonts w:ascii="Times New Roman" w:hAnsi="Times New Roman" w:cs="Times New Roman"/>
          <w:lang w:val="sl-SI"/>
        </w:rPr>
        <w:t xml:space="preserve"> обима предви</w:t>
      </w:r>
      <w:r w:rsidRPr="00E97419">
        <w:rPr>
          <w:rFonts w:ascii="Times New Roman" w:hAnsi="Times New Roman" w:cs="Times New Roman"/>
          <w:lang w:val="sl-SI"/>
        </w:rPr>
        <w:t>ђ</w:t>
      </w:r>
      <w:r w:rsidRPr="00CA3ECF">
        <w:rPr>
          <w:rFonts w:ascii="Times New Roman" w:hAnsi="Times New Roman" w:cs="Times New Roman"/>
          <w:lang w:val="sl-SI"/>
        </w:rPr>
        <w:t xml:space="preserve">ених уплата </w:t>
      </w:r>
      <w:r w:rsidRPr="00E97419">
        <w:rPr>
          <w:rFonts w:ascii="Times New Roman" w:hAnsi="Times New Roman" w:cs="Times New Roman"/>
          <w:lang w:val="sl-SI"/>
        </w:rPr>
        <w:t xml:space="preserve">те државе </w:t>
      </w:r>
      <w:r w:rsidRPr="00CA3ECF">
        <w:rPr>
          <w:rFonts w:ascii="Times New Roman" w:hAnsi="Times New Roman" w:cs="Times New Roman"/>
          <w:lang w:val="sl-SI"/>
        </w:rPr>
        <w:t>у буџет ЕУ, у свим случајевима била значајно позитивна. А што се тиче стварне нето финансијске позиције, то јест разлике изме</w:t>
      </w:r>
      <w:r w:rsidRPr="00E97419">
        <w:rPr>
          <w:rFonts w:ascii="Times New Roman" w:hAnsi="Times New Roman" w:cs="Times New Roman"/>
          <w:lang w:val="sl-SI"/>
        </w:rPr>
        <w:t>ђ</w:t>
      </w:r>
      <w:r w:rsidRPr="00CA3ECF">
        <w:rPr>
          <w:rFonts w:ascii="Times New Roman" w:hAnsi="Times New Roman" w:cs="Times New Roman"/>
          <w:lang w:val="sl-SI"/>
        </w:rPr>
        <w:t>у стварно пову</w:t>
      </w:r>
      <w:r w:rsidRPr="00E97419">
        <w:rPr>
          <w:rFonts w:ascii="Times New Roman" w:hAnsi="Times New Roman" w:cs="Times New Roman"/>
          <w:lang w:val="sl-SI"/>
        </w:rPr>
        <w:t>ч</w:t>
      </w:r>
      <w:r w:rsidRPr="00CA3ECF">
        <w:rPr>
          <w:rFonts w:ascii="Times New Roman" w:hAnsi="Times New Roman" w:cs="Times New Roman"/>
          <w:lang w:val="sl-SI"/>
        </w:rPr>
        <w:t>ених средстава из буџета ЕУ и уплата у тај буџет, она је у многоме зависила од а</w:t>
      </w:r>
      <w:r w:rsidRPr="00E97419">
        <w:rPr>
          <w:rFonts w:ascii="Times New Roman" w:hAnsi="Times New Roman" w:cs="Times New Roman"/>
          <w:lang w:val="sl-SI"/>
        </w:rPr>
        <w:t>пс</w:t>
      </w:r>
      <w:r w:rsidRPr="00CA3ECF">
        <w:rPr>
          <w:rFonts w:ascii="Times New Roman" w:hAnsi="Times New Roman" w:cs="Times New Roman"/>
          <w:lang w:val="sl-SI"/>
        </w:rPr>
        <w:t xml:space="preserve">орпционе способности </w:t>
      </w:r>
      <w:r w:rsidRPr="00E97419">
        <w:rPr>
          <w:rFonts w:ascii="Times New Roman" w:hAnsi="Times New Roman" w:cs="Times New Roman"/>
          <w:lang w:val="sl-SI"/>
        </w:rPr>
        <w:t>државе</w:t>
      </w:r>
      <w:r w:rsidRPr="00CA3ECF">
        <w:rPr>
          <w:rFonts w:ascii="Times New Roman" w:hAnsi="Times New Roman" w:cs="Times New Roman"/>
          <w:lang w:val="sl-SI"/>
        </w:rPr>
        <w:t xml:space="preserve">, </w:t>
      </w:r>
      <w:r w:rsidRPr="00E97419">
        <w:rPr>
          <w:rFonts w:ascii="Times New Roman" w:hAnsi="Times New Roman" w:cs="Times New Roman"/>
          <w:lang w:val="sl-SI"/>
        </w:rPr>
        <w:t>односно</w:t>
      </w:r>
      <w:r w:rsidRPr="00CA3ECF">
        <w:rPr>
          <w:rFonts w:ascii="Times New Roman" w:hAnsi="Times New Roman" w:cs="Times New Roman"/>
          <w:lang w:val="sl-SI"/>
        </w:rPr>
        <w:t xml:space="preserve"> од њене способности припреме пројеката, обезбе</w:t>
      </w:r>
      <w:r w:rsidRPr="00E97419">
        <w:rPr>
          <w:rFonts w:ascii="Times New Roman" w:hAnsi="Times New Roman" w:cs="Times New Roman"/>
          <w:lang w:val="sl-SI"/>
        </w:rPr>
        <w:t>ђ</w:t>
      </w:r>
      <w:r w:rsidRPr="00CA3ECF">
        <w:rPr>
          <w:rFonts w:ascii="Times New Roman" w:hAnsi="Times New Roman" w:cs="Times New Roman"/>
          <w:lang w:val="sl-SI"/>
        </w:rPr>
        <w:t>ивања националног суфинан</w:t>
      </w:r>
      <w:r w:rsidRPr="00E97419">
        <w:rPr>
          <w:rFonts w:ascii="Times New Roman" w:hAnsi="Times New Roman" w:cs="Times New Roman"/>
          <w:lang w:val="sl-SI"/>
        </w:rPr>
        <w:t>с</w:t>
      </w:r>
      <w:r w:rsidRPr="00CA3ECF">
        <w:rPr>
          <w:rFonts w:ascii="Times New Roman" w:hAnsi="Times New Roman" w:cs="Times New Roman"/>
          <w:lang w:val="sl-SI"/>
        </w:rPr>
        <w:t>ирања те ефикасности дома</w:t>
      </w:r>
      <w:r w:rsidRPr="00E97419">
        <w:rPr>
          <w:rFonts w:ascii="Times New Roman" w:hAnsi="Times New Roman" w:cs="Times New Roman"/>
          <w:lang w:val="sl-SI"/>
        </w:rPr>
        <w:t>ћ</w:t>
      </w:r>
      <w:r w:rsidRPr="00CA3ECF">
        <w:rPr>
          <w:rFonts w:ascii="Times New Roman" w:hAnsi="Times New Roman" w:cs="Times New Roman"/>
          <w:lang w:val="sl-SI"/>
        </w:rPr>
        <w:t>их структура за кориш</w:t>
      </w:r>
      <w:r w:rsidRPr="00E97419">
        <w:rPr>
          <w:rFonts w:ascii="Times New Roman" w:hAnsi="Times New Roman" w:cs="Times New Roman"/>
          <w:lang w:val="sl-SI"/>
        </w:rPr>
        <w:t>ћ</w:t>
      </w:r>
      <w:r w:rsidRPr="00CA3ECF">
        <w:rPr>
          <w:rFonts w:ascii="Times New Roman" w:hAnsi="Times New Roman" w:cs="Times New Roman"/>
          <w:lang w:val="sl-SI"/>
        </w:rPr>
        <w:t>ење средстава.</w:t>
      </w:r>
      <w:r w:rsidRPr="00CA3ECF">
        <w:rPr>
          <w:rStyle w:val="FootnoteReference"/>
          <w:rFonts w:ascii="Times New Roman" w:hAnsi="Times New Roman" w:cs="Times New Roman"/>
          <w:lang w:val="sl-SI"/>
        </w:rPr>
        <w:footnoteReference w:id="3"/>
      </w:r>
      <w:r w:rsidRPr="00CA3ECF">
        <w:rPr>
          <w:rFonts w:ascii="Times New Roman" w:hAnsi="Times New Roman" w:cs="Times New Roman"/>
          <w:lang w:val="sl-SI"/>
        </w:rPr>
        <w:t xml:space="preserve"> По правилу </w:t>
      </w:r>
      <w:r w:rsidRPr="00E97419">
        <w:rPr>
          <w:rFonts w:ascii="Times New Roman" w:hAnsi="Times New Roman" w:cs="Times New Roman"/>
          <w:lang w:val="sl-SI"/>
        </w:rPr>
        <w:t>с</w:t>
      </w:r>
      <w:r w:rsidRPr="00CA3ECF">
        <w:rPr>
          <w:rFonts w:ascii="Times New Roman" w:hAnsi="Times New Roman" w:cs="Times New Roman"/>
          <w:lang w:val="sl-SI"/>
        </w:rPr>
        <w:t xml:space="preserve">у нове </w:t>
      </w:r>
      <w:r w:rsidRPr="00E97419">
        <w:rPr>
          <w:rFonts w:ascii="Times New Roman" w:hAnsi="Times New Roman" w:cs="Times New Roman"/>
          <w:lang w:val="sl-SI"/>
        </w:rPr>
        <w:t>држав</w:t>
      </w:r>
      <w:r w:rsidRPr="00CA3ECF">
        <w:rPr>
          <w:rFonts w:ascii="Times New Roman" w:hAnsi="Times New Roman" w:cs="Times New Roman"/>
          <w:lang w:val="sl-SI"/>
        </w:rPr>
        <w:t xml:space="preserve">е чланице имале позитивне стварне нето финансијске </w:t>
      </w:r>
      <w:r w:rsidRPr="00CA3ECF">
        <w:rPr>
          <w:rFonts w:ascii="Times New Roman" w:hAnsi="Times New Roman" w:cs="Times New Roman"/>
          <w:lang w:val="sl-SI"/>
        </w:rPr>
        <w:lastRenderedPageBreak/>
        <w:t>позиције у односу на буџет ЕУ, што</w:t>
      </w:r>
      <w:r w:rsidRPr="00E97419">
        <w:rPr>
          <w:rFonts w:ascii="Times New Roman" w:hAnsi="Times New Roman" w:cs="Times New Roman"/>
          <w:lang w:val="sl-SI"/>
        </w:rPr>
        <w:t xml:space="preserve"> </w:t>
      </w:r>
      <w:r w:rsidRPr="00CA3ECF">
        <w:rPr>
          <w:rFonts w:ascii="Times New Roman" w:hAnsi="Times New Roman" w:cs="Times New Roman"/>
          <w:lang w:val="sl-SI"/>
        </w:rPr>
        <w:t xml:space="preserve">значи да су из буџета ЕУ </w:t>
      </w:r>
      <w:r w:rsidRPr="00E97419">
        <w:rPr>
          <w:rFonts w:ascii="Times New Roman" w:hAnsi="Times New Roman" w:cs="Times New Roman"/>
          <w:lang w:val="sl-SI"/>
        </w:rPr>
        <w:t>ву</w:t>
      </w:r>
      <w:r w:rsidRPr="00CA3ECF">
        <w:rPr>
          <w:rFonts w:ascii="Times New Roman" w:hAnsi="Times New Roman" w:cs="Times New Roman"/>
          <w:lang w:val="ru-RU"/>
        </w:rPr>
        <w:t>кле више средстава него што су уплатиле. Просеч</w:t>
      </w:r>
      <w:r w:rsidRPr="00CA3ECF">
        <w:rPr>
          <w:rFonts w:ascii="Times New Roman" w:hAnsi="Times New Roman" w:cs="Times New Roman"/>
          <w:lang w:val="sl-SI"/>
        </w:rPr>
        <w:t>на пози</w:t>
      </w:r>
      <w:r w:rsidRPr="00E97419">
        <w:rPr>
          <w:rFonts w:ascii="Times New Roman" w:hAnsi="Times New Roman" w:cs="Times New Roman"/>
          <w:lang w:val="ru-RU"/>
        </w:rPr>
        <w:t>ти</w:t>
      </w:r>
      <w:r w:rsidRPr="00CA3ECF">
        <w:rPr>
          <w:rFonts w:ascii="Times New Roman" w:hAnsi="Times New Roman" w:cs="Times New Roman"/>
          <w:lang w:val="sl-SI"/>
        </w:rPr>
        <w:t xml:space="preserve">вна стварна </w:t>
      </w:r>
      <w:r w:rsidRPr="00CA3ECF">
        <w:rPr>
          <w:rFonts w:ascii="Times New Roman" w:hAnsi="Times New Roman" w:cs="Times New Roman"/>
          <w:lang w:val="ru-RU"/>
        </w:rPr>
        <w:t xml:space="preserve">нето </w:t>
      </w:r>
      <w:r w:rsidRPr="00CA3ECF">
        <w:rPr>
          <w:rFonts w:ascii="Times New Roman" w:hAnsi="Times New Roman" w:cs="Times New Roman"/>
          <w:lang w:val="sl-SI"/>
        </w:rPr>
        <w:t xml:space="preserve">финансијска позиција </w:t>
      </w:r>
      <w:r w:rsidRPr="00CA3ECF">
        <w:rPr>
          <w:rFonts w:ascii="Times New Roman" w:hAnsi="Times New Roman" w:cs="Times New Roman"/>
          <w:lang w:val="ru-RU"/>
        </w:rPr>
        <w:t>у периоду 2005-2009</w:t>
      </w:r>
      <w:r w:rsidRPr="00CA3ECF">
        <w:rPr>
          <w:rFonts w:ascii="Times New Roman" w:hAnsi="Times New Roman" w:cs="Times New Roman"/>
          <w:lang w:val="sl-SI"/>
        </w:rPr>
        <w:t xml:space="preserve"> износила је </w:t>
      </w:r>
      <w:r w:rsidRPr="00CA3ECF">
        <w:rPr>
          <w:rFonts w:ascii="Times New Roman" w:hAnsi="Times New Roman" w:cs="Times New Roman"/>
          <w:lang w:val="ru-RU"/>
        </w:rPr>
        <w:t xml:space="preserve">од 0,41% БДП-а у Словенији до чак 3,15% у Литванији. </w:t>
      </w:r>
    </w:p>
    <w:p w:rsidR="007123ED" w:rsidRPr="00A22AE4" w:rsidRDefault="007123ED" w:rsidP="00A22AE4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97419">
        <w:rPr>
          <w:rFonts w:ascii="Times New Roman" w:hAnsi="Times New Roman" w:cs="Times New Roman"/>
          <w:lang w:val="ru-RU"/>
        </w:rPr>
        <w:tab/>
      </w:r>
      <w:r w:rsidRPr="00CA3ECF">
        <w:rPr>
          <w:rFonts w:ascii="Times New Roman" w:hAnsi="Times New Roman" w:cs="Times New Roman"/>
          <w:lang w:val="ru-RU"/>
        </w:rPr>
        <w:t>Иако су по правилу нове државе чланице у целини нето примаоци средстава из буџета ЕУ, процес приступања ЕУ има негативан нето финансијски учинак за буџете земаља чланица у просечном годишњем износу између 1% и 1,5% БДП-а, а највећи притисак на буџет очекује се у првим годинама чланства.</w:t>
      </w:r>
    </w:p>
    <w:p w:rsidR="007123ED" w:rsidRPr="00E97419" w:rsidRDefault="007123ED" w:rsidP="00A22AE4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7419">
        <w:rPr>
          <w:rFonts w:ascii="Times New Roman" w:hAnsi="Times New Roman" w:cs="Times New Roman"/>
          <w:b/>
          <w:bCs/>
          <w:sz w:val="22"/>
          <w:szCs w:val="22"/>
          <w:lang w:val="ru-RU"/>
        </w:rPr>
        <w:t>На основу искустава држава чланица и важећег буџета могу се извући одређени закључци</w:t>
      </w:r>
      <w:r w:rsidRPr="00E97419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7123ED" w:rsidRPr="00E97419" w:rsidRDefault="007123ED" w:rsidP="00A22A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123ED" w:rsidRPr="00E97419" w:rsidRDefault="007123ED" w:rsidP="00F4458B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7419">
        <w:rPr>
          <w:rFonts w:ascii="Times New Roman" w:hAnsi="Times New Roman" w:cs="Times New Roman"/>
          <w:sz w:val="22"/>
          <w:szCs w:val="22"/>
          <w:lang w:val="ru-RU"/>
        </w:rPr>
        <w:t>У односу на БДП, нето даваоци плаћају од 0.09% (Ирска) до 0.53% (Данска), док нето примаоци примају од 0.04% (Шпанија) до 5.33% (Литванија). Након приступања, очекује се да ће Србија бити нето прималац;</w:t>
      </w:r>
    </w:p>
    <w:p w:rsidR="007123ED" w:rsidRPr="00E97419" w:rsidRDefault="007123ED" w:rsidP="00F4458B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7419">
        <w:rPr>
          <w:rFonts w:ascii="Times New Roman" w:hAnsi="Times New Roman" w:cs="Times New Roman"/>
          <w:sz w:val="22"/>
          <w:szCs w:val="22"/>
          <w:lang w:val="ru-RU"/>
        </w:rPr>
        <w:t>У одређеним државама чланицама ЕУ ограничење издвајања за кохезиону политику у периоду 2014-2020 у износу од 2.5% бруто националног дохотка ће утицати на смањење издвајања за те државе у поређењу са буџетом за период 2007-2013;</w:t>
      </w:r>
    </w:p>
    <w:p w:rsidR="007123ED" w:rsidRPr="00E97419" w:rsidRDefault="007123ED" w:rsidP="00F4458B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Т</w:t>
      </w:r>
      <w:r w:rsidRPr="00CA3ECF">
        <w:rPr>
          <w:rFonts w:ascii="Times New Roman" w:hAnsi="Times New Roman" w:cs="Times New Roman"/>
          <w:sz w:val="22"/>
          <w:szCs w:val="22"/>
          <w:lang w:val="ru-RU"/>
        </w:rPr>
        <w:t>рансфери намењени пројектима зависе од апсорпционог капацитета државе чланице, односно од њене способности да изради и реализује пројекте и уколико се средства не утроше у одређеном временском року враћају се у буџет ЕУ;</w:t>
      </w:r>
    </w:p>
    <w:p w:rsidR="007123ED" w:rsidRPr="00E97419" w:rsidRDefault="007123ED" w:rsidP="00F4458B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A3ECF">
        <w:rPr>
          <w:rFonts w:ascii="Times New Roman" w:hAnsi="Times New Roman" w:cs="Times New Roman"/>
          <w:sz w:val="22"/>
          <w:szCs w:val="22"/>
          <w:lang w:val="ru-RU"/>
        </w:rPr>
        <w:t>Иако су по правилу нове државе чланице у целини нето примаоци средстава из буџета ЕУ, процес приступања ЕУ има негативан нето финансијски учинак за буџете земаља чланица, а највећи притисак на буџет очекује се у првим годинама чланства</w:t>
      </w:r>
      <w:r w:rsidRPr="00E97419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7123ED" w:rsidRPr="00E97419" w:rsidRDefault="007123ED" w:rsidP="00F4458B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7419">
        <w:rPr>
          <w:rFonts w:ascii="Times New Roman" w:hAnsi="Times New Roman" w:cs="Times New Roman"/>
          <w:sz w:val="22"/>
          <w:szCs w:val="22"/>
          <w:lang w:val="ru-RU"/>
        </w:rPr>
        <w:t>Планирање буџета, односно расположивост финансијских средстава, утиче на достизање одређених мерила током преговора, те самим тим и на могуће прелазне периоде у одређеним поглављима.</w:t>
      </w:r>
    </w:p>
    <w:p w:rsidR="007123ED" w:rsidRPr="00E97419" w:rsidRDefault="007123ED" w:rsidP="00F4458B">
      <w:pPr>
        <w:tabs>
          <w:tab w:val="left" w:pos="993"/>
        </w:tabs>
        <w:spacing w:after="120" w:line="240" w:lineRule="auto"/>
        <w:ind w:firstLine="990"/>
        <w:jc w:val="both"/>
        <w:rPr>
          <w:rFonts w:ascii="Times New Roman" w:hAnsi="Times New Roman" w:cs="Times New Roman"/>
          <w:color w:val="FF0000"/>
          <w:lang w:val="ru-RU"/>
        </w:rPr>
      </w:pPr>
    </w:p>
    <w:p w:rsidR="007123ED" w:rsidRPr="00A22AE4" w:rsidRDefault="007123ED" w:rsidP="00A22AE4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u w:val="single"/>
          <w:lang w:val="ru-RU"/>
        </w:rPr>
      </w:pPr>
      <w:r w:rsidRPr="00CA3ECF">
        <w:rPr>
          <w:rFonts w:ascii="Times New Roman" w:hAnsi="Times New Roman" w:cs="Times New Roman"/>
          <w:b/>
          <w:bCs/>
          <w:u w:val="single"/>
        </w:rPr>
        <w:t>VI</w:t>
      </w:r>
      <w:r w:rsidRPr="00CA3ECF">
        <w:rPr>
          <w:rFonts w:ascii="Times New Roman" w:hAnsi="Times New Roman" w:cs="Times New Roman"/>
          <w:b/>
          <w:bCs/>
          <w:u w:val="single"/>
          <w:lang w:val="ru-RU"/>
        </w:rPr>
        <w:t xml:space="preserve"> Нацрт уговора и други материјали који се односе на преговоре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color w:val="000000"/>
          <w:lang w:val="ru-RU" w:eastAsia="de-DE"/>
        </w:rPr>
        <w:t>Након што се сва преговарачка поглавља привремено затворе, Европски савет одлучује о завршетку преговора, а затим се приступа финалној изради Уговора о приступању</w:t>
      </w:r>
      <w:r w:rsidRPr="00CA3ECF">
        <w:rPr>
          <w:rStyle w:val="FootnoteReference"/>
          <w:rFonts w:ascii="Times New Roman" w:hAnsi="Times New Roman" w:cs="Times New Roman"/>
          <w:color w:val="000000"/>
          <w:lang w:val="ru-RU" w:eastAsia="de-DE"/>
        </w:rPr>
        <w:footnoteReference w:id="4"/>
      </w:r>
      <w:r w:rsidRPr="00CA3ECF">
        <w:rPr>
          <w:rFonts w:ascii="Times New Roman" w:hAnsi="Times New Roman" w:cs="Times New Roman"/>
          <w:color w:val="000000"/>
          <w:lang w:val="ru-RU" w:eastAsia="de-DE"/>
        </w:rPr>
        <w:t>, који представља међународни уговор држава чланица Европске уније с једне стране и државе кандидата с друге стране.</w:t>
      </w:r>
      <w:r w:rsidRPr="00CA3ECF">
        <w:rPr>
          <w:rFonts w:ascii="Times New Roman" w:hAnsi="Times New Roman" w:cs="Times New Roman"/>
          <w:lang w:val="ru-RU"/>
        </w:rPr>
        <w:t xml:space="preserve"> У изради текста нацрта Уговора о приступању учествују представници држава чланица и институција Европске уније на једној страни (у оквиру Радне групе Савета за припрему Уговора о приступању) и представници државе кандидата на другој страни. Уговор о присупању садржи све што је договорено у току преговора.</w:t>
      </w:r>
    </w:p>
    <w:p w:rsidR="007123ED" w:rsidRPr="00A22AE4" w:rsidRDefault="007123ED" w:rsidP="00A22AE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ru-RU" w:eastAsia="de-DE"/>
        </w:rPr>
      </w:pPr>
      <w:r w:rsidRPr="00CA3ECF">
        <w:rPr>
          <w:rFonts w:ascii="Times New Roman" w:hAnsi="Times New Roman" w:cs="Times New Roman"/>
          <w:color w:val="000000"/>
          <w:lang w:val="ru-RU" w:eastAsia="de-DE"/>
        </w:rPr>
        <w:t xml:space="preserve">Пре потписивања Уговора о приступању, Европска комисија даје Мишљење о чланству и завршетку преговора, на које Европски парламент мора дати сагласност, а Савет једногласно одлучити о прихватању нове државе чланице. 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ru-RU" w:eastAsia="de-DE"/>
        </w:rPr>
      </w:pPr>
      <w:r w:rsidRPr="00CA3ECF">
        <w:rPr>
          <w:rFonts w:ascii="Times New Roman" w:hAnsi="Times New Roman" w:cs="Times New Roman"/>
          <w:color w:val="000000"/>
          <w:lang w:val="ru-RU" w:eastAsia="de-DE"/>
        </w:rPr>
        <w:t>После потписивања, Уговор о приступању мора проћи процес ратификације у државама чланицама, а у држави која приступа ЕУ, у складу са домаћим уставним и законским решењима, може организовати референдум о чланству</w:t>
      </w:r>
      <w:r w:rsidRPr="00CA3ECF">
        <w:rPr>
          <w:rFonts w:ascii="Times New Roman" w:hAnsi="Times New Roman" w:cs="Times New Roman"/>
          <w:lang w:val="ru-RU" w:eastAsia="de-DE"/>
        </w:rPr>
        <w:t>, мада је било примера држава које нису одржале референдум о чланству ЕУ</w:t>
      </w:r>
      <w:r w:rsidRPr="00CA3ECF">
        <w:rPr>
          <w:rFonts w:ascii="Times New Roman" w:hAnsi="Times New Roman" w:cs="Times New Roman"/>
          <w:lang w:val="ru-RU"/>
        </w:rPr>
        <w:t xml:space="preserve"> </w:t>
      </w:r>
      <w:r w:rsidRPr="00CA3ECF">
        <w:rPr>
          <w:rFonts w:ascii="Times New Roman" w:hAnsi="Times New Roman" w:cs="Times New Roman"/>
          <w:color w:val="000000"/>
          <w:lang w:val="ru-RU" w:eastAsia="de-DE"/>
        </w:rPr>
        <w:t>(Бугарска, Румунија, Кипар). Уобичајено да се одреди датум када ће држава постати чланица, уз услов да се ратификациони процес до тада заврши.</w:t>
      </w:r>
    </w:p>
    <w:p w:rsidR="007123ED" w:rsidRPr="00A22AE4" w:rsidRDefault="007123ED" w:rsidP="00A22AE4">
      <w:pPr>
        <w:spacing w:after="120" w:line="240" w:lineRule="auto"/>
        <w:jc w:val="both"/>
        <w:rPr>
          <w:rFonts w:ascii="Times New Roman" w:hAnsi="Times New Roman" w:cs="Times New Roman"/>
          <w:color w:val="000000"/>
          <w:lang w:val="ru-RU" w:eastAsia="de-DE"/>
        </w:rPr>
      </w:pPr>
    </w:p>
    <w:p w:rsidR="007123ED" w:rsidRPr="00E97419" w:rsidRDefault="007123ED" w:rsidP="00A22AE4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lang w:val="ru-RU"/>
        </w:rPr>
      </w:pPr>
    </w:p>
    <w:p w:rsidR="007123ED" w:rsidRPr="00E97419" w:rsidRDefault="007123ED" w:rsidP="00A22AE4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lang w:val="ru-RU"/>
        </w:rPr>
      </w:pPr>
    </w:p>
    <w:p w:rsidR="007123ED" w:rsidRPr="00A22AE4" w:rsidRDefault="007123ED" w:rsidP="00A22AE4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lang w:val="ru-RU"/>
        </w:rPr>
      </w:pPr>
      <w:r w:rsidRPr="00CA3ECF">
        <w:rPr>
          <w:rFonts w:ascii="Times New Roman" w:hAnsi="Times New Roman" w:cs="Times New Roman"/>
          <w:b/>
          <w:bCs/>
          <w:lang w:val="ru-RU"/>
        </w:rPr>
        <w:lastRenderedPageBreak/>
        <w:t>Структура Уговора о приступању Републике Србије Европској унији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t>Уговор о приступању Европској унији између држава чланица Евроске уније и државе кандидата састоји се од:</w:t>
      </w:r>
    </w:p>
    <w:p w:rsidR="007123ED" w:rsidRPr="00A22AE4" w:rsidRDefault="007123ED" w:rsidP="00F4458B">
      <w:pPr>
        <w:pStyle w:val="ListParagraph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t>Уговора о приступању државе Европској унији;</w:t>
      </w:r>
    </w:p>
    <w:p w:rsidR="007123ED" w:rsidRPr="00A22AE4" w:rsidRDefault="007123ED" w:rsidP="00F4458B">
      <w:pPr>
        <w:pStyle w:val="ListParagraph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t>Акта о условима приступања државе Европској унији и прилагођавању Уговора о Европској унији, Уговора о функционисању Европске уније и Уговора о оснивању Европске заједнице за атомску енергију;</w:t>
      </w:r>
    </w:p>
    <w:p w:rsidR="007123ED" w:rsidRPr="00A22AE4" w:rsidRDefault="007123ED" w:rsidP="00F4458B">
      <w:pPr>
        <w:pStyle w:val="ListParagraph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</w:rPr>
      </w:pPr>
      <w:r w:rsidRPr="00CA3ECF">
        <w:rPr>
          <w:rFonts w:ascii="Times New Roman" w:hAnsi="Times New Roman" w:cs="Times New Roman"/>
        </w:rPr>
        <w:t>Завршног акта.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t>Акт о условима приступања државе Европској унији и прилагођавању оснивачких уговора, представља суштински елемент Уговора и састоји се од неколико целина - принципа, прилагођавања оснивачких уговора, трајних одредби, привремених одредби (у којима су садржане одредбе о прелазним роковима), одреби које се односе на примену наведеног акта, као и анекса и протокола.</w:t>
      </w:r>
    </w:p>
    <w:p w:rsidR="007123ED" w:rsidRPr="00A22AE4" w:rsidRDefault="007123ED" w:rsidP="00A22AE4">
      <w:pPr>
        <w:spacing w:after="120" w:line="240" w:lineRule="auto"/>
        <w:rPr>
          <w:rFonts w:ascii="Times New Roman" w:hAnsi="Times New Roman" w:cs="Times New Roman"/>
          <w:i/>
          <w:iCs/>
          <w:lang w:val="ru-RU"/>
        </w:rPr>
      </w:pPr>
    </w:p>
    <w:p w:rsidR="007123ED" w:rsidRPr="00A22AE4" w:rsidRDefault="007123ED" w:rsidP="00A22AE4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u w:val="single"/>
          <w:lang w:val="ru-RU"/>
        </w:rPr>
      </w:pPr>
      <w:r w:rsidRPr="00CA3ECF">
        <w:rPr>
          <w:rFonts w:ascii="Times New Roman" w:hAnsi="Times New Roman" w:cs="Times New Roman"/>
          <w:b/>
          <w:bCs/>
          <w:u w:val="single"/>
        </w:rPr>
        <w:t>VII</w:t>
      </w:r>
      <w:r w:rsidRPr="00CA3ECF">
        <w:rPr>
          <w:rFonts w:ascii="Times New Roman" w:hAnsi="Times New Roman" w:cs="Times New Roman"/>
          <w:b/>
          <w:bCs/>
          <w:u w:val="single"/>
          <w:lang w:val="ru-RU"/>
        </w:rPr>
        <w:t xml:space="preserve"> Предлог састава делегације и оквирна процена трошкова за рад делегације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t xml:space="preserve">Влада посебним </w:t>
      </w:r>
      <w:r>
        <w:rPr>
          <w:rFonts w:ascii="Times New Roman" w:hAnsi="Times New Roman" w:cs="Times New Roman"/>
          <w:lang w:val="ru-RU"/>
        </w:rPr>
        <w:t>актом</w:t>
      </w:r>
      <w:r w:rsidRPr="00CA3EC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одређује</w:t>
      </w:r>
      <w:r w:rsidRPr="00CA3ECF">
        <w:rPr>
          <w:rFonts w:ascii="Times New Roman" w:hAnsi="Times New Roman" w:cs="Times New Roman"/>
          <w:lang w:val="ru-RU"/>
        </w:rPr>
        <w:t xml:space="preserve"> састав сваке појединачне делегације која учествује како на састанцима међувладине конференције о приступању Републике Србије Европској унији, тако и на састанцима у оквиру скрининга.</w:t>
      </w:r>
    </w:p>
    <w:p w:rsidR="007123ED" w:rsidRPr="00A22AE4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Влада ј</w:t>
      </w:r>
      <w:r w:rsidRPr="00E97419">
        <w:rPr>
          <w:rFonts w:ascii="Times New Roman" w:hAnsi="Times New Roman" w:cs="Times New Roman"/>
          <w:lang w:val="ru-RU"/>
        </w:rPr>
        <w:t xml:space="preserve">е посебним актом </w:t>
      </w:r>
      <w:r w:rsidRPr="00CA3ECF">
        <w:rPr>
          <w:rFonts w:ascii="Times New Roman" w:hAnsi="Times New Roman" w:cs="Times New Roman"/>
          <w:lang w:val="ru-RU"/>
        </w:rPr>
        <w:t xml:space="preserve">о оснивању Преговарачког тима за вођење преговора о приступању Републике Србије Европској унији </w:t>
      </w:r>
      <w:r>
        <w:rPr>
          <w:rFonts w:ascii="Times New Roman" w:hAnsi="Times New Roman" w:cs="Times New Roman"/>
          <w:lang w:val="ru-RU"/>
        </w:rPr>
        <w:t>предвидела</w:t>
      </w:r>
      <w:r w:rsidRPr="00CA3ECF">
        <w:rPr>
          <w:rFonts w:ascii="Times New Roman" w:hAnsi="Times New Roman" w:cs="Times New Roman"/>
          <w:lang w:val="ru-RU"/>
        </w:rPr>
        <w:t xml:space="preserve"> да је Преговарачки тим задужен за вођење преговора по свим поглављима и у свим фазама преговора.</w:t>
      </w:r>
    </w:p>
    <w:p w:rsidR="007123ED" w:rsidRDefault="007123ED" w:rsidP="00A22AE4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sr-Cyrl-CS"/>
        </w:rPr>
        <w:t>Влада</w:t>
      </w:r>
      <w:r w:rsidRPr="00CA3ECF">
        <w:rPr>
          <w:rFonts w:ascii="Times New Roman" w:hAnsi="Times New Roman" w:cs="Times New Roman"/>
          <w:lang w:val="ru-RU"/>
        </w:rPr>
        <w:t xml:space="preserve"> посебним </w:t>
      </w:r>
      <w:r>
        <w:rPr>
          <w:rFonts w:ascii="Times New Roman" w:hAnsi="Times New Roman" w:cs="Times New Roman"/>
          <w:lang w:val="ru-RU"/>
        </w:rPr>
        <w:t>актом одређује</w:t>
      </w:r>
      <w:r w:rsidRPr="00CA3ECF">
        <w:rPr>
          <w:rFonts w:ascii="Times New Roman" w:hAnsi="Times New Roman" w:cs="Times New Roman"/>
          <w:lang w:val="ru-RU"/>
        </w:rPr>
        <w:t xml:space="preserve"> састав делегације</w:t>
      </w:r>
      <w:r>
        <w:rPr>
          <w:rFonts w:ascii="Times New Roman" w:hAnsi="Times New Roman" w:cs="Times New Roman"/>
          <w:lang w:val="sr-Cyrl-CS"/>
        </w:rPr>
        <w:t xml:space="preserve"> Републике Србије</w:t>
      </w:r>
      <w:r w:rsidRPr="00CA3ECF">
        <w:rPr>
          <w:rFonts w:ascii="Times New Roman" w:hAnsi="Times New Roman" w:cs="Times New Roman"/>
          <w:lang w:val="ru-RU"/>
        </w:rPr>
        <w:t xml:space="preserve"> </w:t>
      </w:r>
      <w:r w:rsidRPr="00CA3ECF">
        <w:rPr>
          <w:rFonts w:ascii="Times New Roman" w:hAnsi="Times New Roman" w:cs="Times New Roman"/>
          <w:lang w:val="sr-Cyrl-CS"/>
        </w:rPr>
        <w:t xml:space="preserve">за сваки састанак међувладине конференције </w:t>
      </w:r>
      <w:r w:rsidRPr="00CA3ECF">
        <w:rPr>
          <w:rFonts w:ascii="Times New Roman" w:hAnsi="Times New Roman" w:cs="Times New Roman"/>
          <w:lang w:val="ru-RU"/>
        </w:rPr>
        <w:t xml:space="preserve">о приступању </w:t>
      </w:r>
      <w:r w:rsidRPr="00CA3ECF">
        <w:rPr>
          <w:rFonts w:ascii="Times New Roman" w:hAnsi="Times New Roman" w:cs="Times New Roman"/>
          <w:lang w:val="sr-Cyrl-CS"/>
        </w:rPr>
        <w:t xml:space="preserve">Републике Србије </w:t>
      </w:r>
      <w:r w:rsidRPr="00CA3ECF">
        <w:rPr>
          <w:rFonts w:ascii="Times New Roman" w:hAnsi="Times New Roman" w:cs="Times New Roman"/>
          <w:lang w:val="ru-RU"/>
        </w:rPr>
        <w:t>Европској унији.</w:t>
      </w:r>
    </w:p>
    <w:p w:rsidR="007123ED" w:rsidRPr="00E97419" w:rsidRDefault="007123ED" w:rsidP="001C0DCC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E97419">
        <w:rPr>
          <w:rFonts w:ascii="Times New Roman" w:hAnsi="Times New Roman" w:cs="Times New Roman"/>
          <w:lang w:val="ru-RU"/>
        </w:rPr>
        <w:t xml:space="preserve">Послове секретара и заменика секретара </w:t>
      </w:r>
      <w:r w:rsidRPr="0068270E">
        <w:rPr>
          <w:rFonts w:ascii="Times New Roman" w:hAnsi="Times New Roman" w:cs="Times New Roman"/>
          <w:lang w:val="sr-Cyrl-CS"/>
        </w:rPr>
        <w:t xml:space="preserve">међувладине конференције </w:t>
      </w:r>
      <w:r w:rsidRPr="00E97419">
        <w:rPr>
          <w:rFonts w:ascii="Times New Roman" w:hAnsi="Times New Roman" w:cs="Times New Roman"/>
          <w:lang w:val="ru-RU"/>
        </w:rPr>
        <w:t xml:space="preserve">о приступању </w:t>
      </w:r>
      <w:r w:rsidRPr="0068270E">
        <w:rPr>
          <w:rFonts w:ascii="Times New Roman" w:hAnsi="Times New Roman" w:cs="Times New Roman"/>
          <w:lang w:val="sr-Cyrl-CS"/>
        </w:rPr>
        <w:t xml:space="preserve">Републике Србије </w:t>
      </w:r>
      <w:r w:rsidRPr="00E97419">
        <w:rPr>
          <w:rFonts w:ascii="Times New Roman" w:hAnsi="Times New Roman" w:cs="Times New Roman"/>
          <w:lang w:val="ru-RU"/>
        </w:rPr>
        <w:t xml:space="preserve">Европској унији обављају представници Сталне мисије Републике Србије при Европској унији. Секретар и заменик секретар </w:t>
      </w:r>
      <w:r w:rsidRPr="0068270E">
        <w:rPr>
          <w:rFonts w:ascii="Times New Roman" w:hAnsi="Times New Roman" w:cs="Times New Roman"/>
          <w:lang w:val="sr-Cyrl-CS"/>
        </w:rPr>
        <w:t xml:space="preserve">међувладине конференције </w:t>
      </w:r>
      <w:r w:rsidRPr="00E97419">
        <w:rPr>
          <w:rFonts w:ascii="Times New Roman" w:hAnsi="Times New Roman" w:cs="Times New Roman"/>
          <w:lang w:val="ru-RU"/>
        </w:rPr>
        <w:t xml:space="preserve">о приступању </w:t>
      </w:r>
      <w:r w:rsidRPr="0068270E">
        <w:rPr>
          <w:rFonts w:ascii="Times New Roman" w:hAnsi="Times New Roman" w:cs="Times New Roman"/>
          <w:lang w:val="sr-Cyrl-CS"/>
        </w:rPr>
        <w:t xml:space="preserve">Републике Србије </w:t>
      </w:r>
      <w:r w:rsidRPr="00E97419">
        <w:rPr>
          <w:rFonts w:ascii="Times New Roman" w:hAnsi="Times New Roman" w:cs="Times New Roman"/>
          <w:lang w:val="ru-RU"/>
        </w:rPr>
        <w:t>Европској унији именују се уз консултацију са шефом Преговарачког тима.</w:t>
      </w:r>
    </w:p>
    <w:p w:rsidR="007123ED" w:rsidRPr="00A22AE4" w:rsidRDefault="007123ED" w:rsidP="00A22AE4">
      <w:pPr>
        <w:spacing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CA3ECF">
        <w:rPr>
          <w:rFonts w:ascii="Times New Roman" w:hAnsi="Times New Roman" w:cs="Times New Roman"/>
          <w:lang w:val="ru-RU"/>
        </w:rPr>
        <w:t>На састанцима у оквиру скрининга (експланаторн</w:t>
      </w:r>
      <w:r>
        <w:rPr>
          <w:rFonts w:ascii="Times New Roman" w:hAnsi="Times New Roman" w:cs="Times New Roman"/>
          <w:lang w:val="ru-RU"/>
        </w:rPr>
        <w:t>ог</w:t>
      </w:r>
      <w:r w:rsidRPr="00CA3ECF">
        <w:rPr>
          <w:rFonts w:ascii="Times New Roman" w:hAnsi="Times New Roman" w:cs="Times New Roman"/>
          <w:lang w:val="ru-RU"/>
        </w:rPr>
        <w:t xml:space="preserve"> и билатералн</w:t>
      </w:r>
      <w:r>
        <w:rPr>
          <w:rFonts w:ascii="Times New Roman" w:hAnsi="Times New Roman" w:cs="Times New Roman"/>
          <w:lang w:val="ru-RU"/>
        </w:rPr>
        <w:t>ог</w:t>
      </w:r>
      <w:r w:rsidRPr="00CA3ECF">
        <w:rPr>
          <w:rFonts w:ascii="Times New Roman" w:hAnsi="Times New Roman" w:cs="Times New Roman"/>
          <w:lang w:val="ru-RU"/>
        </w:rPr>
        <w:t xml:space="preserve">), делегацију Републике Србије предводи председник преговарачке групе. Поред председника преговарачке групе, у саставу делегације су </w:t>
      </w:r>
      <w:r w:rsidRPr="00CA3ECF">
        <w:rPr>
          <w:rFonts w:ascii="Times New Roman" w:hAnsi="Times New Roman" w:cs="Times New Roman"/>
          <w:color w:val="000000"/>
          <w:lang w:val="ru-RU"/>
        </w:rPr>
        <w:t xml:space="preserve">заменик председника </w:t>
      </w:r>
      <w:r w:rsidRPr="00CA3ECF">
        <w:rPr>
          <w:rFonts w:ascii="Times New Roman" w:hAnsi="Times New Roman" w:cs="Times New Roman"/>
          <w:color w:val="000000"/>
          <w:lang w:val="sr-Cyrl-CS"/>
        </w:rPr>
        <w:t>преговарачке групе</w:t>
      </w:r>
      <w:r w:rsidRPr="00CA3ECF">
        <w:rPr>
          <w:rFonts w:ascii="Times New Roman" w:hAnsi="Times New Roman" w:cs="Times New Roman"/>
          <w:color w:val="000000"/>
          <w:lang w:val="ru-RU"/>
        </w:rPr>
        <w:t xml:space="preserve">, секретар </w:t>
      </w:r>
      <w:r w:rsidRPr="00CA3ECF">
        <w:rPr>
          <w:rFonts w:ascii="Times New Roman" w:hAnsi="Times New Roman" w:cs="Times New Roman"/>
          <w:color w:val="000000"/>
          <w:lang w:val="sr-Cyrl-CS"/>
        </w:rPr>
        <w:t>преговарачке групе</w:t>
      </w:r>
      <w:r w:rsidRPr="00CA3ECF">
        <w:rPr>
          <w:rFonts w:ascii="Times New Roman" w:hAnsi="Times New Roman" w:cs="Times New Roman"/>
          <w:color w:val="000000"/>
          <w:lang w:val="ru-RU"/>
        </w:rPr>
        <w:t xml:space="preserve">, чланови Преговарачког тима </w:t>
      </w:r>
      <w:r w:rsidRPr="00CA3ECF">
        <w:rPr>
          <w:rFonts w:ascii="Times New Roman" w:hAnsi="Times New Roman" w:cs="Times New Roman"/>
          <w:color w:val="000000"/>
          <w:lang w:val="sr-Cyrl-CS"/>
        </w:rPr>
        <w:t>које одреди</w:t>
      </w:r>
      <w:r w:rsidRPr="00CA3ECF">
        <w:rPr>
          <w:rFonts w:ascii="Times New Roman" w:hAnsi="Times New Roman" w:cs="Times New Roman"/>
          <w:color w:val="000000"/>
          <w:lang w:val="ru-RU"/>
        </w:rPr>
        <w:t xml:space="preserve"> шеф Преговарачког тима, представни</w:t>
      </w:r>
      <w:r w:rsidRPr="00CA3ECF">
        <w:rPr>
          <w:rFonts w:ascii="Times New Roman" w:hAnsi="Times New Roman" w:cs="Times New Roman"/>
          <w:color w:val="000000"/>
          <w:lang w:val="sr-Cyrl-CS"/>
        </w:rPr>
        <w:t>ци</w:t>
      </w:r>
      <w:r w:rsidRPr="00CA3EC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A3ECF">
        <w:rPr>
          <w:rFonts w:ascii="Times New Roman" w:hAnsi="Times New Roman" w:cs="Times New Roman"/>
          <w:color w:val="000000"/>
          <w:lang w:val="sr-Cyrl-CS"/>
        </w:rPr>
        <w:t>Канцеларије</w:t>
      </w:r>
      <w:r w:rsidRPr="00CA3ECF">
        <w:rPr>
          <w:rFonts w:ascii="Times New Roman" w:hAnsi="Times New Roman" w:cs="Times New Roman"/>
          <w:color w:val="000000"/>
          <w:lang w:val="ru-RU"/>
        </w:rPr>
        <w:t xml:space="preserve">, представници Мисије, </w:t>
      </w:r>
      <w:r w:rsidRPr="00CA3ECF">
        <w:rPr>
          <w:rFonts w:ascii="Times New Roman" w:hAnsi="Times New Roman" w:cs="Times New Roman"/>
          <w:color w:val="000000"/>
          <w:lang w:val="sr-Cyrl-CS"/>
        </w:rPr>
        <w:t xml:space="preserve">представници надлежних </w:t>
      </w:r>
      <w:r w:rsidRPr="00CA3ECF">
        <w:rPr>
          <w:rFonts w:ascii="Times New Roman" w:hAnsi="Times New Roman" w:cs="Times New Roman"/>
          <w:color w:val="000000"/>
          <w:lang w:val="ru-RU"/>
        </w:rPr>
        <w:t>органа државне управе</w:t>
      </w:r>
      <w:r w:rsidRPr="00CA3ECF">
        <w:rPr>
          <w:rFonts w:ascii="Times New Roman" w:hAnsi="Times New Roman" w:cs="Times New Roman"/>
          <w:color w:val="000000"/>
          <w:lang w:val="sr-Cyrl-CS"/>
        </w:rPr>
        <w:t xml:space="preserve"> и служби Владе, као и других надлежних органа и организација. Такође, члан делегације је и представник Сталне мисије Републике Србије при ЕУ</w:t>
      </w:r>
      <w:r>
        <w:rPr>
          <w:rFonts w:ascii="Times New Roman" w:hAnsi="Times New Roman" w:cs="Times New Roman"/>
          <w:color w:val="000000"/>
          <w:lang w:val="sr-Cyrl-CS"/>
        </w:rPr>
        <w:t xml:space="preserve"> који обавља послове секретара д</w:t>
      </w:r>
      <w:r w:rsidRPr="00CA3ECF">
        <w:rPr>
          <w:rFonts w:ascii="Times New Roman" w:hAnsi="Times New Roman" w:cs="Times New Roman"/>
          <w:color w:val="000000"/>
          <w:lang w:val="sr-Cyrl-CS"/>
        </w:rPr>
        <w:t>елегације Републике Србије на састанку међувладине конференције.</w:t>
      </w:r>
    </w:p>
    <w:sectPr w:rsidR="007123ED" w:rsidRPr="00A22AE4" w:rsidSect="00A522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ED" w:rsidRDefault="007365ED" w:rsidP="009523FE">
      <w:pPr>
        <w:spacing w:after="0" w:line="240" w:lineRule="auto"/>
      </w:pPr>
      <w:r>
        <w:separator/>
      </w:r>
    </w:p>
  </w:endnote>
  <w:endnote w:type="continuationSeparator" w:id="0">
    <w:p w:rsidR="007365ED" w:rsidRDefault="007365ED" w:rsidP="0095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ED" w:rsidRDefault="007365E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C27">
      <w:rPr>
        <w:noProof/>
      </w:rPr>
      <w:t>1</w:t>
    </w:r>
    <w:r>
      <w:rPr>
        <w:noProof/>
      </w:rPr>
      <w:fldChar w:fldCharType="end"/>
    </w:r>
  </w:p>
  <w:p w:rsidR="007123ED" w:rsidRDefault="00712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ED" w:rsidRDefault="007365ED" w:rsidP="009523FE">
      <w:pPr>
        <w:spacing w:after="0" w:line="240" w:lineRule="auto"/>
      </w:pPr>
      <w:r>
        <w:separator/>
      </w:r>
    </w:p>
  </w:footnote>
  <w:footnote w:type="continuationSeparator" w:id="0">
    <w:p w:rsidR="007365ED" w:rsidRDefault="007365ED" w:rsidP="009523FE">
      <w:pPr>
        <w:spacing w:after="0" w:line="240" w:lineRule="auto"/>
      </w:pPr>
      <w:r>
        <w:continuationSeparator/>
      </w:r>
    </w:p>
  </w:footnote>
  <w:footnote w:id="1">
    <w:p w:rsidR="007123ED" w:rsidRDefault="007123ED" w:rsidP="00F4458B">
      <w:pPr>
        <w:pStyle w:val="FootnoteText"/>
        <w:spacing w:after="0" w:line="240" w:lineRule="auto"/>
        <w:jc w:val="both"/>
      </w:pPr>
      <w:r w:rsidRPr="00F4458B">
        <w:rPr>
          <w:rStyle w:val="FootnoteReference"/>
          <w:rFonts w:ascii="Times New Roman" w:hAnsi="Times New Roman" w:cs="Times New Roman"/>
        </w:rPr>
        <w:footnoteRef/>
      </w:r>
      <w:r w:rsidRPr="00F4458B">
        <w:rPr>
          <w:rFonts w:ascii="Times New Roman" w:hAnsi="Times New Roman" w:cs="Times New Roman"/>
        </w:rPr>
        <w:t xml:space="preserve"> Извор: Министарство спољне и унутрашње трговине</w:t>
      </w:r>
      <w:r>
        <w:rPr>
          <w:rFonts w:ascii="Times New Roman" w:hAnsi="Times New Roman" w:cs="Times New Roman"/>
          <w:lang w:val="sr-Cyrl-CS"/>
        </w:rPr>
        <w:t xml:space="preserve"> и телекомуникација</w:t>
      </w:r>
      <w:r w:rsidRPr="00F4458B">
        <w:rPr>
          <w:rFonts w:ascii="Times New Roman" w:hAnsi="Times New Roman" w:cs="Times New Roman"/>
        </w:rPr>
        <w:t xml:space="preserve"> и Републички завод за статистику, јун 2013.</w:t>
      </w:r>
    </w:p>
  </w:footnote>
  <w:footnote w:id="2">
    <w:p w:rsidR="007123ED" w:rsidRDefault="007123ED" w:rsidP="00F4458B">
      <w:pPr>
        <w:pStyle w:val="FootnoteText"/>
        <w:spacing w:after="0" w:line="240" w:lineRule="auto"/>
        <w:jc w:val="both"/>
      </w:pPr>
      <w:r w:rsidRPr="00F4458B">
        <w:rPr>
          <w:rStyle w:val="FootnoteReference"/>
          <w:rFonts w:ascii="Times New Roman" w:hAnsi="Times New Roman" w:cs="Times New Roman"/>
        </w:rPr>
        <w:footnoteRef/>
      </w:r>
      <w:r w:rsidRPr="00F4458B">
        <w:rPr>
          <w:rFonts w:ascii="Times New Roman" w:hAnsi="Times New Roman" w:cs="Times New Roman"/>
        </w:rPr>
        <w:t xml:space="preserve"> Извор: Народна банка Србије, 2012</w:t>
      </w:r>
    </w:p>
  </w:footnote>
  <w:footnote w:id="3">
    <w:p w:rsidR="007123ED" w:rsidRPr="00330FAD" w:rsidRDefault="007123ED" w:rsidP="00F4458B">
      <w:pPr>
        <w:tabs>
          <w:tab w:val="left" w:pos="709"/>
        </w:tabs>
        <w:spacing w:after="0" w:line="240" w:lineRule="auto"/>
        <w:jc w:val="both"/>
        <w:rPr>
          <w:lang w:val="ru-RU"/>
        </w:rPr>
      </w:pPr>
      <w:r w:rsidRPr="00F4458B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4458B">
        <w:rPr>
          <w:rFonts w:ascii="Times New Roman" w:hAnsi="Times New Roman" w:cs="Times New Roman"/>
          <w:sz w:val="20"/>
          <w:szCs w:val="20"/>
        </w:rPr>
        <w:t xml:space="preserve"> </w:t>
      </w:r>
      <w:r w:rsidRPr="00F4458B">
        <w:rPr>
          <w:rFonts w:ascii="Times New Roman" w:hAnsi="Times New Roman" w:cs="Times New Roman"/>
          <w:sz w:val="20"/>
          <w:szCs w:val="20"/>
          <w:lang w:val="sr-Cyrl-CS"/>
        </w:rPr>
        <w:t>„</w:t>
      </w:r>
      <w:r w:rsidRPr="00F4458B">
        <w:rPr>
          <w:rFonts w:ascii="Times New Roman" w:hAnsi="Times New Roman" w:cs="Times New Roman"/>
          <w:sz w:val="20"/>
          <w:szCs w:val="20"/>
          <w:lang w:val="ru-RU"/>
        </w:rPr>
        <w:t xml:space="preserve">Искуства у реализацији важећег буџета ЕУ указују да се многе државе чланице сусрећу са тешкоћама у апсорпцији значајних финансијских средстава која морају да се утроше у ограниченом временском периоду. Кашњења у припреми пројеката, уговарању и плаћањима су кључне препреке у неискоришћености средстава. Поред тога, фискална ситуација у многим државама чланицама отежала је издвајања из националних буџета за финансирање ових пројеката. Како би унапредила апсорпциони капацитет, у предлогу буџета за период 2014-2020 ЕК је предложила: да се издвајања за кохезиону политику издвоје на 2.5% бруто националног дохотка; да се у појединачним случајевима повећа суфинансирање ЕУ за 5 до 10%; </w:t>
      </w:r>
      <w:r w:rsidRPr="00E97419">
        <w:rPr>
          <w:rFonts w:ascii="Times New Roman" w:hAnsi="Times New Roman" w:cs="Times New Roman"/>
          <w:sz w:val="20"/>
          <w:szCs w:val="20"/>
          <w:lang w:val="ru-RU"/>
        </w:rPr>
        <w:t>да се дефинишу одређени услови у вези са унапређењем административних капацитета“, Вишегодишњи финансијски оквир 2014-2020, Европска комисија</w:t>
      </w:r>
    </w:p>
  </w:footnote>
  <w:footnote w:id="4">
    <w:p w:rsidR="007123ED" w:rsidRPr="00330FAD" w:rsidRDefault="007123ED" w:rsidP="00F4458B">
      <w:pPr>
        <w:pStyle w:val="FootnoteText"/>
        <w:spacing w:after="0" w:line="240" w:lineRule="auto"/>
        <w:jc w:val="both"/>
        <w:rPr>
          <w:lang w:val="ru-RU"/>
        </w:rPr>
      </w:pPr>
      <w:r w:rsidRPr="00F4458B">
        <w:rPr>
          <w:rStyle w:val="FootnoteReference"/>
          <w:rFonts w:ascii="Times New Roman" w:hAnsi="Times New Roman" w:cs="Times New Roman"/>
        </w:rPr>
        <w:footnoteRef/>
      </w:r>
      <w:r w:rsidRPr="00E97419">
        <w:rPr>
          <w:rFonts w:ascii="Times New Roman" w:hAnsi="Times New Roman" w:cs="Times New Roman"/>
          <w:lang w:val="ru-RU"/>
        </w:rPr>
        <w:t xml:space="preserve"> </w:t>
      </w:r>
      <w:r w:rsidRPr="00F4458B">
        <w:rPr>
          <w:rFonts w:ascii="Times New Roman" w:hAnsi="Times New Roman" w:cs="Times New Roman"/>
          <w:lang w:val="sr-Cyrl-CS"/>
        </w:rPr>
        <w:t>Према досадашњем искусктву, припрема Уговора о приступању почиње годину и по дана до две године пре завршетка преговора о приступању.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6108"/>
    <w:multiLevelType w:val="hybridMultilevel"/>
    <w:tmpl w:val="C84A6A10"/>
    <w:lvl w:ilvl="0" w:tplc="CAD84D3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>
    <w:nsid w:val="053C7E69"/>
    <w:multiLevelType w:val="hybridMultilevel"/>
    <w:tmpl w:val="8924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D277A3"/>
    <w:multiLevelType w:val="hybridMultilevel"/>
    <w:tmpl w:val="ECD6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57E45"/>
    <w:multiLevelType w:val="hybridMultilevel"/>
    <w:tmpl w:val="00D2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0B001C"/>
    <w:multiLevelType w:val="hybridMultilevel"/>
    <w:tmpl w:val="A3126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7058D"/>
    <w:multiLevelType w:val="hybridMultilevel"/>
    <w:tmpl w:val="39FE3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5740B3"/>
    <w:multiLevelType w:val="hybridMultilevel"/>
    <w:tmpl w:val="C302C7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AE637D"/>
    <w:multiLevelType w:val="hybridMultilevel"/>
    <w:tmpl w:val="ECF28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F626C"/>
    <w:multiLevelType w:val="hybridMultilevel"/>
    <w:tmpl w:val="083AF4FA"/>
    <w:lvl w:ilvl="0" w:tplc="D8248F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CD2CC2"/>
    <w:multiLevelType w:val="hybridMultilevel"/>
    <w:tmpl w:val="7C0E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A7B1D3C"/>
    <w:multiLevelType w:val="hybridMultilevel"/>
    <w:tmpl w:val="1C9A95FE"/>
    <w:lvl w:ilvl="0" w:tplc="D8248F2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>
    <w:nsid w:val="4B414A55"/>
    <w:multiLevelType w:val="hybridMultilevel"/>
    <w:tmpl w:val="AF66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6467A7C"/>
    <w:multiLevelType w:val="hybridMultilevel"/>
    <w:tmpl w:val="66506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57D0018A"/>
    <w:multiLevelType w:val="hybridMultilevel"/>
    <w:tmpl w:val="599C3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5E664A29"/>
    <w:multiLevelType w:val="hybridMultilevel"/>
    <w:tmpl w:val="762CD154"/>
    <w:lvl w:ilvl="0" w:tplc="D8248F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0F141F3"/>
    <w:multiLevelType w:val="hybridMultilevel"/>
    <w:tmpl w:val="7CCAE2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E55815"/>
    <w:multiLevelType w:val="hybridMultilevel"/>
    <w:tmpl w:val="345AC6DC"/>
    <w:lvl w:ilvl="0" w:tplc="D8248F2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>
    <w:nsid w:val="6F1B40A9"/>
    <w:multiLevelType w:val="hybridMultilevel"/>
    <w:tmpl w:val="70FE49FE"/>
    <w:lvl w:ilvl="0" w:tplc="D8248F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AFA0E67"/>
    <w:multiLevelType w:val="hybridMultilevel"/>
    <w:tmpl w:val="74E0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BEF5685"/>
    <w:multiLevelType w:val="hybridMultilevel"/>
    <w:tmpl w:val="EDB8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3"/>
  </w:num>
  <w:num w:numId="11">
    <w:abstractNumId w:val="7"/>
  </w:num>
  <w:num w:numId="12">
    <w:abstractNumId w:val="12"/>
  </w:num>
  <w:num w:numId="13">
    <w:abstractNumId w:val="18"/>
  </w:num>
  <w:num w:numId="14">
    <w:abstractNumId w:val="1"/>
  </w:num>
  <w:num w:numId="15">
    <w:abstractNumId w:val="19"/>
  </w:num>
  <w:num w:numId="16">
    <w:abstractNumId w:val="11"/>
  </w:num>
  <w:num w:numId="17">
    <w:abstractNumId w:val="5"/>
  </w:num>
  <w:num w:numId="18">
    <w:abstractNumId w:val="4"/>
  </w:num>
  <w:num w:numId="19">
    <w:abstractNumId w:val="2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6"/>
    <w:rsid w:val="0000456B"/>
    <w:rsid w:val="000049B1"/>
    <w:rsid w:val="00006D26"/>
    <w:rsid w:val="0000727B"/>
    <w:rsid w:val="0001547F"/>
    <w:rsid w:val="000221A7"/>
    <w:rsid w:val="000272A6"/>
    <w:rsid w:val="00027D4C"/>
    <w:rsid w:val="000310DE"/>
    <w:rsid w:val="0003451C"/>
    <w:rsid w:val="00034A7C"/>
    <w:rsid w:val="00036D1C"/>
    <w:rsid w:val="000420E0"/>
    <w:rsid w:val="00045FA6"/>
    <w:rsid w:val="00047DA9"/>
    <w:rsid w:val="00050827"/>
    <w:rsid w:val="00053197"/>
    <w:rsid w:val="000546E0"/>
    <w:rsid w:val="000634EB"/>
    <w:rsid w:val="000650C7"/>
    <w:rsid w:val="00067404"/>
    <w:rsid w:val="00074978"/>
    <w:rsid w:val="0007512D"/>
    <w:rsid w:val="0007539F"/>
    <w:rsid w:val="000815A7"/>
    <w:rsid w:val="00082112"/>
    <w:rsid w:val="0008241A"/>
    <w:rsid w:val="00097620"/>
    <w:rsid w:val="000978EC"/>
    <w:rsid w:val="000A340B"/>
    <w:rsid w:val="000B1D98"/>
    <w:rsid w:val="000B395F"/>
    <w:rsid w:val="000C0AC0"/>
    <w:rsid w:val="000C322C"/>
    <w:rsid w:val="000D3CAA"/>
    <w:rsid w:val="000E509F"/>
    <w:rsid w:val="000E6DC3"/>
    <w:rsid w:val="001022AE"/>
    <w:rsid w:val="001122D2"/>
    <w:rsid w:val="001242E3"/>
    <w:rsid w:val="001331C5"/>
    <w:rsid w:val="0013473C"/>
    <w:rsid w:val="00135C4E"/>
    <w:rsid w:val="00143B03"/>
    <w:rsid w:val="0014529E"/>
    <w:rsid w:val="001464B7"/>
    <w:rsid w:val="001640A2"/>
    <w:rsid w:val="00167FBA"/>
    <w:rsid w:val="00180FAC"/>
    <w:rsid w:val="00194E0E"/>
    <w:rsid w:val="00196740"/>
    <w:rsid w:val="001974EE"/>
    <w:rsid w:val="001C0DCC"/>
    <w:rsid w:val="001C3DFD"/>
    <w:rsid w:val="001C6B3D"/>
    <w:rsid w:val="001E0F59"/>
    <w:rsid w:val="001E1FCD"/>
    <w:rsid w:val="001E6821"/>
    <w:rsid w:val="001F1408"/>
    <w:rsid w:val="00206905"/>
    <w:rsid w:val="00213DD4"/>
    <w:rsid w:val="002315F1"/>
    <w:rsid w:val="00251044"/>
    <w:rsid w:val="002522B6"/>
    <w:rsid w:val="0027190D"/>
    <w:rsid w:val="00275718"/>
    <w:rsid w:val="00281BEA"/>
    <w:rsid w:val="002B5BB9"/>
    <w:rsid w:val="002B69A4"/>
    <w:rsid w:val="002C06A1"/>
    <w:rsid w:val="002C0CC4"/>
    <w:rsid w:val="002C0D38"/>
    <w:rsid w:val="002C0E8D"/>
    <w:rsid w:val="002D4C65"/>
    <w:rsid w:val="002D4ED3"/>
    <w:rsid w:val="002E2C5E"/>
    <w:rsid w:val="002F0C95"/>
    <w:rsid w:val="002F4801"/>
    <w:rsid w:val="002F7E13"/>
    <w:rsid w:val="00304192"/>
    <w:rsid w:val="00320F8E"/>
    <w:rsid w:val="00330FAD"/>
    <w:rsid w:val="00332DFF"/>
    <w:rsid w:val="00345098"/>
    <w:rsid w:val="00361BFD"/>
    <w:rsid w:val="00372506"/>
    <w:rsid w:val="0037390F"/>
    <w:rsid w:val="00377496"/>
    <w:rsid w:val="003869F7"/>
    <w:rsid w:val="003903DD"/>
    <w:rsid w:val="003A26C0"/>
    <w:rsid w:val="003A6D4C"/>
    <w:rsid w:val="003C09E8"/>
    <w:rsid w:val="003D1368"/>
    <w:rsid w:val="003D1A0E"/>
    <w:rsid w:val="003D2E4F"/>
    <w:rsid w:val="003E2AEB"/>
    <w:rsid w:val="003E501B"/>
    <w:rsid w:val="004018CF"/>
    <w:rsid w:val="0041711F"/>
    <w:rsid w:val="004224B3"/>
    <w:rsid w:val="00423FEA"/>
    <w:rsid w:val="004412AB"/>
    <w:rsid w:val="004415C5"/>
    <w:rsid w:val="004422C1"/>
    <w:rsid w:val="00450D04"/>
    <w:rsid w:val="004563D7"/>
    <w:rsid w:val="004749E2"/>
    <w:rsid w:val="00481357"/>
    <w:rsid w:val="00486A92"/>
    <w:rsid w:val="00491F0E"/>
    <w:rsid w:val="004A2EA0"/>
    <w:rsid w:val="004A5AED"/>
    <w:rsid w:val="004A6C54"/>
    <w:rsid w:val="004C155A"/>
    <w:rsid w:val="004C20FD"/>
    <w:rsid w:val="004C2E5C"/>
    <w:rsid w:val="004C70CB"/>
    <w:rsid w:val="004E36D2"/>
    <w:rsid w:val="004E45A3"/>
    <w:rsid w:val="004F2911"/>
    <w:rsid w:val="004F34DC"/>
    <w:rsid w:val="00503966"/>
    <w:rsid w:val="005056CE"/>
    <w:rsid w:val="00512853"/>
    <w:rsid w:val="005131D6"/>
    <w:rsid w:val="005135B7"/>
    <w:rsid w:val="00516D4A"/>
    <w:rsid w:val="00521667"/>
    <w:rsid w:val="005345B9"/>
    <w:rsid w:val="00540753"/>
    <w:rsid w:val="00542C05"/>
    <w:rsid w:val="00545AAB"/>
    <w:rsid w:val="00550C89"/>
    <w:rsid w:val="00552215"/>
    <w:rsid w:val="00557C37"/>
    <w:rsid w:val="00561D02"/>
    <w:rsid w:val="00566065"/>
    <w:rsid w:val="00583D86"/>
    <w:rsid w:val="005870E3"/>
    <w:rsid w:val="00592485"/>
    <w:rsid w:val="005956D2"/>
    <w:rsid w:val="00597485"/>
    <w:rsid w:val="005A3ECF"/>
    <w:rsid w:val="005A4D84"/>
    <w:rsid w:val="005B103F"/>
    <w:rsid w:val="005B297C"/>
    <w:rsid w:val="005B7D2C"/>
    <w:rsid w:val="005C153E"/>
    <w:rsid w:val="005C1979"/>
    <w:rsid w:val="005D32ED"/>
    <w:rsid w:val="005D689C"/>
    <w:rsid w:val="005E58F1"/>
    <w:rsid w:val="005E5D44"/>
    <w:rsid w:val="005F5007"/>
    <w:rsid w:val="005F6967"/>
    <w:rsid w:val="005F73D9"/>
    <w:rsid w:val="00600F17"/>
    <w:rsid w:val="0060618C"/>
    <w:rsid w:val="006071A9"/>
    <w:rsid w:val="00610C06"/>
    <w:rsid w:val="00622B67"/>
    <w:rsid w:val="00630A1A"/>
    <w:rsid w:val="006336CF"/>
    <w:rsid w:val="00650C12"/>
    <w:rsid w:val="0065254A"/>
    <w:rsid w:val="00657A08"/>
    <w:rsid w:val="00662DA3"/>
    <w:rsid w:val="006715A3"/>
    <w:rsid w:val="006808A4"/>
    <w:rsid w:val="0068270E"/>
    <w:rsid w:val="0069302F"/>
    <w:rsid w:val="006A2AA3"/>
    <w:rsid w:val="006A70A9"/>
    <w:rsid w:val="006B482C"/>
    <w:rsid w:val="006B73FF"/>
    <w:rsid w:val="006C0932"/>
    <w:rsid w:val="006C280A"/>
    <w:rsid w:val="006C61FE"/>
    <w:rsid w:val="006E0BD5"/>
    <w:rsid w:val="006F1A79"/>
    <w:rsid w:val="006F43F9"/>
    <w:rsid w:val="00707712"/>
    <w:rsid w:val="0070788E"/>
    <w:rsid w:val="007123ED"/>
    <w:rsid w:val="0071307E"/>
    <w:rsid w:val="0072255F"/>
    <w:rsid w:val="00731288"/>
    <w:rsid w:val="007365ED"/>
    <w:rsid w:val="00737058"/>
    <w:rsid w:val="007460EC"/>
    <w:rsid w:val="0075068D"/>
    <w:rsid w:val="00750D4E"/>
    <w:rsid w:val="007562F8"/>
    <w:rsid w:val="00777869"/>
    <w:rsid w:val="007A77FF"/>
    <w:rsid w:val="007C370E"/>
    <w:rsid w:val="007C6CC2"/>
    <w:rsid w:val="007D3C27"/>
    <w:rsid w:val="007E1707"/>
    <w:rsid w:val="007E2B8D"/>
    <w:rsid w:val="007F152B"/>
    <w:rsid w:val="007F2A7E"/>
    <w:rsid w:val="007F4116"/>
    <w:rsid w:val="007F7BEB"/>
    <w:rsid w:val="008140CE"/>
    <w:rsid w:val="0081411C"/>
    <w:rsid w:val="008157FC"/>
    <w:rsid w:val="00822F70"/>
    <w:rsid w:val="00824F92"/>
    <w:rsid w:val="00837706"/>
    <w:rsid w:val="00845338"/>
    <w:rsid w:val="00855007"/>
    <w:rsid w:val="00860E45"/>
    <w:rsid w:val="00873264"/>
    <w:rsid w:val="00882F04"/>
    <w:rsid w:val="0088585C"/>
    <w:rsid w:val="00892FF6"/>
    <w:rsid w:val="008A14ED"/>
    <w:rsid w:val="008A37E1"/>
    <w:rsid w:val="008B1829"/>
    <w:rsid w:val="008B1F41"/>
    <w:rsid w:val="008B313C"/>
    <w:rsid w:val="008D1941"/>
    <w:rsid w:val="008D4246"/>
    <w:rsid w:val="008E059A"/>
    <w:rsid w:val="008E2764"/>
    <w:rsid w:val="008E7D92"/>
    <w:rsid w:val="008F3D9F"/>
    <w:rsid w:val="008F79D4"/>
    <w:rsid w:val="00913E10"/>
    <w:rsid w:val="00923843"/>
    <w:rsid w:val="009311B0"/>
    <w:rsid w:val="00935385"/>
    <w:rsid w:val="0094726F"/>
    <w:rsid w:val="00950C20"/>
    <w:rsid w:val="00951627"/>
    <w:rsid w:val="009523FE"/>
    <w:rsid w:val="0095453D"/>
    <w:rsid w:val="0095542A"/>
    <w:rsid w:val="0096283E"/>
    <w:rsid w:val="00964F93"/>
    <w:rsid w:val="00972CD9"/>
    <w:rsid w:val="00974BF5"/>
    <w:rsid w:val="00977535"/>
    <w:rsid w:val="009912D4"/>
    <w:rsid w:val="0099280C"/>
    <w:rsid w:val="009933D2"/>
    <w:rsid w:val="009B4A04"/>
    <w:rsid w:val="009B7DBD"/>
    <w:rsid w:val="009C63CB"/>
    <w:rsid w:val="009C7FD1"/>
    <w:rsid w:val="009D7F4B"/>
    <w:rsid w:val="009E239D"/>
    <w:rsid w:val="009E343A"/>
    <w:rsid w:val="009E3F8F"/>
    <w:rsid w:val="009E638B"/>
    <w:rsid w:val="00A10871"/>
    <w:rsid w:val="00A13463"/>
    <w:rsid w:val="00A16236"/>
    <w:rsid w:val="00A2294E"/>
    <w:rsid w:val="00A22AE4"/>
    <w:rsid w:val="00A22B6F"/>
    <w:rsid w:val="00A31900"/>
    <w:rsid w:val="00A33F73"/>
    <w:rsid w:val="00A46DD8"/>
    <w:rsid w:val="00A50E3A"/>
    <w:rsid w:val="00A522C9"/>
    <w:rsid w:val="00A6792B"/>
    <w:rsid w:val="00A70C16"/>
    <w:rsid w:val="00A70DB0"/>
    <w:rsid w:val="00A7514D"/>
    <w:rsid w:val="00A913F2"/>
    <w:rsid w:val="00A950C9"/>
    <w:rsid w:val="00A95CA4"/>
    <w:rsid w:val="00AA67C7"/>
    <w:rsid w:val="00AB3976"/>
    <w:rsid w:val="00AB58E4"/>
    <w:rsid w:val="00AB5D7D"/>
    <w:rsid w:val="00AC1006"/>
    <w:rsid w:val="00AC1180"/>
    <w:rsid w:val="00AD032A"/>
    <w:rsid w:val="00AD03C5"/>
    <w:rsid w:val="00AD1CC1"/>
    <w:rsid w:val="00AD5CFC"/>
    <w:rsid w:val="00AE0426"/>
    <w:rsid w:val="00AE75FB"/>
    <w:rsid w:val="00AF3973"/>
    <w:rsid w:val="00AF7586"/>
    <w:rsid w:val="00B01A32"/>
    <w:rsid w:val="00B119D4"/>
    <w:rsid w:val="00B17DFA"/>
    <w:rsid w:val="00B24EA6"/>
    <w:rsid w:val="00B37439"/>
    <w:rsid w:val="00B43B4C"/>
    <w:rsid w:val="00B44156"/>
    <w:rsid w:val="00B44B7E"/>
    <w:rsid w:val="00B51483"/>
    <w:rsid w:val="00B612B7"/>
    <w:rsid w:val="00B61BC4"/>
    <w:rsid w:val="00B63F65"/>
    <w:rsid w:val="00B65B82"/>
    <w:rsid w:val="00B7288E"/>
    <w:rsid w:val="00B87B81"/>
    <w:rsid w:val="00BA1409"/>
    <w:rsid w:val="00BB34DE"/>
    <w:rsid w:val="00BE2A8D"/>
    <w:rsid w:val="00BF011F"/>
    <w:rsid w:val="00BF195D"/>
    <w:rsid w:val="00C073EC"/>
    <w:rsid w:val="00C326FB"/>
    <w:rsid w:val="00C50DEA"/>
    <w:rsid w:val="00C535BC"/>
    <w:rsid w:val="00C53C4C"/>
    <w:rsid w:val="00C60EA3"/>
    <w:rsid w:val="00C77954"/>
    <w:rsid w:val="00C90001"/>
    <w:rsid w:val="00C96EAA"/>
    <w:rsid w:val="00CA3ECF"/>
    <w:rsid w:val="00CD21E1"/>
    <w:rsid w:val="00CD531E"/>
    <w:rsid w:val="00CD6815"/>
    <w:rsid w:val="00CD7C56"/>
    <w:rsid w:val="00D016C9"/>
    <w:rsid w:val="00D17C81"/>
    <w:rsid w:val="00D31AC5"/>
    <w:rsid w:val="00D351C8"/>
    <w:rsid w:val="00D412F1"/>
    <w:rsid w:val="00D43CC7"/>
    <w:rsid w:val="00D46341"/>
    <w:rsid w:val="00D51603"/>
    <w:rsid w:val="00D570F6"/>
    <w:rsid w:val="00D61C9F"/>
    <w:rsid w:val="00D63C41"/>
    <w:rsid w:val="00D63CA7"/>
    <w:rsid w:val="00D71066"/>
    <w:rsid w:val="00D72087"/>
    <w:rsid w:val="00D86E8C"/>
    <w:rsid w:val="00D87603"/>
    <w:rsid w:val="00D92700"/>
    <w:rsid w:val="00D94E43"/>
    <w:rsid w:val="00D9541F"/>
    <w:rsid w:val="00DA5B48"/>
    <w:rsid w:val="00DA7F40"/>
    <w:rsid w:val="00DB0643"/>
    <w:rsid w:val="00DB135B"/>
    <w:rsid w:val="00DB705D"/>
    <w:rsid w:val="00DC4CEA"/>
    <w:rsid w:val="00DD6A0E"/>
    <w:rsid w:val="00DD74A8"/>
    <w:rsid w:val="00DE3156"/>
    <w:rsid w:val="00DE49E0"/>
    <w:rsid w:val="00DE4A0D"/>
    <w:rsid w:val="00DF6C24"/>
    <w:rsid w:val="00DF7FD8"/>
    <w:rsid w:val="00E07F1D"/>
    <w:rsid w:val="00E112F5"/>
    <w:rsid w:val="00E1591C"/>
    <w:rsid w:val="00E235DF"/>
    <w:rsid w:val="00E2535E"/>
    <w:rsid w:val="00E40357"/>
    <w:rsid w:val="00E41870"/>
    <w:rsid w:val="00E51829"/>
    <w:rsid w:val="00E54FE4"/>
    <w:rsid w:val="00E55438"/>
    <w:rsid w:val="00E62B9A"/>
    <w:rsid w:val="00E80E6B"/>
    <w:rsid w:val="00E83417"/>
    <w:rsid w:val="00E85A4B"/>
    <w:rsid w:val="00E86072"/>
    <w:rsid w:val="00E86E84"/>
    <w:rsid w:val="00E874E2"/>
    <w:rsid w:val="00E921F9"/>
    <w:rsid w:val="00E97419"/>
    <w:rsid w:val="00EA1799"/>
    <w:rsid w:val="00EA2314"/>
    <w:rsid w:val="00EA4849"/>
    <w:rsid w:val="00EA4A93"/>
    <w:rsid w:val="00EC26AC"/>
    <w:rsid w:val="00EC5BD7"/>
    <w:rsid w:val="00EC662A"/>
    <w:rsid w:val="00ED0A07"/>
    <w:rsid w:val="00EF1DE4"/>
    <w:rsid w:val="00EF2A9C"/>
    <w:rsid w:val="00EF6D0A"/>
    <w:rsid w:val="00F1076E"/>
    <w:rsid w:val="00F11792"/>
    <w:rsid w:val="00F21A7D"/>
    <w:rsid w:val="00F22375"/>
    <w:rsid w:val="00F23E48"/>
    <w:rsid w:val="00F24763"/>
    <w:rsid w:val="00F27755"/>
    <w:rsid w:val="00F342D3"/>
    <w:rsid w:val="00F42A26"/>
    <w:rsid w:val="00F4458B"/>
    <w:rsid w:val="00F53B57"/>
    <w:rsid w:val="00F62C26"/>
    <w:rsid w:val="00F638CF"/>
    <w:rsid w:val="00F7065F"/>
    <w:rsid w:val="00F71707"/>
    <w:rsid w:val="00F8074E"/>
    <w:rsid w:val="00F86668"/>
    <w:rsid w:val="00F964FC"/>
    <w:rsid w:val="00FA3DEA"/>
    <w:rsid w:val="00FB25B8"/>
    <w:rsid w:val="00FB38CA"/>
    <w:rsid w:val="00FB675E"/>
    <w:rsid w:val="00FE3D22"/>
    <w:rsid w:val="00FE7CCE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17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0C322C"/>
    <w:pPr>
      <w:spacing w:after="0" w:line="240" w:lineRule="auto"/>
      <w:ind w:left="525" w:right="525" w:firstLine="2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61D02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561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1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1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D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7539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52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3FE"/>
  </w:style>
  <w:style w:type="paragraph" w:styleId="Footer">
    <w:name w:val="footer"/>
    <w:basedOn w:val="Normal"/>
    <w:link w:val="FooterChar"/>
    <w:uiPriority w:val="99"/>
    <w:rsid w:val="00952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3FE"/>
  </w:style>
  <w:style w:type="paragraph" w:customStyle="1" w:styleId="Naslov">
    <w:name w:val="Naslov"/>
    <w:basedOn w:val="Normal"/>
    <w:uiPriority w:val="99"/>
    <w:rsid w:val="006A2AA3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hAnsi="Arial" w:cs="Arial"/>
      <w:b/>
      <w:bCs/>
      <w:caps/>
      <w:sz w:val="24"/>
      <w:szCs w:val="24"/>
      <w:lang w:val="sr-Cyrl-CS"/>
    </w:rPr>
  </w:style>
  <w:style w:type="paragraph" w:customStyle="1" w:styleId="Naslov1">
    <w:name w:val="Naslov1"/>
    <w:basedOn w:val="Normal"/>
    <w:uiPriority w:val="99"/>
    <w:rsid w:val="00A31900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hAnsi="Arial" w:cs="Arial"/>
      <w:b/>
      <w:bCs/>
      <w:caps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DE4A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4A0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rsid w:val="00DE4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17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0C322C"/>
    <w:pPr>
      <w:spacing w:after="0" w:line="240" w:lineRule="auto"/>
      <w:ind w:left="525" w:right="525" w:firstLine="2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61D02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561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1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1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D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7539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52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3FE"/>
  </w:style>
  <w:style w:type="paragraph" w:styleId="Footer">
    <w:name w:val="footer"/>
    <w:basedOn w:val="Normal"/>
    <w:link w:val="FooterChar"/>
    <w:uiPriority w:val="99"/>
    <w:rsid w:val="00952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3FE"/>
  </w:style>
  <w:style w:type="paragraph" w:customStyle="1" w:styleId="Naslov">
    <w:name w:val="Naslov"/>
    <w:basedOn w:val="Normal"/>
    <w:uiPriority w:val="99"/>
    <w:rsid w:val="006A2AA3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hAnsi="Arial" w:cs="Arial"/>
      <w:b/>
      <w:bCs/>
      <w:caps/>
      <w:sz w:val="24"/>
      <w:szCs w:val="24"/>
      <w:lang w:val="sr-Cyrl-CS"/>
    </w:rPr>
  </w:style>
  <w:style w:type="paragraph" w:customStyle="1" w:styleId="Naslov1">
    <w:name w:val="Naslov1"/>
    <w:basedOn w:val="Normal"/>
    <w:uiPriority w:val="99"/>
    <w:rsid w:val="00A31900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hAnsi="Arial" w:cs="Arial"/>
      <w:b/>
      <w:bCs/>
      <w:caps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DE4A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4A0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rsid w:val="00DE4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1040">
          <w:marLeft w:val="0"/>
          <w:marRight w:val="0"/>
          <w:marTop w:val="35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</w:divsChild>
    </w:div>
    <w:div w:id="9572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1039">
          <w:marLeft w:val="0"/>
          <w:marRight w:val="0"/>
          <w:marTop w:val="35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</w:divsChild>
    </w:div>
    <w:div w:id="9572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2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6315</Words>
  <Characters>36000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42231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bdjusic</dc:creator>
  <cp:lastModifiedBy>Borisav Knezevic</cp:lastModifiedBy>
  <cp:revision>2</cp:revision>
  <cp:lastPrinted>2013-06-19T09:10:00Z</cp:lastPrinted>
  <dcterms:created xsi:type="dcterms:W3CDTF">2014-01-27T13:54:00Z</dcterms:created>
  <dcterms:modified xsi:type="dcterms:W3CDTF">2014-01-27T13:54:00Z</dcterms:modified>
</cp:coreProperties>
</file>