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Default="001C62AD">
      <w:pPr>
        <w:rPr>
          <w:rFonts w:ascii="Times New Roman" w:hAnsi="Times New Roman" w:cs="Times New Roman"/>
          <w:sz w:val="24"/>
          <w:szCs w:val="24"/>
        </w:rPr>
      </w:pPr>
      <w:bookmarkStart w:id="0" w:name="_GoBack"/>
      <w:bookmarkEnd w:id="0"/>
    </w:p>
    <w:p w:rsidR="00697E66" w:rsidRPr="00523A8B" w:rsidRDefault="00697E66">
      <w:pPr>
        <w:rPr>
          <w:rFonts w:ascii="Times New Roman" w:hAnsi="Times New Roman" w:cs="Times New Roman"/>
          <w:sz w:val="24"/>
          <w:szCs w:val="24"/>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Pr>
          <w:rFonts w:ascii="Times New Roman" w:eastAsia="Times New Roman" w:hAnsi="Times New Roman" w:cs="Times New Roman"/>
          <w:b/>
          <w:noProof/>
          <w:sz w:val="28"/>
          <w:szCs w:val="20"/>
          <w:lang w:val="en-US" w:eastAsia="en-US"/>
        </w:rPr>
        <w:drawing>
          <wp:inline distT="0" distB="0" distL="0" distR="0">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Pr>
          <w:rFonts w:ascii="Times New Roman" w:eastAsia="Times New Roman" w:hAnsi="Times New Roman" w:cs="Times New Roman"/>
          <w:b/>
          <w:sz w:val="28"/>
          <w:szCs w:val="20"/>
          <w:lang w:val="ru-RU"/>
        </w:rPr>
        <w:br/>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РЕПУБЛИКА СРБИЈА</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УПРАВА ЗА ЈАВНЕ НАБАВКЕ</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3F4D18" w:rsidRDefault="000C129C" w:rsidP="000C129C">
      <w:pPr>
        <w:spacing w:after="0" w:line="240" w:lineRule="auto"/>
        <w:jc w:val="center"/>
        <w:rPr>
          <w:rFonts w:ascii="Times New Roman" w:eastAsia="Times New Roman" w:hAnsi="Times New Roman" w:cs="Times New Roman"/>
          <w:b/>
          <w:sz w:val="28"/>
          <w:szCs w:val="28"/>
          <w:lang w:val="ru-RU"/>
        </w:rPr>
      </w:pPr>
      <w:r w:rsidRPr="003F4D18">
        <w:rPr>
          <w:rFonts w:ascii="Times New Roman" w:eastAsia="Times New Roman" w:hAnsi="Times New Roman" w:cs="Times New Roman"/>
          <w:b/>
          <w:sz w:val="28"/>
          <w:szCs w:val="28"/>
          <w:lang w:val="ru-RU"/>
        </w:rPr>
        <w:t xml:space="preserve">ИЗВЕШТАЈ О ЈАВНИМ НАБАВКАМА У РЕПУБЛИЦИ СРБИЈИ </w:t>
      </w:r>
    </w:p>
    <w:p w:rsidR="000C129C" w:rsidRPr="003F4D18" w:rsidRDefault="00E633FD" w:rsidP="000C129C">
      <w:pPr>
        <w:spacing w:after="0" w:line="240" w:lineRule="auto"/>
        <w:jc w:val="center"/>
        <w:rPr>
          <w:rFonts w:ascii="Times New Roman" w:eastAsia="Times New Roman" w:hAnsi="Times New Roman" w:cs="Times New Roman"/>
          <w:b/>
          <w:color w:val="000000"/>
          <w:sz w:val="28"/>
          <w:szCs w:val="28"/>
        </w:rPr>
      </w:pPr>
      <w:r w:rsidRPr="003F4D18">
        <w:rPr>
          <w:rFonts w:ascii="Times New Roman" w:eastAsia="Times New Roman" w:hAnsi="Times New Roman" w:cs="Times New Roman"/>
          <w:b/>
          <w:color w:val="000000"/>
          <w:sz w:val="28"/>
          <w:szCs w:val="28"/>
          <w:lang w:val="ru-RU"/>
        </w:rPr>
        <w:t>ЗА</w:t>
      </w:r>
      <w:r w:rsidR="00432B7F" w:rsidRPr="003F4D18">
        <w:rPr>
          <w:rFonts w:ascii="Times New Roman" w:eastAsia="Times New Roman" w:hAnsi="Times New Roman" w:cs="Times New Roman"/>
          <w:b/>
          <w:color w:val="000000"/>
          <w:sz w:val="28"/>
          <w:szCs w:val="28"/>
          <w:lang w:val="ru-RU"/>
        </w:rPr>
        <w:t xml:space="preserve"> </w:t>
      </w:r>
      <w:r w:rsidR="00824F97" w:rsidRPr="003F4D18">
        <w:rPr>
          <w:rFonts w:ascii="Times New Roman" w:eastAsia="Times New Roman" w:hAnsi="Times New Roman" w:cs="Times New Roman"/>
          <w:b/>
          <w:color w:val="000000"/>
          <w:sz w:val="28"/>
          <w:szCs w:val="28"/>
        </w:rPr>
        <w:t>ПЕРИОД 01.01.2013 – 31.12.</w:t>
      </w:r>
      <w:r w:rsidR="000C129C" w:rsidRPr="003F4D18">
        <w:rPr>
          <w:rFonts w:ascii="Times New Roman" w:eastAsia="Times New Roman" w:hAnsi="Times New Roman" w:cs="Times New Roman"/>
          <w:b/>
          <w:color w:val="000000"/>
          <w:sz w:val="28"/>
          <w:szCs w:val="28"/>
          <w:lang w:val="ru-RU"/>
        </w:rPr>
        <w:t>2013. ГОДИНЕ</w:t>
      </w: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1275D0" w:rsidRDefault="000C129C" w:rsidP="000C129C">
      <w:pPr>
        <w:spacing w:after="0" w:line="240" w:lineRule="auto"/>
        <w:rPr>
          <w:rFonts w:ascii="Times New Roman" w:eastAsia="Times New Roman" w:hAnsi="Times New Roman" w:cs="Times New Roman"/>
          <w:b/>
          <w:sz w:val="28"/>
          <w:szCs w:val="20"/>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8"/>
          <w:lang w:val="ru-RU"/>
        </w:rPr>
      </w:pPr>
      <w:r w:rsidRPr="000C129C">
        <w:rPr>
          <w:rFonts w:ascii="Times New Roman" w:eastAsia="Times New Roman" w:hAnsi="Times New Roman" w:cs="Times New Roman"/>
          <w:b/>
          <w:sz w:val="28"/>
          <w:szCs w:val="28"/>
          <w:lang w:val="sr-Cyrl-CS"/>
        </w:rPr>
        <w:t>Београд</w:t>
      </w:r>
    </w:p>
    <w:p w:rsidR="000C129C" w:rsidRPr="000C129C" w:rsidRDefault="00DE5FBB" w:rsidP="000C129C">
      <w:pPr>
        <w:spacing w:after="0" w:line="240" w:lineRule="auto"/>
        <w:jc w:val="center"/>
        <w:rPr>
          <w:rFonts w:ascii="Times New Roman" w:eastAsia="Times New Roman" w:hAnsi="Times New Roman" w:cs="Times New Roman"/>
          <w:b/>
          <w:sz w:val="28"/>
          <w:szCs w:val="28"/>
          <w:lang w:val="sr-Cyrl-CS"/>
        </w:rPr>
      </w:pPr>
      <w:r>
        <w:rPr>
          <w:rFonts w:ascii="Times New Roman" w:eastAsia="Times New Roman" w:hAnsi="Times New Roman" w:cs="Times New Roman"/>
          <w:b/>
          <w:sz w:val="28"/>
          <w:szCs w:val="28"/>
        </w:rPr>
        <w:t>2</w:t>
      </w:r>
      <w:r w:rsidR="00717E18">
        <w:rPr>
          <w:rFonts w:ascii="Times New Roman" w:eastAsia="Times New Roman" w:hAnsi="Times New Roman" w:cs="Times New Roman"/>
          <w:b/>
          <w:sz w:val="28"/>
          <w:szCs w:val="28"/>
        </w:rPr>
        <w:t>8</w:t>
      </w:r>
      <w:r w:rsidR="00441219">
        <w:rPr>
          <w:rFonts w:ascii="Times New Roman" w:eastAsia="Times New Roman" w:hAnsi="Times New Roman" w:cs="Times New Roman"/>
          <w:b/>
          <w:sz w:val="28"/>
          <w:szCs w:val="28"/>
          <w:lang w:val="ru-RU"/>
        </w:rPr>
        <w:t xml:space="preserve">. </w:t>
      </w:r>
      <w:r w:rsidR="00432B7F">
        <w:rPr>
          <w:rFonts w:ascii="Times New Roman" w:eastAsia="Times New Roman" w:hAnsi="Times New Roman" w:cs="Times New Roman"/>
          <w:b/>
          <w:sz w:val="28"/>
          <w:szCs w:val="28"/>
          <w:lang w:val="ru-RU"/>
        </w:rPr>
        <w:t>април</w:t>
      </w:r>
      <w:r w:rsidR="001B245E">
        <w:rPr>
          <w:rFonts w:ascii="Times New Roman" w:eastAsia="Times New Roman" w:hAnsi="Times New Roman" w:cs="Times New Roman"/>
          <w:b/>
          <w:sz w:val="28"/>
          <w:szCs w:val="28"/>
          <w:lang w:val="ru-RU"/>
        </w:rPr>
        <w:t xml:space="preserve"> 2014</w:t>
      </w:r>
      <w:r w:rsidR="000C129C">
        <w:rPr>
          <w:rFonts w:ascii="Times New Roman" w:eastAsia="Times New Roman" w:hAnsi="Times New Roman" w:cs="Times New Roman"/>
          <w:b/>
          <w:sz w:val="28"/>
          <w:szCs w:val="28"/>
          <w:lang w:val="ru-RU"/>
        </w:rPr>
        <w:t>. године</w:t>
      </w:r>
    </w:p>
    <w:p w:rsidR="000C129C" w:rsidRDefault="000C129C">
      <w:pPr>
        <w:rPr>
          <w:rFonts w:ascii="Times New Roman" w:hAnsi="Times New Roman" w:cs="Times New Roman"/>
          <w:sz w:val="24"/>
          <w:szCs w:val="24"/>
        </w:rPr>
      </w:pPr>
    </w:p>
    <w:p w:rsidR="00261373" w:rsidRDefault="00261373">
      <w:pPr>
        <w:rPr>
          <w:rFonts w:ascii="Times New Roman" w:hAnsi="Times New Roman" w:cs="Times New Roman"/>
          <w:sz w:val="24"/>
          <w:szCs w:val="24"/>
        </w:rPr>
      </w:pPr>
    </w:p>
    <w:p w:rsidR="00725059" w:rsidRDefault="00725059">
      <w:pPr>
        <w:rPr>
          <w:rFonts w:ascii="Times New Roman" w:hAnsi="Times New Roman" w:cs="Times New Roman"/>
          <w:sz w:val="24"/>
          <w:szCs w:val="24"/>
        </w:rPr>
      </w:pPr>
    </w:p>
    <w:p w:rsidR="00725059" w:rsidRPr="00725059" w:rsidRDefault="00725059">
      <w:pPr>
        <w:rPr>
          <w:rFonts w:ascii="Times New Roman" w:hAnsi="Times New Roman" w:cs="Times New Roman"/>
          <w:sz w:val="24"/>
          <w:szCs w:val="24"/>
        </w:rPr>
      </w:pPr>
    </w:p>
    <w:p w:rsidR="003B4846" w:rsidRPr="003B4846" w:rsidRDefault="003B4846" w:rsidP="003B4846">
      <w:pPr>
        <w:contextualSpacing/>
        <w:rPr>
          <w:rFonts w:ascii="Times New Roman" w:eastAsia="Calibri" w:hAnsi="Times New Roman" w:cs="Times New Roman"/>
          <w:b/>
          <w:sz w:val="24"/>
          <w:szCs w:val="24"/>
        </w:rPr>
      </w:pPr>
      <w:r w:rsidRPr="003B4846">
        <w:rPr>
          <w:rFonts w:ascii="Times New Roman" w:eastAsia="Calibri" w:hAnsi="Times New Roman" w:cs="Times New Roman"/>
          <w:b/>
          <w:sz w:val="24"/>
          <w:szCs w:val="24"/>
        </w:rPr>
        <w:t>УВОД</w:t>
      </w:r>
    </w:p>
    <w:p w:rsidR="003B4846" w:rsidRPr="003B4846" w:rsidRDefault="003B4846" w:rsidP="003B4846">
      <w:pPr>
        <w:ind w:left="720"/>
        <w:contextualSpacing/>
        <w:rPr>
          <w:rFonts w:ascii="Times New Roman" w:eastAsia="Calibri" w:hAnsi="Times New Roman" w:cs="Times New Roman"/>
          <w:b/>
          <w:sz w:val="24"/>
          <w:szCs w:val="24"/>
        </w:rPr>
      </w:pP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Законом о јавним набавкама („Службени гласник РС“, бр. 124/12) прописано је да су наручиоци дужни да прикупљају и евидентирају податке о јавним набавкама и да своје </w:t>
      </w:r>
      <w:r w:rsidR="00F155EE">
        <w:rPr>
          <w:rFonts w:ascii="Times New Roman" w:eastAsia="Calibri" w:hAnsi="Times New Roman" w:cs="Times New Roman"/>
          <w:sz w:val="24"/>
          <w:szCs w:val="24"/>
        </w:rPr>
        <w:t xml:space="preserve">кварталне </w:t>
      </w:r>
      <w:r w:rsidRPr="003B4846">
        <w:rPr>
          <w:rFonts w:ascii="Times New Roman" w:eastAsia="Calibri" w:hAnsi="Times New Roman" w:cs="Times New Roman"/>
          <w:sz w:val="24"/>
          <w:szCs w:val="24"/>
        </w:rPr>
        <w:t>извештаје достављају Управи за јавне набавке најкасније до 10. у месецу који следи по истеку тромесечја.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w:t>
      </w:r>
      <w:r w:rsidR="00AD2121">
        <w:rPr>
          <w:rFonts w:ascii="Times New Roman" w:eastAsia="Calibri" w:hAnsi="Times New Roman" w:cs="Times New Roman"/>
          <w:sz w:val="24"/>
          <w:szCs w:val="24"/>
        </w:rPr>
        <w:t>не примењују</w:t>
      </w:r>
      <w:r w:rsidRPr="003B4846">
        <w:rPr>
          <w:rFonts w:ascii="Times New Roman" w:eastAsia="Calibri" w:hAnsi="Times New Roman" w:cs="Times New Roman"/>
          <w:sz w:val="24"/>
          <w:szCs w:val="24"/>
        </w:rPr>
        <w:t xml:space="preserve"> одредбе Закона, о обустављеним и поништеним поступцима јавне набавке, као и извештај о извршењу уговора.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Тромесечни извештај о јавним набавкама припрема се и доставља Управи искључиво у електронској форми, коришћењем електронског система, односно апликативног софтвера Управе за јавне набавке.  Софтвер, који садржи обрасце за вођење евиденције и пратеће корисничко упутство за употребу, доступан је на интернет страници Управе, одакле га наручиоци могу преузети (</w:t>
      </w:r>
      <w:hyperlink r:id="rId10" w:history="1">
        <w:r w:rsidRPr="003B4846">
          <w:rPr>
            <w:rFonts w:ascii="Times New Roman" w:eastAsia="Calibri" w:hAnsi="Times New Roman" w:cs="Times New Roman"/>
            <w:color w:val="0000FF"/>
            <w:sz w:val="24"/>
            <w:szCs w:val="24"/>
            <w:u w:val="single"/>
          </w:rPr>
          <w:t>www.ujn.gov.rs</w:t>
        </w:r>
      </w:hyperlink>
      <w:r w:rsidRPr="003B4846">
        <w:rPr>
          <w:rFonts w:ascii="Times New Roman" w:eastAsia="Calibri" w:hAnsi="Times New Roman" w:cs="Times New Roman"/>
          <w:sz w:val="24"/>
          <w:szCs w:val="24"/>
        </w:rPr>
        <w:t xml:space="preserve">).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се евидентира сваки закључени уговор појединачно.</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Нови систем извештавања, путем наведеног апликативног софтвера, почео је са применом од рока за достављање извештаја о јавним набавкама за други  квартал 2013. године.</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 исправност и тачност података приказаних у извештајима одговорни су сами наручиоци.</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На основу достављених тромесечних извештаја наручилаца</w:t>
      </w:r>
      <w:r w:rsidR="003F4D18">
        <w:rPr>
          <w:rFonts w:ascii="Times New Roman" w:eastAsia="Calibri" w:hAnsi="Times New Roman" w:cs="Times New Roman"/>
          <w:sz w:val="24"/>
          <w:szCs w:val="24"/>
        </w:rPr>
        <w:t>,</w:t>
      </w:r>
      <w:r w:rsidRPr="003B4846">
        <w:rPr>
          <w:rFonts w:ascii="Times New Roman" w:eastAsia="Calibri" w:hAnsi="Times New Roman" w:cs="Times New Roman"/>
          <w:sz w:val="24"/>
          <w:szCs w:val="24"/>
        </w:rPr>
        <w:t xml:space="preserve"> Управа припрема преглед спроведених поступака и закључених уговорa који објављује на Порталу јавних набавки (</w:t>
      </w:r>
      <w:hyperlink r:id="rId11" w:history="1">
        <w:r w:rsidRPr="003B4846">
          <w:rPr>
            <w:rStyle w:val="Hyperlink"/>
            <w:rFonts w:ascii="Times New Roman" w:eastAsia="Calibri" w:hAnsi="Times New Roman" w:cs="Times New Roman"/>
            <w:sz w:val="24"/>
            <w:szCs w:val="24"/>
          </w:rPr>
          <w:t>http://portal.ujn.gov.rs</w:t>
        </w:r>
      </w:hyperlink>
      <w:r w:rsidRPr="003B4846">
        <w:rPr>
          <w:rFonts w:ascii="Times New Roman" w:eastAsia="Calibri" w:hAnsi="Times New Roman" w:cs="Times New Roman"/>
          <w:sz w:val="24"/>
          <w:szCs w:val="24"/>
        </w:rPr>
        <w:t>), и који сви заинтересовани могу да претражују.</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Такође, Управа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РС, објави на својој интернет страници.</w:t>
      </w:r>
    </w:p>
    <w:p w:rsidR="001C62AD" w:rsidRPr="003B4846" w:rsidRDefault="001C62AD">
      <w:pPr>
        <w:rPr>
          <w:rFonts w:ascii="Times New Roman" w:hAnsi="Times New Roman" w:cs="Times New Roman"/>
          <w:sz w:val="24"/>
          <w:szCs w:val="24"/>
        </w:rPr>
      </w:pPr>
    </w:p>
    <w:p w:rsidR="00293B02" w:rsidRDefault="00293B02">
      <w:pPr>
        <w:rPr>
          <w:rFonts w:ascii="Times New Roman" w:hAnsi="Times New Roman" w:cs="Times New Roman"/>
          <w:sz w:val="24"/>
          <w:szCs w:val="24"/>
        </w:rPr>
        <w:sectPr w:rsidR="00293B02" w:rsidSect="00F56CE2">
          <w:footerReference w:type="default" r:id="rId12"/>
          <w:pgSz w:w="11907" w:h="16839" w:code="9"/>
          <w:pgMar w:top="720" w:right="720" w:bottom="720" w:left="720" w:header="708" w:footer="708" w:gutter="0"/>
          <w:pgNumType w:start="0"/>
          <w:cols w:space="708"/>
          <w:titlePg/>
          <w:docGrid w:linePitch="360"/>
        </w:sectPr>
      </w:pPr>
    </w:p>
    <w:p w:rsidR="005745B7" w:rsidRPr="000B4B53" w:rsidRDefault="00E70A37" w:rsidP="000B4B53">
      <w:pPr>
        <w:pStyle w:val="ListParagraph"/>
        <w:numPr>
          <w:ilvl w:val="0"/>
          <w:numId w:val="2"/>
        </w:numPr>
        <w:rPr>
          <w:rFonts w:ascii="Times New Roman" w:hAnsi="Times New Roman" w:cs="Times New Roman"/>
          <w:b/>
          <w:sz w:val="24"/>
          <w:szCs w:val="24"/>
        </w:rPr>
      </w:pPr>
      <w:r w:rsidRPr="000B4B53">
        <w:rPr>
          <w:rFonts w:ascii="Times New Roman" w:hAnsi="Times New Roman" w:cs="Times New Roman"/>
          <w:b/>
          <w:sz w:val="24"/>
          <w:szCs w:val="24"/>
        </w:rPr>
        <w:lastRenderedPageBreak/>
        <w:t xml:space="preserve">ЗБИРНИ ПРЕГЛЕД </w:t>
      </w:r>
      <w:r w:rsidR="008F0573">
        <w:rPr>
          <w:rFonts w:ascii="Times New Roman" w:hAnsi="Times New Roman" w:cs="Times New Roman"/>
          <w:b/>
          <w:sz w:val="24"/>
          <w:szCs w:val="24"/>
        </w:rPr>
        <w:t xml:space="preserve">ЈАВНИХ </w:t>
      </w:r>
      <w:r w:rsidRPr="000B4B53">
        <w:rPr>
          <w:rFonts w:ascii="Times New Roman" w:hAnsi="Times New Roman" w:cs="Times New Roman"/>
          <w:b/>
          <w:sz w:val="24"/>
          <w:szCs w:val="24"/>
        </w:rPr>
        <w:t>НАБАВКИ У РЕПУБЛИЦИ СРБИЈИ</w:t>
      </w:r>
    </w:p>
    <w:p w:rsidR="00EF35D1" w:rsidRPr="00865EBD" w:rsidRDefault="00432B7F" w:rsidP="007652C6">
      <w:pPr>
        <w:jc w:val="both"/>
        <w:rPr>
          <w:rFonts w:ascii="Times New Roman" w:hAnsi="Times New Roman" w:cs="Times New Roman"/>
          <w:sz w:val="24"/>
          <w:szCs w:val="24"/>
        </w:rPr>
      </w:pPr>
      <w:r>
        <w:rPr>
          <w:rFonts w:ascii="Times New Roman" w:hAnsi="Times New Roman" w:cs="Times New Roman"/>
          <w:sz w:val="24"/>
          <w:szCs w:val="24"/>
        </w:rPr>
        <w:t xml:space="preserve">Сагледавање и анализа података о </w:t>
      </w:r>
      <w:r w:rsidR="00EF35D1" w:rsidRPr="00EF35D1">
        <w:rPr>
          <w:rFonts w:ascii="Times New Roman" w:hAnsi="Times New Roman" w:cs="Times New Roman"/>
          <w:sz w:val="24"/>
          <w:szCs w:val="24"/>
        </w:rPr>
        <w:t xml:space="preserve">јавним набавкама у </w:t>
      </w:r>
      <w:r>
        <w:rPr>
          <w:rFonts w:ascii="Times New Roman" w:hAnsi="Times New Roman" w:cs="Times New Roman"/>
          <w:sz w:val="24"/>
          <w:szCs w:val="24"/>
        </w:rPr>
        <w:t>2013. години</w:t>
      </w:r>
      <w:r w:rsidR="00EF35D1" w:rsidRPr="00EF35D1">
        <w:rPr>
          <w:rFonts w:ascii="Times New Roman" w:hAnsi="Times New Roman" w:cs="Times New Roman"/>
          <w:sz w:val="24"/>
          <w:szCs w:val="24"/>
        </w:rPr>
        <w:t xml:space="preserve"> имају </w:t>
      </w:r>
      <w:r w:rsidR="001275D0">
        <w:rPr>
          <w:rFonts w:ascii="Times New Roman" w:hAnsi="Times New Roman" w:cs="Times New Roman"/>
          <w:sz w:val="24"/>
          <w:szCs w:val="24"/>
        </w:rPr>
        <w:t xml:space="preserve">велики </w:t>
      </w:r>
      <w:r w:rsidR="00EF35D1" w:rsidRPr="00EF35D1">
        <w:rPr>
          <w:rFonts w:ascii="Times New Roman" w:hAnsi="Times New Roman" w:cs="Times New Roman"/>
          <w:sz w:val="24"/>
          <w:szCs w:val="24"/>
        </w:rPr>
        <w:t xml:space="preserve">значај јер </w:t>
      </w:r>
      <w:r w:rsidR="00912C52">
        <w:rPr>
          <w:rFonts w:ascii="Times New Roman" w:hAnsi="Times New Roman" w:cs="Times New Roman"/>
          <w:sz w:val="24"/>
          <w:szCs w:val="24"/>
        </w:rPr>
        <w:t xml:space="preserve">је </w:t>
      </w:r>
      <w:r>
        <w:rPr>
          <w:rFonts w:ascii="Times New Roman" w:hAnsi="Times New Roman" w:cs="Times New Roman"/>
          <w:sz w:val="24"/>
          <w:szCs w:val="24"/>
        </w:rPr>
        <w:t xml:space="preserve">1. априла 2013. године започела примена новог Закона о јавним набавкама. Имајући у виду да је велики број наручилаца </w:t>
      </w:r>
      <w:r w:rsidR="00EF35D1" w:rsidRPr="00EF35D1">
        <w:rPr>
          <w:rFonts w:ascii="Times New Roman" w:hAnsi="Times New Roman" w:cs="Times New Roman"/>
          <w:sz w:val="24"/>
          <w:szCs w:val="24"/>
        </w:rPr>
        <w:t xml:space="preserve">покренуо поступке </w:t>
      </w:r>
      <w:r>
        <w:rPr>
          <w:rFonts w:ascii="Times New Roman" w:hAnsi="Times New Roman" w:cs="Times New Roman"/>
          <w:sz w:val="24"/>
          <w:szCs w:val="24"/>
        </w:rPr>
        <w:t>током првог квартала 2013.</w:t>
      </w:r>
      <w:r w:rsidR="003F4D18">
        <w:rPr>
          <w:rFonts w:ascii="Times New Roman" w:hAnsi="Times New Roman" w:cs="Times New Roman"/>
          <w:sz w:val="24"/>
          <w:szCs w:val="24"/>
        </w:rPr>
        <w:t xml:space="preserve"> </w:t>
      </w:r>
      <w:r>
        <w:rPr>
          <w:rFonts w:ascii="Times New Roman" w:hAnsi="Times New Roman" w:cs="Times New Roman"/>
          <w:sz w:val="24"/>
          <w:szCs w:val="24"/>
        </w:rPr>
        <w:t xml:space="preserve">године како би их спровео по „старом“ закону, може се сматрати да је највећи број поступака за које су уговори закључении у првом и другом кварталу спроведен по старом закону, док су </w:t>
      </w:r>
      <w:r w:rsidR="00D044FD">
        <w:rPr>
          <w:rFonts w:ascii="Times New Roman" w:hAnsi="Times New Roman" w:cs="Times New Roman"/>
          <w:sz w:val="24"/>
          <w:szCs w:val="24"/>
        </w:rPr>
        <w:t xml:space="preserve">уговори </w:t>
      </w:r>
      <w:r w:rsidR="003F4D18">
        <w:rPr>
          <w:rFonts w:ascii="Times New Roman" w:hAnsi="Times New Roman" w:cs="Times New Roman"/>
          <w:sz w:val="24"/>
          <w:szCs w:val="24"/>
          <w:lang w:val="sr-Cyrl-RS"/>
        </w:rPr>
        <w:t>из</w:t>
      </w:r>
      <w:r w:rsidR="003F4D18">
        <w:rPr>
          <w:rFonts w:ascii="Times New Roman" w:hAnsi="Times New Roman" w:cs="Times New Roman"/>
          <w:sz w:val="24"/>
          <w:szCs w:val="24"/>
        </w:rPr>
        <w:t xml:space="preserve"> треће</w:t>
      </w:r>
      <w:r w:rsidR="003F4D18">
        <w:rPr>
          <w:rFonts w:ascii="Times New Roman" w:hAnsi="Times New Roman" w:cs="Times New Roman"/>
          <w:sz w:val="24"/>
          <w:szCs w:val="24"/>
          <w:lang w:val="sr-Cyrl-RS"/>
        </w:rPr>
        <w:t>г</w:t>
      </w:r>
      <w:r w:rsidR="00D044FD">
        <w:rPr>
          <w:rFonts w:ascii="Times New Roman" w:hAnsi="Times New Roman" w:cs="Times New Roman"/>
          <w:sz w:val="24"/>
          <w:szCs w:val="24"/>
        </w:rPr>
        <w:t xml:space="preserve"> и четврто</w:t>
      </w:r>
      <w:r w:rsidR="003F4D18">
        <w:rPr>
          <w:rFonts w:ascii="Times New Roman" w:hAnsi="Times New Roman" w:cs="Times New Roman"/>
          <w:sz w:val="24"/>
          <w:szCs w:val="24"/>
          <w:lang w:val="sr-Cyrl-RS"/>
        </w:rPr>
        <w:t>г</w:t>
      </w:r>
      <w:r w:rsidR="00D044FD">
        <w:rPr>
          <w:rFonts w:ascii="Times New Roman" w:hAnsi="Times New Roman" w:cs="Times New Roman"/>
          <w:sz w:val="24"/>
          <w:szCs w:val="24"/>
        </w:rPr>
        <w:t xml:space="preserve"> квартал</w:t>
      </w:r>
      <w:r w:rsidR="003F4D18">
        <w:rPr>
          <w:rFonts w:ascii="Times New Roman" w:hAnsi="Times New Roman" w:cs="Times New Roman"/>
          <w:sz w:val="24"/>
          <w:szCs w:val="24"/>
          <w:lang w:val="sr-Cyrl-RS"/>
        </w:rPr>
        <w:t>а</w:t>
      </w:r>
      <w:r w:rsidR="00D044FD">
        <w:rPr>
          <w:rFonts w:ascii="Times New Roman" w:hAnsi="Times New Roman" w:cs="Times New Roman"/>
          <w:sz w:val="24"/>
          <w:szCs w:val="24"/>
        </w:rPr>
        <w:t xml:space="preserve"> </w:t>
      </w:r>
      <w:r w:rsidR="003F4D18">
        <w:rPr>
          <w:rFonts w:ascii="Times New Roman" w:hAnsi="Times New Roman" w:cs="Times New Roman"/>
          <w:sz w:val="24"/>
          <w:szCs w:val="24"/>
          <w:lang w:val="sr-Cyrl-RS"/>
        </w:rPr>
        <w:t xml:space="preserve">закључени </w:t>
      </w:r>
      <w:r w:rsidR="000229D1">
        <w:rPr>
          <w:rFonts w:ascii="Times New Roman" w:hAnsi="Times New Roman" w:cs="Times New Roman"/>
          <w:sz w:val="24"/>
          <w:szCs w:val="24"/>
        </w:rPr>
        <w:t xml:space="preserve">у поступцима спроведеним по новом закону. Поређење показатеља у првом и другом полугодишту 2013. године </w:t>
      </w:r>
      <w:r w:rsidR="00865EBD">
        <w:rPr>
          <w:rFonts w:ascii="Times New Roman" w:hAnsi="Times New Roman" w:cs="Times New Roman"/>
          <w:sz w:val="24"/>
          <w:szCs w:val="24"/>
        </w:rPr>
        <w:t>показаће стога прве ефекте примене новог закона. Посебна пажња биће посвећена показатељима примене начела обезбеђивања к</w:t>
      </w:r>
      <w:r w:rsidR="00121ED9">
        <w:rPr>
          <w:rFonts w:ascii="Times New Roman" w:hAnsi="Times New Roman" w:cs="Times New Roman"/>
          <w:sz w:val="24"/>
          <w:szCs w:val="24"/>
        </w:rPr>
        <w:t xml:space="preserve">онкуренције и </w:t>
      </w:r>
      <w:r w:rsidR="00865EBD">
        <w:rPr>
          <w:rFonts w:ascii="Times New Roman" w:hAnsi="Times New Roman" w:cs="Times New Roman"/>
          <w:sz w:val="24"/>
          <w:szCs w:val="24"/>
        </w:rPr>
        <w:t xml:space="preserve">начела </w:t>
      </w:r>
      <w:r w:rsidR="00121ED9">
        <w:rPr>
          <w:rFonts w:ascii="Times New Roman" w:hAnsi="Times New Roman" w:cs="Times New Roman"/>
          <w:sz w:val="24"/>
          <w:szCs w:val="24"/>
        </w:rPr>
        <w:t>транспарентности</w:t>
      </w:r>
      <w:r w:rsidR="00865EBD">
        <w:rPr>
          <w:rFonts w:ascii="Times New Roman" w:hAnsi="Times New Roman" w:cs="Times New Roman"/>
          <w:sz w:val="24"/>
          <w:szCs w:val="24"/>
        </w:rPr>
        <w:t xml:space="preserve"> поступака јавних набавки</w:t>
      </w:r>
      <w:r w:rsidR="00121ED9">
        <w:rPr>
          <w:rFonts w:ascii="Times New Roman" w:hAnsi="Times New Roman" w:cs="Times New Roman"/>
          <w:sz w:val="24"/>
          <w:szCs w:val="24"/>
        </w:rPr>
        <w:t xml:space="preserve">.  </w:t>
      </w:r>
    </w:p>
    <w:p w:rsidR="00EF35D1" w:rsidRPr="00121ED9" w:rsidRDefault="00121ED9" w:rsidP="007652C6">
      <w:pPr>
        <w:jc w:val="both"/>
        <w:rPr>
          <w:rFonts w:ascii="Times New Roman" w:hAnsi="Times New Roman" w:cs="Times New Roman"/>
          <w:sz w:val="24"/>
          <w:szCs w:val="24"/>
        </w:rPr>
      </w:pPr>
      <w:r>
        <w:rPr>
          <w:rFonts w:ascii="Times New Roman" w:hAnsi="Times New Roman" w:cs="Times New Roman"/>
          <w:sz w:val="24"/>
          <w:szCs w:val="24"/>
        </w:rPr>
        <w:t>Р</w:t>
      </w:r>
      <w:r w:rsidR="00EF35D1" w:rsidRPr="00EF35D1">
        <w:rPr>
          <w:rFonts w:ascii="Times New Roman" w:hAnsi="Times New Roman" w:cs="Times New Roman"/>
          <w:sz w:val="24"/>
          <w:szCs w:val="24"/>
        </w:rPr>
        <w:t>егистрована вредност јавних набавки</w:t>
      </w:r>
      <w:r w:rsidR="007B26D5">
        <w:rPr>
          <w:rFonts w:ascii="Times New Roman" w:hAnsi="Times New Roman" w:cs="Times New Roman"/>
          <w:sz w:val="24"/>
          <w:szCs w:val="24"/>
        </w:rPr>
        <w:t xml:space="preserve"> у 2013. години</w:t>
      </w:r>
      <w:r>
        <w:rPr>
          <w:rFonts w:ascii="Times New Roman" w:hAnsi="Times New Roman" w:cs="Times New Roman"/>
          <w:sz w:val="24"/>
          <w:szCs w:val="24"/>
        </w:rPr>
        <w:t xml:space="preserve"> износила је 2</w:t>
      </w:r>
      <w:r w:rsidR="00011DFE">
        <w:rPr>
          <w:rFonts w:ascii="Times New Roman" w:hAnsi="Times New Roman" w:cs="Times New Roman"/>
          <w:sz w:val="24"/>
          <w:szCs w:val="24"/>
        </w:rPr>
        <w:t>62</w:t>
      </w:r>
      <w:r>
        <w:rPr>
          <w:rFonts w:ascii="Times New Roman" w:hAnsi="Times New Roman" w:cs="Times New Roman"/>
          <w:sz w:val="24"/>
          <w:szCs w:val="24"/>
        </w:rPr>
        <w:t>,9 милијарди динара што је мање у односу на 2012. годину за 4</w:t>
      </w:r>
      <w:r w:rsidR="00B152F5">
        <w:rPr>
          <w:rFonts w:ascii="Times New Roman" w:hAnsi="Times New Roman" w:cs="Times New Roman"/>
          <w:sz w:val="24"/>
          <w:szCs w:val="24"/>
        </w:rPr>
        <w:t>0</w:t>
      </w:r>
      <w:r>
        <w:rPr>
          <w:rFonts w:ascii="Times New Roman" w:hAnsi="Times New Roman" w:cs="Times New Roman"/>
          <w:sz w:val="24"/>
          <w:szCs w:val="24"/>
        </w:rPr>
        <w:t xml:space="preserve">,8 милијарди динара или </w:t>
      </w:r>
      <w:r w:rsidR="00B152F5">
        <w:rPr>
          <w:rFonts w:ascii="Times New Roman" w:hAnsi="Times New Roman" w:cs="Times New Roman"/>
          <w:sz w:val="24"/>
          <w:szCs w:val="24"/>
        </w:rPr>
        <w:t xml:space="preserve">за </w:t>
      </w:r>
      <w:r>
        <w:rPr>
          <w:rFonts w:ascii="Times New Roman" w:hAnsi="Times New Roman" w:cs="Times New Roman"/>
          <w:sz w:val="24"/>
          <w:szCs w:val="24"/>
        </w:rPr>
        <w:t>око 3</w:t>
      </w:r>
      <w:r w:rsidR="00B152F5">
        <w:rPr>
          <w:rFonts w:ascii="Times New Roman" w:hAnsi="Times New Roman" w:cs="Times New Roman"/>
          <w:sz w:val="24"/>
          <w:szCs w:val="24"/>
        </w:rPr>
        <w:t>55</w:t>
      </w:r>
      <w:r>
        <w:rPr>
          <w:rFonts w:ascii="Times New Roman" w:hAnsi="Times New Roman" w:cs="Times New Roman"/>
          <w:sz w:val="24"/>
          <w:szCs w:val="24"/>
        </w:rPr>
        <w:t xml:space="preserve"> милиона евра</w:t>
      </w:r>
      <w:r w:rsidR="007830F4">
        <w:rPr>
          <w:rFonts w:ascii="Times New Roman" w:hAnsi="Times New Roman" w:cs="Times New Roman"/>
          <w:sz w:val="24"/>
          <w:szCs w:val="24"/>
        </w:rPr>
        <w:t xml:space="preserve"> (Табела 1</w:t>
      </w:r>
      <w:r w:rsidR="00CA42B4">
        <w:rPr>
          <w:rFonts w:ascii="Times New Roman" w:hAnsi="Times New Roman" w:cs="Times New Roman"/>
          <w:sz w:val="24"/>
          <w:szCs w:val="24"/>
        </w:rPr>
        <w:t>, Слика 1</w:t>
      </w:r>
      <w:r w:rsidR="007830F4">
        <w:rPr>
          <w:rFonts w:ascii="Times New Roman" w:hAnsi="Times New Roman" w:cs="Times New Roman"/>
          <w:sz w:val="24"/>
          <w:szCs w:val="24"/>
        </w:rPr>
        <w:t>).</w:t>
      </w:r>
    </w:p>
    <w:p w:rsidR="008471E3" w:rsidRPr="00F700F0" w:rsidRDefault="00F700F0">
      <w:pPr>
        <w:rPr>
          <w:rFonts w:ascii="Times New Roman" w:hAnsi="Times New Roman" w:cs="Times New Roman"/>
          <w:b/>
          <w:sz w:val="24"/>
          <w:szCs w:val="24"/>
        </w:rPr>
      </w:pPr>
      <w:r>
        <w:rPr>
          <w:rFonts w:ascii="Times New Roman" w:hAnsi="Times New Roman" w:cs="Times New Roman"/>
          <w:b/>
          <w:color w:val="FF0000"/>
          <w:sz w:val="24"/>
          <w:szCs w:val="24"/>
        </w:rPr>
        <w:t xml:space="preserve">                   </w:t>
      </w:r>
      <w:r w:rsidR="000B4B53" w:rsidRPr="00F700F0">
        <w:rPr>
          <w:rFonts w:ascii="Times New Roman" w:hAnsi="Times New Roman" w:cs="Times New Roman"/>
          <w:b/>
          <w:sz w:val="24"/>
          <w:szCs w:val="24"/>
        </w:rPr>
        <w:t>Табела 1</w:t>
      </w:r>
    </w:p>
    <w:tbl>
      <w:tblPr>
        <w:tblW w:w="12226" w:type="dxa"/>
        <w:jc w:val="center"/>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0"/>
        <w:gridCol w:w="936"/>
        <w:gridCol w:w="1016"/>
        <w:gridCol w:w="1016"/>
        <w:gridCol w:w="1016"/>
        <w:gridCol w:w="1016"/>
        <w:gridCol w:w="1016"/>
        <w:gridCol w:w="1016"/>
        <w:gridCol w:w="1016"/>
        <w:gridCol w:w="1016"/>
        <w:gridCol w:w="1016"/>
        <w:gridCol w:w="1016"/>
      </w:tblGrid>
      <w:tr w:rsidR="00D506EF" w:rsidTr="00D41592">
        <w:trPr>
          <w:trHeight w:val="272"/>
          <w:jc w:val="center"/>
        </w:trPr>
        <w:tc>
          <w:tcPr>
            <w:tcW w:w="12226" w:type="dxa"/>
            <w:gridSpan w:val="12"/>
            <w:vAlign w:val="center"/>
          </w:tcPr>
          <w:p w:rsidR="003F4D18" w:rsidRDefault="003F4D18" w:rsidP="003F4D18">
            <w:pPr>
              <w:tabs>
                <w:tab w:val="left" w:pos="3622"/>
              </w:tabs>
              <w:spacing w:after="0" w:line="240" w:lineRule="auto"/>
              <w:jc w:val="center"/>
              <w:rPr>
                <w:rFonts w:ascii="Times New Roman" w:eastAsia="Times New Roman" w:hAnsi="Times New Roman" w:cs="Times New Roman"/>
                <w:b/>
                <w:sz w:val="24"/>
                <w:szCs w:val="24"/>
                <w:lang w:val="sr-Cyrl-RS"/>
              </w:rPr>
            </w:pPr>
          </w:p>
          <w:p w:rsidR="00D506EF" w:rsidRPr="00AC7F64" w:rsidRDefault="00D506EF" w:rsidP="003F4D18">
            <w:pPr>
              <w:tabs>
                <w:tab w:val="left" w:pos="3622"/>
              </w:tabs>
              <w:spacing w:after="0" w:line="240" w:lineRule="auto"/>
              <w:jc w:val="center"/>
              <w:rPr>
                <w:rFonts w:ascii="Times New Roman" w:eastAsia="Times New Roman" w:hAnsi="Times New Roman" w:cs="Times New Roman"/>
                <w:b/>
                <w:sz w:val="24"/>
                <w:szCs w:val="24"/>
              </w:rPr>
            </w:pPr>
            <w:r w:rsidRPr="00AC7F64">
              <w:rPr>
                <w:rFonts w:ascii="Times New Roman" w:eastAsia="Times New Roman" w:hAnsi="Times New Roman" w:cs="Times New Roman"/>
                <w:b/>
                <w:sz w:val="24"/>
                <w:szCs w:val="24"/>
              </w:rPr>
              <w:t>Упоредни преглед закључених уговора о јавним набавкама</w:t>
            </w:r>
            <w:r w:rsidR="003F4D18">
              <w:rPr>
                <w:rFonts w:ascii="Times New Roman" w:eastAsia="Times New Roman" w:hAnsi="Times New Roman" w:cs="Times New Roman"/>
                <w:b/>
                <w:sz w:val="24"/>
                <w:szCs w:val="24"/>
                <w:lang w:val="sr-Cyrl-RS"/>
              </w:rPr>
              <w:t xml:space="preserve"> </w:t>
            </w:r>
            <w:r w:rsidRPr="00AC7F64">
              <w:rPr>
                <w:rFonts w:ascii="Times New Roman" w:eastAsia="Times New Roman" w:hAnsi="Times New Roman" w:cs="Times New Roman"/>
                <w:b/>
                <w:sz w:val="24"/>
                <w:szCs w:val="24"/>
              </w:rPr>
              <w:t>по годинама и полугођима у 2013. години</w:t>
            </w:r>
          </w:p>
          <w:p w:rsidR="00D506EF" w:rsidRDefault="00D506EF" w:rsidP="003F4D18">
            <w:pPr>
              <w:tabs>
                <w:tab w:val="left" w:pos="3622"/>
              </w:tabs>
              <w:spacing w:after="0" w:line="240" w:lineRule="auto"/>
              <w:jc w:val="center"/>
              <w:rPr>
                <w:rFonts w:ascii="Times New Roman" w:eastAsia="Times New Roman" w:hAnsi="Times New Roman" w:cs="Times New Roman"/>
                <w:b/>
                <w:sz w:val="16"/>
                <w:szCs w:val="16"/>
              </w:rPr>
            </w:pPr>
          </w:p>
        </w:tc>
      </w:tr>
      <w:tr w:rsidR="00D506EF" w:rsidRPr="00AC7F64" w:rsidTr="00D41592">
        <w:tblPrEx>
          <w:tblLook w:val="04A0" w:firstRow="1" w:lastRow="0" w:firstColumn="1" w:lastColumn="0" w:noHBand="0" w:noVBand="1"/>
        </w:tblPrEx>
        <w:trPr>
          <w:trHeight w:val="490"/>
          <w:jc w:val="center"/>
        </w:trPr>
        <w:tc>
          <w:tcPr>
            <w:tcW w:w="1130" w:type="dxa"/>
            <w:tcBorders>
              <w:left w:val="single" w:sz="4" w:space="0" w:color="auto"/>
            </w:tcBorders>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Година</w:t>
            </w:r>
          </w:p>
        </w:tc>
        <w:tc>
          <w:tcPr>
            <w:tcW w:w="93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2003.</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2004.</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2005.</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2006.</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2007.</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2008.</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2009.</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2010.</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2011.</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2012.</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2013.</w:t>
            </w:r>
          </w:p>
        </w:tc>
      </w:tr>
      <w:tr w:rsidR="00D506EF" w:rsidRPr="00AC7F64" w:rsidTr="00D41592">
        <w:tblPrEx>
          <w:tblLook w:val="04A0" w:firstRow="1" w:lastRow="0" w:firstColumn="1" w:lastColumn="0" w:noHBand="0" w:noVBand="1"/>
        </w:tblPrEx>
        <w:trPr>
          <w:jc w:val="center"/>
        </w:trPr>
        <w:tc>
          <w:tcPr>
            <w:tcW w:w="1130"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Укупан број уговора</w:t>
            </w:r>
          </w:p>
        </w:tc>
        <w:tc>
          <w:tcPr>
            <w:tcW w:w="93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231.661</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215.815</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148.758</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152.485</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122.587</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109.910</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91.992</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83.693</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111.249</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92.710</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83.121</w:t>
            </w:r>
          </w:p>
        </w:tc>
      </w:tr>
      <w:tr w:rsidR="00D506EF" w:rsidRPr="00AC7F64" w:rsidTr="00D41592">
        <w:tblPrEx>
          <w:tblLook w:val="04A0" w:firstRow="1" w:lastRow="0" w:firstColumn="1" w:lastColumn="0" w:noHBand="0" w:noVBand="1"/>
        </w:tblPrEx>
        <w:trPr>
          <w:jc w:val="center"/>
        </w:trPr>
        <w:tc>
          <w:tcPr>
            <w:tcW w:w="1130"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Укупна вредност</w:t>
            </w:r>
          </w:p>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(у хиљадама динара)</w:t>
            </w:r>
          </w:p>
        </w:tc>
        <w:tc>
          <w:tcPr>
            <w:tcW w:w="93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98.777.652</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109.282.212</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124.753.207</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168.914.947</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187.559.752</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234.028.744</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190.655.028</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273.055.306</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293.324.810</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303.694.136</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262.938.735</w:t>
            </w:r>
          </w:p>
        </w:tc>
      </w:tr>
      <w:tr w:rsidR="00D506EF" w:rsidRPr="00AC7F64" w:rsidTr="00D41592">
        <w:tblPrEx>
          <w:tblLook w:val="04A0" w:firstRow="1" w:lastRow="0" w:firstColumn="1" w:lastColumn="0" w:noHBand="0" w:noVBand="1"/>
        </w:tblPrEx>
        <w:trPr>
          <w:jc w:val="center"/>
        </w:trPr>
        <w:tc>
          <w:tcPr>
            <w:tcW w:w="1130"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b/>
                <w:sz w:val="16"/>
                <w:szCs w:val="16"/>
              </w:rPr>
            </w:pPr>
            <w:r w:rsidRPr="00AC7F64">
              <w:rPr>
                <w:rFonts w:ascii="Times New Roman" w:eastAsia="Times New Roman" w:hAnsi="Times New Roman" w:cs="Times New Roman"/>
                <w:b/>
                <w:sz w:val="16"/>
                <w:szCs w:val="16"/>
              </w:rPr>
              <w:t>Просечна вредност             (у хиљадама динара)</w:t>
            </w:r>
          </w:p>
        </w:tc>
        <w:tc>
          <w:tcPr>
            <w:tcW w:w="93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426</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506</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838</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1.108</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1.530</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2.129</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2.073</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3.263</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2.637</w:t>
            </w:r>
          </w:p>
        </w:tc>
        <w:tc>
          <w:tcPr>
            <w:tcW w:w="0" w:type="auto"/>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3.276</w:t>
            </w:r>
          </w:p>
        </w:tc>
        <w:tc>
          <w:tcPr>
            <w:tcW w:w="1016" w:type="dxa"/>
            <w:shd w:val="clear" w:color="auto" w:fill="auto"/>
            <w:vAlign w:val="center"/>
          </w:tcPr>
          <w:p w:rsidR="00D506EF" w:rsidRPr="00AC7F64" w:rsidRDefault="00D506EF" w:rsidP="00D506EF">
            <w:pPr>
              <w:tabs>
                <w:tab w:val="left" w:pos="3622"/>
              </w:tabs>
              <w:spacing w:after="0" w:line="240" w:lineRule="auto"/>
              <w:jc w:val="center"/>
              <w:rPr>
                <w:rFonts w:ascii="Times New Roman" w:eastAsia="Times New Roman" w:hAnsi="Times New Roman" w:cs="Times New Roman"/>
                <w:sz w:val="16"/>
                <w:szCs w:val="16"/>
              </w:rPr>
            </w:pPr>
            <w:r w:rsidRPr="00AC7F64">
              <w:rPr>
                <w:rFonts w:ascii="Times New Roman" w:eastAsia="Times New Roman" w:hAnsi="Times New Roman" w:cs="Times New Roman"/>
                <w:sz w:val="16"/>
                <w:szCs w:val="16"/>
              </w:rPr>
              <w:t>3.163</w:t>
            </w:r>
          </w:p>
        </w:tc>
      </w:tr>
    </w:tbl>
    <w:p w:rsidR="00CC6537" w:rsidRDefault="00CC6537" w:rsidP="009E2C73">
      <w:pPr>
        <w:rPr>
          <w:rFonts w:ascii="Times New Roman" w:hAnsi="Times New Roman" w:cs="Times New Roman"/>
          <w:sz w:val="24"/>
          <w:szCs w:val="24"/>
        </w:rPr>
        <w:sectPr w:rsidR="00CC6537" w:rsidSect="00293B02">
          <w:pgSz w:w="15840" w:h="12240" w:orient="landscape"/>
          <w:pgMar w:top="720" w:right="720" w:bottom="720" w:left="720" w:header="708" w:footer="708" w:gutter="0"/>
          <w:cols w:space="708"/>
          <w:docGrid w:linePitch="360"/>
        </w:sectPr>
      </w:pPr>
    </w:p>
    <w:p w:rsidR="00CC6537" w:rsidRPr="00F700F0" w:rsidRDefault="00C41DA4" w:rsidP="009E2C73">
      <w:pPr>
        <w:rPr>
          <w:rFonts w:ascii="Times New Roman" w:hAnsi="Times New Roman" w:cs="Times New Roman"/>
          <w:b/>
          <w:sz w:val="24"/>
          <w:szCs w:val="24"/>
        </w:rPr>
      </w:pPr>
      <w:r w:rsidRPr="00F700F0">
        <w:rPr>
          <w:rFonts w:ascii="Times New Roman" w:hAnsi="Times New Roman" w:cs="Times New Roman"/>
          <w:b/>
          <w:sz w:val="24"/>
          <w:szCs w:val="24"/>
        </w:rPr>
        <w:lastRenderedPageBreak/>
        <w:t>Табела 2</w:t>
      </w:r>
    </w:p>
    <w:tbl>
      <w:tblPr>
        <w:tblW w:w="0" w:type="auto"/>
        <w:jc w:val="center"/>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936"/>
        <w:gridCol w:w="1071"/>
        <w:gridCol w:w="1082"/>
        <w:gridCol w:w="1082"/>
        <w:gridCol w:w="1082"/>
        <w:gridCol w:w="1082"/>
        <w:gridCol w:w="1082"/>
        <w:gridCol w:w="1082"/>
        <w:gridCol w:w="1082"/>
        <w:gridCol w:w="1082"/>
        <w:gridCol w:w="1082"/>
        <w:gridCol w:w="1143"/>
      </w:tblGrid>
      <w:tr w:rsidR="00CC6537" w:rsidTr="00071D1A">
        <w:trPr>
          <w:trHeight w:val="473"/>
          <w:jc w:val="center"/>
        </w:trPr>
        <w:tc>
          <w:tcPr>
            <w:tcW w:w="0" w:type="auto"/>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24"/>
                <w:szCs w:val="24"/>
              </w:rPr>
            </w:pPr>
            <w:r w:rsidRPr="008428D0">
              <w:rPr>
                <w:rFonts w:ascii="Times New Roman" w:hAnsi="Times New Roman" w:cs="Times New Roman"/>
                <w:b/>
                <w:sz w:val="24"/>
                <w:szCs w:val="24"/>
              </w:rPr>
              <w:t>Учешће јавних набавки у бруто-домаћем производу</w:t>
            </w:r>
            <w:r w:rsidRPr="008428D0">
              <w:rPr>
                <w:rStyle w:val="FootnoteReference"/>
                <w:rFonts w:ascii="Times New Roman" w:hAnsi="Times New Roman" w:cs="Times New Roman"/>
                <w:b/>
                <w:sz w:val="24"/>
                <w:szCs w:val="24"/>
              </w:rPr>
              <w:footnoteReference w:id="1"/>
            </w:r>
          </w:p>
        </w:tc>
      </w:tr>
      <w:tr w:rsidR="00CC6537" w:rsidTr="00071D1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C6537" w:rsidRPr="008428D0" w:rsidRDefault="00CC6537" w:rsidP="00071D1A">
            <w:pPr>
              <w:tabs>
                <w:tab w:val="left" w:pos="3622"/>
              </w:tabs>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rFonts w:ascii="Times New Roman" w:hAnsi="Times New Roman" w:cs="Times New Roman"/>
                <w:b/>
                <w:sz w:val="18"/>
                <w:szCs w:val="18"/>
              </w:rPr>
              <w:t>2002*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rFonts w:ascii="Times New Roman" w:hAnsi="Times New Roman" w:cs="Times New Roman"/>
                <w:b/>
                <w:sz w:val="18"/>
                <w:szCs w:val="18"/>
              </w:rPr>
              <w:t>2003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18"/>
                <w:szCs w:val="18"/>
              </w:rPr>
            </w:pPr>
            <w:r w:rsidRPr="008428D0">
              <w:rPr>
                <w:b/>
                <w:sz w:val="18"/>
                <w:szCs w:val="18"/>
              </w:rPr>
              <w:t>2013</w:t>
            </w:r>
          </w:p>
        </w:tc>
      </w:tr>
      <w:tr w:rsidR="00CC6537" w:rsidTr="00071D1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24"/>
                <w:szCs w:val="24"/>
              </w:rPr>
            </w:pPr>
            <w:r w:rsidRPr="008428D0">
              <w:rPr>
                <w:rFonts w:ascii="Times New Roman" w:hAnsi="Times New Roman" w:cs="Times New Roman"/>
                <w:b/>
                <w:sz w:val="24"/>
                <w:szCs w:val="24"/>
              </w:rPr>
              <w:t>Уговорена вредност без ПДВ-а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rFonts w:ascii="Times New Roman" w:hAnsi="Times New Roman" w:cs="Times New Roman"/>
                <w:sz w:val="18"/>
                <w:szCs w:val="18"/>
              </w:rPr>
              <w:t>13.928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rFonts w:ascii="Times New Roman" w:hAnsi="Times New Roman" w:cs="Times New Roman"/>
                <w:sz w:val="18"/>
                <w:szCs w:val="18"/>
              </w:rPr>
              <w:t>98.778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109.282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124.753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168.915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187.560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234.029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190.655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273.055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293.325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77F21" w:rsidP="00C77F21">
            <w:pPr>
              <w:tabs>
                <w:tab w:val="left" w:pos="3622"/>
              </w:tabs>
              <w:jc w:val="center"/>
              <w:rPr>
                <w:rFonts w:ascii="Times New Roman" w:eastAsia="Times New Roman" w:hAnsi="Times New Roman" w:cs="Times New Roman"/>
                <w:sz w:val="18"/>
                <w:szCs w:val="18"/>
              </w:rPr>
            </w:pPr>
            <w:r>
              <w:rPr>
                <w:sz w:val="18"/>
                <w:szCs w:val="18"/>
              </w:rPr>
              <w:t>303</w:t>
            </w:r>
            <w:r w:rsidR="00CC6537" w:rsidRPr="008428D0">
              <w:rPr>
                <w:sz w:val="18"/>
                <w:szCs w:val="18"/>
              </w:rPr>
              <w:t>.</w:t>
            </w:r>
            <w:r>
              <w:rPr>
                <w:sz w:val="18"/>
                <w:szCs w:val="18"/>
              </w:rPr>
              <w:t>694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262.939</w:t>
            </w:r>
          </w:p>
        </w:tc>
      </w:tr>
      <w:tr w:rsidR="00CC6537" w:rsidTr="00071D1A">
        <w:trPr>
          <w:trHeight w:val="62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b/>
                <w:sz w:val="24"/>
                <w:szCs w:val="24"/>
              </w:rPr>
            </w:pPr>
            <w:r w:rsidRPr="008428D0">
              <w:rPr>
                <w:rFonts w:ascii="Times New Roman" w:hAnsi="Times New Roman" w:cs="Times New Roman"/>
                <w:b/>
                <w:sz w:val="24"/>
                <w:szCs w:val="24"/>
              </w:rPr>
              <w:t>Вредност БДП-а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rFonts w:ascii="Times New Roman" w:hAnsi="Times New Roman" w:cs="Times New Roman"/>
                <w:sz w:val="18"/>
                <w:szCs w:val="18"/>
              </w:rPr>
              <w:t>972.579,7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rFonts w:ascii="Times New Roman" w:hAnsi="Times New Roman" w:cs="Times New Roman"/>
                <w:sz w:val="18"/>
                <w:szCs w:val="18"/>
              </w:rPr>
              <w:t>1.125.839,6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1.380.711,6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1.683.483,3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1.962.072,9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2.276.886,2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2.661.386,7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2.720.083,5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2.881.891,0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3.208.620,2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3.348.689,2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C77F21">
            <w:pPr>
              <w:tabs>
                <w:tab w:val="left" w:pos="3622"/>
              </w:tabs>
              <w:jc w:val="center"/>
              <w:rPr>
                <w:rFonts w:ascii="Times New Roman" w:eastAsia="Times New Roman" w:hAnsi="Times New Roman" w:cs="Times New Roman"/>
                <w:sz w:val="18"/>
                <w:szCs w:val="18"/>
              </w:rPr>
            </w:pPr>
            <w:r w:rsidRPr="008428D0">
              <w:rPr>
                <w:sz w:val="18"/>
                <w:szCs w:val="18"/>
              </w:rPr>
              <w:t>3.</w:t>
            </w:r>
            <w:r w:rsidR="00C77F21">
              <w:rPr>
                <w:sz w:val="18"/>
                <w:szCs w:val="18"/>
              </w:rPr>
              <w:t>618</w:t>
            </w:r>
            <w:r w:rsidRPr="008428D0">
              <w:rPr>
                <w:sz w:val="18"/>
                <w:szCs w:val="18"/>
              </w:rPr>
              <w:t>.</w:t>
            </w:r>
            <w:r w:rsidR="00717E18">
              <w:rPr>
                <w:sz w:val="18"/>
                <w:szCs w:val="18"/>
              </w:rPr>
              <w:t>167</w:t>
            </w:r>
            <w:r w:rsidR="00717E18">
              <w:rPr>
                <w:sz w:val="18"/>
                <w:szCs w:val="18"/>
                <w:lang w:val="sr-Cyrl-RS"/>
              </w:rPr>
              <w:t>,</w:t>
            </w:r>
            <w:r w:rsidR="00C77F21">
              <w:rPr>
                <w:sz w:val="18"/>
                <w:szCs w:val="18"/>
              </w:rPr>
              <w:t>2</w:t>
            </w:r>
            <w:r w:rsidRPr="008428D0">
              <w:rPr>
                <w:rStyle w:val="FootnoteReference"/>
                <w:sz w:val="18"/>
                <w:szCs w:val="18"/>
              </w:rPr>
              <w:footnoteReference w:id="2"/>
            </w:r>
          </w:p>
        </w:tc>
      </w:tr>
      <w:tr w:rsidR="00CC6537" w:rsidTr="00071D1A">
        <w:trPr>
          <w:trHeight w:val="44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Default="00CC6537" w:rsidP="00071D1A">
            <w:pPr>
              <w:tabs>
                <w:tab w:val="left" w:pos="3622"/>
              </w:tabs>
              <w:jc w:val="center"/>
              <w:rPr>
                <w:rFonts w:ascii="Times New Roman" w:eastAsia="Times New Roman" w:hAnsi="Times New Roman" w:cs="Times New Roman"/>
                <w:b/>
                <w:sz w:val="18"/>
                <w:szCs w:val="18"/>
              </w:rPr>
            </w:pPr>
            <w:r>
              <w:rPr>
                <w:b/>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8,77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7,91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7,41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8,61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8,24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8,79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7,01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9,47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C6537" w:rsidP="00071D1A">
            <w:pPr>
              <w:tabs>
                <w:tab w:val="left" w:pos="3622"/>
              </w:tabs>
              <w:jc w:val="center"/>
              <w:rPr>
                <w:rFonts w:ascii="Times New Roman" w:eastAsia="Times New Roman" w:hAnsi="Times New Roman" w:cs="Times New Roman"/>
                <w:sz w:val="18"/>
                <w:szCs w:val="18"/>
              </w:rPr>
            </w:pPr>
            <w:r w:rsidRPr="008428D0">
              <w:rPr>
                <w:sz w:val="18"/>
                <w:szCs w:val="18"/>
              </w:rPr>
              <w:t>9,14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77F21" w:rsidP="00C77F21">
            <w:pPr>
              <w:tabs>
                <w:tab w:val="left" w:pos="3622"/>
              </w:tabs>
              <w:jc w:val="center"/>
              <w:rPr>
                <w:rFonts w:ascii="Times New Roman" w:eastAsia="Times New Roman" w:hAnsi="Times New Roman" w:cs="Times New Roman"/>
                <w:sz w:val="18"/>
                <w:szCs w:val="18"/>
              </w:rPr>
            </w:pPr>
            <w:r>
              <w:rPr>
                <w:sz w:val="18"/>
                <w:szCs w:val="18"/>
              </w:rPr>
              <w:t>9</w:t>
            </w:r>
            <w:r w:rsidR="00CC6537" w:rsidRPr="008428D0">
              <w:rPr>
                <w:sz w:val="18"/>
                <w:szCs w:val="18"/>
              </w:rPr>
              <w:t>,</w:t>
            </w:r>
            <w:r>
              <w:rPr>
                <w:sz w:val="18"/>
                <w:szCs w:val="18"/>
              </w:rPr>
              <w:t>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C6537" w:rsidRPr="008428D0" w:rsidRDefault="00C77F21" w:rsidP="00C77F21">
            <w:pPr>
              <w:tabs>
                <w:tab w:val="left" w:pos="3622"/>
              </w:tabs>
              <w:jc w:val="center"/>
              <w:rPr>
                <w:rFonts w:ascii="Times New Roman" w:eastAsia="Times New Roman" w:hAnsi="Times New Roman" w:cs="Times New Roman"/>
                <w:sz w:val="18"/>
                <w:szCs w:val="18"/>
              </w:rPr>
            </w:pPr>
            <w:r>
              <w:rPr>
                <w:sz w:val="18"/>
                <w:szCs w:val="18"/>
              </w:rPr>
              <w:t>7</w:t>
            </w:r>
            <w:r w:rsidR="00F66D94" w:rsidRPr="008428D0">
              <w:rPr>
                <w:sz w:val="18"/>
                <w:szCs w:val="18"/>
              </w:rPr>
              <w:t>,</w:t>
            </w:r>
            <w:r>
              <w:rPr>
                <w:sz w:val="18"/>
                <w:szCs w:val="18"/>
              </w:rPr>
              <w:t>27</w:t>
            </w:r>
          </w:p>
        </w:tc>
      </w:tr>
    </w:tbl>
    <w:p w:rsidR="00CC6537" w:rsidRDefault="00CC6537" w:rsidP="009E2C73">
      <w:pPr>
        <w:rPr>
          <w:rFonts w:ascii="Times New Roman" w:hAnsi="Times New Roman" w:cs="Times New Roman"/>
          <w:sz w:val="24"/>
          <w:szCs w:val="24"/>
        </w:rPr>
      </w:pPr>
    </w:p>
    <w:p w:rsidR="00F66D94" w:rsidRDefault="00F66D94" w:rsidP="009E2C73">
      <w:pPr>
        <w:rPr>
          <w:rFonts w:ascii="Times New Roman" w:hAnsi="Times New Roman" w:cs="Times New Roman"/>
          <w:sz w:val="24"/>
          <w:szCs w:val="24"/>
        </w:rPr>
      </w:pPr>
    </w:p>
    <w:p w:rsidR="00F66D94" w:rsidRPr="00F66D94" w:rsidRDefault="00F66D94" w:rsidP="009E2C73">
      <w:pPr>
        <w:rPr>
          <w:rFonts w:ascii="Times New Roman" w:hAnsi="Times New Roman" w:cs="Times New Roman"/>
          <w:sz w:val="24"/>
          <w:szCs w:val="24"/>
        </w:rPr>
        <w:sectPr w:rsidR="00F66D94" w:rsidRPr="00F66D94" w:rsidSect="00293B02">
          <w:pgSz w:w="15840" w:h="12240" w:orient="landscape"/>
          <w:pgMar w:top="720" w:right="720" w:bottom="720" w:left="720" w:header="708" w:footer="708" w:gutter="0"/>
          <w:cols w:space="708"/>
          <w:docGrid w:linePitch="360"/>
        </w:sectPr>
      </w:pPr>
    </w:p>
    <w:p w:rsidR="00ED28B4" w:rsidRPr="00833FA8" w:rsidRDefault="000B4B53" w:rsidP="007652C6">
      <w:pPr>
        <w:jc w:val="center"/>
        <w:rPr>
          <w:rFonts w:ascii="Times New Roman" w:hAnsi="Times New Roman" w:cs="Times New Roman"/>
          <w:b/>
          <w:sz w:val="24"/>
          <w:szCs w:val="24"/>
        </w:rPr>
      </w:pPr>
      <w:r w:rsidRPr="00833FA8">
        <w:rPr>
          <w:rFonts w:ascii="Times New Roman" w:hAnsi="Times New Roman" w:cs="Times New Roman"/>
          <w:b/>
          <w:sz w:val="24"/>
          <w:szCs w:val="24"/>
        </w:rPr>
        <w:lastRenderedPageBreak/>
        <w:t>Слика 1</w:t>
      </w:r>
    </w:p>
    <w:bookmarkStart w:id="1" w:name="_MON_1455200076"/>
    <w:bookmarkEnd w:id="1"/>
    <w:p w:rsidR="00C06C5A" w:rsidRPr="009B3038" w:rsidRDefault="00717E18" w:rsidP="009B3038">
      <w:pPr>
        <w:jc w:val="center"/>
        <w:rPr>
          <w:rFonts w:ascii="Times New Roman" w:hAnsi="Times New Roman" w:cs="Times New Roman"/>
          <w:b/>
          <w:color w:val="FF0000"/>
          <w:sz w:val="24"/>
          <w:szCs w:val="24"/>
        </w:rPr>
      </w:pPr>
      <w:r w:rsidRPr="00136E6C">
        <w:rPr>
          <w:rFonts w:ascii="Times New Roman" w:hAnsi="Times New Roman" w:cs="Times New Roman"/>
          <w:b/>
          <w:color w:val="FF0000"/>
          <w:sz w:val="24"/>
          <w:szCs w:val="24"/>
        </w:rPr>
        <w:object w:dxaOrig="7039" w:dyaOrig="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85pt;height:273.75pt" o:ole="">
            <v:imagedata r:id="rId13" o:title=""/>
          </v:shape>
          <o:OLEObject Type="Embed" ProgID="Excel.Sheet.12" ShapeID="_x0000_i1025" DrawAspect="Content" ObjectID="_1461145240" r:id="rId14"/>
        </w:object>
      </w:r>
    </w:p>
    <w:p w:rsidR="00071D1A" w:rsidRDefault="00E64BDD" w:rsidP="00FE7102">
      <w:pPr>
        <w:jc w:val="both"/>
        <w:rPr>
          <w:rFonts w:ascii="Times New Roman" w:hAnsi="Times New Roman" w:cs="Times New Roman"/>
          <w:sz w:val="24"/>
          <w:szCs w:val="24"/>
          <w:lang w:val="sr-Cyrl-RS"/>
        </w:rPr>
      </w:pPr>
      <w:r>
        <w:rPr>
          <w:rFonts w:ascii="Times New Roman" w:hAnsi="Times New Roman" w:cs="Times New Roman"/>
          <w:sz w:val="24"/>
          <w:szCs w:val="24"/>
        </w:rPr>
        <w:t xml:space="preserve">Значајно смањивање издатака за јавне набавке резултирало је и падом њиховог учешћа у бруто домаћем производу за 1/5, са </w:t>
      </w:r>
      <w:r w:rsidR="00611FE5">
        <w:rPr>
          <w:rFonts w:ascii="Times New Roman" w:hAnsi="Times New Roman" w:cs="Times New Roman"/>
          <w:sz w:val="24"/>
          <w:szCs w:val="24"/>
        </w:rPr>
        <w:t>9</w:t>
      </w:r>
      <w:r>
        <w:rPr>
          <w:rFonts w:ascii="Times New Roman" w:hAnsi="Times New Roman" w:cs="Times New Roman"/>
          <w:sz w:val="24"/>
          <w:szCs w:val="24"/>
        </w:rPr>
        <w:t>,</w:t>
      </w:r>
      <w:r w:rsidR="00611FE5">
        <w:rPr>
          <w:rFonts w:ascii="Times New Roman" w:hAnsi="Times New Roman" w:cs="Times New Roman"/>
          <w:sz w:val="24"/>
          <w:szCs w:val="24"/>
        </w:rPr>
        <w:t>06</w:t>
      </w:r>
      <w:r>
        <w:rPr>
          <w:rFonts w:ascii="Times New Roman" w:hAnsi="Times New Roman" w:cs="Times New Roman"/>
          <w:sz w:val="24"/>
          <w:szCs w:val="24"/>
        </w:rPr>
        <w:t xml:space="preserve"> у 2012. години на </w:t>
      </w:r>
      <w:r w:rsidR="00611FE5">
        <w:rPr>
          <w:rFonts w:ascii="Times New Roman" w:hAnsi="Times New Roman" w:cs="Times New Roman"/>
          <w:sz w:val="24"/>
          <w:szCs w:val="24"/>
        </w:rPr>
        <w:t>7</w:t>
      </w:r>
      <w:r>
        <w:rPr>
          <w:rFonts w:ascii="Times New Roman" w:hAnsi="Times New Roman" w:cs="Times New Roman"/>
          <w:sz w:val="24"/>
          <w:szCs w:val="24"/>
        </w:rPr>
        <w:t>,</w:t>
      </w:r>
      <w:r w:rsidR="00611FE5">
        <w:rPr>
          <w:rFonts w:ascii="Times New Roman" w:hAnsi="Times New Roman" w:cs="Times New Roman"/>
          <w:sz w:val="24"/>
          <w:szCs w:val="24"/>
        </w:rPr>
        <w:t>27</w:t>
      </w:r>
      <w:r>
        <w:rPr>
          <w:rFonts w:ascii="Times New Roman" w:hAnsi="Times New Roman" w:cs="Times New Roman"/>
          <w:sz w:val="24"/>
          <w:szCs w:val="24"/>
        </w:rPr>
        <w:t xml:space="preserve">% у 2013. години (Табела 2). С друге стране, просечна вредност уговора остала је готово непромењена у односу на 2012. годину. </w:t>
      </w:r>
    </w:p>
    <w:p w:rsidR="005C09B9" w:rsidRPr="005C09B9" w:rsidRDefault="005C09B9" w:rsidP="00FE7102">
      <w:pPr>
        <w:jc w:val="both"/>
        <w:rPr>
          <w:rFonts w:ascii="Times New Roman" w:hAnsi="Times New Roman" w:cs="Times New Roman"/>
          <w:sz w:val="24"/>
          <w:szCs w:val="24"/>
        </w:rPr>
      </w:pPr>
      <w:r>
        <w:rPr>
          <w:rFonts w:ascii="Times New Roman" w:hAnsi="Times New Roman" w:cs="Times New Roman"/>
          <w:sz w:val="24"/>
          <w:szCs w:val="24"/>
        </w:rPr>
        <w:t xml:space="preserve">У </w:t>
      </w:r>
      <w:r w:rsidR="006102B6">
        <w:rPr>
          <w:rFonts w:ascii="Times New Roman" w:hAnsi="Times New Roman" w:cs="Times New Roman"/>
          <w:sz w:val="24"/>
          <w:szCs w:val="24"/>
        </w:rPr>
        <w:t xml:space="preserve">другом полугодишту </w:t>
      </w:r>
      <w:r>
        <w:rPr>
          <w:rFonts w:ascii="Times New Roman" w:hAnsi="Times New Roman" w:cs="Times New Roman"/>
          <w:sz w:val="24"/>
          <w:szCs w:val="24"/>
        </w:rPr>
        <w:t>2013. године потрошено је 16,</w:t>
      </w:r>
      <w:r w:rsidR="006102B6">
        <w:rPr>
          <w:rFonts w:ascii="Times New Roman" w:hAnsi="Times New Roman" w:cs="Times New Roman"/>
          <w:sz w:val="24"/>
          <w:szCs w:val="24"/>
        </w:rPr>
        <w:t>3</w:t>
      </w:r>
      <w:r>
        <w:rPr>
          <w:rFonts w:ascii="Times New Roman" w:hAnsi="Times New Roman" w:cs="Times New Roman"/>
          <w:sz w:val="24"/>
          <w:szCs w:val="24"/>
        </w:rPr>
        <w:t xml:space="preserve"> милијарди динара </w:t>
      </w:r>
      <w:r w:rsidR="00F42775">
        <w:rPr>
          <w:rFonts w:ascii="Times New Roman" w:hAnsi="Times New Roman" w:cs="Times New Roman"/>
          <w:sz w:val="24"/>
          <w:szCs w:val="24"/>
        </w:rPr>
        <w:t>или око 14</w:t>
      </w:r>
      <w:r w:rsidR="006102B6">
        <w:rPr>
          <w:rFonts w:ascii="Times New Roman" w:hAnsi="Times New Roman" w:cs="Times New Roman"/>
          <w:sz w:val="24"/>
          <w:szCs w:val="24"/>
        </w:rPr>
        <w:t>2</w:t>
      </w:r>
      <w:r w:rsidR="00F42775">
        <w:rPr>
          <w:rFonts w:ascii="Times New Roman" w:hAnsi="Times New Roman" w:cs="Times New Roman"/>
          <w:sz w:val="24"/>
          <w:szCs w:val="24"/>
        </w:rPr>
        <w:t xml:space="preserve"> милиона евра </w:t>
      </w:r>
      <w:r>
        <w:rPr>
          <w:rFonts w:ascii="Times New Roman" w:hAnsi="Times New Roman" w:cs="Times New Roman"/>
          <w:sz w:val="24"/>
          <w:szCs w:val="24"/>
        </w:rPr>
        <w:t xml:space="preserve">мање него у </w:t>
      </w:r>
      <w:r w:rsidR="006102B6">
        <w:rPr>
          <w:rFonts w:ascii="Times New Roman" w:hAnsi="Times New Roman" w:cs="Times New Roman"/>
          <w:sz w:val="24"/>
          <w:szCs w:val="24"/>
        </w:rPr>
        <w:t>првом полугодишту исте године (Слика 2)</w:t>
      </w:r>
      <w:r w:rsidR="00071D1A">
        <w:rPr>
          <w:rFonts w:ascii="Times New Roman" w:hAnsi="Times New Roman" w:cs="Times New Roman"/>
          <w:sz w:val="24"/>
          <w:szCs w:val="24"/>
          <w:lang w:val="sr-Cyrl-RS"/>
        </w:rPr>
        <w:t>,</w:t>
      </w:r>
      <w:r w:rsidR="006102B6">
        <w:rPr>
          <w:rFonts w:ascii="Times New Roman" w:hAnsi="Times New Roman" w:cs="Times New Roman"/>
          <w:sz w:val="24"/>
          <w:szCs w:val="24"/>
        </w:rPr>
        <w:t xml:space="preserve"> што потврђује раније изнесену претпоставку да је већина наручилаца настојала да покрене поступке по старом закону. </w:t>
      </w:r>
      <w:r>
        <w:rPr>
          <w:rFonts w:ascii="Times New Roman" w:hAnsi="Times New Roman" w:cs="Times New Roman"/>
          <w:sz w:val="24"/>
          <w:szCs w:val="24"/>
        </w:rPr>
        <w:t xml:space="preserve">   </w:t>
      </w: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7652C6" w:rsidRDefault="007652C6" w:rsidP="005C09B9">
      <w:pPr>
        <w:jc w:val="center"/>
        <w:rPr>
          <w:rFonts w:ascii="Times New Roman" w:hAnsi="Times New Roman" w:cs="Times New Roman"/>
          <w:b/>
          <w:color w:val="FF0000"/>
          <w:sz w:val="24"/>
          <w:szCs w:val="24"/>
        </w:rPr>
      </w:pPr>
    </w:p>
    <w:p w:rsidR="00605717" w:rsidRPr="00237916" w:rsidRDefault="00B27120" w:rsidP="005C09B9">
      <w:pPr>
        <w:jc w:val="center"/>
        <w:rPr>
          <w:rFonts w:ascii="Times New Roman" w:hAnsi="Times New Roman" w:cs="Times New Roman"/>
          <w:b/>
          <w:sz w:val="24"/>
          <w:szCs w:val="24"/>
        </w:rPr>
      </w:pPr>
      <w:r w:rsidRPr="00237916">
        <w:rPr>
          <w:rFonts w:ascii="Times New Roman" w:hAnsi="Times New Roman" w:cs="Times New Roman"/>
          <w:b/>
          <w:sz w:val="24"/>
          <w:szCs w:val="24"/>
        </w:rPr>
        <w:lastRenderedPageBreak/>
        <w:t>Слика 2</w:t>
      </w:r>
    </w:p>
    <w:p w:rsidR="005C09B9" w:rsidRPr="00237916" w:rsidRDefault="001B6E57" w:rsidP="00237916">
      <w:pPr>
        <w:jc w:val="center"/>
      </w:pPr>
      <w:r>
        <w:object w:dxaOrig="8376" w:dyaOrig="5233">
          <v:shape id="_x0000_i1026" type="#_x0000_t75" style="width:419.1pt;height:267.6pt" o:ole="">
            <v:imagedata r:id="rId15" o:title=""/>
          </v:shape>
          <o:OLEObject Type="Embed" ProgID="Excel.Sheet.12" ShapeID="_x0000_i1026" DrawAspect="Content" ObjectID="_1461145241" r:id="rId16"/>
        </w:object>
      </w:r>
    </w:p>
    <w:p w:rsidR="00DE030F" w:rsidRDefault="00532A9E" w:rsidP="00605717">
      <w:pPr>
        <w:jc w:val="both"/>
        <w:rPr>
          <w:rFonts w:ascii="Times New Roman" w:hAnsi="Times New Roman" w:cs="Times New Roman"/>
          <w:sz w:val="24"/>
          <w:szCs w:val="24"/>
        </w:rPr>
      </w:pPr>
      <w:r>
        <w:rPr>
          <w:rFonts w:ascii="Times New Roman" w:hAnsi="Times New Roman" w:cs="Times New Roman"/>
          <w:sz w:val="24"/>
          <w:szCs w:val="24"/>
        </w:rPr>
        <w:t xml:space="preserve">Следећи </w:t>
      </w:r>
      <w:r w:rsidR="00605717">
        <w:rPr>
          <w:rFonts w:ascii="Times New Roman" w:hAnsi="Times New Roman" w:cs="Times New Roman"/>
          <w:sz w:val="24"/>
          <w:szCs w:val="24"/>
        </w:rPr>
        <w:t xml:space="preserve">показатељ </w:t>
      </w:r>
      <w:r>
        <w:rPr>
          <w:rFonts w:ascii="Times New Roman" w:hAnsi="Times New Roman" w:cs="Times New Roman"/>
          <w:sz w:val="24"/>
          <w:szCs w:val="24"/>
        </w:rPr>
        <w:t xml:space="preserve">који је од значаја </w:t>
      </w:r>
      <w:r w:rsidR="00605717">
        <w:rPr>
          <w:rFonts w:ascii="Times New Roman" w:hAnsi="Times New Roman" w:cs="Times New Roman"/>
          <w:sz w:val="24"/>
          <w:szCs w:val="24"/>
        </w:rPr>
        <w:t>јесте учешће набавки мале вредности у укупној вредности јавних набавки</w:t>
      </w:r>
      <w:r w:rsidR="00DE030F">
        <w:rPr>
          <w:rFonts w:ascii="Times New Roman" w:hAnsi="Times New Roman" w:cs="Times New Roman"/>
          <w:sz w:val="24"/>
          <w:szCs w:val="24"/>
        </w:rPr>
        <w:t>.</w:t>
      </w:r>
      <w:r w:rsidR="00605717">
        <w:rPr>
          <w:rFonts w:ascii="Times New Roman" w:hAnsi="Times New Roman" w:cs="Times New Roman"/>
          <w:sz w:val="24"/>
          <w:szCs w:val="24"/>
        </w:rPr>
        <w:t xml:space="preserve"> </w:t>
      </w:r>
      <w:r w:rsidR="00DE030F">
        <w:rPr>
          <w:rFonts w:ascii="Times New Roman" w:hAnsi="Times New Roman" w:cs="Times New Roman"/>
          <w:sz w:val="24"/>
          <w:szCs w:val="24"/>
        </w:rPr>
        <w:t>Н</w:t>
      </w:r>
      <w:r>
        <w:rPr>
          <w:rFonts w:ascii="Times New Roman" w:hAnsi="Times New Roman" w:cs="Times New Roman"/>
          <w:sz w:val="24"/>
          <w:szCs w:val="24"/>
        </w:rPr>
        <w:t xml:space="preserve">ови закон </w:t>
      </w:r>
      <w:r w:rsidR="00DE030F">
        <w:rPr>
          <w:rFonts w:ascii="Times New Roman" w:hAnsi="Times New Roman" w:cs="Times New Roman"/>
          <w:sz w:val="24"/>
          <w:szCs w:val="24"/>
        </w:rPr>
        <w:t xml:space="preserve">је </w:t>
      </w:r>
      <w:r>
        <w:rPr>
          <w:rFonts w:ascii="Times New Roman" w:hAnsi="Times New Roman" w:cs="Times New Roman"/>
          <w:sz w:val="24"/>
          <w:szCs w:val="24"/>
        </w:rPr>
        <w:t xml:space="preserve">прописао обавезу објављивања набавки мале вредности на Порталу, док је по старом“ закону наручилац имао могућност, али не и обавезу </w:t>
      </w:r>
      <w:r w:rsidR="00071D1A">
        <w:rPr>
          <w:rFonts w:ascii="Times New Roman" w:hAnsi="Times New Roman" w:cs="Times New Roman"/>
          <w:sz w:val="24"/>
          <w:szCs w:val="24"/>
          <w:lang w:val="sr-Cyrl-RS"/>
        </w:rPr>
        <w:t xml:space="preserve">њиховог </w:t>
      </w:r>
      <w:r>
        <w:rPr>
          <w:rFonts w:ascii="Times New Roman" w:hAnsi="Times New Roman" w:cs="Times New Roman"/>
          <w:sz w:val="24"/>
          <w:szCs w:val="24"/>
        </w:rPr>
        <w:t xml:space="preserve">објављивања. </w:t>
      </w:r>
      <w:r w:rsidR="00DE030F">
        <w:rPr>
          <w:rFonts w:ascii="Times New Roman" w:hAnsi="Times New Roman" w:cs="Times New Roman"/>
          <w:sz w:val="24"/>
          <w:szCs w:val="24"/>
        </w:rPr>
        <w:t xml:space="preserve">Стога је важно сагледати како је повећање транспарентности поступка јавне набавке мале вредности утицало на понашање наручилаца. </w:t>
      </w:r>
    </w:p>
    <w:p w:rsidR="00DE030F" w:rsidRDefault="00DE030F" w:rsidP="00605717">
      <w:pPr>
        <w:jc w:val="both"/>
        <w:rPr>
          <w:rFonts w:ascii="Times New Roman" w:hAnsi="Times New Roman" w:cs="Times New Roman"/>
          <w:sz w:val="24"/>
          <w:szCs w:val="24"/>
        </w:rPr>
      </w:pPr>
      <w:r>
        <w:rPr>
          <w:rFonts w:ascii="Times New Roman" w:hAnsi="Times New Roman" w:cs="Times New Roman"/>
          <w:sz w:val="24"/>
          <w:szCs w:val="24"/>
        </w:rPr>
        <w:t xml:space="preserve">На слици 3 се види да је повећање транспарентности поступка набавке мале вредности довело до </w:t>
      </w:r>
      <w:r w:rsidR="00F40BAC">
        <w:rPr>
          <w:rFonts w:ascii="Times New Roman" w:hAnsi="Times New Roman" w:cs="Times New Roman"/>
          <w:sz w:val="24"/>
          <w:szCs w:val="24"/>
        </w:rPr>
        <w:t xml:space="preserve">значајног </w:t>
      </w:r>
      <w:r>
        <w:rPr>
          <w:rFonts w:ascii="Times New Roman" w:hAnsi="Times New Roman" w:cs="Times New Roman"/>
          <w:sz w:val="24"/>
          <w:szCs w:val="24"/>
        </w:rPr>
        <w:t xml:space="preserve">смањења примене овог поступка, са 19% у првом полугодишту 2013. године на свега 8% у другом полугодишту 2013. године. </w:t>
      </w:r>
      <w:r w:rsidR="00F40BAC">
        <w:rPr>
          <w:rFonts w:ascii="Times New Roman" w:hAnsi="Times New Roman" w:cs="Times New Roman"/>
          <w:sz w:val="24"/>
          <w:szCs w:val="24"/>
        </w:rPr>
        <w:t>Из тога се може извући закључак да је поступак набавке мале вредности</w:t>
      </w:r>
      <w:r w:rsidR="00870647">
        <w:rPr>
          <w:rFonts w:ascii="Times New Roman" w:hAnsi="Times New Roman" w:cs="Times New Roman"/>
          <w:sz w:val="24"/>
          <w:szCs w:val="24"/>
        </w:rPr>
        <w:t>,</w:t>
      </w:r>
      <w:r w:rsidR="00F40BAC">
        <w:rPr>
          <w:rFonts w:ascii="Times New Roman" w:hAnsi="Times New Roman" w:cs="Times New Roman"/>
          <w:sz w:val="24"/>
          <w:szCs w:val="24"/>
        </w:rPr>
        <w:t xml:space="preserve"> </w:t>
      </w:r>
      <w:r w:rsidR="00870647">
        <w:rPr>
          <w:rFonts w:ascii="Times New Roman" w:hAnsi="Times New Roman" w:cs="Times New Roman"/>
          <w:sz w:val="24"/>
          <w:szCs w:val="24"/>
        </w:rPr>
        <w:t xml:space="preserve">све </w:t>
      </w:r>
      <w:r w:rsidR="00F40BAC">
        <w:rPr>
          <w:rFonts w:ascii="Times New Roman" w:hAnsi="Times New Roman" w:cs="Times New Roman"/>
          <w:sz w:val="24"/>
          <w:szCs w:val="24"/>
        </w:rPr>
        <w:t>до 1. априла 2013. године</w:t>
      </w:r>
      <w:r w:rsidR="00870647">
        <w:rPr>
          <w:rFonts w:ascii="Times New Roman" w:hAnsi="Times New Roman" w:cs="Times New Roman"/>
          <w:sz w:val="24"/>
          <w:szCs w:val="24"/>
        </w:rPr>
        <w:t>,</w:t>
      </w:r>
      <w:r w:rsidR="00F40BAC">
        <w:rPr>
          <w:rFonts w:ascii="Times New Roman" w:hAnsi="Times New Roman" w:cs="Times New Roman"/>
          <w:sz w:val="24"/>
          <w:szCs w:val="24"/>
        </w:rPr>
        <w:t xml:space="preserve"> коришћен у доброј мери управо због ограничене транспарентности, те да је отклањање </w:t>
      </w:r>
      <w:r w:rsidR="00870647">
        <w:rPr>
          <w:rFonts w:ascii="Times New Roman" w:hAnsi="Times New Roman" w:cs="Times New Roman"/>
          <w:sz w:val="24"/>
          <w:szCs w:val="24"/>
        </w:rPr>
        <w:t xml:space="preserve">ограничене транспарентности утицало да се смањи </w:t>
      </w:r>
      <w:r w:rsidR="00F40BAC">
        <w:rPr>
          <w:rFonts w:ascii="Times New Roman" w:hAnsi="Times New Roman" w:cs="Times New Roman"/>
          <w:sz w:val="24"/>
          <w:szCs w:val="24"/>
        </w:rPr>
        <w:t>интерес наручилаца</w:t>
      </w:r>
      <w:r w:rsidR="00870647">
        <w:rPr>
          <w:rFonts w:ascii="Times New Roman" w:hAnsi="Times New Roman" w:cs="Times New Roman"/>
          <w:sz w:val="24"/>
          <w:szCs w:val="24"/>
        </w:rPr>
        <w:t xml:space="preserve"> за овај поступак</w:t>
      </w:r>
      <w:r w:rsidR="00F40BA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70647" w:rsidRDefault="00F40BAC" w:rsidP="00F40BAC">
      <w:pPr>
        <w:jc w:val="both"/>
        <w:rPr>
          <w:rFonts w:ascii="Times New Roman" w:hAnsi="Times New Roman" w:cs="Times New Roman"/>
          <w:sz w:val="24"/>
          <w:szCs w:val="24"/>
        </w:rPr>
      </w:pPr>
      <w:r>
        <w:rPr>
          <w:rFonts w:ascii="Times New Roman" w:hAnsi="Times New Roman" w:cs="Times New Roman"/>
          <w:sz w:val="24"/>
          <w:szCs w:val="24"/>
        </w:rPr>
        <w:t>То потврђују и подац</w:t>
      </w:r>
      <w:r w:rsidR="00FF24CC">
        <w:rPr>
          <w:rFonts w:ascii="Times New Roman" w:hAnsi="Times New Roman" w:cs="Times New Roman"/>
          <w:sz w:val="24"/>
          <w:szCs w:val="24"/>
        </w:rPr>
        <w:t xml:space="preserve">и </w:t>
      </w:r>
      <w:r w:rsidR="00870647">
        <w:rPr>
          <w:rFonts w:ascii="Times New Roman" w:hAnsi="Times New Roman" w:cs="Times New Roman"/>
          <w:sz w:val="24"/>
          <w:szCs w:val="24"/>
        </w:rPr>
        <w:t xml:space="preserve">за </w:t>
      </w:r>
      <w:r w:rsidR="003C6BE1">
        <w:rPr>
          <w:rFonts w:ascii="Times New Roman" w:hAnsi="Times New Roman" w:cs="Times New Roman"/>
          <w:sz w:val="24"/>
          <w:szCs w:val="24"/>
        </w:rPr>
        <w:t xml:space="preserve">десетогодишњи период (2003 – 2012) </w:t>
      </w:r>
      <w:r w:rsidR="00870647">
        <w:rPr>
          <w:rFonts w:ascii="Times New Roman" w:hAnsi="Times New Roman" w:cs="Times New Roman"/>
          <w:sz w:val="24"/>
          <w:szCs w:val="24"/>
        </w:rPr>
        <w:t xml:space="preserve">који показују стабилан удео набавки мале вредности у укупној вредности јавних набавки </w:t>
      </w:r>
      <w:r w:rsidR="00523A8B">
        <w:rPr>
          <w:rFonts w:ascii="Times New Roman" w:hAnsi="Times New Roman" w:cs="Times New Roman"/>
          <w:sz w:val="24"/>
          <w:szCs w:val="24"/>
        </w:rPr>
        <w:t xml:space="preserve">у периоду током кога се набавке мале вредности нису објављивале </w:t>
      </w:r>
      <w:r w:rsidR="00870647">
        <w:rPr>
          <w:rFonts w:ascii="Times New Roman" w:hAnsi="Times New Roman" w:cs="Times New Roman"/>
          <w:sz w:val="24"/>
          <w:szCs w:val="24"/>
        </w:rPr>
        <w:t xml:space="preserve">(Слика 4).  </w:t>
      </w:r>
    </w:p>
    <w:p w:rsidR="00870647" w:rsidRDefault="00870647" w:rsidP="00F40BAC">
      <w:pPr>
        <w:jc w:val="both"/>
        <w:rPr>
          <w:rFonts w:ascii="Times New Roman" w:hAnsi="Times New Roman" w:cs="Times New Roman"/>
          <w:sz w:val="24"/>
          <w:szCs w:val="24"/>
        </w:rPr>
      </w:pPr>
    </w:p>
    <w:p w:rsidR="00F40BAC" w:rsidRDefault="00F40BAC" w:rsidP="00605717">
      <w:pPr>
        <w:jc w:val="both"/>
        <w:rPr>
          <w:rFonts w:ascii="Times New Roman" w:hAnsi="Times New Roman" w:cs="Times New Roman"/>
          <w:sz w:val="24"/>
          <w:szCs w:val="24"/>
        </w:rPr>
      </w:pPr>
    </w:p>
    <w:p w:rsidR="00C06C5A" w:rsidRDefault="000B4B53" w:rsidP="009B3038">
      <w:pPr>
        <w:jc w:val="center"/>
        <w:rPr>
          <w:rFonts w:ascii="Times New Roman" w:hAnsi="Times New Roman" w:cs="Times New Roman"/>
          <w:sz w:val="24"/>
          <w:szCs w:val="24"/>
        </w:rPr>
      </w:pPr>
      <w:r w:rsidRPr="00F700F0">
        <w:rPr>
          <w:rFonts w:ascii="Times New Roman" w:hAnsi="Times New Roman" w:cs="Times New Roman"/>
          <w:b/>
          <w:sz w:val="24"/>
          <w:szCs w:val="24"/>
        </w:rPr>
        <w:lastRenderedPageBreak/>
        <w:t xml:space="preserve">Слика </w:t>
      </w:r>
      <w:r w:rsidR="00997EDF" w:rsidRPr="00F700F0">
        <w:rPr>
          <w:rFonts w:ascii="Times New Roman" w:hAnsi="Times New Roman" w:cs="Times New Roman"/>
          <w:b/>
          <w:sz w:val="24"/>
          <w:szCs w:val="24"/>
        </w:rPr>
        <w:t>3</w:t>
      </w:r>
      <w:r w:rsidR="00CC3111" w:rsidRPr="009B3038">
        <w:rPr>
          <w:rFonts w:ascii="Times New Roman" w:hAnsi="Times New Roman" w:cs="Times New Roman"/>
          <w:b/>
          <w:sz w:val="24"/>
          <w:szCs w:val="24"/>
        </w:rPr>
        <w:br/>
      </w:r>
      <w:bookmarkStart w:id="2" w:name="_MON_1457180747"/>
      <w:bookmarkEnd w:id="2"/>
      <w:r w:rsidR="00071D1A" w:rsidRPr="002E23B7">
        <w:rPr>
          <w:rFonts w:ascii="Times New Roman" w:hAnsi="Times New Roman" w:cs="Times New Roman"/>
          <w:sz w:val="24"/>
          <w:szCs w:val="24"/>
        </w:rPr>
        <w:object w:dxaOrig="7202" w:dyaOrig="5000">
          <v:shape id="_x0000_i1027" type="#_x0000_t75" style="width:5in;height:249.95pt" o:ole="">
            <v:imagedata r:id="rId17" o:title=""/>
          </v:shape>
          <o:OLEObject Type="Embed" ProgID="Excel.Sheet.12" ShapeID="_x0000_i1027" DrawAspect="Content" ObjectID="_1461145242" r:id="rId18"/>
        </w:object>
      </w:r>
    </w:p>
    <w:p w:rsidR="009B3038" w:rsidRDefault="009B3038" w:rsidP="00B93598">
      <w:pPr>
        <w:rPr>
          <w:rFonts w:ascii="Times New Roman" w:hAnsi="Times New Roman" w:cs="Times New Roman"/>
          <w:b/>
          <w:color w:val="FF0000"/>
          <w:sz w:val="24"/>
          <w:szCs w:val="24"/>
        </w:rPr>
      </w:pPr>
    </w:p>
    <w:p w:rsidR="00E03C8D" w:rsidRDefault="00E03C8D" w:rsidP="00870647">
      <w:pPr>
        <w:rPr>
          <w:rFonts w:ascii="Times New Roman" w:hAnsi="Times New Roman" w:cs="Times New Roman"/>
          <w:b/>
          <w:sz w:val="24"/>
          <w:szCs w:val="24"/>
        </w:rPr>
      </w:pPr>
    </w:p>
    <w:p w:rsidR="00D935BD" w:rsidRPr="00F700F0" w:rsidRDefault="00B07DE5" w:rsidP="00FE7102">
      <w:pPr>
        <w:jc w:val="center"/>
        <w:rPr>
          <w:rFonts w:ascii="Times New Roman" w:hAnsi="Times New Roman" w:cs="Times New Roman"/>
          <w:b/>
          <w:sz w:val="24"/>
          <w:szCs w:val="24"/>
        </w:rPr>
      </w:pPr>
      <w:r w:rsidRPr="00F700F0">
        <w:rPr>
          <w:rFonts w:ascii="Times New Roman" w:hAnsi="Times New Roman" w:cs="Times New Roman"/>
          <w:b/>
          <w:sz w:val="24"/>
          <w:szCs w:val="24"/>
        </w:rPr>
        <w:t>Слика 4</w:t>
      </w:r>
    </w:p>
    <w:bookmarkStart w:id="3" w:name="_MON_1457180839"/>
    <w:bookmarkEnd w:id="3"/>
    <w:p w:rsidR="00D11CF7" w:rsidRDefault="00F700F0" w:rsidP="009B3038">
      <w:pPr>
        <w:jc w:val="center"/>
        <w:rPr>
          <w:rFonts w:ascii="Times New Roman" w:hAnsi="Times New Roman" w:cs="Times New Roman"/>
          <w:b/>
          <w:color w:val="FF0000"/>
          <w:sz w:val="24"/>
          <w:szCs w:val="24"/>
        </w:rPr>
      </w:pPr>
      <w:r w:rsidRPr="00561134">
        <w:rPr>
          <w:rFonts w:ascii="Times New Roman" w:hAnsi="Times New Roman" w:cs="Times New Roman"/>
          <w:b/>
          <w:color w:val="FF0000"/>
          <w:sz w:val="24"/>
          <w:szCs w:val="24"/>
        </w:rPr>
        <w:object w:dxaOrig="7694" w:dyaOrig="5708">
          <v:shape id="_x0000_i1028" type="#_x0000_t75" style="width:436.1pt;height:243.15pt" o:ole="">
            <v:imagedata r:id="rId19" o:title=""/>
          </v:shape>
          <o:OLEObject Type="Embed" ProgID="Excel.Sheet.12" ShapeID="_x0000_i1028" DrawAspect="Content" ObjectID="_1461145243" r:id="rId20"/>
        </w:object>
      </w:r>
    </w:p>
    <w:p w:rsidR="00F700F0" w:rsidRDefault="00F700F0" w:rsidP="00870647">
      <w:pPr>
        <w:jc w:val="both"/>
        <w:rPr>
          <w:rFonts w:ascii="Times New Roman" w:hAnsi="Times New Roman" w:cs="Times New Roman"/>
          <w:sz w:val="24"/>
          <w:szCs w:val="24"/>
          <w:lang w:val="sr-Cyrl-RS"/>
        </w:rPr>
      </w:pPr>
    </w:p>
    <w:p w:rsidR="00071D1A" w:rsidRPr="00071D1A" w:rsidRDefault="00071D1A" w:rsidP="00870647">
      <w:pPr>
        <w:jc w:val="both"/>
        <w:rPr>
          <w:rFonts w:ascii="Times New Roman" w:hAnsi="Times New Roman" w:cs="Times New Roman"/>
          <w:sz w:val="24"/>
          <w:szCs w:val="24"/>
          <w:lang w:val="sr-Cyrl-RS"/>
        </w:rPr>
      </w:pPr>
    </w:p>
    <w:p w:rsidR="00F700F0" w:rsidRDefault="00F700F0" w:rsidP="00870647">
      <w:pPr>
        <w:jc w:val="both"/>
        <w:rPr>
          <w:rFonts w:ascii="Times New Roman" w:hAnsi="Times New Roman" w:cs="Times New Roman"/>
          <w:sz w:val="24"/>
          <w:szCs w:val="24"/>
        </w:rPr>
      </w:pPr>
    </w:p>
    <w:p w:rsidR="00870647" w:rsidRDefault="00870647" w:rsidP="00870647">
      <w:pPr>
        <w:jc w:val="both"/>
        <w:rPr>
          <w:rFonts w:ascii="Times New Roman" w:hAnsi="Times New Roman" w:cs="Times New Roman"/>
          <w:sz w:val="24"/>
          <w:szCs w:val="24"/>
        </w:rPr>
      </w:pPr>
      <w:r>
        <w:rPr>
          <w:rFonts w:ascii="Times New Roman" w:hAnsi="Times New Roman" w:cs="Times New Roman"/>
          <w:sz w:val="24"/>
          <w:szCs w:val="24"/>
        </w:rPr>
        <w:lastRenderedPageBreak/>
        <w:t>Може се закључити да су набавке мале вредности, током протекл</w:t>
      </w:r>
      <w:r w:rsidR="003C6BE1">
        <w:rPr>
          <w:rFonts w:ascii="Times New Roman" w:hAnsi="Times New Roman" w:cs="Times New Roman"/>
          <w:sz w:val="24"/>
          <w:szCs w:val="24"/>
        </w:rPr>
        <w:t xml:space="preserve">их година, у значајној мери коришћене </w:t>
      </w:r>
      <w:r>
        <w:rPr>
          <w:rFonts w:ascii="Times New Roman" w:hAnsi="Times New Roman" w:cs="Times New Roman"/>
          <w:sz w:val="24"/>
          <w:szCs w:val="24"/>
        </w:rPr>
        <w:t>да би се избегло објављивање из чега произлази да је поменута законска одредба о обавезности објављивања имала значај</w:t>
      </w:r>
      <w:r w:rsidR="003C6BE1">
        <w:rPr>
          <w:rFonts w:ascii="Times New Roman" w:hAnsi="Times New Roman" w:cs="Times New Roman"/>
          <w:sz w:val="24"/>
          <w:szCs w:val="24"/>
        </w:rPr>
        <w:t>а</w:t>
      </w:r>
      <w:r>
        <w:rPr>
          <w:rFonts w:ascii="Times New Roman" w:hAnsi="Times New Roman" w:cs="Times New Roman"/>
          <w:sz w:val="24"/>
          <w:szCs w:val="24"/>
        </w:rPr>
        <w:t>н ефек</w:t>
      </w:r>
      <w:r w:rsidR="003C6BE1">
        <w:rPr>
          <w:rFonts w:ascii="Times New Roman" w:hAnsi="Times New Roman" w:cs="Times New Roman"/>
          <w:sz w:val="24"/>
          <w:szCs w:val="24"/>
        </w:rPr>
        <w:t>а</w:t>
      </w:r>
      <w:r>
        <w:rPr>
          <w:rFonts w:ascii="Times New Roman" w:hAnsi="Times New Roman" w:cs="Times New Roman"/>
          <w:sz w:val="24"/>
          <w:szCs w:val="24"/>
        </w:rPr>
        <w:t xml:space="preserve">т на повећање транспарентности и смањивање могућности за корупцију. </w:t>
      </w:r>
    </w:p>
    <w:p w:rsidR="009B3038" w:rsidRPr="009B3038" w:rsidRDefault="00904A10" w:rsidP="009B3038">
      <w:pPr>
        <w:jc w:val="both"/>
        <w:rPr>
          <w:rFonts w:ascii="Times New Roman" w:hAnsi="Times New Roman" w:cs="Times New Roman"/>
          <w:sz w:val="24"/>
          <w:szCs w:val="24"/>
        </w:rPr>
      </w:pPr>
      <w:r w:rsidRPr="006B0D56">
        <w:rPr>
          <w:rFonts w:ascii="Times New Roman" w:hAnsi="Times New Roman" w:cs="Times New Roman"/>
          <w:sz w:val="24"/>
          <w:szCs w:val="24"/>
        </w:rPr>
        <w:t xml:space="preserve">Структура јавних набавки, посматрано по категоријама наручилаца, променила </w:t>
      </w:r>
      <w:r w:rsidR="00071D1A">
        <w:rPr>
          <w:rFonts w:ascii="Times New Roman" w:hAnsi="Times New Roman" w:cs="Times New Roman"/>
          <w:sz w:val="24"/>
          <w:szCs w:val="24"/>
          <w:lang w:val="sr-Cyrl-RS"/>
        </w:rPr>
        <w:t xml:space="preserve">се у другом полугођу 2013. </w:t>
      </w:r>
      <w:r w:rsidR="00B76317">
        <w:rPr>
          <w:rFonts w:ascii="Times New Roman" w:hAnsi="Times New Roman" w:cs="Times New Roman"/>
          <w:sz w:val="24"/>
          <w:szCs w:val="24"/>
          <w:lang w:val="sr-Cyrl-RS"/>
        </w:rPr>
        <w:t xml:space="preserve">у </w:t>
      </w:r>
      <w:r w:rsidR="00071D1A">
        <w:rPr>
          <w:rFonts w:ascii="Times New Roman" w:hAnsi="Times New Roman" w:cs="Times New Roman"/>
          <w:sz w:val="24"/>
          <w:szCs w:val="24"/>
          <w:lang w:val="sr-Cyrl-RS"/>
        </w:rPr>
        <w:t xml:space="preserve">односу на прво полугође 2013. Године </w:t>
      </w:r>
      <w:r w:rsidRPr="006B0D56">
        <w:rPr>
          <w:rFonts w:ascii="Times New Roman" w:hAnsi="Times New Roman" w:cs="Times New Roman"/>
          <w:sz w:val="24"/>
          <w:szCs w:val="24"/>
        </w:rPr>
        <w:t xml:space="preserve">(Табела </w:t>
      </w:r>
      <w:r w:rsidR="00F44859">
        <w:rPr>
          <w:rFonts w:ascii="Times New Roman" w:hAnsi="Times New Roman" w:cs="Times New Roman"/>
          <w:sz w:val="24"/>
          <w:szCs w:val="24"/>
        </w:rPr>
        <w:t>3</w:t>
      </w:r>
      <w:r w:rsidR="00B96B3D" w:rsidRPr="006B0D56">
        <w:rPr>
          <w:rFonts w:ascii="Times New Roman" w:hAnsi="Times New Roman" w:cs="Times New Roman"/>
          <w:sz w:val="24"/>
          <w:szCs w:val="24"/>
        </w:rPr>
        <w:t>)</w:t>
      </w:r>
      <w:r w:rsidRPr="006B0D56">
        <w:rPr>
          <w:rFonts w:ascii="Times New Roman" w:hAnsi="Times New Roman" w:cs="Times New Roman"/>
          <w:sz w:val="24"/>
          <w:szCs w:val="24"/>
        </w:rPr>
        <w:t xml:space="preserve">. </w:t>
      </w:r>
      <w:r w:rsidR="00010632" w:rsidRPr="006B0D56">
        <w:rPr>
          <w:rFonts w:ascii="Times New Roman" w:hAnsi="Times New Roman" w:cs="Times New Roman"/>
          <w:sz w:val="24"/>
          <w:szCs w:val="24"/>
        </w:rPr>
        <w:t xml:space="preserve">Највеће промене одиграле су се код две категорије наручилаца: </w:t>
      </w:r>
      <w:r w:rsidR="0095389B" w:rsidRPr="006B0D56">
        <w:rPr>
          <w:rFonts w:ascii="Times New Roman" w:hAnsi="Times New Roman" w:cs="Times New Roman"/>
          <w:sz w:val="24"/>
          <w:szCs w:val="24"/>
        </w:rPr>
        <w:t xml:space="preserve">јавних предузећа и </w:t>
      </w:r>
      <w:r w:rsidR="00F44859">
        <w:rPr>
          <w:rFonts w:ascii="Times New Roman" w:hAnsi="Times New Roman" w:cs="Times New Roman"/>
          <w:sz w:val="24"/>
          <w:szCs w:val="24"/>
        </w:rPr>
        <w:t>јавно комуналних предузећа</w:t>
      </w:r>
      <w:r w:rsidR="00010632" w:rsidRPr="006B0D56">
        <w:rPr>
          <w:rFonts w:ascii="Times New Roman" w:hAnsi="Times New Roman" w:cs="Times New Roman"/>
          <w:sz w:val="24"/>
          <w:szCs w:val="24"/>
        </w:rPr>
        <w:t xml:space="preserve">. </w:t>
      </w:r>
      <w:r w:rsidRPr="006B0D56">
        <w:rPr>
          <w:rFonts w:ascii="Times New Roman" w:hAnsi="Times New Roman" w:cs="Times New Roman"/>
          <w:sz w:val="24"/>
          <w:szCs w:val="24"/>
        </w:rPr>
        <w:t>У</w:t>
      </w:r>
      <w:r w:rsidR="00D935BD" w:rsidRPr="006B0D56">
        <w:rPr>
          <w:rFonts w:ascii="Times New Roman" w:hAnsi="Times New Roman" w:cs="Times New Roman"/>
          <w:sz w:val="24"/>
          <w:szCs w:val="24"/>
        </w:rPr>
        <w:t>ч</w:t>
      </w:r>
      <w:r w:rsidRPr="006B0D56">
        <w:rPr>
          <w:rFonts w:ascii="Times New Roman" w:hAnsi="Times New Roman" w:cs="Times New Roman"/>
          <w:sz w:val="24"/>
          <w:szCs w:val="24"/>
        </w:rPr>
        <w:t xml:space="preserve">ешће </w:t>
      </w:r>
      <w:r w:rsidR="00F44859">
        <w:rPr>
          <w:rFonts w:ascii="Times New Roman" w:hAnsi="Times New Roman" w:cs="Times New Roman"/>
          <w:sz w:val="24"/>
          <w:szCs w:val="24"/>
        </w:rPr>
        <w:t xml:space="preserve">јавних предузећа </w:t>
      </w:r>
      <w:r w:rsidR="00010632" w:rsidRPr="006B0D56">
        <w:rPr>
          <w:rFonts w:ascii="Times New Roman" w:hAnsi="Times New Roman" w:cs="Times New Roman"/>
          <w:sz w:val="24"/>
          <w:szCs w:val="24"/>
        </w:rPr>
        <w:t xml:space="preserve">у </w:t>
      </w:r>
      <w:r w:rsidR="00F44859">
        <w:rPr>
          <w:rFonts w:ascii="Times New Roman" w:hAnsi="Times New Roman" w:cs="Times New Roman"/>
          <w:sz w:val="24"/>
          <w:szCs w:val="24"/>
        </w:rPr>
        <w:t>укупној вредности јавних</w:t>
      </w:r>
      <w:r w:rsidR="00010632" w:rsidRPr="006B0D56">
        <w:rPr>
          <w:rFonts w:ascii="Times New Roman" w:hAnsi="Times New Roman" w:cs="Times New Roman"/>
          <w:sz w:val="24"/>
          <w:szCs w:val="24"/>
        </w:rPr>
        <w:t xml:space="preserve"> набавк</w:t>
      </w:r>
      <w:r w:rsidR="00F44859">
        <w:rPr>
          <w:rFonts w:ascii="Times New Roman" w:hAnsi="Times New Roman" w:cs="Times New Roman"/>
          <w:sz w:val="24"/>
          <w:szCs w:val="24"/>
        </w:rPr>
        <w:t xml:space="preserve">и смањило </w:t>
      </w:r>
      <w:r w:rsidR="00010632" w:rsidRPr="006B0D56">
        <w:rPr>
          <w:rFonts w:ascii="Times New Roman" w:hAnsi="Times New Roman" w:cs="Times New Roman"/>
          <w:sz w:val="24"/>
          <w:szCs w:val="24"/>
        </w:rPr>
        <w:t xml:space="preserve">се са </w:t>
      </w:r>
      <w:r w:rsidR="00F44859">
        <w:rPr>
          <w:rFonts w:ascii="Times New Roman" w:hAnsi="Times New Roman" w:cs="Times New Roman"/>
          <w:sz w:val="24"/>
          <w:szCs w:val="24"/>
        </w:rPr>
        <w:t xml:space="preserve">38 % у првом полугодишту </w:t>
      </w:r>
      <w:r w:rsidR="00010632" w:rsidRPr="006B0D56">
        <w:rPr>
          <w:rFonts w:ascii="Times New Roman" w:hAnsi="Times New Roman" w:cs="Times New Roman"/>
          <w:sz w:val="24"/>
          <w:szCs w:val="24"/>
        </w:rPr>
        <w:t>на 2</w:t>
      </w:r>
      <w:r w:rsidR="00F44859">
        <w:rPr>
          <w:rFonts w:ascii="Times New Roman" w:hAnsi="Times New Roman" w:cs="Times New Roman"/>
          <w:sz w:val="24"/>
          <w:szCs w:val="24"/>
        </w:rPr>
        <w:t>5</w:t>
      </w:r>
      <w:r w:rsidR="00010632" w:rsidRPr="006B0D56">
        <w:rPr>
          <w:rFonts w:ascii="Times New Roman" w:hAnsi="Times New Roman" w:cs="Times New Roman"/>
          <w:sz w:val="24"/>
          <w:szCs w:val="24"/>
        </w:rPr>
        <w:t>%</w:t>
      </w:r>
      <w:r w:rsidR="00F44859">
        <w:rPr>
          <w:rFonts w:ascii="Times New Roman" w:hAnsi="Times New Roman" w:cs="Times New Roman"/>
          <w:sz w:val="24"/>
          <w:szCs w:val="24"/>
        </w:rPr>
        <w:t xml:space="preserve"> у другом полугодишту 2013</w:t>
      </w:r>
      <w:r w:rsidR="00010632" w:rsidRPr="006B0D56">
        <w:rPr>
          <w:rFonts w:ascii="Times New Roman" w:hAnsi="Times New Roman" w:cs="Times New Roman"/>
          <w:sz w:val="24"/>
          <w:szCs w:val="24"/>
        </w:rPr>
        <w:t xml:space="preserve">, </w:t>
      </w:r>
      <w:r w:rsidR="00F44859">
        <w:rPr>
          <w:rFonts w:ascii="Times New Roman" w:hAnsi="Times New Roman" w:cs="Times New Roman"/>
          <w:sz w:val="24"/>
          <w:szCs w:val="24"/>
        </w:rPr>
        <w:t>док је учешће јавно комуналних предузећа повећано за готово исти проценат, с</w:t>
      </w:r>
      <w:r w:rsidR="00010632" w:rsidRPr="006B0D56">
        <w:rPr>
          <w:rFonts w:ascii="Times New Roman" w:hAnsi="Times New Roman" w:cs="Times New Roman"/>
          <w:sz w:val="24"/>
          <w:szCs w:val="24"/>
        </w:rPr>
        <w:t xml:space="preserve">а </w:t>
      </w:r>
      <w:r w:rsidR="00F44859">
        <w:rPr>
          <w:rFonts w:ascii="Times New Roman" w:hAnsi="Times New Roman" w:cs="Times New Roman"/>
          <w:sz w:val="24"/>
          <w:szCs w:val="24"/>
        </w:rPr>
        <w:t xml:space="preserve">16 на 28%. С обзиром да остале категорије наручилаца нису значајније мењале своје учешће, може се закључити да је, у другој половини 2013. године дошло до „преливања“ јавних набавки са републичког на локални ниво, у смислу да су републичка јавна предузећа </w:t>
      </w:r>
      <w:r w:rsidR="00D10BCF">
        <w:rPr>
          <w:rFonts w:ascii="Times New Roman" w:hAnsi="Times New Roman" w:cs="Times New Roman"/>
          <w:sz w:val="24"/>
          <w:szCs w:val="24"/>
        </w:rPr>
        <w:t xml:space="preserve">била доминантни купци у првом полугодишту, док је у другом полугодишту порастао релативни значај јавних предузећа на локалном нивоу, а на рачун смањивања удела републичких јавних предузећа. </w:t>
      </w:r>
      <w:r w:rsidR="00F44859">
        <w:rPr>
          <w:rFonts w:ascii="Times New Roman" w:hAnsi="Times New Roman" w:cs="Times New Roman"/>
          <w:sz w:val="24"/>
          <w:szCs w:val="24"/>
        </w:rPr>
        <w:t xml:space="preserve">   </w:t>
      </w:r>
    </w:p>
    <w:p w:rsidR="009965E9" w:rsidRPr="00881C4A" w:rsidRDefault="00C41DA4" w:rsidP="00904A10">
      <w:pPr>
        <w:rPr>
          <w:rFonts w:ascii="Times New Roman" w:hAnsi="Times New Roman" w:cs="Times New Roman"/>
          <w:b/>
          <w:sz w:val="24"/>
          <w:szCs w:val="24"/>
        </w:rPr>
      </w:pPr>
      <w:r w:rsidRPr="00881C4A">
        <w:rPr>
          <w:rFonts w:ascii="Times New Roman" w:hAnsi="Times New Roman" w:cs="Times New Roman"/>
          <w:b/>
          <w:sz w:val="24"/>
          <w:szCs w:val="24"/>
        </w:rPr>
        <w:t>Табела 3</w:t>
      </w:r>
    </w:p>
    <w:tbl>
      <w:tblPr>
        <w:tblStyle w:val="TableGrid"/>
        <w:tblW w:w="10974" w:type="dxa"/>
        <w:jc w:val="center"/>
        <w:tblInd w:w="-837" w:type="dxa"/>
        <w:tblLook w:val="0000" w:firstRow="0" w:lastRow="0" w:firstColumn="0" w:lastColumn="0" w:noHBand="0" w:noVBand="0"/>
      </w:tblPr>
      <w:tblGrid>
        <w:gridCol w:w="1276"/>
        <w:gridCol w:w="923"/>
        <w:gridCol w:w="551"/>
        <w:gridCol w:w="1331"/>
        <w:gridCol w:w="551"/>
        <w:gridCol w:w="923"/>
        <w:gridCol w:w="516"/>
        <w:gridCol w:w="1216"/>
        <w:gridCol w:w="516"/>
        <w:gridCol w:w="923"/>
        <w:gridCol w:w="516"/>
        <w:gridCol w:w="1216"/>
        <w:gridCol w:w="516"/>
      </w:tblGrid>
      <w:tr w:rsidR="00CC5B2E" w:rsidRPr="00A07ECD" w:rsidTr="0074358D">
        <w:trPr>
          <w:trHeight w:val="624"/>
          <w:jc w:val="center"/>
        </w:trPr>
        <w:tc>
          <w:tcPr>
            <w:tcW w:w="10974" w:type="dxa"/>
            <w:gridSpan w:val="13"/>
            <w:tcBorders>
              <w:top w:val="single" w:sz="18" w:space="0" w:color="auto"/>
              <w:left w:val="single" w:sz="18" w:space="0" w:color="auto"/>
              <w:right w:val="single" w:sz="18" w:space="0" w:color="auto"/>
            </w:tcBorders>
          </w:tcPr>
          <w:p w:rsidR="00CC5B2E" w:rsidRDefault="0090623C" w:rsidP="000229D1">
            <w:pPr>
              <w:jc w:val="center"/>
              <w:rPr>
                <w:rFonts w:ascii="Times New Roman" w:hAnsi="Times New Roman" w:cs="Times New Roman"/>
                <w:b/>
                <w:sz w:val="24"/>
                <w:szCs w:val="24"/>
              </w:rPr>
            </w:pPr>
            <w:r>
              <w:rPr>
                <w:rFonts w:ascii="Times New Roman" w:hAnsi="Times New Roman" w:cs="Times New Roman"/>
                <w:b/>
                <w:sz w:val="24"/>
                <w:szCs w:val="24"/>
              </w:rPr>
              <w:t>П</w:t>
            </w:r>
            <w:r w:rsidR="00CC5B2E" w:rsidRPr="00910B1E">
              <w:rPr>
                <w:rFonts w:ascii="Times New Roman" w:hAnsi="Times New Roman" w:cs="Times New Roman"/>
                <w:b/>
                <w:sz w:val="24"/>
                <w:szCs w:val="24"/>
              </w:rPr>
              <w:t xml:space="preserve">реглед јавних набавки по категоријама наручилаца </w:t>
            </w:r>
          </w:p>
          <w:p w:rsidR="00CC5B2E" w:rsidRPr="0090623C" w:rsidRDefault="0090623C" w:rsidP="000229D1">
            <w:pPr>
              <w:jc w:val="center"/>
              <w:rPr>
                <w:rFonts w:ascii="Times New Roman" w:hAnsi="Times New Roman" w:cs="Times New Roman"/>
                <w:b/>
                <w:sz w:val="24"/>
                <w:szCs w:val="24"/>
              </w:rPr>
            </w:pPr>
            <w:r>
              <w:rPr>
                <w:rFonts w:ascii="Times New Roman" w:hAnsi="Times New Roman" w:cs="Times New Roman"/>
                <w:b/>
                <w:sz w:val="24"/>
                <w:szCs w:val="24"/>
              </w:rPr>
              <w:t xml:space="preserve">у 2013. години  </w:t>
            </w:r>
          </w:p>
        </w:tc>
      </w:tr>
      <w:tr w:rsidR="00CC5B2E" w:rsidRPr="00A07ECD" w:rsidTr="0074358D">
        <w:tblPrEx>
          <w:tblLook w:val="04A0" w:firstRow="1" w:lastRow="0" w:firstColumn="1" w:lastColumn="0" w:noHBand="0" w:noVBand="1"/>
        </w:tblPrEx>
        <w:trPr>
          <w:jc w:val="center"/>
        </w:trPr>
        <w:tc>
          <w:tcPr>
            <w:tcW w:w="1276" w:type="dxa"/>
            <w:tcBorders>
              <w:top w:val="single" w:sz="18" w:space="0" w:color="auto"/>
              <w:left w:val="single" w:sz="18" w:space="0" w:color="auto"/>
              <w:bottom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Период</w:t>
            </w:r>
          </w:p>
        </w:tc>
        <w:tc>
          <w:tcPr>
            <w:tcW w:w="3356" w:type="dxa"/>
            <w:gridSpan w:val="4"/>
            <w:tcBorders>
              <w:top w:val="single" w:sz="18" w:space="0" w:color="auto"/>
              <w:left w:val="single" w:sz="18" w:space="0" w:color="auto"/>
              <w:bottom w:val="single" w:sz="18" w:space="0" w:color="auto"/>
              <w:right w:val="single" w:sz="18" w:space="0" w:color="auto"/>
            </w:tcBorders>
          </w:tcPr>
          <w:p w:rsidR="00CC5B2E" w:rsidRPr="0038390E" w:rsidRDefault="00CC5B2E" w:rsidP="000229D1">
            <w:pPr>
              <w:jc w:val="center"/>
              <w:rPr>
                <w:rFonts w:ascii="Times New Roman" w:hAnsi="Times New Roman" w:cs="Times New Roman"/>
                <w:b/>
                <w:sz w:val="20"/>
                <w:szCs w:val="20"/>
              </w:rPr>
            </w:pPr>
            <w:r>
              <w:rPr>
                <w:rFonts w:ascii="Times New Roman" w:hAnsi="Times New Roman" w:cs="Times New Roman"/>
                <w:b/>
                <w:sz w:val="20"/>
                <w:szCs w:val="20"/>
              </w:rPr>
              <w:t>2013</w:t>
            </w:r>
          </w:p>
        </w:tc>
        <w:tc>
          <w:tcPr>
            <w:tcW w:w="3171" w:type="dxa"/>
            <w:gridSpan w:val="4"/>
            <w:tcBorders>
              <w:top w:val="single" w:sz="18" w:space="0" w:color="auto"/>
              <w:left w:val="single" w:sz="18" w:space="0" w:color="auto"/>
              <w:bottom w:val="single" w:sz="18" w:space="0" w:color="auto"/>
              <w:right w:val="single" w:sz="18" w:space="0" w:color="auto"/>
            </w:tcBorders>
            <w:vAlign w:val="center"/>
          </w:tcPr>
          <w:p w:rsidR="00CC5B2E" w:rsidRPr="00703B2E" w:rsidRDefault="00CC5B2E" w:rsidP="000229D1">
            <w:pPr>
              <w:jc w:val="center"/>
              <w:rPr>
                <w:rFonts w:ascii="Times New Roman" w:hAnsi="Times New Roman" w:cs="Times New Roman"/>
                <w:b/>
                <w:sz w:val="20"/>
                <w:szCs w:val="20"/>
              </w:rPr>
            </w:pPr>
            <w:r>
              <w:rPr>
                <w:rFonts w:ascii="Times New Roman" w:hAnsi="Times New Roman" w:cs="Times New Roman"/>
                <w:b/>
                <w:sz w:val="20"/>
                <w:szCs w:val="20"/>
              </w:rPr>
              <w:t>2013. прво полугође</w:t>
            </w:r>
          </w:p>
        </w:tc>
        <w:tc>
          <w:tcPr>
            <w:tcW w:w="3171" w:type="dxa"/>
            <w:gridSpan w:val="4"/>
            <w:tcBorders>
              <w:top w:val="single" w:sz="18" w:space="0" w:color="auto"/>
              <w:left w:val="single" w:sz="18" w:space="0" w:color="auto"/>
              <w:bottom w:val="single" w:sz="18" w:space="0" w:color="auto"/>
              <w:right w:val="single" w:sz="18" w:space="0" w:color="auto"/>
            </w:tcBorders>
            <w:vAlign w:val="center"/>
          </w:tcPr>
          <w:p w:rsidR="00CC5B2E" w:rsidRPr="00703B2E" w:rsidRDefault="00CC5B2E" w:rsidP="000229D1">
            <w:pPr>
              <w:jc w:val="center"/>
              <w:rPr>
                <w:rFonts w:ascii="Times New Roman" w:hAnsi="Times New Roman" w:cs="Times New Roman"/>
                <w:b/>
                <w:sz w:val="20"/>
                <w:szCs w:val="20"/>
              </w:rPr>
            </w:pPr>
            <w:r>
              <w:rPr>
                <w:rFonts w:ascii="Times New Roman" w:hAnsi="Times New Roman" w:cs="Times New Roman"/>
                <w:b/>
                <w:sz w:val="20"/>
                <w:szCs w:val="20"/>
              </w:rPr>
              <w:t>2013. друго полугође</w:t>
            </w:r>
          </w:p>
        </w:tc>
      </w:tr>
      <w:tr w:rsidR="00CC5B2E" w:rsidRPr="00A07ECD" w:rsidTr="0074358D">
        <w:tblPrEx>
          <w:tblLook w:val="04A0" w:firstRow="1" w:lastRow="0" w:firstColumn="1" w:lastColumn="0" w:noHBand="0" w:noVBand="1"/>
        </w:tblPrEx>
        <w:trPr>
          <w:jc w:val="center"/>
        </w:trPr>
        <w:tc>
          <w:tcPr>
            <w:tcW w:w="1276" w:type="dxa"/>
            <w:tcBorders>
              <w:top w:val="single" w:sz="18" w:space="0" w:color="auto"/>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Категорија</w:t>
            </w:r>
          </w:p>
        </w:tc>
        <w:tc>
          <w:tcPr>
            <w:tcW w:w="923" w:type="dxa"/>
            <w:tcBorders>
              <w:top w:val="single" w:sz="18" w:space="0" w:color="auto"/>
              <w:left w:val="single" w:sz="18" w:space="0" w:color="auto"/>
              <w:right w:val="single" w:sz="4"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551" w:type="dxa"/>
            <w:tcBorders>
              <w:top w:val="single" w:sz="18" w:space="0" w:color="auto"/>
              <w:left w:val="single" w:sz="4" w:space="0" w:color="auto"/>
              <w:right w:val="single" w:sz="4"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331" w:type="dxa"/>
            <w:tcBorders>
              <w:top w:val="single" w:sz="18" w:space="0" w:color="auto"/>
              <w:left w:val="single" w:sz="4" w:space="0" w:color="auto"/>
              <w:right w:val="single" w:sz="4"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CC5B2E" w:rsidRPr="00A07ECD" w:rsidRDefault="00CC5B2E" w:rsidP="000229D1">
            <w:pPr>
              <w:jc w:val="center"/>
              <w:rPr>
                <w:rFonts w:ascii="Times New Roman" w:hAnsi="Times New Roman" w:cs="Times New Roman"/>
                <w:sz w:val="20"/>
                <w:szCs w:val="20"/>
              </w:rPr>
            </w:pPr>
            <w:r>
              <w:rPr>
                <w:rFonts w:ascii="Times New Roman" w:hAnsi="Times New Roman" w:cs="Times New Roman"/>
                <w:sz w:val="20"/>
                <w:szCs w:val="20"/>
              </w:rPr>
              <w:t>б</w:t>
            </w:r>
            <w:r w:rsidRPr="00A07ECD">
              <w:rPr>
                <w:rFonts w:ascii="Times New Roman" w:hAnsi="Times New Roman" w:cs="Times New Roman"/>
                <w:sz w:val="20"/>
                <w:szCs w:val="20"/>
              </w:rPr>
              <w:t>ез ПДВ-а*</w:t>
            </w:r>
          </w:p>
        </w:tc>
        <w:tc>
          <w:tcPr>
            <w:tcW w:w="551" w:type="dxa"/>
            <w:tcBorders>
              <w:top w:val="single" w:sz="18" w:space="0" w:color="auto"/>
              <w:left w:val="single" w:sz="4" w:space="0" w:color="auto"/>
              <w:right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923" w:type="dxa"/>
            <w:tcBorders>
              <w:top w:val="single" w:sz="18" w:space="0" w:color="auto"/>
              <w:left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516" w:type="dxa"/>
            <w:tcBorders>
              <w:top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216" w:type="dxa"/>
            <w:tcBorders>
              <w:top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CC5B2E" w:rsidRPr="00A07ECD" w:rsidRDefault="00CC5B2E" w:rsidP="000229D1">
            <w:pPr>
              <w:jc w:val="center"/>
              <w:rPr>
                <w:rFonts w:ascii="Times New Roman" w:hAnsi="Times New Roman" w:cs="Times New Roman"/>
                <w:sz w:val="20"/>
                <w:szCs w:val="20"/>
              </w:rPr>
            </w:pPr>
            <w:r>
              <w:rPr>
                <w:rFonts w:ascii="Times New Roman" w:hAnsi="Times New Roman" w:cs="Times New Roman"/>
                <w:sz w:val="20"/>
                <w:szCs w:val="20"/>
              </w:rPr>
              <w:t>б</w:t>
            </w:r>
            <w:r w:rsidRPr="00A07ECD">
              <w:rPr>
                <w:rFonts w:ascii="Times New Roman" w:hAnsi="Times New Roman" w:cs="Times New Roman"/>
                <w:sz w:val="20"/>
                <w:szCs w:val="20"/>
              </w:rPr>
              <w:t>ез ПДВ-а*</w:t>
            </w:r>
          </w:p>
        </w:tc>
        <w:tc>
          <w:tcPr>
            <w:tcW w:w="516" w:type="dxa"/>
            <w:tcBorders>
              <w:top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923" w:type="dxa"/>
            <w:tcBorders>
              <w:top w:val="single" w:sz="18" w:space="0" w:color="auto"/>
              <w:left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516" w:type="dxa"/>
            <w:tcBorders>
              <w:top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216" w:type="dxa"/>
            <w:tcBorders>
              <w:top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CC5B2E" w:rsidRPr="00A07ECD" w:rsidRDefault="00CC5B2E" w:rsidP="000229D1">
            <w:pPr>
              <w:jc w:val="center"/>
              <w:rPr>
                <w:rFonts w:ascii="Times New Roman" w:hAnsi="Times New Roman" w:cs="Times New Roman"/>
                <w:sz w:val="20"/>
                <w:szCs w:val="20"/>
              </w:rPr>
            </w:pPr>
            <w:r>
              <w:rPr>
                <w:rFonts w:ascii="Times New Roman" w:hAnsi="Times New Roman" w:cs="Times New Roman"/>
                <w:sz w:val="20"/>
                <w:szCs w:val="20"/>
              </w:rPr>
              <w:t>б</w:t>
            </w:r>
            <w:r w:rsidRPr="00A07ECD">
              <w:rPr>
                <w:rFonts w:ascii="Times New Roman" w:hAnsi="Times New Roman" w:cs="Times New Roman"/>
                <w:sz w:val="20"/>
                <w:szCs w:val="20"/>
              </w:rPr>
              <w:t>ез ПДВ-а*</w:t>
            </w:r>
          </w:p>
        </w:tc>
        <w:tc>
          <w:tcPr>
            <w:tcW w:w="516" w:type="dxa"/>
            <w:tcBorders>
              <w:top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sz w:val="20"/>
                <w:szCs w:val="20"/>
              </w:rPr>
            </w:pPr>
            <w:r w:rsidRPr="00A07ECD">
              <w:rPr>
                <w:rFonts w:ascii="Times New Roman" w:hAnsi="Times New Roman" w:cs="Times New Roman"/>
                <w:sz w:val="20"/>
                <w:szCs w:val="20"/>
              </w:rPr>
              <w:t>%</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Органи државне управе</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17.446</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21</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25.869.366</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10</w:t>
            </w:r>
          </w:p>
        </w:tc>
        <w:tc>
          <w:tcPr>
            <w:tcW w:w="923" w:type="dxa"/>
            <w:tcBorders>
              <w:left w:val="single" w:sz="18" w:space="0" w:color="auto"/>
            </w:tcBorders>
            <w:vAlign w:val="center"/>
          </w:tcPr>
          <w:p w:rsidR="00CC5B2E" w:rsidRPr="00A360EA" w:rsidRDefault="00CC5B2E" w:rsidP="000229D1">
            <w:pPr>
              <w:jc w:val="center"/>
              <w:rPr>
                <w:rFonts w:ascii="Times New Roman" w:hAnsi="Times New Roman" w:cs="Times New Roman"/>
                <w:sz w:val="20"/>
                <w:szCs w:val="20"/>
              </w:rPr>
            </w:pPr>
            <w:r>
              <w:rPr>
                <w:rFonts w:ascii="Times New Roman" w:hAnsi="Times New Roman" w:cs="Times New Roman"/>
                <w:sz w:val="20"/>
                <w:szCs w:val="20"/>
              </w:rPr>
              <w:t>8.233</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18</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14.612.129</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9.213</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24</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11.257.237</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9</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Правосуђе</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735</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596.963</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0</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533</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338.120</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202</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1</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258.843</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0</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Здравство и социјална заштита</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25.856</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31</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63.013.171</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24</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13.515</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30</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28.888.675</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21</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12.341</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32</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34.124.496</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28</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Култура</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1.867</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1.936.650</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898</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753.744</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969</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3</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1.182.906</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1</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Просвета, наука и спорт</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6.956</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8</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11.127.872</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4</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4.604</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10</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7.787.958</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2.352</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3.339.914</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3</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Државна јавна предузећа</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11.473</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14</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83.598.262</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32</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6.450</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15</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53.277.021</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5.023</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13</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30.321.241</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25</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Јавна предузећа-локална самоуправа</w:t>
            </w:r>
          </w:p>
        </w:tc>
        <w:tc>
          <w:tcPr>
            <w:tcW w:w="923" w:type="dxa"/>
            <w:tcBorders>
              <w:left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13.035</w:t>
            </w:r>
          </w:p>
        </w:tc>
        <w:tc>
          <w:tcPr>
            <w:tcW w:w="55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16</w:t>
            </w:r>
          </w:p>
        </w:tc>
        <w:tc>
          <w:tcPr>
            <w:tcW w:w="1331" w:type="dxa"/>
            <w:tcBorders>
              <w:left w:val="single" w:sz="4"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56.417.701</w:t>
            </w:r>
          </w:p>
        </w:tc>
        <w:tc>
          <w:tcPr>
            <w:tcW w:w="551" w:type="dxa"/>
            <w:tcBorders>
              <w:left w:val="single" w:sz="4"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21</w:t>
            </w:r>
          </w:p>
        </w:tc>
        <w:tc>
          <w:tcPr>
            <w:tcW w:w="923" w:type="dxa"/>
            <w:tcBorders>
              <w:left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7.607</w:t>
            </w:r>
          </w:p>
        </w:tc>
        <w:tc>
          <w:tcPr>
            <w:tcW w:w="5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17</w:t>
            </w:r>
          </w:p>
        </w:tc>
        <w:tc>
          <w:tcPr>
            <w:tcW w:w="1216" w:type="dxa"/>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22.495.407</w:t>
            </w:r>
          </w:p>
        </w:tc>
        <w:tc>
          <w:tcPr>
            <w:tcW w:w="516" w:type="dxa"/>
            <w:tcBorders>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923" w:type="dxa"/>
            <w:tcBorders>
              <w:left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5.428</w:t>
            </w:r>
          </w:p>
        </w:tc>
        <w:tc>
          <w:tcPr>
            <w:tcW w:w="516" w:type="dxa"/>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14</w:t>
            </w:r>
          </w:p>
        </w:tc>
        <w:tc>
          <w:tcPr>
            <w:tcW w:w="1216" w:type="dxa"/>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33.922.294</w:t>
            </w:r>
          </w:p>
        </w:tc>
        <w:tc>
          <w:tcPr>
            <w:tcW w:w="516" w:type="dxa"/>
            <w:tcBorders>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28</w:t>
            </w:r>
          </w:p>
        </w:tc>
      </w:tr>
      <w:tr w:rsidR="00CC5B2E" w:rsidRPr="002026DB" w:rsidTr="0074358D">
        <w:tblPrEx>
          <w:tblLook w:val="04A0" w:firstRow="1" w:lastRow="0" w:firstColumn="1" w:lastColumn="0" w:noHBand="0" w:noVBand="1"/>
        </w:tblPrEx>
        <w:trPr>
          <w:jc w:val="center"/>
        </w:trPr>
        <w:tc>
          <w:tcPr>
            <w:tcW w:w="1276" w:type="dxa"/>
            <w:tcBorders>
              <w:left w:val="single" w:sz="18" w:space="0" w:color="auto"/>
              <w:bottom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Градска и општинска управа</w:t>
            </w:r>
          </w:p>
        </w:tc>
        <w:tc>
          <w:tcPr>
            <w:tcW w:w="923" w:type="dxa"/>
            <w:tcBorders>
              <w:left w:val="single" w:sz="18"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5.753</w:t>
            </w:r>
          </w:p>
        </w:tc>
        <w:tc>
          <w:tcPr>
            <w:tcW w:w="551" w:type="dxa"/>
            <w:tcBorders>
              <w:left w:val="single" w:sz="4"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7</w:t>
            </w:r>
          </w:p>
        </w:tc>
        <w:tc>
          <w:tcPr>
            <w:tcW w:w="1331" w:type="dxa"/>
            <w:tcBorders>
              <w:left w:val="single" w:sz="4"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20.378.750</w:t>
            </w:r>
          </w:p>
        </w:tc>
        <w:tc>
          <w:tcPr>
            <w:tcW w:w="551" w:type="dxa"/>
            <w:tcBorders>
              <w:left w:val="single" w:sz="4" w:space="0" w:color="auto"/>
              <w:bottom w:val="single" w:sz="18"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8</w:t>
            </w:r>
          </w:p>
        </w:tc>
        <w:tc>
          <w:tcPr>
            <w:tcW w:w="923" w:type="dxa"/>
            <w:tcBorders>
              <w:left w:val="single" w:sz="18" w:space="0" w:color="auto"/>
              <w:bottom w:val="single" w:sz="18" w:space="0" w:color="auto"/>
            </w:tcBorders>
            <w:vAlign w:val="center"/>
          </w:tcPr>
          <w:p w:rsidR="00CC5B2E" w:rsidRPr="008A275E" w:rsidRDefault="00CC5B2E" w:rsidP="000229D1">
            <w:pPr>
              <w:jc w:val="center"/>
              <w:rPr>
                <w:rFonts w:ascii="Times New Roman" w:hAnsi="Times New Roman" w:cs="Times New Roman"/>
                <w:sz w:val="20"/>
                <w:szCs w:val="20"/>
              </w:rPr>
            </w:pPr>
            <w:r>
              <w:rPr>
                <w:rFonts w:ascii="Times New Roman" w:hAnsi="Times New Roman" w:cs="Times New Roman"/>
                <w:sz w:val="20"/>
                <w:szCs w:val="20"/>
              </w:rPr>
              <w:t>3.291</w:t>
            </w:r>
          </w:p>
        </w:tc>
        <w:tc>
          <w:tcPr>
            <w:tcW w:w="516" w:type="dxa"/>
            <w:tcBorders>
              <w:bottom w:val="single" w:sz="18" w:space="0" w:color="auto"/>
            </w:tcBorders>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w:t>
            </w:r>
          </w:p>
        </w:tc>
        <w:tc>
          <w:tcPr>
            <w:tcW w:w="1216" w:type="dxa"/>
            <w:tcBorders>
              <w:bottom w:val="single" w:sz="18" w:space="0" w:color="auto"/>
            </w:tcBorders>
            <w:vAlign w:val="center"/>
          </w:tcPr>
          <w:p w:rsidR="00CC5B2E" w:rsidRPr="0036162D" w:rsidRDefault="00CC5B2E" w:rsidP="000229D1">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11.459.601</w:t>
            </w:r>
          </w:p>
        </w:tc>
        <w:tc>
          <w:tcPr>
            <w:tcW w:w="516" w:type="dxa"/>
            <w:tcBorders>
              <w:bottom w:val="single" w:sz="18" w:space="0" w:color="auto"/>
              <w:right w:val="single" w:sz="18" w:space="0" w:color="auto"/>
            </w:tcBorders>
            <w:vAlign w:val="center"/>
          </w:tcPr>
          <w:p w:rsidR="00CC5B2E" w:rsidRPr="00571569"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923" w:type="dxa"/>
            <w:tcBorders>
              <w:left w:val="single" w:sz="18" w:space="0" w:color="auto"/>
              <w:bottom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2.462</w:t>
            </w:r>
          </w:p>
        </w:tc>
        <w:tc>
          <w:tcPr>
            <w:tcW w:w="516" w:type="dxa"/>
            <w:tcBorders>
              <w:bottom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6</w:t>
            </w:r>
          </w:p>
        </w:tc>
        <w:tc>
          <w:tcPr>
            <w:tcW w:w="1216" w:type="dxa"/>
            <w:tcBorders>
              <w:bottom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8.919.149</w:t>
            </w:r>
          </w:p>
        </w:tc>
        <w:tc>
          <w:tcPr>
            <w:tcW w:w="516" w:type="dxa"/>
            <w:tcBorders>
              <w:bottom w:val="single" w:sz="18" w:space="0" w:color="auto"/>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7</w:t>
            </w:r>
          </w:p>
        </w:tc>
      </w:tr>
      <w:tr w:rsidR="00CC5B2E" w:rsidRPr="002026DB" w:rsidTr="0074358D">
        <w:tblPrEx>
          <w:tblLook w:val="04A0" w:firstRow="1" w:lastRow="0" w:firstColumn="1" w:lastColumn="0" w:noHBand="0" w:noVBand="1"/>
        </w:tblPrEx>
        <w:trPr>
          <w:jc w:val="center"/>
        </w:trPr>
        <w:tc>
          <w:tcPr>
            <w:tcW w:w="1276" w:type="dxa"/>
            <w:tcBorders>
              <w:top w:val="single" w:sz="18" w:space="0" w:color="auto"/>
              <w:left w:val="single" w:sz="18" w:space="0" w:color="auto"/>
              <w:bottom w:val="single" w:sz="18" w:space="0" w:color="auto"/>
              <w:right w:val="single" w:sz="18" w:space="0" w:color="auto"/>
            </w:tcBorders>
            <w:vAlign w:val="center"/>
          </w:tcPr>
          <w:p w:rsidR="00CC5B2E" w:rsidRPr="00A07ECD" w:rsidRDefault="00CC5B2E" w:rsidP="000229D1">
            <w:pPr>
              <w:jc w:val="center"/>
              <w:rPr>
                <w:rFonts w:ascii="Times New Roman" w:hAnsi="Times New Roman" w:cs="Times New Roman"/>
                <w:b/>
                <w:sz w:val="20"/>
                <w:szCs w:val="20"/>
              </w:rPr>
            </w:pPr>
            <w:r w:rsidRPr="00A07ECD">
              <w:rPr>
                <w:rFonts w:ascii="Times New Roman" w:hAnsi="Times New Roman" w:cs="Times New Roman"/>
                <w:b/>
                <w:sz w:val="20"/>
                <w:szCs w:val="20"/>
              </w:rPr>
              <w:t>Укупно</w:t>
            </w:r>
          </w:p>
        </w:tc>
        <w:tc>
          <w:tcPr>
            <w:tcW w:w="923" w:type="dxa"/>
            <w:tcBorders>
              <w:top w:val="single" w:sz="18" w:space="0" w:color="auto"/>
              <w:left w:val="single" w:sz="18"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83.121</w:t>
            </w:r>
          </w:p>
        </w:tc>
        <w:tc>
          <w:tcPr>
            <w:tcW w:w="551" w:type="dxa"/>
            <w:tcBorders>
              <w:top w:val="single" w:sz="18" w:space="0" w:color="auto"/>
              <w:left w:val="single" w:sz="4"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100</w:t>
            </w:r>
          </w:p>
        </w:tc>
        <w:tc>
          <w:tcPr>
            <w:tcW w:w="1331" w:type="dxa"/>
            <w:tcBorders>
              <w:top w:val="single" w:sz="18" w:space="0" w:color="auto"/>
              <w:left w:val="single" w:sz="4" w:space="0" w:color="auto"/>
              <w:bottom w:val="single" w:sz="18" w:space="0" w:color="auto"/>
              <w:right w:val="single" w:sz="4"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262.938.735</w:t>
            </w:r>
          </w:p>
        </w:tc>
        <w:tc>
          <w:tcPr>
            <w:tcW w:w="551" w:type="dxa"/>
            <w:tcBorders>
              <w:top w:val="single" w:sz="18" w:space="0" w:color="auto"/>
              <w:left w:val="single" w:sz="4" w:space="0" w:color="auto"/>
              <w:bottom w:val="single" w:sz="18" w:space="0" w:color="auto"/>
              <w:right w:val="single" w:sz="18" w:space="0" w:color="auto"/>
            </w:tcBorders>
            <w:vAlign w:val="center"/>
          </w:tcPr>
          <w:p w:rsidR="00CC5B2E" w:rsidRDefault="00CC5B2E" w:rsidP="000229D1">
            <w:pPr>
              <w:jc w:val="center"/>
              <w:rPr>
                <w:rFonts w:ascii="Calibri" w:hAnsi="Calibri" w:cs="Calibri"/>
                <w:color w:val="000000"/>
              </w:rPr>
            </w:pPr>
            <w:r>
              <w:rPr>
                <w:rFonts w:ascii="Calibri" w:hAnsi="Calibri" w:cs="Calibri"/>
                <w:color w:val="000000"/>
              </w:rPr>
              <w:t>100</w:t>
            </w:r>
          </w:p>
        </w:tc>
        <w:tc>
          <w:tcPr>
            <w:tcW w:w="923" w:type="dxa"/>
            <w:tcBorders>
              <w:top w:val="single" w:sz="18" w:space="0" w:color="auto"/>
              <w:left w:val="single" w:sz="18" w:space="0" w:color="auto"/>
              <w:bottom w:val="single" w:sz="18" w:space="0" w:color="auto"/>
            </w:tcBorders>
            <w:vAlign w:val="center"/>
          </w:tcPr>
          <w:p w:rsidR="00CC5B2E" w:rsidRPr="00330945" w:rsidRDefault="00CC5B2E" w:rsidP="000229D1">
            <w:pPr>
              <w:jc w:val="center"/>
              <w:rPr>
                <w:rFonts w:ascii="Times New Roman" w:hAnsi="Times New Roman" w:cs="Times New Roman"/>
                <w:sz w:val="20"/>
                <w:szCs w:val="20"/>
              </w:rPr>
            </w:pPr>
            <w:r w:rsidRPr="00330945">
              <w:rPr>
                <w:rFonts w:ascii="Times New Roman" w:hAnsi="Times New Roman" w:cs="Times New Roman"/>
                <w:sz w:val="20"/>
                <w:szCs w:val="20"/>
              </w:rPr>
              <w:t>45.131</w:t>
            </w:r>
          </w:p>
        </w:tc>
        <w:tc>
          <w:tcPr>
            <w:tcW w:w="516" w:type="dxa"/>
            <w:tcBorders>
              <w:top w:val="single" w:sz="18" w:space="0" w:color="auto"/>
              <w:bottom w:val="single" w:sz="18" w:space="0" w:color="auto"/>
            </w:tcBorders>
            <w:vAlign w:val="center"/>
          </w:tcPr>
          <w:p w:rsidR="00CC5B2E" w:rsidRPr="00330945" w:rsidRDefault="00CC5B2E" w:rsidP="000229D1">
            <w:pPr>
              <w:jc w:val="center"/>
              <w:rPr>
                <w:rFonts w:ascii="Times New Roman" w:hAnsi="Times New Roman" w:cs="Times New Roman"/>
                <w:color w:val="000000"/>
                <w:sz w:val="20"/>
                <w:szCs w:val="20"/>
              </w:rPr>
            </w:pPr>
            <w:r w:rsidRPr="00330945">
              <w:rPr>
                <w:rFonts w:ascii="Times New Roman" w:hAnsi="Times New Roman" w:cs="Times New Roman"/>
                <w:color w:val="000000"/>
                <w:sz w:val="20"/>
                <w:szCs w:val="20"/>
              </w:rPr>
              <w:t>100</w:t>
            </w:r>
          </w:p>
        </w:tc>
        <w:tc>
          <w:tcPr>
            <w:tcW w:w="1216" w:type="dxa"/>
            <w:tcBorders>
              <w:top w:val="single" w:sz="18" w:space="0" w:color="auto"/>
              <w:bottom w:val="single" w:sz="18" w:space="0" w:color="auto"/>
            </w:tcBorders>
            <w:vAlign w:val="center"/>
          </w:tcPr>
          <w:p w:rsidR="00CC5B2E" w:rsidRPr="00330945" w:rsidRDefault="00CC5B2E" w:rsidP="000229D1">
            <w:pPr>
              <w:jc w:val="center"/>
              <w:rPr>
                <w:rFonts w:ascii="Times New Roman" w:hAnsi="Times New Roman" w:cs="Times New Roman"/>
                <w:color w:val="000000"/>
                <w:sz w:val="20"/>
                <w:szCs w:val="20"/>
              </w:rPr>
            </w:pPr>
            <w:r w:rsidRPr="00330945">
              <w:rPr>
                <w:rFonts w:ascii="Times New Roman" w:hAnsi="Times New Roman" w:cs="Times New Roman"/>
                <w:color w:val="000000"/>
                <w:sz w:val="20"/>
                <w:szCs w:val="20"/>
              </w:rPr>
              <w:t>139.612.655</w:t>
            </w:r>
          </w:p>
        </w:tc>
        <w:tc>
          <w:tcPr>
            <w:tcW w:w="516" w:type="dxa"/>
            <w:tcBorders>
              <w:top w:val="single" w:sz="18" w:space="0" w:color="auto"/>
              <w:bottom w:val="single" w:sz="18" w:space="0" w:color="auto"/>
              <w:right w:val="single" w:sz="18" w:space="0" w:color="auto"/>
            </w:tcBorders>
            <w:vAlign w:val="center"/>
          </w:tcPr>
          <w:p w:rsidR="00CC5B2E" w:rsidRPr="00330945" w:rsidRDefault="00CC5B2E" w:rsidP="000229D1">
            <w:pPr>
              <w:jc w:val="center"/>
              <w:rPr>
                <w:rFonts w:ascii="Times New Roman" w:hAnsi="Times New Roman" w:cs="Times New Roman"/>
                <w:color w:val="000000"/>
                <w:sz w:val="20"/>
                <w:szCs w:val="20"/>
              </w:rPr>
            </w:pPr>
            <w:r w:rsidRPr="00330945">
              <w:rPr>
                <w:rFonts w:ascii="Times New Roman" w:hAnsi="Times New Roman" w:cs="Times New Roman"/>
                <w:color w:val="000000"/>
                <w:sz w:val="20"/>
                <w:szCs w:val="20"/>
              </w:rPr>
              <w:t>100</w:t>
            </w:r>
          </w:p>
        </w:tc>
        <w:tc>
          <w:tcPr>
            <w:tcW w:w="923" w:type="dxa"/>
            <w:tcBorders>
              <w:top w:val="single" w:sz="18" w:space="0" w:color="auto"/>
              <w:left w:val="single" w:sz="18" w:space="0" w:color="auto"/>
              <w:bottom w:val="single" w:sz="18" w:space="0" w:color="auto"/>
            </w:tcBorders>
            <w:vAlign w:val="center"/>
          </w:tcPr>
          <w:p w:rsidR="00CC5B2E" w:rsidRPr="00330945"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37.990</w:t>
            </w:r>
          </w:p>
        </w:tc>
        <w:tc>
          <w:tcPr>
            <w:tcW w:w="516" w:type="dxa"/>
            <w:tcBorders>
              <w:top w:val="single" w:sz="18" w:space="0" w:color="auto"/>
              <w:bottom w:val="single" w:sz="18" w:space="0" w:color="auto"/>
            </w:tcBorders>
            <w:vAlign w:val="center"/>
          </w:tcPr>
          <w:p w:rsidR="00CC5B2E" w:rsidRPr="00705D19" w:rsidRDefault="00CC5B2E" w:rsidP="000229D1">
            <w:pPr>
              <w:jc w:val="center"/>
              <w:rPr>
                <w:rFonts w:ascii="Times New Roman" w:hAnsi="Times New Roman" w:cs="Times New Roman"/>
                <w:color w:val="000000"/>
                <w:sz w:val="20"/>
                <w:szCs w:val="20"/>
              </w:rPr>
            </w:pPr>
            <w:r w:rsidRPr="00705D19">
              <w:rPr>
                <w:rFonts w:ascii="Times New Roman" w:hAnsi="Times New Roman" w:cs="Times New Roman"/>
                <w:color w:val="000000"/>
                <w:sz w:val="20"/>
                <w:szCs w:val="20"/>
              </w:rPr>
              <w:t>100</w:t>
            </w:r>
          </w:p>
        </w:tc>
        <w:tc>
          <w:tcPr>
            <w:tcW w:w="1216" w:type="dxa"/>
            <w:tcBorders>
              <w:top w:val="single" w:sz="18" w:space="0" w:color="auto"/>
              <w:bottom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Pr>
                <w:rFonts w:ascii="Times New Roman" w:hAnsi="Times New Roman" w:cs="Times New Roman"/>
                <w:color w:val="000000"/>
                <w:sz w:val="20"/>
                <w:szCs w:val="20"/>
              </w:rPr>
              <w:t>123.326.080</w:t>
            </w:r>
          </w:p>
        </w:tc>
        <w:tc>
          <w:tcPr>
            <w:tcW w:w="516" w:type="dxa"/>
            <w:tcBorders>
              <w:top w:val="single" w:sz="18" w:space="0" w:color="auto"/>
              <w:bottom w:val="single" w:sz="18" w:space="0" w:color="auto"/>
              <w:right w:val="single" w:sz="18" w:space="0" w:color="auto"/>
            </w:tcBorders>
            <w:vAlign w:val="center"/>
          </w:tcPr>
          <w:p w:rsidR="00CC5B2E" w:rsidRPr="00A70A6B" w:rsidRDefault="00CC5B2E" w:rsidP="000229D1">
            <w:pPr>
              <w:jc w:val="center"/>
              <w:rPr>
                <w:rFonts w:ascii="Times New Roman" w:hAnsi="Times New Roman" w:cs="Times New Roman"/>
                <w:color w:val="000000"/>
                <w:sz w:val="20"/>
                <w:szCs w:val="20"/>
              </w:rPr>
            </w:pPr>
            <w:r w:rsidRPr="00A70A6B">
              <w:rPr>
                <w:rFonts w:ascii="Times New Roman" w:hAnsi="Times New Roman" w:cs="Times New Roman"/>
                <w:color w:val="000000"/>
                <w:sz w:val="20"/>
                <w:szCs w:val="20"/>
              </w:rPr>
              <w:t>100</w:t>
            </w:r>
          </w:p>
        </w:tc>
      </w:tr>
    </w:tbl>
    <w:p w:rsidR="008563CB" w:rsidRPr="009D7B1C" w:rsidRDefault="00BE14E5" w:rsidP="00BE14E5">
      <w:pPr>
        <w:rPr>
          <w:rFonts w:ascii="Times New Roman" w:hAnsi="Times New Roman" w:cs="Times New Roman"/>
          <w:lang w:val="sr-Cyrl-RS"/>
        </w:rPr>
      </w:pPr>
      <w:r w:rsidRPr="00BE14E5">
        <w:rPr>
          <w:rFonts w:ascii="Times New Roman" w:hAnsi="Times New Roman" w:cs="Times New Roman"/>
        </w:rPr>
        <w:t>*вредности су изражене у хиљадама динара</w:t>
      </w:r>
    </w:p>
    <w:p w:rsidR="00EE0519" w:rsidRPr="00252D71" w:rsidRDefault="009B3038" w:rsidP="00252D71">
      <w:pPr>
        <w:jc w:val="both"/>
        <w:rPr>
          <w:rFonts w:ascii="Times New Roman" w:hAnsi="Times New Roman" w:cs="Times New Roman"/>
        </w:rPr>
      </w:pPr>
      <w:r>
        <w:rPr>
          <w:rFonts w:ascii="Times New Roman" w:hAnsi="Times New Roman" w:cs="Times New Roman"/>
          <w:sz w:val="24"/>
          <w:szCs w:val="24"/>
        </w:rPr>
        <w:t xml:space="preserve">Сагледавање структуре јавних набавки </w:t>
      </w:r>
      <w:r w:rsidR="00991EB8">
        <w:rPr>
          <w:rFonts w:ascii="Times New Roman" w:hAnsi="Times New Roman" w:cs="Times New Roman"/>
          <w:sz w:val="24"/>
          <w:szCs w:val="24"/>
        </w:rPr>
        <w:t xml:space="preserve">по категоријама наручилаца </w:t>
      </w:r>
      <w:r>
        <w:rPr>
          <w:rFonts w:ascii="Times New Roman" w:hAnsi="Times New Roman" w:cs="Times New Roman"/>
          <w:sz w:val="24"/>
          <w:szCs w:val="24"/>
        </w:rPr>
        <w:t xml:space="preserve">је </w:t>
      </w:r>
      <w:r w:rsidR="00991EB8">
        <w:rPr>
          <w:rFonts w:ascii="Times New Roman" w:hAnsi="Times New Roman" w:cs="Times New Roman"/>
          <w:sz w:val="24"/>
          <w:szCs w:val="24"/>
        </w:rPr>
        <w:t xml:space="preserve">значајно </w:t>
      </w:r>
      <w:r>
        <w:rPr>
          <w:rFonts w:ascii="Times New Roman" w:hAnsi="Times New Roman" w:cs="Times New Roman"/>
          <w:sz w:val="24"/>
          <w:szCs w:val="24"/>
        </w:rPr>
        <w:t xml:space="preserve">јер указује на које </w:t>
      </w:r>
      <w:r w:rsidRPr="006B0D56">
        <w:rPr>
          <w:rFonts w:ascii="Times New Roman" w:hAnsi="Times New Roman" w:cs="Times New Roman"/>
          <w:sz w:val="24"/>
          <w:szCs w:val="24"/>
        </w:rPr>
        <w:t xml:space="preserve">категорије наручилаца треба обратити нарочиту пажњу </w:t>
      </w:r>
      <w:r>
        <w:rPr>
          <w:rFonts w:ascii="Times New Roman" w:hAnsi="Times New Roman" w:cs="Times New Roman"/>
          <w:sz w:val="24"/>
          <w:szCs w:val="24"/>
        </w:rPr>
        <w:t>у анализи</w:t>
      </w:r>
      <w:r w:rsidR="00991EB8">
        <w:rPr>
          <w:rFonts w:ascii="Times New Roman" w:hAnsi="Times New Roman" w:cs="Times New Roman"/>
          <w:sz w:val="24"/>
          <w:szCs w:val="24"/>
        </w:rPr>
        <w:t>; у 2013. то су била</w:t>
      </w:r>
      <w:r>
        <w:rPr>
          <w:rFonts w:ascii="Times New Roman" w:hAnsi="Times New Roman" w:cs="Times New Roman"/>
          <w:sz w:val="24"/>
          <w:szCs w:val="24"/>
        </w:rPr>
        <w:t xml:space="preserve"> </w:t>
      </w:r>
      <w:r w:rsidRPr="006B0D56">
        <w:rPr>
          <w:rFonts w:ascii="Times New Roman" w:hAnsi="Times New Roman" w:cs="Times New Roman"/>
          <w:sz w:val="24"/>
          <w:szCs w:val="24"/>
        </w:rPr>
        <w:t>јавна предузећа</w:t>
      </w:r>
      <w:r w:rsidR="00991EB8">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rPr>
        <w:lastRenderedPageBreak/>
        <w:t>јавна комунална предузећа</w:t>
      </w:r>
      <w:r w:rsidR="00991EB8">
        <w:rPr>
          <w:rFonts w:ascii="Times New Roman" w:hAnsi="Times New Roman" w:cs="Times New Roman"/>
          <w:sz w:val="24"/>
          <w:szCs w:val="24"/>
        </w:rPr>
        <w:t xml:space="preserve">. Следећи важан корак је утврдити </w:t>
      </w:r>
      <w:r w:rsidRPr="006B0D56">
        <w:rPr>
          <w:rFonts w:ascii="Times New Roman" w:hAnsi="Times New Roman" w:cs="Times New Roman"/>
          <w:sz w:val="24"/>
          <w:szCs w:val="24"/>
        </w:rPr>
        <w:t xml:space="preserve">у којим поступцима </w:t>
      </w:r>
      <w:r w:rsidR="00991EB8">
        <w:rPr>
          <w:rFonts w:ascii="Times New Roman" w:hAnsi="Times New Roman" w:cs="Times New Roman"/>
          <w:sz w:val="24"/>
          <w:szCs w:val="24"/>
        </w:rPr>
        <w:t xml:space="preserve">су </w:t>
      </w:r>
      <w:r w:rsidRPr="006B0D56">
        <w:rPr>
          <w:rFonts w:ascii="Times New Roman" w:hAnsi="Times New Roman" w:cs="Times New Roman"/>
          <w:sz w:val="24"/>
          <w:szCs w:val="24"/>
        </w:rPr>
        <w:t>закључ</w:t>
      </w:r>
      <w:r w:rsidR="00991EB8">
        <w:rPr>
          <w:rFonts w:ascii="Times New Roman" w:hAnsi="Times New Roman" w:cs="Times New Roman"/>
          <w:sz w:val="24"/>
          <w:szCs w:val="24"/>
        </w:rPr>
        <w:t xml:space="preserve">ивани </w:t>
      </w:r>
      <w:r w:rsidRPr="006B0D56">
        <w:rPr>
          <w:rFonts w:ascii="Times New Roman" w:hAnsi="Times New Roman" w:cs="Times New Roman"/>
          <w:sz w:val="24"/>
          <w:szCs w:val="24"/>
        </w:rPr>
        <w:t>уговор</w:t>
      </w:r>
      <w:r w:rsidR="00991EB8">
        <w:rPr>
          <w:rFonts w:ascii="Times New Roman" w:hAnsi="Times New Roman" w:cs="Times New Roman"/>
          <w:sz w:val="24"/>
          <w:szCs w:val="24"/>
        </w:rPr>
        <w:t>и</w:t>
      </w:r>
      <w:r w:rsidRPr="006B0D56">
        <w:rPr>
          <w:rFonts w:ascii="Times New Roman" w:hAnsi="Times New Roman" w:cs="Times New Roman"/>
          <w:sz w:val="24"/>
          <w:szCs w:val="24"/>
        </w:rPr>
        <w:t xml:space="preserve"> о јавним набавкама. </w:t>
      </w:r>
    </w:p>
    <w:p w:rsidR="009965E9" w:rsidRPr="00D12F10" w:rsidRDefault="009965E9" w:rsidP="00D12F10">
      <w:pPr>
        <w:pStyle w:val="ListParagraph"/>
        <w:numPr>
          <w:ilvl w:val="0"/>
          <w:numId w:val="2"/>
        </w:numPr>
        <w:rPr>
          <w:rFonts w:ascii="Times New Roman" w:hAnsi="Times New Roman" w:cs="Times New Roman"/>
          <w:b/>
          <w:sz w:val="24"/>
          <w:szCs w:val="24"/>
        </w:rPr>
      </w:pPr>
      <w:r w:rsidRPr="00D12F10">
        <w:rPr>
          <w:rFonts w:ascii="Times New Roman" w:hAnsi="Times New Roman" w:cs="Times New Roman"/>
          <w:b/>
          <w:sz w:val="24"/>
          <w:szCs w:val="24"/>
        </w:rPr>
        <w:t>НАБАВКЕ ПО ВРСТАМА ПОСТУПАКА</w:t>
      </w:r>
    </w:p>
    <w:p w:rsidR="00D50094" w:rsidRDefault="00C972BC"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најзначајнијих показатеља функционисања система јавних набавки јесте у којим поступцима </w:t>
      </w:r>
      <w:r w:rsidR="00D50094">
        <w:rPr>
          <w:rFonts w:ascii="Times New Roman" w:hAnsi="Times New Roman" w:cs="Times New Roman"/>
          <w:sz w:val="24"/>
          <w:szCs w:val="24"/>
        </w:rPr>
        <w:t xml:space="preserve">се </w:t>
      </w:r>
      <w:r>
        <w:rPr>
          <w:rFonts w:ascii="Times New Roman" w:hAnsi="Times New Roman" w:cs="Times New Roman"/>
          <w:sz w:val="24"/>
          <w:szCs w:val="24"/>
        </w:rPr>
        <w:t xml:space="preserve">спроводе набавке: да ли преовлађују транспарентни и конкурентни </w:t>
      </w:r>
      <w:r w:rsidR="005440C4">
        <w:rPr>
          <w:rFonts w:ascii="Times New Roman" w:hAnsi="Times New Roman" w:cs="Times New Roman"/>
          <w:sz w:val="24"/>
          <w:szCs w:val="24"/>
        </w:rPr>
        <w:t xml:space="preserve">поступци (отворени и рестриктивни) или нетранспарентни и неконкурентни (преговарачки поступак без објављивања јавног позива). </w:t>
      </w:r>
      <w:r w:rsidR="00964F05">
        <w:rPr>
          <w:rFonts w:ascii="Times New Roman" w:hAnsi="Times New Roman" w:cs="Times New Roman"/>
          <w:sz w:val="24"/>
          <w:szCs w:val="24"/>
          <w:lang w:val="sr-Cyrl-RS"/>
        </w:rPr>
        <w:t>Закон</w:t>
      </w:r>
      <w:r w:rsidR="008E5975">
        <w:rPr>
          <w:rFonts w:ascii="Times New Roman" w:hAnsi="Times New Roman" w:cs="Times New Roman"/>
          <w:sz w:val="24"/>
          <w:szCs w:val="24"/>
        </w:rPr>
        <w:t xml:space="preserve"> у члану 10 који је посвећен начелу обезбеђивања конкуренције као једном од кључних начела јавних набавки изричито прописује да </w:t>
      </w:r>
      <w:r w:rsidR="006322C4">
        <w:rPr>
          <w:rFonts w:ascii="Times New Roman" w:hAnsi="Times New Roman" w:cs="Times New Roman"/>
          <w:sz w:val="24"/>
          <w:szCs w:val="24"/>
        </w:rPr>
        <w:t xml:space="preserve">наручилац не сме да ограничи конкуренцију неоправданом употребом преговарачког поступка. Стога је један од најзначајнијих показатеља примене начела јавних набавки и правилног спровођења </w:t>
      </w:r>
      <w:r w:rsidR="00D04601">
        <w:rPr>
          <w:rFonts w:ascii="Times New Roman" w:hAnsi="Times New Roman" w:cs="Times New Roman"/>
          <w:sz w:val="24"/>
          <w:szCs w:val="24"/>
        </w:rPr>
        <w:t xml:space="preserve">закона </w:t>
      </w:r>
      <w:r w:rsidR="006322C4">
        <w:rPr>
          <w:rFonts w:ascii="Times New Roman" w:hAnsi="Times New Roman" w:cs="Times New Roman"/>
          <w:sz w:val="24"/>
          <w:szCs w:val="24"/>
        </w:rPr>
        <w:t>који третира конкурентне поступке као правило</w:t>
      </w:r>
      <w:r w:rsidR="008E5975">
        <w:rPr>
          <w:rFonts w:ascii="Times New Roman" w:hAnsi="Times New Roman" w:cs="Times New Roman"/>
          <w:sz w:val="24"/>
          <w:szCs w:val="24"/>
        </w:rPr>
        <w:t xml:space="preserve">, </w:t>
      </w:r>
      <w:r w:rsidR="006322C4">
        <w:rPr>
          <w:rFonts w:ascii="Times New Roman" w:hAnsi="Times New Roman" w:cs="Times New Roman"/>
          <w:sz w:val="24"/>
          <w:szCs w:val="24"/>
        </w:rPr>
        <w:t xml:space="preserve">а преговарачке као изузетак предвиђен само за </w:t>
      </w:r>
      <w:r w:rsidR="005440C4">
        <w:rPr>
          <w:rFonts w:ascii="Times New Roman" w:hAnsi="Times New Roman" w:cs="Times New Roman"/>
          <w:sz w:val="24"/>
          <w:szCs w:val="24"/>
        </w:rPr>
        <w:t>изузетн</w:t>
      </w:r>
      <w:r w:rsidR="006322C4">
        <w:rPr>
          <w:rFonts w:ascii="Times New Roman" w:hAnsi="Times New Roman" w:cs="Times New Roman"/>
          <w:sz w:val="24"/>
          <w:szCs w:val="24"/>
        </w:rPr>
        <w:t>е</w:t>
      </w:r>
      <w:r w:rsidR="005440C4">
        <w:rPr>
          <w:rFonts w:ascii="Times New Roman" w:hAnsi="Times New Roman" w:cs="Times New Roman"/>
          <w:sz w:val="24"/>
          <w:szCs w:val="24"/>
        </w:rPr>
        <w:t xml:space="preserve"> случајев</w:t>
      </w:r>
      <w:r w:rsidR="006322C4">
        <w:rPr>
          <w:rFonts w:ascii="Times New Roman" w:hAnsi="Times New Roman" w:cs="Times New Roman"/>
          <w:sz w:val="24"/>
          <w:szCs w:val="24"/>
        </w:rPr>
        <w:t>е</w:t>
      </w:r>
      <w:r w:rsidR="005440C4">
        <w:rPr>
          <w:rFonts w:ascii="Times New Roman" w:hAnsi="Times New Roman" w:cs="Times New Roman"/>
          <w:sz w:val="24"/>
          <w:szCs w:val="24"/>
        </w:rPr>
        <w:t xml:space="preserve"> прописан</w:t>
      </w:r>
      <w:r w:rsidR="00964F05">
        <w:rPr>
          <w:rFonts w:ascii="Times New Roman" w:hAnsi="Times New Roman" w:cs="Times New Roman"/>
          <w:sz w:val="24"/>
          <w:szCs w:val="24"/>
          <w:lang w:val="sr-Cyrl-RS"/>
        </w:rPr>
        <w:t>е</w:t>
      </w:r>
      <w:r w:rsidR="005440C4">
        <w:rPr>
          <w:rFonts w:ascii="Times New Roman" w:hAnsi="Times New Roman" w:cs="Times New Roman"/>
          <w:sz w:val="24"/>
          <w:szCs w:val="24"/>
        </w:rPr>
        <w:t xml:space="preserve"> законом, </w:t>
      </w:r>
      <w:r w:rsidR="006322C4">
        <w:rPr>
          <w:rFonts w:ascii="Times New Roman" w:hAnsi="Times New Roman" w:cs="Times New Roman"/>
          <w:sz w:val="24"/>
          <w:szCs w:val="24"/>
        </w:rPr>
        <w:t>удео једних и других поступака у укупној вредности јавних набавки. Висок удео преговарачког</w:t>
      </w:r>
      <w:r w:rsidR="00D50094">
        <w:rPr>
          <w:rFonts w:ascii="Times New Roman" w:hAnsi="Times New Roman" w:cs="Times New Roman"/>
          <w:sz w:val="24"/>
          <w:szCs w:val="24"/>
        </w:rPr>
        <w:t xml:space="preserve"> поступка </w:t>
      </w:r>
      <w:r w:rsidR="006322C4">
        <w:rPr>
          <w:rFonts w:ascii="Times New Roman" w:hAnsi="Times New Roman" w:cs="Times New Roman"/>
          <w:sz w:val="24"/>
          <w:szCs w:val="24"/>
        </w:rPr>
        <w:t>показатељ је непримењивања кључног начела јавних набавки</w:t>
      </w:r>
      <w:r w:rsidR="00D04601">
        <w:rPr>
          <w:rFonts w:ascii="Times New Roman" w:hAnsi="Times New Roman" w:cs="Times New Roman"/>
          <w:sz w:val="24"/>
          <w:szCs w:val="24"/>
        </w:rPr>
        <w:t xml:space="preserve"> и самим тим </w:t>
      </w:r>
      <w:r w:rsidR="00D50094">
        <w:rPr>
          <w:rFonts w:ascii="Times New Roman" w:hAnsi="Times New Roman" w:cs="Times New Roman"/>
          <w:sz w:val="24"/>
          <w:szCs w:val="24"/>
        </w:rPr>
        <w:t>неадекватн</w:t>
      </w:r>
      <w:r w:rsidR="00D04601">
        <w:rPr>
          <w:rFonts w:ascii="Times New Roman" w:hAnsi="Times New Roman" w:cs="Times New Roman"/>
          <w:sz w:val="24"/>
          <w:szCs w:val="24"/>
        </w:rPr>
        <w:t>е</w:t>
      </w:r>
      <w:r w:rsidR="00D50094">
        <w:rPr>
          <w:rFonts w:ascii="Times New Roman" w:hAnsi="Times New Roman" w:cs="Times New Roman"/>
          <w:sz w:val="24"/>
          <w:szCs w:val="24"/>
        </w:rPr>
        <w:t xml:space="preserve"> примен</w:t>
      </w:r>
      <w:r w:rsidR="00D04601">
        <w:rPr>
          <w:rFonts w:ascii="Times New Roman" w:hAnsi="Times New Roman" w:cs="Times New Roman"/>
          <w:sz w:val="24"/>
          <w:szCs w:val="24"/>
        </w:rPr>
        <w:t>е</w:t>
      </w:r>
      <w:r w:rsidR="00D50094">
        <w:rPr>
          <w:rFonts w:ascii="Times New Roman" w:hAnsi="Times New Roman" w:cs="Times New Roman"/>
          <w:sz w:val="24"/>
          <w:szCs w:val="24"/>
        </w:rPr>
        <w:t xml:space="preserve"> закона.  </w:t>
      </w:r>
    </w:p>
    <w:p w:rsidR="00D04601" w:rsidRDefault="00D50094" w:rsidP="007B4B66">
      <w:pPr>
        <w:jc w:val="both"/>
        <w:rPr>
          <w:rFonts w:ascii="Times New Roman" w:hAnsi="Times New Roman" w:cs="Times New Roman"/>
          <w:sz w:val="24"/>
          <w:szCs w:val="24"/>
        </w:rPr>
      </w:pPr>
      <w:r>
        <w:rPr>
          <w:rFonts w:ascii="Times New Roman" w:hAnsi="Times New Roman" w:cs="Times New Roman"/>
          <w:sz w:val="24"/>
          <w:szCs w:val="24"/>
        </w:rPr>
        <w:t xml:space="preserve">Системе јавних набавки </w:t>
      </w:r>
      <w:r w:rsidR="00BC5EEE">
        <w:rPr>
          <w:rFonts w:ascii="Times New Roman" w:hAnsi="Times New Roman" w:cs="Times New Roman"/>
          <w:sz w:val="24"/>
          <w:szCs w:val="24"/>
        </w:rPr>
        <w:t xml:space="preserve">који су </w:t>
      </w:r>
      <w:r>
        <w:rPr>
          <w:rFonts w:ascii="Times New Roman" w:hAnsi="Times New Roman" w:cs="Times New Roman"/>
          <w:sz w:val="24"/>
          <w:szCs w:val="24"/>
        </w:rPr>
        <w:t xml:space="preserve">на нижем нивоу развоја карактерише висок удео </w:t>
      </w:r>
      <w:r w:rsidR="005440C4">
        <w:rPr>
          <w:rFonts w:ascii="Times New Roman" w:hAnsi="Times New Roman" w:cs="Times New Roman"/>
          <w:sz w:val="24"/>
          <w:szCs w:val="24"/>
        </w:rPr>
        <w:t>преговарачк</w:t>
      </w:r>
      <w:r>
        <w:rPr>
          <w:rFonts w:ascii="Times New Roman" w:hAnsi="Times New Roman" w:cs="Times New Roman"/>
          <w:sz w:val="24"/>
          <w:szCs w:val="24"/>
        </w:rPr>
        <w:t>ог по</w:t>
      </w:r>
      <w:r w:rsidR="00BC5EEE">
        <w:rPr>
          <w:rFonts w:ascii="Times New Roman" w:hAnsi="Times New Roman" w:cs="Times New Roman"/>
          <w:sz w:val="24"/>
          <w:szCs w:val="24"/>
        </w:rPr>
        <w:t>с</w:t>
      </w:r>
      <w:r>
        <w:rPr>
          <w:rFonts w:ascii="Times New Roman" w:hAnsi="Times New Roman" w:cs="Times New Roman"/>
          <w:sz w:val="24"/>
          <w:szCs w:val="24"/>
        </w:rPr>
        <w:t>туп</w:t>
      </w:r>
      <w:r w:rsidR="00697808">
        <w:rPr>
          <w:rFonts w:ascii="Times New Roman" w:hAnsi="Times New Roman" w:cs="Times New Roman"/>
          <w:sz w:val="24"/>
          <w:szCs w:val="24"/>
        </w:rPr>
        <w:t>а</w:t>
      </w:r>
      <w:r w:rsidR="005440C4">
        <w:rPr>
          <w:rFonts w:ascii="Times New Roman" w:hAnsi="Times New Roman" w:cs="Times New Roman"/>
          <w:sz w:val="24"/>
          <w:szCs w:val="24"/>
        </w:rPr>
        <w:t>к</w:t>
      </w:r>
      <w:r>
        <w:rPr>
          <w:rFonts w:ascii="Times New Roman" w:hAnsi="Times New Roman" w:cs="Times New Roman"/>
          <w:sz w:val="24"/>
          <w:szCs w:val="24"/>
        </w:rPr>
        <w:t>а</w:t>
      </w:r>
      <w:r w:rsidR="0044645B">
        <w:rPr>
          <w:rFonts w:ascii="Times New Roman" w:hAnsi="Times New Roman" w:cs="Times New Roman"/>
          <w:sz w:val="24"/>
          <w:szCs w:val="24"/>
        </w:rPr>
        <w:t>,</w:t>
      </w:r>
      <w:r w:rsidR="006322C4">
        <w:rPr>
          <w:rFonts w:ascii="Times New Roman" w:hAnsi="Times New Roman" w:cs="Times New Roman"/>
          <w:sz w:val="24"/>
          <w:szCs w:val="24"/>
        </w:rPr>
        <w:t xml:space="preserve"> </w:t>
      </w:r>
      <w:r w:rsidR="00BC5EEE">
        <w:rPr>
          <w:rFonts w:ascii="Times New Roman" w:hAnsi="Times New Roman" w:cs="Times New Roman"/>
          <w:sz w:val="24"/>
          <w:szCs w:val="24"/>
        </w:rPr>
        <w:t>зато што га</w:t>
      </w:r>
      <w:r w:rsidR="005440C4">
        <w:rPr>
          <w:rFonts w:ascii="Times New Roman" w:hAnsi="Times New Roman" w:cs="Times New Roman"/>
          <w:sz w:val="24"/>
          <w:szCs w:val="24"/>
        </w:rPr>
        <w:t xml:space="preserve"> већина наручилаца</w:t>
      </w:r>
      <w:r w:rsidR="00D04601">
        <w:rPr>
          <w:rFonts w:ascii="Times New Roman" w:hAnsi="Times New Roman" w:cs="Times New Roman"/>
          <w:sz w:val="24"/>
          <w:szCs w:val="24"/>
        </w:rPr>
        <w:t xml:space="preserve"> </w:t>
      </w:r>
      <w:r w:rsidR="005440C4">
        <w:rPr>
          <w:rFonts w:ascii="Times New Roman" w:hAnsi="Times New Roman" w:cs="Times New Roman"/>
          <w:sz w:val="24"/>
          <w:szCs w:val="24"/>
        </w:rPr>
        <w:t>третира као прву опцију када се опредељује за поступак</w:t>
      </w:r>
      <w:r w:rsidR="00BC5EEE">
        <w:rPr>
          <w:rFonts w:ascii="Times New Roman" w:hAnsi="Times New Roman" w:cs="Times New Roman"/>
          <w:sz w:val="24"/>
          <w:szCs w:val="24"/>
        </w:rPr>
        <w:t xml:space="preserve"> јер желе да избегну</w:t>
      </w:r>
      <w:r w:rsidR="00EB3381">
        <w:rPr>
          <w:rFonts w:ascii="Times New Roman" w:hAnsi="Times New Roman" w:cs="Times New Roman"/>
          <w:sz w:val="24"/>
          <w:szCs w:val="24"/>
        </w:rPr>
        <w:t xml:space="preserve"> јавно оглашавање и конкуренцију.</w:t>
      </w:r>
      <w:r w:rsidR="005440C4">
        <w:rPr>
          <w:rFonts w:ascii="Times New Roman" w:hAnsi="Times New Roman" w:cs="Times New Roman"/>
          <w:sz w:val="24"/>
          <w:szCs w:val="24"/>
        </w:rPr>
        <w:t xml:space="preserve"> </w:t>
      </w:r>
      <w:r w:rsidR="00D04601">
        <w:rPr>
          <w:rFonts w:ascii="Times New Roman" w:hAnsi="Times New Roman" w:cs="Times New Roman"/>
          <w:sz w:val="24"/>
          <w:szCs w:val="24"/>
        </w:rPr>
        <w:t xml:space="preserve">Разлози су недовољно развијени системи контроле и санкционисања, као и низак ниво свести код наручилаца. </w:t>
      </w:r>
    </w:p>
    <w:p w:rsidR="005440C4" w:rsidRDefault="005440C4" w:rsidP="007B4B66">
      <w:pPr>
        <w:jc w:val="both"/>
        <w:rPr>
          <w:rFonts w:ascii="Times New Roman" w:hAnsi="Times New Roman" w:cs="Times New Roman"/>
          <w:sz w:val="24"/>
          <w:szCs w:val="24"/>
        </w:rPr>
      </w:pPr>
      <w:r>
        <w:rPr>
          <w:rFonts w:ascii="Times New Roman" w:hAnsi="Times New Roman" w:cs="Times New Roman"/>
          <w:sz w:val="24"/>
          <w:szCs w:val="24"/>
        </w:rPr>
        <w:t>Преговарачки поступак има читав низ пот</w:t>
      </w:r>
      <w:r w:rsidR="00697808">
        <w:rPr>
          <w:rFonts w:ascii="Times New Roman" w:hAnsi="Times New Roman" w:cs="Times New Roman"/>
          <w:sz w:val="24"/>
          <w:szCs w:val="24"/>
        </w:rPr>
        <w:t>е</w:t>
      </w:r>
      <w:r>
        <w:rPr>
          <w:rFonts w:ascii="Times New Roman" w:hAnsi="Times New Roman" w:cs="Times New Roman"/>
          <w:sz w:val="24"/>
          <w:szCs w:val="24"/>
        </w:rPr>
        <w:t>нцијално негативних ефеката од којих су најзначајнији</w:t>
      </w:r>
      <w:r w:rsidR="00867110">
        <w:rPr>
          <w:rFonts w:ascii="Times New Roman" w:hAnsi="Times New Roman" w:cs="Times New Roman"/>
          <w:sz w:val="24"/>
          <w:szCs w:val="24"/>
        </w:rPr>
        <w:t>:</w:t>
      </w:r>
      <w:r>
        <w:rPr>
          <w:rFonts w:ascii="Times New Roman" w:hAnsi="Times New Roman" w:cs="Times New Roman"/>
          <w:sz w:val="24"/>
          <w:szCs w:val="24"/>
        </w:rPr>
        <w:t xml:space="preserve"> ограничена конкуренција и повећани ризик од злоупотреба</w:t>
      </w:r>
      <w:r w:rsidR="00BC5EEE">
        <w:rPr>
          <w:rFonts w:ascii="Times New Roman" w:hAnsi="Times New Roman" w:cs="Times New Roman"/>
          <w:sz w:val="24"/>
          <w:szCs w:val="24"/>
        </w:rPr>
        <w:t>, па је стога и предвиђен само за изузетне случајеве.</w:t>
      </w:r>
      <w:r w:rsidR="00D04601">
        <w:rPr>
          <w:rFonts w:ascii="Times New Roman" w:hAnsi="Times New Roman" w:cs="Times New Roman"/>
          <w:sz w:val="24"/>
          <w:szCs w:val="24"/>
        </w:rPr>
        <w:t xml:space="preserve"> </w:t>
      </w:r>
      <w:r w:rsidR="00BC5EEE">
        <w:rPr>
          <w:rFonts w:ascii="Times New Roman" w:hAnsi="Times New Roman" w:cs="Times New Roman"/>
          <w:sz w:val="24"/>
          <w:szCs w:val="24"/>
        </w:rPr>
        <w:t xml:space="preserve">Отуда </w:t>
      </w:r>
      <w:r>
        <w:rPr>
          <w:rFonts w:ascii="Times New Roman" w:hAnsi="Times New Roman" w:cs="Times New Roman"/>
          <w:sz w:val="24"/>
          <w:szCs w:val="24"/>
        </w:rPr>
        <w:t>се заступљеност преговарачких поступака у земљама ЕУ креће о</w:t>
      </w:r>
      <w:r w:rsidR="00D04601">
        <w:rPr>
          <w:rFonts w:ascii="Times New Roman" w:hAnsi="Times New Roman" w:cs="Times New Roman"/>
          <w:sz w:val="24"/>
          <w:szCs w:val="24"/>
        </w:rPr>
        <w:t xml:space="preserve">д </w:t>
      </w:r>
      <w:r>
        <w:rPr>
          <w:rFonts w:ascii="Times New Roman" w:hAnsi="Times New Roman" w:cs="Times New Roman"/>
          <w:sz w:val="24"/>
          <w:szCs w:val="24"/>
        </w:rPr>
        <w:t>5</w:t>
      </w:r>
      <w:r w:rsidR="00D04601">
        <w:rPr>
          <w:rFonts w:ascii="Times New Roman" w:hAnsi="Times New Roman" w:cs="Times New Roman"/>
          <w:sz w:val="24"/>
          <w:szCs w:val="24"/>
        </w:rPr>
        <w:t>-7</w:t>
      </w:r>
      <w:r>
        <w:rPr>
          <w:rFonts w:ascii="Times New Roman" w:hAnsi="Times New Roman" w:cs="Times New Roman"/>
          <w:sz w:val="24"/>
          <w:szCs w:val="24"/>
        </w:rPr>
        <w:t xml:space="preserve">% у </w:t>
      </w:r>
      <w:r w:rsidR="00EB3381">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Pr>
          <w:rFonts w:ascii="Times New Roman" w:hAnsi="Times New Roman" w:cs="Times New Roman"/>
          <w:sz w:val="24"/>
          <w:szCs w:val="24"/>
        </w:rPr>
        <w:t xml:space="preserve">нивоа развоја </w:t>
      </w:r>
      <w:r w:rsidR="00EB3381">
        <w:rPr>
          <w:rFonts w:ascii="Times New Roman" w:hAnsi="Times New Roman" w:cs="Times New Roman"/>
          <w:sz w:val="24"/>
          <w:szCs w:val="24"/>
        </w:rPr>
        <w:t>система</w:t>
      </w:r>
      <w:r w:rsidR="00181494">
        <w:rPr>
          <w:rFonts w:ascii="Times New Roman" w:hAnsi="Times New Roman" w:cs="Times New Roman"/>
          <w:sz w:val="24"/>
          <w:szCs w:val="24"/>
        </w:rPr>
        <w:t xml:space="preserve"> јавних набавки и степена усклађености са ЕУ стандардима. </w:t>
      </w:r>
    </w:p>
    <w:p w:rsidR="009965E9" w:rsidRDefault="005440C4" w:rsidP="007B4B66">
      <w:pPr>
        <w:jc w:val="both"/>
        <w:rPr>
          <w:rFonts w:ascii="Times New Roman" w:hAnsi="Times New Roman" w:cs="Times New Roman"/>
          <w:sz w:val="24"/>
          <w:szCs w:val="24"/>
        </w:rPr>
      </w:pPr>
      <w:r>
        <w:rPr>
          <w:rFonts w:ascii="Times New Roman" w:hAnsi="Times New Roman" w:cs="Times New Roman"/>
          <w:sz w:val="24"/>
          <w:szCs w:val="24"/>
        </w:rPr>
        <w:t xml:space="preserve">Учешће </w:t>
      </w:r>
      <w:r w:rsidR="00816103">
        <w:rPr>
          <w:rFonts w:ascii="Times New Roman" w:hAnsi="Times New Roman" w:cs="Times New Roman"/>
          <w:sz w:val="24"/>
          <w:szCs w:val="24"/>
        </w:rPr>
        <w:t>свих врста поступака у вредности јавних набавки у Србији приказано је у Т</w:t>
      </w:r>
      <w:r w:rsidR="009965E9">
        <w:rPr>
          <w:rFonts w:ascii="Times New Roman" w:hAnsi="Times New Roman" w:cs="Times New Roman"/>
          <w:sz w:val="24"/>
          <w:szCs w:val="24"/>
        </w:rPr>
        <w:t xml:space="preserve">абели </w:t>
      </w:r>
      <w:r w:rsidR="00D04601">
        <w:rPr>
          <w:rFonts w:ascii="Times New Roman" w:hAnsi="Times New Roman" w:cs="Times New Roman"/>
          <w:sz w:val="24"/>
          <w:szCs w:val="24"/>
        </w:rPr>
        <w:t>4</w:t>
      </w:r>
      <w:r w:rsidR="00816103">
        <w:rPr>
          <w:rFonts w:ascii="Times New Roman" w:hAnsi="Times New Roman" w:cs="Times New Roman"/>
          <w:sz w:val="24"/>
          <w:szCs w:val="24"/>
        </w:rPr>
        <w:t xml:space="preserve">. </w:t>
      </w: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9A6BA3" w:rsidRDefault="009A6BA3" w:rsidP="009965E9">
      <w:pPr>
        <w:jc w:val="both"/>
        <w:rPr>
          <w:rFonts w:ascii="Times New Roman" w:hAnsi="Times New Roman" w:cs="Times New Roman"/>
          <w:b/>
          <w:color w:val="FF0000"/>
          <w:sz w:val="24"/>
          <w:szCs w:val="24"/>
        </w:rPr>
      </w:pPr>
    </w:p>
    <w:p w:rsidR="00E66903" w:rsidRDefault="00E66903" w:rsidP="009965E9">
      <w:pPr>
        <w:jc w:val="both"/>
        <w:rPr>
          <w:rFonts w:ascii="Times New Roman" w:hAnsi="Times New Roman" w:cs="Times New Roman"/>
          <w:b/>
          <w:color w:val="FF0000"/>
          <w:sz w:val="24"/>
          <w:szCs w:val="24"/>
        </w:rPr>
      </w:pPr>
    </w:p>
    <w:p w:rsidR="009965E9" w:rsidRPr="009A6BA3" w:rsidRDefault="009A6BA3" w:rsidP="009965E9">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C41DA4" w:rsidRPr="009A6BA3">
        <w:rPr>
          <w:rFonts w:ascii="Times New Roman" w:hAnsi="Times New Roman" w:cs="Times New Roman"/>
          <w:b/>
          <w:sz w:val="24"/>
          <w:szCs w:val="24"/>
        </w:rPr>
        <w:t>Табела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9"/>
        <w:gridCol w:w="1331"/>
        <w:gridCol w:w="1265"/>
        <w:gridCol w:w="1499"/>
        <w:gridCol w:w="1084"/>
        <w:gridCol w:w="1348"/>
        <w:gridCol w:w="1084"/>
      </w:tblGrid>
      <w:tr w:rsidR="00C73AB2" w:rsidRPr="002C47F0" w:rsidTr="00CC6537">
        <w:trPr>
          <w:trHeight w:val="734"/>
          <w:jc w:val="center"/>
        </w:trPr>
        <w:tc>
          <w:tcPr>
            <w:tcW w:w="10220" w:type="dxa"/>
            <w:gridSpan w:val="7"/>
            <w:tcBorders>
              <w:top w:val="single" w:sz="18" w:space="0" w:color="auto"/>
              <w:left w:val="single" w:sz="18" w:space="0" w:color="auto"/>
              <w:right w:val="single" w:sz="18" w:space="0" w:color="auto"/>
            </w:tcBorders>
          </w:tcPr>
          <w:p w:rsidR="00C73AB2" w:rsidRDefault="00C73AB2" w:rsidP="002C47F0">
            <w:pPr>
              <w:tabs>
                <w:tab w:val="left" w:pos="1885"/>
              </w:tabs>
              <w:spacing w:after="0" w:line="240" w:lineRule="auto"/>
              <w:jc w:val="center"/>
              <w:rPr>
                <w:rFonts w:ascii="Times New Roman" w:eastAsia="Times New Roman" w:hAnsi="Times New Roman" w:cs="Times New Roman"/>
                <w:b/>
                <w:color w:val="000000"/>
                <w:sz w:val="20"/>
                <w:szCs w:val="20"/>
              </w:rPr>
            </w:pPr>
          </w:p>
          <w:p w:rsidR="00443A88" w:rsidRPr="00443A88" w:rsidRDefault="00C73AB2" w:rsidP="002C47F0">
            <w:pPr>
              <w:tabs>
                <w:tab w:val="left" w:pos="1885"/>
              </w:tabs>
              <w:spacing w:after="0" w:line="240" w:lineRule="auto"/>
              <w:jc w:val="center"/>
              <w:rPr>
                <w:rFonts w:ascii="Times New Roman" w:eastAsia="Times New Roman" w:hAnsi="Times New Roman" w:cs="Times New Roman"/>
                <w:b/>
                <w:color w:val="000000"/>
                <w:sz w:val="24"/>
                <w:szCs w:val="24"/>
                <w:lang w:val="sr-Cyrl-RS"/>
              </w:rPr>
            </w:pPr>
            <w:r w:rsidRPr="00443A88">
              <w:rPr>
                <w:rFonts w:ascii="Times New Roman" w:eastAsia="Times New Roman" w:hAnsi="Times New Roman" w:cs="Times New Roman"/>
                <w:b/>
                <w:color w:val="000000"/>
                <w:sz w:val="24"/>
                <w:szCs w:val="24"/>
              </w:rPr>
              <w:t xml:space="preserve">Преглед вредносне структуре јавних набавки велике вредности по врстама поступака </w:t>
            </w:r>
          </w:p>
          <w:p w:rsidR="00C73AB2" w:rsidRPr="00443A88" w:rsidRDefault="00C73AB2" w:rsidP="002C47F0">
            <w:pPr>
              <w:tabs>
                <w:tab w:val="left" w:pos="1885"/>
              </w:tabs>
              <w:spacing w:after="0" w:line="240" w:lineRule="auto"/>
              <w:jc w:val="center"/>
              <w:rPr>
                <w:rFonts w:ascii="Times New Roman" w:eastAsia="Times New Roman" w:hAnsi="Times New Roman" w:cs="Times New Roman"/>
                <w:b/>
                <w:color w:val="000000"/>
                <w:sz w:val="24"/>
                <w:szCs w:val="24"/>
              </w:rPr>
            </w:pPr>
            <w:r w:rsidRPr="00443A88">
              <w:rPr>
                <w:rFonts w:ascii="Times New Roman" w:eastAsia="Times New Roman" w:hAnsi="Times New Roman" w:cs="Times New Roman"/>
                <w:b/>
                <w:color w:val="000000"/>
                <w:sz w:val="24"/>
                <w:szCs w:val="24"/>
              </w:rPr>
              <w:t>у 2013. г</w:t>
            </w:r>
            <w:r w:rsidR="0090623C" w:rsidRPr="00443A88">
              <w:rPr>
                <w:rFonts w:ascii="Times New Roman" w:eastAsia="Times New Roman" w:hAnsi="Times New Roman" w:cs="Times New Roman"/>
                <w:b/>
                <w:color w:val="000000"/>
                <w:sz w:val="24"/>
                <w:szCs w:val="24"/>
              </w:rPr>
              <w:t>одини</w:t>
            </w:r>
          </w:p>
          <w:p w:rsidR="00C73AB2" w:rsidRPr="002C47F0" w:rsidRDefault="00C73AB2" w:rsidP="002C47F0">
            <w:pPr>
              <w:tabs>
                <w:tab w:val="left" w:pos="1885"/>
              </w:tabs>
              <w:spacing w:after="0" w:line="240" w:lineRule="auto"/>
              <w:jc w:val="center"/>
              <w:rPr>
                <w:rFonts w:ascii="Times New Roman" w:eastAsia="Times New Roman" w:hAnsi="Times New Roman" w:cs="Times New Roman"/>
                <w:b/>
                <w:color w:val="000000"/>
                <w:sz w:val="20"/>
                <w:szCs w:val="20"/>
              </w:rPr>
            </w:pPr>
          </w:p>
        </w:tc>
      </w:tr>
      <w:tr w:rsidR="006243C3" w:rsidRPr="002C47F0" w:rsidTr="00C73AB2">
        <w:tblPrEx>
          <w:tblLook w:val="04A0" w:firstRow="1" w:lastRow="0" w:firstColumn="1" w:lastColumn="0" w:noHBand="0" w:noVBand="1"/>
        </w:tblPrEx>
        <w:trPr>
          <w:jc w:val="center"/>
        </w:trPr>
        <w:tc>
          <w:tcPr>
            <w:tcW w:w="2609" w:type="dxa"/>
            <w:tcBorders>
              <w:top w:val="single" w:sz="18" w:space="0" w:color="auto"/>
              <w:left w:val="single" w:sz="18" w:space="0" w:color="auto"/>
              <w:right w:val="single" w:sz="18" w:space="0" w:color="auto"/>
            </w:tcBorders>
            <w:shd w:val="clear" w:color="auto" w:fill="auto"/>
            <w:vAlign w:val="center"/>
          </w:tcPr>
          <w:p w:rsidR="006243C3" w:rsidRPr="002C47F0" w:rsidRDefault="006243C3" w:rsidP="002C47F0">
            <w:pPr>
              <w:tabs>
                <w:tab w:val="left" w:pos="1885"/>
              </w:tabs>
              <w:spacing w:after="0" w:line="240" w:lineRule="auto"/>
              <w:jc w:val="center"/>
              <w:rPr>
                <w:rFonts w:ascii="Times New Roman" w:eastAsia="Times New Roman" w:hAnsi="Times New Roman" w:cs="Times New Roman"/>
                <w:b/>
                <w:color w:val="000000"/>
                <w:sz w:val="20"/>
                <w:szCs w:val="20"/>
              </w:rPr>
            </w:pPr>
          </w:p>
          <w:p w:rsidR="006243C3" w:rsidRPr="002C47F0" w:rsidRDefault="006243C3"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Период</w:t>
            </w:r>
          </w:p>
        </w:tc>
        <w:tc>
          <w:tcPr>
            <w:tcW w:w="2596" w:type="dxa"/>
            <w:gridSpan w:val="2"/>
            <w:tcBorders>
              <w:top w:val="single" w:sz="18" w:space="0" w:color="auto"/>
              <w:left w:val="single" w:sz="18" w:space="0" w:color="auto"/>
              <w:right w:val="single" w:sz="18" w:space="0" w:color="auto"/>
            </w:tcBorders>
          </w:tcPr>
          <w:p w:rsidR="006243C3" w:rsidRDefault="006243C3" w:rsidP="002C47F0">
            <w:pPr>
              <w:tabs>
                <w:tab w:val="left" w:pos="1885"/>
              </w:tabs>
              <w:spacing w:after="0" w:line="240" w:lineRule="auto"/>
              <w:jc w:val="center"/>
              <w:rPr>
                <w:rFonts w:ascii="Times New Roman" w:eastAsia="Times New Roman" w:hAnsi="Times New Roman" w:cs="Times New Roman"/>
                <w:b/>
                <w:color w:val="000000"/>
                <w:sz w:val="20"/>
                <w:szCs w:val="20"/>
                <w:lang w:val="sr-Cyrl-CS"/>
              </w:rPr>
            </w:pPr>
          </w:p>
          <w:p w:rsidR="005C1F0A" w:rsidRPr="005C1F0A"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lang w:val="sr-Cyrl-CS"/>
              </w:rPr>
            </w:pPr>
            <w:r>
              <w:rPr>
                <w:rFonts w:ascii="Times New Roman" w:eastAsia="Times New Roman" w:hAnsi="Times New Roman" w:cs="Times New Roman"/>
                <w:b/>
                <w:color w:val="000000"/>
                <w:sz w:val="20"/>
                <w:szCs w:val="20"/>
                <w:lang w:val="sr-Cyrl-CS"/>
              </w:rPr>
              <w:t>2013. година</w:t>
            </w:r>
          </w:p>
        </w:tc>
        <w:tc>
          <w:tcPr>
            <w:tcW w:w="2583" w:type="dxa"/>
            <w:gridSpan w:val="2"/>
            <w:tcBorders>
              <w:top w:val="single" w:sz="18" w:space="0" w:color="auto"/>
              <w:left w:val="single" w:sz="18" w:space="0" w:color="auto"/>
              <w:right w:val="single" w:sz="18" w:space="0" w:color="auto"/>
            </w:tcBorders>
            <w:shd w:val="clear" w:color="auto" w:fill="auto"/>
            <w:vAlign w:val="center"/>
          </w:tcPr>
          <w:p w:rsidR="006243C3" w:rsidRPr="002C47F0" w:rsidRDefault="006243C3"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2013.</w:t>
            </w:r>
          </w:p>
          <w:p w:rsidR="006243C3" w:rsidRPr="002C47F0" w:rsidRDefault="001D703D" w:rsidP="001D703D">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П</w:t>
            </w:r>
            <w:r w:rsidR="006243C3" w:rsidRPr="002C47F0">
              <w:rPr>
                <w:rFonts w:ascii="Times New Roman" w:eastAsia="Times New Roman" w:hAnsi="Times New Roman" w:cs="Times New Roman"/>
                <w:b/>
                <w:color w:val="000000"/>
                <w:sz w:val="20"/>
                <w:szCs w:val="20"/>
              </w:rPr>
              <w:t>рв</w:t>
            </w:r>
            <w:r>
              <w:rPr>
                <w:rFonts w:ascii="Times New Roman" w:eastAsia="Times New Roman" w:hAnsi="Times New Roman" w:cs="Times New Roman"/>
                <w:b/>
                <w:color w:val="000000"/>
                <w:sz w:val="20"/>
                <w:szCs w:val="20"/>
              </w:rPr>
              <w:t xml:space="preserve">о </w:t>
            </w:r>
            <w:r w:rsidR="006243C3" w:rsidRPr="002C47F0">
              <w:rPr>
                <w:rFonts w:ascii="Times New Roman" w:eastAsia="Times New Roman" w:hAnsi="Times New Roman" w:cs="Times New Roman"/>
                <w:b/>
                <w:color w:val="000000"/>
                <w:sz w:val="20"/>
                <w:szCs w:val="20"/>
              </w:rPr>
              <w:t>полугође</w:t>
            </w:r>
          </w:p>
        </w:tc>
        <w:tc>
          <w:tcPr>
            <w:tcW w:w="2432" w:type="dxa"/>
            <w:gridSpan w:val="2"/>
            <w:tcBorders>
              <w:top w:val="single" w:sz="18" w:space="0" w:color="auto"/>
              <w:left w:val="single" w:sz="18" w:space="0" w:color="auto"/>
              <w:right w:val="single" w:sz="18" w:space="0" w:color="auto"/>
            </w:tcBorders>
            <w:shd w:val="clear" w:color="auto" w:fill="auto"/>
            <w:vAlign w:val="center"/>
          </w:tcPr>
          <w:p w:rsidR="006243C3" w:rsidRPr="002C47F0" w:rsidRDefault="006243C3"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2013.</w:t>
            </w:r>
          </w:p>
          <w:p w:rsidR="006243C3" w:rsidRPr="002C47F0" w:rsidRDefault="001D703D" w:rsidP="001D703D">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Д</w:t>
            </w:r>
            <w:r w:rsidR="006243C3" w:rsidRPr="002C47F0">
              <w:rPr>
                <w:rFonts w:ascii="Times New Roman" w:eastAsia="Times New Roman" w:hAnsi="Times New Roman" w:cs="Times New Roman"/>
                <w:b/>
                <w:color w:val="000000"/>
                <w:sz w:val="20"/>
                <w:szCs w:val="20"/>
              </w:rPr>
              <w:t>руг</w:t>
            </w:r>
            <w:r>
              <w:rPr>
                <w:rFonts w:ascii="Times New Roman" w:eastAsia="Times New Roman" w:hAnsi="Times New Roman" w:cs="Times New Roman"/>
                <w:b/>
                <w:color w:val="000000"/>
                <w:sz w:val="20"/>
                <w:szCs w:val="20"/>
              </w:rPr>
              <w:t xml:space="preserve">о </w:t>
            </w:r>
            <w:r w:rsidR="006243C3" w:rsidRPr="002C47F0">
              <w:rPr>
                <w:rFonts w:ascii="Times New Roman" w:eastAsia="Times New Roman" w:hAnsi="Times New Roman" w:cs="Times New Roman"/>
                <w:b/>
                <w:color w:val="000000"/>
                <w:sz w:val="20"/>
                <w:szCs w:val="20"/>
              </w:rPr>
              <w:t>полугође</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Врста поступка</w:t>
            </w:r>
          </w:p>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p>
        </w:tc>
        <w:tc>
          <w:tcPr>
            <w:tcW w:w="1331" w:type="dxa"/>
            <w:tcBorders>
              <w:left w:val="single" w:sz="18" w:space="0" w:color="auto"/>
              <w:right w:val="single" w:sz="4" w:space="0" w:color="auto"/>
            </w:tcBorders>
            <w:vAlign w:val="center"/>
          </w:tcPr>
          <w:p w:rsidR="005C1F0A" w:rsidRPr="002C47F0" w:rsidRDefault="005C1F0A" w:rsidP="002C1979">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Уговорена</w:t>
            </w:r>
          </w:p>
          <w:p w:rsidR="005C1F0A" w:rsidRPr="002C47F0" w:rsidRDefault="005C1F0A" w:rsidP="002C1979">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вредност у хиљадама</w:t>
            </w:r>
          </w:p>
          <w:p w:rsidR="005C1F0A" w:rsidRPr="002C47F0" w:rsidRDefault="005C1F0A" w:rsidP="002C1979">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динара</w:t>
            </w:r>
          </w:p>
        </w:tc>
        <w:tc>
          <w:tcPr>
            <w:tcW w:w="1265" w:type="dxa"/>
            <w:tcBorders>
              <w:left w:val="single" w:sz="4" w:space="0" w:color="auto"/>
              <w:right w:val="single" w:sz="18" w:space="0" w:color="auto"/>
            </w:tcBorders>
            <w:vAlign w:val="center"/>
          </w:tcPr>
          <w:p w:rsidR="005C1F0A" w:rsidRPr="002C47F0" w:rsidRDefault="005C1F0A" w:rsidP="002C1979">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w:t>
            </w:r>
          </w:p>
        </w:tc>
        <w:tc>
          <w:tcPr>
            <w:tcW w:w="1499" w:type="dxa"/>
            <w:tcBorders>
              <w:lef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Уговорена</w:t>
            </w:r>
          </w:p>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вредност у хиљадама</w:t>
            </w:r>
          </w:p>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динара</w:t>
            </w:r>
          </w:p>
        </w:tc>
        <w:tc>
          <w:tcPr>
            <w:tcW w:w="1084" w:type="dxa"/>
            <w:tcBorders>
              <w:righ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w:t>
            </w:r>
          </w:p>
        </w:tc>
        <w:tc>
          <w:tcPr>
            <w:tcW w:w="1348" w:type="dxa"/>
            <w:tcBorders>
              <w:lef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Уговорена</w:t>
            </w:r>
          </w:p>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вредност у хиљадама динара</w:t>
            </w:r>
          </w:p>
        </w:tc>
        <w:tc>
          <w:tcPr>
            <w:tcW w:w="1084" w:type="dxa"/>
            <w:tcBorders>
              <w:righ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Отворени поступак</w:t>
            </w:r>
          </w:p>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(зјн2008 + зјн2012)</w:t>
            </w:r>
          </w:p>
        </w:tc>
        <w:tc>
          <w:tcPr>
            <w:tcW w:w="1331" w:type="dxa"/>
            <w:tcBorders>
              <w:left w:val="single" w:sz="18" w:space="0" w:color="auto"/>
              <w:right w:val="single" w:sz="4" w:space="0" w:color="auto"/>
            </w:tcBorders>
            <w:vAlign w:val="center"/>
          </w:tcPr>
          <w:p w:rsidR="005C1F0A" w:rsidRPr="002C47F0" w:rsidRDefault="005736F0"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150.589.149</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66</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61.134.816</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54</w:t>
            </w:r>
          </w:p>
        </w:tc>
        <w:tc>
          <w:tcPr>
            <w:tcW w:w="1348" w:type="dxa"/>
            <w:tcBorders>
              <w:left w:val="single" w:sz="18" w:space="0" w:color="auto"/>
            </w:tcBorders>
            <w:shd w:val="clear" w:color="auto" w:fill="auto"/>
            <w:vAlign w:val="center"/>
          </w:tcPr>
          <w:p w:rsidR="005C1F0A" w:rsidRPr="002C47F0" w:rsidRDefault="005736F0" w:rsidP="002C47F0">
            <w:pPr>
              <w:spacing w:after="0" w:line="240" w:lineRule="auto"/>
              <w:jc w:val="center"/>
              <w:rPr>
                <w:rFonts w:ascii="Calibri" w:eastAsia="Times New Roman" w:hAnsi="Calibri" w:cs="Calibri"/>
                <w:color w:val="000000"/>
              </w:rPr>
            </w:pPr>
            <w:r>
              <w:rPr>
                <w:rFonts w:ascii="Calibri" w:eastAsia="Times New Roman" w:hAnsi="Calibri" w:cs="Calibri"/>
                <w:color w:val="000000"/>
              </w:rPr>
              <w:t>89.454.333</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79</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Рестриктивни поступак-зјн2008, квалификациони поступак-зјн2012</w:t>
            </w:r>
          </w:p>
        </w:tc>
        <w:tc>
          <w:tcPr>
            <w:tcW w:w="1331" w:type="dxa"/>
            <w:tcBorders>
              <w:left w:val="single" w:sz="18" w:space="0" w:color="auto"/>
              <w:right w:val="single" w:sz="4"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21.359.832</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9</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15.442.716</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1348"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5.917.116</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5</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Рестриктивни поступак-зјн2012</w:t>
            </w:r>
          </w:p>
        </w:tc>
        <w:tc>
          <w:tcPr>
            <w:tcW w:w="1331" w:type="dxa"/>
            <w:tcBorders>
              <w:left w:val="single" w:sz="18" w:space="0" w:color="auto"/>
              <w:right w:val="single" w:sz="4"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1.083.610</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458.701</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Pr>
                <w:rFonts w:ascii="Calibri" w:eastAsia="Times New Roman" w:hAnsi="Calibri" w:cs="Calibri"/>
                <w:color w:val="000000"/>
              </w:rPr>
              <w:t>0</w:t>
            </w:r>
          </w:p>
        </w:tc>
        <w:tc>
          <w:tcPr>
            <w:tcW w:w="1348"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624.909</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Преговарачки поступак без објављивања јавног позива(зјн2008+зјн2012)</w:t>
            </w:r>
          </w:p>
        </w:tc>
        <w:tc>
          <w:tcPr>
            <w:tcW w:w="1331" w:type="dxa"/>
            <w:tcBorders>
              <w:left w:val="single" w:sz="18" w:space="0" w:color="auto"/>
              <w:right w:val="single" w:sz="4"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39.218.199</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17</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26.805.367</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24</w:t>
            </w:r>
          </w:p>
        </w:tc>
        <w:tc>
          <w:tcPr>
            <w:tcW w:w="1348"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12.412.832</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11</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Преговарачки поступак са објављивањем јавног позива (зјн2008+зјн2012)</w:t>
            </w:r>
          </w:p>
        </w:tc>
        <w:tc>
          <w:tcPr>
            <w:tcW w:w="1331" w:type="dxa"/>
            <w:tcBorders>
              <w:left w:val="single" w:sz="18" w:space="0" w:color="auto"/>
              <w:right w:val="single" w:sz="4"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14.948.669</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9.862.901</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8</w:t>
            </w:r>
          </w:p>
        </w:tc>
        <w:tc>
          <w:tcPr>
            <w:tcW w:w="1348"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5.085.768</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4</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right w:val="single" w:sz="18" w:space="0" w:color="auto"/>
            </w:tcBorders>
            <w:shd w:val="clear" w:color="auto" w:fill="auto"/>
            <w:vAlign w:val="center"/>
          </w:tcPr>
          <w:p w:rsidR="005C1F0A" w:rsidRPr="002C47F0" w:rsidRDefault="005C1F0A" w:rsidP="002C47F0">
            <w:pPr>
              <w:tabs>
                <w:tab w:val="left" w:pos="3622"/>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Конкурс за дизајн (зјн2008+зјн2012)</w:t>
            </w:r>
          </w:p>
        </w:tc>
        <w:tc>
          <w:tcPr>
            <w:tcW w:w="1331" w:type="dxa"/>
            <w:tcBorders>
              <w:left w:val="single" w:sz="18" w:space="0" w:color="auto"/>
              <w:right w:val="single" w:sz="4"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7.699</w:t>
            </w:r>
          </w:p>
        </w:tc>
        <w:tc>
          <w:tcPr>
            <w:tcW w:w="1265" w:type="dxa"/>
            <w:tcBorders>
              <w:left w:val="single" w:sz="4"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0</w:t>
            </w:r>
          </w:p>
        </w:tc>
        <w:tc>
          <w:tcPr>
            <w:tcW w:w="1499"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6.999</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0</w:t>
            </w:r>
          </w:p>
        </w:tc>
        <w:tc>
          <w:tcPr>
            <w:tcW w:w="1348" w:type="dxa"/>
            <w:tcBorders>
              <w:lef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700</w:t>
            </w:r>
          </w:p>
        </w:tc>
        <w:tc>
          <w:tcPr>
            <w:tcW w:w="1084" w:type="dxa"/>
            <w:tcBorders>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0</w:t>
            </w:r>
          </w:p>
        </w:tc>
      </w:tr>
      <w:tr w:rsidR="005C1F0A" w:rsidRPr="002C47F0" w:rsidTr="00C73AB2">
        <w:tblPrEx>
          <w:tblLook w:val="04A0" w:firstRow="1" w:lastRow="0" w:firstColumn="1" w:lastColumn="0" w:noHBand="0" w:noVBand="1"/>
        </w:tblPrEx>
        <w:trPr>
          <w:jc w:val="center"/>
        </w:trPr>
        <w:tc>
          <w:tcPr>
            <w:tcW w:w="2609" w:type="dxa"/>
            <w:tcBorders>
              <w:left w:val="single" w:sz="18" w:space="0" w:color="auto"/>
              <w:bottom w:val="single" w:sz="18" w:space="0" w:color="auto"/>
              <w:right w:val="single" w:sz="18" w:space="0" w:color="auto"/>
            </w:tcBorders>
            <w:shd w:val="clear" w:color="auto" w:fill="auto"/>
            <w:vAlign w:val="center"/>
          </w:tcPr>
          <w:p w:rsidR="005C1F0A" w:rsidRPr="002C47F0" w:rsidRDefault="005C1F0A" w:rsidP="002C47F0">
            <w:pPr>
              <w:tabs>
                <w:tab w:val="left" w:pos="1885"/>
              </w:tabs>
              <w:spacing w:after="0" w:line="240" w:lineRule="auto"/>
              <w:jc w:val="center"/>
              <w:rPr>
                <w:rFonts w:ascii="Times New Roman" w:eastAsia="Times New Roman" w:hAnsi="Times New Roman" w:cs="Times New Roman"/>
                <w:b/>
                <w:color w:val="000000"/>
                <w:sz w:val="20"/>
                <w:szCs w:val="20"/>
              </w:rPr>
            </w:pPr>
            <w:r w:rsidRPr="002C47F0">
              <w:rPr>
                <w:rFonts w:ascii="Times New Roman" w:eastAsia="Times New Roman" w:hAnsi="Times New Roman" w:cs="Times New Roman"/>
                <w:b/>
                <w:color w:val="000000"/>
                <w:sz w:val="20"/>
                <w:szCs w:val="20"/>
              </w:rPr>
              <w:t>Укупно</w:t>
            </w:r>
          </w:p>
        </w:tc>
        <w:tc>
          <w:tcPr>
            <w:tcW w:w="1331" w:type="dxa"/>
            <w:tcBorders>
              <w:left w:val="single" w:sz="18" w:space="0" w:color="auto"/>
              <w:bottom w:val="single" w:sz="18" w:space="0" w:color="auto"/>
              <w:right w:val="single" w:sz="4" w:space="0" w:color="auto"/>
            </w:tcBorders>
            <w:vAlign w:val="center"/>
          </w:tcPr>
          <w:p w:rsidR="005C1F0A" w:rsidRPr="002C47F0" w:rsidRDefault="005736F0"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227.207.158</w:t>
            </w:r>
          </w:p>
        </w:tc>
        <w:tc>
          <w:tcPr>
            <w:tcW w:w="1265" w:type="dxa"/>
            <w:tcBorders>
              <w:left w:val="single" w:sz="4" w:space="0" w:color="auto"/>
              <w:bottom w:val="single" w:sz="18" w:space="0" w:color="auto"/>
              <w:right w:val="single" w:sz="18" w:space="0" w:color="auto"/>
            </w:tcBorders>
            <w:vAlign w:val="center"/>
          </w:tcPr>
          <w:p w:rsidR="005C1F0A" w:rsidRPr="002C47F0" w:rsidRDefault="005C1F0A" w:rsidP="005C1F0A">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1499" w:type="dxa"/>
            <w:tcBorders>
              <w:left w:val="single" w:sz="18" w:space="0" w:color="auto"/>
              <w:bottom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113.711.500</w:t>
            </w:r>
          </w:p>
        </w:tc>
        <w:tc>
          <w:tcPr>
            <w:tcW w:w="1084" w:type="dxa"/>
            <w:tcBorders>
              <w:bottom w:val="single" w:sz="18" w:space="0" w:color="auto"/>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100</w:t>
            </w:r>
          </w:p>
        </w:tc>
        <w:tc>
          <w:tcPr>
            <w:tcW w:w="1348" w:type="dxa"/>
            <w:tcBorders>
              <w:left w:val="single" w:sz="18" w:space="0" w:color="auto"/>
              <w:bottom w:val="single" w:sz="18" w:space="0" w:color="auto"/>
            </w:tcBorders>
            <w:shd w:val="clear" w:color="auto" w:fill="auto"/>
            <w:vAlign w:val="center"/>
          </w:tcPr>
          <w:p w:rsidR="005C1F0A" w:rsidRPr="002C47F0" w:rsidRDefault="005736F0" w:rsidP="002C47F0">
            <w:pPr>
              <w:spacing w:after="0" w:line="240" w:lineRule="auto"/>
              <w:jc w:val="center"/>
              <w:rPr>
                <w:rFonts w:ascii="Calibri" w:eastAsia="Times New Roman" w:hAnsi="Calibri" w:cs="Calibri"/>
                <w:color w:val="000000"/>
              </w:rPr>
            </w:pPr>
            <w:r>
              <w:rPr>
                <w:rFonts w:ascii="Calibri" w:eastAsia="Times New Roman" w:hAnsi="Calibri" w:cs="Calibri"/>
                <w:color w:val="000000"/>
              </w:rPr>
              <w:t>113.495.658</w:t>
            </w:r>
          </w:p>
        </w:tc>
        <w:tc>
          <w:tcPr>
            <w:tcW w:w="1084" w:type="dxa"/>
            <w:tcBorders>
              <w:bottom w:val="single" w:sz="18" w:space="0" w:color="auto"/>
              <w:right w:val="single" w:sz="18" w:space="0" w:color="auto"/>
            </w:tcBorders>
            <w:shd w:val="clear" w:color="auto" w:fill="auto"/>
            <w:vAlign w:val="center"/>
          </w:tcPr>
          <w:p w:rsidR="005C1F0A" w:rsidRPr="002C47F0" w:rsidRDefault="005C1F0A" w:rsidP="002C47F0">
            <w:pPr>
              <w:spacing w:after="0" w:line="240" w:lineRule="auto"/>
              <w:jc w:val="center"/>
              <w:rPr>
                <w:rFonts w:ascii="Calibri" w:eastAsia="Times New Roman" w:hAnsi="Calibri" w:cs="Calibri"/>
                <w:color w:val="000000"/>
              </w:rPr>
            </w:pPr>
            <w:r w:rsidRPr="002C47F0">
              <w:rPr>
                <w:rFonts w:ascii="Calibri" w:eastAsia="Times New Roman" w:hAnsi="Calibri" w:cs="Calibri"/>
                <w:color w:val="000000"/>
              </w:rPr>
              <w:t>100</w:t>
            </w:r>
          </w:p>
        </w:tc>
      </w:tr>
    </w:tbl>
    <w:p w:rsidR="002C47F0" w:rsidRPr="002C47F0" w:rsidRDefault="002C47F0" w:rsidP="009965E9">
      <w:pPr>
        <w:jc w:val="both"/>
        <w:rPr>
          <w:rFonts w:ascii="Times New Roman" w:hAnsi="Times New Roman" w:cs="Times New Roman"/>
          <w:b/>
          <w:sz w:val="24"/>
          <w:szCs w:val="24"/>
          <w:lang w:val="sr-Cyrl-CS"/>
        </w:rPr>
      </w:pPr>
    </w:p>
    <w:p w:rsidR="001B10E9" w:rsidRDefault="00A330BA" w:rsidP="00EE01E7">
      <w:pPr>
        <w:jc w:val="both"/>
        <w:rPr>
          <w:rFonts w:ascii="Times New Roman" w:hAnsi="Times New Roman" w:cs="Times New Roman"/>
          <w:sz w:val="24"/>
          <w:szCs w:val="24"/>
        </w:rPr>
      </w:pPr>
      <w:r w:rsidRPr="00A330BA">
        <w:rPr>
          <w:rFonts w:ascii="Times New Roman" w:hAnsi="Times New Roman" w:cs="Times New Roman"/>
          <w:sz w:val="24"/>
          <w:szCs w:val="24"/>
        </w:rPr>
        <w:t xml:space="preserve">Подаци из табеле </w:t>
      </w:r>
      <w:r w:rsidR="00D04601">
        <w:rPr>
          <w:rFonts w:ascii="Times New Roman" w:hAnsi="Times New Roman" w:cs="Times New Roman"/>
          <w:sz w:val="24"/>
          <w:szCs w:val="24"/>
        </w:rPr>
        <w:t>4</w:t>
      </w:r>
      <w:r w:rsidRPr="00A330BA">
        <w:rPr>
          <w:rFonts w:ascii="Times New Roman" w:hAnsi="Times New Roman" w:cs="Times New Roman"/>
          <w:sz w:val="24"/>
          <w:szCs w:val="24"/>
        </w:rPr>
        <w:t xml:space="preserve"> показују </w:t>
      </w:r>
      <w:r w:rsidR="001B10E9">
        <w:rPr>
          <w:rFonts w:ascii="Times New Roman" w:hAnsi="Times New Roman" w:cs="Times New Roman"/>
          <w:sz w:val="24"/>
          <w:szCs w:val="24"/>
        </w:rPr>
        <w:t xml:space="preserve">ефекте </w:t>
      </w:r>
      <w:r w:rsidR="00274BE6">
        <w:rPr>
          <w:rFonts w:ascii="Times New Roman" w:hAnsi="Times New Roman" w:cs="Times New Roman"/>
          <w:sz w:val="24"/>
          <w:szCs w:val="24"/>
        </w:rPr>
        <w:t xml:space="preserve">примене </w:t>
      </w:r>
      <w:r w:rsidR="001B10E9">
        <w:rPr>
          <w:rFonts w:ascii="Times New Roman" w:hAnsi="Times New Roman" w:cs="Times New Roman"/>
          <w:sz w:val="24"/>
          <w:szCs w:val="24"/>
        </w:rPr>
        <w:t>новог закона којим је уведена боља контрола преговарачк</w:t>
      </w:r>
      <w:r w:rsidR="00274BE6">
        <w:rPr>
          <w:rFonts w:ascii="Times New Roman" w:hAnsi="Times New Roman" w:cs="Times New Roman"/>
          <w:sz w:val="24"/>
          <w:szCs w:val="24"/>
        </w:rPr>
        <w:t>ог поступ</w:t>
      </w:r>
      <w:r w:rsidR="001B10E9">
        <w:rPr>
          <w:rFonts w:ascii="Times New Roman" w:hAnsi="Times New Roman" w:cs="Times New Roman"/>
          <w:sz w:val="24"/>
          <w:szCs w:val="24"/>
        </w:rPr>
        <w:t>ка:</w:t>
      </w:r>
      <w:r w:rsidRPr="00A330BA">
        <w:rPr>
          <w:rFonts w:ascii="Times New Roman" w:hAnsi="Times New Roman" w:cs="Times New Roman"/>
          <w:sz w:val="24"/>
          <w:szCs w:val="24"/>
        </w:rPr>
        <w:t xml:space="preserve"> учешће </w:t>
      </w:r>
      <w:r w:rsidR="001B10E9">
        <w:rPr>
          <w:rFonts w:ascii="Times New Roman" w:hAnsi="Times New Roman" w:cs="Times New Roman"/>
          <w:sz w:val="24"/>
          <w:szCs w:val="24"/>
        </w:rPr>
        <w:t xml:space="preserve">преговарачког поступка </w:t>
      </w:r>
      <w:r w:rsidR="00274BE6">
        <w:rPr>
          <w:rFonts w:ascii="Times New Roman" w:hAnsi="Times New Roman" w:cs="Times New Roman"/>
          <w:sz w:val="24"/>
          <w:szCs w:val="24"/>
        </w:rPr>
        <w:t xml:space="preserve">без претходног објављивања </w:t>
      </w:r>
      <w:r w:rsidR="001B10E9">
        <w:rPr>
          <w:rFonts w:ascii="Times New Roman" w:hAnsi="Times New Roman" w:cs="Times New Roman"/>
          <w:sz w:val="24"/>
          <w:szCs w:val="24"/>
        </w:rPr>
        <w:t xml:space="preserve">смањило се у другом полугодишту </w:t>
      </w:r>
      <w:r w:rsidR="00274BE6">
        <w:rPr>
          <w:rFonts w:ascii="Times New Roman" w:hAnsi="Times New Roman" w:cs="Times New Roman"/>
          <w:sz w:val="24"/>
          <w:szCs w:val="24"/>
        </w:rPr>
        <w:t xml:space="preserve">2013. </w:t>
      </w:r>
      <w:r w:rsidR="001B10E9">
        <w:rPr>
          <w:rFonts w:ascii="Times New Roman" w:hAnsi="Times New Roman" w:cs="Times New Roman"/>
          <w:sz w:val="24"/>
          <w:szCs w:val="24"/>
        </w:rPr>
        <w:t>на 11% са 24% колико је износило у првом полугодишту 2013. године.</w:t>
      </w:r>
      <w:r w:rsidR="00274BE6">
        <w:rPr>
          <w:rFonts w:ascii="Times New Roman" w:hAnsi="Times New Roman" w:cs="Times New Roman"/>
          <w:sz w:val="24"/>
          <w:szCs w:val="24"/>
        </w:rPr>
        <w:t xml:space="preserve"> Упоредо са тим, дошло је до повећања учешћа отвореног поступка са 54% у првом полугодишту на 79% у другом полугодишту 2013. </w:t>
      </w:r>
      <w:r w:rsidR="00B76317">
        <w:rPr>
          <w:rFonts w:ascii="Times New Roman" w:hAnsi="Times New Roman" w:cs="Times New Roman"/>
          <w:sz w:val="24"/>
          <w:szCs w:val="24"/>
        </w:rPr>
        <w:t>Г</w:t>
      </w:r>
      <w:r w:rsidR="00274BE6">
        <w:rPr>
          <w:rFonts w:ascii="Times New Roman" w:hAnsi="Times New Roman" w:cs="Times New Roman"/>
          <w:sz w:val="24"/>
          <w:szCs w:val="24"/>
        </w:rPr>
        <w:t>одине</w:t>
      </w:r>
      <w:r w:rsidR="00B76317">
        <w:rPr>
          <w:rFonts w:ascii="Times New Roman" w:hAnsi="Times New Roman" w:cs="Times New Roman"/>
          <w:sz w:val="24"/>
          <w:szCs w:val="24"/>
          <w:lang w:val="sr-Cyrl-RS"/>
        </w:rPr>
        <w:t xml:space="preserve"> (Слика 6)</w:t>
      </w:r>
      <w:r w:rsidR="00274BE6">
        <w:rPr>
          <w:rFonts w:ascii="Times New Roman" w:hAnsi="Times New Roman" w:cs="Times New Roman"/>
          <w:sz w:val="24"/>
          <w:szCs w:val="24"/>
        </w:rPr>
        <w:t>.</w:t>
      </w:r>
      <w:r w:rsidR="00B76317">
        <w:rPr>
          <w:rFonts w:ascii="Times New Roman" w:hAnsi="Times New Roman" w:cs="Times New Roman"/>
          <w:sz w:val="24"/>
          <w:szCs w:val="24"/>
          <w:lang w:val="sr-Cyrl-RS"/>
        </w:rPr>
        <w:t xml:space="preserve">Учешће </w:t>
      </w:r>
      <w:r w:rsidR="00475267">
        <w:rPr>
          <w:rFonts w:ascii="Times New Roman" w:hAnsi="Times New Roman" w:cs="Times New Roman"/>
          <w:sz w:val="24"/>
          <w:szCs w:val="24"/>
          <w:lang w:val="sr-Cyrl-RS"/>
        </w:rPr>
        <w:t xml:space="preserve"> свих </w:t>
      </w:r>
      <w:r w:rsidR="00B76317">
        <w:rPr>
          <w:rFonts w:ascii="Times New Roman" w:hAnsi="Times New Roman" w:cs="Times New Roman"/>
          <w:sz w:val="24"/>
          <w:szCs w:val="24"/>
          <w:lang w:val="sr-Cyrl-RS"/>
        </w:rPr>
        <w:t>осталих поступака је смањено са 22 на 10%</w:t>
      </w:r>
      <w:r w:rsidR="00274BE6">
        <w:rPr>
          <w:rFonts w:ascii="Times New Roman" w:hAnsi="Times New Roman" w:cs="Times New Roman"/>
          <w:sz w:val="24"/>
          <w:szCs w:val="24"/>
        </w:rPr>
        <w:t xml:space="preserve">.  </w:t>
      </w:r>
    </w:p>
    <w:p w:rsidR="00744FF8" w:rsidRPr="00EE01E7" w:rsidRDefault="00EE01E7" w:rsidP="00EE01E7">
      <w:pPr>
        <w:jc w:val="center"/>
        <w:rPr>
          <w:rFonts w:ascii="Times New Roman" w:hAnsi="Times New Roman" w:cs="Times New Roman"/>
          <w:sz w:val="24"/>
          <w:szCs w:val="24"/>
        </w:rPr>
      </w:pPr>
      <w:r>
        <w:rPr>
          <w:rFonts w:ascii="Times New Roman" w:hAnsi="Times New Roman" w:cs="Times New Roman"/>
          <w:sz w:val="24"/>
          <w:szCs w:val="24"/>
        </w:rPr>
        <w:lastRenderedPageBreak/>
        <w:br/>
      </w:r>
      <w:r w:rsidR="00C41DA4" w:rsidRPr="009A6BA3">
        <w:rPr>
          <w:rFonts w:ascii="Times New Roman" w:hAnsi="Times New Roman" w:cs="Times New Roman"/>
          <w:b/>
          <w:sz w:val="24"/>
          <w:szCs w:val="24"/>
        </w:rPr>
        <w:t>Слика 6</w:t>
      </w:r>
      <w:r w:rsidRPr="009A6BA3">
        <w:rPr>
          <w:rFonts w:ascii="Times New Roman" w:hAnsi="Times New Roman" w:cs="Times New Roman"/>
          <w:b/>
          <w:sz w:val="24"/>
          <w:szCs w:val="24"/>
        </w:rPr>
        <w:br/>
      </w:r>
      <w:bookmarkStart w:id="4" w:name="_MON_1457252174"/>
      <w:bookmarkEnd w:id="4"/>
      <w:r w:rsidR="00475267">
        <w:object w:dxaOrig="7980" w:dyaOrig="5711">
          <v:shape id="_x0000_i1029" type="#_x0000_t75" style="width:417.05pt;height:249.3pt" o:ole="">
            <v:imagedata r:id="rId21" o:title=""/>
          </v:shape>
          <o:OLEObject Type="Embed" ProgID="Excel.Sheet.12" ShapeID="_x0000_i1029" DrawAspect="Content" ObjectID="_1461145244" r:id="rId22"/>
        </w:object>
      </w:r>
    </w:p>
    <w:bookmarkStart w:id="5" w:name="_MON_1457252235"/>
    <w:bookmarkEnd w:id="5"/>
    <w:p w:rsidR="00744FF8" w:rsidRDefault="00334015" w:rsidP="00744FF8">
      <w:pPr>
        <w:jc w:val="center"/>
        <w:rPr>
          <w:rFonts w:ascii="Times New Roman" w:hAnsi="Times New Roman" w:cs="Times New Roman"/>
          <w:sz w:val="24"/>
          <w:szCs w:val="24"/>
        </w:rPr>
      </w:pPr>
      <w:r>
        <w:object w:dxaOrig="8585" w:dyaOrig="5773">
          <v:shape id="_x0000_i1030" type="#_x0000_t75" style="width:420.45pt;height:284.6pt" o:ole="">
            <v:imagedata r:id="rId23" o:title=""/>
          </v:shape>
          <o:OLEObject Type="Embed" ProgID="Excel.Sheet.12" ShapeID="_x0000_i1030" DrawAspect="Content" ObjectID="_1461145245" r:id="rId24"/>
        </w:object>
      </w:r>
    </w:p>
    <w:p w:rsidR="00744FF8" w:rsidRDefault="00744FF8" w:rsidP="00744FF8">
      <w:pPr>
        <w:jc w:val="both"/>
        <w:rPr>
          <w:rFonts w:ascii="Times New Roman" w:hAnsi="Times New Roman" w:cs="Times New Roman"/>
          <w:sz w:val="24"/>
          <w:szCs w:val="24"/>
        </w:rPr>
      </w:pPr>
    </w:p>
    <w:p w:rsidR="0006226F" w:rsidRDefault="0006226F">
      <w:pPr>
        <w:rPr>
          <w:rFonts w:ascii="Times New Roman" w:hAnsi="Times New Roman" w:cs="Times New Roman"/>
          <w:sz w:val="24"/>
          <w:szCs w:val="24"/>
        </w:rPr>
      </w:pPr>
      <w:r>
        <w:rPr>
          <w:rFonts w:ascii="Times New Roman" w:hAnsi="Times New Roman" w:cs="Times New Roman"/>
          <w:sz w:val="24"/>
          <w:szCs w:val="24"/>
        </w:rPr>
        <w:br w:type="page"/>
      </w:r>
    </w:p>
    <w:p w:rsidR="00EE31A5" w:rsidRDefault="00274BE6" w:rsidP="007B4B6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У другом полугодишту 2013. године од када се примењује нови </w:t>
      </w:r>
      <w:r w:rsidR="00443A88">
        <w:rPr>
          <w:rFonts w:ascii="Times New Roman" w:hAnsi="Times New Roman" w:cs="Times New Roman"/>
          <w:sz w:val="24"/>
          <w:szCs w:val="24"/>
          <w:lang w:val="sr-Cyrl-RS"/>
        </w:rPr>
        <w:t>закон</w:t>
      </w:r>
      <w:r>
        <w:rPr>
          <w:rFonts w:ascii="Times New Roman" w:hAnsi="Times New Roman" w:cs="Times New Roman"/>
          <w:sz w:val="24"/>
          <w:szCs w:val="24"/>
        </w:rPr>
        <w:t xml:space="preserve">, остварено је </w:t>
      </w:r>
      <w:r w:rsidR="00A330BA" w:rsidRPr="00A330BA">
        <w:rPr>
          <w:rFonts w:ascii="Times New Roman" w:hAnsi="Times New Roman" w:cs="Times New Roman"/>
          <w:sz w:val="24"/>
          <w:szCs w:val="24"/>
        </w:rPr>
        <w:t xml:space="preserve">највеће учешће </w:t>
      </w:r>
      <w:r w:rsidR="00177B9E">
        <w:rPr>
          <w:rFonts w:ascii="Times New Roman" w:hAnsi="Times New Roman" w:cs="Times New Roman"/>
          <w:sz w:val="24"/>
          <w:szCs w:val="24"/>
        </w:rPr>
        <w:t xml:space="preserve">отвореног поступка </w:t>
      </w:r>
      <w:r w:rsidR="007F50EE">
        <w:rPr>
          <w:rFonts w:ascii="Times New Roman" w:hAnsi="Times New Roman" w:cs="Times New Roman"/>
          <w:sz w:val="24"/>
          <w:szCs w:val="24"/>
        </w:rPr>
        <w:t xml:space="preserve">посматрано од </w:t>
      </w:r>
      <w:r w:rsidR="001E2BD6">
        <w:rPr>
          <w:rFonts w:ascii="Times New Roman" w:hAnsi="Times New Roman" w:cs="Times New Roman"/>
          <w:sz w:val="24"/>
          <w:szCs w:val="24"/>
        </w:rPr>
        <w:t xml:space="preserve"> </w:t>
      </w:r>
      <w:r w:rsidR="007F50EE">
        <w:rPr>
          <w:rFonts w:ascii="Times New Roman" w:hAnsi="Times New Roman" w:cs="Times New Roman"/>
          <w:sz w:val="24"/>
          <w:szCs w:val="24"/>
        </w:rPr>
        <w:t xml:space="preserve">2003. године </w:t>
      </w:r>
      <w:r w:rsidR="00412BE9">
        <w:rPr>
          <w:rFonts w:ascii="Times New Roman" w:hAnsi="Times New Roman" w:cs="Times New Roman"/>
          <w:sz w:val="24"/>
          <w:szCs w:val="24"/>
        </w:rPr>
        <w:t xml:space="preserve">(Слика </w:t>
      </w:r>
      <w:r>
        <w:rPr>
          <w:rFonts w:ascii="Times New Roman" w:hAnsi="Times New Roman" w:cs="Times New Roman"/>
          <w:sz w:val="24"/>
          <w:szCs w:val="24"/>
        </w:rPr>
        <w:t>7</w:t>
      </w:r>
      <w:r w:rsidR="00A330BA" w:rsidRPr="00A330BA">
        <w:rPr>
          <w:rFonts w:ascii="Times New Roman" w:hAnsi="Times New Roman" w:cs="Times New Roman"/>
          <w:sz w:val="24"/>
          <w:szCs w:val="24"/>
        </w:rPr>
        <w:t>).</w:t>
      </w:r>
    </w:p>
    <w:p w:rsidR="0006226F" w:rsidRDefault="0006226F" w:rsidP="007F50EE">
      <w:pPr>
        <w:jc w:val="center"/>
        <w:rPr>
          <w:rFonts w:ascii="Times New Roman" w:hAnsi="Times New Roman" w:cs="Times New Roman"/>
          <w:b/>
          <w:sz w:val="24"/>
          <w:szCs w:val="24"/>
          <w:lang w:val="sr-Cyrl-RS"/>
        </w:rPr>
      </w:pPr>
    </w:p>
    <w:p w:rsidR="007F50EE" w:rsidRPr="001E2BD6" w:rsidRDefault="00412BE9" w:rsidP="007F50EE">
      <w:pPr>
        <w:jc w:val="center"/>
        <w:rPr>
          <w:rFonts w:ascii="Times New Roman" w:hAnsi="Times New Roman" w:cs="Times New Roman"/>
          <w:b/>
          <w:sz w:val="24"/>
          <w:szCs w:val="24"/>
        </w:rPr>
      </w:pPr>
      <w:r w:rsidRPr="001E2BD6">
        <w:rPr>
          <w:rFonts w:ascii="Times New Roman" w:hAnsi="Times New Roman" w:cs="Times New Roman"/>
          <w:b/>
          <w:sz w:val="24"/>
          <w:szCs w:val="24"/>
        </w:rPr>
        <w:t xml:space="preserve">Слика  </w:t>
      </w:r>
      <w:r w:rsidR="00C41DA4" w:rsidRPr="001E2BD6">
        <w:rPr>
          <w:rFonts w:ascii="Times New Roman" w:hAnsi="Times New Roman" w:cs="Times New Roman"/>
          <w:b/>
          <w:sz w:val="24"/>
          <w:szCs w:val="24"/>
        </w:rPr>
        <w:t>7</w:t>
      </w:r>
      <w:bookmarkStart w:id="6" w:name="_MON_1454937143"/>
      <w:bookmarkEnd w:id="6"/>
    </w:p>
    <w:p w:rsidR="00A330BA" w:rsidRDefault="00531F44" w:rsidP="00C46C4D">
      <w:pPr>
        <w:jc w:val="center"/>
      </w:pPr>
      <w:r>
        <w:object w:dxaOrig="12472" w:dyaOrig="4766">
          <v:shape id="_x0000_i1031" type="#_x0000_t75" style="width:525.05pt;height:199pt" o:ole="">
            <v:imagedata r:id="rId25" o:title=""/>
          </v:shape>
          <o:OLEObject Type="Embed" ProgID="Excel.Sheet.12" ShapeID="_x0000_i1031" DrawAspect="Content" ObjectID="_1461145246" r:id="rId26"/>
        </w:object>
      </w:r>
    </w:p>
    <w:p w:rsidR="0006226F" w:rsidRDefault="0006226F" w:rsidP="00EC5440">
      <w:pPr>
        <w:jc w:val="both"/>
        <w:rPr>
          <w:rFonts w:ascii="Times New Roman" w:hAnsi="Times New Roman" w:cs="Times New Roman"/>
          <w:sz w:val="24"/>
          <w:szCs w:val="24"/>
          <w:lang w:val="sr-Cyrl-RS"/>
        </w:rPr>
      </w:pPr>
    </w:p>
    <w:p w:rsidR="00531F44" w:rsidRPr="00EC5440" w:rsidRDefault="00EC5440" w:rsidP="00EC5440">
      <w:pPr>
        <w:jc w:val="both"/>
        <w:rPr>
          <w:rFonts w:ascii="Times New Roman" w:hAnsi="Times New Roman" w:cs="Times New Roman"/>
          <w:sz w:val="24"/>
          <w:szCs w:val="24"/>
        </w:rPr>
      </w:pPr>
      <w:r>
        <w:rPr>
          <w:rFonts w:ascii="Times New Roman" w:hAnsi="Times New Roman" w:cs="Times New Roman"/>
          <w:sz w:val="24"/>
          <w:szCs w:val="24"/>
        </w:rPr>
        <w:t xml:space="preserve">Истовремено, учешће преговарачког поступка без објављивања јавног позива, у другом полугодишту 2013. године, било је најниже од </w:t>
      </w:r>
      <w:r w:rsidR="005F16BC">
        <w:rPr>
          <w:rFonts w:ascii="Times New Roman" w:hAnsi="Times New Roman" w:cs="Times New Roman"/>
          <w:sz w:val="24"/>
          <w:szCs w:val="24"/>
        </w:rPr>
        <w:t xml:space="preserve"> </w:t>
      </w:r>
      <w:r>
        <w:rPr>
          <w:rFonts w:ascii="Times New Roman" w:hAnsi="Times New Roman" w:cs="Times New Roman"/>
          <w:sz w:val="24"/>
          <w:szCs w:val="24"/>
        </w:rPr>
        <w:t xml:space="preserve">2003. године (Слика 8). </w:t>
      </w:r>
    </w:p>
    <w:p w:rsidR="00B75166" w:rsidRDefault="00B75166" w:rsidP="001B454E">
      <w:pPr>
        <w:jc w:val="center"/>
        <w:rPr>
          <w:rFonts w:ascii="Times New Roman" w:hAnsi="Times New Roman" w:cs="Times New Roman"/>
          <w:b/>
          <w:color w:val="FF0000"/>
          <w:sz w:val="24"/>
          <w:szCs w:val="24"/>
        </w:rPr>
      </w:pPr>
    </w:p>
    <w:p w:rsidR="00482BC8" w:rsidRPr="00443A88" w:rsidRDefault="00707351" w:rsidP="001B454E">
      <w:pPr>
        <w:jc w:val="center"/>
        <w:rPr>
          <w:rFonts w:ascii="Times New Roman" w:hAnsi="Times New Roman" w:cs="Times New Roman"/>
          <w:b/>
          <w:sz w:val="24"/>
          <w:szCs w:val="24"/>
        </w:rPr>
      </w:pPr>
      <w:r w:rsidRPr="00443A88">
        <w:rPr>
          <w:rFonts w:ascii="Times New Roman" w:hAnsi="Times New Roman" w:cs="Times New Roman"/>
          <w:b/>
          <w:sz w:val="24"/>
          <w:szCs w:val="24"/>
        </w:rPr>
        <w:t>С</w:t>
      </w:r>
      <w:r w:rsidR="00412BE9" w:rsidRPr="00443A88">
        <w:rPr>
          <w:rFonts w:ascii="Times New Roman" w:hAnsi="Times New Roman" w:cs="Times New Roman"/>
          <w:b/>
          <w:sz w:val="24"/>
          <w:szCs w:val="24"/>
        </w:rPr>
        <w:t xml:space="preserve">лика </w:t>
      </w:r>
      <w:r w:rsidR="00EC5440" w:rsidRPr="00443A88">
        <w:rPr>
          <w:rFonts w:ascii="Times New Roman" w:hAnsi="Times New Roman" w:cs="Times New Roman"/>
          <w:b/>
          <w:sz w:val="24"/>
          <w:szCs w:val="24"/>
        </w:rPr>
        <w:t>8</w:t>
      </w:r>
    </w:p>
    <w:bookmarkStart w:id="7" w:name="_MON_1455016428"/>
    <w:bookmarkEnd w:id="7"/>
    <w:p w:rsidR="00A330BA" w:rsidRDefault="00A8682D" w:rsidP="00A330BA">
      <w:pPr>
        <w:jc w:val="center"/>
      </w:pPr>
      <w:r w:rsidRPr="00561134">
        <w:object w:dxaOrig="13466" w:dyaOrig="6677">
          <v:shape id="_x0000_i1032" type="#_x0000_t75" style="width:471.4pt;height:245.9pt" o:ole="">
            <v:imagedata r:id="rId27" o:title=""/>
            <o:lock v:ext="edit" aspectratio="f"/>
          </v:shape>
          <o:OLEObject Type="Embed" ProgID="Excel.Sheet.12" ShapeID="_x0000_i1032" DrawAspect="Content" ObjectID="_1461145247" r:id="rId28"/>
        </w:object>
      </w:r>
    </w:p>
    <w:p w:rsidR="00EC5440" w:rsidRDefault="00EC5440" w:rsidP="00A330BA">
      <w:pPr>
        <w:jc w:val="center"/>
        <w:rPr>
          <w:color w:val="FF0000"/>
        </w:rPr>
      </w:pPr>
    </w:p>
    <w:p w:rsidR="00177B9E" w:rsidRDefault="006F0FE4" w:rsidP="0099228D">
      <w:pPr>
        <w:jc w:val="both"/>
        <w:rPr>
          <w:rFonts w:ascii="Times New Roman" w:hAnsi="Times New Roman" w:cs="Times New Roman"/>
          <w:sz w:val="24"/>
          <w:szCs w:val="24"/>
        </w:rPr>
      </w:pPr>
      <w:r>
        <w:rPr>
          <w:rFonts w:ascii="Times New Roman" w:hAnsi="Times New Roman" w:cs="Times New Roman"/>
          <w:sz w:val="24"/>
          <w:szCs w:val="24"/>
        </w:rPr>
        <w:t>Интензивирање преговарачког процеса са ЕУ подразумева да ће учешће преговарачког поступка без објављивања бити један од два кључна параметра</w:t>
      </w:r>
      <w:r w:rsidR="00867110">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чије ће кретање бити у фокусу праћ</w:t>
      </w:r>
      <w:r w:rsidR="0032145B">
        <w:rPr>
          <w:rFonts w:ascii="Times New Roman" w:hAnsi="Times New Roman" w:cs="Times New Roman"/>
          <w:sz w:val="24"/>
          <w:szCs w:val="24"/>
        </w:rPr>
        <w:t>ења од стране Европске комисије, као део остваривања циља успостављања јединственог унутрашњег тржишта ЕУ на коме неће бити препрека слободном деловању конкуренције за добијање послова које додељује држава. У том контексту важно је наставити са снижавањем учешћа преговарачких поступака без објављивања</w:t>
      </w:r>
      <w:r w:rsidR="0044645B">
        <w:rPr>
          <w:rFonts w:ascii="Times New Roman" w:hAnsi="Times New Roman" w:cs="Times New Roman"/>
          <w:sz w:val="24"/>
          <w:szCs w:val="24"/>
        </w:rPr>
        <w:t>,</w:t>
      </w:r>
      <w:r w:rsidR="0032145B">
        <w:rPr>
          <w:rFonts w:ascii="Times New Roman" w:hAnsi="Times New Roman" w:cs="Times New Roman"/>
          <w:sz w:val="24"/>
          <w:szCs w:val="24"/>
        </w:rPr>
        <w:t xml:space="preserve"> како бисмо се приближили европском стандарду од </w:t>
      </w:r>
      <w:r w:rsidR="00646862">
        <w:rPr>
          <w:rFonts w:ascii="Times New Roman" w:hAnsi="Times New Roman" w:cs="Times New Roman"/>
          <w:sz w:val="24"/>
          <w:szCs w:val="24"/>
        </w:rPr>
        <w:t>око 5</w:t>
      </w:r>
      <w:r w:rsidR="0032145B">
        <w:rPr>
          <w:rFonts w:ascii="Times New Roman" w:hAnsi="Times New Roman" w:cs="Times New Roman"/>
          <w:sz w:val="24"/>
          <w:szCs w:val="24"/>
        </w:rPr>
        <w:t>%</w:t>
      </w:r>
      <w:r w:rsidR="00646862">
        <w:rPr>
          <w:rStyle w:val="FootnoteReference"/>
          <w:rFonts w:ascii="Times New Roman" w:hAnsi="Times New Roman" w:cs="Times New Roman"/>
          <w:sz w:val="24"/>
          <w:szCs w:val="24"/>
        </w:rPr>
        <w:footnoteReference w:id="4"/>
      </w:r>
      <w:r w:rsidR="0032145B">
        <w:rPr>
          <w:rFonts w:ascii="Times New Roman" w:hAnsi="Times New Roman" w:cs="Times New Roman"/>
          <w:sz w:val="24"/>
          <w:szCs w:val="24"/>
        </w:rPr>
        <w:t xml:space="preserve">. </w:t>
      </w:r>
    </w:p>
    <w:p w:rsidR="0032145B" w:rsidRPr="000F3249" w:rsidRDefault="0032145B" w:rsidP="0099228D">
      <w:pPr>
        <w:jc w:val="both"/>
        <w:rPr>
          <w:rFonts w:ascii="Times New Roman" w:hAnsi="Times New Roman" w:cs="Times New Roman"/>
          <w:sz w:val="24"/>
          <w:szCs w:val="24"/>
        </w:rPr>
      </w:pPr>
      <w:r>
        <w:rPr>
          <w:rFonts w:ascii="Times New Roman" w:hAnsi="Times New Roman" w:cs="Times New Roman"/>
          <w:sz w:val="24"/>
          <w:szCs w:val="24"/>
        </w:rPr>
        <w:t>Пример Хрватске</w:t>
      </w:r>
      <w:r w:rsidR="00D56073">
        <w:rPr>
          <w:rFonts w:ascii="Times New Roman" w:hAnsi="Times New Roman" w:cs="Times New Roman"/>
          <w:sz w:val="24"/>
          <w:szCs w:val="24"/>
        </w:rPr>
        <w:t>,</w:t>
      </w:r>
      <w:r>
        <w:rPr>
          <w:rFonts w:ascii="Times New Roman" w:hAnsi="Times New Roman" w:cs="Times New Roman"/>
          <w:sz w:val="24"/>
          <w:szCs w:val="24"/>
        </w:rPr>
        <w:t xml:space="preserve"> која је недавно постала чланица ЕУ, показује како се смањивање учешћа преговарачких поступака подудара са напретком у пр</w:t>
      </w:r>
      <w:r w:rsidR="00D56073">
        <w:rPr>
          <w:rFonts w:ascii="Times New Roman" w:hAnsi="Times New Roman" w:cs="Times New Roman"/>
          <w:sz w:val="24"/>
          <w:szCs w:val="24"/>
        </w:rPr>
        <w:t xml:space="preserve">оцесу приступања </w:t>
      </w:r>
      <w:r>
        <w:rPr>
          <w:rFonts w:ascii="Times New Roman" w:hAnsi="Times New Roman" w:cs="Times New Roman"/>
          <w:sz w:val="24"/>
          <w:szCs w:val="24"/>
        </w:rPr>
        <w:t>ЕУ: у 2010. години учешће преговарачких поступака без објављивања износило је у Хрватској 13,7%</w:t>
      </w:r>
      <w:r w:rsidR="00D56073">
        <w:rPr>
          <w:rStyle w:val="FootnoteReference"/>
          <w:rFonts w:ascii="Times New Roman" w:hAnsi="Times New Roman" w:cs="Times New Roman"/>
          <w:sz w:val="24"/>
          <w:szCs w:val="24"/>
        </w:rPr>
        <w:footnoteReference w:id="5"/>
      </w:r>
      <w:r w:rsidR="00D56073">
        <w:rPr>
          <w:rFonts w:ascii="Times New Roman" w:hAnsi="Times New Roman" w:cs="Times New Roman"/>
          <w:sz w:val="24"/>
          <w:szCs w:val="24"/>
        </w:rPr>
        <w:t>,</w:t>
      </w:r>
      <w:r w:rsidR="0098735A">
        <w:rPr>
          <w:rFonts w:ascii="Times New Roman" w:hAnsi="Times New Roman" w:cs="Times New Roman"/>
          <w:sz w:val="24"/>
          <w:szCs w:val="24"/>
        </w:rPr>
        <w:t xml:space="preserve"> затим </w:t>
      </w:r>
      <w:r>
        <w:rPr>
          <w:rFonts w:ascii="Times New Roman" w:hAnsi="Times New Roman" w:cs="Times New Roman"/>
          <w:sz w:val="24"/>
          <w:szCs w:val="24"/>
        </w:rPr>
        <w:t>2011. године 11%</w:t>
      </w:r>
      <w:r w:rsidR="00D56073">
        <w:rPr>
          <w:rFonts w:ascii="Times New Roman" w:hAnsi="Times New Roman" w:cs="Times New Roman"/>
          <w:sz w:val="24"/>
          <w:szCs w:val="24"/>
        </w:rPr>
        <w:t>,</w:t>
      </w:r>
      <w:r w:rsidR="0098735A">
        <w:rPr>
          <w:rFonts w:ascii="Times New Roman" w:hAnsi="Times New Roman" w:cs="Times New Roman"/>
          <w:sz w:val="24"/>
          <w:szCs w:val="24"/>
        </w:rPr>
        <w:t xml:space="preserve"> а 2012. године </w:t>
      </w:r>
      <w:r>
        <w:rPr>
          <w:rFonts w:ascii="Times New Roman" w:hAnsi="Times New Roman" w:cs="Times New Roman"/>
          <w:sz w:val="24"/>
          <w:szCs w:val="24"/>
        </w:rPr>
        <w:t>6,9%</w:t>
      </w:r>
      <w:r w:rsidR="0098735A">
        <w:rPr>
          <w:rStyle w:val="FootnoteReference"/>
          <w:rFonts w:ascii="Times New Roman" w:hAnsi="Times New Roman" w:cs="Times New Roman"/>
          <w:sz w:val="24"/>
          <w:szCs w:val="24"/>
        </w:rPr>
        <w:footnoteReference w:id="6"/>
      </w:r>
      <w:r w:rsidR="0098735A">
        <w:rPr>
          <w:rFonts w:ascii="Times New Roman" w:hAnsi="Times New Roman" w:cs="Times New Roman"/>
          <w:sz w:val="24"/>
          <w:szCs w:val="24"/>
        </w:rPr>
        <w:t>.  Истовремено, у 2012. години, отворени поступак је учествовао са 89,5%</w:t>
      </w:r>
      <w:r w:rsidR="0098735A">
        <w:rPr>
          <w:rStyle w:val="FootnoteReference"/>
          <w:rFonts w:ascii="Times New Roman" w:hAnsi="Times New Roman" w:cs="Times New Roman"/>
          <w:sz w:val="24"/>
          <w:szCs w:val="24"/>
        </w:rPr>
        <w:footnoteReference w:id="7"/>
      </w:r>
      <w:r w:rsidR="0098735A">
        <w:rPr>
          <w:rFonts w:ascii="Times New Roman" w:hAnsi="Times New Roman" w:cs="Times New Roman"/>
          <w:sz w:val="24"/>
          <w:szCs w:val="24"/>
        </w:rPr>
        <w:t>.</w:t>
      </w:r>
    </w:p>
    <w:p w:rsidR="00FA77D4" w:rsidRDefault="00FA77D4" w:rsidP="0099228D">
      <w:pPr>
        <w:jc w:val="both"/>
        <w:rPr>
          <w:rFonts w:ascii="Times New Roman" w:hAnsi="Times New Roman" w:cs="Times New Roman"/>
          <w:sz w:val="24"/>
          <w:szCs w:val="24"/>
        </w:rPr>
      </w:pPr>
      <w:r>
        <w:rPr>
          <w:rFonts w:ascii="Times New Roman" w:hAnsi="Times New Roman" w:cs="Times New Roman"/>
          <w:sz w:val="24"/>
          <w:szCs w:val="24"/>
        </w:rPr>
        <w:t>Сличне релације су евидентиране и у Црној Гори</w:t>
      </w:r>
      <w:r w:rsidR="00237D96">
        <w:rPr>
          <w:rFonts w:ascii="Times New Roman" w:hAnsi="Times New Roman" w:cs="Times New Roman"/>
          <w:sz w:val="24"/>
          <w:szCs w:val="24"/>
        </w:rPr>
        <w:t xml:space="preserve"> која је отворила преговоре за поглавље 5, без предуслова (“benchmarks”)</w:t>
      </w:r>
      <w:r>
        <w:rPr>
          <w:rFonts w:ascii="Times New Roman" w:hAnsi="Times New Roman" w:cs="Times New Roman"/>
          <w:sz w:val="24"/>
          <w:szCs w:val="24"/>
        </w:rPr>
        <w:t>. Према Годишњем извештају за 2012. годину</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преговарачки поступак без претходног објављивања учествовао је са 3,2%, а отворени поступак са 85,1%</w:t>
      </w:r>
      <w:r w:rsidR="00CE2E47">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t>
      </w:r>
    </w:p>
    <w:p w:rsidR="00BF2D32" w:rsidRPr="00191758" w:rsidRDefault="00B43E94" w:rsidP="0099228D">
      <w:pPr>
        <w:jc w:val="both"/>
        <w:rPr>
          <w:rFonts w:ascii="Times New Roman" w:hAnsi="Times New Roman" w:cs="Times New Roman"/>
          <w:color w:val="FF0000"/>
          <w:sz w:val="24"/>
          <w:szCs w:val="24"/>
        </w:rPr>
      </w:pPr>
      <w:r>
        <w:rPr>
          <w:rFonts w:ascii="Times New Roman" w:hAnsi="Times New Roman" w:cs="Times New Roman"/>
          <w:sz w:val="24"/>
          <w:szCs w:val="24"/>
        </w:rPr>
        <w:t>С</w:t>
      </w:r>
      <w:r w:rsidR="00D56073">
        <w:rPr>
          <w:rFonts w:ascii="Times New Roman" w:hAnsi="Times New Roman" w:cs="Times New Roman"/>
          <w:sz w:val="24"/>
          <w:szCs w:val="24"/>
        </w:rPr>
        <w:t>ледеће важно питање везано за преговарачке поступке без објављивања јесте како су они распоређени по категоријама наручилаца.</w:t>
      </w:r>
      <w:r w:rsidR="008D1F00">
        <w:rPr>
          <w:rFonts w:ascii="Times New Roman" w:hAnsi="Times New Roman" w:cs="Times New Roman"/>
          <w:sz w:val="24"/>
          <w:szCs w:val="24"/>
        </w:rPr>
        <w:t xml:space="preserve"> Другим речима, </w:t>
      </w:r>
      <w:r>
        <w:rPr>
          <w:rFonts w:ascii="Times New Roman" w:hAnsi="Times New Roman" w:cs="Times New Roman"/>
          <w:sz w:val="24"/>
          <w:szCs w:val="24"/>
        </w:rPr>
        <w:t xml:space="preserve">битно је </w:t>
      </w:r>
      <w:r w:rsidR="008D1F00">
        <w:rPr>
          <w:rFonts w:ascii="Times New Roman" w:hAnsi="Times New Roman" w:cs="Times New Roman"/>
          <w:sz w:val="24"/>
          <w:szCs w:val="24"/>
        </w:rPr>
        <w:t xml:space="preserve">да се сагледа код којих категорија наручилаца је био најзаступљенији преговарачки поступак без објављивања (Табела </w:t>
      </w:r>
      <w:r w:rsidR="00EC5440">
        <w:rPr>
          <w:rFonts w:ascii="Times New Roman" w:hAnsi="Times New Roman" w:cs="Times New Roman"/>
          <w:sz w:val="24"/>
          <w:szCs w:val="24"/>
        </w:rPr>
        <w:t>5</w:t>
      </w:r>
      <w:r w:rsidR="008D1F00">
        <w:rPr>
          <w:rFonts w:ascii="Times New Roman" w:hAnsi="Times New Roman" w:cs="Times New Roman"/>
          <w:sz w:val="24"/>
          <w:szCs w:val="24"/>
        </w:rPr>
        <w:t>).</w:t>
      </w:r>
    </w:p>
    <w:p w:rsidR="006F6E84" w:rsidRPr="006F6E84" w:rsidRDefault="006F6E84" w:rsidP="003B365F">
      <w:pPr>
        <w:rPr>
          <w:rFonts w:ascii="Times New Roman" w:hAnsi="Times New Roman" w:cs="Times New Roman"/>
          <w:b/>
          <w:color w:val="FF0000"/>
          <w:sz w:val="24"/>
          <w:szCs w:val="24"/>
        </w:rPr>
      </w:pPr>
    </w:p>
    <w:p w:rsidR="001E2BD6" w:rsidRDefault="001E2BD6" w:rsidP="003B365F">
      <w:pPr>
        <w:rPr>
          <w:rFonts w:ascii="Times New Roman" w:hAnsi="Times New Roman" w:cs="Times New Roman"/>
          <w:b/>
          <w:color w:val="FF0000"/>
          <w:sz w:val="24"/>
          <w:szCs w:val="24"/>
        </w:rPr>
      </w:pPr>
    </w:p>
    <w:p w:rsidR="001E2BD6" w:rsidRDefault="001E2BD6" w:rsidP="003B365F">
      <w:pPr>
        <w:rPr>
          <w:rFonts w:ascii="Times New Roman" w:hAnsi="Times New Roman" w:cs="Times New Roman"/>
          <w:b/>
          <w:color w:val="FF0000"/>
          <w:sz w:val="24"/>
          <w:szCs w:val="24"/>
        </w:rPr>
      </w:pPr>
    </w:p>
    <w:p w:rsidR="001E2BD6" w:rsidRDefault="001E2BD6" w:rsidP="003B365F">
      <w:pPr>
        <w:rPr>
          <w:rFonts w:ascii="Times New Roman" w:hAnsi="Times New Roman" w:cs="Times New Roman"/>
          <w:b/>
          <w:color w:val="FF0000"/>
          <w:sz w:val="24"/>
          <w:szCs w:val="24"/>
          <w:lang w:val="sr-Cyrl-RS"/>
        </w:rPr>
      </w:pPr>
    </w:p>
    <w:p w:rsidR="00443A88" w:rsidRPr="00443A88" w:rsidRDefault="00443A88" w:rsidP="003B365F">
      <w:pPr>
        <w:rPr>
          <w:rFonts w:ascii="Times New Roman" w:hAnsi="Times New Roman" w:cs="Times New Roman"/>
          <w:b/>
          <w:color w:val="FF0000"/>
          <w:sz w:val="24"/>
          <w:szCs w:val="24"/>
          <w:lang w:val="sr-Cyrl-RS"/>
        </w:rPr>
      </w:pPr>
    </w:p>
    <w:p w:rsidR="001E2BD6" w:rsidRPr="009D7B1C" w:rsidRDefault="001E2BD6" w:rsidP="003B365F">
      <w:pPr>
        <w:rPr>
          <w:rFonts w:ascii="Times New Roman" w:hAnsi="Times New Roman" w:cs="Times New Roman"/>
          <w:b/>
          <w:color w:val="FF0000"/>
          <w:sz w:val="24"/>
          <w:szCs w:val="24"/>
          <w:lang w:val="sr-Cyrl-RS"/>
        </w:rPr>
      </w:pPr>
    </w:p>
    <w:p w:rsidR="00BE519C" w:rsidRPr="005F16BC" w:rsidRDefault="00C41DA4" w:rsidP="003B365F">
      <w:pPr>
        <w:rPr>
          <w:rFonts w:ascii="Times New Roman" w:hAnsi="Times New Roman" w:cs="Times New Roman"/>
          <w:b/>
          <w:sz w:val="24"/>
          <w:szCs w:val="24"/>
        </w:rPr>
      </w:pPr>
      <w:r w:rsidRPr="005F16BC">
        <w:rPr>
          <w:rFonts w:ascii="Times New Roman" w:hAnsi="Times New Roman" w:cs="Times New Roman"/>
          <w:b/>
          <w:sz w:val="24"/>
          <w:szCs w:val="24"/>
        </w:rPr>
        <w:t>Табела 5</w:t>
      </w:r>
    </w:p>
    <w:tbl>
      <w:tblPr>
        <w:tblStyle w:val="TableGrid"/>
        <w:tblW w:w="10755" w:type="dxa"/>
        <w:tblLook w:val="0000" w:firstRow="0" w:lastRow="0" w:firstColumn="0" w:lastColumn="0" w:noHBand="0" w:noVBand="0"/>
      </w:tblPr>
      <w:tblGrid>
        <w:gridCol w:w="1261"/>
        <w:gridCol w:w="853"/>
        <w:gridCol w:w="598"/>
        <w:gridCol w:w="1209"/>
        <w:gridCol w:w="540"/>
        <w:gridCol w:w="853"/>
        <w:gridCol w:w="564"/>
        <w:gridCol w:w="1209"/>
        <w:gridCol w:w="600"/>
        <w:gridCol w:w="853"/>
        <w:gridCol w:w="503"/>
        <w:gridCol w:w="1209"/>
        <w:gridCol w:w="503"/>
      </w:tblGrid>
      <w:tr w:rsidR="00697A86" w:rsidTr="00697A86">
        <w:trPr>
          <w:trHeight w:val="750"/>
        </w:trPr>
        <w:tc>
          <w:tcPr>
            <w:tcW w:w="10755" w:type="dxa"/>
            <w:gridSpan w:val="13"/>
            <w:tcBorders>
              <w:top w:val="single" w:sz="18" w:space="0" w:color="auto"/>
              <w:left w:val="single" w:sz="18" w:space="0" w:color="auto"/>
              <w:right w:val="single" w:sz="18" w:space="0" w:color="auto"/>
            </w:tcBorders>
            <w:vAlign w:val="center"/>
          </w:tcPr>
          <w:p w:rsidR="002E234F" w:rsidRDefault="00697A86" w:rsidP="00697A86">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Упоредни преглед бројчане и вредносне структуре преговарачког поступка </w:t>
            </w:r>
          </w:p>
          <w:p w:rsidR="00697A86" w:rsidRPr="00697A86" w:rsidRDefault="00697A86" w:rsidP="00697A86">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без објављивања позива за подношење понуда </w:t>
            </w:r>
          </w:p>
        </w:tc>
      </w:tr>
      <w:tr w:rsidR="00697A86" w:rsidRPr="004E5018" w:rsidTr="00697A86">
        <w:tblPrEx>
          <w:tblLook w:val="04A0" w:firstRow="1" w:lastRow="0" w:firstColumn="1" w:lastColumn="0" w:noHBand="0" w:noVBand="1"/>
        </w:tblPrEx>
        <w:tc>
          <w:tcPr>
            <w:tcW w:w="1261" w:type="dxa"/>
            <w:tcBorders>
              <w:top w:val="single" w:sz="18" w:space="0" w:color="auto"/>
              <w:left w:val="single" w:sz="18" w:space="0" w:color="auto"/>
              <w:bottom w:val="single" w:sz="18" w:space="0" w:color="auto"/>
              <w:right w:val="single" w:sz="18" w:space="0" w:color="auto"/>
            </w:tcBorders>
            <w:vAlign w:val="center"/>
          </w:tcPr>
          <w:p w:rsidR="00697A86" w:rsidRPr="004E5018" w:rsidRDefault="00697A86"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Период</w:t>
            </w:r>
          </w:p>
        </w:tc>
        <w:tc>
          <w:tcPr>
            <w:tcW w:w="3200" w:type="dxa"/>
            <w:gridSpan w:val="4"/>
            <w:tcBorders>
              <w:top w:val="single" w:sz="18" w:space="0" w:color="auto"/>
              <w:left w:val="single" w:sz="18" w:space="0" w:color="auto"/>
              <w:bottom w:val="single" w:sz="18" w:space="0" w:color="auto"/>
              <w:right w:val="single" w:sz="18" w:space="0" w:color="auto"/>
            </w:tcBorders>
            <w:vAlign w:val="center"/>
          </w:tcPr>
          <w:p w:rsidR="00697A86" w:rsidRPr="00697A86" w:rsidRDefault="00697A86" w:rsidP="00697A86">
            <w:pPr>
              <w:jc w:val="center"/>
              <w:rPr>
                <w:rFonts w:ascii="Times New Roman" w:hAnsi="Times New Roman" w:cs="Times New Roman"/>
                <w:b/>
                <w:sz w:val="18"/>
                <w:szCs w:val="18"/>
                <w:lang w:val="sr-Cyrl-CS"/>
              </w:rPr>
            </w:pPr>
            <w:r>
              <w:rPr>
                <w:rFonts w:ascii="Times New Roman" w:hAnsi="Times New Roman" w:cs="Times New Roman"/>
                <w:b/>
                <w:sz w:val="18"/>
                <w:szCs w:val="18"/>
              </w:rPr>
              <w:t>201</w:t>
            </w:r>
            <w:r>
              <w:rPr>
                <w:rFonts w:ascii="Times New Roman" w:hAnsi="Times New Roman" w:cs="Times New Roman"/>
                <w:b/>
                <w:sz w:val="18"/>
                <w:szCs w:val="18"/>
                <w:lang w:val="sr-Cyrl-CS"/>
              </w:rPr>
              <w:t>3.</w:t>
            </w:r>
          </w:p>
        </w:tc>
        <w:tc>
          <w:tcPr>
            <w:tcW w:w="3226" w:type="dxa"/>
            <w:gridSpan w:val="4"/>
            <w:tcBorders>
              <w:top w:val="single" w:sz="18" w:space="0" w:color="auto"/>
              <w:left w:val="single" w:sz="18" w:space="0" w:color="auto"/>
              <w:bottom w:val="single" w:sz="18" w:space="0" w:color="auto"/>
              <w:right w:val="single" w:sz="18" w:space="0" w:color="auto"/>
            </w:tcBorders>
            <w:vAlign w:val="center"/>
          </w:tcPr>
          <w:p w:rsidR="00697A86" w:rsidRPr="004E5018" w:rsidRDefault="00697A86" w:rsidP="00697A86">
            <w:pPr>
              <w:jc w:val="center"/>
              <w:rPr>
                <w:rFonts w:ascii="Times New Roman" w:hAnsi="Times New Roman" w:cs="Times New Roman"/>
                <w:b/>
                <w:sz w:val="18"/>
                <w:szCs w:val="18"/>
              </w:rPr>
            </w:pPr>
            <w:r w:rsidRPr="004E5018">
              <w:rPr>
                <w:rFonts w:ascii="Times New Roman" w:hAnsi="Times New Roman" w:cs="Times New Roman"/>
                <w:b/>
                <w:sz w:val="18"/>
                <w:szCs w:val="18"/>
              </w:rPr>
              <w:t>2013.</w:t>
            </w:r>
          </w:p>
          <w:p w:rsidR="00697A86" w:rsidRPr="00697A86" w:rsidRDefault="00697A86" w:rsidP="00697A86">
            <w:pPr>
              <w:jc w:val="center"/>
              <w:rPr>
                <w:rFonts w:ascii="Times New Roman" w:hAnsi="Times New Roman" w:cs="Times New Roman"/>
                <w:b/>
                <w:sz w:val="18"/>
                <w:szCs w:val="18"/>
                <w:lang w:val="sr-Cyrl-CS"/>
              </w:rPr>
            </w:pPr>
            <w:r>
              <w:rPr>
                <w:rFonts w:ascii="Times New Roman" w:hAnsi="Times New Roman" w:cs="Times New Roman"/>
                <w:b/>
                <w:sz w:val="18"/>
                <w:szCs w:val="18"/>
                <w:lang w:val="sr-Cyrl-CS"/>
              </w:rPr>
              <w:t>1. полугође</w:t>
            </w:r>
          </w:p>
        </w:tc>
        <w:tc>
          <w:tcPr>
            <w:tcW w:w="3068" w:type="dxa"/>
            <w:gridSpan w:val="4"/>
            <w:tcBorders>
              <w:top w:val="single" w:sz="18" w:space="0" w:color="auto"/>
              <w:left w:val="single" w:sz="18" w:space="0" w:color="auto"/>
              <w:bottom w:val="single" w:sz="18" w:space="0" w:color="auto"/>
              <w:right w:val="single" w:sz="18" w:space="0" w:color="auto"/>
            </w:tcBorders>
            <w:vAlign w:val="center"/>
          </w:tcPr>
          <w:p w:rsidR="00697A86" w:rsidRDefault="00697A86" w:rsidP="00697A86">
            <w:pPr>
              <w:jc w:val="center"/>
              <w:rPr>
                <w:rFonts w:ascii="Times New Roman" w:hAnsi="Times New Roman" w:cs="Times New Roman"/>
                <w:b/>
                <w:sz w:val="18"/>
                <w:szCs w:val="18"/>
                <w:lang w:val="sr-Cyrl-CS"/>
              </w:rPr>
            </w:pPr>
            <w:r>
              <w:rPr>
                <w:rFonts w:ascii="Times New Roman" w:hAnsi="Times New Roman" w:cs="Times New Roman"/>
                <w:b/>
                <w:sz w:val="18"/>
                <w:szCs w:val="18"/>
                <w:lang w:val="sr-Cyrl-CS"/>
              </w:rPr>
              <w:t>2013.</w:t>
            </w:r>
          </w:p>
          <w:p w:rsidR="00697A86" w:rsidRPr="00697A86" w:rsidRDefault="00EC0788" w:rsidP="00697A86">
            <w:pPr>
              <w:jc w:val="center"/>
              <w:rPr>
                <w:rFonts w:ascii="Times New Roman" w:hAnsi="Times New Roman" w:cs="Times New Roman"/>
                <w:b/>
                <w:sz w:val="18"/>
                <w:szCs w:val="18"/>
                <w:lang w:val="sr-Cyrl-CS"/>
              </w:rPr>
            </w:pPr>
            <w:r>
              <w:rPr>
                <w:rFonts w:ascii="Times New Roman" w:hAnsi="Times New Roman" w:cs="Times New Roman"/>
                <w:b/>
                <w:sz w:val="18"/>
                <w:szCs w:val="18"/>
                <w:lang w:val="sr-Cyrl-CS"/>
              </w:rPr>
              <w:t>2</w:t>
            </w:r>
            <w:r w:rsidR="00697A86">
              <w:rPr>
                <w:rFonts w:ascii="Times New Roman" w:hAnsi="Times New Roman" w:cs="Times New Roman"/>
                <w:b/>
                <w:sz w:val="18"/>
                <w:szCs w:val="18"/>
                <w:lang w:val="sr-Cyrl-CS"/>
              </w:rPr>
              <w:t>. полугође</w:t>
            </w:r>
          </w:p>
        </w:tc>
      </w:tr>
      <w:tr w:rsidR="00B24274" w:rsidRPr="004E5018" w:rsidTr="00697A86">
        <w:tblPrEx>
          <w:tblLook w:val="04A0" w:firstRow="1" w:lastRow="0" w:firstColumn="1" w:lastColumn="0" w:noHBand="0" w:noVBand="1"/>
        </w:tblPrEx>
        <w:tc>
          <w:tcPr>
            <w:tcW w:w="1261" w:type="dxa"/>
            <w:tcBorders>
              <w:top w:val="single" w:sz="18" w:space="0" w:color="auto"/>
              <w:left w:val="single" w:sz="18" w:space="0" w:color="auto"/>
              <w:right w:val="single" w:sz="18" w:space="0" w:color="auto"/>
            </w:tcBorders>
            <w:vAlign w:val="center"/>
          </w:tcPr>
          <w:p w:rsidR="00697A86" w:rsidRPr="004E5018" w:rsidRDefault="00697A86"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Категорија</w:t>
            </w:r>
          </w:p>
        </w:tc>
        <w:tc>
          <w:tcPr>
            <w:tcW w:w="853" w:type="dxa"/>
            <w:tcBorders>
              <w:top w:val="single" w:sz="18" w:space="0" w:color="auto"/>
              <w:left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598" w:type="dxa"/>
            <w:tcBorders>
              <w:top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209" w:type="dxa"/>
            <w:tcBorders>
              <w:top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в</w:t>
            </w:r>
            <w:r w:rsidR="00697A86" w:rsidRPr="004E5018">
              <w:rPr>
                <w:rFonts w:ascii="Times New Roman" w:hAnsi="Times New Roman" w:cs="Times New Roman"/>
                <w:sz w:val="18"/>
                <w:szCs w:val="18"/>
              </w:rPr>
              <w:t>редност</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б</w:t>
            </w:r>
            <w:r w:rsidR="00697A86" w:rsidRPr="004E5018">
              <w:rPr>
                <w:rFonts w:ascii="Times New Roman" w:hAnsi="Times New Roman" w:cs="Times New Roman"/>
                <w:sz w:val="18"/>
                <w:szCs w:val="18"/>
              </w:rPr>
              <w:t>ез ПДВ-а*</w:t>
            </w:r>
          </w:p>
        </w:tc>
        <w:tc>
          <w:tcPr>
            <w:tcW w:w="540" w:type="dxa"/>
            <w:tcBorders>
              <w:top w:val="single" w:sz="18" w:space="0" w:color="auto"/>
              <w:right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853" w:type="dxa"/>
            <w:tcBorders>
              <w:top w:val="single" w:sz="18" w:space="0" w:color="auto"/>
              <w:left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564" w:type="dxa"/>
            <w:tcBorders>
              <w:top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209" w:type="dxa"/>
            <w:tcBorders>
              <w:top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в</w:t>
            </w:r>
            <w:r w:rsidR="00697A86" w:rsidRPr="004E5018">
              <w:rPr>
                <w:rFonts w:ascii="Times New Roman" w:hAnsi="Times New Roman" w:cs="Times New Roman"/>
                <w:sz w:val="18"/>
                <w:szCs w:val="18"/>
              </w:rPr>
              <w:t>редност</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б</w:t>
            </w:r>
            <w:r w:rsidR="00697A86" w:rsidRPr="004E5018">
              <w:rPr>
                <w:rFonts w:ascii="Times New Roman" w:hAnsi="Times New Roman" w:cs="Times New Roman"/>
                <w:sz w:val="18"/>
                <w:szCs w:val="18"/>
              </w:rPr>
              <w:t>ез ПДВ-а*</w:t>
            </w:r>
          </w:p>
        </w:tc>
        <w:tc>
          <w:tcPr>
            <w:tcW w:w="600" w:type="dxa"/>
            <w:tcBorders>
              <w:top w:val="single" w:sz="18" w:space="0" w:color="auto"/>
              <w:right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853" w:type="dxa"/>
            <w:tcBorders>
              <w:top w:val="single" w:sz="18" w:space="0" w:color="auto"/>
              <w:right w:val="single" w:sz="4"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503" w:type="dxa"/>
            <w:tcBorders>
              <w:top w:val="single" w:sz="18" w:space="0" w:color="auto"/>
              <w:left w:val="single" w:sz="4" w:space="0" w:color="auto"/>
              <w:right w:val="single" w:sz="4"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209" w:type="dxa"/>
            <w:tcBorders>
              <w:top w:val="single" w:sz="18" w:space="0" w:color="auto"/>
              <w:left w:val="single" w:sz="4" w:space="0" w:color="auto"/>
              <w:right w:val="single" w:sz="4"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в</w:t>
            </w:r>
            <w:r w:rsidR="00697A86" w:rsidRPr="004E5018">
              <w:rPr>
                <w:rFonts w:ascii="Times New Roman" w:hAnsi="Times New Roman" w:cs="Times New Roman"/>
                <w:sz w:val="18"/>
                <w:szCs w:val="18"/>
              </w:rPr>
              <w:t>редност</w:t>
            </w:r>
          </w:p>
          <w:p w:rsidR="00697A86" w:rsidRPr="004E5018" w:rsidRDefault="005F16BC" w:rsidP="00697A86">
            <w:pPr>
              <w:jc w:val="center"/>
              <w:rPr>
                <w:rFonts w:ascii="Times New Roman" w:hAnsi="Times New Roman" w:cs="Times New Roman"/>
                <w:sz w:val="18"/>
                <w:szCs w:val="18"/>
              </w:rPr>
            </w:pPr>
            <w:r>
              <w:rPr>
                <w:rFonts w:ascii="Times New Roman" w:hAnsi="Times New Roman" w:cs="Times New Roman"/>
                <w:sz w:val="18"/>
                <w:szCs w:val="18"/>
                <w:lang w:val="sr-Cyrl-RS"/>
              </w:rPr>
              <w:t>б</w:t>
            </w:r>
            <w:r w:rsidR="00697A86" w:rsidRPr="004E5018">
              <w:rPr>
                <w:rFonts w:ascii="Times New Roman" w:hAnsi="Times New Roman" w:cs="Times New Roman"/>
                <w:sz w:val="18"/>
                <w:szCs w:val="18"/>
              </w:rPr>
              <w:t>ез ПДВ-а*</w:t>
            </w:r>
          </w:p>
        </w:tc>
        <w:tc>
          <w:tcPr>
            <w:tcW w:w="503" w:type="dxa"/>
            <w:tcBorders>
              <w:top w:val="single" w:sz="18" w:space="0" w:color="auto"/>
              <w:left w:val="single" w:sz="4" w:space="0" w:color="auto"/>
              <w:right w:val="single" w:sz="18" w:space="0" w:color="auto"/>
            </w:tcBorders>
            <w:vAlign w:val="center"/>
          </w:tcPr>
          <w:p w:rsidR="00697A86" w:rsidRPr="004E5018" w:rsidRDefault="00697A86" w:rsidP="00697A86">
            <w:pPr>
              <w:jc w:val="center"/>
              <w:rPr>
                <w:rFonts w:ascii="Times New Roman" w:hAnsi="Times New Roman" w:cs="Times New Roman"/>
                <w:sz w:val="18"/>
                <w:szCs w:val="18"/>
              </w:rPr>
            </w:pPr>
            <w:r w:rsidRPr="004E5018">
              <w:rPr>
                <w:rFonts w:ascii="Times New Roman" w:hAnsi="Times New Roman" w:cs="Times New Roman"/>
                <w:sz w:val="18"/>
                <w:szCs w:val="18"/>
              </w:rPr>
              <w:t>%</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Органи државне управе</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428</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8</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3.038.129</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8</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251</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7</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1.392.324</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5</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177</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9</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1.645.805</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13</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Правосуђе</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17</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0</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13.870</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0</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8</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0</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7.593</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0</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9</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0</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6.277</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0</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Здравство и социјална заштита</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3.316</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59</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19.274.950</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49</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2.236</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62</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13.838.142</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52</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1.080</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55</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5.436.808</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44</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Култура</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373</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7</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488.646</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1</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68</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2</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34.710</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0</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305</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15</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453.936</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4</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Просвета, наука и спорт</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133</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2</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261.206</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1</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95</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3</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194.159</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1</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38</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lang w:val="sr-Cyrl-CS"/>
              </w:rPr>
            </w:pPr>
            <w:r>
              <w:rPr>
                <w:rFonts w:ascii="Calibri" w:hAnsi="Calibri" w:cs="Calibri"/>
                <w:color w:val="000000"/>
                <w:sz w:val="18"/>
                <w:szCs w:val="18"/>
                <w:lang w:val="sr-Cyrl-CS"/>
              </w:rPr>
              <w:t>3</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67.047</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1</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Државна јавна предузећа</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746</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13</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12.279.565</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31</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560</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15</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8.902.089</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33</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186</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9</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3.377.476</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27</w:t>
            </w:r>
          </w:p>
        </w:tc>
      </w:tr>
      <w:tr w:rsidR="0089637B" w:rsidRPr="004E5018" w:rsidTr="0089637B">
        <w:tblPrEx>
          <w:tblLook w:val="04A0" w:firstRow="1" w:lastRow="0" w:firstColumn="1" w:lastColumn="0" w:noHBand="0" w:noVBand="1"/>
        </w:tblPrEx>
        <w:tc>
          <w:tcPr>
            <w:tcW w:w="1261" w:type="dxa"/>
            <w:tcBorders>
              <w:left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Јавна предузећа-локална самоуправа</w:t>
            </w:r>
          </w:p>
        </w:tc>
        <w:tc>
          <w:tcPr>
            <w:tcW w:w="853" w:type="dxa"/>
            <w:tcBorders>
              <w:left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380</w:t>
            </w:r>
          </w:p>
        </w:tc>
        <w:tc>
          <w:tcPr>
            <w:tcW w:w="598" w:type="dxa"/>
            <w:vAlign w:val="center"/>
          </w:tcPr>
          <w:p w:rsidR="0089637B" w:rsidRPr="002E234F" w:rsidRDefault="0089637B" w:rsidP="00697A86">
            <w:pPr>
              <w:jc w:val="center"/>
              <w:rPr>
                <w:color w:val="000000"/>
                <w:sz w:val="18"/>
                <w:szCs w:val="18"/>
                <w:lang w:val="sr-Cyrl-CS"/>
              </w:rPr>
            </w:pPr>
            <w:r>
              <w:rPr>
                <w:color w:val="000000"/>
                <w:sz w:val="18"/>
                <w:szCs w:val="18"/>
                <w:lang w:val="sr-Cyrl-CS"/>
              </w:rPr>
              <w:t>7</w:t>
            </w:r>
          </w:p>
        </w:tc>
        <w:tc>
          <w:tcPr>
            <w:tcW w:w="1209" w:type="dxa"/>
            <w:vAlign w:val="center"/>
          </w:tcPr>
          <w:p w:rsidR="0089637B" w:rsidRPr="00D05FFD" w:rsidRDefault="0089637B" w:rsidP="00697A86">
            <w:pPr>
              <w:jc w:val="center"/>
              <w:rPr>
                <w:color w:val="000000"/>
                <w:sz w:val="18"/>
                <w:szCs w:val="18"/>
                <w:lang w:val="sr-Cyrl-CS"/>
              </w:rPr>
            </w:pPr>
            <w:r>
              <w:rPr>
                <w:color w:val="000000"/>
                <w:sz w:val="18"/>
                <w:szCs w:val="18"/>
                <w:lang w:val="sr-Cyrl-CS"/>
              </w:rPr>
              <w:t>2.405.663</w:t>
            </w:r>
          </w:p>
        </w:tc>
        <w:tc>
          <w:tcPr>
            <w:tcW w:w="540" w:type="dxa"/>
            <w:tcBorders>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6</w:t>
            </w:r>
          </w:p>
        </w:tc>
        <w:tc>
          <w:tcPr>
            <w:tcW w:w="853" w:type="dxa"/>
            <w:tcBorders>
              <w:left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247</w:t>
            </w:r>
          </w:p>
        </w:tc>
        <w:tc>
          <w:tcPr>
            <w:tcW w:w="564" w:type="dxa"/>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7</w:t>
            </w:r>
          </w:p>
        </w:tc>
        <w:tc>
          <w:tcPr>
            <w:tcW w:w="1209" w:type="dxa"/>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1.165.859</w:t>
            </w:r>
          </w:p>
        </w:tc>
        <w:tc>
          <w:tcPr>
            <w:tcW w:w="600" w:type="dxa"/>
            <w:tcBorders>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4</w:t>
            </w:r>
          </w:p>
        </w:tc>
        <w:tc>
          <w:tcPr>
            <w:tcW w:w="853" w:type="dxa"/>
            <w:tcBorders>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133</w:t>
            </w:r>
          </w:p>
        </w:tc>
        <w:tc>
          <w:tcPr>
            <w:tcW w:w="503" w:type="dxa"/>
            <w:tcBorders>
              <w:left w:val="single" w:sz="4"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7</w:t>
            </w:r>
          </w:p>
        </w:tc>
        <w:tc>
          <w:tcPr>
            <w:tcW w:w="1209" w:type="dxa"/>
            <w:tcBorders>
              <w:left w:val="single" w:sz="4"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1.239.804</w:t>
            </w:r>
          </w:p>
        </w:tc>
        <w:tc>
          <w:tcPr>
            <w:tcW w:w="503" w:type="dxa"/>
            <w:tcBorders>
              <w:left w:val="single" w:sz="4"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10</w:t>
            </w:r>
          </w:p>
        </w:tc>
      </w:tr>
      <w:tr w:rsidR="0089637B" w:rsidRPr="004E5018" w:rsidTr="0089637B">
        <w:tblPrEx>
          <w:tblLook w:val="04A0" w:firstRow="1" w:lastRow="0" w:firstColumn="1" w:lastColumn="0" w:noHBand="0" w:noVBand="1"/>
        </w:tblPrEx>
        <w:tc>
          <w:tcPr>
            <w:tcW w:w="1261" w:type="dxa"/>
            <w:tcBorders>
              <w:left w:val="single" w:sz="18" w:space="0" w:color="auto"/>
              <w:bottom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Градска и општинска управа</w:t>
            </w:r>
          </w:p>
        </w:tc>
        <w:tc>
          <w:tcPr>
            <w:tcW w:w="853" w:type="dxa"/>
            <w:tcBorders>
              <w:left w:val="single" w:sz="18" w:space="0" w:color="auto"/>
              <w:bottom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195</w:t>
            </w:r>
          </w:p>
        </w:tc>
        <w:tc>
          <w:tcPr>
            <w:tcW w:w="598" w:type="dxa"/>
            <w:tcBorders>
              <w:bottom w:val="single" w:sz="18" w:space="0" w:color="auto"/>
            </w:tcBorders>
            <w:vAlign w:val="center"/>
          </w:tcPr>
          <w:p w:rsidR="0089637B" w:rsidRPr="002E234F" w:rsidRDefault="0089637B" w:rsidP="00697A86">
            <w:pPr>
              <w:jc w:val="center"/>
              <w:rPr>
                <w:color w:val="000000"/>
                <w:sz w:val="18"/>
                <w:szCs w:val="18"/>
                <w:lang w:val="sr-Cyrl-CS"/>
              </w:rPr>
            </w:pPr>
            <w:r>
              <w:rPr>
                <w:color w:val="000000"/>
                <w:sz w:val="18"/>
                <w:szCs w:val="18"/>
                <w:lang w:val="sr-Cyrl-CS"/>
              </w:rPr>
              <w:t>4</w:t>
            </w:r>
          </w:p>
        </w:tc>
        <w:tc>
          <w:tcPr>
            <w:tcW w:w="1209" w:type="dxa"/>
            <w:tcBorders>
              <w:bottom w:val="single" w:sz="18" w:space="0" w:color="auto"/>
            </w:tcBorders>
            <w:vAlign w:val="center"/>
          </w:tcPr>
          <w:p w:rsidR="0089637B" w:rsidRPr="00D05FFD" w:rsidRDefault="0089637B" w:rsidP="00697A86">
            <w:pPr>
              <w:jc w:val="center"/>
              <w:rPr>
                <w:color w:val="000000"/>
                <w:sz w:val="18"/>
                <w:szCs w:val="18"/>
                <w:lang w:val="sr-Cyrl-CS"/>
              </w:rPr>
            </w:pPr>
            <w:r>
              <w:rPr>
                <w:color w:val="000000"/>
                <w:sz w:val="18"/>
                <w:szCs w:val="18"/>
                <w:lang w:val="sr-Cyrl-CS"/>
              </w:rPr>
              <w:t>1.456.170</w:t>
            </w:r>
          </w:p>
        </w:tc>
        <w:tc>
          <w:tcPr>
            <w:tcW w:w="540" w:type="dxa"/>
            <w:tcBorders>
              <w:bottom w:val="single" w:sz="18" w:space="0" w:color="auto"/>
              <w:right w:val="single" w:sz="18" w:space="0" w:color="auto"/>
            </w:tcBorders>
            <w:vAlign w:val="center"/>
          </w:tcPr>
          <w:p w:rsidR="0089637B" w:rsidRPr="00B24274" w:rsidRDefault="0089637B" w:rsidP="00D05FFD">
            <w:pPr>
              <w:jc w:val="center"/>
              <w:rPr>
                <w:rFonts w:cstheme="minorHAnsi"/>
                <w:color w:val="000000"/>
                <w:sz w:val="18"/>
                <w:szCs w:val="18"/>
              </w:rPr>
            </w:pPr>
            <w:r w:rsidRPr="00B24274">
              <w:rPr>
                <w:rFonts w:cstheme="minorHAnsi"/>
                <w:color w:val="000000"/>
                <w:sz w:val="18"/>
                <w:szCs w:val="18"/>
              </w:rPr>
              <w:t>4</w:t>
            </w:r>
          </w:p>
        </w:tc>
        <w:tc>
          <w:tcPr>
            <w:tcW w:w="853" w:type="dxa"/>
            <w:tcBorders>
              <w:left w:val="single" w:sz="18" w:space="0" w:color="auto"/>
              <w:bottom w:val="single" w:sz="18" w:space="0" w:color="auto"/>
            </w:tcBorders>
            <w:vAlign w:val="center"/>
          </w:tcPr>
          <w:p w:rsidR="0089637B" w:rsidRPr="00B24274"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152</w:t>
            </w:r>
          </w:p>
        </w:tc>
        <w:tc>
          <w:tcPr>
            <w:tcW w:w="564" w:type="dxa"/>
            <w:tcBorders>
              <w:bottom w:val="single" w:sz="18" w:space="0" w:color="auto"/>
            </w:tcBorders>
            <w:vAlign w:val="center"/>
          </w:tcPr>
          <w:p w:rsidR="0089637B" w:rsidRPr="00B24274" w:rsidRDefault="0089637B" w:rsidP="00B24274">
            <w:pPr>
              <w:jc w:val="center"/>
              <w:rPr>
                <w:rFonts w:ascii="Calibri" w:hAnsi="Calibri" w:cs="Calibri"/>
                <w:color w:val="000000"/>
                <w:sz w:val="18"/>
                <w:szCs w:val="18"/>
              </w:rPr>
            </w:pPr>
            <w:r w:rsidRPr="00B24274">
              <w:rPr>
                <w:rFonts w:ascii="Calibri" w:hAnsi="Calibri" w:cs="Calibri"/>
                <w:color w:val="000000"/>
                <w:sz w:val="18"/>
                <w:szCs w:val="18"/>
              </w:rPr>
              <w:t>4</w:t>
            </w:r>
          </w:p>
        </w:tc>
        <w:tc>
          <w:tcPr>
            <w:tcW w:w="1209" w:type="dxa"/>
            <w:tcBorders>
              <w:bottom w:val="single" w:sz="18"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1.270.491</w:t>
            </w:r>
          </w:p>
        </w:tc>
        <w:tc>
          <w:tcPr>
            <w:tcW w:w="600" w:type="dxa"/>
            <w:tcBorders>
              <w:bottom w:val="single" w:sz="18" w:space="0" w:color="auto"/>
              <w:right w:val="single" w:sz="18"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5</w:t>
            </w:r>
          </w:p>
        </w:tc>
        <w:tc>
          <w:tcPr>
            <w:tcW w:w="853" w:type="dxa"/>
            <w:tcBorders>
              <w:bottom w:val="single" w:sz="18" w:space="0" w:color="auto"/>
              <w:right w:val="single" w:sz="4" w:space="0" w:color="auto"/>
            </w:tcBorders>
            <w:vAlign w:val="center"/>
          </w:tcPr>
          <w:p w:rsidR="0089637B" w:rsidRPr="00EC0788"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43</w:t>
            </w:r>
          </w:p>
        </w:tc>
        <w:tc>
          <w:tcPr>
            <w:tcW w:w="503" w:type="dxa"/>
            <w:tcBorders>
              <w:left w:val="single" w:sz="4" w:space="0" w:color="auto"/>
              <w:bottom w:val="single" w:sz="18" w:space="0" w:color="auto"/>
              <w:right w:val="single" w:sz="4" w:space="0" w:color="auto"/>
            </w:tcBorders>
            <w:vAlign w:val="center"/>
          </w:tcPr>
          <w:p w:rsidR="0089637B" w:rsidRPr="00EC0788" w:rsidRDefault="0089637B" w:rsidP="00EC0788">
            <w:pPr>
              <w:jc w:val="center"/>
              <w:rPr>
                <w:rFonts w:ascii="Calibri" w:hAnsi="Calibri" w:cs="Calibri"/>
                <w:color w:val="000000"/>
                <w:sz w:val="18"/>
                <w:szCs w:val="18"/>
              </w:rPr>
            </w:pPr>
            <w:r w:rsidRPr="00EC0788">
              <w:rPr>
                <w:rFonts w:ascii="Calibri" w:hAnsi="Calibri" w:cs="Calibri"/>
                <w:color w:val="000000"/>
                <w:sz w:val="18"/>
                <w:szCs w:val="18"/>
              </w:rPr>
              <w:t>2</w:t>
            </w:r>
          </w:p>
        </w:tc>
        <w:tc>
          <w:tcPr>
            <w:tcW w:w="1209" w:type="dxa"/>
            <w:tcBorders>
              <w:left w:val="single" w:sz="4" w:space="0" w:color="auto"/>
              <w:bottom w:val="single" w:sz="18" w:space="0" w:color="auto"/>
              <w:right w:val="single" w:sz="4" w:space="0" w:color="auto"/>
            </w:tcBorders>
            <w:vAlign w:val="center"/>
          </w:tcPr>
          <w:p w:rsidR="0089637B" w:rsidRPr="0089637B" w:rsidRDefault="0089637B" w:rsidP="00697A86">
            <w:pPr>
              <w:jc w:val="center"/>
              <w:rPr>
                <w:rFonts w:ascii="Calibri" w:hAnsi="Calibri" w:cs="Calibri"/>
                <w:color w:val="000000"/>
                <w:sz w:val="18"/>
                <w:szCs w:val="18"/>
                <w:lang w:val="sr-Cyrl-CS"/>
              </w:rPr>
            </w:pPr>
            <w:r>
              <w:rPr>
                <w:rFonts w:ascii="Calibri" w:hAnsi="Calibri" w:cs="Calibri"/>
                <w:color w:val="000000"/>
                <w:sz w:val="18"/>
                <w:szCs w:val="18"/>
                <w:lang w:val="sr-Cyrl-CS"/>
              </w:rPr>
              <w:t>185.679</w:t>
            </w:r>
          </w:p>
        </w:tc>
        <w:tc>
          <w:tcPr>
            <w:tcW w:w="503" w:type="dxa"/>
            <w:tcBorders>
              <w:left w:val="single" w:sz="4" w:space="0" w:color="auto"/>
              <w:bottom w:val="single" w:sz="18" w:space="0" w:color="auto"/>
              <w:right w:val="single" w:sz="18" w:space="0" w:color="auto"/>
            </w:tcBorders>
            <w:vAlign w:val="center"/>
          </w:tcPr>
          <w:p w:rsidR="0089637B" w:rsidRPr="0089637B" w:rsidRDefault="0089637B" w:rsidP="0089637B">
            <w:pPr>
              <w:jc w:val="center"/>
              <w:rPr>
                <w:rFonts w:ascii="Calibri" w:hAnsi="Calibri" w:cs="Calibri"/>
                <w:color w:val="000000"/>
                <w:sz w:val="18"/>
                <w:szCs w:val="18"/>
              </w:rPr>
            </w:pPr>
            <w:r w:rsidRPr="0089637B">
              <w:rPr>
                <w:rFonts w:ascii="Calibri" w:hAnsi="Calibri" w:cs="Calibri"/>
                <w:color w:val="000000"/>
                <w:sz w:val="18"/>
                <w:szCs w:val="18"/>
              </w:rPr>
              <w:t>1</w:t>
            </w:r>
          </w:p>
        </w:tc>
      </w:tr>
      <w:tr w:rsidR="0089637B" w:rsidRPr="004E5018" w:rsidTr="0089637B">
        <w:tblPrEx>
          <w:tblLook w:val="04A0" w:firstRow="1" w:lastRow="0" w:firstColumn="1" w:lastColumn="0" w:noHBand="0" w:noVBand="1"/>
        </w:tblPrEx>
        <w:tc>
          <w:tcPr>
            <w:tcW w:w="1261" w:type="dxa"/>
            <w:tcBorders>
              <w:top w:val="single" w:sz="18" w:space="0" w:color="auto"/>
              <w:left w:val="single" w:sz="18" w:space="0" w:color="auto"/>
              <w:bottom w:val="single" w:sz="18" w:space="0" w:color="auto"/>
              <w:right w:val="single" w:sz="18" w:space="0" w:color="auto"/>
            </w:tcBorders>
            <w:vAlign w:val="center"/>
          </w:tcPr>
          <w:p w:rsidR="0089637B" w:rsidRPr="004E5018" w:rsidRDefault="0089637B" w:rsidP="00697A86">
            <w:pPr>
              <w:jc w:val="center"/>
              <w:rPr>
                <w:rFonts w:ascii="Times New Roman" w:hAnsi="Times New Roman" w:cs="Times New Roman"/>
                <w:b/>
                <w:sz w:val="18"/>
                <w:szCs w:val="18"/>
              </w:rPr>
            </w:pPr>
            <w:r w:rsidRPr="004E5018">
              <w:rPr>
                <w:rFonts w:ascii="Times New Roman" w:hAnsi="Times New Roman" w:cs="Times New Roman"/>
                <w:b/>
                <w:sz w:val="18"/>
                <w:szCs w:val="18"/>
              </w:rPr>
              <w:t>Укупно</w:t>
            </w:r>
          </w:p>
        </w:tc>
        <w:tc>
          <w:tcPr>
            <w:tcW w:w="853" w:type="dxa"/>
            <w:tcBorders>
              <w:top w:val="single" w:sz="18" w:space="0" w:color="auto"/>
              <w:left w:val="single" w:sz="18" w:space="0" w:color="auto"/>
              <w:bottom w:val="single" w:sz="18" w:space="0" w:color="auto"/>
            </w:tcBorders>
            <w:vAlign w:val="center"/>
          </w:tcPr>
          <w:p w:rsidR="0089637B" w:rsidRPr="002E234F" w:rsidRDefault="0089637B" w:rsidP="00697A86">
            <w:pPr>
              <w:jc w:val="center"/>
              <w:rPr>
                <w:b/>
                <w:bCs/>
                <w:color w:val="000000"/>
                <w:sz w:val="18"/>
                <w:szCs w:val="18"/>
                <w:lang w:val="sr-Cyrl-CS"/>
              </w:rPr>
            </w:pPr>
            <w:r>
              <w:rPr>
                <w:b/>
                <w:bCs/>
                <w:color w:val="000000"/>
                <w:sz w:val="18"/>
                <w:szCs w:val="18"/>
                <w:lang w:val="sr-Cyrl-CS"/>
              </w:rPr>
              <w:t>5.588</w:t>
            </w:r>
          </w:p>
        </w:tc>
        <w:tc>
          <w:tcPr>
            <w:tcW w:w="598" w:type="dxa"/>
            <w:tcBorders>
              <w:top w:val="single" w:sz="18" w:space="0" w:color="auto"/>
              <w:bottom w:val="single" w:sz="18" w:space="0" w:color="auto"/>
            </w:tcBorders>
            <w:vAlign w:val="center"/>
          </w:tcPr>
          <w:p w:rsidR="0089637B" w:rsidRPr="002E234F" w:rsidRDefault="0089637B" w:rsidP="00697A86">
            <w:pPr>
              <w:jc w:val="center"/>
              <w:rPr>
                <w:b/>
                <w:color w:val="000000"/>
                <w:sz w:val="18"/>
                <w:szCs w:val="18"/>
                <w:lang w:val="sr-Cyrl-CS"/>
              </w:rPr>
            </w:pPr>
            <w:r>
              <w:rPr>
                <w:b/>
                <w:color w:val="000000"/>
                <w:sz w:val="18"/>
                <w:szCs w:val="18"/>
                <w:lang w:val="sr-Cyrl-CS"/>
              </w:rPr>
              <w:t>100</w:t>
            </w:r>
          </w:p>
        </w:tc>
        <w:tc>
          <w:tcPr>
            <w:tcW w:w="1209" w:type="dxa"/>
            <w:tcBorders>
              <w:top w:val="single" w:sz="18" w:space="0" w:color="auto"/>
              <w:bottom w:val="single" w:sz="18" w:space="0" w:color="auto"/>
            </w:tcBorders>
            <w:vAlign w:val="center"/>
          </w:tcPr>
          <w:p w:rsidR="0089637B" w:rsidRPr="00D05FFD" w:rsidRDefault="0089637B" w:rsidP="00697A86">
            <w:pPr>
              <w:jc w:val="center"/>
              <w:rPr>
                <w:b/>
                <w:bCs/>
                <w:color w:val="000000"/>
                <w:sz w:val="18"/>
                <w:szCs w:val="18"/>
                <w:lang w:val="sr-Cyrl-CS"/>
              </w:rPr>
            </w:pPr>
            <w:r>
              <w:rPr>
                <w:b/>
                <w:bCs/>
                <w:color w:val="000000"/>
                <w:sz w:val="18"/>
                <w:szCs w:val="18"/>
                <w:lang w:val="sr-Cyrl-CS"/>
              </w:rPr>
              <w:t>39.218.199</w:t>
            </w:r>
          </w:p>
        </w:tc>
        <w:tc>
          <w:tcPr>
            <w:tcW w:w="540" w:type="dxa"/>
            <w:tcBorders>
              <w:top w:val="single" w:sz="18" w:space="0" w:color="auto"/>
              <w:bottom w:val="single" w:sz="18" w:space="0" w:color="auto"/>
              <w:right w:val="single" w:sz="18" w:space="0" w:color="auto"/>
            </w:tcBorders>
            <w:vAlign w:val="center"/>
          </w:tcPr>
          <w:p w:rsidR="0089637B" w:rsidRPr="00B24274" w:rsidRDefault="0089637B" w:rsidP="00D05FFD">
            <w:pPr>
              <w:jc w:val="center"/>
              <w:rPr>
                <w:rFonts w:cstheme="minorHAnsi"/>
                <w:b/>
                <w:color w:val="000000"/>
                <w:sz w:val="18"/>
                <w:szCs w:val="18"/>
              </w:rPr>
            </w:pPr>
            <w:r w:rsidRPr="00B24274">
              <w:rPr>
                <w:rFonts w:cstheme="minorHAnsi"/>
                <w:b/>
                <w:color w:val="000000"/>
                <w:sz w:val="18"/>
                <w:szCs w:val="18"/>
              </w:rPr>
              <w:t>100</w:t>
            </w:r>
          </w:p>
        </w:tc>
        <w:tc>
          <w:tcPr>
            <w:tcW w:w="853" w:type="dxa"/>
            <w:tcBorders>
              <w:top w:val="single" w:sz="18" w:space="0" w:color="auto"/>
              <w:left w:val="single" w:sz="18" w:space="0" w:color="auto"/>
              <w:bottom w:val="single" w:sz="18" w:space="0" w:color="auto"/>
            </w:tcBorders>
            <w:vAlign w:val="center"/>
          </w:tcPr>
          <w:p w:rsidR="0089637B" w:rsidRPr="00B24274" w:rsidRDefault="0089637B" w:rsidP="00697A86">
            <w:pPr>
              <w:jc w:val="center"/>
              <w:rPr>
                <w:rFonts w:ascii="Calibri" w:hAnsi="Calibri" w:cs="Calibri"/>
                <w:b/>
                <w:bCs/>
                <w:color w:val="000000"/>
                <w:sz w:val="18"/>
                <w:szCs w:val="18"/>
                <w:lang w:val="sr-Cyrl-CS"/>
              </w:rPr>
            </w:pPr>
            <w:r>
              <w:rPr>
                <w:rFonts w:ascii="Calibri" w:hAnsi="Calibri" w:cs="Calibri"/>
                <w:b/>
                <w:bCs/>
                <w:color w:val="000000"/>
                <w:sz w:val="18"/>
                <w:szCs w:val="18"/>
                <w:lang w:val="sr-Cyrl-CS"/>
              </w:rPr>
              <w:t>3.617</w:t>
            </w:r>
          </w:p>
        </w:tc>
        <w:tc>
          <w:tcPr>
            <w:tcW w:w="564" w:type="dxa"/>
            <w:tcBorders>
              <w:top w:val="single" w:sz="18" w:space="0" w:color="auto"/>
              <w:bottom w:val="single" w:sz="18" w:space="0" w:color="auto"/>
            </w:tcBorders>
            <w:vAlign w:val="center"/>
          </w:tcPr>
          <w:p w:rsidR="0089637B" w:rsidRPr="00B24274" w:rsidRDefault="0089637B" w:rsidP="00B24274">
            <w:pPr>
              <w:jc w:val="center"/>
              <w:rPr>
                <w:rFonts w:ascii="Calibri" w:hAnsi="Calibri" w:cs="Calibri"/>
                <w:b/>
                <w:color w:val="000000"/>
                <w:sz w:val="18"/>
                <w:szCs w:val="18"/>
              </w:rPr>
            </w:pPr>
            <w:r w:rsidRPr="00B24274">
              <w:rPr>
                <w:rFonts w:ascii="Calibri" w:hAnsi="Calibri" w:cs="Calibri"/>
                <w:b/>
                <w:color w:val="000000"/>
                <w:sz w:val="18"/>
                <w:szCs w:val="18"/>
              </w:rPr>
              <w:t>100</w:t>
            </w:r>
          </w:p>
        </w:tc>
        <w:tc>
          <w:tcPr>
            <w:tcW w:w="1209" w:type="dxa"/>
            <w:tcBorders>
              <w:top w:val="single" w:sz="18" w:space="0" w:color="auto"/>
              <w:bottom w:val="single" w:sz="18" w:space="0" w:color="auto"/>
            </w:tcBorders>
            <w:vAlign w:val="center"/>
          </w:tcPr>
          <w:p w:rsidR="0089637B" w:rsidRPr="00EC0788" w:rsidRDefault="0089637B" w:rsidP="00697A86">
            <w:pPr>
              <w:jc w:val="center"/>
              <w:rPr>
                <w:rFonts w:ascii="Calibri" w:hAnsi="Calibri" w:cs="Calibri"/>
                <w:b/>
                <w:bCs/>
                <w:color w:val="000000"/>
                <w:sz w:val="18"/>
                <w:szCs w:val="18"/>
                <w:lang w:val="sr-Cyrl-CS"/>
              </w:rPr>
            </w:pPr>
            <w:r>
              <w:rPr>
                <w:rFonts w:ascii="Calibri" w:hAnsi="Calibri" w:cs="Calibri"/>
                <w:b/>
                <w:bCs/>
                <w:color w:val="000000"/>
                <w:sz w:val="18"/>
                <w:szCs w:val="18"/>
                <w:lang w:val="sr-Cyrl-CS"/>
              </w:rPr>
              <w:t>26.805.367</w:t>
            </w:r>
          </w:p>
        </w:tc>
        <w:tc>
          <w:tcPr>
            <w:tcW w:w="600" w:type="dxa"/>
            <w:tcBorders>
              <w:top w:val="single" w:sz="18" w:space="0" w:color="auto"/>
              <w:bottom w:val="single" w:sz="18" w:space="0" w:color="auto"/>
              <w:right w:val="single" w:sz="18" w:space="0" w:color="auto"/>
            </w:tcBorders>
            <w:vAlign w:val="center"/>
          </w:tcPr>
          <w:p w:rsidR="0089637B" w:rsidRPr="00EC0788" w:rsidRDefault="0089637B" w:rsidP="00EC0788">
            <w:pPr>
              <w:jc w:val="center"/>
              <w:rPr>
                <w:rFonts w:ascii="Calibri" w:hAnsi="Calibri" w:cs="Calibri"/>
                <w:b/>
                <w:color w:val="000000"/>
                <w:sz w:val="18"/>
                <w:szCs w:val="18"/>
              </w:rPr>
            </w:pPr>
            <w:r w:rsidRPr="00EC0788">
              <w:rPr>
                <w:rFonts w:ascii="Calibri" w:hAnsi="Calibri" w:cs="Calibri"/>
                <w:b/>
                <w:color w:val="000000"/>
                <w:sz w:val="18"/>
                <w:szCs w:val="18"/>
              </w:rPr>
              <w:t>100</w:t>
            </w:r>
          </w:p>
        </w:tc>
        <w:tc>
          <w:tcPr>
            <w:tcW w:w="853" w:type="dxa"/>
            <w:tcBorders>
              <w:top w:val="single" w:sz="18" w:space="0" w:color="auto"/>
              <w:bottom w:val="single" w:sz="18" w:space="0" w:color="auto"/>
              <w:right w:val="single" w:sz="4" w:space="0" w:color="auto"/>
            </w:tcBorders>
            <w:vAlign w:val="center"/>
          </w:tcPr>
          <w:p w:rsidR="0089637B" w:rsidRPr="00EC0788" w:rsidRDefault="0089637B" w:rsidP="00697A86">
            <w:pPr>
              <w:jc w:val="center"/>
              <w:rPr>
                <w:rFonts w:ascii="Calibri" w:hAnsi="Calibri" w:cs="Calibri"/>
                <w:b/>
                <w:color w:val="000000"/>
                <w:sz w:val="18"/>
                <w:szCs w:val="18"/>
                <w:lang w:val="sr-Cyrl-CS"/>
              </w:rPr>
            </w:pPr>
            <w:r>
              <w:rPr>
                <w:rFonts w:ascii="Calibri" w:hAnsi="Calibri" w:cs="Calibri"/>
                <w:b/>
                <w:color w:val="000000"/>
                <w:sz w:val="18"/>
                <w:szCs w:val="18"/>
                <w:lang w:val="sr-Cyrl-CS"/>
              </w:rPr>
              <w:t>1.971</w:t>
            </w:r>
          </w:p>
        </w:tc>
        <w:tc>
          <w:tcPr>
            <w:tcW w:w="503" w:type="dxa"/>
            <w:tcBorders>
              <w:top w:val="single" w:sz="18" w:space="0" w:color="auto"/>
              <w:left w:val="single" w:sz="4" w:space="0" w:color="auto"/>
              <w:bottom w:val="single" w:sz="18" w:space="0" w:color="auto"/>
              <w:right w:val="single" w:sz="4" w:space="0" w:color="auto"/>
            </w:tcBorders>
            <w:vAlign w:val="center"/>
          </w:tcPr>
          <w:p w:rsidR="0089637B" w:rsidRPr="00F51000" w:rsidRDefault="0089637B" w:rsidP="00EC0788">
            <w:pPr>
              <w:jc w:val="center"/>
              <w:rPr>
                <w:rFonts w:ascii="Calibri" w:hAnsi="Calibri" w:cs="Calibri"/>
                <w:b/>
                <w:color w:val="000000"/>
                <w:sz w:val="18"/>
                <w:szCs w:val="18"/>
              </w:rPr>
            </w:pPr>
            <w:r w:rsidRPr="00F51000">
              <w:rPr>
                <w:rFonts w:ascii="Calibri" w:hAnsi="Calibri" w:cs="Calibri"/>
                <w:b/>
                <w:color w:val="000000"/>
                <w:sz w:val="18"/>
                <w:szCs w:val="18"/>
              </w:rPr>
              <w:t>100</w:t>
            </w:r>
          </w:p>
        </w:tc>
        <w:tc>
          <w:tcPr>
            <w:tcW w:w="1209" w:type="dxa"/>
            <w:tcBorders>
              <w:top w:val="single" w:sz="18" w:space="0" w:color="auto"/>
              <w:left w:val="single" w:sz="4" w:space="0" w:color="auto"/>
              <w:bottom w:val="single" w:sz="18" w:space="0" w:color="auto"/>
              <w:right w:val="single" w:sz="4" w:space="0" w:color="auto"/>
            </w:tcBorders>
            <w:vAlign w:val="center"/>
          </w:tcPr>
          <w:p w:rsidR="0089637B" w:rsidRPr="0089637B" w:rsidRDefault="0089637B" w:rsidP="00697A86">
            <w:pPr>
              <w:jc w:val="center"/>
              <w:rPr>
                <w:rFonts w:ascii="Calibri" w:hAnsi="Calibri" w:cs="Calibri"/>
                <w:b/>
                <w:color w:val="000000"/>
                <w:sz w:val="18"/>
                <w:szCs w:val="18"/>
                <w:lang w:val="sr-Cyrl-CS"/>
              </w:rPr>
            </w:pPr>
            <w:r>
              <w:rPr>
                <w:rFonts w:ascii="Calibri" w:hAnsi="Calibri" w:cs="Calibri"/>
                <w:b/>
                <w:color w:val="000000"/>
                <w:sz w:val="18"/>
                <w:szCs w:val="18"/>
                <w:lang w:val="sr-Cyrl-CS"/>
              </w:rPr>
              <w:t>12.412.832</w:t>
            </w:r>
          </w:p>
        </w:tc>
        <w:tc>
          <w:tcPr>
            <w:tcW w:w="503" w:type="dxa"/>
            <w:tcBorders>
              <w:top w:val="single" w:sz="18" w:space="0" w:color="auto"/>
              <w:left w:val="single" w:sz="4" w:space="0" w:color="auto"/>
              <w:bottom w:val="single" w:sz="18" w:space="0" w:color="auto"/>
              <w:right w:val="single" w:sz="18" w:space="0" w:color="auto"/>
            </w:tcBorders>
            <w:vAlign w:val="center"/>
          </w:tcPr>
          <w:p w:rsidR="0089637B" w:rsidRPr="0089637B" w:rsidRDefault="0089637B" w:rsidP="0089637B">
            <w:pPr>
              <w:jc w:val="center"/>
              <w:rPr>
                <w:rFonts w:ascii="Calibri" w:hAnsi="Calibri" w:cs="Calibri"/>
                <w:b/>
                <w:color w:val="000000"/>
                <w:sz w:val="18"/>
                <w:szCs w:val="18"/>
              </w:rPr>
            </w:pPr>
            <w:r w:rsidRPr="0089637B">
              <w:rPr>
                <w:rFonts w:ascii="Calibri" w:hAnsi="Calibri" w:cs="Calibri"/>
                <w:b/>
                <w:color w:val="000000"/>
                <w:sz w:val="18"/>
                <w:szCs w:val="18"/>
              </w:rPr>
              <w:t>100</w:t>
            </w:r>
          </w:p>
        </w:tc>
      </w:tr>
    </w:tbl>
    <w:p w:rsidR="00FC3DDD" w:rsidRPr="00BE14E5" w:rsidRDefault="004E5018" w:rsidP="004E5018">
      <w:pPr>
        <w:rPr>
          <w:rFonts w:ascii="Times New Roman" w:hAnsi="Times New Roman" w:cs="Times New Roman"/>
        </w:rPr>
      </w:pPr>
      <w:r w:rsidRPr="00BE14E5">
        <w:rPr>
          <w:rFonts w:ascii="Times New Roman" w:hAnsi="Times New Roman" w:cs="Times New Roman"/>
        </w:rPr>
        <w:t>*вреднос</w:t>
      </w:r>
      <w:r w:rsidR="00C922D1" w:rsidRPr="00BE14E5">
        <w:rPr>
          <w:rFonts w:ascii="Times New Roman" w:hAnsi="Times New Roman" w:cs="Times New Roman"/>
        </w:rPr>
        <w:t>ти су изражене</w:t>
      </w:r>
      <w:r w:rsidR="00FC3DDD" w:rsidRPr="00BE14E5">
        <w:rPr>
          <w:rFonts w:ascii="Times New Roman" w:hAnsi="Times New Roman" w:cs="Times New Roman"/>
        </w:rPr>
        <w:t xml:space="preserve"> у хиљадама динар</w:t>
      </w:r>
      <w:r w:rsidR="00C922D1" w:rsidRPr="00BE14E5">
        <w:rPr>
          <w:rFonts w:ascii="Times New Roman" w:hAnsi="Times New Roman" w:cs="Times New Roman"/>
        </w:rPr>
        <w:t>а</w:t>
      </w:r>
    </w:p>
    <w:p w:rsidR="002A6366" w:rsidRDefault="00D56073" w:rsidP="00FE45ED">
      <w:pPr>
        <w:jc w:val="both"/>
        <w:rPr>
          <w:rFonts w:ascii="Times New Roman" w:hAnsi="Times New Roman" w:cs="Times New Roman"/>
          <w:sz w:val="24"/>
          <w:szCs w:val="24"/>
        </w:rPr>
      </w:pPr>
      <w:r>
        <w:rPr>
          <w:rFonts w:ascii="Times New Roman" w:hAnsi="Times New Roman" w:cs="Times New Roman"/>
          <w:sz w:val="24"/>
          <w:szCs w:val="24"/>
        </w:rPr>
        <w:t>Преговарачки поступ</w:t>
      </w:r>
      <w:r w:rsidR="00FE45ED">
        <w:rPr>
          <w:rFonts w:ascii="Times New Roman" w:hAnsi="Times New Roman" w:cs="Times New Roman"/>
          <w:sz w:val="24"/>
          <w:szCs w:val="24"/>
        </w:rPr>
        <w:t xml:space="preserve">ак </w:t>
      </w:r>
      <w:r>
        <w:rPr>
          <w:rFonts w:ascii="Times New Roman" w:hAnsi="Times New Roman" w:cs="Times New Roman"/>
          <w:sz w:val="24"/>
          <w:szCs w:val="24"/>
        </w:rPr>
        <w:t>без објављивања би</w:t>
      </w:r>
      <w:r w:rsidR="00FE45ED">
        <w:rPr>
          <w:rFonts w:ascii="Times New Roman" w:hAnsi="Times New Roman" w:cs="Times New Roman"/>
          <w:sz w:val="24"/>
          <w:szCs w:val="24"/>
        </w:rPr>
        <w:t>о</w:t>
      </w:r>
      <w:r w:rsidR="00230198">
        <w:rPr>
          <w:rFonts w:ascii="Times New Roman" w:hAnsi="Times New Roman" w:cs="Times New Roman"/>
          <w:sz w:val="24"/>
          <w:szCs w:val="24"/>
        </w:rPr>
        <w:t xml:space="preserve"> </w:t>
      </w:r>
      <w:r w:rsidR="00FE45ED">
        <w:rPr>
          <w:rFonts w:ascii="Times New Roman" w:hAnsi="Times New Roman" w:cs="Times New Roman"/>
          <w:sz w:val="24"/>
          <w:szCs w:val="24"/>
        </w:rPr>
        <w:t>је</w:t>
      </w:r>
      <w:r w:rsidR="002A6366">
        <w:rPr>
          <w:rFonts w:ascii="Times New Roman" w:hAnsi="Times New Roman" w:cs="Times New Roman"/>
          <w:sz w:val="24"/>
          <w:szCs w:val="24"/>
        </w:rPr>
        <w:t>, у 2013. години,</w:t>
      </w:r>
      <w:r>
        <w:rPr>
          <w:rFonts w:ascii="Times New Roman" w:hAnsi="Times New Roman" w:cs="Times New Roman"/>
          <w:sz w:val="24"/>
          <w:szCs w:val="24"/>
        </w:rPr>
        <w:t xml:space="preserve"> најзаступљенији </w:t>
      </w:r>
      <w:r w:rsidR="00230198">
        <w:rPr>
          <w:rFonts w:ascii="Times New Roman" w:hAnsi="Times New Roman" w:cs="Times New Roman"/>
          <w:sz w:val="24"/>
          <w:szCs w:val="24"/>
        </w:rPr>
        <w:t xml:space="preserve">у здравству </w:t>
      </w:r>
      <w:r>
        <w:rPr>
          <w:rFonts w:ascii="Times New Roman" w:hAnsi="Times New Roman" w:cs="Times New Roman"/>
          <w:sz w:val="24"/>
          <w:szCs w:val="24"/>
        </w:rPr>
        <w:t>(4</w:t>
      </w:r>
      <w:r w:rsidR="00230198">
        <w:rPr>
          <w:rFonts w:ascii="Times New Roman" w:hAnsi="Times New Roman" w:cs="Times New Roman"/>
          <w:sz w:val="24"/>
          <w:szCs w:val="24"/>
        </w:rPr>
        <w:t>9</w:t>
      </w:r>
      <w:r>
        <w:rPr>
          <w:rFonts w:ascii="Times New Roman" w:hAnsi="Times New Roman" w:cs="Times New Roman"/>
          <w:sz w:val="24"/>
          <w:szCs w:val="24"/>
        </w:rPr>
        <w:t xml:space="preserve">%) и </w:t>
      </w:r>
      <w:r w:rsidR="00230198">
        <w:rPr>
          <w:rFonts w:ascii="Times New Roman" w:hAnsi="Times New Roman" w:cs="Times New Roman"/>
          <w:sz w:val="24"/>
          <w:szCs w:val="24"/>
        </w:rPr>
        <w:t xml:space="preserve">јавним предузећима </w:t>
      </w:r>
      <w:r>
        <w:rPr>
          <w:rFonts w:ascii="Times New Roman" w:hAnsi="Times New Roman" w:cs="Times New Roman"/>
          <w:sz w:val="24"/>
          <w:szCs w:val="24"/>
        </w:rPr>
        <w:t>(</w:t>
      </w:r>
      <w:r w:rsidR="00230198">
        <w:rPr>
          <w:rFonts w:ascii="Times New Roman" w:hAnsi="Times New Roman" w:cs="Times New Roman"/>
          <w:sz w:val="24"/>
          <w:szCs w:val="24"/>
        </w:rPr>
        <w:t>31</w:t>
      </w:r>
      <w:r>
        <w:rPr>
          <w:rFonts w:ascii="Times New Roman" w:hAnsi="Times New Roman" w:cs="Times New Roman"/>
          <w:sz w:val="24"/>
          <w:szCs w:val="24"/>
        </w:rPr>
        <w:t xml:space="preserve">%) </w:t>
      </w:r>
      <w:r w:rsidR="00230198">
        <w:rPr>
          <w:rFonts w:ascii="Times New Roman" w:hAnsi="Times New Roman" w:cs="Times New Roman"/>
          <w:sz w:val="24"/>
          <w:szCs w:val="24"/>
        </w:rPr>
        <w:t>што значи д</w:t>
      </w:r>
      <w:r>
        <w:rPr>
          <w:rFonts w:ascii="Times New Roman" w:hAnsi="Times New Roman" w:cs="Times New Roman"/>
          <w:sz w:val="24"/>
          <w:szCs w:val="24"/>
        </w:rPr>
        <w:t xml:space="preserve">а су </w:t>
      </w:r>
      <w:r w:rsidR="00CA10A3">
        <w:rPr>
          <w:rFonts w:ascii="Times New Roman" w:hAnsi="Times New Roman" w:cs="Times New Roman"/>
          <w:sz w:val="24"/>
          <w:szCs w:val="24"/>
        </w:rPr>
        <w:t xml:space="preserve">наручиоци из ове две категорије реализовали </w:t>
      </w:r>
      <w:r w:rsidR="00230198">
        <w:rPr>
          <w:rFonts w:ascii="Times New Roman" w:hAnsi="Times New Roman" w:cs="Times New Roman"/>
          <w:sz w:val="24"/>
          <w:szCs w:val="24"/>
        </w:rPr>
        <w:t>4/5 у</w:t>
      </w:r>
      <w:r w:rsidR="00CA10A3">
        <w:rPr>
          <w:rFonts w:ascii="Times New Roman" w:hAnsi="Times New Roman" w:cs="Times New Roman"/>
          <w:sz w:val="24"/>
          <w:szCs w:val="24"/>
        </w:rPr>
        <w:t>купне вредности преговарачк</w:t>
      </w:r>
      <w:r w:rsidR="00FE45ED">
        <w:rPr>
          <w:rFonts w:ascii="Times New Roman" w:hAnsi="Times New Roman" w:cs="Times New Roman"/>
          <w:sz w:val="24"/>
          <w:szCs w:val="24"/>
        </w:rPr>
        <w:t>ог</w:t>
      </w:r>
      <w:r w:rsidR="00CA10A3">
        <w:rPr>
          <w:rFonts w:ascii="Times New Roman" w:hAnsi="Times New Roman" w:cs="Times New Roman"/>
          <w:sz w:val="24"/>
          <w:szCs w:val="24"/>
        </w:rPr>
        <w:t xml:space="preserve"> поступка</w:t>
      </w:r>
      <w:r w:rsidR="00230198">
        <w:rPr>
          <w:rFonts w:ascii="Times New Roman" w:hAnsi="Times New Roman" w:cs="Times New Roman"/>
          <w:sz w:val="24"/>
          <w:szCs w:val="24"/>
        </w:rPr>
        <w:t xml:space="preserve"> без објављивања </w:t>
      </w:r>
      <w:r w:rsidR="00443A88">
        <w:rPr>
          <w:rFonts w:ascii="Times New Roman" w:hAnsi="Times New Roman" w:cs="Times New Roman"/>
          <w:sz w:val="24"/>
          <w:szCs w:val="24"/>
          <w:lang w:val="sr-Cyrl-RS"/>
        </w:rPr>
        <w:t>позива за подношење понуда</w:t>
      </w:r>
      <w:r w:rsidR="00CA10A3">
        <w:rPr>
          <w:rFonts w:ascii="Times New Roman" w:hAnsi="Times New Roman" w:cs="Times New Roman"/>
          <w:sz w:val="24"/>
          <w:szCs w:val="24"/>
        </w:rPr>
        <w:t xml:space="preserve">. </w:t>
      </w:r>
      <w:r w:rsidR="002A6366">
        <w:rPr>
          <w:rFonts w:ascii="Times New Roman" w:hAnsi="Times New Roman" w:cs="Times New Roman"/>
          <w:sz w:val="24"/>
          <w:szCs w:val="24"/>
        </w:rPr>
        <w:t xml:space="preserve">Код обе категорије наручилаца дошло је до благог смањивања учешћа у укупној вредности преговарачког поступка у другом полугодишту </w:t>
      </w:r>
      <w:r w:rsidR="00803B5D">
        <w:rPr>
          <w:rFonts w:ascii="Times New Roman" w:hAnsi="Times New Roman" w:cs="Times New Roman"/>
          <w:sz w:val="24"/>
          <w:szCs w:val="24"/>
        </w:rPr>
        <w:t xml:space="preserve">2013. </w:t>
      </w:r>
      <w:r w:rsidR="002A6366">
        <w:rPr>
          <w:rFonts w:ascii="Times New Roman" w:hAnsi="Times New Roman" w:cs="Times New Roman"/>
          <w:sz w:val="24"/>
          <w:szCs w:val="24"/>
        </w:rPr>
        <w:t>у односу на прво</w:t>
      </w:r>
      <w:r w:rsidR="00803B5D">
        <w:rPr>
          <w:rFonts w:ascii="Times New Roman" w:hAnsi="Times New Roman" w:cs="Times New Roman"/>
          <w:sz w:val="24"/>
          <w:szCs w:val="24"/>
        </w:rPr>
        <w:t xml:space="preserve"> полугодиште</w:t>
      </w:r>
      <w:r w:rsidR="002A6366">
        <w:rPr>
          <w:rFonts w:ascii="Times New Roman" w:hAnsi="Times New Roman" w:cs="Times New Roman"/>
          <w:sz w:val="24"/>
          <w:szCs w:val="24"/>
        </w:rPr>
        <w:t>, али је њихов удео и даље доминантан са 71% (Табела 5)</w:t>
      </w:r>
      <w:r w:rsidR="00803B5D">
        <w:rPr>
          <w:rFonts w:ascii="Times New Roman" w:hAnsi="Times New Roman" w:cs="Times New Roman"/>
          <w:sz w:val="24"/>
          <w:szCs w:val="24"/>
        </w:rPr>
        <w:t>, што значи да су здрав</w:t>
      </w:r>
      <w:r w:rsidR="008C2A39">
        <w:rPr>
          <w:rFonts w:ascii="Times New Roman" w:hAnsi="Times New Roman" w:cs="Times New Roman"/>
          <w:sz w:val="24"/>
          <w:szCs w:val="24"/>
          <w:lang w:val="sr-Cyrl-RS"/>
        </w:rPr>
        <w:t>ст</w:t>
      </w:r>
      <w:r w:rsidR="00803B5D">
        <w:rPr>
          <w:rFonts w:ascii="Times New Roman" w:hAnsi="Times New Roman" w:cs="Times New Roman"/>
          <w:sz w:val="24"/>
          <w:szCs w:val="24"/>
        </w:rPr>
        <w:t xml:space="preserve">во и јавна предузећа </w:t>
      </w:r>
      <w:r w:rsidR="00D563B4">
        <w:rPr>
          <w:rFonts w:ascii="Times New Roman" w:hAnsi="Times New Roman" w:cs="Times New Roman"/>
          <w:sz w:val="24"/>
          <w:szCs w:val="24"/>
        </w:rPr>
        <w:t xml:space="preserve">били </w:t>
      </w:r>
      <w:r w:rsidR="00803B5D">
        <w:rPr>
          <w:rFonts w:ascii="Times New Roman" w:hAnsi="Times New Roman" w:cs="Times New Roman"/>
          <w:sz w:val="24"/>
          <w:szCs w:val="24"/>
        </w:rPr>
        <w:t>главни генератори преговарачког поступка без објављивања јавног позива, од че</w:t>
      </w:r>
      <w:r w:rsidR="00D563B4">
        <w:rPr>
          <w:rFonts w:ascii="Times New Roman" w:hAnsi="Times New Roman" w:cs="Times New Roman"/>
          <w:sz w:val="24"/>
          <w:szCs w:val="24"/>
        </w:rPr>
        <w:t>га се само у здравству реализовала</w:t>
      </w:r>
      <w:r w:rsidR="00803B5D">
        <w:rPr>
          <w:rFonts w:ascii="Times New Roman" w:hAnsi="Times New Roman" w:cs="Times New Roman"/>
          <w:sz w:val="24"/>
          <w:szCs w:val="24"/>
        </w:rPr>
        <w:t xml:space="preserve"> готово половина вредности свих  преговарачких поступака у Србији</w:t>
      </w:r>
      <w:r w:rsidR="00D563B4">
        <w:rPr>
          <w:rFonts w:ascii="Times New Roman" w:hAnsi="Times New Roman" w:cs="Times New Roman"/>
          <w:sz w:val="24"/>
          <w:szCs w:val="24"/>
        </w:rPr>
        <w:t xml:space="preserve"> у 2013. години</w:t>
      </w:r>
      <w:r w:rsidR="00803B5D">
        <w:rPr>
          <w:rFonts w:ascii="Times New Roman" w:hAnsi="Times New Roman" w:cs="Times New Roman"/>
          <w:sz w:val="24"/>
          <w:szCs w:val="24"/>
        </w:rPr>
        <w:t xml:space="preserve">.    </w:t>
      </w:r>
      <w:r w:rsidR="002A6366">
        <w:rPr>
          <w:rFonts w:ascii="Times New Roman" w:hAnsi="Times New Roman" w:cs="Times New Roman"/>
          <w:sz w:val="24"/>
          <w:szCs w:val="24"/>
        </w:rPr>
        <w:t xml:space="preserve"> </w:t>
      </w:r>
    </w:p>
    <w:p w:rsidR="00FE45ED" w:rsidRPr="00D563B4" w:rsidRDefault="00FE45ED" w:rsidP="00FE45ED">
      <w:pPr>
        <w:jc w:val="both"/>
        <w:rPr>
          <w:rFonts w:ascii="Times New Roman" w:hAnsi="Times New Roman" w:cs="Times New Roman"/>
          <w:sz w:val="24"/>
          <w:szCs w:val="24"/>
        </w:rPr>
      </w:pPr>
      <w:r>
        <w:rPr>
          <w:rFonts w:ascii="Times New Roman" w:hAnsi="Times New Roman" w:cs="Times New Roman"/>
          <w:sz w:val="24"/>
          <w:szCs w:val="24"/>
        </w:rPr>
        <w:t xml:space="preserve">Полазећи од тога да је смањивање учешћа преговарачког </w:t>
      </w:r>
      <w:r w:rsidR="0090117B">
        <w:rPr>
          <w:rFonts w:ascii="Times New Roman" w:hAnsi="Times New Roman" w:cs="Times New Roman"/>
          <w:sz w:val="24"/>
          <w:szCs w:val="24"/>
        </w:rPr>
        <w:t>поступка без објављивања, као не</w:t>
      </w:r>
      <w:r>
        <w:rPr>
          <w:rFonts w:ascii="Times New Roman" w:hAnsi="Times New Roman" w:cs="Times New Roman"/>
          <w:sz w:val="24"/>
          <w:szCs w:val="24"/>
        </w:rPr>
        <w:t>транспарентног и неконкурентног поступка, постављен</w:t>
      </w:r>
      <w:r w:rsidR="00D563B4">
        <w:rPr>
          <w:rFonts w:ascii="Times New Roman" w:hAnsi="Times New Roman" w:cs="Times New Roman"/>
          <w:sz w:val="24"/>
          <w:szCs w:val="24"/>
        </w:rPr>
        <w:t>о</w:t>
      </w:r>
      <w:r>
        <w:rPr>
          <w:rFonts w:ascii="Times New Roman" w:hAnsi="Times New Roman" w:cs="Times New Roman"/>
          <w:sz w:val="24"/>
          <w:szCs w:val="24"/>
        </w:rPr>
        <w:t xml:space="preserve"> као циљ у Програму рада Владе и као обавеза у спровођењу Акционог плана за испуњавање препорука из Годишњег извештаја о напретку Европске комисије, важно је </w:t>
      </w:r>
      <w:r w:rsidR="00D563B4">
        <w:rPr>
          <w:rFonts w:ascii="Times New Roman" w:hAnsi="Times New Roman" w:cs="Times New Roman"/>
          <w:sz w:val="24"/>
          <w:szCs w:val="24"/>
        </w:rPr>
        <w:t xml:space="preserve">да се у 2014. години нарочита пажња посвети даљем смањивању заступљености преговарачког поступка, посебно код поменуте две категорије наручилаца.  </w:t>
      </w:r>
    </w:p>
    <w:p w:rsidR="00D56073" w:rsidRPr="00D56073" w:rsidRDefault="00D56073" w:rsidP="004E5018">
      <w:pPr>
        <w:rPr>
          <w:rFonts w:ascii="Times New Roman" w:hAnsi="Times New Roman" w:cs="Times New Roman"/>
          <w:sz w:val="24"/>
          <w:szCs w:val="24"/>
        </w:rPr>
        <w:sectPr w:rsidR="00D56073" w:rsidRPr="00D56073" w:rsidSect="00707351">
          <w:pgSz w:w="12240" w:h="15840"/>
          <w:pgMar w:top="720" w:right="720" w:bottom="720" w:left="720" w:header="708" w:footer="708" w:gutter="0"/>
          <w:cols w:space="708"/>
          <w:docGrid w:linePitch="360"/>
        </w:sectPr>
      </w:pPr>
    </w:p>
    <w:p w:rsidR="00BF0CEA" w:rsidRDefault="003837F0" w:rsidP="004F3B0F">
      <w:pPr>
        <w:jc w:val="center"/>
        <w:rPr>
          <w:rFonts w:ascii="Times New Roman" w:hAnsi="Times New Roman" w:cs="Times New Roman"/>
          <w:sz w:val="24"/>
          <w:szCs w:val="24"/>
        </w:rPr>
      </w:pPr>
      <w:r w:rsidRPr="008C2A39">
        <w:rPr>
          <w:rFonts w:ascii="Times New Roman" w:hAnsi="Times New Roman" w:cs="Times New Roman"/>
          <w:b/>
          <w:sz w:val="24"/>
          <w:szCs w:val="24"/>
        </w:rPr>
        <w:lastRenderedPageBreak/>
        <w:t xml:space="preserve">Слика </w:t>
      </w:r>
      <w:r w:rsidR="00D563B4" w:rsidRPr="008C2A39">
        <w:rPr>
          <w:rFonts w:ascii="Times New Roman" w:hAnsi="Times New Roman" w:cs="Times New Roman"/>
          <w:b/>
          <w:sz w:val="24"/>
          <w:szCs w:val="24"/>
        </w:rPr>
        <w:t>9</w:t>
      </w:r>
      <w:r w:rsidR="00FC3DDD" w:rsidRPr="008C2A39">
        <w:rPr>
          <w:rFonts w:ascii="Times New Roman" w:hAnsi="Times New Roman" w:cs="Times New Roman"/>
          <w:b/>
          <w:sz w:val="24"/>
          <w:szCs w:val="24"/>
        </w:rPr>
        <w:br/>
      </w:r>
      <w:bookmarkStart w:id="8" w:name="_MON_1457257512"/>
      <w:bookmarkEnd w:id="8"/>
      <w:r w:rsidR="00443A88" w:rsidRPr="00561134">
        <w:rPr>
          <w:rFonts w:ascii="Times New Roman" w:hAnsi="Times New Roman" w:cs="Times New Roman"/>
          <w:sz w:val="24"/>
          <w:szCs w:val="24"/>
        </w:rPr>
        <w:object w:dxaOrig="7898" w:dyaOrig="5111">
          <v:shape id="_x0000_i1033" type="#_x0000_t75" style="width:394.65pt;height:254.7pt" o:ole="">
            <v:imagedata r:id="rId29" o:title=""/>
          </v:shape>
          <o:OLEObject Type="Embed" ProgID="Excel.Sheet.12" ShapeID="_x0000_i1033" DrawAspect="Content" ObjectID="_1461145248" r:id="rId30"/>
        </w:object>
      </w:r>
    </w:p>
    <w:p w:rsidR="00BF0CEA" w:rsidRPr="00BF0CEA" w:rsidRDefault="00BF0CEA"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на Слици </w:t>
      </w:r>
      <w:r w:rsidR="00D563B4">
        <w:rPr>
          <w:rFonts w:ascii="Times New Roman" w:hAnsi="Times New Roman" w:cs="Times New Roman"/>
          <w:sz w:val="24"/>
          <w:szCs w:val="24"/>
        </w:rPr>
        <w:t>9</w:t>
      </w:r>
      <w:r>
        <w:rPr>
          <w:rFonts w:ascii="Times New Roman" w:hAnsi="Times New Roman" w:cs="Times New Roman"/>
          <w:sz w:val="24"/>
          <w:szCs w:val="24"/>
        </w:rPr>
        <w:t xml:space="preserve"> може видети, вредност преговарачког поступка без објављивања јавног позива </w:t>
      </w:r>
      <w:r w:rsidR="00D563B4">
        <w:rPr>
          <w:rFonts w:ascii="Times New Roman" w:hAnsi="Times New Roman" w:cs="Times New Roman"/>
          <w:sz w:val="24"/>
          <w:szCs w:val="24"/>
        </w:rPr>
        <w:t>преполовљена је у другом полугодишту 2013. године</w:t>
      </w:r>
      <w:r w:rsidR="00E9772E">
        <w:rPr>
          <w:rFonts w:ascii="Times New Roman" w:hAnsi="Times New Roman" w:cs="Times New Roman"/>
          <w:sz w:val="24"/>
          <w:szCs w:val="24"/>
        </w:rPr>
        <w:t xml:space="preserve">, као резултат примене новог закона, </w:t>
      </w:r>
      <w:r w:rsidR="00D563B4">
        <w:rPr>
          <w:rFonts w:ascii="Times New Roman" w:hAnsi="Times New Roman" w:cs="Times New Roman"/>
          <w:sz w:val="24"/>
          <w:szCs w:val="24"/>
        </w:rPr>
        <w:t xml:space="preserve"> </w:t>
      </w:r>
      <w:r w:rsidR="00E9772E">
        <w:rPr>
          <w:rFonts w:ascii="Times New Roman" w:hAnsi="Times New Roman" w:cs="Times New Roman"/>
          <w:sz w:val="24"/>
          <w:szCs w:val="24"/>
        </w:rPr>
        <w:t xml:space="preserve">у односу на прво полугодиште (Слика 9). </w:t>
      </w:r>
      <w:r w:rsidR="00EF15C0">
        <w:rPr>
          <w:rFonts w:ascii="Times New Roman" w:hAnsi="Times New Roman" w:cs="Times New Roman"/>
          <w:sz w:val="24"/>
          <w:szCs w:val="24"/>
        </w:rPr>
        <w:t xml:space="preserve">Произлази да </w:t>
      </w:r>
      <w:r w:rsidR="003624D9">
        <w:rPr>
          <w:rFonts w:ascii="Times New Roman" w:hAnsi="Times New Roman" w:cs="Times New Roman"/>
          <w:sz w:val="24"/>
          <w:szCs w:val="24"/>
        </w:rPr>
        <w:t xml:space="preserve">је ново законско решење по коме Управа за јавне набавке даје претходно мишљење о основаности примене преговарачког поступка без објављивања јавног позива </w:t>
      </w:r>
      <w:r w:rsidR="006C7810">
        <w:rPr>
          <w:rFonts w:ascii="Times New Roman" w:hAnsi="Times New Roman" w:cs="Times New Roman"/>
          <w:sz w:val="24"/>
          <w:szCs w:val="24"/>
        </w:rPr>
        <w:t>дал</w:t>
      </w:r>
      <w:r w:rsidR="003624D9">
        <w:rPr>
          <w:rFonts w:ascii="Times New Roman" w:hAnsi="Times New Roman" w:cs="Times New Roman"/>
          <w:sz w:val="24"/>
          <w:szCs w:val="24"/>
        </w:rPr>
        <w:t>о</w:t>
      </w:r>
      <w:r w:rsidR="006C7810">
        <w:rPr>
          <w:rFonts w:ascii="Times New Roman" w:hAnsi="Times New Roman" w:cs="Times New Roman"/>
          <w:sz w:val="24"/>
          <w:szCs w:val="24"/>
        </w:rPr>
        <w:t xml:space="preserve"> значајне резултате</w:t>
      </w:r>
      <w:r w:rsidR="003624D9">
        <w:rPr>
          <w:rFonts w:ascii="Times New Roman" w:hAnsi="Times New Roman" w:cs="Times New Roman"/>
          <w:sz w:val="24"/>
          <w:szCs w:val="24"/>
        </w:rPr>
        <w:t xml:space="preserve">. Стога би </w:t>
      </w:r>
      <w:r w:rsidR="006C7810">
        <w:rPr>
          <w:rFonts w:ascii="Times New Roman" w:hAnsi="Times New Roman" w:cs="Times New Roman"/>
          <w:sz w:val="24"/>
          <w:szCs w:val="24"/>
        </w:rPr>
        <w:t>било важно укратко истаћи у чему се састојала ова промена</w:t>
      </w:r>
      <w:r w:rsidR="003624D9">
        <w:rPr>
          <w:rFonts w:ascii="Times New Roman" w:hAnsi="Times New Roman" w:cs="Times New Roman"/>
          <w:sz w:val="24"/>
          <w:szCs w:val="24"/>
        </w:rPr>
        <w:t xml:space="preserve"> у односу на решење садржано у претходном закону</w:t>
      </w:r>
      <w:r w:rsidR="006C7810">
        <w:rPr>
          <w:rFonts w:ascii="Times New Roman" w:hAnsi="Times New Roman" w:cs="Times New Roman"/>
          <w:sz w:val="24"/>
          <w:szCs w:val="24"/>
        </w:rPr>
        <w:t xml:space="preserve">.  </w:t>
      </w:r>
    </w:p>
    <w:p w:rsidR="00EA0849" w:rsidRDefault="00FB793F" w:rsidP="007B4B66">
      <w:pPr>
        <w:jc w:val="both"/>
        <w:rPr>
          <w:rFonts w:ascii="Times New Roman" w:hAnsi="Times New Roman" w:cs="Times New Roman"/>
          <w:sz w:val="24"/>
          <w:szCs w:val="24"/>
        </w:rPr>
      </w:pPr>
      <w:r>
        <w:rPr>
          <w:rFonts w:ascii="Times New Roman" w:hAnsi="Times New Roman" w:cs="Times New Roman"/>
          <w:sz w:val="24"/>
          <w:szCs w:val="24"/>
        </w:rPr>
        <w:t xml:space="preserve">У периоду јануар 2009 – април 2013. година, </w:t>
      </w:r>
      <w:r w:rsidR="00385201">
        <w:rPr>
          <w:rFonts w:ascii="Times New Roman" w:hAnsi="Times New Roman" w:cs="Times New Roman"/>
          <w:sz w:val="24"/>
          <w:szCs w:val="24"/>
        </w:rPr>
        <w:t xml:space="preserve">за покретање преговарачких поступака без објављивања јавног позива </w:t>
      </w:r>
      <w:r w:rsidR="00EA0849">
        <w:rPr>
          <w:rFonts w:ascii="Times New Roman" w:hAnsi="Times New Roman" w:cs="Times New Roman"/>
          <w:sz w:val="24"/>
          <w:szCs w:val="24"/>
        </w:rPr>
        <w:t xml:space="preserve">није било предвиђено давање претходног мишљења од стране Управе за јавне набавке. У посматраном периоду посебно је био заступљен преговарачки поступак са само једним понуђачем који „због техничких или уметничких разлога“ једини може да задовољи дату потребу наручиоца. Овај основ је, у 2012. години, чинио чак половину укупне вредности преговарачког поступка без претходног објављивања. </w:t>
      </w:r>
    </w:p>
    <w:p w:rsidR="00BE3BC3" w:rsidRDefault="00EA0849" w:rsidP="007B4B66">
      <w:pPr>
        <w:jc w:val="both"/>
        <w:rPr>
          <w:rFonts w:ascii="Times New Roman" w:hAnsi="Times New Roman" w:cs="Times New Roman"/>
          <w:sz w:val="24"/>
          <w:szCs w:val="24"/>
        </w:rPr>
      </w:pPr>
      <w:r>
        <w:rPr>
          <w:rFonts w:ascii="Times New Roman" w:hAnsi="Times New Roman" w:cs="Times New Roman"/>
          <w:sz w:val="24"/>
          <w:szCs w:val="24"/>
        </w:rPr>
        <w:t xml:space="preserve">Према тада важећем </w:t>
      </w:r>
      <w:r w:rsidR="0044349B">
        <w:rPr>
          <w:rFonts w:ascii="Times New Roman" w:hAnsi="Times New Roman" w:cs="Times New Roman"/>
          <w:sz w:val="24"/>
          <w:szCs w:val="24"/>
        </w:rPr>
        <w:t>З</w:t>
      </w:r>
      <w:r>
        <w:rPr>
          <w:rFonts w:ascii="Times New Roman" w:hAnsi="Times New Roman" w:cs="Times New Roman"/>
          <w:sz w:val="24"/>
          <w:szCs w:val="24"/>
        </w:rPr>
        <w:t>акону, наручилац је био у обавези да</w:t>
      </w:r>
      <w:r w:rsidR="006C7810">
        <w:rPr>
          <w:rFonts w:ascii="Times New Roman" w:hAnsi="Times New Roman" w:cs="Times New Roman"/>
          <w:sz w:val="24"/>
          <w:szCs w:val="24"/>
        </w:rPr>
        <w:t>, на Порталу јавних набавки, об</w:t>
      </w:r>
      <w:r>
        <w:rPr>
          <w:rFonts w:ascii="Times New Roman" w:hAnsi="Times New Roman" w:cs="Times New Roman"/>
          <w:sz w:val="24"/>
          <w:szCs w:val="24"/>
        </w:rPr>
        <w:t>ј</w:t>
      </w:r>
      <w:r w:rsidR="006C7810">
        <w:rPr>
          <w:rFonts w:ascii="Times New Roman" w:hAnsi="Times New Roman" w:cs="Times New Roman"/>
          <w:sz w:val="24"/>
          <w:szCs w:val="24"/>
        </w:rPr>
        <w:t>а</w:t>
      </w:r>
      <w:r>
        <w:rPr>
          <w:rFonts w:ascii="Times New Roman" w:hAnsi="Times New Roman" w:cs="Times New Roman"/>
          <w:sz w:val="24"/>
          <w:szCs w:val="24"/>
        </w:rPr>
        <w:t xml:space="preserve">ви своју одлуку да закључи уговор са тачно одређеним понуђачем као јединим у Србији који може да задовољи његову потребу. </w:t>
      </w:r>
      <w:r w:rsidR="00342D08">
        <w:rPr>
          <w:rFonts w:ascii="Times New Roman" w:hAnsi="Times New Roman" w:cs="Times New Roman"/>
          <w:sz w:val="24"/>
          <w:szCs w:val="24"/>
        </w:rPr>
        <w:t>Објављивање одлуке на Порталу давало је могућности осталим понуђачима, потенцијалним конкурентима из те области, да добију информацију на време и да улагањем захтева за заштиту права спрече закључивање уговора, уколико сматрају да и он</w:t>
      </w:r>
      <w:r w:rsidR="006C7810">
        <w:rPr>
          <w:rFonts w:ascii="Times New Roman" w:hAnsi="Times New Roman" w:cs="Times New Roman"/>
          <w:sz w:val="24"/>
          <w:szCs w:val="24"/>
        </w:rPr>
        <w:t>и могу да задовоље дату потребу</w:t>
      </w:r>
      <w:r w:rsidR="00342D08">
        <w:rPr>
          <w:rFonts w:ascii="Times New Roman" w:hAnsi="Times New Roman" w:cs="Times New Roman"/>
          <w:sz w:val="24"/>
          <w:szCs w:val="24"/>
        </w:rPr>
        <w:t xml:space="preserve">, те да су на овај начин </w:t>
      </w:r>
      <w:r w:rsidR="00025C3A">
        <w:rPr>
          <w:rFonts w:ascii="Times New Roman" w:hAnsi="Times New Roman" w:cs="Times New Roman"/>
          <w:sz w:val="24"/>
          <w:szCs w:val="24"/>
        </w:rPr>
        <w:t xml:space="preserve">били </w:t>
      </w:r>
      <w:r w:rsidR="00342D08">
        <w:rPr>
          <w:rFonts w:ascii="Times New Roman" w:hAnsi="Times New Roman" w:cs="Times New Roman"/>
          <w:sz w:val="24"/>
          <w:szCs w:val="24"/>
        </w:rPr>
        <w:t xml:space="preserve">неоправдано искључени из поступка. </w:t>
      </w:r>
      <w:r w:rsidR="00BE3BC3">
        <w:rPr>
          <w:rFonts w:ascii="Times New Roman" w:hAnsi="Times New Roman" w:cs="Times New Roman"/>
          <w:sz w:val="24"/>
          <w:szCs w:val="24"/>
        </w:rPr>
        <w:t>Овакво решење је било преузето из хрватског закона о јавним набавкама где се показало делотворним.</w:t>
      </w:r>
    </w:p>
    <w:p w:rsidR="00374908" w:rsidRDefault="00BE3BC3" w:rsidP="007B4B66">
      <w:pPr>
        <w:jc w:val="both"/>
        <w:rPr>
          <w:rFonts w:ascii="Times New Roman" w:hAnsi="Times New Roman" w:cs="Times New Roman"/>
          <w:sz w:val="24"/>
          <w:szCs w:val="24"/>
        </w:rPr>
      </w:pPr>
      <w:r>
        <w:rPr>
          <w:rFonts w:ascii="Times New Roman" w:hAnsi="Times New Roman" w:cs="Times New Roman"/>
          <w:sz w:val="24"/>
          <w:szCs w:val="24"/>
        </w:rPr>
        <w:t>Други основ по заступљености у преговарачком поступку без објављивања биле су „ван</w:t>
      </w:r>
      <w:r w:rsidR="00C37142">
        <w:rPr>
          <w:rFonts w:ascii="Times New Roman" w:hAnsi="Times New Roman" w:cs="Times New Roman"/>
          <w:sz w:val="24"/>
          <w:szCs w:val="24"/>
        </w:rPr>
        <w:t xml:space="preserve">редне и непредвиђене околности“ </w:t>
      </w:r>
      <w:r>
        <w:rPr>
          <w:rFonts w:ascii="Times New Roman" w:hAnsi="Times New Roman" w:cs="Times New Roman"/>
          <w:sz w:val="24"/>
          <w:szCs w:val="24"/>
        </w:rPr>
        <w:t xml:space="preserve">(тзв.„хитност“). </w:t>
      </w:r>
      <w:r w:rsidR="00374908">
        <w:rPr>
          <w:rFonts w:ascii="Times New Roman" w:hAnsi="Times New Roman" w:cs="Times New Roman"/>
          <w:sz w:val="24"/>
          <w:szCs w:val="24"/>
        </w:rPr>
        <w:t>Ни овде Управа није давала претходно мишљење о основаности примене преговарачког поступка, већ је само добијала накнадни извештај да је поступак спроведен</w:t>
      </w:r>
      <w:r w:rsidR="00025C3A">
        <w:rPr>
          <w:rFonts w:ascii="Times New Roman" w:hAnsi="Times New Roman" w:cs="Times New Roman"/>
          <w:sz w:val="24"/>
          <w:szCs w:val="24"/>
        </w:rPr>
        <w:t xml:space="preserve"> и услед којих околности</w:t>
      </w:r>
      <w:r w:rsidR="00374908">
        <w:rPr>
          <w:rFonts w:ascii="Times New Roman" w:hAnsi="Times New Roman" w:cs="Times New Roman"/>
          <w:sz w:val="24"/>
          <w:szCs w:val="24"/>
        </w:rPr>
        <w:t xml:space="preserve">. Трећи основ </w:t>
      </w:r>
      <w:r w:rsidR="00025C3A">
        <w:rPr>
          <w:rFonts w:ascii="Times New Roman" w:hAnsi="Times New Roman" w:cs="Times New Roman"/>
          <w:sz w:val="24"/>
          <w:szCs w:val="24"/>
        </w:rPr>
        <w:t>за преговарање били су додатни радови и услуге где је постојао висок ризик за злоупотребе</w:t>
      </w:r>
      <w:r w:rsidR="00374908">
        <w:rPr>
          <w:rFonts w:ascii="Times New Roman" w:hAnsi="Times New Roman" w:cs="Times New Roman"/>
          <w:sz w:val="24"/>
          <w:szCs w:val="24"/>
        </w:rPr>
        <w:t>.</w:t>
      </w:r>
    </w:p>
    <w:p w:rsidR="00FD7ED2" w:rsidRPr="00025C3A" w:rsidRDefault="00374908" w:rsidP="007B4B66">
      <w:pPr>
        <w:jc w:val="both"/>
        <w:rPr>
          <w:rFonts w:ascii="Times New Roman" w:hAnsi="Times New Roman" w:cs="Times New Roman"/>
          <w:sz w:val="24"/>
          <w:szCs w:val="24"/>
        </w:rPr>
      </w:pPr>
      <w:r>
        <w:rPr>
          <w:rFonts w:ascii="Times New Roman" w:hAnsi="Times New Roman" w:cs="Times New Roman"/>
          <w:sz w:val="24"/>
          <w:szCs w:val="24"/>
        </w:rPr>
        <w:lastRenderedPageBreak/>
        <w:t>Нови</w:t>
      </w:r>
      <w:r w:rsidR="00025C3A">
        <w:rPr>
          <w:rFonts w:ascii="Times New Roman" w:hAnsi="Times New Roman" w:cs="Times New Roman"/>
          <w:sz w:val="24"/>
          <w:szCs w:val="24"/>
        </w:rPr>
        <w:t>м</w:t>
      </w:r>
      <w:r>
        <w:rPr>
          <w:rFonts w:ascii="Times New Roman" w:hAnsi="Times New Roman" w:cs="Times New Roman"/>
          <w:sz w:val="24"/>
          <w:szCs w:val="24"/>
        </w:rPr>
        <w:t xml:space="preserve"> </w:t>
      </w:r>
      <w:r w:rsidR="00443A88">
        <w:rPr>
          <w:rFonts w:ascii="Times New Roman" w:hAnsi="Times New Roman" w:cs="Times New Roman"/>
          <w:sz w:val="24"/>
          <w:szCs w:val="24"/>
          <w:lang w:val="sr-Cyrl-RS"/>
        </w:rPr>
        <w:t>законом</w:t>
      </w:r>
      <w:r w:rsidR="00025C3A">
        <w:rPr>
          <w:rFonts w:ascii="Times New Roman" w:hAnsi="Times New Roman" w:cs="Times New Roman"/>
          <w:sz w:val="24"/>
          <w:szCs w:val="24"/>
        </w:rPr>
        <w:t>,</w:t>
      </w:r>
      <w:r>
        <w:rPr>
          <w:rFonts w:ascii="Times New Roman" w:hAnsi="Times New Roman" w:cs="Times New Roman"/>
          <w:sz w:val="24"/>
          <w:szCs w:val="24"/>
        </w:rPr>
        <w:t xml:space="preserve"> који је почео са применом од 1.</w:t>
      </w:r>
      <w:r w:rsidR="00A012EE">
        <w:rPr>
          <w:rFonts w:ascii="Times New Roman" w:hAnsi="Times New Roman" w:cs="Times New Roman"/>
          <w:sz w:val="24"/>
          <w:szCs w:val="24"/>
          <w:lang w:val="sr-Cyrl-RS"/>
        </w:rPr>
        <w:t xml:space="preserve"> </w:t>
      </w:r>
      <w:r>
        <w:rPr>
          <w:rFonts w:ascii="Times New Roman" w:hAnsi="Times New Roman" w:cs="Times New Roman"/>
          <w:sz w:val="24"/>
          <w:szCs w:val="24"/>
        </w:rPr>
        <w:t xml:space="preserve">априла 2013. </w:t>
      </w:r>
      <w:r w:rsidR="00025C3A">
        <w:rPr>
          <w:rFonts w:ascii="Times New Roman" w:hAnsi="Times New Roman" w:cs="Times New Roman"/>
          <w:sz w:val="24"/>
          <w:szCs w:val="24"/>
        </w:rPr>
        <w:t>г</w:t>
      </w:r>
      <w:r>
        <w:rPr>
          <w:rFonts w:ascii="Times New Roman" w:hAnsi="Times New Roman" w:cs="Times New Roman"/>
          <w:sz w:val="24"/>
          <w:szCs w:val="24"/>
        </w:rPr>
        <w:t>одине</w:t>
      </w:r>
      <w:r w:rsidR="00025C3A">
        <w:rPr>
          <w:rFonts w:ascii="Times New Roman" w:hAnsi="Times New Roman" w:cs="Times New Roman"/>
          <w:sz w:val="24"/>
          <w:szCs w:val="24"/>
        </w:rPr>
        <w:t>,</w:t>
      </w:r>
      <w:r>
        <w:rPr>
          <w:rFonts w:ascii="Times New Roman" w:hAnsi="Times New Roman" w:cs="Times New Roman"/>
          <w:sz w:val="24"/>
          <w:szCs w:val="24"/>
        </w:rPr>
        <w:t xml:space="preserve"> уведено је решење по коме се за преговарачке поступке по сва три поменута основа наручилац мора претх</w:t>
      </w:r>
      <w:r w:rsidR="0044349B">
        <w:rPr>
          <w:rFonts w:ascii="Times New Roman" w:hAnsi="Times New Roman" w:cs="Times New Roman"/>
          <w:sz w:val="24"/>
          <w:szCs w:val="24"/>
        </w:rPr>
        <w:t>одно обратити Управи за јавне н</w:t>
      </w:r>
      <w:r>
        <w:rPr>
          <w:rFonts w:ascii="Times New Roman" w:hAnsi="Times New Roman" w:cs="Times New Roman"/>
          <w:sz w:val="24"/>
          <w:szCs w:val="24"/>
        </w:rPr>
        <w:t>аб</w:t>
      </w:r>
      <w:r w:rsidR="00A012EE">
        <w:rPr>
          <w:rFonts w:ascii="Times New Roman" w:hAnsi="Times New Roman" w:cs="Times New Roman"/>
          <w:sz w:val="24"/>
          <w:szCs w:val="24"/>
          <w:lang w:val="sr-Cyrl-RS"/>
        </w:rPr>
        <w:t>а</w:t>
      </w:r>
      <w:r>
        <w:rPr>
          <w:rFonts w:ascii="Times New Roman" w:hAnsi="Times New Roman" w:cs="Times New Roman"/>
          <w:sz w:val="24"/>
          <w:szCs w:val="24"/>
        </w:rPr>
        <w:t xml:space="preserve">вке за мишљење. Управа цени основаност примене преговарачког поступка и на основу тога је у могућности да делује превентивно </w:t>
      </w:r>
      <w:r w:rsidRPr="00374908">
        <w:rPr>
          <w:rFonts w:ascii="Times New Roman" w:hAnsi="Times New Roman" w:cs="Times New Roman"/>
          <w:i/>
          <w:sz w:val="24"/>
          <w:szCs w:val="24"/>
        </w:rPr>
        <w:t>(„ex ante”</w:t>
      </w:r>
      <w:r w:rsidR="00025C3A">
        <w:rPr>
          <w:rFonts w:ascii="Times New Roman" w:hAnsi="Times New Roman" w:cs="Times New Roman"/>
          <w:sz w:val="24"/>
          <w:szCs w:val="24"/>
        </w:rPr>
        <w:t xml:space="preserve">) давањем негативног мишљења. </w:t>
      </w:r>
    </w:p>
    <w:p w:rsidR="00374908" w:rsidRPr="00696FC9" w:rsidRDefault="00726F0B" w:rsidP="007B4B66">
      <w:pPr>
        <w:jc w:val="both"/>
        <w:rPr>
          <w:rFonts w:ascii="Times New Roman" w:hAnsi="Times New Roman" w:cs="Times New Roman"/>
          <w:sz w:val="24"/>
          <w:szCs w:val="24"/>
        </w:rPr>
      </w:pPr>
      <w:r>
        <w:rPr>
          <w:rFonts w:ascii="Times New Roman" w:hAnsi="Times New Roman" w:cs="Times New Roman"/>
          <w:sz w:val="24"/>
          <w:szCs w:val="24"/>
        </w:rPr>
        <w:t>Имајући ово у виду, од зн</w:t>
      </w:r>
      <w:r w:rsidR="00696FC9">
        <w:rPr>
          <w:rFonts w:ascii="Times New Roman" w:hAnsi="Times New Roman" w:cs="Times New Roman"/>
          <w:sz w:val="24"/>
          <w:szCs w:val="24"/>
        </w:rPr>
        <w:t>ачаја је да се сагледа до каквих промена је дошло у примени сваког од три поменута основа за покретање преговарачког поступка, након што је почела примена нових законских решења. Структура</w:t>
      </w:r>
      <w:r w:rsidR="000A1E11">
        <w:rPr>
          <w:rFonts w:ascii="Times New Roman" w:hAnsi="Times New Roman" w:cs="Times New Roman"/>
          <w:sz w:val="24"/>
          <w:szCs w:val="24"/>
        </w:rPr>
        <w:t xml:space="preserve"> преговарачког поступка без објављивања, по три најзаступљенија основа</w:t>
      </w:r>
      <w:r w:rsidR="00696FC9">
        <w:rPr>
          <w:rFonts w:ascii="Times New Roman" w:hAnsi="Times New Roman" w:cs="Times New Roman"/>
          <w:sz w:val="24"/>
          <w:szCs w:val="24"/>
        </w:rPr>
        <w:t>,</w:t>
      </w:r>
      <w:r w:rsidR="00E9772E">
        <w:rPr>
          <w:rFonts w:ascii="Times New Roman" w:hAnsi="Times New Roman" w:cs="Times New Roman"/>
          <w:sz w:val="24"/>
          <w:szCs w:val="24"/>
        </w:rPr>
        <w:t xml:space="preserve"> </w:t>
      </w:r>
      <w:r w:rsidR="00F35245">
        <w:rPr>
          <w:rFonts w:ascii="Times New Roman" w:hAnsi="Times New Roman" w:cs="Times New Roman"/>
          <w:sz w:val="24"/>
          <w:szCs w:val="24"/>
        </w:rPr>
        <w:t>по старом и новом контролном механизму</w:t>
      </w:r>
      <w:r w:rsidR="00E9772E">
        <w:rPr>
          <w:rFonts w:ascii="Times New Roman" w:hAnsi="Times New Roman" w:cs="Times New Roman"/>
          <w:sz w:val="24"/>
          <w:szCs w:val="24"/>
        </w:rPr>
        <w:t>, у првом и другом полугодишту 2</w:t>
      </w:r>
      <w:r w:rsidR="00F35245">
        <w:rPr>
          <w:rFonts w:ascii="Times New Roman" w:hAnsi="Times New Roman" w:cs="Times New Roman"/>
          <w:sz w:val="24"/>
          <w:szCs w:val="24"/>
        </w:rPr>
        <w:t>01</w:t>
      </w:r>
      <w:r w:rsidR="00E9772E">
        <w:rPr>
          <w:rFonts w:ascii="Times New Roman" w:hAnsi="Times New Roman" w:cs="Times New Roman"/>
          <w:sz w:val="24"/>
          <w:szCs w:val="24"/>
        </w:rPr>
        <w:t xml:space="preserve">3. године, </w:t>
      </w:r>
      <w:r w:rsidR="000A1E11">
        <w:rPr>
          <w:rFonts w:ascii="Times New Roman" w:hAnsi="Times New Roman" w:cs="Times New Roman"/>
          <w:sz w:val="24"/>
          <w:szCs w:val="24"/>
        </w:rPr>
        <w:t xml:space="preserve">приказана је на Слици </w:t>
      </w:r>
      <w:r w:rsidR="00E9772E">
        <w:rPr>
          <w:rFonts w:ascii="Times New Roman" w:hAnsi="Times New Roman" w:cs="Times New Roman"/>
          <w:sz w:val="24"/>
          <w:szCs w:val="24"/>
        </w:rPr>
        <w:t>10</w:t>
      </w:r>
      <w:r w:rsidR="000A1E11">
        <w:rPr>
          <w:rFonts w:ascii="Times New Roman" w:hAnsi="Times New Roman" w:cs="Times New Roman"/>
          <w:sz w:val="24"/>
          <w:szCs w:val="24"/>
        </w:rPr>
        <w:t>.</w:t>
      </w:r>
    </w:p>
    <w:p w:rsidR="00850AA5" w:rsidRDefault="001C39F2" w:rsidP="00063307">
      <w:pPr>
        <w:jc w:val="center"/>
        <w:rPr>
          <w:rFonts w:ascii="Times New Roman" w:hAnsi="Times New Roman" w:cs="Times New Roman"/>
          <w:b/>
          <w:sz w:val="24"/>
          <w:szCs w:val="24"/>
        </w:rPr>
      </w:pPr>
      <w:r w:rsidRPr="008C2A39">
        <w:rPr>
          <w:rFonts w:ascii="Times New Roman" w:hAnsi="Times New Roman" w:cs="Times New Roman"/>
          <w:b/>
          <w:sz w:val="24"/>
          <w:szCs w:val="24"/>
        </w:rPr>
        <w:t xml:space="preserve">Слика </w:t>
      </w:r>
      <w:r w:rsidR="00E9772E" w:rsidRPr="008C2A39">
        <w:rPr>
          <w:rFonts w:ascii="Times New Roman" w:hAnsi="Times New Roman" w:cs="Times New Roman"/>
          <w:b/>
          <w:sz w:val="24"/>
          <w:szCs w:val="24"/>
        </w:rPr>
        <w:t>10</w:t>
      </w:r>
      <w:bookmarkStart w:id="9" w:name="_MON_1452182741"/>
      <w:bookmarkStart w:id="10" w:name="_MON_1452182645"/>
      <w:bookmarkEnd w:id="9"/>
      <w:bookmarkEnd w:id="10"/>
    </w:p>
    <w:bookmarkStart w:id="11" w:name="_MON_1452182720"/>
    <w:bookmarkEnd w:id="11"/>
    <w:p w:rsidR="00063307" w:rsidRPr="00063307" w:rsidRDefault="00850AA5" w:rsidP="00063307">
      <w:pPr>
        <w:jc w:val="center"/>
        <w:rPr>
          <w:rFonts w:ascii="Times New Roman" w:hAnsi="Times New Roman" w:cs="Times New Roman"/>
          <w:sz w:val="24"/>
          <w:szCs w:val="24"/>
        </w:rPr>
      </w:pPr>
      <w:r w:rsidRPr="00561134">
        <w:rPr>
          <w:rFonts w:ascii="Times New Roman" w:hAnsi="Times New Roman" w:cs="Times New Roman"/>
          <w:sz w:val="24"/>
          <w:szCs w:val="24"/>
        </w:rPr>
        <w:object w:dxaOrig="8679" w:dyaOrig="5360">
          <v:shape id="_x0000_i1034" type="#_x0000_t75" style="width:402.8pt;height:241.15pt;mso-position-horizontal:absolute" o:ole="">
            <v:imagedata r:id="rId31" o:title=""/>
          </v:shape>
          <o:OLEObject Type="Embed" ProgID="Excel.Sheet.12" ShapeID="_x0000_i1034" DrawAspect="Content" ObjectID="_1461145249" r:id="rId32"/>
        </w:object>
      </w:r>
    </w:p>
    <w:p w:rsidR="0039379B" w:rsidRDefault="00696FC9" w:rsidP="007B4B66">
      <w:pPr>
        <w:jc w:val="both"/>
        <w:rPr>
          <w:rFonts w:ascii="Times New Roman" w:hAnsi="Times New Roman" w:cs="Times New Roman"/>
          <w:sz w:val="24"/>
          <w:szCs w:val="24"/>
        </w:rPr>
      </w:pPr>
      <w:r w:rsidRPr="00612FB9">
        <w:rPr>
          <w:rFonts w:ascii="Times New Roman" w:hAnsi="Times New Roman" w:cs="Times New Roman"/>
          <w:color w:val="000000" w:themeColor="text1"/>
          <w:sz w:val="24"/>
          <w:szCs w:val="24"/>
        </w:rPr>
        <w:t xml:space="preserve">Као што се на Слици </w:t>
      </w:r>
      <w:r w:rsidR="00E9772E" w:rsidRPr="00612FB9">
        <w:rPr>
          <w:rFonts w:ascii="Times New Roman" w:hAnsi="Times New Roman" w:cs="Times New Roman"/>
          <w:color w:val="000000" w:themeColor="text1"/>
          <w:sz w:val="24"/>
          <w:szCs w:val="24"/>
        </w:rPr>
        <w:t>10</w:t>
      </w:r>
      <w:r>
        <w:rPr>
          <w:rFonts w:ascii="Times New Roman" w:hAnsi="Times New Roman" w:cs="Times New Roman"/>
          <w:sz w:val="24"/>
          <w:szCs w:val="24"/>
        </w:rPr>
        <w:t xml:space="preserve"> може видети, </w:t>
      </w:r>
      <w:r w:rsidR="00D26037">
        <w:rPr>
          <w:rFonts w:ascii="Times New Roman" w:hAnsi="Times New Roman" w:cs="Times New Roman"/>
          <w:sz w:val="24"/>
          <w:szCs w:val="24"/>
        </w:rPr>
        <w:t xml:space="preserve">почетком примене новог закона </w:t>
      </w:r>
      <w:r>
        <w:rPr>
          <w:rFonts w:ascii="Times New Roman" w:hAnsi="Times New Roman" w:cs="Times New Roman"/>
          <w:sz w:val="24"/>
          <w:szCs w:val="24"/>
        </w:rPr>
        <w:t>н</w:t>
      </w:r>
      <w:r w:rsidR="00D26037">
        <w:rPr>
          <w:rFonts w:ascii="Times New Roman" w:hAnsi="Times New Roman" w:cs="Times New Roman"/>
          <w:sz w:val="24"/>
          <w:szCs w:val="24"/>
        </w:rPr>
        <w:t>ајвише је смањена</w:t>
      </w:r>
      <w:r w:rsidR="000A1E11">
        <w:rPr>
          <w:rFonts w:ascii="Times New Roman" w:hAnsi="Times New Roman" w:cs="Times New Roman"/>
          <w:sz w:val="24"/>
          <w:szCs w:val="24"/>
        </w:rPr>
        <w:t xml:space="preserve"> </w:t>
      </w:r>
      <w:r w:rsidR="00D26037">
        <w:rPr>
          <w:rFonts w:ascii="Times New Roman" w:hAnsi="Times New Roman" w:cs="Times New Roman"/>
          <w:sz w:val="24"/>
          <w:szCs w:val="24"/>
        </w:rPr>
        <w:t xml:space="preserve">вредност </w:t>
      </w:r>
      <w:r w:rsidR="000A1E11">
        <w:rPr>
          <w:rFonts w:ascii="Times New Roman" w:hAnsi="Times New Roman" w:cs="Times New Roman"/>
          <w:sz w:val="24"/>
          <w:szCs w:val="24"/>
        </w:rPr>
        <w:t>преговарачк</w:t>
      </w:r>
      <w:r w:rsidR="00D26037">
        <w:rPr>
          <w:rFonts w:ascii="Times New Roman" w:hAnsi="Times New Roman" w:cs="Times New Roman"/>
          <w:sz w:val="24"/>
          <w:szCs w:val="24"/>
        </w:rPr>
        <w:t>ог</w:t>
      </w:r>
      <w:r w:rsidR="000A1E11">
        <w:rPr>
          <w:rFonts w:ascii="Times New Roman" w:hAnsi="Times New Roman" w:cs="Times New Roman"/>
          <w:sz w:val="24"/>
          <w:szCs w:val="24"/>
        </w:rPr>
        <w:t xml:space="preserve"> пос</w:t>
      </w:r>
      <w:r w:rsidR="0039379B">
        <w:rPr>
          <w:rFonts w:ascii="Times New Roman" w:hAnsi="Times New Roman" w:cs="Times New Roman"/>
          <w:sz w:val="24"/>
          <w:szCs w:val="24"/>
        </w:rPr>
        <w:t>туп</w:t>
      </w:r>
      <w:r w:rsidR="00D26037">
        <w:rPr>
          <w:rFonts w:ascii="Times New Roman" w:hAnsi="Times New Roman" w:cs="Times New Roman"/>
          <w:sz w:val="24"/>
          <w:szCs w:val="24"/>
        </w:rPr>
        <w:t>ка</w:t>
      </w:r>
      <w:r w:rsidR="0039379B">
        <w:rPr>
          <w:rFonts w:ascii="Times New Roman" w:hAnsi="Times New Roman" w:cs="Times New Roman"/>
          <w:sz w:val="24"/>
          <w:szCs w:val="24"/>
        </w:rPr>
        <w:t xml:space="preserve"> са само једним понуђачем </w:t>
      </w:r>
      <w:r w:rsidR="000A1E11">
        <w:rPr>
          <w:rFonts w:ascii="Times New Roman" w:hAnsi="Times New Roman" w:cs="Times New Roman"/>
          <w:sz w:val="24"/>
          <w:szCs w:val="24"/>
        </w:rPr>
        <w:t xml:space="preserve">који због </w:t>
      </w:r>
      <w:r w:rsidR="0039379B">
        <w:rPr>
          <w:rFonts w:ascii="Times New Roman" w:hAnsi="Times New Roman" w:cs="Times New Roman"/>
          <w:sz w:val="24"/>
          <w:szCs w:val="24"/>
        </w:rPr>
        <w:t>„</w:t>
      </w:r>
      <w:r w:rsidR="000A1E11">
        <w:rPr>
          <w:rFonts w:ascii="Times New Roman" w:hAnsi="Times New Roman" w:cs="Times New Roman"/>
          <w:sz w:val="24"/>
          <w:szCs w:val="24"/>
        </w:rPr>
        <w:t>техничких и уметничких разлога</w:t>
      </w:r>
      <w:r w:rsidR="0039379B">
        <w:rPr>
          <w:rFonts w:ascii="Times New Roman" w:hAnsi="Times New Roman" w:cs="Times New Roman"/>
          <w:sz w:val="24"/>
          <w:szCs w:val="24"/>
        </w:rPr>
        <w:t>“</w:t>
      </w:r>
      <w:r w:rsidR="000A1E11">
        <w:rPr>
          <w:rFonts w:ascii="Times New Roman" w:hAnsi="Times New Roman" w:cs="Times New Roman"/>
          <w:sz w:val="24"/>
          <w:szCs w:val="24"/>
        </w:rPr>
        <w:t xml:space="preserve"> једини мож</w:t>
      </w:r>
      <w:r w:rsidR="0039379B">
        <w:rPr>
          <w:rFonts w:ascii="Times New Roman" w:hAnsi="Times New Roman" w:cs="Times New Roman"/>
          <w:sz w:val="24"/>
          <w:szCs w:val="24"/>
        </w:rPr>
        <w:t>е да задовољи потребе наручиоца</w:t>
      </w:r>
      <w:r w:rsidR="00612FB9">
        <w:rPr>
          <w:rFonts w:ascii="Times New Roman" w:hAnsi="Times New Roman" w:cs="Times New Roman"/>
          <w:sz w:val="24"/>
          <w:szCs w:val="24"/>
        </w:rPr>
        <w:t xml:space="preserve"> и то за 6,3 милијарди динара</w:t>
      </w:r>
      <w:r w:rsidR="00D26037">
        <w:rPr>
          <w:rFonts w:ascii="Times New Roman" w:hAnsi="Times New Roman" w:cs="Times New Roman"/>
          <w:sz w:val="24"/>
          <w:szCs w:val="24"/>
        </w:rPr>
        <w:t xml:space="preserve"> или за 54%</w:t>
      </w:r>
      <w:r w:rsidR="000A1E11">
        <w:rPr>
          <w:rFonts w:ascii="Times New Roman" w:hAnsi="Times New Roman" w:cs="Times New Roman"/>
          <w:sz w:val="24"/>
          <w:szCs w:val="24"/>
        </w:rPr>
        <w:t xml:space="preserve">. </w:t>
      </w:r>
      <w:r w:rsidR="0039379B">
        <w:rPr>
          <w:rFonts w:ascii="Times New Roman" w:hAnsi="Times New Roman" w:cs="Times New Roman"/>
          <w:sz w:val="24"/>
          <w:szCs w:val="24"/>
        </w:rPr>
        <w:t xml:space="preserve">То је поступак код кога је конкуренција у потпуности искључена и стога </w:t>
      </w:r>
      <w:r w:rsidR="00612FB9">
        <w:rPr>
          <w:rFonts w:ascii="Times New Roman" w:hAnsi="Times New Roman" w:cs="Times New Roman"/>
          <w:sz w:val="24"/>
          <w:szCs w:val="24"/>
        </w:rPr>
        <w:t xml:space="preserve">је </w:t>
      </w:r>
      <w:r w:rsidR="0039379B">
        <w:rPr>
          <w:rFonts w:ascii="Times New Roman" w:hAnsi="Times New Roman" w:cs="Times New Roman"/>
          <w:sz w:val="24"/>
          <w:szCs w:val="24"/>
        </w:rPr>
        <w:t>најнеповољнији за државу као купца, а уједно и најризичнији са аспекта могућих злоупотреба. Ово је добар пример који показује да транспарентност, сама по себи, није довољна да обезбеди конкуренцију</w:t>
      </w:r>
      <w:r>
        <w:rPr>
          <w:rStyle w:val="FootnoteReference"/>
          <w:rFonts w:ascii="Times New Roman" w:hAnsi="Times New Roman" w:cs="Times New Roman"/>
          <w:sz w:val="24"/>
          <w:szCs w:val="24"/>
        </w:rPr>
        <w:footnoteReference w:id="10"/>
      </w:r>
      <w:r w:rsidR="0039379B">
        <w:rPr>
          <w:rFonts w:ascii="Times New Roman" w:hAnsi="Times New Roman" w:cs="Times New Roman"/>
          <w:sz w:val="24"/>
          <w:szCs w:val="24"/>
        </w:rPr>
        <w:t>, те да</w:t>
      </w:r>
      <w:r>
        <w:rPr>
          <w:rFonts w:ascii="Times New Roman" w:hAnsi="Times New Roman" w:cs="Times New Roman"/>
          <w:sz w:val="24"/>
          <w:szCs w:val="24"/>
        </w:rPr>
        <w:t>,</w:t>
      </w:r>
      <w:r w:rsidR="0039379B">
        <w:rPr>
          <w:rFonts w:ascii="Times New Roman" w:hAnsi="Times New Roman" w:cs="Times New Roman"/>
          <w:sz w:val="24"/>
          <w:szCs w:val="24"/>
        </w:rPr>
        <w:t xml:space="preserve"> уколико се покаже да тржиште (тј. понуђачи) не реагује према очекивањима у смислу заштите својих права и конкуренције, тада држава, односно регулаторна </w:t>
      </w:r>
      <w:r>
        <w:rPr>
          <w:rFonts w:ascii="Times New Roman" w:hAnsi="Times New Roman" w:cs="Times New Roman"/>
          <w:sz w:val="24"/>
          <w:szCs w:val="24"/>
        </w:rPr>
        <w:t>тела треба да преузму т</w:t>
      </w:r>
      <w:r w:rsidR="0039379B">
        <w:rPr>
          <w:rFonts w:ascii="Times New Roman" w:hAnsi="Times New Roman" w:cs="Times New Roman"/>
          <w:sz w:val="24"/>
          <w:szCs w:val="24"/>
        </w:rPr>
        <w:t xml:space="preserve">у функцију.   </w:t>
      </w:r>
    </w:p>
    <w:p w:rsidR="004561B3" w:rsidRDefault="005D0B49" w:rsidP="004561B3">
      <w:pPr>
        <w:jc w:val="both"/>
        <w:rPr>
          <w:rFonts w:ascii="Times New Roman" w:hAnsi="Times New Roman" w:cs="Times New Roman"/>
          <w:sz w:val="24"/>
          <w:szCs w:val="24"/>
          <w:lang w:val="sr-Cyrl-RS"/>
        </w:rPr>
      </w:pPr>
      <w:r>
        <w:rPr>
          <w:rFonts w:ascii="Times New Roman" w:hAnsi="Times New Roman" w:cs="Times New Roman"/>
          <w:sz w:val="24"/>
          <w:szCs w:val="24"/>
        </w:rPr>
        <w:t xml:space="preserve">Слика </w:t>
      </w:r>
      <w:r w:rsidR="00612FB9">
        <w:rPr>
          <w:rFonts w:ascii="Times New Roman" w:hAnsi="Times New Roman" w:cs="Times New Roman"/>
          <w:sz w:val="24"/>
          <w:szCs w:val="24"/>
        </w:rPr>
        <w:t>10</w:t>
      </w:r>
      <w:r>
        <w:rPr>
          <w:rFonts w:ascii="Times New Roman" w:hAnsi="Times New Roman" w:cs="Times New Roman"/>
          <w:sz w:val="24"/>
          <w:szCs w:val="24"/>
        </w:rPr>
        <w:t xml:space="preserve"> показује </w:t>
      </w:r>
      <w:r w:rsidR="00696FC9">
        <w:rPr>
          <w:rFonts w:ascii="Times New Roman" w:hAnsi="Times New Roman" w:cs="Times New Roman"/>
          <w:sz w:val="24"/>
          <w:szCs w:val="24"/>
        </w:rPr>
        <w:t>да је</w:t>
      </w:r>
      <w:r w:rsidR="00F35245">
        <w:rPr>
          <w:rFonts w:ascii="Times New Roman" w:hAnsi="Times New Roman" w:cs="Times New Roman"/>
          <w:sz w:val="24"/>
          <w:szCs w:val="24"/>
        </w:rPr>
        <w:t xml:space="preserve"> за</w:t>
      </w:r>
      <w:r w:rsidR="00612FB9">
        <w:rPr>
          <w:rFonts w:ascii="Times New Roman" w:hAnsi="Times New Roman" w:cs="Times New Roman"/>
          <w:sz w:val="24"/>
          <w:szCs w:val="24"/>
        </w:rPr>
        <w:t xml:space="preserve"> 3,9 милијарди динара (односно за 40%) </w:t>
      </w:r>
      <w:r w:rsidR="004F2D0E">
        <w:rPr>
          <w:rFonts w:ascii="Times New Roman" w:hAnsi="Times New Roman" w:cs="Times New Roman"/>
          <w:sz w:val="24"/>
          <w:szCs w:val="24"/>
        </w:rPr>
        <w:t>смањена вредност преговарачког поступка по „хитности“</w:t>
      </w:r>
      <w:r w:rsidR="00612FB9">
        <w:rPr>
          <w:rFonts w:ascii="Times New Roman" w:hAnsi="Times New Roman" w:cs="Times New Roman"/>
          <w:sz w:val="24"/>
          <w:szCs w:val="24"/>
        </w:rPr>
        <w:t xml:space="preserve"> у другом полугодишту у односу на прво</w:t>
      </w:r>
      <w:r w:rsidR="00D26037">
        <w:rPr>
          <w:rFonts w:ascii="Times New Roman" w:hAnsi="Times New Roman" w:cs="Times New Roman"/>
          <w:sz w:val="24"/>
          <w:szCs w:val="24"/>
        </w:rPr>
        <w:t xml:space="preserve">. Највеће процентуално смањење било је код </w:t>
      </w:r>
      <w:r>
        <w:rPr>
          <w:rFonts w:ascii="Times New Roman" w:hAnsi="Times New Roman" w:cs="Times New Roman"/>
          <w:sz w:val="24"/>
          <w:szCs w:val="24"/>
        </w:rPr>
        <w:t xml:space="preserve">додатних радова и </w:t>
      </w:r>
      <w:r w:rsidRPr="00D20B81">
        <w:rPr>
          <w:rFonts w:ascii="Times New Roman" w:hAnsi="Times New Roman" w:cs="Times New Roman"/>
          <w:sz w:val="24"/>
          <w:szCs w:val="24"/>
        </w:rPr>
        <w:t>услуга на које</w:t>
      </w:r>
      <w:r>
        <w:rPr>
          <w:rFonts w:ascii="Times New Roman" w:hAnsi="Times New Roman" w:cs="Times New Roman"/>
          <w:sz w:val="24"/>
          <w:szCs w:val="24"/>
        </w:rPr>
        <w:t xml:space="preserve"> Управа, такође, даје претходно мишљење</w:t>
      </w:r>
      <w:r w:rsidR="00730020">
        <w:rPr>
          <w:rFonts w:ascii="Times New Roman" w:hAnsi="Times New Roman" w:cs="Times New Roman"/>
          <w:sz w:val="24"/>
          <w:szCs w:val="24"/>
        </w:rPr>
        <w:t xml:space="preserve">, за 64%, односно 0,9 </w:t>
      </w:r>
      <w:r w:rsidR="004561B3">
        <w:rPr>
          <w:rFonts w:ascii="Times New Roman" w:hAnsi="Times New Roman" w:cs="Times New Roman"/>
          <w:sz w:val="24"/>
          <w:szCs w:val="24"/>
          <w:lang w:val="sr-Cyrl-RS"/>
        </w:rPr>
        <w:t xml:space="preserve">милијарди </w:t>
      </w:r>
      <w:r w:rsidR="00D26037">
        <w:rPr>
          <w:rFonts w:ascii="Times New Roman" w:hAnsi="Times New Roman" w:cs="Times New Roman"/>
          <w:sz w:val="24"/>
          <w:szCs w:val="24"/>
        </w:rPr>
        <w:t xml:space="preserve">динара. </w:t>
      </w:r>
      <w:r>
        <w:rPr>
          <w:rFonts w:ascii="Times New Roman" w:hAnsi="Times New Roman" w:cs="Times New Roman"/>
          <w:sz w:val="24"/>
          <w:szCs w:val="24"/>
        </w:rPr>
        <w:t xml:space="preserve"> </w:t>
      </w:r>
    </w:p>
    <w:p w:rsidR="00423371" w:rsidRPr="004561B3" w:rsidRDefault="00423371" w:rsidP="004561B3">
      <w:pPr>
        <w:pStyle w:val="ListParagraph"/>
        <w:numPr>
          <w:ilvl w:val="0"/>
          <w:numId w:val="2"/>
        </w:numPr>
        <w:rPr>
          <w:rFonts w:ascii="Times New Roman" w:hAnsi="Times New Roman" w:cs="Times New Roman"/>
          <w:b/>
          <w:sz w:val="24"/>
          <w:szCs w:val="24"/>
        </w:rPr>
      </w:pPr>
      <w:r w:rsidRPr="004561B3">
        <w:rPr>
          <w:rFonts w:ascii="Times New Roman" w:hAnsi="Times New Roman" w:cs="Times New Roman"/>
          <w:b/>
          <w:sz w:val="24"/>
          <w:szCs w:val="24"/>
        </w:rPr>
        <w:lastRenderedPageBreak/>
        <w:t>КОНКУРЕН</w:t>
      </w:r>
      <w:r w:rsidR="00607EFC" w:rsidRPr="004561B3">
        <w:rPr>
          <w:rFonts w:ascii="Times New Roman" w:hAnsi="Times New Roman" w:cs="Times New Roman"/>
          <w:b/>
          <w:sz w:val="24"/>
          <w:szCs w:val="24"/>
        </w:rPr>
        <w:t>ЦИЈА</w:t>
      </w:r>
    </w:p>
    <w:p w:rsidR="00172360" w:rsidRDefault="002B428A" w:rsidP="007B4B66">
      <w:pPr>
        <w:jc w:val="both"/>
        <w:rPr>
          <w:rFonts w:ascii="Times New Roman" w:hAnsi="Times New Roman" w:cs="Times New Roman"/>
          <w:sz w:val="24"/>
          <w:szCs w:val="24"/>
        </w:rPr>
      </w:pPr>
      <w:r>
        <w:rPr>
          <w:rFonts w:ascii="Times New Roman" w:hAnsi="Times New Roman" w:cs="Times New Roman"/>
          <w:sz w:val="24"/>
          <w:szCs w:val="24"/>
        </w:rPr>
        <w:t xml:space="preserve">Слободно деловање конкуренције је једно од најважнијих обележја </w:t>
      </w:r>
      <w:r w:rsidR="00607EFC">
        <w:rPr>
          <w:rFonts w:ascii="Times New Roman" w:hAnsi="Times New Roman" w:cs="Times New Roman"/>
          <w:sz w:val="24"/>
          <w:szCs w:val="24"/>
        </w:rPr>
        <w:t>развијено</w:t>
      </w:r>
      <w:r>
        <w:rPr>
          <w:rFonts w:ascii="Times New Roman" w:hAnsi="Times New Roman" w:cs="Times New Roman"/>
          <w:sz w:val="24"/>
          <w:szCs w:val="24"/>
        </w:rPr>
        <w:t xml:space="preserve">г и ефикасног </w:t>
      </w:r>
      <w:r w:rsidR="00607EFC">
        <w:rPr>
          <w:rFonts w:ascii="Times New Roman" w:hAnsi="Times New Roman" w:cs="Times New Roman"/>
          <w:sz w:val="24"/>
          <w:szCs w:val="24"/>
        </w:rPr>
        <w:t xml:space="preserve">система јавних набавки. </w:t>
      </w:r>
      <w:r>
        <w:rPr>
          <w:rFonts w:ascii="Times New Roman" w:hAnsi="Times New Roman" w:cs="Times New Roman"/>
          <w:sz w:val="24"/>
          <w:szCs w:val="24"/>
        </w:rPr>
        <w:t>Разлог је што слободна конкуренција међу понуђачима омогућава купцу, у овом случају држави</w:t>
      </w:r>
      <w:r w:rsidR="00C162DC">
        <w:rPr>
          <w:rFonts w:ascii="Times New Roman" w:hAnsi="Times New Roman" w:cs="Times New Roman"/>
          <w:sz w:val="24"/>
          <w:szCs w:val="24"/>
        </w:rPr>
        <w:t>,</w:t>
      </w:r>
      <w:r>
        <w:rPr>
          <w:rFonts w:ascii="Times New Roman" w:hAnsi="Times New Roman" w:cs="Times New Roman"/>
          <w:sz w:val="24"/>
          <w:szCs w:val="24"/>
        </w:rPr>
        <w:t xml:space="preserve"> најповољније услове набавке. Стога су к</w:t>
      </w:r>
      <w:r w:rsidR="00607EFC">
        <w:rPr>
          <w:rFonts w:ascii="Times New Roman" w:hAnsi="Times New Roman" w:cs="Times New Roman"/>
          <w:sz w:val="24"/>
          <w:szCs w:val="24"/>
        </w:rPr>
        <w:t>ључна начела јавних набавки, попут трансп</w:t>
      </w:r>
      <w:r w:rsidR="006A7E33">
        <w:rPr>
          <w:rFonts w:ascii="Times New Roman" w:hAnsi="Times New Roman" w:cs="Times New Roman"/>
          <w:sz w:val="24"/>
          <w:szCs w:val="24"/>
        </w:rPr>
        <w:t>а</w:t>
      </w:r>
      <w:r w:rsidR="00607EFC">
        <w:rPr>
          <w:rFonts w:ascii="Times New Roman" w:hAnsi="Times New Roman" w:cs="Times New Roman"/>
          <w:sz w:val="24"/>
          <w:szCs w:val="24"/>
        </w:rPr>
        <w:t>рентности и недискриминације, односно обезбеђивања једнаких услова за све учеснике у по</w:t>
      </w:r>
      <w:r>
        <w:rPr>
          <w:rFonts w:ascii="Times New Roman" w:hAnsi="Times New Roman" w:cs="Times New Roman"/>
          <w:sz w:val="24"/>
          <w:szCs w:val="24"/>
        </w:rPr>
        <w:t>с</w:t>
      </w:r>
      <w:r w:rsidR="00607EFC">
        <w:rPr>
          <w:rFonts w:ascii="Times New Roman" w:hAnsi="Times New Roman" w:cs="Times New Roman"/>
          <w:sz w:val="24"/>
          <w:szCs w:val="24"/>
        </w:rPr>
        <w:t xml:space="preserve">тупку </w:t>
      </w:r>
      <w:r w:rsidR="003F24BD">
        <w:rPr>
          <w:rFonts w:ascii="Times New Roman" w:hAnsi="Times New Roman" w:cs="Times New Roman"/>
          <w:sz w:val="24"/>
          <w:szCs w:val="24"/>
        </w:rPr>
        <w:t>заправо</w:t>
      </w:r>
      <w:r>
        <w:rPr>
          <w:rFonts w:ascii="Times New Roman" w:hAnsi="Times New Roman" w:cs="Times New Roman"/>
          <w:sz w:val="24"/>
          <w:szCs w:val="24"/>
        </w:rPr>
        <w:t xml:space="preserve"> у функцији остваривања једног ширег циља, а то је </w:t>
      </w:r>
      <w:r w:rsidR="00607EFC">
        <w:rPr>
          <w:rFonts w:ascii="Times New Roman" w:hAnsi="Times New Roman" w:cs="Times New Roman"/>
          <w:sz w:val="24"/>
          <w:szCs w:val="24"/>
        </w:rPr>
        <w:t>обезбе</w:t>
      </w:r>
      <w:r>
        <w:rPr>
          <w:rFonts w:ascii="Times New Roman" w:hAnsi="Times New Roman" w:cs="Times New Roman"/>
          <w:sz w:val="24"/>
          <w:szCs w:val="24"/>
        </w:rPr>
        <w:t>ђивање</w:t>
      </w:r>
      <w:r w:rsidR="00607EFC">
        <w:rPr>
          <w:rFonts w:ascii="Times New Roman" w:hAnsi="Times New Roman" w:cs="Times New Roman"/>
          <w:sz w:val="24"/>
          <w:szCs w:val="24"/>
        </w:rPr>
        <w:t xml:space="preserve"> пун</w:t>
      </w:r>
      <w:r>
        <w:rPr>
          <w:rFonts w:ascii="Times New Roman" w:hAnsi="Times New Roman" w:cs="Times New Roman"/>
          <w:sz w:val="24"/>
          <w:szCs w:val="24"/>
        </w:rPr>
        <w:t>е конкуренције</w:t>
      </w:r>
      <w:r w:rsidR="00607EFC">
        <w:rPr>
          <w:rFonts w:ascii="Times New Roman" w:hAnsi="Times New Roman" w:cs="Times New Roman"/>
          <w:sz w:val="24"/>
          <w:szCs w:val="24"/>
        </w:rPr>
        <w:t xml:space="preserve"> у поступцима јавних </w:t>
      </w:r>
      <w:r w:rsidR="00740B7E">
        <w:rPr>
          <w:rFonts w:ascii="Times New Roman" w:hAnsi="Times New Roman" w:cs="Times New Roman"/>
          <w:sz w:val="24"/>
          <w:szCs w:val="24"/>
        </w:rPr>
        <w:t xml:space="preserve">набавки. </w:t>
      </w:r>
      <w:r>
        <w:rPr>
          <w:rFonts w:ascii="Times New Roman" w:hAnsi="Times New Roman" w:cs="Times New Roman"/>
          <w:sz w:val="24"/>
          <w:szCs w:val="24"/>
        </w:rPr>
        <w:t xml:space="preserve">Зато се успешност </w:t>
      </w:r>
      <w:r w:rsidR="00FF2D0F">
        <w:rPr>
          <w:rFonts w:ascii="Times New Roman" w:hAnsi="Times New Roman" w:cs="Times New Roman"/>
          <w:sz w:val="24"/>
          <w:szCs w:val="24"/>
        </w:rPr>
        <w:t xml:space="preserve">(ефекти) </w:t>
      </w:r>
      <w:r>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Pr>
          <w:rFonts w:ascii="Times New Roman" w:hAnsi="Times New Roman" w:cs="Times New Roman"/>
          <w:sz w:val="24"/>
          <w:szCs w:val="24"/>
        </w:rPr>
        <w:t xml:space="preserve">у пракси </w:t>
      </w:r>
      <w:r>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Pr>
          <w:rFonts w:ascii="Times New Roman" w:hAnsi="Times New Roman" w:cs="Times New Roman"/>
          <w:sz w:val="24"/>
          <w:szCs w:val="24"/>
        </w:rPr>
        <w:t>Другим речима, ако су транспарентност и једн</w:t>
      </w:r>
      <w:r w:rsidR="006463F1">
        <w:rPr>
          <w:rFonts w:ascii="Times New Roman" w:hAnsi="Times New Roman" w:cs="Times New Roman"/>
          <w:sz w:val="24"/>
          <w:szCs w:val="24"/>
        </w:rPr>
        <w:t>а</w:t>
      </w:r>
      <w:r w:rsidR="006D79F5">
        <w:rPr>
          <w:rFonts w:ascii="Times New Roman" w:hAnsi="Times New Roman" w:cs="Times New Roman"/>
          <w:sz w:val="24"/>
          <w:szCs w:val="24"/>
        </w:rPr>
        <w:t>к третман понуђача обезбеђени у пракси, конкуренција ће бити интензивна. И обрнуто, ако су начела присутна само у ЗЈН, а постоје слабости у њиховој примени, понуђачи ће одустајати од учешћа у поступцима јавних набавки.</w:t>
      </w:r>
      <w:r w:rsidR="006463F1">
        <w:rPr>
          <w:rFonts w:ascii="Times New Roman" w:hAnsi="Times New Roman" w:cs="Times New Roman"/>
          <w:sz w:val="24"/>
          <w:szCs w:val="24"/>
        </w:rPr>
        <w:t xml:space="preserve"> Разлог је што њихова одлука о учешћу у поступку јавне набавке зависи пре свега од процене да ли је поступак </w:t>
      </w:r>
      <w:r w:rsidR="00172360">
        <w:rPr>
          <w:rFonts w:ascii="Times New Roman" w:hAnsi="Times New Roman" w:cs="Times New Roman"/>
          <w:sz w:val="24"/>
          <w:szCs w:val="24"/>
        </w:rPr>
        <w:t>„</w:t>
      </w:r>
      <w:r w:rsidR="006463F1">
        <w:rPr>
          <w:rFonts w:ascii="Times New Roman" w:hAnsi="Times New Roman" w:cs="Times New Roman"/>
          <w:sz w:val="24"/>
          <w:szCs w:val="24"/>
        </w:rPr>
        <w:t>намештен</w:t>
      </w:r>
      <w:r w:rsidR="00172360">
        <w:rPr>
          <w:rFonts w:ascii="Times New Roman" w:hAnsi="Times New Roman" w:cs="Times New Roman"/>
          <w:sz w:val="24"/>
          <w:szCs w:val="24"/>
        </w:rPr>
        <w:t>“</w:t>
      </w:r>
      <w:r w:rsidR="006463F1">
        <w:rPr>
          <w:rFonts w:ascii="Times New Roman" w:hAnsi="Times New Roman" w:cs="Times New Roman"/>
          <w:sz w:val="24"/>
          <w:szCs w:val="24"/>
        </w:rPr>
        <w:t xml:space="preserve"> или не за одређеног понуђача. </w:t>
      </w:r>
      <w:r w:rsidR="00172360">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D90F54" w:rsidRDefault="00172360" w:rsidP="00740B7E">
      <w:pPr>
        <w:jc w:val="both"/>
        <w:rPr>
          <w:rFonts w:ascii="Times New Roman" w:hAnsi="Times New Roman" w:cs="Times New Roman"/>
          <w:sz w:val="24"/>
          <w:szCs w:val="24"/>
        </w:rPr>
      </w:pPr>
      <w:r>
        <w:rPr>
          <w:rFonts w:ascii="Times New Roman" w:hAnsi="Times New Roman" w:cs="Times New Roman"/>
          <w:sz w:val="24"/>
          <w:szCs w:val="24"/>
        </w:rPr>
        <w:t>Просечан број понуда по закљученом уговору, као с</w:t>
      </w:r>
      <w:r w:rsidR="00607EFC">
        <w:rPr>
          <w:rFonts w:ascii="Times New Roman" w:hAnsi="Times New Roman" w:cs="Times New Roman"/>
          <w:sz w:val="24"/>
          <w:szCs w:val="24"/>
        </w:rPr>
        <w:t>тандардан показатељ интензитета конкуренције у јавним набавкама</w:t>
      </w:r>
      <w:r>
        <w:rPr>
          <w:rFonts w:ascii="Times New Roman" w:hAnsi="Times New Roman" w:cs="Times New Roman"/>
          <w:sz w:val="24"/>
          <w:szCs w:val="24"/>
        </w:rPr>
        <w:t>,</w:t>
      </w:r>
      <w:r w:rsidR="00142489">
        <w:rPr>
          <w:rFonts w:ascii="Times New Roman" w:hAnsi="Times New Roman" w:cs="Times New Roman"/>
          <w:sz w:val="24"/>
          <w:szCs w:val="24"/>
        </w:rPr>
        <w:t xml:space="preserve"> </w:t>
      </w:r>
      <w:r>
        <w:rPr>
          <w:rFonts w:ascii="Times New Roman" w:hAnsi="Times New Roman" w:cs="Times New Roman"/>
          <w:sz w:val="24"/>
          <w:szCs w:val="24"/>
        </w:rPr>
        <w:t xml:space="preserve">приказан је у </w:t>
      </w:r>
      <w:r w:rsidR="00FF2D0F">
        <w:rPr>
          <w:rFonts w:ascii="Times New Roman" w:hAnsi="Times New Roman" w:cs="Times New Roman"/>
          <w:sz w:val="24"/>
          <w:szCs w:val="24"/>
        </w:rPr>
        <w:t>Табел</w:t>
      </w:r>
      <w:r>
        <w:rPr>
          <w:rFonts w:ascii="Times New Roman" w:hAnsi="Times New Roman" w:cs="Times New Roman"/>
          <w:sz w:val="24"/>
          <w:szCs w:val="24"/>
        </w:rPr>
        <w:t>и</w:t>
      </w:r>
      <w:r w:rsidR="00FF2D0F">
        <w:rPr>
          <w:rFonts w:ascii="Times New Roman" w:hAnsi="Times New Roman" w:cs="Times New Roman"/>
          <w:sz w:val="24"/>
          <w:szCs w:val="24"/>
        </w:rPr>
        <w:t xml:space="preserve"> </w:t>
      </w:r>
      <w:r w:rsidR="00142489">
        <w:rPr>
          <w:rFonts w:ascii="Times New Roman" w:hAnsi="Times New Roman" w:cs="Times New Roman"/>
          <w:sz w:val="24"/>
          <w:szCs w:val="24"/>
        </w:rPr>
        <w:t>6</w:t>
      </w:r>
      <w:r w:rsidR="00607EFC">
        <w:rPr>
          <w:rFonts w:ascii="Times New Roman" w:hAnsi="Times New Roman" w:cs="Times New Roman"/>
          <w:sz w:val="24"/>
          <w:szCs w:val="24"/>
        </w:rPr>
        <w:t xml:space="preserve">. </w:t>
      </w:r>
    </w:p>
    <w:p w:rsidR="00B52C7D" w:rsidRPr="00480309" w:rsidRDefault="00480309" w:rsidP="00482BC8">
      <w:pP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r w:rsidR="00C41DA4" w:rsidRPr="00480309">
        <w:rPr>
          <w:rFonts w:ascii="Times New Roman" w:hAnsi="Times New Roman" w:cs="Times New Roman"/>
          <w:b/>
          <w:sz w:val="24"/>
          <w:szCs w:val="24"/>
        </w:rPr>
        <w:t>Табела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7"/>
        <w:gridCol w:w="4183"/>
      </w:tblGrid>
      <w:tr w:rsidR="00383777" w:rsidRPr="00383777" w:rsidTr="003F4DFD">
        <w:trPr>
          <w:trHeight w:val="713"/>
          <w:jc w:val="center"/>
        </w:trPr>
        <w:tc>
          <w:tcPr>
            <w:tcW w:w="8340" w:type="dxa"/>
            <w:gridSpan w:val="2"/>
          </w:tcPr>
          <w:p w:rsidR="00480309" w:rsidRDefault="00383777" w:rsidP="00E677C6">
            <w:pPr>
              <w:tabs>
                <w:tab w:val="left" w:pos="1885"/>
              </w:tabs>
              <w:spacing w:after="0" w:line="240" w:lineRule="auto"/>
              <w:jc w:val="center"/>
              <w:rPr>
                <w:rFonts w:ascii="Times New Roman" w:eastAsia="Times New Roman" w:hAnsi="Times New Roman" w:cs="Times New Roman"/>
                <w:b/>
                <w:sz w:val="24"/>
                <w:szCs w:val="24"/>
                <w:lang w:val="sr-Cyrl-RS"/>
              </w:rPr>
            </w:pPr>
            <w:r w:rsidRPr="00383777">
              <w:rPr>
                <w:rFonts w:ascii="Times New Roman" w:eastAsia="Times New Roman" w:hAnsi="Times New Roman" w:cs="Times New Roman"/>
                <w:b/>
                <w:sz w:val="24"/>
                <w:szCs w:val="24"/>
              </w:rPr>
              <w:t xml:space="preserve">Просечан број понуда по закљученом уговору </w:t>
            </w:r>
          </w:p>
          <w:p w:rsidR="00383777" w:rsidRPr="006F6E84" w:rsidRDefault="00383777" w:rsidP="000706BF">
            <w:pPr>
              <w:tabs>
                <w:tab w:val="left" w:pos="1885"/>
              </w:tabs>
              <w:spacing w:after="0" w:line="240" w:lineRule="auto"/>
              <w:jc w:val="center"/>
              <w:rPr>
                <w:rFonts w:ascii="Times New Roman" w:eastAsia="Times New Roman" w:hAnsi="Times New Roman" w:cs="Times New Roman"/>
                <w:b/>
                <w:sz w:val="24"/>
                <w:szCs w:val="24"/>
              </w:rPr>
            </w:pPr>
            <w:r w:rsidRPr="00383777">
              <w:rPr>
                <w:rFonts w:ascii="Times New Roman" w:eastAsia="Times New Roman" w:hAnsi="Times New Roman" w:cs="Times New Roman"/>
                <w:b/>
                <w:sz w:val="24"/>
                <w:szCs w:val="24"/>
              </w:rPr>
              <w:t>у поступцима</w:t>
            </w:r>
            <w:r w:rsidR="00E677C6">
              <w:rPr>
                <w:rFonts w:ascii="Times New Roman" w:eastAsia="Times New Roman" w:hAnsi="Times New Roman" w:cs="Times New Roman"/>
                <w:b/>
                <w:sz w:val="24"/>
                <w:szCs w:val="24"/>
              </w:rPr>
              <w:t xml:space="preserve"> јавних набавки у 2012. </w:t>
            </w:r>
            <w:r w:rsidR="006F6E84">
              <w:rPr>
                <w:rFonts w:ascii="Times New Roman" w:eastAsia="Times New Roman" w:hAnsi="Times New Roman" w:cs="Times New Roman"/>
                <w:b/>
                <w:sz w:val="24"/>
                <w:szCs w:val="24"/>
              </w:rPr>
              <w:t>и 2013. години</w:t>
            </w:r>
          </w:p>
        </w:tc>
      </w:tr>
      <w:tr w:rsidR="006F6E84" w:rsidRPr="00383777" w:rsidTr="006F6E84">
        <w:tblPrEx>
          <w:tblLook w:val="04A0" w:firstRow="1" w:lastRow="0" w:firstColumn="1" w:lastColumn="0" w:noHBand="0" w:noVBand="1"/>
        </w:tblPrEx>
        <w:trPr>
          <w:trHeight w:val="425"/>
          <w:jc w:val="center"/>
        </w:trPr>
        <w:tc>
          <w:tcPr>
            <w:tcW w:w="4157" w:type="dxa"/>
            <w:shd w:val="clear" w:color="auto" w:fill="auto"/>
            <w:vAlign w:val="center"/>
          </w:tcPr>
          <w:p w:rsidR="006F6E84" w:rsidRDefault="006F6E84"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2012.</w:t>
            </w:r>
          </w:p>
          <w:p w:rsidR="006F6E84" w:rsidRPr="00383777" w:rsidRDefault="006F6E84"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 xml:space="preserve"> година</w:t>
            </w:r>
          </w:p>
        </w:tc>
        <w:tc>
          <w:tcPr>
            <w:tcW w:w="4183" w:type="dxa"/>
            <w:shd w:val="clear" w:color="auto" w:fill="auto"/>
            <w:vAlign w:val="center"/>
          </w:tcPr>
          <w:p w:rsidR="006F6E84" w:rsidRDefault="006F6E84" w:rsidP="00383777">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2013.</w:t>
            </w:r>
          </w:p>
          <w:p w:rsidR="006F6E84" w:rsidRPr="006F6E84" w:rsidRDefault="006F6E84" w:rsidP="00383777">
            <w:pPr>
              <w:tabs>
                <w:tab w:val="left" w:pos="1885"/>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година</w:t>
            </w:r>
          </w:p>
        </w:tc>
      </w:tr>
      <w:tr w:rsidR="006F6E84" w:rsidRPr="00383777" w:rsidTr="006F6E84">
        <w:tblPrEx>
          <w:tblLook w:val="04A0" w:firstRow="1" w:lastRow="0" w:firstColumn="1" w:lastColumn="0" w:noHBand="0" w:noVBand="1"/>
        </w:tblPrEx>
        <w:trPr>
          <w:jc w:val="center"/>
        </w:trPr>
        <w:tc>
          <w:tcPr>
            <w:tcW w:w="4157" w:type="dxa"/>
            <w:shd w:val="clear" w:color="auto" w:fill="auto"/>
            <w:vAlign w:val="center"/>
          </w:tcPr>
          <w:p w:rsidR="006F6E84" w:rsidRPr="00383777" w:rsidRDefault="006F6E84"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2,6</w:t>
            </w:r>
          </w:p>
        </w:tc>
        <w:tc>
          <w:tcPr>
            <w:tcW w:w="4183" w:type="dxa"/>
            <w:shd w:val="clear" w:color="auto" w:fill="auto"/>
            <w:vAlign w:val="center"/>
          </w:tcPr>
          <w:p w:rsidR="006F6E84" w:rsidRPr="006F6E84" w:rsidRDefault="006F6E84" w:rsidP="00383777">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bl>
    <w:p w:rsidR="00FF2D0F" w:rsidRPr="00740B7E" w:rsidRDefault="00FF2D0F" w:rsidP="00FF2D0F">
      <w:pPr>
        <w:rPr>
          <w:rFonts w:ascii="Times New Roman" w:hAnsi="Times New Roman" w:cs="Times New Roman"/>
          <w:sz w:val="24"/>
          <w:szCs w:val="24"/>
        </w:rPr>
      </w:pPr>
    </w:p>
    <w:p w:rsidR="00FF2D0F" w:rsidRPr="00FF2D0F" w:rsidRDefault="00FF2D0F"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из Табеле </w:t>
      </w:r>
      <w:r w:rsidR="00587396">
        <w:rPr>
          <w:rFonts w:ascii="Times New Roman" w:hAnsi="Times New Roman" w:cs="Times New Roman"/>
          <w:sz w:val="24"/>
          <w:szCs w:val="24"/>
        </w:rPr>
        <w:t>6</w:t>
      </w:r>
      <w:r>
        <w:rPr>
          <w:rFonts w:ascii="Times New Roman" w:hAnsi="Times New Roman" w:cs="Times New Roman"/>
          <w:sz w:val="24"/>
          <w:szCs w:val="24"/>
        </w:rPr>
        <w:t xml:space="preserve"> може видети, интензитет конкуренције </w:t>
      </w:r>
      <w:r w:rsidR="00F53080">
        <w:rPr>
          <w:rFonts w:ascii="Times New Roman" w:hAnsi="Times New Roman" w:cs="Times New Roman"/>
          <w:sz w:val="24"/>
          <w:szCs w:val="24"/>
        </w:rPr>
        <w:t>ј</w:t>
      </w:r>
      <w:r>
        <w:rPr>
          <w:rFonts w:ascii="Times New Roman" w:hAnsi="Times New Roman" w:cs="Times New Roman"/>
          <w:sz w:val="24"/>
          <w:szCs w:val="24"/>
        </w:rPr>
        <w:t xml:space="preserve">е, у </w:t>
      </w:r>
      <w:r w:rsidR="00F35FCC">
        <w:rPr>
          <w:rFonts w:ascii="Times New Roman" w:hAnsi="Times New Roman" w:cs="Times New Roman"/>
          <w:sz w:val="24"/>
          <w:szCs w:val="24"/>
        </w:rPr>
        <w:t xml:space="preserve">2013. </w:t>
      </w:r>
      <w:r w:rsidR="00587396">
        <w:rPr>
          <w:rFonts w:ascii="Times New Roman" w:hAnsi="Times New Roman" w:cs="Times New Roman"/>
          <w:sz w:val="24"/>
          <w:szCs w:val="24"/>
        </w:rPr>
        <w:t>г</w:t>
      </w:r>
      <w:r w:rsidR="00F35FCC">
        <w:rPr>
          <w:rFonts w:ascii="Times New Roman" w:hAnsi="Times New Roman" w:cs="Times New Roman"/>
          <w:sz w:val="24"/>
          <w:szCs w:val="24"/>
        </w:rPr>
        <w:t>один</w:t>
      </w:r>
      <w:r w:rsidR="00587396">
        <w:rPr>
          <w:rFonts w:ascii="Times New Roman" w:hAnsi="Times New Roman" w:cs="Times New Roman"/>
          <w:sz w:val="24"/>
          <w:szCs w:val="24"/>
        </w:rPr>
        <w:t xml:space="preserve">и, </w:t>
      </w:r>
      <w:r w:rsidR="00F53080">
        <w:rPr>
          <w:rFonts w:ascii="Times New Roman" w:hAnsi="Times New Roman" w:cs="Times New Roman"/>
          <w:sz w:val="24"/>
          <w:szCs w:val="24"/>
        </w:rPr>
        <w:t>био 2,7</w:t>
      </w:r>
      <w:r w:rsidR="00587396">
        <w:rPr>
          <w:rFonts w:ascii="Times New Roman" w:hAnsi="Times New Roman" w:cs="Times New Roman"/>
          <w:sz w:val="24"/>
          <w:szCs w:val="24"/>
        </w:rPr>
        <w:t xml:space="preserve"> и представља минималан помак у односу на претходну годину</w:t>
      </w:r>
      <w:r w:rsidR="00F53080">
        <w:rPr>
          <w:rFonts w:ascii="Times New Roman" w:hAnsi="Times New Roman" w:cs="Times New Roman"/>
          <w:sz w:val="24"/>
          <w:szCs w:val="24"/>
        </w:rPr>
        <w:t xml:space="preserve">. </w:t>
      </w:r>
    </w:p>
    <w:p w:rsidR="00F725C1" w:rsidRPr="00FB58EA" w:rsidRDefault="00D90F54" w:rsidP="00FB58EA">
      <w:pPr>
        <w:jc w:val="both"/>
        <w:rPr>
          <w:rFonts w:ascii="Times New Roman" w:hAnsi="Times New Roman" w:cs="Times New Roman"/>
          <w:sz w:val="24"/>
          <w:szCs w:val="24"/>
          <w:lang w:val="sr-Cyrl-RS"/>
        </w:rPr>
      </w:pPr>
      <w:r>
        <w:rPr>
          <w:rFonts w:ascii="Times New Roman" w:hAnsi="Times New Roman" w:cs="Times New Roman"/>
          <w:sz w:val="24"/>
          <w:szCs w:val="24"/>
        </w:rPr>
        <w:t>Да би се могао вредновати показ</w:t>
      </w:r>
      <w:r w:rsidR="00A20355">
        <w:rPr>
          <w:rFonts w:ascii="Times New Roman" w:hAnsi="Times New Roman" w:cs="Times New Roman"/>
          <w:sz w:val="24"/>
          <w:szCs w:val="24"/>
          <w:lang w:val="sr-Cyrl-RS"/>
        </w:rPr>
        <w:t>а</w:t>
      </w:r>
      <w:r>
        <w:rPr>
          <w:rFonts w:ascii="Times New Roman" w:hAnsi="Times New Roman" w:cs="Times New Roman"/>
          <w:sz w:val="24"/>
          <w:szCs w:val="24"/>
        </w:rPr>
        <w:t xml:space="preserve">тељ интензитета конкуренције у Србији, треба га упоредити са просеком ЕУ где се вредност овог показатеља креће око 4, као и са </w:t>
      </w:r>
      <w:r w:rsidR="007734EF">
        <w:rPr>
          <w:rFonts w:ascii="Times New Roman" w:hAnsi="Times New Roman" w:cs="Times New Roman"/>
          <w:sz w:val="24"/>
          <w:szCs w:val="24"/>
        </w:rPr>
        <w:t>земљама из региона</w:t>
      </w:r>
      <w:r w:rsidR="004169ED">
        <w:rPr>
          <w:rFonts w:ascii="Times New Roman" w:hAnsi="Times New Roman" w:cs="Times New Roman"/>
          <w:sz w:val="24"/>
          <w:szCs w:val="24"/>
        </w:rPr>
        <w:t xml:space="preserve">. </w:t>
      </w:r>
      <w:r w:rsidR="00884CB7">
        <w:rPr>
          <w:rFonts w:ascii="Times New Roman" w:hAnsi="Times New Roman" w:cs="Times New Roman"/>
          <w:sz w:val="24"/>
          <w:szCs w:val="24"/>
        </w:rPr>
        <w:t xml:space="preserve">У Табели </w:t>
      </w:r>
      <w:r w:rsidR="00646862">
        <w:rPr>
          <w:rFonts w:ascii="Times New Roman" w:hAnsi="Times New Roman" w:cs="Times New Roman"/>
          <w:sz w:val="24"/>
          <w:szCs w:val="24"/>
        </w:rPr>
        <w:t>7</w:t>
      </w:r>
      <w:r w:rsidR="00B52C7D">
        <w:rPr>
          <w:rFonts w:ascii="Times New Roman" w:hAnsi="Times New Roman" w:cs="Times New Roman"/>
          <w:sz w:val="24"/>
          <w:szCs w:val="24"/>
        </w:rPr>
        <w:t xml:space="preserve"> упоредно је </w:t>
      </w:r>
      <w:r w:rsidR="00884CB7">
        <w:rPr>
          <w:rFonts w:ascii="Times New Roman" w:hAnsi="Times New Roman" w:cs="Times New Roman"/>
          <w:sz w:val="24"/>
          <w:szCs w:val="24"/>
        </w:rPr>
        <w:t xml:space="preserve">приказан просечан број понуда по закљученом уговору у Словенији, Хрватској и </w:t>
      </w:r>
      <w:r w:rsidR="00646862">
        <w:rPr>
          <w:rFonts w:ascii="Times New Roman" w:hAnsi="Times New Roman" w:cs="Times New Roman"/>
          <w:sz w:val="24"/>
          <w:szCs w:val="24"/>
        </w:rPr>
        <w:t>Црној Гори</w:t>
      </w:r>
      <w:r w:rsidR="00FB58EA">
        <w:rPr>
          <w:rFonts w:ascii="Times New Roman" w:hAnsi="Times New Roman" w:cs="Times New Roman"/>
          <w:sz w:val="24"/>
          <w:szCs w:val="24"/>
        </w:rPr>
        <w:t>.</w:t>
      </w:r>
    </w:p>
    <w:p w:rsidR="00F725C1" w:rsidRDefault="00F725C1" w:rsidP="00884CB7">
      <w:pPr>
        <w:rPr>
          <w:rFonts w:ascii="Times New Roman" w:hAnsi="Times New Roman" w:cs="Times New Roman"/>
          <w:b/>
          <w:sz w:val="24"/>
          <w:szCs w:val="24"/>
          <w:lang w:val="sr-Cyrl-RS"/>
        </w:rPr>
      </w:pPr>
    </w:p>
    <w:p w:rsidR="00FB58EA" w:rsidRDefault="00FB58EA" w:rsidP="00884CB7">
      <w:pPr>
        <w:rPr>
          <w:rFonts w:ascii="Times New Roman" w:hAnsi="Times New Roman" w:cs="Times New Roman"/>
          <w:b/>
          <w:sz w:val="24"/>
          <w:szCs w:val="24"/>
          <w:lang w:val="sr-Cyrl-RS"/>
        </w:rPr>
      </w:pPr>
    </w:p>
    <w:p w:rsidR="00FB58EA" w:rsidRDefault="00FB58EA" w:rsidP="00884CB7">
      <w:pPr>
        <w:rPr>
          <w:rFonts w:ascii="Times New Roman" w:hAnsi="Times New Roman" w:cs="Times New Roman"/>
          <w:b/>
          <w:sz w:val="24"/>
          <w:szCs w:val="24"/>
          <w:lang w:val="sr-Cyrl-RS"/>
        </w:rPr>
      </w:pPr>
    </w:p>
    <w:p w:rsidR="00FB58EA" w:rsidRDefault="00FB58EA" w:rsidP="00884CB7">
      <w:pPr>
        <w:rPr>
          <w:rFonts w:ascii="Times New Roman" w:hAnsi="Times New Roman" w:cs="Times New Roman"/>
          <w:b/>
          <w:sz w:val="24"/>
          <w:szCs w:val="24"/>
          <w:lang w:val="sr-Cyrl-RS"/>
        </w:rPr>
      </w:pPr>
    </w:p>
    <w:p w:rsidR="00FB58EA" w:rsidRDefault="00FB58EA" w:rsidP="00884CB7">
      <w:pPr>
        <w:rPr>
          <w:rFonts w:ascii="Times New Roman" w:hAnsi="Times New Roman" w:cs="Times New Roman"/>
          <w:b/>
          <w:sz w:val="24"/>
          <w:szCs w:val="24"/>
          <w:lang w:val="sr-Cyrl-RS"/>
        </w:rPr>
      </w:pPr>
    </w:p>
    <w:p w:rsidR="00FB58EA" w:rsidRPr="00F725C1" w:rsidRDefault="00FB58EA" w:rsidP="00884CB7">
      <w:pPr>
        <w:rPr>
          <w:rFonts w:ascii="Times New Roman" w:hAnsi="Times New Roman" w:cs="Times New Roman"/>
          <w:b/>
          <w:sz w:val="24"/>
          <w:szCs w:val="24"/>
          <w:lang w:val="sr-Cyrl-RS"/>
        </w:rPr>
      </w:pPr>
    </w:p>
    <w:p w:rsidR="00884CB7" w:rsidRPr="00C41DA4" w:rsidRDefault="00A20355" w:rsidP="00884CB7">
      <w:pPr>
        <w:rPr>
          <w:rFonts w:ascii="Times New Roman" w:hAnsi="Times New Roman" w:cs="Times New Roman"/>
          <w:b/>
          <w:sz w:val="24"/>
          <w:szCs w:val="24"/>
        </w:rPr>
      </w:pPr>
      <w:r>
        <w:rPr>
          <w:rFonts w:ascii="Times New Roman" w:hAnsi="Times New Roman" w:cs="Times New Roman"/>
          <w:b/>
          <w:sz w:val="24"/>
          <w:szCs w:val="24"/>
          <w:lang w:val="sr-Cyrl-RS"/>
        </w:rPr>
        <w:lastRenderedPageBreak/>
        <w:t xml:space="preserve">          </w:t>
      </w:r>
      <w:r w:rsidR="00884CB7" w:rsidRPr="00B52C7D">
        <w:rPr>
          <w:rFonts w:ascii="Times New Roman" w:hAnsi="Times New Roman" w:cs="Times New Roman"/>
          <w:b/>
          <w:sz w:val="24"/>
          <w:szCs w:val="24"/>
        </w:rPr>
        <w:t>Табела</w:t>
      </w:r>
      <w:r>
        <w:rPr>
          <w:rFonts w:ascii="Times New Roman" w:hAnsi="Times New Roman" w:cs="Times New Roman"/>
          <w:b/>
          <w:sz w:val="24"/>
          <w:szCs w:val="24"/>
          <w:lang w:val="sr-Cyrl-RS"/>
        </w:rPr>
        <w:t xml:space="preserve"> </w:t>
      </w:r>
      <w:r w:rsidR="00C41DA4">
        <w:rPr>
          <w:rFonts w:ascii="Times New Roman" w:hAnsi="Times New Roman" w:cs="Times New Roman"/>
          <w:b/>
          <w:sz w:val="24"/>
          <w:szCs w:val="24"/>
        </w:rPr>
        <w:t>7</w:t>
      </w:r>
    </w:p>
    <w:tbl>
      <w:tblPr>
        <w:tblStyle w:val="TableGrid"/>
        <w:tblW w:w="0" w:type="auto"/>
        <w:tblInd w:w="675" w:type="dxa"/>
        <w:tblLook w:val="04A0" w:firstRow="1" w:lastRow="0" w:firstColumn="1" w:lastColumn="0" w:noHBand="0" w:noVBand="1"/>
      </w:tblPr>
      <w:tblGrid>
        <w:gridCol w:w="2983"/>
        <w:gridCol w:w="3674"/>
        <w:gridCol w:w="2557"/>
      </w:tblGrid>
      <w:tr w:rsidR="00884CB7" w:rsidTr="00740B7E">
        <w:tc>
          <w:tcPr>
            <w:tcW w:w="9214" w:type="dxa"/>
            <w:gridSpan w:val="3"/>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 xml:space="preserve">Просечан број понуда по закљученом уговору </w:t>
            </w:r>
          </w:p>
        </w:tc>
      </w:tr>
      <w:tr w:rsidR="00884CB7" w:rsidTr="00740B7E">
        <w:tc>
          <w:tcPr>
            <w:tcW w:w="2983" w:type="dxa"/>
            <w:vAlign w:val="center"/>
          </w:tcPr>
          <w:p w:rsidR="00884CB7" w:rsidRPr="00646862" w:rsidRDefault="00646862" w:rsidP="00646862">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Словенија*</w:t>
            </w:r>
          </w:p>
        </w:tc>
        <w:tc>
          <w:tcPr>
            <w:tcW w:w="3674" w:type="dxa"/>
            <w:vAlign w:val="center"/>
          </w:tcPr>
          <w:p w:rsidR="00884CB7" w:rsidRPr="007734EF"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Хрватска*</w:t>
            </w:r>
            <w:r w:rsidR="007734EF">
              <w:rPr>
                <w:rFonts w:ascii="Times New Roman CYR" w:hAnsi="Times New Roman CYR" w:cs="Times New Roman CYR"/>
                <w:b/>
                <w:color w:val="000000"/>
                <w:sz w:val="24"/>
                <w:szCs w:val="24"/>
              </w:rPr>
              <w:t>*</w:t>
            </w:r>
          </w:p>
        </w:tc>
        <w:tc>
          <w:tcPr>
            <w:tcW w:w="2557" w:type="dxa"/>
            <w:vAlign w:val="center"/>
          </w:tcPr>
          <w:p w:rsidR="00884CB7" w:rsidRPr="00B52C7D" w:rsidRDefault="00646862"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Црна Гора</w:t>
            </w:r>
            <w:r w:rsidR="007734EF">
              <w:rPr>
                <w:rFonts w:ascii="Times New Roman CYR" w:hAnsi="Times New Roman CYR" w:cs="Times New Roman CYR"/>
                <w:b/>
                <w:color w:val="000000"/>
                <w:sz w:val="24"/>
                <w:szCs w:val="24"/>
              </w:rPr>
              <w:t>***</w:t>
            </w:r>
          </w:p>
        </w:tc>
      </w:tr>
      <w:tr w:rsidR="00884CB7" w:rsidTr="00740B7E">
        <w:tc>
          <w:tcPr>
            <w:tcW w:w="2983" w:type="dxa"/>
            <w:vAlign w:val="center"/>
          </w:tcPr>
          <w:p w:rsidR="00884CB7" w:rsidRPr="00646862" w:rsidRDefault="007734EF"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3,6</w:t>
            </w:r>
          </w:p>
        </w:tc>
        <w:tc>
          <w:tcPr>
            <w:tcW w:w="3674"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3,3</w:t>
            </w:r>
          </w:p>
        </w:tc>
        <w:tc>
          <w:tcPr>
            <w:tcW w:w="2557" w:type="dxa"/>
            <w:vAlign w:val="center"/>
          </w:tcPr>
          <w:p w:rsidR="00884CB7" w:rsidRPr="007734EF" w:rsidRDefault="007734EF"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4,1</w:t>
            </w:r>
          </w:p>
        </w:tc>
      </w:tr>
    </w:tbl>
    <w:p w:rsidR="00740B7E" w:rsidRDefault="00740B7E" w:rsidP="00884CB7">
      <w:pPr>
        <w:rPr>
          <w:rFonts w:ascii="Times New Roman" w:hAnsi="Times New Roman" w:cs="Times New Roman"/>
        </w:rPr>
      </w:pPr>
    </w:p>
    <w:p w:rsidR="007734EF" w:rsidRPr="00FB58EA" w:rsidRDefault="00884CB7" w:rsidP="00884CB7">
      <w:pPr>
        <w:rPr>
          <w:rFonts w:ascii="Times New Roman" w:hAnsi="Times New Roman" w:cs="Times New Roman"/>
          <w:sz w:val="20"/>
          <w:szCs w:val="20"/>
        </w:rPr>
      </w:pPr>
      <w:r w:rsidRPr="00FB58EA">
        <w:rPr>
          <w:rFonts w:ascii="Times New Roman" w:hAnsi="Times New Roman" w:cs="Times New Roman"/>
          <w:sz w:val="20"/>
          <w:szCs w:val="20"/>
        </w:rPr>
        <w:t xml:space="preserve">* </w:t>
      </w:r>
      <w:r w:rsidR="007734EF" w:rsidRPr="00FB58EA">
        <w:rPr>
          <w:rFonts w:ascii="Times New Roman" w:hAnsi="Times New Roman" w:cs="Times New Roman"/>
          <w:sz w:val="20"/>
          <w:szCs w:val="20"/>
        </w:rPr>
        <w:t xml:space="preserve">2012. година, Извор: Статистички извештај о јавним набавкама реализованим у 2012. години, Директорат за јавне набавке, Република Словенија, линк: </w:t>
      </w:r>
      <w:hyperlink r:id="rId33" w:tgtFrame="_blank" w:history="1">
        <w:r w:rsidR="007734EF" w:rsidRPr="00FB58EA">
          <w:rPr>
            <w:rStyle w:val="Hyperlink"/>
            <w:rFonts w:ascii="Times New Roman" w:hAnsi="Times New Roman" w:cs="Times New Roman"/>
            <w:sz w:val="20"/>
            <w:szCs w:val="20"/>
          </w:rPr>
          <w:t>http://www.djn.mf.gov.si/resources/files/Sistem_javnega_narocanja/Stat_por_JN2012_IN.pdf</w:t>
        </w:r>
      </w:hyperlink>
    </w:p>
    <w:p w:rsidR="00884CB7" w:rsidRPr="00FB58EA" w:rsidRDefault="007734EF" w:rsidP="00884CB7">
      <w:pPr>
        <w:rPr>
          <w:rFonts w:ascii="Times New Roman" w:hAnsi="Times New Roman" w:cs="Times New Roman"/>
          <w:sz w:val="20"/>
          <w:szCs w:val="20"/>
        </w:rPr>
      </w:pPr>
      <w:r w:rsidRPr="00FB58EA">
        <w:rPr>
          <w:rFonts w:ascii="Times New Roman" w:hAnsi="Times New Roman" w:cs="Times New Roman"/>
          <w:sz w:val="20"/>
          <w:szCs w:val="20"/>
        </w:rPr>
        <w:t>**</w:t>
      </w:r>
      <w:r w:rsidR="00884CB7" w:rsidRPr="00FB58EA">
        <w:rPr>
          <w:rFonts w:ascii="Times New Roman" w:hAnsi="Times New Roman" w:cs="Times New Roman"/>
          <w:sz w:val="20"/>
          <w:szCs w:val="20"/>
        </w:rPr>
        <w:t>2011</w:t>
      </w:r>
      <w:r w:rsidR="002415F4" w:rsidRPr="00FB58EA">
        <w:rPr>
          <w:rFonts w:ascii="Times New Roman" w:hAnsi="Times New Roman" w:cs="Times New Roman"/>
          <w:sz w:val="20"/>
          <w:szCs w:val="20"/>
        </w:rPr>
        <w:t>.</w:t>
      </w:r>
      <w:r w:rsidR="00884CB7" w:rsidRPr="00FB58EA">
        <w:rPr>
          <w:rFonts w:ascii="Times New Roman" w:hAnsi="Times New Roman" w:cs="Times New Roman"/>
          <w:sz w:val="20"/>
          <w:szCs w:val="20"/>
        </w:rPr>
        <w:t xml:space="preserve"> година, Извор: Статистички годишњи извештај о јавним набавкама за 2011. годину, Портал јавних</w:t>
      </w:r>
      <w:r w:rsidRPr="00FB58EA">
        <w:rPr>
          <w:rFonts w:ascii="Times New Roman" w:hAnsi="Times New Roman" w:cs="Times New Roman"/>
          <w:sz w:val="20"/>
          <w:szCs w:val="20"/>
        </w:rPr>
        <w:t xml:space="preserve"> </w:t>
      </w:r>
      <w:r w:rsidR="00884CB7" w:rsidRPr="00FB58EA">
        <w:rPr>
          <w:rFonts w:ascii="Times New Roman" w:hAnsi="Times New Roman" w:cs="Times New Roman"/>
          <w:sz w:val="20"/>
          <w:szCs w:val="20"/>
        </w:rPr>
        <w:t>набавки, Република Хрватска</w:t>
      </w:r>
      <w:r w:rsidR="007E1FAD" w:rsidRPr="00FB58EA">
        <w:rPr>
          <w:rFonts w:ascii="Times New Roman" w:hAnsi="Times New Roman" w:cs="Times New Roman"/>
          <w:sz w:val="20"/>
          <w:szCs w:val="20"/>
        </w:rPr>
        <w:t xml:space="preserve">, </w:t>
      </w:r>
      <w:r w:rsidR="009F3C49" w:rsidRPr="00FB58EA">
        <w:rPr>
          <w:rFonts w:ascii="Times New Roman" w:hAnsi="Times New Roman" w:cs="Times New Roman"/>
          <w:sz w:val="20"/>
          <w:szCs w:val="20"/>
        </w:rPr>
        <w:t xml:space="preserve">страна 45, </w:t>
      </w:r>
      <w:r w:rsidR="007E1FAD" w:rsidRPr="00FB58EA">
        <w:rPr>
          <w:rFonts w:ascii="Times New Roman" w:hAnsi="Times New Roman" w:cs="Times New Roman"/>
          <w:sz w:val="20"/>
          <w:szCs w:val="20"/>
        </w:rPr>
        <w:t xml:space="preserve">линк: </w:t>
      </w:r>
      <w:hyperlink r:id="rId34" w:history="1">
        <w:r w:rsidR="007E1FAD" w:rsidRPr="00FB58EA">
          <w:rPr>
            <w:rStyle w:val="Hyperlink"/>
            <w:rFonts w:ascii="Times New Roman" w:hAnsi="Times New Roman" w:cs="Times New Roman"/>
            <w:sz w:val="20"/>
            <w:szCs w:val="20"/>
          </w:rPr>
          <w:t>http://www.javnanabava.hr/userdocsimages/userfiles/file/Statistička%20izvješća/Godišnja/Statisticko_izvjesce_JN-2011.pdf</w:t>
        </w:r>
      </w:hyperlink>
    </w:p>
    <w:p w:rsidR="007E1FAD" w:rsidRDefault="007734EF" w:rsidP="00FB58EA">
      <w:pPr>
        <w:pStyle w:val="FootnoteText"/>
        <w:rPr>
          <w:rFonts w:ascii="Times New Roman" w:hAnsi="Times New Roman" w:cs="Times New Roman"/>
          <w:lang w:val="sr-Cyrl-RS"/>
        </w:rPr>
      </w:pPr>
      <w:r w:rsidRPr="00FB58EA">
        <w:rPr>
          <w:rFonts w:ascii="Times New Roman" w:hAnsi="Times New Roman" w:cs="Times New Roman"/>
        </w:rPr>
        <w:t xml:space="preserve">***2012. година, Извор:  Извештај о јавним набавкама у Црној Гори за 2012. годину, Управа за јавне набавке Црне Горе, линк:  </w:t>
      </w:r>
      <w:hyperlink r:id="rId35" w:history="1">
        <w:r w:rsidRPr="00FB58EA">
          <w:rPr>
            <w:rStyle w:val="Hyperlink"/>
            <w:rFonts w:ascii="Times New Roman" w:hAnsi="Times New Roman" w:cs="Times New Roman"/>
          </w:rPr>
          <w:t>http://www.ujn.gov.me/wp-content/uploads/2013/07/Izvjestaj2012.pdf</w:t>
        </w:r>
      </w:hyperlink>
      <w:r w:rsidRPr="00FB58EA">
        <w:rPr>
          <w:rFonts w:ascii="Times New Roman" w:hAnsi="Times New Roman" w:cs="Times New Roman"/>
        </w:rPr>
        <w:t xml:space="preserve">  Табела 19, стр. 70-71 </w:t>
      </w:r>
    </w:p>
    <w:p w:rsidR="00FB58EA" w:rsidRPr="00FB58EA" w:rsidRDefault="00FB58EA" w:rsidP="00FB58EA">
      <w:pPr>
        <w:pStyle w:val="FootnoteText"/>
        <w:rPr>
          <w:rFonts w:ascii="Times New Roman" w:hAnsi="Times New Roman" w:cs="Times New Roman"/>
          <w:lang w:val="sr-Cyrl-RS"/>
        </w:rPr>
      </w:pPr>
    </w:p>
    <w:p w:rsidR="004169ED" w:rsidRDefault="004169ED" w:rsidP="007B4B66">
      <w:pPr>
        <w:jc w:val="both"/>
        <w:rPr>
          <w:rFonts w:ascii="Times New Roman" w:hAnsi="Times New Roman" w:cs="Times New Roman"/>
          <w:sz w:val="24"/>
          <w:szCs w:val="24"/>
        </w:rPr>
      </w:pPr>
      <w:r>
        <w:rPr>
          <w:rFonts w:ascii="Times New Roman" w:hAnsi="Times New Roman" w:cs="Times New Roman"/>
          <w:sz w:val="24"/>
          <w:szCs w:val="24"/>
        </w:rPr>
        <w:t>Као извор података за Словенију</w:t>
      </w:r>
      <w:r w:rsidR="007734EF">
        <w:rPr>
          <w:rFonts w:ascii="Times New Roman" w:hAnsi="Times New Roman" w:cs="Times New Roman"/>
          <w:sz w:val="24"/>
          <w:szCs w:val="24"/>
        </w:rPr>
        <w:t xml:space="preserve">, </w:t>
      </w:r>
      <w:r>
        <w:rPr>
          <w:rFonts w:ascii="Times New Roman" w:hAnsi="Times New Roman" w:cs="Times New Roman"/>
          <w:sz w:val="24"/>
          <w:szCs w:val="24"/>
        </w:rPr>
        <w:t xml:space="preserve">Хрватску </w:t>
      </w:r>
      <w:r w:rsidR="007734EF">
        <w:rPr>
          <w:rFonts w:ascii="Times New Roman" w:hAnsi="Times New Roman" w:cs="Times New Roman"/>
          <w:sz w:val="24"/>
          <w:szCs w:val="24"/>
        </w:rPr>
        <w:t xml:space="preserve">и Црну Гору </w:t>
      </w:r>
      <w:r>
        <w:rPr>
          <w:rFonts w:ascii="Times New Roman" w:hAnsi="Times New Roman" w:cs="Times New Roman"/>
          <w:sz w:val="24"/>
          <w:szCs w:val="24"/>
        </w:rPr>
        <w:t xml:space="preserve">коришћени су последњи доступни статистички извештаји о јавним набавкама који садрже податак о просечном броју понуда по закљученом уговору. </w:t>
      </w:r>
    </w:p>
    <w:p w:rsidR="00F725C1" w:rsidRDefault="00BB0B53" w:rsidP="007B4B66">
      <w:pPr>
        <w:jc w:val="both"/>
        <w:rPr>
          <w:rFonts w:ascii="Times New Roman" w:hAnsi="Times New Roman" w:cs="Times New Roman"/>
          <w:sz w:val="24"/>
          <w:szCs w:val="24"/>
          <w:lang w:val="sr-Cyrl-RS"/>
        </w:rPr>
      </w:pPr>
      <w:r>
        <w:rPr>
          <w:rFonts w:ascii="Times New Roman" w:hAnsi="Times New Roman" w:cs="Times New Roman"/>
          <w:sz w:val="24"/>
          <w:szCs w:val="24"/>
        </w:rPr>
        <w:t>Као што се из Табеле</w:t>
      </w:r>
      <w:r w:rsidR="00B52C7D">
        <w:rPr>
          <w:rFonts w:ascii="Times New Roman" w:hAnsi="Times New Roman" w:cs="Times New Roman"/>
          <w:sz w:val="24"/>
          <w:szCs w:val="24"/>
        </w:rPr>
        <w:t xml:space="preserve"> </w:t>
      </w:r>
      <w:r w:rsidR="007734EF">
        <w:rPr>
          <w:rFonts w:ascii="Times New Roman" w:hAnsi="Times New Roman" w:cs="Times New Roman"/>
          <w:sz w:val="24"/>
          <w:szCs w:val="24"/>
        </w:rPr>
        <w:t>7</w:t>
      </w:r>
      <w:r>
        <w:rPr>
          <w:rFonts w:ascii="Times New Roman" w:hAnsi="Times New Roman" w:cs="Times New Roman"/>
          <w:sz w:val="24"/>
          <w:szCs w:val="24"/>
        </w:rPr>
        <w:t xml:space="preserve"> може видети, интензитет конкуренције у </w:t>
      </w:r>
      <w:r w:rsidR="000D5EF5">
        <w:rPr>
          <w:rFonts w:ascii="Times New Roman" w:hAnsi="Times New Roman" w:cs="Times New Roman"/>
          <w:sz w:val="24"/>
          <w:szCs w:val="24"/>
        </w:rPr>
        <w:t xml:space="preserve">јавним набавкама у </w:t>
      </w:r>
      <w:r w:rsidR="00F53080">
        <w:rPr>
          <w:rFonts w:ascii="Times New Roman" w:hAnsi="Times New Roman" w:cs="Times New Roman"/>
          <w:sz w:val="24"/>
          <w:szCs w:val="24"/>
        </w:rPr>
        <w:t>Србији</w:t>
      </w:r>
      <w:r w:rsidR="00D90F54">
        <w:rPr>
          <w:rFonts w:ascii="Times New Roman" w:hAnsi="Times New Roman" w:cs="Times New Roman"/>
          <w:sz w:val="24"/>
          <w:szCs w:val="24"/>
        </w:rPr>
        <w:t>,</w:t>
      </w:r>
      <w:r w:rsidR="00F53080">
        <w:rPr>
          <w:rFonts w:ascii="Times New Roman" w:hAnsi="Times New Roman" w:cs="Times New Roman"/>
          <w:sz w:val="24"/>
          <w:szCs w:val="24"/>
        </w:rPr>
        <w:t xml:space="preserve"> </w:t>
      </w:r>
      <w:r w:rsidR="00D90F54">
        <w:rPr>
          <w:rFonts w:ascii="Times New Roman" w:hAnsi="Times New Roman" w:cs="Times New Roman"/>
          <w:sz w:val="24"/>
          <w:szCs w:val="24"/>
        </w:rPr>
        <w:t xml:space="preserve">у 2013. години, </w:t>
      </w:r>
      <w:r w:rsidR="00F53080">
        <w:rPr>
          <w:rFonts w:ascii="Times New Roman" w:hAnsi="Times New Roman" w:cs="Times New Roman"/>
          <w:sz w:val="24"/>
          <w:szCs w:val="24"/>
        </w:rPr>
        <w:t xml:space="preserve">био је </w:t>
      </w:r>
      <w:r w:rsidR="00D90F54">
        <w:rPr>
          <w:rFonts w:ascii="Times New Roman" w:hAnsi="Times New Roman" w:cs="Times New Roman"/>
          <w:sz w:val="24"/>
          <w:szCs w:val="24"/>
        </w:rPr>
        <w:t xml:space="preserve">нижи од оног оствареног у посматране </w:t>
      </w:r>
      <w:r w:rsidR="007734EF">
        <w:rPr>
          <w:rFonts w:ascii="Times New Roman" w:hAnsi="Times New Roman" w:cs="Times New Roman"/>
          <w:sz w:val="24"/>
          <w:szCs w:val="24"/>
        </w:rPr>
        <w:t xml:space="preserve">три земље региона. </w:t>
      </w:r>
      <w:r w:rsidR="0082151A">
        <w:rPr>
          <w:rFonts w:ascii="Times New Roman" w:hAnsi="Times New Roman" w:cs="Times New Roman"/>
          <w:sz w:val="24"/>
          <w:szCs w:val="24"/>
        </w:rPr>
        <w:t>Стога се као један од приоритета у наредном периоду намеће идентификовање и отклањање препрека за веће учешће понуђача у поступцима јавних набавки, а пре свега малих и сре</w:t>
      </w:r>
      <w:r w:rsidR="00C61911">
        <w:rPr>
          <w:rFonts w:ascii="Times New Roman" w:hAnsi="Times New Roman" w:cs="Times New Roman"/>
          <w:sz w:val="24"/>
          <w:szCs w:val="24"/>
          <w:lang w:val="sr-Cyrl-RS"/>
        </w:rPr>
        <w:t>д</w:t>
      </w:r>
      <w:r w:rsidR="0082151A">
        <w:rPr>
          <w:rFonts w:ascii="Times New Roman" w:hAnsi="Times New Roman" w:cs="Times New Roman"/>
          <w:sz w:val="24"/>
          <w:szCs w:val="24"/>
        </w:rPr>
        <w:t xml:space="preserve">њих предузећа. </w:t>
      </w:r>
    </w:p>
    <w:p w:rsidR="00FB58EA" w:rsidRPr="00FB58EA" w:rsidRDefault="00FB58EA" w:rsidP="007B4B66">
      <w:pPr>
        <w:jc w:val="both"/>
        <w:rPr>
          <w:rFonts w:ascii="Times New Roman" w:hAnsi="Times New Roman" w:cs="Times New Roman"/>
          <w:sz w:val="24"/>
          <w:szCs w:val="24"/>
          <w:lang w:val="sr-Cyrl-RS"/>
        </w:rPr>
      </w:pPr>
    </w:p>
    <w:p w:rsidR="001453FB" w:rsidRPr="00CC5D30" w:rsidRDefault="001453FB"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РЕГИСТАР ПОНУЂАЧА</w:t>
      </w:r>
    </w:p>
    <w:p w:rsidR="000E4D09" w:rsidRDefault="000E4D09"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значајних фактора који олакшавају учешће понуђачима у поступцима јавних набавки јесте смањивање административног терета и трошка (како времена тако и новца) приликом учешћа у поступку. Смањивање овог оптерећења делује подстицајно на учешће понуђача у поступцима и тиме јача конкуренцију. </w:t>
      </w:r>
    </w:p>
    <w:p w:rsidR="00830FC5" w:rsidRDefault="00326D82" w:rsidP="007B4B66">
      <w:pPr>
        <w:jc w:val="both"/>
        <w:rPr>
          <w:rFonts w:ascii="Times New Roman" w:hAnsi="Times New Roman" w:cs="Times New Roman"/>
          <w:sz w:val="24"/>
          <w:szCs w:val="24"/>
        </w:rPr>
      </w:pPr>
      <w:r>
        <w:rPr>
          <w:rFonts w:ascii="Times New Roman" w:hAnsi="Times New Roman" w:cs="Times New Roman"/>
          <w:sz w:val="24"/>
          <w:szCs w:val="24"/>
        </w:rPr>
        <w:t>Важећим Законом о јавним набавкама превиђено је да понуђачи могу да доставе доказе о испуњености обавезних услова из члана 75, став</w:t>
      </w:r>
      <w:r w:rsidR="00C61911">
        <w:rPr>
          <w:rFonts w:ascii="Times New Roman" w:hAnsi="Times New Roman" w:cs="Times New Roman"/>
          <w:sz w:val="24"/>
          <w:szCs w:val="24"/>
          <w:lang w:val="sr-Cyrl-RS"/>
        </w:rPr>
        <w:t xml:space="preserve"> 1</w:t>
      </w:r>
      <w:r>
        <w:rPr>
          <w:rFonts w:ascii="Times New Roman" w:hAnsi="Times New Roman" w:cs="Times New Roman"/>
          <w:sz w:val="24"/>
          <w:szCs w:val="24"/>
        </w:rPr>
        <w:t>, тачке 1-4</w:t>
      </w:r>
      <w:r w:rsidR="00D2757B">
        <w:rPr>
          <w:rFonts w:ascii="Times New Roman" w:hAnsi="Times New Roman" w:cs="Times New Roman"/>
          <w:sz w:val="24"/>
          <w:szCs w:val="24"/>
        </w:rPr>
        <w:t>,</w:t>
      </w:r>
      <w:r>
        <w:rPr>
          <w:rFonts w:ascii="Times New Roman" w:hAnsi="Times New Roman" w:cs="Times New Roman"/>
          <w:sz w:val="24"/>
          <w:szCs w:val="24"/>
        </w:rPr>
        <w:t xml:space="preserve"> Агенцији за привредне регистре (АПР) на основу којих их </w:t>
      </w:r>
      <w:r w:rsidR="00D2757B">
        <w:rPr>
          <w:rFonts w:ascii="Times New Roman" w:hAnsi="Times New Roman" w:cs="Times New Roman"/>
          <w:sz w:val="24"/>
          <w:szCs w:val="24"/>
        </w:rPr>
        <w:t>АПР уписује у Р</w:t>
      </w:r>
      <w:r>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Pr>
          <w:rFonts w:ascii="Times New Roman" w:hAnsi="Times New Roman" w:cs="Times New Roman"/>
          <w:sz w:val="24"/>
          <w:szCs w:val="24"/>
        </w:rPr>
        <w:t xml:space="preserve">обавезна </w:t>
      </w:r>
      <w:r>
        <w:rPr>
          <w:rFonts w:ascii="Times New Roman" w:hAnsi="Times New Roman" w:cs="Times New Roman"/>
          <w:sz w:val="24"/>
          <w:szCs w:val="24"/>
        </w:rPr>
        <w:t xml:space="preserve">услова, </w:t>
      </w:r>
      <w:r w:rsidR="00830FC5">
        <w:rPr>
          <w:rFonts w:ascii="Times New Roman" w:hAnsi="Times New Roman" w:cs="Times New Roman"/>
          <w:sz w:val="24"/>
          <w:szCs w:val="24"/>
        </w:rPr>
        <w:t xml:space="preserve">треба само да у поднесеној понуди наведу </w:t>
      </w:r>
      <w:r>
        <w:rPr>
          <w:rFonts w:ascii="Times New Roman" w:hAnsi="Times New Roman" w:cs="Times New Roman"/>
          <w:sz w:val="24"/>
          <w:szCs w:val="24"/>
        </w:rPr>
        <w:t xml:space="preserve">да су уписани у Регистар, како би наручилац могао да провери. </w:t>
      </w:r>
      <w:r w:rsidR="00830FC5">
        <w:rPr>
          <w:rFonts w:ascii="Times New Roman" w:hAnsi="Times New Roman" w:cs="Times New Roman"/>
          <w:sz w:val="24"/>
          <w:szCs w:val="24"/>
        </w:rPr>
        <w:t xml:space="preserve">На тај начин се понуђачи ослобађају обавезе да за сваки поступак </w:t>
      </w:r>
      <w:r w:rsidR="00D2757B">
        <w:rPr>
          <w:rFonts w:ascii="Times New Roman" w:hAnsi="Times New Roman" w:cs="Times New Roman"/>
          <w:sz w:val="24"/>
          <w:szCs w:val="24"/>
        </w:rPr>
        <w:t xml:space="preserve">јавне набавке </w:t>
      </w:r>
      <w:r w:rsidR="00830FC5">
        <w:rPr>
          <w:rFonts w:ascii="Times New Roman" w:hAnsi="Times New Roman" w:cs="Times New Roman"/>
          <w:sz w:val="24"/>
          <w:szCs w:val="24"/>
        </w:rPr>
        <w:t xml:space="preserve">прибављају доказе </w:t>
      </w:r>
      <w:r w:rsidR="00D2757B">
        <w:rPr>
          <w:rFonts w:ascii="Times New Roman" w:hAnsi="Times New Roman" w:cs="Times New Roman"/>
          <w:sz w:val="24"/>
          <w:szCs w:val="24"/>
        </w:rPr>
        <w:t xml:space="preserve">о испуњености поменута четири обавезна услова, </w:t>
      </w:r>
      <w:r w:rsidR="00830FC5">
        <w:rPr>
          <w:rFonts w:ascii="Times New Roman" w:hAnsi="Times New Roman" w:cs="Times New Roman"/>
          <w:sz w:val="24"/>
          <w:szCs w:val="24"/>
        </w:rPr>
        <w:t>што је посебно корисно за наручиоце</w:t>
      </w:r>
      <w:r w:rsidR="00151C94">
        <w:rPr>
          <w:rFonts w:ascii="Times New Roman" w:hAnsi="Times New Roman" w:cs="Times New Roman"/>
          <w:sz w:val="24"/>
          <w:szCs w:val="24"/>
        </w:rPr>
        <w:t xml:space="preserve"> и понуђаче</w:t>
      </w:r>
      <w:r w:rsidR="00830FC5">
        <w:rPr>
          <w:rFonts w:ascii="Times New Roman" w:hAnsi="Times New Roman" w:cs="Times New Roman"/>
          <w:sz w:val="24"/>
          <w:szCs w:val="24"/>
        </w:rPr>
        <w:t xml:space="preserve"> који учествују у већем броју поступака</w:t>
      </w:r>
      <w:r w:rsidR="00D2757B">
        <w:rPr>
          <w:rFonts w:ascii="Times New Roman" w:hAnsi="Times New Roman" w:cs="Times New Roman"/>
          <w:sz w:val="24"/>
          <w:szCs w:val="24"/>
        </w:rPr>
        <w:t xml:space="preserve"> и којима се, на овај начин, штеди доста времена и новца. </w:t>
      </w:r>
    </w:p>
    <w:p w:rsidR="00707351" w:rsidRPr="00C469B9" w:rsidRDefault="00E9515B" w:rsidP="00C469B9">
      <w:pPr>
        <w:jc w:val="both"/>
        <w:rPr>
          <w:rFonts w:ascii="Times New Roman" w:hAnsi="Times New Roman" w:cs="Times New Roman"/>
          <w:sz w:val="24"/>
          <w:szCs w:val="24"/>
        </w:rPr>
      </w:pPr>
      <w:r w:rsidRPr="00AD1811">
        <w:rPr>
          <w:rFonts w:ascii="Times New Roman" w:hAnsi="Times New Roman" w:cs="Times New Roman"/>
          <w:sz w:val="24"/>
          <w:szCs w:val="24"/>
        </w:rPr>
        <w:t xml:space="preserve">Регистар понуђача почео је са радом 1. </w:t>
      </w:r>
      <w:r>
        <w:rPr>
          <w:rFonts w:ascii="Times New Roman" w:hAnsi="Times New Roman" w:cs="Times New Roman"/>
          <w:sz w:val="24"/>
          <w:szCs w:val="24"/>
        </w:rPr>
        <w:t>с</w:t>
      </w:r>
      <w:r w:rsidRPr="00AD1811">
        <w:rPr>
          <w:rFonts w:ascii="Times New Roman" w:hAnsi="Times New Roman" w:cs="Times New Roman"/>
          <w:sz w:val="24"/>
          <w:szCs w:val="24"/>
        </w:rPr>
        <w:t>ептембра</w:t>
      </w:r>
      <w:r>
        <w:rPr>
          <w:rFonts w:ascii="Times New Roman" w:hAnsi="Times New Roman" w:cs="Times New Roman"/>
          <w:sz w:val="24"/>
          <w:szCs w:val="24"/>
        </w:rPr>
        <w:t xml:space="preserve"> 2013. године </w:t>
      </w:r>
      <w:r w:rsidRPr="00AD1811">
        <w:rPr>
          <w:rFonts w:ascii="Times New Roman" w:hAnsi="Times New Roman" w:cs="Times New Roman"/>
          <w:sz w:val="24"/>
          <w:szCs w:val="24"/>
        </w:rPr>
        <w:t>и</w:t>
      </w:r>
      <w:r>
        <w:rPr>
          <w:rFonts w:ascii="Times New Roman" w:hAnsi="Times New Roman" w:cs="Times New Roman"/>
          <w:sz w:val="24"/>
          <w:szCs w:val="24"/>
        </w:rPr>
        <w:t xml:space="preserve"> води га </w:t>
      </w:r>
      <w:r w:rsidRPr="00AD1811">
        <w:rPr>
          <w:rFonts w:ascii="Times New Roman" w:hAnsi="Times New Roman" w:cs="Times New Roman"/>
          <w:sz w:val="24"/>
          <w:szCs w:val="24"/>
        </w:rPr>
        <w:t>Агенција за привредне регистре.</w:t>
      </w:r>
      <w:r w:rsidR="00016E0F">
        <w:rPr>
          <w:rFonts w:ascii="Times New Roman" w:hAnsi="Times New Roman" w:cs="Times New Roman"/>
          <w:sz w:val="24"/>
          <w:szCs w:val="24"/>
        </w:rPr>
        <w:t xml:space="preserve"> </w:t>
      </w:r>
      <w:r w:rsidRPr="00AD1811">
        <w:rPr>
          <w:rFonts w:ascii="Times New Roman" w:hAnsi="Times New Roman" w:cs="Times New Roman"/>
          <w:sz w:val="24"/>
          <w:szCs w:val="24"/>
        </w:rPr>
        <w:t xml:space="preserve">О томе колико је Регистар користан понуђачима сведочи њихово велико интересовање да буду уписани у Регистар. Како се кретао број регистрованих понуђача, од 1. септембра до 31. </w:t>
      </w:r>
      <w:r>
        <w:rPr>
          <w:rFonts w:ascii="Times New Roman" w:hAnsi="Times New Roman" w:cs="Times New Roman"/>
          <w:sz w:val="24"/>
          <w:szCs w:val="24"/>
        </w:rPr>
        <w:t xml:space="preserve">децембра </w:t>
      </w:r>
      <w:r w:rsidRPr="00AD1811">
        <w:rPr>
          <w:rFonts w:ascii="Times New Roman" w:hAnsi="Times New Roman" w:cs="Times New Roman"/>
          <w:sz w:val="24"/>
          <w:szCs w:val="24"/>
        </w:rPr>
        <w:t>201</w:t>
      </w:r>
      <w:r>
        <w:rPr>
          <w:rFonts w:ascii="Times New Roman" w:hAnsi="Times New Roman" w:cs="Times New Roman"/>
          <w:sz w:val="24"/>
          <w:szCs w:val="24"/>
        </w:rPr>
        <w:t>3</w:t>
      </w:r>
      <w:r w:rsidRPr="00AD1811">
        <w:rPr>
          <w:rFonts w:ascii="Times New Roman" w:hAnsi="Times New Roman" w:cs="Times New Roman"/>
          <w:sz w:val="24"/>
          <w:szCs w:val="24"/>
        </w:rPr>
        <w:t xml:space="preserve">. године може се видети на Слици </w:t>
      </w:r>
      <w:r w:rsidR="00D2757B" w:rsidRPr="006D796B">
        <w:rPr>
          <w:rFonts w:ascii="Times New Roman" w:hAnsi="Times New Roman" w:cs="Times New Roman"/>
          <w:sz w:val="24"/>
          <w:szCs w:val="24"/>
        </w:rPr>
        <w:t>1</w:t>
      </w:r>
      <w:r w:rsidR="00016E0F">
        <w:rPr>
          <w:rFonts w:ascii="Times New Roman" w:hAnsi="Times New Roman" w:cs="Times New Roman"/>
          <w:sz w:val="24"/>
          <w:szCs w:val="24"/>
        </w:rPr>
        <w:t>1</w:t>
      </w:r>
      <w:r w:rsidR="00D2757B" w:rsidRPr="006D796B">
        <w:rPr>
          <w:rFonts w:ascii="Times New Roman" w:hAnsi="Times New Roman" w:cs="Times New Roman"/>
          <w:sz w:val="24"/>
          <w:szCs w:val="24"/>
        </w:rPr>
        <w:t xml:space="preserve">.          </w:t>
      </w:r>
    </w:p>
    <w:p w:rsidR="00FB58EA" w:rsidRDefault="00FB58EA" w:rsidP="009B3038">
      <w:pPr>
        <w:jc w:val="center"/>
        <w:rPr>
          <w:rFonts w:ascii="Times New Roman" w:hAnsi="Times New Roman" w:cs="Times New Roman"/>
          <w:b/>
          <w:sz w:val="24"/>
          <w:szCs w:val="24"/>
          <w:lang w:val="sr-Cyrl-RS"/>
        </w:rPr>
      </w:pPr>
    </w:p>
    <w:p w:rsidR="00FB58EA" w:rsidRDefault="00FB58EA" w:rsidP="009B3038">
      <w:pPr>
        <w:jc w:val="center"/>
        <w:rPr>
          <w:rFonts w:ascii="Times New Roman" w:hAnsi="Times New Roman" w:cs="Times New Roman"/>
          <w:b/>
          <w:sz w:val="24"/>
          <w:szCs w:val="24"/>
          <w:lang w:val="sr-Cyrl-RS"/>
        </w:rPr>
      </w:pPr>
    </w:p>
    <w:p w:rsidR="00D2757B" w:rsidRPr="00C41DA4" w:rsidRDefault="00C41DA4" w:rsidP="009B3038">
      <w:pPr>
        <w:jc w:val="center"/>
        <w:rPr>
          <w:rFonts w:ascii="Times New Roman" w:hAnsi="Times New Roman" w:cs="Times New Roman"/>
          <w:b/>
          <w:sz w:val="24"/>
          <w:szCs w:val="24"/>
        </w:rPr>
      </w:pPr>
      <w:r>
        <w:rPr>
          <w:rFonts w:ascii="Times New Roman" w:hAnsi="Times New Roman" w:cs="Times New Roman"/>
          <w:b/>
          <w:sz w:val="24"/>
          <w:szCs w:val="24"/>
        </w:rPr>
        <w:t>Слика 1</w:t>
      </w:r>
      <w:r w:rsidR="00016E0F">
        <w:rPr>
          <w:rFonts w:ascii="Times New Roman" w:hAnsi="Times New Roman" w:cs="Times New Roman"/>
          <w:b/>
          <w:sz w:val="24"/>
          <w:szCs w:val="24"/>
        </w:rPr>
        <w:t>1</w:t>
      </w:r>
    </w:p>
    <w:p w:rsidR="008460C7" w:rsidRPr="00C469B9" w:rsidRDefault="00A170EB" w:rsidP="00C469B9">
      <w:pPr>
        <w:jc w:val="center"/>
      </w:pPr>
      <w:r>
        <w:object w:dxaOrig="8777" w:dyaOrig="6041">
          <v:shape id="_x0000_i1035" type="#_x0000_t75" style="width:438.1pt;height:279.15pt" o:ole="">
            <v:imagedata r:id="rId36" o:title=""/>
          </v:shape>
          <o:OLEObject Type="Embed" ProgID="Excel.Sheet.12" ShapeID="_x0000_i1035" DrawAspect="Content" ObjectID="_1461145250" r:id="rId37"/>
        </w:object>
      </w:r>
    </w:p>
    <w:p w:rsidR="00D2757B" w:rsidRPr="00A170EB" w:rsidRDefault="008460C7" w:rsidP="007B4B66">
      <w:pPr>
        <w:jc w:val="both"/>
        <w:rPr>
          <w:rFonts w:ascii="Times New Roman" w:hAnsi="Times New Roman" w:cs="Times New Roman"/>
          <w:sz w:val="24"/>
          <w:szCs w:val="24"/>
          <w:lang w:val="sr-Cyrl-RS"/>
        </w:rPr>
      </w:pPr>
      <w:r>
        <w:rPr>
          <w:rFonts w:ascii="Times New Roman" w:hAnsi="Times New Roman" w:cs="Times New Roman"/>
          <w:sz w:val="24"/>
          <w:szCs w:val="24"/>
        </w:rPr>
        <w:t>У посматраном периоду регистровано је укупно 1.</w:t>
      </w:r>
      <w:r w:rsidR="00D5059D">
        <w:rPr>
          <w:rFonts w:ascii="Times New Roman" w:hAnsi="Times New Roman" w:cs="Times New Roman"/>
          <w:sz w:val="24"/>
          <w:szCs w:val="24"/>
        </w:rPr>
        <w:t>610</w:t>
      </w:r>
      <w:r>
        <w:rPr>
          <w:rFonts w:ascii="Times New Roman" w:hAnsi="Times New Roman" w:cs="Times New Roman"/>
          <w:sz w:val="24"/>
          <w:szCs w:val="24"/>
        </w:rPr>
        <w:t xml:space="preserve"> понуђача, с тим да је из месеца у месец број регистрованих </w:t>
      </w:r>
      <w:r w:rsidR="00D5059D">
        <w:rPr>
          <w:rFonts w:ascii="Times New Roman" w:hAnsi="Times New Roman" w:cs="Times New Roman"/>
          <w:sz w:val="24"/>
          <w:szCs w:val="24"/>
        </w:rPr>
        <w:t xml:space="preserve">понуђача </w:t>
      </w:r>
      <w:r>
        <w:rPr>
          <w:rFonts w:ascii="Times New Roman" w:hAnsi="Times New Roman" w:cs="Times New Roman"/>
          <w:sz w:val="24"/>
          <w:szCs w:val="24"/>
        </w:rPr>
        <w:t>растао</w:t>
      </w:r>
      <w:r w:rsidR="00D5059D">
        <w:rPr>
          <w:rFonts w:ascii="Times New Roman" w:hAnsi="Times New Roman" w:cs="Times New Roman"/>
          <w:sz w:val="24"/>
          <w:szCs w:val="24"/>
        </w:rPr>
        <w:t xml:space="preserve"> што јасно показује како понуђачи оцењују његову корисност, имајући у виду да упис у Регистар није обавезан.  </w:t>
      </w:r>
    </w:p>
    <w:p w:rsidR="00C469B9" w:rsidRPr="00C469B9" w:rsidRDefault="00C469B9" w:rsidP="007B4B66">
      <w:pPr>
        <w:jc w:val="both"/>
        <w:rPr>
          <w:rFonts w:ascii="Times New Roman" w:hAnsi="Times New Roman" w:cs="Times New Roman"/>
          <w:sz w:val="24"/>
          <w:szCs w:val="24"/>
        </w:rPr>
      </w:pPr>
    </w:p>
    <w:p w:rsidR="0090382C" w:rsidRPr="00CC5D30" w:rsidRDefault="0090382C"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ПОРТАЛ ЈАВНИХ НАБАВКИ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Новим Законом </w:t>
      </w:r>
      <w:r w:rsidR="00CC5D30">
        <w:rPr>
          <w:rFonts w:ascii="Times New Roman" w:hAnsi="Times New Roman" w:cs="Times New Roman"/>
          <w:sz w:val="24"/>
          <w:szCs w:val="24"/>
        </w:rPr>
        <w:t xml:space="preserve">о јавним набавкама </w:t>
      </w:r>
      <w:r w:rsidRPr="002C5D8C">
        <w:rPr>
          <w:rFonts w:ascii="Times New Roman" w:hAnsi="Times New Roman" w:cs="Times New Roman"/>
          <w:sz w:val="24"/>
          <w:szCs w:val="24"/>
        </w:rPr>
        <w:t xml:space="preserve">уведене су значајне измене на Порталу јавних набавки. Пре свега, прописана је обавезна објава конкурсне документације коју понуђачи, али и остали заинтересовани могу преузети без накнаде. Увођењем обавезне објаве јавних набавки мале вредности, </w:t>
      </w:r>
      <w:r w:rsidR="00C469B9">
        <w:rPr>
          <w:rFonts w:ascii="Times New Roman" w:hAnsi="Times New Roman" w:cs="Times New Roman"/>
          <w:sz w:val="24"/>
          <w:szCs w:val="24"/>
        </w:rPr>
        <w:t>знатно</w:t>
      </w:r>
      <w:r w:rsidRPr="002C5D8C">
        <w:rPr>
          <w:rFonts w:ascii="Times New Roman" w:hAnsi="Times New Roman" w:cs="Times New Roman"/>
          <w:sz w:val="24"/>
          <w:szCs w:val="24"/>
        </w:rPr>
        <w:t xml:space="preserve"> се унапредила транспарентност поступака. Такође, изузетно је значајно и прописивање објављивања обавештења о покретању преговарачког поступка без објаве, како би се јавност што више информисала о овим најмање транспарентним поступцима, где се уобичајено крије и највећи број нерегуларности.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Посебно су значајне новине по питању унапређења система претраге објављених набавки на Порталу, чиме се знатно олакшава понуђачима да пронађу набавку за коју су заинтересовани. У том смислу, уведена је п</w:t>
      </w:r>
      <w:r w:rsidR="008844FD">
        <w:rPr>
          <w:rFonts w:ascii="Times New Roman" w:hAnsi="Times New Roman" w:cs="Times New Roman"/>
          <w:sz w:val="24"/>
          <w:szCs w:val="24"/>
        </w:rPr>
        <w:t>ретрага „последњих 100 набавки“</w:t>
      </w:r>
      <w:r w:rsidR="00F725C1">
        <w:rPr>
          <w:rFonts w:ascii="Times New Roman" w:hAnsi="Times New Roman" w:cs="Times New Roman"/>
          <w:sz w:val="24"/>
          <w:szCs w:val="24"/>
          <w:lang w:val="sr-Cyrl-RS"/>
        </w:rPr>
        <w:t xml:space="preserve"> </w:t>
      </w:r>
      <w:r w:rsidR="008844FD">
        <w:rPr>
          <w:rFonts w:ascii="Times New Roman" w:hAnsi="Times New Roman" w:cs="Times New Roman"/>
          <w:sz w:val="24"/>
          <w:szCs w:val="24"/>
        </w:rPr>
        <w:t>захвљујући којој</w:t>
      </w:r>
      <w:r w:rsidRPr="002C5D8C">
        <w:rPr>
          <w:rFonts w:ascii="Times New Roman" w:hAnsi="Times New Roman" w:cs="Times New Roman"/>
          <w:sz w:val="24"/>
          <w:szCs w:val="24"/>
        </w:rPr>
        <w:t xml:space="preserve"> се повећала  ажурност у праћењу дневно  објављених тендера, а поготово је значајна обавеза наручилаца да своје набавке оглашавају преко шифара из општег речника набавки, чиме се на јединствен и препознатљив  начин дефинишу предмети уговора о јавној набавци.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Када је реч о претрази закључених уговора из кварталних извештаја наручилаца које Управа објављује на Порталу јавних набавки, значајна је предност што се сада по сваком податку из уговора може вршити </w:t>
      </w:r>
      <w:r w:rsidRPr="002C5D8C">
        <w:rPr>
          <w:rFonts w:ascii="Times New Roman" w:hAnsi="Times New Roman" w:cs="Times New Roman"/>
          <w:sz w:val="24"/>
          <w:szCs w:val="24"/>
        </w:rPr>
        <w:lastRenderedPageBreak/>
        <w:t>претрага од стране заинтересованих лица (наручилац, понуђач, датум, шифра из општег речника набавки, вредност уговора....).</w:t>
      </w:r>
    </w:p>
    <w:p w:rsidR="007345E3" w:rsidRDefault="006E087E" w:rsidP="007345E3">
      <w:pPr>
        <w:jc w:val="both"/>
        <w:rPr>
          <w:rFonts w:ascii="Times New Roman" w:hAnsi="Times New Roman" w:cs="Times New Roman"/>
          <w:sz w:val="24"/>
          <w:szCs w:val="24"/>
        </w:rPr>
      </w:pPr>
      <w:r w:rsidRPr="002C5D8C">
        <w:rPr>
          <w:rFonts w:ascii="Times New Roman" w:hAnsi="Times New Roman" w:cs="Times New Roman"/>
          <w:sz w:val="24"/>
          <w:szCs w:val="24"/>
        </w:rPr>
        <w:t>Број јавни</w:t>
      </w:r>
      <w:r w:rsidR="00345AA6">
        <w:rPr>
          <w:rFonts w:ascii="Times New Roman" w:hAnsi="Times New Roman" w:cs="Times New Roman"/>
          <w:sz w:val="24"/>
          <w:szCs w:val="24"/>
        </w:rPr>
        <w:t xml:space="preserve">х набавки оглашених на Порталу </w:t>
      </w:r>
      <w:r w:rsidR="00CF1F3D">
        <w:rPr>
          <w:rFonts w:ascii="Times New Roman" w:hAnsi="Times New Roman" w:cs="Times New Roman"/>
          <w:sz w:val="24"/>
          <w:szCs w:val="24"/>
        </w:rPr>
        <w:t>знатно</w:t>
      </w:r>
      <w:r w:rsidR="00345AA6">
        <w:rPr>
          <w:rFonts w:ascii="Times New Roman" w:hAnsi="Times New Roman" w:cs="Times New Roman"/>
          <w:sz w:val="24"/>
          <w:szCs w:val="24"/>
        </w:rPr>
        <w:t xml:space="preserve"> се </w:t>
      </w:r>
      <w:r w:rsidRPr="002C5D8C">
        <w:rPr>
          <w:rFonts w:ascii="Times New Roman" w:hAnsi="Times New Roman" w:cs="Times New Roman"/>
          <w:sz w:val="24"/>
          <w:szCs w:val="24"/>
        </w:rPr>
        <w:t>повећавао од почетка његовог рада чиме је значајно порасла транспарентност јавних набавки у Србији, с обзиром да се на једном месту могу наћи све релевантне информације везане за поступак јавне набавке и да се до тих информација долази лако и без накнаде</w:t>
      </w:r>
      <w:r w:rsidR="00016E0F">
        <w:rPr>
          <w:rFonts w:ascii="Times New Roman" w:hAnsi="Times New Roman" w:cs="Times New Roman"/>
          <w:sz w:val="24"/>
          <w:szCs w:val="24"/>
        </w:rPr>
        <w:t xml:space="preserve"> </w:t>
      </w:r>
      <w:r w:rsidR="00345AA6" w:rsidRPr="002C5D8C">
        <w:rPr>
          <w:rFonts w:ascii="Times New Roman" w:hAnsi="Times New Roman" w:cs="Times New Roman"/>
          <w:sz w:val="24"/>
          <w:szCs w:val="24"/>
        </w:rPr>
        <w:t>(Слика</w:t>
      </w:r>
      <w:r w:rsidR="00D5059D">
        <w:rPr>
          <w:rFonts w:ascii="Times New Roman" w:hAnsi="Times New Roman" w:cs="Times New Roman"/>
          <w:sz w:val="24"/>
          <w:szCs w:val="24"/>
        </w:rPr>
        <w:t xml:space="preserve"> 1</w:t>
      </w:r>
      <w:r w:rsidR="00016E0F">
        <w:rPr>
          <w:rFonts w:ascii="Times New Roman" w:hAnsi="Times New Roman" w:cs="Times New Roman"/>
          <w:sz w:val="24"/>
          <w:szCs w:val="24"/>
        </w:rPr>
        <w:t>2</w:t>
      </w:r>
      <w:r w:rsidR="00345AA6">
        <w:rPr>
          <w:rFonts w:ascii="Times New Roman" w:hAnsi="Times New Roman" w:cs="Times New Roman"/>
          <w:sz w:val="24"/>
          <w:szCs w:val="24"/>
        </w:rPr>
        <w:t>).</w:t>
      </w:r>
    </w:p>
    <w:p w:rsidR="00F32666" w:rsidRPr="00C41DA4" w:rsidRDefault="00F32666" w:rsidP="00C469B9">
      <w:pPr>
        <w:jc w:val="center"/>
        <w:rPr>
          <w:rFonts w:ascii="Times New Roman" w:hAnsi="Times New Roman" w:cs="Times New Roman"/>
          <w:sz w:val="24"/>
          <w:szCs w:val="24"/>
        </w:rPr>
      </w:pPr>
      <w:r w:rsidRPr="00345AA6">
        <w:rPr>
          <w:rFonts w:ascii="Times New Roman" w:hAnsi="Times New Roman" w:cs="Times New Roman"/>
          <w:b/>
          <w:sz w:val="24"/>
          <w:szCs w:val="24"/>
        </w:rPr>
        <w:t>Слика 1</w:t>
      </w:r>
      <w:r w:rsidR="00016E0F">
        <w:rPr>
          <w:rFonts w:ascii="Times New Roman" w:hAnsi="Times New Roman" w:cs="Times New Roman"/>
          <w:b/>
          <w:sz w:val="24"/>
          <w:szCs w:val="24"/>
        </w:rPr>
        <w:t>2</w:t>
      </w:r>
    </w:p>
    <w:bookmarkStart w:id="12" w:name="_MON_1452681884"/>
    <w:bookmarkEnd w:id="12"/>
    <w:p w:rsidR="006E087E" w:rsidRPr="002C5D8C" w:rsidRDefault="002D1B5E" w:rsidP="006E087E">
      <w:pPr>
        <w:jc w:val="center"/>
        <w:rPr>
          <w:rFonts w:ascii="Times New Roman" w:hAnsi="Times New Roman" w:cs="Times New Roman"/>
          <w:sz w:val="24"/>
          <w:szCs w:val="24"/>
        </w:rPr>
      </w:pPr>
      <w:r w:rsidRPr="002C5D8C">
        <w:rPr>
          <w:rFonts w:ascii="Times New Roman" w:hAnsi="Times New Roman" w:cs="Times New Roman"/>
          <w:sz w:val="24"/>
          <w:szCs w:val="24"/>
        </w:rPr>
        <w:object w:dxaOrig="10630" w:dyaOrig="4401">
          <v:shape id="_x0000_i1036" type="#_x0000_t75" style="width:453.05pt;height:209.2pt" o:ole="">
            <v:imagedata r:id="rId38" o:title=""/>
            <o:lock v:ext="edit" aspectratio="f"/>
          </v:shape>
          <o:OLEObject Type="Embed" ProgID="Excel.Sheet.12" ShapeID="_x0000_i1036" DrawAspect="Content" ObjectID="_1461145251" r:id="rId39"/>
        </w:object>
      </w:r>
    </w:p>
    <w:p w:rsidR="00055CB3" w:rsidRPr="005A3464" w:rsidRDefault="006E087E" w:rsidP="007B4B66">
      <w:pPr>
        <w:jc w:val="both"/>
        <w:rPr>
          <w:rFonts w:ascii="Times New Roman" w:hAnsi="Times New Roman" w:cs="Times New Roman"/>
          <w:color w:val="FF0000"/>
          <w:sz w:val="24"/>
          <w:szCs w:val="24"/>
          <w:lang w:val="sr-Cyrl-RS"/>
        </w:rPr>
      </w:pPr>
      <w:r w:rsidRPr="002C5D8C">
        <w:rPr>
          <w:rFonts w:ascii="Times New Roman" w:hAnsi="Times New Roman" w:cs="Times New Roman"/>
          <w:sz w:val="24"/>
          <w:szCs w:val="24"/>
        </w:rPr>
        <w:t xml:space="preserve">Број објављених јавних набавки нарочито </w:t>
      </w:r>
      <w:r w:rsidR="0007674F" w:rsidRPr="002C5D8C">
        <w:rPr>
          <w:rFonts w:ascii="Times New Roman" w:hAnsi="Times New Roman" w:cs="Times New Roman"/>
          <w:sz w:val="24"/>
          <w:szCs w:val="24"/>
        </w:rPr>
        <w:t xml:space="preserve">је </w:t>
      </w:r>
      <w:r w:rsidR="0007674F">
        <w:rPr>
          <w:rFonts w:ascii="Times New Roman" w:hAnsi="Times New Roman" w:cs="Times New Roman"/>
          <w:sz w:val="24"/>
          <w:szCs w:val="24"/>
        </w:rPr>
        <w:t xml:space="preserve">порастао </w:t>
      </w:r>
      <w:r w:rsidRPr="002C5D8C">
        <w:rPr>
          <w:rFonts w:ascii="Times New Roman" w:hAnsi="Times New Roman" w:cs="Times New Roman"/>
          <w:sz w:val="24"/>
          <w:szCs w:val="24"/>
        </w:rPr>
        <w:t>у другом кварталу 2013. године (Слика</w:t>
      </w:r>
      <w:r w:rsidR="00F32666">
        <w:rPr>
          <w:rFonts w:ascii="Times New Roman" w:hAnsi="Times New Roman" w:cs="Times New Roman"/>
          <w:sz w:val="24"/>
          <w:szCs w:val="24"/>
        </w:rPr>
        <w:t xml:space="preserve"> 1</w:t>
      </w:r>
      <w:r w:rsidR="00016E0F">
        <w:rPr>
          <w:rFonts w:ascii="Times New Roman" w:hAnsi="Times New Roman" w:cs="Times New Roman"/>
          <w:sz w:val="24"/>
          <w:szCs w:val="24"/>
        </w:rPr>
        <w:t>3</w:t>
      </w:r>
      <w:r w:rsidRPr="002C5D8C">
        <w:rPr>
          <w:rFonts w:ascii="Times New Roman" w:hAnsi="Times New Roman" w:cs="Times New Roman"/>
          <w:sz w:val="24"/>
          <w:szCs w:val="24"/>
        </w:rPr>
        <w:t>), захваљујући почетку примене новог Закона који је предвидео обавезу објављивања јавних набавки мале вредности и тиме значајно допринео повећању транспарентности јавних набавки.</w:t>
      </w:r>
      <w:r w:rsidR="005A3464">
        <w:rPr>
          <w:rFonts w:ascii="Times New Roman" w:hAnsi="Times New Roman" w:cs="Times New Roman"/>
          <w:sz w:val="24"/>
          <w:szCs w:val="24"/>
          <w:lang w:val="sr-Cyrl-RS"/>
        </w:rPr>
        <w:t xml:space="preserve"> </w:t>
      </w:r>
    </w:p>
    <w:p w:rsidR="006E087E" w:rsidRPr="00C469B9" w:rsidRDefault="00C41DA4" w:rsidP="00C469B9">
      <w:pPr>
        <w:jc w:val="center"/>
        <w:rPr>
          <w:rFonts w:ascii="Times New Roman" w:hAnsi="Times New Roman" w:cs="Times New Roman"/>
          <w:b/>
          <w:sz w:val="24"/>
          <w:szCs w:val="24"/>
        </w:rPr>
      </w:pPr>
      <w:r>
        <w:rPr>
          <w:rFonts w:ascii="Times New Roman" w:hAnsi="Times New Roman" w:cs="Times New Roman"/>
          <w:b/>
          <w:sz w:val="24"/>
          <w:szCs w:val="24"/>
        </w:rPr>
        <w:t>Слика 1</w:t>
      </w:r>
      <w:r w:rsidR="00016E0F">
        <w:rPr>
          <w:rFonts w:ascii="Times New Roman" w:hAnsi="Times New Roman" w:cs="Times New Roman"/>
          <w:b/>
          <w:sz w:val="24"/>
          <w:szCs w:val="24"/>
        </w:rPr>
        <w:t>3</w:t>
      </w:r>
      <w:r w:rsidR="00055CB3">
        <w:rPr>
          <w:rFonts w:ascii="Times New Roman" w:hAnsi="Times New Roman" w:cs="Times New Roman"/>
          <w:sz w:val="24"/>
          <w:szCs w:val="24"/>
        </w:rPr>
        <w:br/>
      </w:r>
      <w:bookmarkStart w:id="13" w:name="_MON_1452680301"/>
      <w:bookmarkEnd w:id="13"/>
      <w:r w:rsidR="002D1B5E" w:rsidRPr="002C5D8C">
        <w:rPr>
          <w:rFonts w:ascii="Times New Roman" w:hAnsi="Times New Roman" w:cs="Times New Roman"/>
          <w:sz w:val="24"/>
          <w:szCs w:val="24"/>
        </w:rPr>
        <w:object w:dxaOrig="10520" w:dyaOrig="4924">
          <v:shape id="_x0000_i1037" type="#_x0000_t75" style="width:418.4pt;height:253.35pt" o:ole="">
            <v:imagedata r:id="rId40" o:title=""/>
            <o:lock v:ext="edit" aspectratio="f"/>
          </v:shape>
          <o:OLEObject Type="Embed" ProgID="Excel.Sheet.12" ShapeID="_x0000_i1037" DrawAspect="Content" ObjectID="_1461145252" r:id="rId41"/>
        </w:object>
      </w:r>
    </w:p>
    <w:p w:rsidR="006E087E"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lastRenderedPageBreak/>
        <w:t>Број посета Порталу значајно је порастао од 1. априла 2013. године захваљујући</w:t>
      </w:r>
      <w:r w:rsidR="007655FB">
        <w:rPr>
          <w:rFonts w:ascii="Times New Roman" w:hAnsi="Times New Roman" w:cs="Times New Roman"/>
          <w:sz w:val="24"/>
          <w:szCs w:val="24"/>
        </w:rPr>
        <w:t>,</w:t>
      </w:r>
      <w:r w:rsidRPr="002C5D8C">
        <w:rPr>
          <w:rFonts w:ascii="Times New Roman" w:hAnsi="Times New Roman" w:cs="Times New Roman"/>
          <w:sz w:val="24"/>
          <w:szCs w:val="24"/>
        </w:rPr>
        <w:t xml:space="preserve"> не само укључивању набавки мале вредности, већ и објављивању читавог низа </w:t>
      </w:r>
      <w:r w:rsidR="007655FB">
        <w:rPr>
          <w:rFonts w:ascii="Times New Roman" w:hAnsi="Times New Roman" w:cs="Times New Roman"/>
          <w:sz w:val="24"/>
          <w:szCs w:val="24"/>
        </w:rPr>
        <w:t xml:space="preserve">нових </w:t>
      </w:r>
      <w:r w:rsidRPr="002C5D8C">
        <w:rPr>
          <w:rFonts w:ascii="Times New Roman" w:hAnsi="Times New Roman" w:cs="Times New Roman"/>
          <w:sz w:val="24"/>
          <w:szCs w:val="24"/>
        </w:rPr>
        <w:t xml:space="preserve">докумената битних у поступку јавне набавке, као што су: конкурсне документације, мишљења Управе за јавне набавке за преговарачке поступке, измене уговора и сл. Значајан раст броја посета </w:t>
      </w:r>
      <w:r w:rsidR="005F59A4">
        <w:rPr>
          <w:rFonts w:ascii="Times New Roman" w:hAnsi="Times New Roman" w:cs="Times New Roman"/>
          <w:sz w:val="24"/>
          <w:szCs w:val="24"/>
        </w:rPr>
        <w:t xml:space="preserve">јасно указује на корисност </w:t>
      </w:r>
      <w:r w:rsidRPr="002C5D8C">
        <w:rPr>
          <w:rFonts w:ascii="Times New Roman" w:hAnsi="Times New Roman" w:cs="Times New Roman"/>
          <w:sz w:val="24"/>
          <w:szCs w:val="24"/>
        </w:rPr>
        <w:t xml:space="preserve">Портала </w:t>
      </w:r>
      <w:r w:rsidR="005F59A4">
        <w:rPr>
          <w:rFonts w:ascii="Times New Roman" w:hAnsi="Times New Roman" w:cs="Times New Roman"/>
          <w:sz w:val="24"/>
          <w:szCs w:val="24"/>
        </w:rPr>
        <w:t xml:space="preserve">за </w:t>
      </w:r>
      <w:r w:rsidR="00E21485">
        <w:rPr>
          <w:rFonts w:ascii="Times New Roman" w:hAnsi="Times New Roman" w:cs="Times New Roman"/>
          <w:sz w:val="24"/>
          <w:szCs w:val="24"/>
        </w:rPr>
        <w:t>широк круг заинтересованих лица</w:t>
      </w:r>
      <w:r w:rsidRPr="002C5D8C">
        <w:rPr>
          <w:rFonts w:ascii="Times New Roman" w:hAnsi="Times New Roman" w:cs="Times New Roman"/>
          <w:sz w:val="24"/>
          <w:szCs w:val="24"/>
        </w:rPr>
        <w:t xml:space="preserve"> (Слика </w:t>
      </w:r>
      <w:r w:rsidR="00F32666">
        <w:rPr>
          <w:rFonts w:ascii="Times New Roman" w:hAnsi="Times New Roman" w:cs="Times New Roman"/>
          <w:sz w:val="24"/>
          <w:szCs w:val="24"/>
        </w:rPr>
        <w:t>1</w:t>
      </w:r>
      <w:r w:rsidR="00016E0F">
        <w:rPr>
          <w:rFonts w:ascii="Times New Roman" w:hAnsi="Times New Roman" w:cs="Times New Roman"/>
          <w:sz w:val="24"/>
          <w:szCs w:val="24"/>
        </w:rPr>
        <w:t>4</w:t>
      </w:r>
      <w:r w:rsidRPr="002C5D8C">
        <w:rPr>
          <w:rFonts w:ascii="Times New Roman" w:hAnsi="Times New Roman" w:cs="Times New Roman"/>
          <w:sz w:val="24"/>
          <w:szCs w:val="24"/>
        </w:rPr>
        <w:t>).</w:t>
      </w:r>
    </w:p>
    <w:p w:rsidR="00F32666" w:rsidRPr="00C41DA4" w:rsidRDefault="00C41DA4" w:rsidP="007655FB">
      <w:pPr>
        <w:jc w:val="center"/>
        <w:rPr>
          <w:rFonts w:ascii="Times New Roman" w:hAnsi="Times New Roman" w:cs="Times New Roman"/>
          <w:b/>
          <w:sz w:val="24"/>
          <w:szCs w:val="24"/>
        </w:rPr>
      </w:pPr>
      <w:r>
        <w:rPr>
          <w:rFonts w:ascii="Times New Roman" w:hAnsi="Times New Roman" w:cs="Times New Roman"/>
          <w:b/>
          <w:sz w:val="24"/>
          <w:szCs w:val="24"/>
        </w:rPr>
        <w:t>Слика 1</w:t>
      </w:r>
      <w:r w:rsidR="00016E0F">
        <w:rPr>
          <w:rFonts w:ascii="Times New Roman" w:hAnsi="Times New Roman" w:cs="Times New Roman"/>
          <w:b/>
          <w:sz w:val="24"/>
          <w:szCs w:val="24"/>
        </w:rPr>
        <w:t>4</w:t>
      </w:r>
    </w:p>
    <w:p w:rsidR="00C469B9" w:rsidRPr="008844FD" w:rsidRDefault="000E090E" w:rsidP="008844FD">
      <w:pPr>
        <w:jc w:val="center"/>
        <w:rPr>
          <w:rFonts w:ascii="Times New Roman" w:hAnsi="Times New Roman" w:cs="Times New Roman"/>
          <w:sz w:val="24"/>
          <w:szCs w:val="24"/>
        </w:rPr>
      </w:pPr>
      <w:r>
        <w:rPr>
          <w:rFonts w:ascii="Times New Roman" w:hAnsi="Times New Roman" w:cs="Times New Roman"/>
          <w:noProof/>
          <w:sz w:val="24"/>
          <w:szCs w:val="24"/>
          <w:lang w:val="en-US" w:eastAsia="en-US"/>
        </w:rPr>
        <w:drawing>
          <wp:inline distT="0" distB="0" distL="0" distR="0">
            <wp:extent cx="5503653" cy="2467154"/>
            <wp:effectExtent l="0" t="0" r="0" b="0"/>
            <wp:docPr id="1" name="Picture 1" descr="C:\Users\bokanda.UJN\Desktop\!cid_ii_1449c2427d6a79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bokanda.UJN\Desktop\!cid_ii_1449c2427d6a7906.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03653" cy="2467154"/>
                    </a:xfrm>
                    <a:prstGeom prst="rect">
                      <a:avLst/>
                    </a:prstGeom>
                    <a:noFill/>
                    <a:ln>
                      <a:noFill/>
                    </a:ln>
                  </pic:spPr>
                </pic:pic>
              </a:graphicData>
            </a:graphic>
          </wp:inline>
        </w:drawing>
      </w:r>
    </w:p>
    <w:p w:rsidR="008844FD" w:rsidRDefault="008844FD" w:rsidP="008844FD">
      <w:pPr>
        <w:pStyle w:val="ListParagraph"/>
        <w:rPr>
          <w:rFonts w:ascii="Times New Roman" w:hAnsi="Times New Roman" w:cs="Times New Roman"/>
          <w:b/>
          <w:sz w:val="24"/>
          <w:szCs w:val="24"/>
          <w:lang w:val="sr-Cyrl-RS"/>
        </w:rPr>
      </w:pPr>
    </w:p>
    <w:p w:rsidR="00F725C1" w:rsidRDefault="00F725C1" w:rsidP="008844FD">
      <w:pPr>
        <w:pStyle w:val="ListParagraph"/>
        <w:rPr>
          <w:rFonts w:ascii="Times New Roman" w:hAnsi="Times New Roman" w:cs="Times New Roman"/>
          <w:b/>
          <w:sz w:val="24"/>
          <w:szCs w:val="24"/>
          <w:lang w:val="sr-Cyrl-RS"/>
        </w:rPr>
      </w:pPr>
    </w:p>
    <w:p w:rsidR="00A734C3" w:rsidRPr="00107999" w:rsidRDefault="00753F20" w:rsidP="00107999">
      <w:pPr>
        <w:pStyle w:val="ListParagraph"/>
        <w:numPr>
          <w:ilvl w:val="0"/>
          <w:numId w:val="2"/>
        </w:numPr>
        <w:rPr>
          <w:rFonts w:ascii="Times New Roman" w:hAnsi="Times New Roman" w:cs="Times New Roman"/>
          <w:b/>
          <w:sz w:val="24"/>
          <w:szCs w:val="24"/>
        </w:rPr>
      </w:pPr>
      <w:r w:rsidRPr="00107999">
        <w:rPr>
          <w:rFonts w:ascii="Times New Roman" w:hAnsi="Times New Roman" w:cs="Times New Roman"/>
          <w:b/>
          <w:sz w:val="24"/>
          <w:szCs w:val="24"/>
        </w:rPr>
        <w:t>УЧЕШЋЕ ДОМАЋИХ И СТРАНИХ ПОНУЂАЧА</w:t>
      </w:r>
    </w:p>
    <w:p w:rsidR="00D23077" w:rsidRPr="00FB58EA" w:rsidRDefault="00753F20" w:rsidP="00FB58EA">
      <w:pPr>
        <w:jc w:val="both"/>
        <w:rPr>
          <w:rFonts w:ascii="Times New Roman" w:hAnsi="Times New Roman" w:cs="Times New Roman"/>
          <w:sz w:val="24"/>
          <w:szCs w:val="24"/>
          <w:lang w:val="sr-Cyrl-RS"/>
        </w:rPr>
      </w:pPr>
      <w:r>
        <w:rPr>
          <w:rFonts w:ascii="Times New Roman" w:hAnsi="Times New Roman" w:cs="Times New Roman"/>
          <w:sz w:val="24"/>
          <w:szCs w:val="24"/>
        </w:rPr>
        <w:t xml:space="preserve">Учешће страних понуђача </w:t>
      </w:r>
      <w:r w:rsidR="00D5059D">
        <w:rPr>
          <w:rFonts w:ascii="Times New Roman" w:hAnsi="Times New Roman" w:cs="Times New Roman"/>
          <w:sz w:val="24"/>
          <w:szCs w:val="24"/>
        </w:rPr>
        <w:t xml:space="preserve">се, </w:t>
      </w:r>
      <w:r>
        <w:rPr>
          <w:rFonts w:ascii="Times New Roman" w:hAnsi="Times New Roman" w:cs="Times New Roman"/>
          <w:sz w:val="24"/>
          <w:szCs w:val="24"/>
        </w:rPr>
        <w:t xml:space="preserve">у 2013. </w:t>
      </w:r>
      <w:r w:rsidR="00D5059D">
        <w:rPr>
          <w:rFonts w:ascii="Times New Roman" w:hAnsi="Times New Roman" w:cs="Times New Roman"/>
          <w:sz w:val="24"/>
          <w:szCs w:val="24"/>
        </w:rPr>
        <w:t>г</w:t>
      </w:r>
      <w:r w:rsidR="00B92EF5">
        <w:rPr>
          <w:rFonts w:ascii="Times New Roman" w:hAnsi="Times New Roman" w:cs="Times New Roman"/>
          <w:sz w:val="24"/>
          <w:szCs w:val="24"/>
        </w:rPr>
        <w:t>одини</w:t>
      </w:r>
      <w:r w:rsidR="00D5059D">
        <w:rPr>
          <w:rFonts w:ascii="Times New Roman" w:hAnsi="Times New Roman" w:cs="Times New Roman"/>
          <w:sz w:val="24"/>
          <w:szCs w:val="24"/>
        </w:rPr>
        <w:t>,</w:t>
      </w:r>
      <w:r w:rsidR="00B92EF5">
        <w:rPr>
          <w:rFonts w:ascii="Times New Roman" w:hAnsi="Times New Roman" w:cs="Times New Roman"/>
          <w:sz w:val="24"/>
          <w:szCs w:val="24"/>
        </w:rPr>
        <w:t xml:space="preserve"> значајно смањило у односу на 2012. годину – са 12 на 4%.  </w:t>
      </w:r>
      <w:r w:rsidR="00016E0F">
        <w:rPr>
          <w:rFonts w:ascii="Times New Roman" w:hAnsi="Times New Roman" w:cs="Times New Roman"/>
          <w:sz w:val="24"/>
          <w:szCs w:val="24"/>
        </w:rPr>
        <w:t xml:space="preserve"> </w:t>
      </w:r>
      <w:r>
        <w:rPr>
          <w:rFonts w:ascii="Times New Roman" w:hAnsi="Times New Roman" w:cs="Times New Roman"/>
          <w:sz w:val="24"/>
          <w:szCs w:val="24"/>
        </w:rPr>
        <w:t>(Слика 1</w:t>
      </w:r>
      <w:r w:rsidR="00016E0F">
        <w:rPr>
          <w:rFonts w:ascii="Times New Roman" w:hAnsi="Times New Roman" w:cs="Times New Roman"/>
          <w:sz w:val="24"/>
          <w:szCs w:val="24"/>
        </w:rPr>
        <w:t>5</w:t>
      </w:r>
      <w:r>
        <w:rPr>
          <w:rFonts w:ascii="Times New Roman" w:hAnsi="Times New Roman" w:cs="Times New Roman"/>
          <w:sz w:val="24"/>
          <w:szCs w:val="24"/>
        </w:rPr>
        <w:t xml:space="preserve">, Табела </w:t>
      </w:r>
      <w:r w:rsidR="00016E0F">
        <w:rPr>
          <w:rFonts w:ascii="Times New Roman" w:hAnsi="Times New Roman" w:cs="Times New Roman"/>
          <w:sz w:val="24"/>
          <w:szCs w:val="24"/>
        </w:rPr>
        <w:t>8</w:t>
      </w:r>
      <w:r>
        <w:rPr>
          <w:rFonts w:ascii="Times New Roman" w:hAnsi="Times New Roman" w:cs="Times New Roman"/>
          <w:sz w:val="24"/>
          <w:szCs w:val="24"/>
        </w:rPr>
        <w:t>)</w:t>
      </w:r>
      <w:r w:rsidR="00F40367">
        <w:rPr>
          <w:rFonts w:ascii="Times New Roman" w:hAnsi="Times New Roman" w:cs="Times New Roman"/>
          <w:sz w:val="24"/>
          <w:szCs w:val="24"/>
        </w:rPr>
        <w:t>.</w:t>
      </w:r>
    </w:p>
    <w:p w:rsidR="00753F20" w:rsidRPr="00D23077" w:rsidRDefault="00C41DA4" w:rsidP="008844FD">
      <w:pPr>
        <w:jc w:val="center"/>
        <w:rPr>
          <w:rFonts w:ascii="Times New Roman" w:hAnsi="Times New Roman" w:cs="Times New Roman"/>
          <w:sz w:val="24"/>
          <w:szCs w:val="24"/>
        </w:rPr>
      </w:pPr>
      <w:r w:rsidRPr="00D23077">
        <w:rPr>
          <w:rFonts w:ascii="Times New Roman" w:hAnsi="Times New Roman" w:cs="Times New Roman"/>
          <w:b/>
          <w:sz w:val="24"/>
          <w:szCs w:val="24"/>
        </w:rPr>
        <w:t>Слика 1</w:t>
      </w:r>
      <w:r w:rsidR="00016E0F" w:rsidRPr="00D23077">
        <w:rPr>
          <w:rFonts w:ascii="Times New Roman" w:hAnsi="Times New Roman" w:cs="Times New Roman"/>
          <w:b/>
          <w:sz w:val="24"/>
          <w:szCs w:val="24"/>
        </w:rPr>
        <w:t>5</w:t>
      </w:r>
    </w:p>
    <w:bookmarkStart w:id="14" w:name="_MON_1455019107"/>
    <w:bookmarkEnd w:id="14"/>
    <w:p w:rsidR="00753F20" w:rsidRDefault="00FB58EA" w:rsidP="00753F20">
      <w:pPr>
        <w:jc w:val="center"/>
        <w:rPr>
          <w:rFonts w:ascii="Times New Roman" w:hAnsi="Times New Roman" w:cs="Times New Roman"/>
          <w:sz w:val="24"/>
          <w:szCs w:val="24"/>
        </w:rPr>
      </w:pPr>
      <w:r w:rsidRPr="001B03AA">
        <w:rPr>
          <w:rFonts w:ascii="Times New Roman" w:hAnsi="Times New Roman" w:cs="Times New Roman"/>
          <w:sz w:val="24"/>
          <w:szCs w:val="24"/>
        </w:rPr>
        <w:object w:dxaOrig="7860" w:dyaOrig="6368">
          <v:shape id="_x0000_i1038" type="#_x0000_t75" style="width:372.25pt;height:228.9pt" o:ole="">
            <v:imagedata r:id="rId43" o:title=""/>
          </v:shape>
          <o:OLEObject Type="Embed" ProgID="Excel.Sheet.12" ShapeID="_x0000_i1038" DrawAspect="Content" ObjectID="_1461145253" r:id="rId44"/>
        </w:object>
      </w:r>
    </w:p>
    <w:p w:rsidR="00753F20" w:rsidRPr="00753F20" w:rsidRDefault="00753F20">
      <w:pPr>
        <w:rPr>
          <w:rFonts w:ascii="Times New Roman" w:hAnsi="Times New Roman" w:cs="Times New Roman"/>
          <w:sz w:val="24"/>
          <w:szCs w:val="24"/>
        </w:rPr>
      </w:pPr>
    </w:p>
    <w:p w:rsidR="00837EA8" w:rsidRPr="00D23077" w:rsidRDefault="00C41DA4">
      <w:pPr>
        <w:rPr>
          <w:rFonts w:ascii="Times New Roman" w:hAnsi="Times New Roman" w:cs="Times New Roman"/>
          <w:b/>
          <w:sz w:val="24"/>
          <w:szCs w:val="24"/>
        </w:rPr>
      </w:pPr>
      <w:r w:rsidRPr="00D23077">
        <w:rPr>
          <w:rFonts w:ascii="Times New Roman" w:hAnsi="Times New Roman" w:cs="Times New Roman"/>
          <w:b/>
          <w:sz w:val="24"/>
          <w:szCs w:val="24"/>
        </w:rPr>
        <w:t>Табела 8</w:t>
      </w:r>
    </w:p>
    <w:tbl>
      <w:tblPr>
        <w:tblW w:w="10724"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12"/>
        <w:gridCol w:w="613"/>
        <w:gridCol w:w="613"/>
        <w:gridCol w:w="614"/>
        <w:gridCol w:w="614"/>
        <w:gridCol w:w="614"/>
        <w:gridCol w:w="614"/>
        <w:gridCol w:w="614"/>
        <w:gridCol w:w="614"/>
        <w:gridCol w:w="614"/>
        <w:gridCol w:w="614"/>
        <w:gridCol w:w="923"/>
        <w:gridCol w:w="878"/>
        <w:gridCol w:w="868"/>
        <w:gridCol w:w="222"/>
      </w:tblGrid>
      <w:tr w:rsidR="00DD52BC" w:rsidRPr="00DD52BC" w:rsidTr="003F4DFD">
        <w:trPr>
          <w:jc w:val="center"/>
        </w:trPr>
        <w:tc>
          <w:tcPr>
            <w:tcW w:w="10502" w:type="dxa"/>
            <w:gridSpan w:val="15"/>
            <w:shd w:val="clear" w:color="auto" w:fill="auto"/>
            <w:vAlign w:val="center"/>
          </w:tcPr>
          <w:p w:rsidR="00DD52BC" w:rsidRPr="00482558" w:rsidRDefault="00DD52BC" w:rsidP="00482558">
            <w:pPr>
              <w:jc w:val="center"/>
              <w:rPr>
                <w:rFonts w:ascii="Times New Roman" w:eastAsia="Times New Roman" w:hAnsi="Times New Roman" w:cs="Times New Roman"/>
                <w:b/>
                <w:sz w:val="24"/>
                <w:szCs w:val="24"/>
                <w:lang w:val="sr-Cyrl-RS"/>
              </w:rPr>
            </w:pPr>
            <w:r w:rsidRPr="00DD52BC">
              <w:rPr>
                <w:rFonts w:ascii="Times New Roman" w:eastAsia="Times New Roman" w:hAnsi="Times New Roman" w:cs="Times New Roman"/>
                <w:b/>
                <w:sz w:val="24"/>
                <w:szCs w:val="24"/>
              </w:rPr>
              <w:t>Упоредни преглед набавки пр</w:t>
            </w:r>
            <w:r w:rsidR="0069262C">
              <w:rPr>
                <w:rFonts w:ascii="Times New Roman" w:eastAsia="Times New Roman" w:hAnsi="Times New Roman" w:cs="Times New Roman"/>
                <w:b/>
                <w:sz w:val="24"/>
                <w:szCs w:val="24"/>
              </w:rPr>
              <w:t>ема вредности уговора додељених</w:t>
            </w:r>
            <w:r w:rsidR="00482558">
              <w:rPr>
                <w:rFonts w:ascii="Times New Roman" w:eastAsia="Times New Roman" w:hAnsi="Times New Roman" w:cs="Times New Roman"/>
                <w:b/>
                <w:sz w:val="24"/>
                <w:szCs w:val="24"/>
                <w:lang w:val="sr-Cyrl-RS"/>
              </w:rPr>
              <w:t xml:space="preserve">                                            </w:t>
            </w:r>
            <w:r w:rsidRPr="00DD52BC">
              <w:rPr>
                <w:rFonts w:ascii="Times New Roman" w:eastAsia="Times New Roman" w:hAnsi="Times New Roman" w:cs="Times New Roman"/>
                <w:b/>
                <w:sz w:val="24"/>
                <w:szCs w:val="24"/>
              </w:rPr>
              <w:t>страним и домаћим понуђачима (у %)</w:t>
            </w:r>
          </w:p>
        </w:tc>
        <w:tc>
          <w:tcPr>
            <w:tcW w:w="222" w:type="dxa"/>
            <w:tcBorders>
              <w:top w:val="nil"/>
              <w:bottom w:val="nil"/>
              <w:right w:val="nil"/>
            </w:tcBorders>
            <w:shd w:val="clear" w:color="auto" w:fill="auto"/>
            <w:vAlign w:val="center"/>
          </w:tcPr>
          <w:p w:rsidR="00DD52BC" w:rsidRPr="00DD52BC" w:rsidRDefault="00DD52BC" w:rsidP="00DD52BC">
            <w:pPr>
              <w:rPr>
                <w:rFonts w:ascii="Times New Roman" w:eastAsia="Times New Roman" w:hAnsi="Times New Roman" w:cs="Times New Roman"/>
                <w:b/>
                <w:sz w:val="24"/>
                <w:szCs w:val="24"/>
              </w:rPr>
            </w:pPr>
          </w:p>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24"/>
                <w:szCs w:val="24"/>
              </w:rPr>
            </w:pPr>
          </w:p>
        </w:tc>
      </w:tr>
      <w:tr w:rsidR="00DD52BC" w:rsidRPr="00DD52BC" w:rsidTr="003F4DFD">
        <w:trPr>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Година</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2002.</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2003.</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2005.</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2008.</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2012.</w:t>
            </w:r>
          </w:p>
        </w:tc>
        <w:tc>
          <w:tcPr>
            <w:tcW w:w="940" w:type="dxa"/>
            <w:shd w:val="clear" w:color="auto" w:fill="auto"/>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b/>
                <w:sz w:val="16"/>
                <w:szCs w:val="16"/>
                <w:lang w:val="sr-Cyrl-CS"/>
              </w:rPr>
            </w:pPr>
            <w:r>
              <w:rPr>
                <w:rFonts w:ascii="Times New Roman" w:eastAsia="Times New Roman" w:hAnsi="Times New Roman" w:cs="Times New Roman"/>
                <w:b/>
                <w:sz w:val="16"/>
                <w:szCs w:val="16"/>
                <w:lang w:val="sr-Cyrl-CS"/>
              </w:rPr>
              <w:t>2013.</w:t>
            </w:r>
          </w:p>
        </w:tc>
        <w:tc>
          <w:tcPr>
            <w:tcW w:w="878" w:type="dxa"/>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2013.</w:t>
            </w:r>
          </w:p>
          <w:p w:rsidR="00DD52BC" w:rsidRPr="003F0A58" w:rsidRDefault="003F0A58" w:rsidP="003F0A58">
            <w:pPr>
              <w:tabs>
                <w:tab w:val="left" w:pos="1885"/>
              </w:tabs>
              <w:spacing w:after="0" w:line="240" w:lineRule="auto"/>
              <w:jc w:val="center"/>
              <w:rPr>
                <w:rFonts w:ascii="Times New Roman" w:eastAsia="Times New Roman" w:hAnsi="Times New Roman" w:cs="Times New Roman"/>
                <w:b/>
                <w:sz w:val="16"/>
                <w:szCs w:val="16"/>
                <w:lang w:val="sr-Cyrl-CS"/>
              </w:rPr>
            </w:pPr>
            <w:r>
              <w:rPr>
                <w:rFonts w:ascii="Times New Roman" w:eastAsia="Times New Roman" w:hAnsi="Times New Roman" w:cs="Times New Roman"/>
                <w:b/>
                <w:sz w:val="16"/>
                <w:szCs w:val="16"/>
                <w:lang w:val="sr-Cyrl-CS"/>
              </w:rPr>
              <w:t>Прво полугође</w:t>
            </w:r>
          </w:p>
        </w:tc>
        <w:tc>
          <w:tcPr>
            <w:tcW w:w="830" w:type="dxa"/>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2013.</w:t>
            </w:r>
          </w:p>
          <w:p w:rsidR="00DD52BC" w:rsidRDefault="003F0A58" w:rsidP="00CB1DB7">
            <w:pPr>
              <w:tabs>
                <w:tab w:val="left" w:pos="1885"/>
              </w:tabs>
              <w:spacing w:after="0" w:line="240" w:lineRule="auto"/>
              <w:jc w:val="center"/>
              <w:rPr>
                <w:rFonts w:ascii="Times New Roman" w:eastAsia="Times New Roman" w:hAnsi="Times New Roman" w:cs="Times New Roman"/>
                <w:b/>
                <w:sz w:val="16"/>
                <w:szCs w:val="16"/>
                <w:lang w:val="sr-Cyrl-CS"/>
              </w:rPr>
            </w:pPr>
            <w:r>
              <w:rPr>
                <w:rFonts w:ascii="Times New Roman" w:eastAsia="Times New Roman" w:hAnsi="Times New Roman" w:cs="Times New Roman"/>
                <w:b/>
                <w:sz w:val="16"/>
                <w:szCs w:val="16"/>
                <w:lang w:val="sr-Cyrl-CS"/>
              </w:rPr>
              <w:t>Друго</w:t>
            </w:r>
          </w:p>
          <w:p w:rsidR="003F0A58" w:rsidRPr="003F0A58" w:rsidRDefault="003F0A58" w:rsidP="00DD52BC">
            <w:pPr>
              <w:tabs>
                <w:tab w:val="left" w:pos="1885"/>
              </w:tabs>
              <w:spacing w:after="0" w:line="240" w:lineRule="auto"/>
              <w:rPr>
                <w:rFonts w:ascii="Times New Roman" w:eastAsia="Times New Roman" w:hAnsi="Times New Roman" w:cs="Times New Roman"/>
                <w:b/>
                <w:sz w:val="16"/>
                <w:szCs w:val="16"/>
                <w:lang w:val="sr-Cyrl-CS"/>
              </w:rPr>
            </w:pPr>
            <w:r>
              <w:rPr>
                <w:rFonts w:ascii="Times New Roman" w:eastAsia="Times New Roman" w:hAnsi="Times New Roman" w:cs="Times New Roman"/>
                <w:b/>
                <w:sz w:val="16"/>
                <w:szCs w:val="16"/>
                <w:lang w:val="sr-Cyrl-CS"/>
              </w:rPr>
              <w:t>полугође</w:t>
            </w:r>
          </w:p>
        </w:tc>
        <w:tc>
          <w:tcPr>
            <w:tcW w:w="222" w:type="dxa"/>
            <w:tcBorders>
              <w:top w:val="nil"/>
              <w:bottom w:val="nil"/>
              <w:right w:val="nil"/>
            </w:tcBorders>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24"/>
                <w:szCs w:val="24"/>
              </w:rPr>
            </w:pPr>
          </w:p>
        </w:tc>
      </w:tr>
      <w:tr w:rsidR="00DD52BC" w:rsidRPr="00DD52BC" w:rsidTr="003F4DFD">
        <w:trPr>
          <w:gridAfter w:val="1"/>
          <w:wAfter w:w="222" w:type="dxa"/>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Домаћи понуђачи</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80</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84</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93</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98</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88</w:t>
            </w:r>
          </w:p>
        </w:tc>
        <w:tc>
          <w:tcPr>
            <w:tcW w:w="940" w:type="dxa"/>
            <w:shd w:val="clear" w:color="auto" w:fill="auto"/>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rPr>
              <w:t>9</w:t>
            </w:r>
            <w:r>
              <w:rPr>
                <w:rFonts w:ascii="Times New Roman" w:eastAsia="Times New Roman" w:hAnsi="Times New Roman" w:cs="Times New Roman"/>
                <w:sz w:val="20"/>
                <w:szCs w:val="20"/>
                <w:lang w:val="sr-Cyrl-CS"/>
              </w:rPr>
              <w:t>6</w:t>
            </w:r>
          </w:p>
        </w:tc>
        <w:tc>
          <w:tcPr>
            <w:tcW w:w="878" w:type="dxa"/>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rPr>
              <w:t>9</w:t>
            </w:r>
            <w:r>
              <w:rPr>
                <w:rFonts w:ascii="Times New Roman" w:eastAsia="Times New Roman" w:hAnsi="Times New Roman" w:cs="Times New Roman"/>
                <w:sz w:val="20"/>
                <w:szCs w:val="20"/>
                <w:lang w:val="sr-Cyrl-CS"/>
              </w:rPr>
              <w:t>6</w:t>
            </w:r>
          </w:p>
        </w:tc>
        <w:tc>
          <w:tcPr>
            <w:tcW w:w="830" w:type="dxa"/>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rPr>
              <w:t>9</w:t>
            </w:r>
            <w:r>
              <w:rPr>
                <w:rFonts w:ascii="Times New Roman" w:eastAsia="Times New Roman" w:hAnsi="Times New Roman" w:cs="Times New Roman"/>
                <w:sz w:val="20"/>
                <w:szCs w:val="20"/>
                <w:lang w:val="sr-Cyrl-CS"/>
              </w:rPr>
              <w:t>6</w:t>
            </w:r>
          </w:p>
        </w:tc>
      </w:tr>
      <w:tr w:rsidR="00DD52BC" w:rsidRPr="00DD52BC" w:rsidTr="003F4DFD">
        <w:trPr>
          <w:gridAfter w:val="1"/>
          <w:wAfter w:w="222" w:type="dxa"/>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Страни понуђачи</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20</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16</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3</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2</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12</w:t>
            </w:r>
          </w:p>
        </w:tc>
        <w:tc>
          <w:tcPr>
            <w:tcW w:w="940" w:type="dxa"/>
            <w:shd w:val="clear" w:color="auto" w:fill="auto"/>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4</w:t>
            </w:r>
          </w:p>
        </w:tc>
        <w:tc>
          <w:tcPr>
            <w:tcW w:w="878" w:type="dxa"/>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4</w:t>
            </w:r>
          </w:p>
        </w:tc>
        <w:tc>
          <w:tcPr>
            <w:tcW w:w="830" w:type="dxa"/>
            <w:vAlign w:val="center"/>
          </w:tcPr>
          <w:p w:rsidR="00DD52BC" w:rsidRPr="003F0A58" w:rsidRDefault="003F0A58" w:rsidP="00DD52BC">
            <w:pPr>
              <w:tabs>
                <w:tab w:val="left" w:pos="1885"/>
              </w:tabs>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4</w:t>
            </w:r>
          </w:p>
        </w:tc>
      </w:tr>
    </w:tbl>
    <w:p w:rsidR="007655FB" w:rsidRDefault="007655FB" w:rsidP="008844FD">
      <w:pPr>
        <w:jc w:val="both"/>
        <w:rPr>
          <w:rFonts w:ascii="Times New Roman" w:hAnsi="Times New Roman" w:cs="Times New Roman"/>
          <w:sz w:val="24"/>
          <w:szCs w:val="24"/>
        </w:rPr>
      </w:pPr>
    </w:p>
    <w:p w:rsidR="00D23077" w:rsidRPr="00B45187" w:rsidRDefault="00B55F55" w:rsidP="00B45187">
      <w:pPr>
        <w:jc w:val="both"/>
        <w:rPr>
          <w:rFonts w:ascii="Times New Roman" w:hAnsi="Times New Roman" w:cs="Times New Roman"/>
          <w:sz w:val="24"/>
          <w:szCs w:val="24"/>
          <w:lang w:val="sr-Cyrl-RS"/>
        </w:rPr>
      </w:pPr>
      <w:r w:rsidRPr="00B55F55">
        <w:rPr>
          <w:rFonts w:ascii="Times New Roman" w:hAnsi="Times New Roman" w:cs="Times New Roman"/>
          <w:sz w:val="24"/>
          <w:szCs w:val="24"/>
        </w:rPr>
        <w:t>Удео понуђача из ЕУ</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у укупној вредности закључених уговора</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износио је </w:t>
      </w:r>
      <w:r w:rsidR="00D5059D">
        <w:rPr>
          <w:rFonts w:ascii="Times New Roman" w:hAnsi="Times New Roman" w:cs="Times New Roman"/>
          <w:sz w:val="24"/>
          <w:szCs w:val="24"/>
        </w:rPr>
        <w:t>2</w:t>
      </w:r>
      <w:r w:rsidRPr="00B55F55">
        <w:rPr>
          <w:rFonts w:ascii="Times New Roman" w:hAnsi="Times New Roman" w:cs="Times New Roman"/>
          <w:sz w:val="24"/>
          <w:szCs w:val="24"/>
        </w:rPr>
        <w:t xml:space="preserve">%, </w:t>
      </w:r>
      <w:r w:rsidR="00B92EF5">
        <w:rPr>
          <w:rFonts w:ascii="Times New Roman" w:hAnsi="Times New Roman" w:cs="Times New Roman"/>
          <w:sz w:val="24"/>
          <w:szCs w:val="24"/>
        </w:rPr>
        <w:t xml:space="preserve">колико и понуђача из земаља ван ЕУ </w:t>
      </w:r>
      <w:r w:rsidR="00F40367">
        <w:rPr>
          <w:rFonts w:ascii="Times New Roman" w:hAnsi="Times New Roman" w:cs="Times New Roman"/>
          <w:sz w:val="24"/>
          <w:szCs w:val="24"/>
        </w:rPr>
        <w:t>(С</w:t>
      </w:r>
      <w:r w:rsidR="00263B08">
        <w:rPr>
          <w:rFonts w:ascii="Times New Roman" w:hAnsi="Times New Roman" w:cs="Times New Roman"/>
          <w:sz w:val="24"/>
          <w:szCs w:val="24"/>
        </w:rPr>
        <w:t>лика 1</w:t>
      </w:r>
      <w:r w:rsidR="00B92EF5">
        <w:rPr>
          <w:rFonts w:ascii="Times New Roman" w:hAnsi="Times New Roman" w:cs="Times New Roman"/>
          <w:sz w:val="24"/>
          <w:szCs w:val="24"/>
        </w:rPr>
        <w:t>6</w:t>
      </w:r>
      <w:r>
        <w:rPr>
          <w:rFonts w:ascii="Times New Roman" w:hAnsi="Times New Roman" w:cs="Times New Roman"/>
          <w:sz w:val="24"/>
          <w:szCs w:val="24"/>
        </w:rPr>
        <w:t>)</w:t>
      </w:r>
      <w:r w:rsidR="00B92EF5">
        <w:rPr>
          <w:rFonts w:ascii="Times New Roman" w:hAnsi="Times New Roman" w:cs="Times New Roman"/>
          <w:sz w:val="24"/>
          <w:szCs w:val="24"/>
        </w:rPr>
        <w:t>.</w:t>
      </w:r>
    </w:p>
    <w:p w:rsidR="00D23077" w:rsidRDefault="00D23077" w:rsidP="00482558">
      <w:pPr>
        <w:rPr>
          <w:rFonts w:ascii="Times New Roman" w:hAnsi="Times New Roman" w:cs="Times New Roman"/>
          <w:b/>
          <w:color w:val="FF0000"/>
          <w:sz w:val="24"/>
          <w:szCs w:val="24"/>
          <w:lang w:val="sr-Cyrl-RS"/>
        </w:rPr>
      </w:pPr>
    </w:p>
    <w:p w:rsidR="00637BC6" w:rsidRPr="00D23077" w:rsidRDefault="00FD42B3" w:rsidP="009B3038">
      <w:pPr>
        <w:jc w:val="center"/>
        <w:rPr>
          <w:rFonts w:ascii="Times New Roman" w:hAnsi="Times New Roman" w:cs="Times New Roman"/>
          <w:sz w:val="24"/>
          <w:szCs w:val="24"/>
        </w:rPr>
      </w:pPr>
      <w:r w:rsidRPr="00D23077">
        <w:rPr>
          <w:rFonts w:ascii="Times New Roman" w:hAnsi="Times New Roman" w:cs="Times New Roman"/>
          <w:b/>
          <w:sz w:val="24"/>
          <w:szCs w:val="24"/>
        </w:rPr>
        <w:t>Слика 1</w:t>
      </w:r>
      <w:r w:rsidR="00B92EF5" w:rsidRPr="00D23077">
        <w:rPr>
          <w:rFonts w:ascii="Times New Roman" w:hAnsi="Times New Roman" w:cs="Times New Roman"/>
          <w:b/>
          <w:sz w:val="24"/>
          <w:szCs w:val="24"/>
        </w:rPr>
        <w:t>6</w:t>
      </w:r>
    </w:p>
    <w:bookmarkStart w:id="15" w:name="_MON_1455019723"/>
    <w:bookmarkEnd w:id="15"/>
    <w:p w:rsidR="00B45187" w:rsidRDefault="00B45187" w:rsidP="00E37A87">
      <w:pPr>
        <w:jc w:val="center"/>
        <w:rPr>
          <w:rFonts w:ascii="Times New Roman" w:hAnsi="Times New Roman" w:cs="Times New Roman"/>
          <w:sz w:val="24"/>
          <w:szCs w:val="24"/>
          <w:lang w:val="sr-Cyrl-RS"/>
        </w:rPr>
      </w:pPr>
      <w:r w:rsidRPr="001B03AA">
        <w:rPr>
          <w:rFonts w:ascii="Times New Roman" w:hAnsi="Times New Roman" w:cs="Times New Roman"/>
          <w:sz w:val="24"/>
          <w:szCs w:val="24"/>
        </w:rPr>
        <w:object w:dxaOrig="7654" w:dyaOrig="6310">
          <v:shape id="_x0000_i1039" type="#_x0000_t75" style="width:382.4pt;height:281.2pt" o:ole="">
            <v:imagedata r:id="rId45" o:title=""/>
          </v:shape>
          <o:OLEObject Type="Embed" ProgID="Excel.Sheet.12" ShapeID="_x0000_i1039" DrawAspect="Content" ObjectID="_1461145254" r:id="rId46"/>
        </w:object>
      </w:r>
    </w:p>
    <w:p w:rsidR="00B45187" w:rsidRDefault="00B45187" w:rsidP="00E37A87">
      <w:pPr>
        <w:jc w:val="center"/>
        <w:rPr>
          <w:rFonts w:ascii="Times New Roman" w:hAnsi="Times New Roman" w:cs="Times New Roman"/>
          <w:sz w:val="24"/>
          <w:szCs w:val="24"/>
          <w:lang w:val="sr-Cyrl-RS"/>
        </w:rPr>
      </w:pPr>
    </w:p>
    <w:p w:rsidR="00B45187" w:rsidRDefault="00B45187" w:rsidP="00E37A87">
      <w:pPr>
        <w:jc w:val="center"/>
        <w:rPr>
          <w:rFonts w:ascii="Times New Roman" w:hAnsi="Times New Roman" w:cs="Times New Roman"/>
          <w:sz w:val="24"/>
          <w:szCs w:val="24"/>
          <w:lang w:val="sr-Cyrl-RS"/>
        </w:rPr>
      </w:pPr>
    </w:p>
    <w:p w:rsidR="005C4294" w:rsidRDefault="005C4294" w:rsidP="00E37A87">
      <w:pPr>
        <w:jc w:val="center"/>
        <w:rPr>
          <w:rFonts w:ascii="Times New Roman" w:hAnsi="Times New Roman" w:cs="Times New Roman"/>
          <w:sz w:val="24"/>
          <w:szCs w:val="24"/>
          <w:lang w:val="sr-Cyrl-RS"/>
        </w:rPr>
      </w:pPr>
    </w:p>
    <w:p w:rsidR="00D14DA3" w:rsidRPr="00E37A87" w:rsidRDefault="00D14DA3" w:rsidP="00E37A87">
      <w:pPr>
        <w:jc w:val="center"/>
        <w:rPr>
          <w:rFonts w:ascii="Times New Roman" w:hAnsi="Times New Roman" w:cs="Times New Roman"/>
          <w:sz w:val="24"/>
          <w:szCs w:val="24"/>
          <w:lang w:val="sr-Cyrl-RS"/>
        </w:rPr>
      </w:pPr>
    </w:p>
    <w:p w:rsidR="00023ACB" w:rsidRPr="007B4B66" w:rsidRDefault="00786C64" w:rsidP="007B4B6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lastRenderedPageBreak/>
        <w:t>ИЗВРШЕЊЕ И ИЗМЕНЕ УГОВОРА</w:t>
      </w:r>
    </w:p>
    <w:p w:rsidR="007B4B66" w:rsidRDefault="007B4B66" w:rsidP="003C3BC0">
      <w:pPr>
        <w:jc w:val="both"/>
        <w:rPr>
          <w:rFonts w:ascii="Times New Roman" w:hAnsi="Times New Roman" w:cs="Times New Roman"/>
          <w:sz w:val="24"/>
          <w:szCs w:val="24"/>
        </w:rPr>
      </w:pPr>
      <w:r w:rsidRPr="007B4B66">
        <w:rPr>
          <w:rFonts w:ascii="Times New Roman" w:hAnsi="Times New Roman" w:cs="Times New Roman"/>
          <w:sz w:val="24"/>
          <w:szCs w:val="24"/>
        </w:rPr>
        <w:t>Нови Закон о јавним набавкама предвидео је механизам праћења и контроле извршења уговора, што је била велика слабост у претходном периоду и што је стварало простор за бројне злоупотребе. Решење је да је наручилац у обавези да Одлуку о измени уговора објави на Порталу јавних набавки, уз истовремено достављање извештаја о измени уговора У</w:t>
      </w:r>
      <w:r w:rsidR="003D0488">
        <w:rPr>
          <w:rFonts w:ascii="Times New Roman" w:hAnsi="Times New Roman" w:cs="Times New Roman"/>
          <w:sz w:val="24"/>
          <w:szCs w:val="24"/>
        </w:rPr>
        <w:t>п</w:t>
      </w:r>
      <w:r w:rsidRPr="007B4B66">
        <w:rPr>
          <w:rFonts w:ascii="Times New Roman" w:hAnsi="Times New Roman" w:cs="Times New Roman"/>
          <w:sz w:val="24"/>
          <w:szCs w:val="24"/>
        </w:rPr>
        <w:t>рави за јавне набавке и Државној ревизорској институцији (ДРИ). На тај начин се значајно повећала транспарентност финалне фазе јавне набавке (реализације уговора) и омогућило реаговање на накнадна одступања од услова из конкурсне документације и уговора која су раније често била присутна, управо услед одсуства праћења и контроле. Уколико Управа или ДРИ утврде да је дошло до недозвољене промене уговора, Закон предвиђа да подносе прекршајне пријаве против наручиоца.</w:t>
      </w:r>
    </w:p>
    <w:p w:rsidR="0009577C" w:rsidRPr="0009577C" w:rsidRDefault="00DD7D04" w:rsidP="0009577C">
      <w:pPr>
        <w:jc w:val="both"/>
        <w:rPr>
          <w:rFonts w:ascii="Times New Roman" w:hAnsi="Times New Roman" w:cs="Times New Roman"/>
          <w:b/>
          <w:color w:val="FF0000"/>
          <w:sz w:val="24"/>
          <w:szCs w:val="24"/>
          <w:lang w:val="sr-Cyrl-RS"/>
        </w:rPr>
      </w:pPr>
      <w:r w:rsidRPr="00DD7D04">
        <w:rPr>
          <w:rFonts w:ascii="Times New Roman" w:hAnsi="Times New Roman" w:cs="Times New Roman"/>
          <w:sz w:val="24"/>
          <w:szCs w:val="24"/>
        </w:rPr>
        <w:t>У Табели</w:t>
      </w:r>
      <w:r w:rsidR="00ED277B">
        <w:rPr>
          <w:rFonts w:ascii="Times New Roman" w:hAnsi="Times New Roman" w:cs="Times New Roman"/>
          <w:sz w:val="24"/>
          <w:szCs w:val="24"/>
        </w:rPr>
        <w:t xml:space="preserve"> 9</w:t>
      </w:r>
      <w:r w:rsidR="004618C1">
        <w:rPr>
          <w:rFonts w:ascii="Times New Roman" w:hAnsi="Times New Roman" w:cs="Times New Roman"/>
          <w:sz w:val="24"/>
          <w:szCs w:val="24"/>
        </w:rPr>
        <w:t xml:space="preserve"> </w:t>
      </w:r>
      <w:r>
        <w:rPr>
          <w:rFonts w:ascii="Times New Roman" w:hAnsi="Times New Roman" w:cs="Times New Roman"/>
          <w:sz w:val="24"/>
          <w:szCs w:val="24"/>
        </w:rPr>
        <w:t xml:space="preserve">дати су подаци о броју реализованих уговора у </w:t>
      </w:r>
      <w:r w:rsidR="00ED277B">
        <w:rPr>
          <w:rFonts w:ascii="Times New Roman" w:hAnsi="Times New Roman" w:cs="Times New Roman"/>
          <w:sz w:val="24"/>
          <w:szCs w:val="24"/>
        </w:rPr>
        <w:t>2013. години</w:t>
      </w:r>
      <w:r>
        <w:rPr>
          <w:rFonts w:ascii="Times New Roman" w:hAnsi="Times New Roman" w:cs="Times New Roman"/>
          <w:sz w:val="24"/>
          <w:szCs w:val="24"/>
        </w:rPr>
        <w:t>, при чему се под реализованим уговором подр</w:t>
      </w:r>
      <w:r w:rsidR="002F4C79">
        <w:rPr>
          <w:rFonts w:ascii="Times New Roman" w:hAnsi="Times New Roman" w:cs="Times New Roman"/>
          <w:sz w:val="24"/>
          <w:szCs w:val="24"/>
        </w:rPr>
        <w:t>а</w:t>
      </w:r>
      <w:r>
        <w:rPr>
          <w:rFonts w:ascii="Times New Roman" w:hAnsi="Times New Roman" w:cs="Times New Roman"/>
          <w:sz w:val="24"/>
          <w:szCs w:val="24"/>
        </w:rPr>
        <w:t xml:space="preserve">зумева да је извршена исплата у целини (колона 2 </w:t>
      </w:r>
      <w:r w:rsidR="00A01819">
        <w:rPr>
          <w:rFonts w:ascii="Times New Roman" w:hAnsi="Times New Roman" w:cs="Times New Roman"/>
          <w:sz w:val="24"/>
          <w:szCs w:val="24"/>
        </w:rPr>
        <w:t xml:space="preserve">у Табели </w:t>
      </w:r>
      <w:r w:rsidR="00ED277B">
        <w:rPr>
          <w:rFonts w:ascii="Times New Roman" w:hAnsi="Times New Roman" w:cs="Times New Roman"/>
          <w:sz w:val="24"/>
          <w:szCs w:val="24"/>
        </w:rPr>
        <w:t>9</w:t>
      </w:r>
      <w:r w:rsidR="00A01819">
        <w:rPr>
          <w:rFonts w:ascii="Times New Roman" w:hAnsi="Times New Roman" w:cs="Times New Roman"/>
          <w:sz w:val="24"/>
          <w:szCs w:val="24"/>
        </w:rPr>
        <w:t xml:space="preserve">). Табела </w:t>
      </w:r>
      <w:r w:rsidR="00ED277B">
        <w:rPr>
          <w:rFonts w:ascii="Times New Roman" w:hAnsi="Times New Roman" w:cs="Times New Roman"/>
          <w:sz w:val="24"/>
          <w:szCs w:val="24"/>
        </w:rPr>
        <w:t>9</w:t>
      </w:r>
      <w:r w:rsidR="00A01819">
        <w:rPr>
          <w:rFonts w:ascii="Times New Roman" w:hAnsi="Times New Roman" w:cs="Times New Roman"/>
          <w:sz w:val="24"/>
          <w:szCs w:val="24"/>
        </w:rPr>
        <w:t xml:space="preserve"> такође са</w:t>
      </w:r>
      <w:r>
        <w:rPr>
          <w:rFonts w:ascii="Times New Roman" w:hAnsi="Times New Roman" w:cs="Times New Roman"/>
          <w:sz w:val="24"/>
          <w:szCs w:val="24"/>
        </w:rPr>
        <w:t xml:space="preserve">држи и податке о броју извршених измена уговора (колона 3). </w:t>
      </w:r>
      <w:r w:rsidR="002F4C79" w:rsidRPr="005047A3">
        <w:rPr>
          <w:rFonts w:ascii="Times New Roman" w:hAnsi="Times New Roman" w:cs="Times New Roman"/>
          <w:sz w:val="24"/>
          <w:szCs w:val="24"/>
        </w:rPr>
        <w:t>Произлази да је б</w:t>
      </w:r>
      <w:r w:rsidR="00ED277B" w:rsidRPr="005047A3">
        <w:rPr>
          <w:rFonts w:ascii="Times New Roman" w:hAnsi="Times New Roman" w:cs="Times New Roman"/>
          <w:sz w:val="24"/>
          <w:szCs w:val="24"/>
        </w:rPr>
        <w:t>рој измена уговора чинио свега 2</w:t>
      </w:r>
      <w:r w:rsidR="002F4C79" w:rsidRPr="005047A3">
        <w:rPr>
          <w:rFonts w:ascii="Times New Roman" w:hAnsi="Times New Roman" w:cs="Times New Roman"/>
          <w:sz w:val="24"/>
          <w:szCs w:val="24"/>
        </w:rPr>
        <w:t>% од укупног броја реализованих уговора у 2013. годин</w:t>
      </w:r>
      <w:r w:rsidR="00ED277B" w:rsidRPr="005047A3">
        <w:rPr>
          <w:rFonts w:ascii="Times New Roman" w:hAnsi="Times New Roman" w:cs="Times New Roman"/>
          <w:sz w:val="24"/>
          <w:szCs w:val="24"/>
        </w:rPr>
        <w:t>и</w:t>
      </w:r>
      <w:r w:rsidR="002F4C79" w:rsidRPr="005047A3">
        <w:rPr>
          <w:rFonts w:ascii="Times New Roman" w:hAnsi="Times New Roman" w:cs="Times New Roman"/>
          <w:sz w:val="24"/>
          <w:szCs w:val="24"/>
        </w:rPr>
        <w:t xml:space="preserve"> </w:t>
      </w:r>
      <w:r w:rsidRPr="005047A3">
        <w:rPr>
          <w:rFonts w:ascii="Times New Roman" w:hAnsi="Times New Roman" w:cs="Times New Roman"/>
          <w:sz w:val="24"/>
          <w:szCs w:val="24"/>
        </w:rPr>
        <w:t>(колона 4</w:t>
      </w:r>
      <w:r w:rsidR="002F4C79" w:rsidRPr="005047A3">
        <w:rPr>
          <w:rFonts w:ascii="Times New Roman" w:hAnsi="Times New Roman" w:cs="Times New Roman"/>
          <w:sz w:val="24"/>
          <w:szCs w:val="24"/>
        </w:rPr>
        <w:t xml:space="preserve">, Табела </w:t>
      </w:r>
      <w:r w:rsidR="00ED277B" w:rsidRPr="005047A3">
        <w:rPr>
          <w:rFonts w:ascii="Times New Roman" w:hAnsi="Times New Roman" w:cs="Times New Roman"/>
          <w:sz w:val="24"/>
          <w:szCs w:val="24"/>
        </w:rPr>
        <w:t>9</w:t>
      </w:r>
      <w:r w:rsidR="0009577C" w:rsidRPr="0009577C">
        <w:rPr>
          <w:rFonts w:ascii="Times New Roman" w:hAnsi="Times New Roman" w:cs="Times New Roman"/>
          <w:sz w:val="24"/>
          <w:szCs w:val="24"/>
          <w:lang w:val="sr-Cyrl-RS"/>
        </w:rPr>
        <w:t>).</w:t>
      </w:r>
    </w:p>
    <w:p w:rsidR="00DD7D04" w:rsidRPr="00D23077" w:rsidRDefault="00C41DA4" w:rsidP="00023ACB">
      <w:pPr>
        <w:rPr>
          <w:rFonts w:ascii="Times New Roman" w:hAnsi="Times New Roman" w:cs="Times New Roman"/>
          <w:b/>
          <w:sz w:val="24"/>
          <w:szCs w:val="24"/>
        </w:rPr>
      </w:pPr>
      <w:r w:rsidRPr="00D23077">
        <w:rPr>
          <w:rFonts w:ascii="Times New Roman" w:hAnsi="Times New Roman" w:cs="Times New Roman"/>
          <w:b/>
          <w:sz w:val="24"/>
          <w:szCs w:val="24"/>
        </w:rPr>
        <w:t>Табела</w:t>
      </w:r>
      <w:r w:rsidR="00ED277B" w:rsidRPr="00D23077">
        <w:rPr>
          <w:rFonts w:ascii="Times New Roman" w:hAnsi="Times New Roman" w:cs="Times New Roman"/>
          <w:b/>
          <w:sz w:val="24"/>
          <w:szCs w:val="24"/>
        </w:rPr>
        <w:t xml:space="preserve"> </w:t>
      </w:r>
      <w:r w:rsidRPr="00D23077">
        <w:rPr>
          <w:rFonts w:ascii="Times New Roman" w:hAnsi="Times New Roman" w:cs="Times New Roman"/>
          <w:b/>
          <w:sz w:val="24"/>
          <w:szCs w:val="24"/>
        </w:rPr>
        <w:t>9</w:t>
      </w:r>
    </w:p>
    <w:tbl>
      <w:tblPr>
        <w:tblpPr w:leftFromText="141" w:rightFromText="141" w:vertAnchor="text" w:horzAnchor="margin" w:tblpX="10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393"/>
        <w:gridCol w:w="2129"/>
        <w:gridCol w:w="2984"/>
      </w:tblGrid>
      <w:tr w:rsidR="008B2D94" w:rsidRPr="008B2D94" w:rsidTr="00651F8D">
        <w:trPr>
          <w:trHeight w:val="724"/>
        </w:trPr>
        <w:tc>
          <w:tcPr>
            <w:tcW w:w="11016" w:type="dxa"/>
            <w:gridSpan w:val="4"/>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8"/>
                <w:szCs w:val="28"/>
              </w:rPr>
            </w:pPr>
            <w:r w:rsidRPr="008B2D94">
              <w:rPr>
                <w:rFonts w:ascii="Times New Roman" w:eastAsia="Times New Roman" w:hAnsi="Times New Roman" w:cs="Times New Roman"/>
                <w:b/>
                <w:color w:val="000000"/>
                <w:sz w:val="28"/>
                <w:szCs w:val="28"/>
              </w:rPr>
              <w:t xml:space="preserve">Преглед измена извршених уговора по категоријама наручилаца </w:t>
            </w:r>
          </w:p>
          <w:p w:rsidR="008B2D94" w:rsidRPr="00B23311" w:rsidRDefault="00B23311" w:rsidP="007655FB">
            <w:pPr>
              <w:tabs>
                <w:tab w:val="left" w:pos="1885"/>
              </w:tabs>
              <w:spacing w:after="0" w:line="240" w:lineRule="auto"/>
              <w:jc w:val="center"/>
              <w:rPr>
                <w:rFonts w:ascii="Times New Roman" w:eastAsia="Times New Roman" w:hAnsi="Times New Roman" w:cs="Times New Roman"/>
                <w:b/>
                <w:color w:val="000000"/>
                <w:sz w:val="28"/>
                <w:szCs w:val="28"/>
                <w:lang w:val="sr-Cyrl-CS"/>
              </w:rPr>
            </w:pPr>
            <w:r>
              <w:rPr>
                <w:rFonts w:ascii="Times New Roman" w:eastAsia="Times New Roman" w:hAnsi="Times New Roman" w:cs="Times New Roman"/>
                <w:b/>
                <w:color w:val="000000"/>
                <w:sz w:val="28"/>
                <w:szCs w:val="28"/>
              </w:rPr>
              <w:t>у  2013. годин</w:t>
            </w:r>
            <w:r>
              <w:rPr>
                <w:rFonts w:ascii="Times New Roman" w:eastAsia="Times New Roman" w:hAnsi="Times New Roman" w:cs="Times New Roman"/>
                <w:b/>
                <w:color w:val="000000"/>
                <w:sz w:val="28"/>
                <w:szCs w:val="28"/>
                <w:lang w:val="sr-Cyrl-CS"/>
              </w:rPr>
              <w:t>и</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Категорија</w:t>
            </w:r>
          </w:p>
        </w:tc>
        <w:tc>
          <w:tcPr>
            <w:tcW w:w="2393" w:type="dxa"/>
            <w:shd w:val="clear" w:color="auto" w:fill="auto"/>
            <w:vAlign w:val="center"/>
          </w:tcPr>
          <w:p w:rsidR="008B2D94" w:rsidRPr="00175F3A" w:rsidRDefault="008B2D94" w:rsidP="00175F3A">
            <w:pPr>
              <w:tabs>
                <w:tab w:val="left" w:pos="1885"/>
              </w:tabs>
              <w:spacing w:after="0" w:line="240" w:lineRule="auto"/>
              <w:jc w:val="center"/>
              <w:rPr>
                <w:rFonts w:ascii="Times New Roman" w:eastAsia="Times New Roman" w:hAnsi="Times New Roman" w:cs="Times New Roman"/>
                <w:b/>
                <w:color w:val="000000"/>
                <w:sz w:val="24"/>
                <w:szCs w:val="20"/>
                <w:lang w:val="sr-Cyrl-RS"/>
              </w:rPr>
            </w:pPr>
            <w:r w:rsidRPr="008B2D94">
              <w:rPr>
                <w:rFonts w:ascii="Times New Roman" w:eastAsia="Times New Roman" w:hAnsi="Times New Roman" w:cs="Times New Roman"/>
                <w:b/>
                <w:color w:val="000000"/>
                <w:sz w:val="24"/>
                <w:szCs w:val="20"/>
              </w:rPr>
              <w:t>Број извршених уговора</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Број измена уговора</w:t>
            </w:r>
          </w:p>
        </w:tc>
        <w:tc>
          <w:tcPr>
            <w:tcW w:w="2984" w:type="dxa"/>
            <w:shd w:val="clear" w:color="auto" w:fill="auto"/>
            <w:vAlign w:val="center"/>
          </w:tcPr>
          <w:p w:rsidR="000145AE"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 xml:space="preserve">Просечан број измена </w:t>
            </w:r>
          </w:p>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по уговору</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Органи државне управе</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488</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16</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0,03</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Правосуђе</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35</w:t>
            </w:r>
          </w:p>
        </w:tc>
        <w:tc>
          <w:tcPr>
            <w:tcW w:w="0" w:type="auto"/>
            <w:shd w:val="clear" w:color="auto" w:fill="auto"/>
            <w:vAlign w:val="center"/>
          </w:tcPr>
          <w:p w:rsidR="008B2D94" w:rsidRPr="00A43B51" w:rsidRDefault="00A43B51" w:rsidP="007655FB">
            <w:pPr>
              <w:tabs>
                <w:tab w:val="left" w:pos="1885"/>
              </w:tabs>
              <w:spacing w:after="0" w:line="240" w:lineRule="auto"/>
              <w:jc w:val="center"/>
              <w:rPr>
                <w:rFonts w:ascii="Times New Roman" w:eastAsia="Times New Roman" w:hAnsi="Times New Roman" w:cs="Times New Roman"/>
                <w:color w:val="000000"/>
                <w:sz w:val="24"/>
                <w:szCs w:val="20"/>
                <w:lang w:val="sr-Cyrl-CS"/>
              </w:rPr>
            </w:pPr>
            <w:r>
              <w:rPr>
                <w:rFonts w:ascii="Times New Roman" w:eastAsia="Times New Roman" w:hAnsi="Times New Roman" w:cs="Times New Roman"/>
                <w:color w:val="000000"/>
                <w:sz w:val="24"/>
                <w:szCs w:val="20"/>
                <w:lang w:val="sr-Cyrl-CS"/>
              </w:rPr>
              <w:t>0</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Здравство и социјална заштита</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1.838</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53</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0,03</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Култура</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251</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w:t>
            </w:r>
            <w:r w:rsidR="005047A3">
              <w:rPr>
                <w:rFonts w:ascii="Times New Roman" w:eastAsia="Times New Roman" w:hAnsi="Times New Roman" w:cs="Times New Roman"/>
                <w:color w:val="000000"/>
                <w:sz w:val="24"/>
                <w:szCs w:val="20"/>
                <w:lang w:val="en-US"/>
              </w:rPr>
              <w:t>,003</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Просвета, наука и спорт</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160</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7</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0,04</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Државна јавна предузећа</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1.407</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15</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0,01</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Јавна предузећа-локална самоуправа</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1.420</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57</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0,04</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Градска и општинс</w:t>
            </w:r>
            <w:r w:rsidR="00651F8D">
              <w:rPr>
                <w:rFonts w:ascii="Times New Roman" w:eastAsia="Times New Roman" w:hAnsi="Times New Roman" w:cs="Times New Roman"/>
                <w:b/>
                <w:sz w:val="24"/>
                <w:szCs w:val="20"/>
              </w:rPr>
              <w:t>к</w:t>
            </w:r>
            <w:r w:rsidRPr="008B2D94">
              <w:rPr>
                <w:rFonts w:ascii="Times New Roman" w:eastAsia="Times New Roman" w:hAnsi="Times New Roman" w:cs="Times New Roman"/>
                <w:b/>
                <w:sz w:val="24"/>
                <w:szCs w:val="20"/>
              </w:rPr>
              <w:t>а управа</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224</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5</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0,02</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Укупно</w:t>
            </w:r>
          </w:p>
        </w:tc>
        <w:tc>
          <w:tcPr>
            <w:tcW w:w="2393" w:type="dxa"/>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5.823</w:t>
            </w:r>
          </w:p>
        </w:tc>
        <w:tc>
          <w:tcPr>
            <w:tcW w:w="0" w:type="auto"/>
            <w:shd w:val="clear" w:color="auto" w:fill="auto"/>
            <w:vAlign w:val="center"/>
          </w:tcPr>
          <w:p w:rsidR="008B2D94" w:rsidRPr="00697E66" w:rsidRDefault="00697E66"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154</w:t>
            </w:r>
          </w:p>
        </w:tc>
        <w:tc>
          <w:tcPr>
            <w:tcW w:w="2984" w:type="dxa"/>
            <w:shd w:val="clear" w:color="auto" w:fill="auto"/>
            <w:vAlign w:val="center"/>
          </w:tcPr>
          <w:p w:rsidR="008B2D94" w:rsidRPr="00471ACE" w:rsidRDefault="00471ACE" w:rsidP="007655FB">
            <w:pPr>
              <w:tabs>
                <w:tab w:val="left" w:pos="1885"/>
              </w:tabs>
              <w:spacing w:after="0" w:line="240" w:lineRule="auto"/>
              <w:jc w:val="center"/>
              <w:rPr>
                <w:rFonts w:ascii="Times New Roman" w:eastAsia="Times New Roman" w:hAnsi="Times New Roman" w:cs="Times New Roman"/>
                <w:color w:val="000000"/>
                <w:sz w:val="24"/>
                <w:szCs w:val="20"/>
                <w:lang w:val="en-US"/>
              </w:rPr>
            </w:pPr>
            <w:r>
              <w:rPr>
                <w:rFonts w:ascii="Times New Roman" w:eastAsia="Times New Roman" w:hAnsi="Times New Roman" w:cs="Times New Roman"/>
                <w:color w:val="000000"/>
                <w:sz w:val="24"/>
                <w:szCs w:val="20"/>
                <w:lang w:val="en-US"/>
              </w:rPr>
              <w:t>0,02</w:t>
            </w:r>
          </w:p>
        </w:tc>
      </w:tr>
    </w:tbl>
    <w:p w:rsidR="007B4B66" w:rsidRDefault="007B4B66" w:rsidP="008B1816">
      <w:pPr>
        <w:rPr>
          <w:rFonts w:ascii="Times New Roman" w:hAnsi="Times New Roman" w:cs="Times New Roman"/>
          <w:b/>
          <w:sz w:val="24"/>
          <w:szCs w:val="24"/>
          <w:lang w:val="sr-Cyrl-RS"/>
        </w:rPr>
      </w:pPr>
    </w:p>
    <w:p w:rsidR="00637BC6" w:rsidRPr="003C3BC0" w:rsidRDefault="00637BC6" w:rsidP="003C3BC0">
      <w:pPr>
        <w:pStyle w:val="ListParagraph"/>
        <w:numPr>
          <w:ilvl w:val="0"/>
          <w:numId w:val="2"/>
        </w:numPr>
        <w:rPr>
          <w:rFonts w:ascii="Times New Roman" w:hAnsi="Times New Roman" w:cs="Times New Roman"/>
          <w:b/>
          <w:sz w:val="24"/>
          <w:szCs w:val="24"/>
        </w:rPr>
      </w:pPr>
      <w:r w:rsidRPr="003C3BC0">
        <w:rPr>
          <w:rFonts w:ascii="Times New Roman" w:hAnsi="Times New Roman" w:cs="Times New Roman"/>
          <w:b/>
          <w:sz w:val="24"/>
          <w:szCs w:val="24"/>
        </w:rPr>
        <w:t>ИСХОДИ ПОСТУПАКА</w:t>
      </w:r>
    </w:p>
    <w:p w:rsidR="00D14DA3" w:rsidRDefault="00637BC6" w:rsidP="00D23077">
      <w:pPr>
        <w:jc w:val="both"/>
        <w:rPr>
          <w:rFonts w:ascii="Times New Roman" w:hAnsi="Times New Roman" w:cs="Times New Roman"/>
          <w:b/>
          <w:sz w:val="24"/>
          <w:szCs w:val="24"/>
        </w:rPr>
      </w:pPr>
      <w:r>
        <w:rPr>
          <w:rFonts w:ascii="Times New Roman" w:hAnsi="Times New Roman" w:cs="Times New Roman"/>
          <w:sz w:val="24"/>
          <w:szCs w:val="24"/>
        </w:rPr>
        <w:t xml:space="preserve">Преглед исхода поступака јавних набавки у </w:t>
      </w:r>
      <w:r w:rsidR="00ED277B">
        <w:rPr>
          <w:rFonts w:ascii="Times New Roman" w:hAnsi="Times New Roman" w:cs="Times New Roman"/>
          <w:sz w:val="24"/>
          <w:szCs w:val="24"/>
        </w:rPr>
        <w:t>2013. години</w:t>
      </w:r>
      <w:r>
        <w:rPr>
          <w:rFonts w:ascii="Times New Roman" w:hAnsi="Times New Roman" w:cs="Times New Roman"/>
          <w:sz w:val="24"/>
          <w:szCs w:val="24"/>
        </w:rPr>
        <w:t xml:space="preserve"> (Табела </w:t>
      </w:r>
      <w:r w:rsidR="00072DBF">
        <w:rPr>
          <w:rFonts w:ascii="Times New Roman" w:hAnsi="Times New Roman" w:cs="Times New Roman"/>
          <w:sz w:val="24"/>
          <w:szCs w:val="24"/>
        </w:rPr>
        <w:t>10</w:t>
      </w:r>
      <w:r w:rsidR="00A92087">
        <w:rPr>
          <w:rFonts w:ascii="Times New Roman" w:hAnsi="Times New Roman" w:cs="Times New Roman"/>
          <w:sz w:val="24"/>
          <w:szCs w:val="24"/>
        </w:rPr>
        <w:t>, С</w:t>
      </w:r>
      <w:r w:rsidR="00120C2B">
        <w:rPr>
          <w:rFonts w:ascii="Times New Roman" w:hAnsi="Times New Roman" w:cs="Times New Roman"/>
          <w:sz w:val="24"/>
          <w:szCs w:val="24"/>
        </w:rPr>
        <w:t>лика 1</w:t>
      </w:r>
      <w:r w:rsidR="00072DBF">
        <w:rPr>
          <w:rFonts w:ascii="Times New Roman" w:hAnsi="Times New Roman" w:cs="Times New Roman"/>
          <w:sz w:val="24"/>
          <w:szCs w:val="24"/>
        </w:rPr>
        <w:t>7</w:t>
      </w:r>
      <w:r>
        <w:rPr>
          <w:rFonts w:ascii="Times New Roman" w:hAnsi="Times New Roman" w:cs="Times New Roman"/>
          <w:sz w:val="24"/>
          <w:szCs w:val="24"/>
        </w:rPr>
        <w:t xml:space="preserve">) показује да је </w:t>
      </w:r>
      <w:r w:rsidR="00E9515B">
        <w:rPr>
          <w:rFonts w:ascii="Times New Roman" w:hAnsi="Times New Roman" w:cs="Times New Roman"/>
          <w:sz w:val="24"/>
          <w:szCs w:val="24"/>
        </w:rPr>
        <w:t>8</w:t>
      </w:r>
      <w:r w:rsidR="00072DBF">
        <w:rPr>
          <w:rFonts w:ascii="Times New Roman" w:hAnsi="Times New Roman" w:cs="Times New Roman"/>
          <w:sz w:val="24"/>
          <w:szCs w:val="24"/>
        </w:rPr>
        <w:t>9</w:t>
      </w:r>
      <w:r w:rsidR="00E9515B">
        <w:rPr>
          <w:rFonts w:ascii="Times New Roman" w:hAnsi="Times New Roman" w:cs="Times New Roman"/>
          <w:sz w:val="24"/>
          <w:szCs w:val="24"/>
        </w:rPr>
        <w:t xml:space="preserve">% </w:t>
      </w:r>
      <w:r>
        <w:rPr>
          <w:rFonts w:ascii="Times New Roman" w:hAnsi="Times New Roman" w:cs="Times New Roman"/>
          <w:sz w:val="24"/>
          <w:szCs w:val="24"/>
        </w:rPr>
        <w:t>запо</w:t>
      </w:r>
      <w:r w:rsidR="005F5974">
        <w:rPr>
          <w:rFonts w:ascii="Times New Roman" w:hAnsi="Times New Roman" w:cs="Times New Roman"/>
          <w:sz w:val="24"/>
          <w:szCs w:val="24"/>
        </w:rPr>
        <w:t>четих поступака успешно окончано</w:t>
      </w:r>
      <w:r>
        <w:rPr>
          <w:rFonts w:ascii="Times New Roman" w:hAnsi="Times New Roman" w:cs="Times New Roman"/>
          <w:sz w:val="24"/>
          <w:szCs w:val="24"/>
        </w:rPr>
        <w:t xml:space="preserve">. </w:t>
      </w:r>
      <w:r w:rsidR="007A00D3">
        <w:rPr>
          <w:rFonts w:ascii="Times New Roman" w:hAnsi="Times New Roman" w:cs="Times New Roman"/>
          <w:sz w:val="24"/>
          <w:szCs w:val="24"/>
        </w:rPr>
        <w:t>У</w:t>
      </w:r>
      <w:r w:rsidR="00384FE1">
        <w:rPr>
          <w:rFonts w:ascii="Times New Roman" w:hAnsi="Times New Roman" w:cs="Times New Roman"/>
          <w:sz w:val="24"/>
          <w:szCs w:val="24"/>
        </w:rPr>
        <w:t xml:space="preserve"> </w:t>
      </w:r>
      <w:r w:rsidR="00384FE1">
        <w:rPr>
          <w:rFonts w:ascii="Times New Roman" w:hAnsi="Times New Roman" w:cs="Times New Roman"/>
          <w:sz w:val="24"/>
          <w:szCs w:val="24"/>
          <w:lang w:val="sr-Cyrl-RS"/>
        </w:rPr>
        <w:t xml:space="preserve">случају да </w:t>
      </w:r>
      <w:r w:rsidR="007A00D3">
        <w:rPr>
          <w:rFonts w:ascii="Times New Roman" w:hAnsi="Times New Roman" w:cs="Times New Roman"/>
          <w:sz w:val="24"/>
          <w:szCs w:val="24"/>
        </w:rPr>
        <w:t xml:space="preserve"> је набавка подељена по партијама, успешно спроведеном набавком се сматра уколико је </w:t>
      </w:r>
      <w:r w:rsidR="00B26AAA">
        <w:rPr>
          <w:rFonts w:ascii="Times New Roman" w:hAnsi="Times New Roman" w:cs="Times New Roman"/>
          <w:sz w:val="24"/>
          <w:szCs w:val="24"/>
        </w:rPr>
        <w:t xml:space="preserve">за </w:t>
      </w:r>
      <w:r w:rsidR="007A00D3">
        <w:rPr>
          <w:rFonts w:ascii="Times New Roman" w:hAnsi="Times New Roman" w:cs="Times New Roman"/>
          <w:sz w:val="24"/>
          <w:szCs w:val="24"/>
        </w:rPr>
        <w:t>најмање 50% парт</w:t>
      </w:r>
      <w:r w:rsidR="00D23077">
        <w:rPr>
          <w:rFonts w:ascii="Times New Roman" w:hAnsi="Times New Roman" w:cs="Times New Roman"/>
          <w:sz w:val="24"/>
          <w:szCs w:val="24"/>
        </w:rPr>
        <w:t>ија успешно спроведен поступак.</w:t>
      </w:r>
    </w:p>
    <w:p w:rsidR="0009577C" w:rsidRDefault="00D23077" w:rsidP="00645020">
      <w:pP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p>
    <w:p w:rsidR="0009577C" w:rsidRDefault="0009577C" w:rsidP="00645020">
      <w:pPr>
        <w:rPr>
          <w:rFonts w:ascii="Times New Roman" w:hAnsi="Times New Roman" w:cs="Times New Roman"/>
          <w:b/>
          <w:sz w:val="24"/>
          <w:szCs w:val="24"/>
          <w:lang w:val="sr-Cyrl-RS"/>
        </w:rPr>
      </w:pPr>
    </w:p>
    <w:p w:rsidR="0009577C" w:rsidRDefault="0009577C" w:rsidP="00645020">
      <w:pPr>
        <w:rPr>
          <w:rFonts w:ascii="Times New Roman" w:hAnsi="Times New Roman" w:cs="Times New Roman"/>
          <w:b/>
          <w:sz w:val="24"/>
          <w:szCs w:val="24"/>
          <w:lang w:val="sr-Cyrl-RS"/>
        </w:rPr>
      </w:pPr>
    </w:p>
    <w:p w:rsidR="00637BC6" w:rsidRPr="00D23077" w:rsidRDefault="0009577C" w:rsidP="0009577C">
      <w:pPr>
        <w:rPr>
          <w:rFonts w:ascii="Times New Roman" w:hAnsi="Times New Roman" w:cs="Times New Roman"/>
          <w:b/>
          <w:sz w:val="24"/>
          <w:szCs w:val="24"/>
        </w:rPr>
      </w:pPr>
      <w:r>
        <w:rPr>
          <w:rFonts w:ascii="Times New Roman" w:hAnsi="Times New Roman" w:cs="Times New Roman"/>
          <w:b/>
          <w:sz w:val="24"/>
          <w:szCs w:val="24"/>
          <w:lang w:val="sr-Cyrl-RS"/>
        </w:rPr>
        <w:lastRenderedPageBreak/>
        <w:t xml:space="preserve">                    </w:t>
      </w:r>
      <w:r w:rsidR="00637BC6" w:rsidRPr="00D23077">
        <w:rPr>
          <w:rFonts w:ascii="Times New Roman" w:hAnsi="Times New Roman" w:cs="Times New Roman"/>
          <w:b/>
          <w:sz w:val="24"/>
          <w:szCs w:val="24"/>
        </w:rPr>
        <w:t xml:space="preserve">Табела </w:t>
      </w:r>
      <w:r w:rsidR="00C41DA4" w:rsidRPr="00D23077">
        <w:rPr>
          <w:rFonts w:ascii="Times New Roman" w:hAnsi="Times New Roman" w:cs="Times New Roman"/>
          <w:b/>
          <w:sz w:val="24"/>
          <w:szCs w:val="24"/>
        </w:rPr>
        <w:t>10</w:t>
      </w:r>
    </w:p>
    <w:tbl>
      <w:tblPr>
        <w:tblW w:w="0" w:type="auto"/>
        <w:jc w:val="center"/>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336"/>
        <w:gridCol w:w="1015"/>
        <w:gridCol w:w="1336"/>
        <w:gridCol w:w="1015"/>
        <w:gridCol w:w="1047"/>
        <w:gridCol w:w="966"/>
      </w:tblGrid>
      <w:tr w:rsidR="00426199" w:rsidRPr="00426199" w:rsidTr="002F2F7D">
        <w:trPr>
          <w:trHeight w:val="615"/>
          <w:jc w:val="center"/>
        </w:trPr>
        <w:tc>
          <w:tcPr>
            <w:tcW w:w="8403" w:type="dxa"/>
            <w:gridSpan w:val="7"/>
            <w:shd w:val="clear" w:color="auto" w:fill="auto"/>
            <w:vAlign w:val="center"/>
          </w:tcPr>
          <w:p w:rsidR="00426199" w:rsidRPr="006659B3" w:rsidRDefault="00426199" w:rsidP="007655FB">
            <w:pPr>
              <w:tabs>
                <w:tab w:val="left" w:pos="1885"/>
              </w:tabs>
              <w:jc w:val="center"/>
              <w:rPr>
                <w:rFonts w:ascii="Times New Roman" w:hAnsi="Times New Roman" w:cs="Times New Roman"/>
                <w:b/>
                <w:sz w:val="24"/>
                <w:szCs w:val="24"/>
                <w:lang w:val="sr-Cyrl-CS"/>
              </w:rPr>
            </w:pPr>
            <w:r w:rsidRPr="00426199">
              <w:rPr>
                <w:rFonts w:ascii="Times New Roman" w:hAnsi="Times New Roman" w:cs="Times New Roman"/>
                <w:b/>
                <w:sz w:val="24"/>
                <w:szCs w:val="24"/>
              </w:rPr>
              <w:t>Преглед исхо</w:t>
            </w:r>
            <w:r w:rsidR="006659B3">
              <w:rPr>
                <w:rFonts w:ascii="Times New Roman" w:hAnsi="Times New Roman" w:cs="Times New Roman"/>
                <w:b/>
                <w:sz w:val="24"/>
                <w:szCs w:val="24"/>
              </w:rPr>
              <w:t>да поступака у  2013. годин</w:t>
            </w:r>
            <w:r w:rsidR="006659B3">
              <w:rPr>
                <w:rFonts w:ascii="Times New Roman" w:hAnsi="Times New Roman" w:cs="Times New Roman"/>
                <w:b/>
                <w:sz w:val="24"/>
                <w:szCs w:val="24"/>
                <w:lang w:val="sr-Cyrl-CS"/>
              </w:rPr>
              <w:t>и</w:t>
            </w:r>
          </w:p>
        </w:tc>
      </w:tr>
      <w:tr w:rsidR="00426199" w:rsidRPr="00426199" w:rsidTr="007655FB">
        <w:trPr>
          <w:trHeight w:val="981"/>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Исход поступка</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Број поступака велике вредности</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Број поступака мале вредности</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Укупно</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r>
      <w:tr w:rsidR="00426199" w:rsidRPr="00426199" w:rsidTr="006659B3">
        <w:trPr>
          <w:trHeight w:val="699"/>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Успешно спроведени</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18.713</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83</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37.792</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93</w:t>
            </w:r>
          </w:p>
        </w:tc>
        <w:tc>
          <w:tcPr>
            <w:tcW w:w="1047"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56.505</w:t>
            </w:r>
          </w:p>
        </w:tc>
        <w:tc>
          <w:tcPr>
            <w:tcW w:w="96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89</w:t>
            </w:r>
          </w:p>
        </w:tc>
      </w:tr>
      <w:tr w:rsidR="00426199" w:rsidRPr="00426199" w:rsidTr="006659B3">
        <w:trPr>
          <w:trHeight w:val="486"/>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Обустављени</w:t>
            </w:r>
          </w:p>
        </w:tc>
        <w:tc>
          <w:tcPr>
            <w:tcW w:w="1336" w:type="dxa"/>
            <w:shd w:val="clear" w:color="auto" w:fill="auto"/>
            <w:vAlign w:val="center"/>
          </w:tcPr>
          <w:p w:rsidR="006659B3"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3.340</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15</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2.708</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7</w:t>
            </w:r>
          </w:p>
        </w:tc>
        <w:tc>
          <w:tcPr>
            <w:tcW w:w="1047"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6.048</w:t>
            </w:r>
          </w:p>
        </w:tc>
        <w:tc>
          <w:tcPr>
            <w:tcW w:w="96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10</w:t>
            </w:r>
          </w:p>
        </w:tc>
      </w:tr>
      <w:tr w:rsidR="00426199" w:rsidRPr="00426199" w:rsidTr="006659B3">
        <w:trPr>
          <w:trHeight w:val="776"/>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Поништени делимично</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206</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102</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0</w:t>
            </w:r>
          </w:p>
        </w:tc>
        <w:tc>
          <w:tcPr>
            <w:tcW w:w="1047"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308</w:t>
            </w:r>
          </w:p>
        </w:tc>
        <w:tc>
          <w:tcPr>
            <w:tcW w:w="96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0</w:t>
            </w:r>
          </w:p>
        </w:tc>
      </w:tr>
      <w:tr w:rsidR="00426199" w:rsidRPr="00426199" w:rsidTr="006659B3">
        <w:trPr>
          <w:trHeight w:val="762"/>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Поништени у целини</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211</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132</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0</w:t>
            </w:r>
          </w:p>
        </w:tc>
        <w:tc>
          <w:tcPr>
            <w:tcW w:w="1047"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343</w:t>
            </w:r>
          </w:p>
        </w:tc>
        <w:tc>
          <w:tcPr>
            <w:tcW w:w="966" w:type="dxa"/>
            <w:shd w:val="clear" w:color="auto" w:fill="auto"/>
            <w:vAlign w:val="center"/>
          </w:tcPr>
          <w:p w:rsidR="00426199" w:rsidRPr="006659B3" w:rsidRDefault="006659B3" w:rsidP="006659B3">
            <w:pPr>
              <w:tabs>
                <w:tab w:val="left" w:pos="1885"/>
              </w:tabs>
              <w:jc w:val="center"/>
              <w:rPr>
                <w:rFonts w:ascii="Times New Roman" w:hAnsi="Times New Roman" w:cs="Times New Roman"/>
                <w:lang w:val="sr-Cyrl-CS"/>
              </w:rPr>
            </w:pPr>
            <w:r>
              <w:rPr>
                <w:rFonts w:ascii="Times New Roman" w:hAnsi="Times New Roman" w:cs="Times New Roman"/>
                <w:lang w:val="sr-Cyrl-CS"/>
              </w:rPr>
              <w:t>1</w:t>
            </w:r>
          </w:p>
        </w:tc>
      </w:tr>
      <w:tr w:rsidR="00426199" w:rsidRPr="00426199" w:rsidTr="006659B3">
        <w:trPr>
          <w:trHeight w:val="262"/>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Укупно</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22.470</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100</w:t>
            </w:r>
          </w:p>
        </w:tc>
        <w:tc>
          <w:tcPr>
            <w:tcW w:w="1336"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40.734</w:t>
            </w:r>
          </w:p>
        </w:tc>
        <w:tc>
          <w:tcPr>
            <w:tcW w:w="1015"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100</w:t>
            </w:r>
          </w:p>
        </w:tc>
        <w:tc>
          <w:tcPr>
            <w:tcW w:w="1047"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63.204</w:t>
            </w:r>
          </w:p>
        </w:tc>
        <w:tc>
          <w:tcPr>
            <w:tcW w:w="966" w:type="dxa"/>
            <w:shd w:val="clear" w:color="auto" w:fill="auto"/>
            <w:vAlign w:val="center"/>
          </w:tcPr>
          <w:p w:rsidR="00426199" w:rsidRPr="006659B3" w:rsidRDefault="006659B3" w:rsidP="006659B3">
            <w:pPr>
              <w:tabs>
                <w:tab w:val="left" w:pos="1885"/>
              </w:tabs>
              <w:jc w:val="center"/>
              <w:rPr>
                <w:rFonts w:ascii="Times New Roman" w:hAnsi="Times New Roman" w:cs="Times New Roman"/>
                <w:b/>
                <w:lang w:val="sr-Cyrl-CS"/>
              </w:rPr>
            </w:pPr>
            <w:r>
              <w:rPr>
                <w:rFonts w:ascii="Times New Roman" w:hAnsi="Times New Roman" w:cs="Times New Roman"/>
                <w:b/>
                <w:lang w:val="sr-Cyrl-CS"/>
              </w:rPr>
              <w:t>100</w:t>
            </w:r>
          </w:p>
        </w:tc>
      </w:tr>
    </w:tbl>
    <w:p w:rsidR="00D14DA3" w:rsidRDefault="00D14DA3" w:rsidP="009B3038">
      <w:pPr>
        <w:jc w:val="center"/>
        <w:rPr>
          <w:rFonts w:ascii="Times New Roman" w:hAnsi="Times New Roman" w:cs="Times New Roman"/>
          <w:b/>
          <w:sz w:val="24"/>
          <w:szCs w:val="24"/>
        </w:rPr>
      </w:pPr>
    </w:p>
    <w:p w:rsidR="008B1816" w:rsidRPr="00D23077" w:rsidRDefault="008B1816" w:rsidP="009B3038">
      <w:pPr>
        <w:jc w:val="center"/>
        <w:rPr>
          <w:rFonts w:ascii="Times New Roman" w:hAnsi="Times New Roman" w:cs="Times New Roman"/>
          <w:b/>
          <w:sz w:val="24"/>
          <w:szCs w:val="24"/>
        </w:rPr>
      </w:pPr>
      <w:r w:rsidRPr="00D23077">
        <w:rPr>
          <w:rFonts w:ascii="Times New Roman" w:hAnsi="Times New Roman" w:cs="Times New Roman"/>
          <w:b/>
          <w:sz w:val="24"/>
          <w:szCs w:val="24"/>
        </w:rPr>
        <w:t>С</w:t>
      </w:r>
      <w:r w:rsidR="005F5974" w:rsidRPr="00D23077">
        <w:rPr>
          <w:rFonts w:ascii="Times New Roman" w:hAnsi="Times New Roman" w:cs="Times New Roman"/>
          <w:b/>
          <w:sz w:val="24"/>
          <w:szCs w:val="24"/>
        </w:rPr>
        <w:t xml:space="preserve">лика </w:t>
      </w:r>
      <w:r w:rsidR="00C41DA4" w:rsidRPr="00D23077">
        <w:rPr>
          <w:rFonts w:ascii="Times New Roman" w:hAnsi="Times New Roman" w:cs="Times New Roman"/>
          <w:b/>
          <w:sz w:val="24"/>
          <w:szCs w:val="24"/>
        </w:rPr>
        <w:t>1</w:t>
      </w:r>
      <w:r w:rsidR="00072DBF" w:rsidRPr="00D23077">
        <w:rPr>
          <w:rFonts w:ascii="Times New Roman" w:hAnsi="Times New Roman" w:cs="Times New Roman"/>
          <w:b/>
          <w:sz w:val="24"/>
          <w:szCs w:val="24"/>
        </w:rPr>
        <w:t>7</w:t>
      </w:r>
    </w:p>
    <w:bookmarkStart w:id="16" w:name="_MON_1455086811"/>
    <w:bookmarkEnd w:id="16"/>
    <w:p w:rsidR="00637BC6" w:rsidRDefault="00EA4DF7" w:rsidP="008B1816">
      <w:pPr>
        <w:jc w:val="center"/>
      </w:pPr>
      <w:r w:rsidRPr="00A94CAE">
        <w:object w:dxaOrig="6712" w:dyaOrig="6255">
          <v:shape id="_x0000_i1040" type="#_x0000_t75" style="width:351.85pt;height:283.25pt" o:ole="">
            <v:imagedata r:id="rId47" o:title=""/>
            <o:lock v:ext="edit" aspectratio="f"/>
          </v:shape>
          <o:OLEObject Type="Embed" ProgID="Excel.Sheet.12" ShapeID="_x0000_i1040" DrawAspect="Content" ObjectID="_1461145255" r:id="rId48"/>
        </w:object>
      </w:r>
    </w:p>
    <w:p w:rsidR="00367F37" w:rsidRPr="00D14DA3" w:rsidRDefault="007A00D3" w:rsidP="008B1816">
      <w:pPr>
        <w:jc w:val="both"/>
        <w:rPr>
          <w:rFonts w:ascii="Times New Roman" w:hAnsi="Times New Roman" w:cs="Times New Roman"/>
          <w:sz w:val="24"/>
          <w:szCs w:val="24"/>
        </w:rPr>
      </w:pPr>
      <w:r>
        <w:rPr>
          <w:rFonts w:ascii="Times New Roman" w:hAnsi="Times New Roman" w:cs="Times New Roman"/>
          <w:sz w:val="24"/>
          <w:szCs w:val="24"/>
        </w:rPr>
        <w:t>Наручиоци су сами обуставили 1</w:t>
      </w:r>
      <w:r w:rsidR="00072DBF">
        <w:rPr>
          <w:rFonts w:ascii="Times New Roman" w:hAnsi="Times New Roman" w:cs="Times New Roman"/>
          <w:sz w:val="24"/>
          <w:szCs w:val="24"/>
        </w:rPr>
        <w:t>0</w:t>
      </w:r>
      <w:r>
        <w:rPr>
          <w:rFonts w:ascii="Times New Roman" w:hAnsi="Times New Roman" w:cs="Times New Roman"/>
          <w:sz w:val="24"/>
          <w:szCs w:val="24"/>
        </w:rPr>
        <w:t xml:space="preserve">% поступака, најчешће </w:t>
      </w:r>
      <w:r w:rsidR="00A92087">
        <w:rPr>
          <w:rFonts w:ascii="Times New Roman" w:hAnsi="Times New Roman" w:cs="Times New Roman"/>
          <w:sz w:val="24"/>
          <w:szCs w:val="24"/>
        </w:rPr>
        <w:t>зато што су доби</w:t>
      </w:r>
      <w:r w:rsidR="00B26AAA">
        <w:rPr>
          <w:rFonts w:ascii="Times New Roman" w:hAnsi="Times New Roman" w:cs="Times New Roman"/>
          <w:sz w:val="24"/>
          <w:szCs w:val="24"/>
        </w:rPr>
        <w:t>ја</w:t>
      </w:r>
      <w:r w:rsidR="00A92087">
        <w:rPr>
          <w:rFonts w:ascii="Times New Roman" w:hAnsi="Times New Roman" w:cs="Times New Roman"/>
          <w:sz w:val="24"/>
          <w:szCs w:val="24"/>
        </w:rPr>
        <w:t>ли неисправне, неодговарајуће и неприхватљиве понуде (Слика 1</w:t>
      </w:r>
      <w:r w:rsidR="00072DBF">
        <w:rPr>
          <w:rFonts w:ascii="Times New Roman" w:hAnsi="Times New Roman" w:cs="Times New Roman"/>
          <w:sz w:val="24"/>
          <w:szCs w:val="24"/>
        </w:rPr>
        <w:t>8</w:t>
      </w:r>
      <w:r w:rsidR="00A92087">
        <w:rPr>
          <w:rFonts w:ascii="Times New Roman" w:hAnsi="Times New Roman" w:cs="Times New Roman"/>
          <w:sz w:val="24"/>
          <w:szCs w:val="24"/>
        </w:rPr>
        <w:t>).</w:t>
      </w:r>
    </w:p>
    <w:p w:rsidR="00D23077" w:rsidRPr="00D23077" w:rsidRDefault="008B1816" w:rsidP="00D23077">
      <w:pPr>
        <w:jc w:val="center"/>
        <w:rPr>
          <w:rFonts w:ascii="Times New Roman" w:hAnsi="Times New Roman" w:cs="Times New Roman"/>
          <w:b/>
          <w:sz w:val="24"/>
          <w:szCs w:val="24"/>
          <w:lang w:val="sr-Cyrl-RS"/>
        </w:rPr>
      </w:pPr>
      <w:r w:rsidRPr="00D23077">
        <w:rPr>
          <w:rFonts w:ascii="Times New Roman" w:hAnsi="Times New Roman" w:cs="Times New Roman"/>
          <w:b/>
          <w:sz w:val="24"/>
          <w:szCs w:val="24"/>
        </w:rPr>
        <w:lastRenderedPageBreak/>
        <w:t>Слика</w:t>
      </w:r>
      <w:r w:rsidR="00072DBF" w:rsidRPr="00D23077">
        <w:rPr>
          <w:rFonts w:ascii="Times New Roman" w:hAnsi="Times New Roman" w:cs="Times New Roman"/>
          <w:b/>
          <w:sz w:val="24"/>
          <w:szCs w:val="24"/>
        </w:rPr>
        <w:t xml:space="preserve"> 18</w:t>
      </w:r>
    </w:p>
    <w:p w:rsidR="00A92087" w:rsidRPr="008B1816" w:rsidRDefault="00EA4DF7" w:rsidP="008B1816">
      <w:pPr>
        <w:jc w:val="center"/>
        <w:rPr>
          <w:rFonts w:ascii="Times New Roman" w:hAnsi="Times New Roman" w:cs="Times New Roman"/>
          <w:b/>
          <w:sz w:val="24"/>
          <w:szCs w:val="24"/>
        </w:rPr>
      </w:pPr>
      <w:r w:rsidRPr="00561134">
        <w:rPr>
          <w:rFonts w:ascii="Times New Roman" w:hAnsi="Times New Roman" w:cs="Times New Roman"/>
          <w:noProof/>
          <w:sz w:val="24"/>
          <w:szCs w:val="24"/>
        </w:rPr>
        <w:object w:dxaOrig="8895" w:dyaOrig="6910">
          <v:shape id="_x0000_i1041" type="#_x0000_t75" style="width:443.55pt;height:325.35pt" o:ole="">
            <v:imagedata r:id="rId49" o:title=""/>
          </v:shape>
          <o:OLEObject Type="Embed" ProgID="Excel.Sheet.12" ShapeID="_x0000_i1041" DrawAspect="Content" ObjectID="_1461145256" r:id="rId50"/>
        </w:object>
      </w:r>
    </w:p>
    <w:p w:rsidR="00AA7DBD" w:rsidRDefault="00AA7DBD" w:rsidP="00BB64E7">
      <w:pPr>
        <w:jc w:val="both"/>
        <w:rPr>
          <w:rFonts w:ascii="Times New Roman" w:hAnsi="Times New Roman" w:cs="Times New Roman"/>
          <w:sz w:val="24"/>
          <w:szCs w:val="24"/>
        </w:rPr>
      </w:pPr>
      <w:r>
        <w:rPr>
          <w:rFonts w:ascii="Times New Roman" w:hAnsi="Times New Roman" w:cs="Times New Roman"/>
          <w:sz w:val="24"/>
          <w:szCs w:val="24"/>
        </w:rPr>
        <w:t>Осталих основа за обуставу поступка, који у збиру чине 3</w:t>
      </w:r>
      <w:r w:rsidR="00072DBF">
        <w:rPr>
          <w:rFonts w:ascii="Times New Roman" w:hAnsi="Times New Roman" w:cs="Times New Roman"/>
          <w:sz w:val="24"/>
          <w:szCs w:val="24"/>
        </w:rPr>
        <w:t>5</w:t>
      </w:r>
      <w:r>
        <w:rPr>
          <w:rFonts w:ascii="Times New Roman" w:hAnsi="Times New Roman" w:cs="Times New Roman"/>
          <w:sz w:val="24"/>
          <w:szCs w:val="24"/>
        </w:rPr>
        <w:t xml:space="preserve">%, има укупно 20 од којих највећи има учешће од 1,3%, па због ниског релативног значаја нису </w:t>
      </w:r>
      <w:r w:rsidR="00A01819">
        <w:rPr>
          <w:rFonts w:ascii="Times New Roman" w:hAnsi="Times New Roman" w:cs="Times New Roman"/>
          <w:sz w:val="24"/>
          <w:szCs w:val="24"/>
        </w:rPr>
        <w:t xml:space="preserve">појединачно </w:t>
      </w:r>
      <w:r>
        <w:rPr>
          <w:rFonts w:ascii="Times New Roman" w:hAnsi="Times New Roman" w:cs="Times New Roman"/>
          <w:sz w:val="24"/>
          <w:szCs w:val="24"/>
        </w:rPr>
        <w:t>нав</w:t>
      </w:r>
      <w:r w:rsidR="00A01819">
        <w:rPr>
          <w:rFonts w:ascii="Times New Roman" w:hAnsi="Times New Roman" w:cs="Times New Roman"/>
          <w:sz w:val="24"/>
          <w:szCs w:val="24"/>
        </w:rPr>
        <w:t xml:space="preserve">ођени. </w:t>
      </w:r>
    </w:p>
    <w:p w:rsidR="00A92087" w:rsidRPr="00D333FA" w:rsidRDefault="00AA7DBD" w:rsidP="00BB64E7">
      <w:pPr>
        <w:jc w:val="both"/>
        <w:rPr>
          <w:rFonts w:ascii="Times New Roman" w:hAnsi="Times New Roman" w:cs="Times New Roman"/>
          <w:color w:val="FF0000"/>
          <w:sz w:val="24"/>
          <w:szCs w:val="24"/>
          <w:lang w:val="sr-Cyrl-RS"/>
        </w:rPr>
      </w:pPr>
      <w:r>
        <w:rPr>
          <w:rFonts w:ascii="Times New Roman" w:hAnsi="Times New Roman" w:cs="Times New Roman"/>
          <w:sz w:val="24"/>
          <w:szCs w:val="24"/>
        </w:rPr>
        <w:t xml:space="preserve">Као што подаци у Табели </w:t>
      </w:r>
      <w:r w:rsidR="00072DBF">
        <w:rPr>
          <w:rFonts w:ascii="Times New Roman" w:hAnsi="Times New Roman" w:cs="Times New Roman"/>
          <w:sz w:val="24"/>
          <w:szCs w:val="24"/>
        </w:rPr>
        <w:t>10, Слика 17</w:t>
      </w:r>
      <w:r>
        <w:rPr>
          <w:rFonts w:ascii="Times New Roman" w:hAnsi="Times New Roman" w:cs="Times New Roman"/>
          <w:sz w:val="24"/>
          <w:szCs w:val="24"/>
        </w:rPr>
        <w:t xml:space="preserve"> показују, с</w:t>
      </w:r>
      <w:r w:rsidR="00A92087">
        <w:rPr>
          <w:rFonts w:ascii="Times New Roman" w:hAnsi="Times New Roman" w:cs="Times New Roman"/>
          <w:sz w:val="24"/>
          <w:szCs w:val="24"/>
        </w:rPr>
        <w:t>вега 1% поступака је поништено (делимично или у целини) од стране Републичке комисије за заштиту права.</w:t>
      </w:r>
    </w:p>
    <w:p w:rsidR="00D23077" w:rsidRDefault="00CA1F8B" w:rsidP="00BB64E7">
      <w:pPr>
        <w:jc w:val="both"/>
        <w:rPr>
          <w:rFonts w:ascii="Times New Roman" w:hAnsi="Times New Roman" w:cs="Times New Roman"/>
          <w:sz w:val="24"/>
          <w:szCs w:val="24"/>
        </w:rPr>
      </w:pPr>
      <w:r>
        <w:rPr>
          <w:rFonts w:ascii="Times New Roman" w:hAnsi="Times New Roman" w:cs="Times New Roman"/>
          <w:sz w:val="24"/>
          <w:szCs w:val="24"/>
        </w:rPr>
        <w:t>Може се закључити да је</w:t>
      </w:r>
      <w:r w:rsidR="00A01819">
        <w:rPr>
          <w:rFonts w:ascii="Times New Roman" w:hAnsi="Times New Roman" w:cs="Times New Roman"/>
          <w:sz w:val="24"/>
          <w:szCs w:val="24"/>
        </w:rPr>
        <w:t xml:space="preserve">, у </w:t>
      </w:r>
      <w:r w:rsidR="00072DBF">
        <w:rPr>
          <w:rFonts w:ascii="Times New Roman" w:hAnsi="Times New Roman" w:cs="Times New Roman"/>
          <w:sz w:val="24"/>
          <w:szCs w:val="24"/>
        </w:rPr>
        <w:t>2013. години</w:t>
      </w:r>
      <w:r w:rsidR="00A01819">
        <w:rPr>
          <w:rFonts w:ascii="Times New Roman" w:hAnsi="Times New Roman" w:cs="Times New Roman"/>
          <w:sz w:val="24"/>
          <w:szCs w:val="24"/>
        </w:rPr>
        <w:t xml:space="preserve">, </w:t>
      </w:r>
      <w:r>
        <w:rPr>
          <w:rFonts w:ascii="Times New Roman" w:hAnsi="Times New Roman" w:cs="Times New Roman"/>
          <w:sz w:val="24"/>
          <w:szCs w:val="24"/>
        </w:rPr>
        <w:t>постојао висок степен успешности поступака</w:t>
      </w:r>
      <w:r w:rsidR="00072DBF">
        <w:rPr>
          <w:rFonts w:ascii="Times New Roman" w:hAnsi="Times New Roman" w:cs="Times New Roman"/>
          <w:sz w:val="24"/>
          <w:szCs w:val="24"/>
        </w:rPr>
        <w:t xml:space="preserve"> </w:t>
      </w:r>
      <w:r w:rsidR="00CC5D30">
        <w:rPr>
          <w:rFonts w:ascii="Times New Roman" w:hAnsi="Times New Roman" w:cs="Times New Roman"/>
          <w:sz w:val="24"/>
          <w:szCs w:val="24"/>
        </w:rPr>
        <w:t xml:space="preserve">јавних набавки </w:t>
      </w:r>
      <w:r w:rsidR="00324462">
        <w:rPr>
          <w:rFonts w:ascii="Times New Roman" w:hAnsi="Times New Roman" w:cs="Times New Roman"/>
          <w:sz w:val="24"/>
          <w:szCs w:val="24"/>
        </w:rPr>
        <w:t xml:space="preserve">што сведочи о </w:t>
      </w:r>
      <w:r w:rsidR="00A92087">
        <w:rPr>
          <w:rFonts w:ascii="Times New Roman" w:hAnsi="Times New Roman" w:cs="Times New Roman"/>
          <w:sz w:val="24"/>
          <w:szCs w:val="24"/>
        </w:rPr>
        <w:t xml:space="preserve">завидној </w:t>
      </w:r>
      <w:r w:rsidR="00324462">
        <w:rPr>
          <w:rFonts w:ascii="Times New Roman" w:hAnsi="Times New Roman" w:cs="Times New Roman"/>
          <w:sz w:val="24"/>
          <w:szCs w:val="24"/>
        </w:rPr>
        <w:t xml:space="preserve">ефикасности система </w:t>
      </w:r>
      <w:r w:rsidR="00CC5D30">
        <w:rPr>
          <w:rFonts w:ascii="Times New Roman" w:hAnsi="Times New Roman" w:cs="Times New Roman"/>
          <w:sz w:val="24"/>
          <w:szCs w:val="24"/>
        </w:rPr>
        <w:t xml:space="preserve">у целини. </w:t>
      </w:r>
      <w:r w:rsidR="00324462">
        <w:rPr>
          <w:rFonts w:ascii="Times New Roman" w:hAnsi="Times New Roman" w:cs="Times New Roman"/>
          <w:sz w:val="24"/>
          <w:szCs w:val="24"/>
        </w:rPr>
        <w:t>Друг</w:t>
      </w:r>
      <w:r w:rsidR="00A92087">
        <w:rPr>
          <w:rFonts w:ascii="Times New Roman" w:hAnsi="Times New Roman" w:cs="Times New Roman"/>
          <w:sz w:val="24"/>
          <w:szCs w:val="24"/>
        </w:rPr>
        <w:t xml:space="preserve">о запажање је низак степен поништавања поступака јавних набавки: </w:t>
      </w:r>
      <w:r>
        <w:rPr>
          <w:rFonts w:ascii="Times New Roman" w:hAnsi="Times New Roman" w:cs="Times New Roman"/>
          <w:sz w:val="24"/>
          <w:szCs w:val="24"/>
        </w:rPr>
        <w:t xml:space="preserve">тек сваки стоти поступак </w:t>
      </w:r>
      <w:r w:rsidR="00A92087">
        <w:rPr>
          <w:rFonts w:ascii="Times New Roman" w:hAnsi="Times New Roman" w:cs="Times New Roman"/>
          <w:sz w:val="24"/>
          <w:szCs w:val="24"/>
        </w:rPr>
        <w:t xml:space="preserve">је </w:t>
      </w:r>
      <w:r>
        <w:rPr>
          <w:rFonts w:ascii="Times New Roman" w:hAnsi="Times New Roman" w:cs="Times New Roman"/>
          <w:sz w:val="24"/>
          <w:szCs w:val="24"/>
        </w:rPr>
        <w:t>пониш</w:t>
      </w:r>
      <w:r w:rsidR="00A92087">
        <w:rPr>
          <w:rFonts w:ascii="Times New Roman" w:hAnsi="Times New Roman" w:cs="Times New Roman"/>
          <w:sz w:val="24"/>
          <w:szCs w:val="24"/>
        </w:rPr>
        <w:t>е</w:t>
      </w:r>
      <w:r>
        <w:rPr>
          <w:rFonts w:ascii="Times New Roman" w:hAnsi="Times New Roman" w:cs="Times New Roman"/>
          <w:sz w:val="24"/>
          <w:szCs w:val="24"/>
        </w:rPr>
        <w:t xml:space="preserve">н пред </w:t>
      </w:r>
      <w:r w:rsidR="00355D60">
        <w:rPr>
          <w:rFonts w:ascii="Times New Roman" w:hAnsi="Times New Roman" w:cs="Times New Roman"/>
          <w:sz w:val="24"/>
          <w:szCs w:val="24"/>
        </w:rPr>
        <w:t>Републичком к</w:t>
      </w:r>
      <w:r>
        <w:rPr>
          <w:rFonts w:ascii="Times New Roman" w:hAnsi="Times New Roman" w:cs="Times New Roman"/>
          <w:sz w:val="24"/>
          <w:szCs w:val="24"/>
        </w:rPr>
        <w:t>омисијом</w:t>
      </w:r>
      <w:r w:rsidR="00A92087">
        <w:rPr>
          <w:rFonts w:ascii="Times New Roman" w:hAnsi="Times New Roman" w:cs="Times New Roman"/>
          <w:sz w:val="24"/>
          <w:szCs w:val="24"/>
        </w:rPr>
        <w:t xml:space="preserve"> за заштиту права у поступцима јавних набавки. </w:t>
      </w:r>
      <w:r w:rsidR="00D954B5">
        <w:rPr>
          <w:rFonts w:ascii="Times New Roman" w:hAnsi="Times New Roman" w:cs="Times New Roman"/>
          <w:sz w:val="24"/>
          <w:szCs w:val="24"/>
        </w:rPr>
        <w:t>Поређења ради, у Републици Словенији је, у 2012. години, било 4% поништених поступака</w:t>
      </w:r>
      <w:r w:rsidR="00D954B5">
        <w:rPr>
          <w:rStyle w:val="FootnoteReference"/>
          <w:rFonts w:ascii="Times New Roman" w:hAnsi="Times New Roman" w:cs="Times New Roman"/>
          <w:sz w:val="24"/>
          <w:szCs w:val="24"/>
        </w:rPr>
        <w:footnoteReference w:id="11"/>
      </w:r>
      <w:r w:rsidR="00A92087">
        <w:rPr>
          <w:rFonts w:ascii="Times New Roman" w:hAnsi="Times New Roman" w:cs="Times New Roman"/>
          <w:sz w:val="24"/>
          <w:szCs w:val="24"/>
        </w:rPr>
        <w:t xml:space="preserve">, </w:t>
      </w:r>
      <w:r w:rsidR="00355D60">
        <w:rPr>
          <w:rFonts w:ascii="Times New Roman" w:hAnsi="Times New Roman" w:cs="Times New Roman"/>
          <w:sz w:val="24"/>
          <w:szCs w:val="24"/>
        </w:rPr>
        <w:t xml:space="preserve">што је </w:t>
      </w:r>
      <w:r w:rsidR="00A92087">
        <w:rPr>
          <w:rFonts w:ascii="Times New Roman" w:hAnsi="Times New Roman" w:cs="Times New Roman"/>
          <w:sz w:val="24"/>
          <w:szCs w:val="24"/>
        </w:rPr>
        <w:t>четири пута више</w:t>
      </w:r>
      <w:r w:rsidR="00355D60">
        <w:rPr>
          <w:rFonts w:ascii="Times New Roman" w:hAnsi="Times New Roman" w:cs="Times New Roman"/>
          <w:sz w:val="24"/>
          <w:szCs w:val="24"/>
        </w:rPr>
        <w:t xml:space="preserve"> него у Србији.</w:t>
      </w:r>
      <w:r w:rsidR="00267139">
        <w:rPr>
          <w:rFonts w:ascii="Times New Roman" w:hAnsi="Times New Roman" w:cs="Times New Roman"/>
          <w:sz w:val="24"/>
          <w:szCs w:val="24"/>
        </w:rPr>
        <w:t xml:space="preserve"> С обзиром да поништавањ</w:t>
      </w:r>
      <w:r w:rsidR="00355D60">
        <w:rPr>
          <w:rFonts w:ascii="Times New Roman" w:hAnsi="Times New Roman" w:cs="Times New Roman"/>
          <w:sz w:val="24"/>
          <w:szCs w:val="24"/>
        </w:rPr>
        <w:t>е</w:t>
      </w:r>
      <w:r w:rsidR="00267139">
        <w:rPr>
          <w:rFonts w:ascii="Times New Roman" w:hAnsi="Times New Roman" w:cs="Times New Roman"/>
          <w:sz w:val="24"/>
          <w:szCs w:val="24"/>
        </w:rPr>
        <w:t xml:space="preserve"> поступка </w:t>
      </w:r>
      <w:r w:rsidR="00355D60">
        <w:rPr>
          <w:rFonts w:ascii="Times New Roman" w:hAnsi="Times New Roman" w:cs="Times New Roman"/>
          <w:sz w:val="24"/>
          <w:szCs w:val="24"/>
        </w:rPr>
        <w:t xml:space="preserve">јавне набавке </w:t>
      </w:r>
      <w:r w:rsidR="00267139">
        <w:rPr>
          <w:rFonts w:ascii="Times New Roman" w:hAnsi="Times New Roman" w:cs="Times New Roman"/>
          <w:sz w:val="24"/>
          <w:szCs w:val="24"/>
        </w:rPr>
        <w:t>повлачи за собом додатно улагање времена и новца</w:t>
      </w:r>
      <w:r w:rsidR="00355D60">
        <w:rPr>
          <w:rFonts w:ascii="Times New Roman" w:hAnsi="Times New Roman" w:cs="Times New Roman"/>
          <w:sz w:val="24"/>
          <w:szCs w:val="24"/>
        </w:rPr>
        <w:t xml:space="preserve"> у нов поступак</w:t>
      </w:r>
      <w:r w:rsidR="00267139">
        <w:rPr>
          <w:rFonts w:ascii="Times New Roman" w:hAnsi="Times New Roman" w:cs="Times New Roman"/>
          <w:sz w:val="24"/>
          <w:szCs w:val="24"/>
        </w:rPr>
        <w:t>, а може да представља и сметњу редовном функционисању наручиоца</w:t>
      </w:r>
      <w:r w:rsidR="00355D60">
        <w:rPr>
          <w:rFonts w:ascii="Times New Roman" w:hAnsi="Times New Roman" w:cs="Times New Roman"/>
          <w:sz w:val="24"/>
          <w:szCs w:val="24"/>
        </w:rPr>
        <w:t xml:space="preserve"> што, по правилу, узрокује додатне трошкове</w:t>
      </w:r>
      <w:r w:rsidR="00267139">
        <w:rPr>
          <w:rFonts w:ascii="Times New Roman" w:hAnsi="Times New Roman" w:cs="Times New Roman"/>
          <w:sz w:val="24"/>
          <w:szCs w:val="24"/>
        </w:rPr>
        <w:t xml:space="preserve">, </w:t>
      </w:r>
      <w:r w:rsidR="00355D60">
        <w:rPr>
          <w:rFonts w:ascii="Times New Roman" w:hAnsi="Times New Roman" w:cs="Times New Roman"/>
          <w:sz w:val="24"/>
          <w:szCs w:val="24"/>
        </w:rPr>
        <w:t>може се закључити да заштита права, са овако ниским учешћем поништених поступака, није угрожавала остваривање начела економичности</w:t>
      </w:r>
      <w:r w:rsidR="00BE58E1">
        <w:rPr>
          <w:rFonts w:ascii="Times New Roman" w:hAnsi="Times New Roman" w:cs="Times New Roman"/>
          <w:sz w:val="24"/>
          <w:szCs w:val="24"/>
        </w:rPr>
        <w:t xml:space="preserve"> јавне набавке</w:t>
      </w:r>
      <w:r w:rsidR="00355D60">
        <w:rPr>
          <w:rFonts w:ascii="Times New Roman" w:hAnsi="Times New Roman" w:cs="Times New Roman"/>
          <w:sz w:val="24"/>
          <w:szCs w:val="24"/>
        </w:rPr>
        <w:t xml:space="preserve">. </w:t>
      </w:r>
      <w:r w:rsidR="00267139">
        <w:rPr>
          <w:rFonts w:ascii="Times New Roman" w:hAnsi="Times New Roman" w:cs="Times New Roman"/>
          <w:sz w:val="24"/>
          <w:szCs w:val="24"/>
        </w:rPr>
        <w:t xml:space="preserve">  </w:t>
      </w:r>
    </w:p>
    <w:p w:rsidR="00465356" w:rsidRPr="00D23077" w:rsidRDefault="00465356" w:rsidP="00BB64E7">
      <w:pPr>
        <w:jc w:val="both"/>
        <w:rPr>
          <w:rFonts w:ascii="Times New Roman" w:hAnsi="Times New Roman" w:cs="Times New Roman"/>
          <w:sz w:val="24"/>
          <w:szCs w:val="24"/>
          <w:lang w:val="sr-Cyrl-RS"/>
        </w:rPr>
      </w:pPr>
    </w:p>
    <w:p w:rsidR="007655FB" w:rsidRPr="00AC6B21" w:rsidRDefault="007655FB" w:rsidP="00AC6B21">
      <w:pPr>
        <w:rPr>
          <w:rFonts w:ascii="Times New Roman" w:hAnsi="Times New Roman" w:cs="Times New Roman"/>
          <w:b/>
          <w:sz w:val="24"/>
          <w:szCs w:val="24"/>
        </w:rPr>
      </w:pPr>
    </w:p>
    <w:p w:rsidR="00BB0B9A" w:rsidRPr="00D14DA3" w:rsidRDefault="00BB0B9A" w:rsidP="00D14DA3">
      <w:pPr>
        <w:pStyle w:val="ListParagraph"/>
        <w:numPr>
          <w:ilvl w:val="0"/>
          <w:numId w:val="2"/>
        </w:numPr>
        <w:rPr>
          <w:rFonts w:ascii="Times New Roman" w:hAnsi="Times New Roman" w:cs="Times New Roman"/>
          <w:b/>
          <w:sz w:val="24"/>
          <w:szCs w:val="24"/>
        </w:rPr>
      </w:pPr>
      <w:r w:rsidRPr="00D14DA3">
        <w:rPr>
          <w:rFonts w:ascii="Times New Roman" w:hAnsi="Times New Roman" w:cs="Times New Roman"/>
          <w:b/>
          <w:sz w:val="24"/>
          <w:szCs w:val="24"/>
        </w:rPr>
        <w:lastRenderedPageBreak/>
        <w:t>НАБАВКЕ ИЗУЗЕТЕ ОД ПРИМЕНЕ ЗАКОНА</w:t>
      </w:r>
    </w:p>
    <w:p w:rsidR="00BB0B9A" w:rsidRDefault="00BB0B9A" w:rsidP="00F07CC7">
      <w:pPr>
        <w:jc w:val="both"/>
        <w:rPr>
          <w:rFonts w:ascii="Times New Roman" w:hAnsi="Times New Roman" w:cs="Times New Roman"/>
          <w:sz w:val="24"/>
          <w:szCs w:val="24"/>
        </w:rPr>
      </w:pPr>
      <w:r>
        <w:rPr>
          <w:rFonts w:ascii="Times New Roman" w:hAnsi="Times New Roman" w:cs="Times New Roman"/>
          <w:sz w:val="24"/>
          <w:szCs w:val="24"/>
        </w:rPr>
        <w:t>Набавке на које се није примењивао Закон о јавн</w:t>
      </w:r>
      <w:r w:rsidR="0060326C">
        <w:rPr>
          <w:rFonts w:ascii="Times New Roman" w:hAnsi="Times New Roman" w:cs="Times New Roman"/>
          <w:sz w:val="24"/>
          <w:szCs w:val="24"/>
        </w:rPr>
        <w:t>им набавкама учествовале су са 18</w:t>
      </w:r>
      <w:r>
        <w:rPr>
          <w:rFonts w:ascii="Times New Roman" w:hAnsi="Times New Roman" w:cs="Times New Roman"/>
          <w:sz w:val="24"/>
          <w:szCs w:val="24"/>
        </w:rPr>
        <w:t xml:space="preserve">% у укупној уговореној вредности у </w:t>
      </w:r>
      <w:r w:rsidR="0060326C">
        <w:rPr>
          <w:rFonts w:ascii="Times New Roman" w:hAnsi="Times New Roman" w:cs="Times New Roman"/>
          <w:sz w:val="24"/>
          <w:szCs w:val="24"/>
        </w:rPr>
        <w:t>2013. години</w:t>
      </w:r>
      <w:r>
        <w:rPr>
          <w:rFonts w:ascii="Times New Roman" w:hAnsi="Times New Roman" w:cs="Times New Roman"/>
          <w:sz w:val="24"/>
          <w:szCs w:val="24"/>
        </w:rPr>
        <w:t xml:space="preserve"> (Табела </w:t>
      </w:r>
      <w:r w:rsidR="0094612A">
        <w:rPr>
          <w:rFonts w:ascii="Times New Roman" w:hAnsi="Times New Roman" w:cs="Times New Roman"/>
          <w:sz w:val="24"/>
          <w:szCs w:val="24"/>
        </w:rPr>
        <w:t>1</w:t>
      </w:r>
      <w:r w:rsidR="0060326C">
        <w:rPr>
          <w:rFonts w:ascii="Times New Roman" w:hAnsi="Times New Roman" w:cs="Times New Roman"/>
          <w:sz w:val="24"/>
          <w:szCs w:val="24"/>
        </w:rPr>
        <w:t>1</w:t>
      </w:r>
      <w:r>
        <w:rPr>
          <w:rFonts w:ascii="Times New Roman" w:hAnsi="Times New Roman" w:cs="Times New Roman"/>
          <w:sz w:val="24"/>
          <w:szCs w:val="24"/>
        </w:rPr>
        <w:t>).</w:t>
      </w:r>
    </w:p>
    <w:p w:rsidR="00BB0B9A" w:rsidRPr="00D23077" w:rsidRDefault="00BB0B9A" w:rsidP="00BB0B9A">
      <w:pPr>
        <w:rPr>
          <w:rFonts w:ascii="Times New Roman" w:hAnsi="Times New Roman" w:cs="Times New Roman"/>
          <w:b/>
          <w:sz w:val="24"/>
          <w:szCs w:val="24"/>
        </w:rPr>
      </w:pPr>
      <w:r w:rsidRPr="00D23077">
        <w:rPr>
          <w:rFonts w:ascii="Times New Roman" w:hAnsi="Times New Roman" w:cs="Times New Roman"/>
          <w:b/>
          <w:sz w:val="24"/>
          <w:szCs w:val="24"/>
        </w:rPr>
        <w:t xml:space="preserve">Табела </w:t>
      </w:r>
      <w:r w:rsidR="00C41DA4" w:rsidRPr="00D23077">
        <w:rPr>
          <w:rFonts w:ascii="Times New Roman" w:hAnsi="Times New Roman" w:cs="Times New Roman"/>
          <w:b/>
          <w:sz w:val="24"/>
          <w:szCs w:val="24"/>
        </w:rPr>
        <w:t>11</w:t>
      </w:r>
    </w:p>
    <w:tbl>
      <w:tblPr>
        <w:tblStyle w:val="TableGrid"/>
        <w:tblW w:w="0" w:type="auto"/>
        <w:tblInd w:w="108" w:type="dxa"/>
        <w:tblLook w:val="0000" w:firstRow="0" w:lastRow="0" w:firstColumn="0" w:lastColumn="0" w:noHBand="0" w:noVBand="0"/>
      </w:tblPr>
      <w:tblGrid>
        <w:gridCol w:w="2096"/>
        <w:gridCol w:w="2196"/>
        <w:gridCol w:w="2228"/>
        <w:gridCol w:w="2158"/>
        <w:gridCol w:w="2095"/>
      </w:tblGrid>
      <w:tr w:rsidR="00A92087" w:rsidTr="008F6182">
        <w:trPr>
          <w:trHeight w:val="638"/>
        </w:trPr>
        <w:tc>
          <w:tcPr>
            <w:tcW w:w="10773" w:type="dxa"/>
            <w:gridSpan w:val="5"/>
          </w:tcPr>
          <w:p w:rsidR="00BB0B9A" w:rsidRPr="00DF1BEC" w:rsidRDefault="00DF1BEC" w:rsidP="0060326C">
            <w:pPr>
              <w:jc w:val="center"/>
              <w:rPr>
                <w:b/>
              </w:rPr>
            </w:pPr>
            <w:r>
              <w:rPr>
                <w:rFonts w:ascii="Times New Roman" w:hAnsi="Times New Roman" w:cs="Times New Roman"/>
                <w:b/>
                <w:sz w:val="28"/>
                <w:szCs w:val="28"/>
              </w:rPr>
              <w:t>Преглед свих</w:t>
            </w:r>
            <w:r w:rsidR="0094612A">
              <w:rPr>
                <w:rFonts w:ascii="Times New Roman" w:hAnsi="Times New Roman" w:cs="Times New Roman"/>
                <w:b/>
                <w:sz w:val="28"/>
                <w:szCs w:val="28"/>
              </w:rPr>
              <w:t xml:space="preserve"> набавки у Републици Србији</w:t>
            </w:r>
            <w:r w:rsidR="00BB0B9A" w:rsidRPr="006C3C7D">
              <w:rPr>
                <w:rFonts w:ascii="Times New Roman" w:hAnsi="Times New Roman" w:cs="Times New Roman"/>
                <w:b/>
                <w:sz w:val="28"/>
                <w:szCs w:val="28"/>
              </w:rPr>
              <w:t xml:space="preserve"> </w:t>
            </w:r>
            <w:r>
              <w:rPr>
                <w:rFonts w:ascii="Times New Roman" w:hAnsi="Times New Roman" w:cs="Times New Roman"/>
                <w:b/>
                <w:sz w:val="28"/>
                <w:szCs w:val="28"/>
              </w:rPr>
              <w:t>у 2013. години</w:t>
            </w:r>
          </w:p>
        </w:tc>
      </w:tr>
      <w:tr w:rsidR="00A92087" w:rsidTr="008F6182">
        <w:tblPrEx>
          <w:tblLook w:val="04A0" w:firstRow="1" w:lastRow="0" w:firstColumn="1" w:lastColumn="0" w:noHBand="0" w:noVBand="1"/>
        </w:tblPrEx>
        <w:tc>
          <w:tcPr>
            <w:tcW w:w="2096"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Врста набавки</w:t>
            </w:r>
          </w:p>
        </w:tc>
        <w:tc>
          <w:tcPr>
            <w:tcW w:w="2196"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Укупан број уговора</w:t>
            </w:r>
          </w:p>
        </w:tc>
        <w:tc>
          <w:tcPr>
            <w:tcW w:w="2228" w:type="dxa"/>
            <w:vMerge w:val="restart"/>
            <w:vAlign w:val="center"/>
          </w:tcPr>
          <w:p w:rsidR="00BB0B9A" w:rsidRPr="008F6182"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Укупна уговорена вредност</w:t>
            </w:r>
            <w:r w:rsidR="008F6182">
              <w:rPr>
                <w:rFonts w:ascii="Times New Roman" w:hAnsi="Times New Roman" w:cs="Times New Roman"/>
                <w:b/>
                <w:sz w:val="24"/>
                <w:szCs w:val="24"/>
              </w:rPr>
              <w:t>*</w:t>
            </w:r>
          </w:p>
        </w:tc>
        <w:tc>
          <w:tcPr>
            <w:tcW w:w="4253" w:type="dxa"/>
            <w:gridSpan w:val="2"/>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Заступљеност у свим набавкама</w:t>
            </w:r>
          </w:p>
        </w:tc>
      </w:tr>
      <w:tr w:rsidR="00A92087" w:rsidTr="008F6182">
        <w:tblPrEx>
          <w:tblLook w:val="04A0" w:firstRow="1" w:lastRow="0" w:firstColumn="1" w:lastColumn="0" w:noHBand="0" w:noVBand="1"/>
        </w:tblPrEx>
        <w:tc>
          <w:tcPr>
            <w:tcW w:w="2096" w:type="dxa"/>
            <w:vMerge/>
            <w:vAlign w:val="center"/>
          </w:tcPr>
          <w:p w:rsidR="00BB0B9A" w:rsidRPr="006C3C7D" w:rsidRDefault="00BB0B9A" w:rsidP="00055CB3">
            <w:pPr>
              <w:jc w:val="center"/>
              <w:rPr>
                <w:rFonts w:ascii="Times New Roman" w:hAnsi="Times New Roman" w:cs="Times New Roman"/>
                <w:b/>
                <w:sz w:val="24"/>
                <w:szCs w:val="24"/>
              </w:rPr>
            </w:pPr>
          </w:p>
        </w:tc>
        <w:tc>
          <w:tcPr>
            <w:tcW w:w="2196" w:type="dxa"/>
            <w:vMerge/>
            <w:vAlign w:val="center"/>
          </w:tcPr>
          <w:p w:rsidR="00BB0B9A" w:rsidRPr="006C3C7D" w:rsidRDefault="00BB0B9A" w:rsidP="00055CB3">
            <w:pPr>
              <w:jc w:val="center"/>
              <w:rPr>
                <w:rFonts w:ascii="Times New Roman" w:hAnsi="Times New Roman" w:cs="Times New Roman"/>
                <w:b/>
                <w:sz w:val="24"/>
                <w:szCs w:val="24"/>
              </w:rPr>
            </w:pPr>
          </w:p>
        </w:tc>
        <w:tc>
          <w:tcPr>
            <w:tcW w:w="2228" w:type="dxa"/>
            <w:vMerge/>
            <w:vAlign w:val="center"/>
          </w:tcPr>
          <w:p w:rsidR="00BB0B9A" w:rsidRPr="006C3C7D" w:rsidRDefault="00BB0B9A" w:rsidP="00055CB3">
            <w:pPr>
              <w:jc w:val="center"/>
              <w:rPr>
                <w:rFonts w:ascii="Times New Roman" w:hAnsi="Times New Roman" w:cs="Times New Roman"/>
                <w:b/>
                <w:sz w:val="24"/>
                <w:szCs w:val="24"/>
              </w:rPr>
            </w:pPr>
          </w:p>
        </w:tc>
        <w:tc>
          <w:tcPr>
            <w:tcW w:w="2158"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броју у %</w:t>
            </w:r>
          </w:p>
        </w:tc>
        <w:tc>
          <w:tcPr>
            <w:tcW w:w="2095"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вредности у %</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Велике набавке</w:t>
            </w:r>
          </w:p>
        </w:tc>
        <w:tc>
          <w:tcPr>
            <w:tcW w:w="2196"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38.108</w:t>
            </w:r>
          </w:p>
        </w:tc>
        <w:tc>
          <w:tcPr>
            <w:tcW w:w="2228" w:type="dxa"/>
            <w:vAlign w:val="center"/>
          </w:tcPr>
          <w:p w:rsidR="00E56979" w:rsidRPr="00E56979" w:rsidRDefault="00E56979" w:rsidP="00E56979">
            <w:pPr>
              <w:jc w:val="center"/>
              <w:rPr>
                <w:rFonts w:ascii="Times New Roman" w:hAnsi="Times New Roman" w:cs="Times New Roman"/>
                <w:sz w:val="24"/>
                <w:szCs w:val="24"/>
              </w:rPr>
            </w:pPr>
            <w:r>
              <w:rPr>
                <w:rFonts w:ascii="Times New Roman" w:hAnsi="Times New Roman" w:cs="Times New Roman"/>
                <w:sz w:val="24"/>
                <w:szCs w:val="24"/>
              </w:rPr>
              <w:t>227.207.158</w:t>
            </w:r>
          </w:p>
        </w:tc>
        <w:tc>
          <w:tcPr>
            <w:tcW w:w="215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23</w:t>
            </w:r>
          </w:p>
        </w:tc>
        <w:tc>
          <w:tcPr>
            <w:tcW w:w="2095"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71</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Мале набавке</w:t>
            </w:r>
          </w:p>
        </w:tc>
        <w:tc>
          <w:tcPr>
            <w:tcW w:w="2196"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45.013</w:t>
            </w:r>
          </w:p>
        </w:tc>
        <w:tc>
          <w:tcPr>
            <w:tcW w:w="222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35.731.577</w:t>
            </w:r>
          </w:p>
        </w:tc>
        <w:tc>
          <w:tcPr>
            <w:tcW w:w="215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28</w:t>
            </w:r>
          </w:p>
        </w:tc>
        <w:tc>
          <w:tcPr>
            <w:tcW w:w="2095"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11</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Изузете набавке</w:t>
            </w:r>
          </w:p>
        </w:tc>
        <w:tc>
          <w:tcPr>
            <w:tcW w:w="2196"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79.948</w:t>
            </w:r>
          </w:p>
        </w:tc>
        <w:tc>
          <w:tcPr>
            <w:tcW w:w="222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56.302.002</w:t>
            </w:r>
          </w:p>
        </w:tc>
        <w:tc>
          <w:tcPr>
            <w:tcW w:w="215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49</w:t>
            </w:r>
          </w:p>
        </w:tc>
        <w:tc>
          <w:tcPr>
            <w:tcW w:w="2095"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18</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Укупно</w:t>
            </w:r>
          </w:p>
        </w:tc>
        <w:tc>
          <w:tcPr>
            <w:tcW w:w="2196"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163.069</w:t>
            </w:r>
          </w:p>
        </w:tc>
        <w:tc>
          <w:tcPr>
            <w:tcW w:w="2228" w:type="dxa"/>
            <w:vAlign w:val="center"/>
          </w:tcPr>
          <w:p w:rsidR="00BB0B9A" w:rsidRPr="00E56979" w:rsidRDefault="00E56979" w:rsidP="00055CB3">
            <w:pPr>
              <w:jc w:val="center"/>
              <w:rPr>
                <w:rFonts w:ascii="Times New Roman" w:hAnsi="Times New Roman" w:cs="Times New Roman"/>
                <w:sz w:val="24"/>
                <w:szCs w:val="24"/>
              </w:rPr>
            </w:pPr>
            <w:r>
              <w:rPr>
                <w:rFonts w:ascii="Times New Roman" w:hAnsi="Times New Roman" w:cs="Times New Roman"/>
                <w:sz w:val="24"/>
                <w:szCs w:val="24"/>
              </w:rPr>
              <w:t>319.240.737</w:t>
            </w:r>
          </w:p>
        </w:tc>
        <w:tc>
          <w:tcPr>
            <w:tcW w:w="2158"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c>
          <w:tcPr>
            <w:tcW w:w="2095"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r>
    </w:tbl>
    <w:p w:rsidR="00BB0B9A" w:rsidRPr="008F6182" w:rsidRDefault="008F6182" w:rsidP="00BB0B9A">
      <w:pPr>
        <w:rPr>
          <w:rFonts w:ascii="Times New Roman" w:hAnsi="Times New Roman" w:cs="Times New Roman"/>
        </w:rPr>
      </w:pPr>
      <w:r w:rsidRPr="00BE14E5">
        <w:rPr>
          <w:rFonts w:ascii="Times New Roman" w:hAnsi="Times New Roman" w:cs="Times New Roman"/>
        </w:rPr>
        <w:t>*вредности су изражене у хиљадама динара</w:t>
      </w:r>
    </w:p>
    <w:p w:rsidR="003C3BC0" w:rsidRPr="009B3038" w:rsidRDefault="00BB0B9A" w:rsidP="009B3038">
      <w:pPr>
        <w:jc w:val="both"/>
        <w:rPr>
          <w:rFonts w:ascii="Times New Roman" w:hAnsi="Times New Roman" w:cs="Times New Roman"/>
          <w:b/>
          <w:sz w:val="24"/>
          <w:szCs w:val="24"/>
        </w:rPr>
      </w:pPr>
      <w:r>
        <w:rPr>
          <w:rFonts w:ascii="Times New Roman" w:hAnsi="Times New Roman" w:cs="Times New Roman"/>
          <w:sz w:val="24"/>
          <w:szCs w:val="24"/>
        </w:rPr>
        <w:t xml:space="preserve">Ове набавке биле су најзаступљеније код јавних </w:t>
      </w:r>
      <w:r w:rsidR="00651B5A">
        <w:rPr>
          <w:rFonts w:ascii="Times New Roman" w:hAnsi="Times New Roman" w:cs="Times New Roman"/>
          <w:sz w:val="24"/>
          <w:szCs w:val="24"/>
        </w:rPr>
        <w:t xml:space="preserve">и јавних комуналних </w:t>
      </w:r>
      <w:r>
        <w:rPr>
          <w:rFonts w:ascii="Times New Roman" w:hAnsi="Times New Roman" w:cs="Times New Roman"/>
          <w:sz w:val="24"/>
          <w:szCs w:val="24"/>
        </w:rPr>
        <w:t xml:space="preserve">предузећа која су </w:t>
      </w:r>
      <w:r w:rsidR="00651B5A">
        <w:rPr>
          <w:rFonts w:ascii="Times New Roman" w:hAnsi="Times New Roman" w:cs="Times New Roman"/>
          <w:sz w:val="24"/>
          <w:szCs w:val="24"/>
        </w:rPr>
        <w:t xml:space="preserve">збирно </w:t>
      </w:r>
      <w:r>
        <w:rPr>
          <w:rFonts w:ascii="Times New Roman" w:hAnsi="Times New Roman" w:cs="Times New Roman"/>
          <w:sz w:val="24"/>
          <w:szCs w:val="24"/>
        </w:rPr>
        <w:t>учествовала са 8</w:t>
      </w:r>
      <w:r w:rsidR="0060326C">
        <w:rPr>
          <w:rFonts w:ascii="Times New Roman" w:hAnsi="Times New Roman" w:cs="Times New Roman"/>
          <w:sz w:val="24"/>
          <w:szCs w:val="24"/>
        </w:rPr>
        <w:t>2</w:t>
      </w:r>
      <w:r>
        <w:rPr>
          <w:rFonts w:ascii="Times New Roman" w:hAnsi="Times New Roman" w:cs="Times New Roman"/>
          <w:sz w:val="24"/>
          <w:szCs w:val="24"/>
        </w:rPr>
        <w:t xml:space="preserve">% у укупној вредности набавки изузетих од примене ЗЈН (Табела </w:t>
      </w:r>
      <w:r w:rsidR="0094612A">
        <w:rPr>
          <w:rFonts w:ascii="Times New Roman" w:hAnsi="Times New Roman" w:cs="Times New Roman"/>
          <w:sz w:val="24"/>
          <w:szCs w:val="24"/>
        </w:rPr>
        <w:t>1</w:t>
      </w:r>
      <w:r w:rsidR="0060326C">
        <w:rPr>
          <w:rFonts w:ascii="Times New Roman" w:hAnsi="Times New Roman" w:cs="Times New Roman"/>
          <w:sz w:val="24"/>
          <w:szCs w:val="24"/>
        </w:rPr>
        <w:t>2</w:t>
      </w:r>
      <w:r>
        <w:rPr>
          <w:rFonts w:ascii="Times New Roman" w:hAnsi="Times New Roman" w:cs="Times New Roman"/>
          <w:sz w:val="24"/>
          <w:szCs w:val="24"/>
        </w:rPr>
        <w:t>).</w:t>
      </w:r>
    </w:p>
    <w:p w:rsidR="00280F6B" w:rsidRPr="00D23077" w:rsidRDefault="00D23077" w:rsidP="0094612A">
      <w:pPr>
        <w:rPr>
          <w:rFonts w:ascii="Times New Roman" w:hAnsi="Times New Roman" w:cs="Times New Roman"/>
          <w:sz w:val="24"/>
          <w:szCs w:val="24"/>
        </w:rPr>
      </w:pPr>
      <w:r>
        <w:rPr>
          <w:rFonts w:ascii="Times New Roman" w:hAnsi="Times New Roman" w:cs="Times New Roman"/>
          <w:b/>
          <w:sz w:val="24"/>
          <w:szCs w:val="24"/>
          <w:lang w:val="sr-Cyrl-RS"/>
        </w:rPr>
        <w:t xml:space="preserve">     </w:t>
      </w:r>
      <w:r w:rsidR="009D7B1C">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w:t>
      </w:r>
      <w:r w:rsidR="00C013A0" w:rsidRPr="00D23077">
        <w:rPr>
          <w:rFonts w:ascii="Times New Roman" w:hAnsi="Times New Roman" w:cs="Times New Roman"/>
          <w:b/>
          <w:sz w:val="24"/>
          <w:szCs w:val="24"/>
        </w:rPr>
        <w:t xml:space="preserve">Табела </w:t>
      </w:r>
      <w:r w:rsidR="00C41DA4" w:rsidRPr="00D23077">
        <w:rPr>
          <w:rFonts w:ascii="Times New Roman" w:hAnsi="Times New Roman" w:cs="Times New Roman"/>
          <w:b/>
          <w:sz w:val="24"/>
          <w:szCs w:val="24"/>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280F6B" w:rsidRPr="00280F6B" w:rsidTr="00280F6B">
        <w:trPr>
          <w:trHeight w:val="858"/>
          <w:jc w:val="center"/>
        </w:trPr>
        <w:tc>
          <w:tcPr>
            <w:tcW w:w="9288" w:type="dxa"/>
            <w:gridSpan w:val="5"/>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6"/>
                <w:szCs w:val="26"/>
              </w:rPr>
            </w:pPr>
            <w:r w:rsidRPr="00280F6B">
              <w:rPr>
                <w:rFonts w:ascii="Times New Roman" w:eastAsia="Times New Roman" w:hAnsi="Times New Roman" w:cs="Times New Roman"/>
                <w:b/>
                <w:sz w:val="26"/>
                <w:szCs w:val="26"/>
              </w:rPr>
              <w:t>Преглед набавки изузетих од примене ЗЈН по категоријама наручилаца</w:t>
            </w:r>
          </w:p>
          <w:p w:rsidR="00280F6B" w:rsidRPr="002C2339" w:rsidRDefault="002C2339" w:rsidP="00280F6B">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6"/>
                <w:szCs w:val="26"/>
              </w:rPr>
              <w:t xml:space="preserve"> у </w:t>
            </w:r>
            <w:r w:rsidR="00280F6B" w:rsidRPr="00280F6B">
              <w:rPr>
                <w:rFonts w:ascii="Times New Roman" w:eastAsia="Times New Roman" w:hAnsi="Times New Roman" w:cs="Times New Roman"/>
                <w:b/>
                <w:sz w:val="26"/>
                <w:szCs w:val="26"/>
              </w:rPr>
              <w:t xml:space="preserve"> 2013. </w:t>
            </w:r>
            <w:r w:rsidR="008F6182">
              <w:rPr>
                <w:rFonts w:ascii="Times New Roman" w:eastAsia="Times New Roman" w:hAnsi="Times New Roman" w:cs="Times New Roman"/>
                <w:b/>
                <w:sz w:val="26"/>
                <w:szCs w:val="26"/>
              </w:rPr>
              <w:t>г</w:t>
            </w:r>
            <w:r>
              <w:rPr>
                <w:rFonts w:ascii="Times New Roman" w:eastAsia="Times New Roman" w:hAnsi="Times New Roman" w:cs="Times New Roman"/>
                <w:b/>
                <w:sz w:val="26"/>
                <w:szCs w:val="26"/>
              </w:rPr>
              <w:t>одини</w:t>
            </w:r>
          </w:p>
        </w:tc>
      </w:tr>
      <w:tr w:rsidR="00280F6B" w:rsidRPr="00280F6B" w:rsidTr="00280F6B">
        <w:trPr>
          <w:trHeight w:val="772"/>
          <w:jc w:val="center"/>
        </w:trPr>
        <w:tc>
          <w:tcPr>
            <w:tcW w:w="260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Категорија</w:t>
            </w:r>
          </w:p>
        </w:tc>
        <w:tc>
          <w:tcPr>
            <w:tcW w:w="118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Број уговора</w:t>
            </w:r>
          </w:p>
        </w:tc>
        <w:tc>
          <w:tcPr>
            <w:tcW w:w="2410"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Уговорена вредност без ПДВ-а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 хиљадама динара)</w:t>
            </w:r>
          </w:p>
        </w:tc>
        <w:tc>
          <w:tcPr>
            <w:tcW w:w="3084" w:type="dxa"/>
            <w:gridSpan w:val="2"/>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Заступљеност у укупном броју/вредности </w:t>
            </w:r>
          </w:p>
        </w:tc>
      </w:tr>
      <w:tr w:rsidR="00280F6B" w:rsidRPr="00280F6B" w:rsidTr="00280F6B">
        <w:trPr>
          <w:trHeight w:val="891"/>
          <w:jc w:val="center"/>
        </w:trPr>
        <w:tc>
          <w:tcPr>
            <w:tcW w:w="260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118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2410"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по броју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 %)</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по вредности (у %)</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11.768</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2.411.952</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Правосуђе</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22.072</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7.973</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1.058.970</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Култура</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8.661</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401.955</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Просвета, наука и спорт</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16.376</w:t>
            </w:r>
          </w:p>
        </w:tc>
        <w:tc>
          <w:tcPr>
            <w:tcW w:w="2410" w:type="dxa"/>
            <w:shd w:val="clear" w:color="auto" w:fill="auto"/>
            <w:vAlign w:val="center"/>
          </w:tcPr>
          <w:p w:rsidR="00464666" w:rsidRPr="00280F6B" w:rsidRDefault="00DF1BEC" w:rsidP="00464666">
            <w:pPr>
              <w:tabs>
                <w:tab w:val="left" w:pos="1885"/>
              </w:tabs>
              <w:spacing w:after="0" w:line="240" w:lineRule="auto"/>
              <w:jc w:val="center"/>
              <w:rPr>
                <w:rFonts w:ascii="Times New Roman" w:eastAsia="Times New Roman" w:hAnsi="Times New Roman" w:cs="Times New Roman"/>
                <w:sz w:val="24"/>
                <w:szCs w:val="24"/>
              </w:rPr>
            </w:pPr>
            <w:r w:rsidRPr="00DF1BEC">
              <w:rPr>
                <w:rFonts w:ascii="Times New Roman" w:eastAsia="Times New Roman" w:hAnsi="Times New Roman" w:cs="Times New Roman"/>
                <w:sz w:val="24"/>
                <w:szCs w:val="24"/>
              </w:rPr>
              <w:t>1.088.511</w:t>
            </w:r>
          </w:p>
        </w:tc>
        <w:tc>
          <w:tcPr>
            <w:tcW w:w="141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Државна јавна предузећа</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11.452</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37.482.597</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17.995</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8.514.967</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Градска и општинс</w:t>
            </w:r>
            <w:r w:rsidR="00651F8D">
              <w:rPr>
                <w:rFonts w:ascii="Times New Roman" w:eastAsia="Times New Roman" w:hAnsi="Times New Roman" w:cs="Times New Roman"/>
                <w:b/>
                <w:sz w:val="24"/>
                <w:szCs w:val="24"/>
              </w:rPr>
              <w:t>к</w:t>
            </w:r>
            <w:r w:rsidRPr="00280F6B">
              <w:rPr>
                <w:rFonts w:ascii="Times New Roman" w:eastAsia="Times New Roman" w:hAnsi="Times New Roman" w:cs="Times New Roman"/>
                <w:b/>
                <w:sz w:val="24"/>
                <w:szCs w:val="24"/>
              </w:rPr>
              <w:t>а управа</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5.537</w:t>
            </w:r>
          </w:p>
        </w:tc>
        <w:tc>
          <w:tcPr>
            <w:tcW w:w="2410" w:type="dxa"/>
            <w:shd w:val="clear" w:color="auto" w:fill="auto"/>
            <w:vAlign w:val="center"/>
          </w:tcPr>
          <w:p w:rsidR="00464666" w:rsidRPr="00280F6B" w:rsidRDefault="00DF1BEC" w:rsidP="00464666">
            <w:pPr>
              <w:tabs>
                <w:tab w:val="left" w:pos="1885"/>
              </w:tabs>
              <w:spacing w:after="0" w:line="240" w:lineRule="auto"/>
              <w:jc w:val="center"/>
              <w:rPr>
                <w:rFonts w:ascii="Times New Roman" w:eastAsia="Times New Roman" w:hAnsi="Times New Roman" w:cs="Times New Roman"/>
                <w:sz w:val="24"/>
                <w:szCs w:val="24"/>
              </w:rPr>
            </w:pPr>
            <w:r w:rsidRPr="00DF1BEC">
              <w:rPr>
                <w:rFonts w:ascii="Times New Roman" w:eastAsia="Times New Roman" w:hAnsi="Times New Roman" w:cs="Times New Roman"/>
                <w:sz w:val="24"/>
                <w:szCs w:val="24"/>
              </w:rPr>
              <w:t>5.320.978</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6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Укупно</w:t>
            </w:r>
          </w:p>
        </w:tc>
        <w:tc>
          <w:tcPr>
            <w:tcW w:w="118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79.948</w:t>
            </w:r>
          </w:p>
        </w:tc>
        <w:tc>
          <w:tcPr>
            <w:tcW w:w="2410"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56.302.002</w:t>
            </w:r>
          </w:p>
        </w:tc>
        <w:tc>
          <w:tcPr>
            <w:tcW w:w="1417" w:type="dxa"/>
            <w:shd w:val="clear" w:color="auto" w:fill="auto"/>
            <w:vAlign w:val="center"/>
          </w:tcPr>
          <w:p w:rsidR="00464666" w:rsidRPr="00DF1BEC" w:rsidRDefault="00DF1BEC"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67" w:type="dxa"/>
            <w:shd w:val="clear" w:color="auto" w:fill="auto"/>
            <w:vAlign w:val="center"/>
          </w:tcPr>
          <w:p w:rsidR="00464666" w:rsidRPr="00DF1BEC" w:rsidRDefault="00DF1BEC"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rsidR="00BB0B9A" w:rsidRDefault="00BB0B9A" w:rsidP="00BB0B9A">
      <w:pPr>
        <w:rPr>
          <w:rFonts w:ascii="Times New Roman" w:hAnsi="Times New Roman" w:cs="Times New Roman"/>
          <w:b/>
          <w:sz w:val="24"/>
          <w:szCs w:val="24"/>
        </w:rPr>
      </w:pPr>
    </w:p>
    <w:p w:rsidR="00DA4317" w:rsidRPr="00A01819" w:rsidRDefault="00DA4317" w:rsidP="00DA4317">
      <w:pPr>
        <w:jc w:val="both"/>
        <w:rPr>
          <w:rFonts w:ascii="Times New Roman" w:hAnsi="Times New Roman" w:cs="Times New Roman"/>
          <w:sz w:val="24"/>
          <w:szCs w:val="24"/>
        </w:rPr>
      </w:pPr>
      <w:r w:rsidRPr="00A01819">
        <w:rPr>
          <w:rFonts w:ascii="Times New Roman" w:hAnsi="Times New Roman" w:cs="Times New Roman"/>
          <w:sz w:val="24"/>
          <w:szCs w:val="24"/>
        </w:rPr>
        <w:lastRenderedPageBreak/>
        <w:t>Јав</w:t>
      </w:r>
      <w:r w:rsidR="0060326C">
        <w:rPr>
          <w:rFonts w:ascii="Times New Roman" w:hAnsi="Times New Roman" w:cs="Times New Roman"/>
          <w:sz w:val="24"/>
          <w:szCs w:val="24"/>
        </w:rPr>
        <w:t>на предузећа су 8</w:t>
      </w:r>
      <w:r w:rsidR="00664E86">
        <w:rPr>
          <w:rFonts w:ascii="Times New Roman" w:hAnsi="Times New Roman" w:cs="Times New Roman"/>
          <w:sz w:val="24"/>
          <w:szCs w:val="24"/>
          <w:lang w:val="sr-Cyrl-RS"/>
        </w:rPr>
        <w:t>3</w:t>
      </w:r>
      <w:r w:rsidRPr="00A01819">
        <w:rPr>
          <w:rFonts w:ascii="Times New Roman" w:hAnsi="Times New Roman" w:cs="Times New Roman"/>
          <w:sz w:val="24"/>
          <w:szCs w:val="24"/>
        </w:rPr>
        <w:t xml:space="preserve">% ових набавки спровела по три основа: </w:t>
      </w:r>
      <w:r w:rsidR="00221A36" w:rsidRPr="00A01819">
        <w:rPr>
          <w:rFonts w:ascii="Times New Roman" w:hAnsi="Times New Roman" w:cs="Times New Roman"/>
          <w:sz w:val="24"/>
          <w:szCs w:val="24"/>
        </w:rPr>
        <w:t>1</w:t>
      </w:r>
      <w:r w:rsidRPr="00A01819">
        <w:rPr>
          <w:rFonts w:ascii="Times New Roman" w:hAnsi="Times New Roman" w:cs="Times New Roman"/>
          <w:sz w:val="24"/>
          <w:szCs w:val="24"/>
        </w:rPr>
        <w:t>) код финансирања из средстава страних кредита (зајмова) добијених од међународних организација и међународних финансијских институција у складу са условима из међународног уговора, односно посебним поступцима међународних организациј</w:t>
      </w:r>
      <w:r w:rsidR="00EB6DB3">
        <w:rPr>
          <w:rFonts w:ascii="Times New Roman" w:hAnsi="Times New Roman" w:cs="Times New Roman"/>
          <w:sz w:val="24"/>
          <w:szCs w:val="24"/>
        </w:rPr>
        <w:t>а и финансијских институција (</w:t>
      </w:r>
      <w:r w:rsidR="00EB6DB3" w:rsidRPr="007F4192">
        <w:rPr>
          <w:rFonts w:ascii="Times New Roman" w:hAnsi="Times New Roman" w:cs="Times New Roman"/>
          <w:sz w:val="24"/>
          <w:szCs w:val="24"/>
        </w:rPr>
        <w:t>39</w:t>
      </w:r>
      <w:r w:rsidRPr="007F4192">
        <w:rPr>
          <w:rFonts w:ascii="Times New Roman" w:hAnsi="Times New Roman" w:cs="Times New Roman"/>
          <w:sz w:val="24"/>
          <w:szCs w:val="24"/>
        </w:rPr>
        <w:t>%</w:t>
      </w:r>
      <w:r w:rsidRPr="00A01819">
        <w:rPr>
          <w:rFonts w:ascii="Times New Roman" w:hAnsi="Times New Roman" w:cs="Times New Roman"/>
          <w:sz w:val="24"/>
          <w:szCs w:val="24"/>
        </w:rPr>
        <w:t xml:space="preserve">), </w:t>
      </w:r>
      <w:r w:rsidR="00221A36" w:rsidRPr="00A01819">
        <w:rPr>
          <w:rFonts w:ascii="Times New Roman" w:hAnsi="Times New Roman" w:cs="Times New Roman"/>
          <w:sz w:val="24"/>
          <w:szCs w:val="24"/>
        </w:rPr>
        <w:t>2</w:t>
      </w:r>
      <w:r w:rsidRPr="00A01819">
        <w:rPr>
          <w:rFonts w:ascii="Times New Roman" w:hAnsi="Times New Roman" w:cs="Times New Roman"/>
          <w:sz w:val="24"/>
          <w:szCs w:val="24"/>
        </w:rPr>
        <w:t>) где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w:t>
      </w:r>
      <w:r w:rsidR="00EB6DB3">
        <w:rPr>
          <w:rFonts w:ascii="Times New Roman" w:hAnsi="Times New Roman" w:cs="Times New Roman"/>
          <w:sz w:val="24"/>
          <w:szCs w:val="24"/>
        </w:rPr>
        <w:t>слуге на релевантном тржишту (</w:t>
      </w:r>
      <w:r w:rsidR="00EB6DB3" w:rsidRPr="007F4192">
        <w:rPr>
          <w:rFonts w:ascii="Times New Roman" w:hAnsi="Times New Roman" w:cs="Times New Roman"/>
          <w:sz w:val="24"/>
          <w:szCs w:val="24"/>
        </w:rPr>
        <w:t>33</w:t>
      </w:r>
      <w:r w:rsidRPr="007F4192">
        <w:rPr>
          <w:rFonts w:ascii="Times New Roman" w:hAnsi="Times New Roman" w:cs="Times New Roman"/>
          <w:sz w:val="24"/>
          <w:szCs w:val="24"/>
        </w:rPr>
        <w:t>%</w:t>
      </w:r>
      <w:r w:rsidRPr="00A01819">
        <w:rPr>
          <w:rFonts w:ascii="Times New Roman" w:hAnsi="Times New Roman" w:cs="Times New Roman"/>
          <w:sz w:val="24"/>
          <w:szCs w:val="24"/>
        </w:rPr>
        <w:t>), и 3) када наручилац који се бави делатношћу из чл. 119 став 1. овог закона набавља енергију или гориво за прои</w:t>
      </w:r>
      <w:r w:rsidR="00EB6DB3">
        <w:rPr>
          <w:rFonts w:ascii="Times New Roman" w:hAnsi="Times New Roman" w:cs="Times New Roman"/>
          <w:sz w:val="24"/>
          <w:szCs w:val="24"/>
        </w:rPr>
        <w:t>зводњу енергије (</w:t>
      </w:r>
      <w:r w:rsidR="00664E86" w:rsidRPr="007F4192">
        <w:rPr>
          <w:rFonts w:ascii="Times New Roman" w:hAnsi="Times New Roman" w:cs="Times New Roman"/>
          <w:sz w:val="24"/>
          <w:szCs w:val="24"/>
          <w:lang w:val="sr-Cyrl-RS"/>
        </w:rPr>
        <w:t>11</w:t>
      </w:r>
      <w:r w:rsidRPr="007F4192">
        <w:rPr>
          <w:rFonts w:ascii="Times New Roman" w:hAnsi="Times New Roman" w:cs="Times New Roman"/>
          <w:sz w:val="24"/>
          <w:szCs w:val="24"/>
        </w:rPr>
        <w:t>%</w:t>
      </w:r>
      <w:r w:rsidRPr="00A01819">
        <w:rPr>
          <w:rFonts w:ascii="Times New Roman" w:hAnsi="Times New Roman" w:cs="Times New Roman"/>
          <w:sz w:val="24"/>
          <w:szCs w:val="24"/>
        </w:rPr>
        <w:t xml:space="preserve">) . У другом случају конкретно </w:t>
      </w:r>
      <w:r w:rsidR="00CF1F3D">
        <w:rPr>
          <w:rFonts w:ascii="Times New Roman" w:hAnsi="Times New Roman" w:cs="Times New Roman"/>
          <w:sz w:val="24"/>
          <w:szCs w:val="24"/>
        </w:rPr>
        <w:t>је реч</w:t>
      </w:r>
      <w:r w:rsidRPr="00A01819">
        <w:rPr>
          <w:rFonts w:ascii="Times New Roman" w:hAnsi="Times New Roman" w:cs="Times New Roman"/>
          <w:sz w:val="24"/>
          <w:szCs w:val="24"/>
        </w:rPr>
        <w:t xml:space="preserve"> о набавкама које је спроводио „Телеком“, а у циљу пружања комуникационих услуга на тржишту на коме постоји конкуренција.  </w:t>
      </w:r>
    </w:p>
    <w:p w:rsidR="00DA4317" w:rsidRDefault="00DA4317" w:rsidP="00DA4317">
      <w:pPr>
        <w:jc w:val="both"/>
        <w:rPr>
          <w:rFonts w:ascii="Times New Roman" w:hAnsi="Times New Roman" w:cs="Times New Roman"/>
          <w:sz w:val="24"/>
          <w:szCs w:val="24"/>
        </w:rPr>
      </w:pPr>
      <w:r w:rsidRPr="00BB0B9A">
        <w:rPr>
          <w:rFonts w:ascii="Times New Roman" w:hAnsi="Times New Roman" w:cs="Times New Roman"/>
          <w:sz w:val="24"/>
          <w:szCs w:val="24"/>
        </w:rPr>
        <w:t>Остали изузеци</w:t>
      </w:r>
      <w:r>
        <w:rPr>
          <w:rFonts w:ascii="Times New Roman" w:hAnsi="Times New Roman" w:cs="Times New Roman"/>
          <w:sz w:val="24"/>
          <w:szCs w:val="24"/>
        </w:rPr>
        <w:t xml:space="preserve"> од примене ЗЈН, појединачно узев, имали су минимално учешће.</w:t>
      </w:r>
    </w:p>
    <w:p w:rsidR="00280F6B" w:rsidRDefault="00280F6B" w:rsidP="00637BC6">
      <w:pPr>
        <w:rPr>
          <w:rFonts w:ascii="Times New Roman" w:hAnsi="Times New Roman" w:cs="Times New Roman"/>
          <w:sz w:val="24"/>
          <w:szCs w:val="24"/>
        </w:rPr>
      </w:pPr>
    </w:p>
    <w:p w:rsidR="00BB7407" w:rsidRPr="003C3BC0" w:rsidRDefault="00BB7407" w:rsidP="003C3BC0">
      <w:pPr>
        <w:pStyle w:val="ListParagraph"/>
        <w:numPr>
          <w:ilvl w:val="0"/>
          <w:numId w:val="4"/>
        </w:numPr>
        <w:rPr>
          <w:rFonts w:ascii="Times New Roman" w:hAnsi="Times New Roman" w:cs="Times New Roman"/>
          <w:b/>
          <w:sz w:val="24"/>
          <w:szCs w:val="24"/>
        </w:rPr>
      </w:pPr>
      <w:r w:rsidRPr="003C3BC0">
        <w:rPr>
          <w:rFonts w:ascii="Times New Roman" w:hAnsi="Times New Roman" w:cs="Times New Roman"/>
          <w:b/>
          <w:sz w:val="24"/>
          <w:szCs w:val="24"/>
        </w:rPr>
        <w:t>ЗАКЉУЧЦИ И ПРЕПОРУКЕ</w:t>
      </w:r>
    </w:p>
    <w:p w:rsidR="00050EE1"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Општи закључак</w:t>
      </w:r>
      <w:r w:rsidR="00050EE1">
        <w:rPr>
          <w:rFonts w:ascii="Times New Roman" w:hAnsi="Times New Roman"/>
          <w:sz w:val="24"/>
          <w:szCs w:val="24"/>
          <w:lang w:val="ru-RU"/>
        </w:rPr>
        <w:t>,</w:t>
      </w:r>
      <w:r w:rsidRPr="002D3646">
        <w:rPr>
          <w:rFonts w:ascii="Times New Roman" w:hAnsi="Times New Roman"/>
          <w:sz w:val="24"/>
          <w:szCs w:val="24"/>
          <w:lang w:val="ru-RU"/>
        </w:rPr>
        <w:t xml:space="preserve"> </w:t>
      </w:r>
      <w:r w:rsidR="00050EE1">
        <w:rPr>
          <w:rFonts w:ascii="Times New Roman" w:hAnsi="Times New Roman"/>
          <w:sz w:val="24"/>
          <w:szCs w:val="24"/>
        </w:rPr>
        <w:t xml:space="preserve">на основу збирних извештаја за 2013. годину, је да је нови Закон о јавним набавкама дао значајне позитивне ефекте. </w:t>
      </w:r>
      <w:r w:rsidRPr="002D3646">
        <w:rPr>
          <w:rFonts w:ascii="Times New Roman" w:hAnsi="Times New Roman"/>
          <w:sz w:val="24"/>
          <w:szCs w:val="24"/>
          <w:lang w:val="ru-RU"/>
        </w:rPr>
        <w:t xml:space="preserve">Најзначајније промене огледају се у јачању транспарентности и конкуренције кроз сузбијање нетранспарентног и неконкурентног преговарачког поступка без објављивања јавног позива. </w:t>
      </w:r>
    </w:p>
    <w:p w:rsid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Током десетогодишњег периода примене ЗЈН, учешће преговарачког поступка без објављивања крет</w:t>
      </w:r>
      <w:r w:rsidR="00050EE1">
        <w:rPr>
          <w:rFonts w:ascii="Times New Roman" w:hAnsi="Times New Roman"/>
          <w:sz w:val="24"/>
          <w:szCs w:val="24"/>
          <w:lang w:val="ru-RU"/>
        </w:rPr>
        <w:t xml:space="preserve">ало се од 23 па </w:t>
      </w:r>
      <w:r w:rsidR="00C3138C">
        <w:rPr>
          <w:rFonts w:ascii="Times New Roman" w:hAnsi="Times New Roman"/>
          <w:sz w:val="24"/>
          <w:szCs w:val="24"/>
          <w:lang w:val="ru-RU"/>
        </w:rPr>
        <w:t>до ч</w:t>
      </w:r>
      <w:r w:rsidR="00050EE1">
        <w:rPr>
          <w:rFonts w:ascii="Times New Roman" w:hAnsi="Times New Roman"/>
          <w:sz w:val="24"/>
          <w:szCs w:val="24"/>
          <w:lang w:val="ru-RU"/>
        </w:rPr>
        <w:t xml:space="preserve">ак 37%, а у првом полугодишту 2013. године износило </w:t>
      </w:r>
      <w:r w:rsidR="00C3138C">
        <w:rPr>
          <w:rFonts w:ascii="Times New Roman" w:hAnsi="Times New Roman"/>
          <w:sz w:val="24"/>
          <w:szCs w:val="24"/>
          <w:lang w:val="ru-RU"/>
        </w:rPr>
        <w:t xml:space="preserve">је </w:t>
      </w:r>
      <w:r w:rsidR="00050EE1">
        <w:rPr>
          <w:rFonts w:ascii="Times New Roman" w:hAnsi="Times New Roman"/>
          <w:sz w:val="24"/>
          <w:szCs w:val="24"/>
          <w:lang w:val="ru-RU"/>
        </w:rPr>
        <w:t xml:space="preserve">24%. </w:t>
      </w:r>
      <w:r w:rsidRPr="002D3646">
        <w:rPr>
          <w:rFonts w:ascii="Times New Roman" w:hAnsi="Times New Roman"/>
          <w:sz w:val="24"/>
          <w:szCs w:val="24"/>
          <w:lang w:val="ru-RU"/>
        </w:rPr>
        <w:t xml:space="preserve">Позитивни ефекти примене новог ЗЈН, по коме је Управа добила овлашћења да даје претходно мишљење о основаности покретања преговарачког поступка, регистровани су у </w:t>
      </w:r>
      <w:r w:rsidR="00050EE1">
        <w:rPr>
          <w:rFonts w:ascii="Times New Roman" w:hAnsi="Times New Roman"/>
          <w:sz w:val="24"/>
          <w:szCs w:val="24"/>
          <w:lang w:val="ru-RU"/>
        </w:rPr>
        <w:t xml:space="preserve">другом полугодишту </w:t>
      </w:r>
      <w:r w:rsidRPr="002D3646">
        <w:rPr>
          <w:rFonts w:ascii="Times New Roman" w:hAnsi="Times New Roman"/>
          <w:sz w:val="24"/>
          <w:szCs w:val="24"/>
          <w:lang w:val="ru-RU"/>
        </w:rPr>
        <w:t>2013. године, када је учешће овог поступка смањено на свега 1</w:t>
      </w:r>
      <w:r w:rsidR="00050EE1">
        <w:rPr>
          <w:rFonts w:ascii="Times New Roman" w:hAnsi="Times New Roman"/>
          <w:sz w:val="24"/>
          <w:szCs w:val="24"/>
          <w:lang w:val="ru-RU"/>
        </w:rPr>
        <w:t>1</w:t>
      </w:r>
      <w:r w:rsidRPr="002D3646">
        <w:rPr>
          <w:rFonts w:ascii="Times New Roman" w:hAnsi="Times New Roman"/>
          <w:sz w:val="24"/>
          <w:szCs w:val="24"/>
          <w:lang w:val="ru-RU"/>
        </w:rPr>
        <w:t xml:space="preserve">%.  </w:t>
      </w:r>
    </w:p>
    <w:p w:rsidR="00C3138C" w:rsidRPr="00022653" w:rsidRDefault="00C3138C" w:rsidP="00C3138C">
      <w:pPr>
        <w:jc w:val="both"/>
        <w:rPr>
          <w:rFonts w:ascii="Times New Roman" w:hAnsi="Times New Roman" w:cs="Times New Roman"/>
          <w:sz w:val="24"/>
          <w:szCs w:val="24"/>
        </w:rPr>
      </w:pPr>
      <w:r w:rsidRPr="00022653">
        <w:rPr>
          <w:rFonts w:ascii="Times New Roman" w:hAnsi="Times New Roman" w:cs="Times New Roman"/>
          <w:sz w:val="24"/>
          <w:szCs w:val="24"/>
        </w:rPr>
        <w:t xml:space="preserve">Други општи закључак је да је потребно </w:t>
      </w:r>
      <w:r w:rsidR="001D11EB">
        <w:rPr>
          <w:rFonts w:ascii="Times New Roman" w:hAnsi="Times New Roman" w:cs="Times New Roman"/>
          <w:sz w:val="24"/>
          <w:szCs w:val="24"/>
        </w:rPr>
        <w:t xml:space="preserve">наставити са </w:t>
      </w:r>
      <w:r w:rsidRPr="00022653">
        <w:rPr>
          <w:rFonts w:ascii="Times New Roman" w:hAnsi="Times New Roman" w:cs="Times New Roman"/>
          <w:sz w:val="24"/>
          <w:szCs w:val="24"/>
        </w:rPr>
        <w:t>предуз</w:t>
      </w:r>
      <w:r w:rsidR="001D11EB">
        <w:rPr>
          <w:rFonts w:ascii="Times New Roman" w:hAnsi="Times New Roman" w:cs="Times New Roman"/>
          <w:sz w:val="24"/>
          <w:szCs w:val="24"/>
        </w:rPr>
        <w:t xml:space="preserve">имањем мера како би се </w:t>
      </w:r>
      <w:r w:rsidRPr="00022653">
        <w:rPr>
          <w:rFonts w:ascii="Times New Roman" w:hAnsi="Times New Roman" w:cs="Times New Roman"/>
          <w:sz w:val="24"/>
          <w:szCs w:val="24"/>
        </w:rPr>
        <w:t>повећа</w:t>
      </w:r>
      <w:r w:rsidR="001D11EB">
        <w:rPr>
          <w:rFonts w:ascii="Times New Roman" w:hAnsi="Times New Roman" w:cs="Times New Roman"/>
          <w:sz w:val="24"/>
          <w:szCs w:val="24"/>
        </w:rPr>
        <w:t>ло</w:t>
      </w:r>
      <w:r w:rsidRPr="00022653">
        <w:rPr>
          <w:rFonts w:ascii="Times New Roman" w:hAnsi="Times New Roman" w:cs="Times New Roman"/>
          <w:sz w:val="24"/>
          <w:szCs w:val="24"/>
        </w:rPr>
        <w:t xml:space="preserve"> учешће понуђача у поступцима јавних набавки и тиме побољша</w:t>
      </w:r>
      <w:r w:rsidR="0045430D">
        <w:rPr>
          <w:rFonts w:ascii="Times New Roman" w:hAnsi="Times New Roman" w:cs="Times New Roman"/>
          <w:sz w:val="24"/>
          <w:szCs w:val="24"/>
        </w:rPr>
        <w:t>о</w:t>
      </w:r>
      <w:r w:rsidRPr="00022653">
        <w:rPr>
          <w:rFonts w:ascii="Times New Roman" w:hAnsi="Times New Roman" w:cs="Times New Roman"/>
          <w:sz w:val="24"/>
          <w:szCs w:val="24"/>
        </w:rPr>
        <w:t xml:space="preserve"> показатељ интензитета конкуренције. </w:t>
      </w:r>
      <w:r w:rsidR="001D11EB">
        <w:rPr>
          <w:rFonts w:ascii="Times New Roman" w:hAnsi="Times New Roman"/>
          <w:sz w:val="24"/>
          <w:szCs w:val="24"/>
          <w:lang w:val="ru-RU"/>
        </w:rPr>
        <w:t xml:space="preserve">Значајан корак ка олакшавању учешћа понуђача у поступцима јавних набавки начињен је почетком рада Регистра понуђача. Понуђачима је даље </w:t>
      </w:r>
      <w:r w:rsidRPr="00022653">
        <w:rPr>
          <w:rFonts w:ascii="Times New Roman" w:hAnsi="Times New Roman" w:cs="Times New Roman"/>
          <w:sz w:val="24"/>
          <w:szCs w:val="24"/>
        </w:rPr>
        <w:t xml:space="preserve">неопходно  обезбедити обуке како би се </w:t>
      </w:r>
      <w:r w:rsidR="001D45F3" w:rsidRPr="00022653">
        <w:rPr>
          <w:rFonts w:ascii="Times New Roman" w:hAnsi="Times New Roman" w:cs="Times New Roman"/>
          <w:sz w:val="24"/>
          <w:szCs w:val="24"/>
        </w:rPr>
        <w:t>превазишл</w:t>
      </w:r>
      <w:r w:rsidR="0045430D">
        <w:rPr>
          <w:rFonts w:ascii="Times New Roman" w:hAnsi="Times New Roman" w:cs="Times New Roman"/>
          <w:sz w:val="24"/>
          <w:szCs w:val="24"/>
        </w:rPr>
        <w:t>а</w:t>
      </w:r>
      <w:r w:rsidR="001D45F3" w:rsidRPr="00022653">
        <w:rPr>
          <w:rFonts w:ascii="Times New Roman" w:hAnsi="Times New Roman" w:cs="Times New Roman"/>
          <w:sz w:val="24"/>
          <w:szCs w:val="24"/>
        </w:rPr>
        <w:t xml:space="preserve"> недовољна</w:t>
      </w:r>
      <w:r w:rsidRPr="00022653">
        <w:rPr>
          <w:rFonts w:ascii="Times New Roman" w:hAnsi="Times New Roman" w:cs="Times New Roman"/>
          <w:sz w:val="24"/>
          <w:szCs w:val="24"/>
        </w:rPr>
        <w:t xml:space="preserve"> информисаност и непознавањ</w:t>
      </w:r>
      <w:r w:rsidR="001D45F3" w:rsidRPr="00022653">
        <w:rPr>
          <w:rFonts w:ascii="Times New Roman" w:hAnsi="Times New Roman" w:cs="Times New Roman"/>
          <w:sz w:val="24"/>
          <w:szCs w:val="24"/>
        </w:rPr>
        <w:t>е</w:t>
      </w:r>
      <w:r w:rsidRPr="00022653">
        <w:rPr>
          <w:rFonts w:ascii="Times New Roman" w:hAnsi="Times New Roman" w:cs="Times New Roman"/>
          <w:sz w:val="24"/>
          <w:szCs w:val="24"/>
        </w:rPr>
        <w:t xml:space="preserve"> процедура јавних набавки. Посебну пажњу потребно </w:t>
      </w:r>
      <w:r w:rsidR="0045430D" w:rsidRPr="00022653">
        <w:rPr>
          <w:rFonts w:ascii="Times New Roman" w:hAnsi="Times New Roman" w:cs="Times New Roman"/>
          <w:sz w:val="24"/>
          <w:szCs w:val="24"/>
        </w:rPr>
        <w:t xml:space="preserve">је </w:t>
      </w:r>
      <w:r w:rsidRPr="00022653">
        <w:rPr>
          <w:rFonts w:ascii="Times New Roman" w:hAnsi="Times New Roman" w:cs="Times New Roman"/>
          <w:sz w:val="24"/>
          <w:szCs w:val="24"/>
        </w:rPr>
        <w:t xml:space="preserve">посветити малим и средњим предузећима (МСП) која су најбројнија и која могу да, својим већим учествовањем у поступцима јавних набавки, створе интензивнију конкуренцију. </w:t>
      </w:r>
    </w:p>
    <w:p w:rsidR="00D261EC" w:rsidRDefault="00C3138C" w:rsidP="00C469B9">
      <w:pPr>
        <w:jc w:val="both"/>
        <w:rPr>
          <w:rFonts w:ascii="Times New Roman" w:hAnsi="Times New Roman" w:cs="Times New Roman"/>
          <w:sz w:val="24"/>
          <w:szCs w:val="24"/>
        </w:rPr>
      </w:pPr>
      <w:r w:rsidRPr="00022653">
        <w:rPr>
          <w:rFonts w:ascii="Times New Roman" w:hAnsi="Times New Roman" w:cs="Times New Roman"/>
          <w:sz w:val="24"/>
          <w:szCs w:val="24"/>
        </w:rPr>
        <w:t>Такође је важно идентификова</w:t>
      </w:r>
      <w:r w:rsidR="007F4192">
        <w:rPr>
          <w:rFonts w:ascii="Times New Roman" w:hAnsi="Times New Roman" w:cs="Times New Roman"/>
          <w:sz w:val="24"/>
          <w:szCs w:val="24"/>
          <w:lang w:val="sr-Cyrl-RS"/>
        </w:rPr>
        <w:t>ње</w:t>
      </w:r>
      <w:r w:rsidRPr="00022653">
        <w:rPr>
          <w:rFonts w:ascii="Times New Roman" w:hAnsi="Times New Roman" w:cs="Times New Roman"/>
          <w:sz w:val="24"/>
          <w:szCs w:val="24"/>
        </w:rPr>
        <w:t xml:space="preserve"> препрека за веће учешће МСП у поступцима набавки</w:t>
      </w:r>
      <w:r w:rsidR="001D11EB">
        <w:rPr>
          <w:rFonts w:ascii="Times New Roman" w:hAnsi="Times New Roman" w:cs="Times New Roman"/>
          <w:sz w:val="24"/>
          <w:szCs w:val="24"/>
        </w:rPr>
        <w:t>,</w:t>
      </w:r>
      <w:r w:rsidRPr="00022653">
        <w:rPr>
          <w:rFonts w:ascii="Times New Roman" w:hAnsi="Times New Roman" w:cs="Times New Roman"/>
          <w:sz w:val="24"/>
          <w:szCs w:val="24"/>
        </w:rPr>
        <w:t xml:space="preserve"> имајући у виду да су ова предузећа најрањивија категорија понуђача, посебно </w:t>
      </w:r>
      <w:r w:rsidR="001D45F3" w:rsidRPr="00022653">
        <w:rPr>
          <w:rFonts w:ascii="Times New Roman" w:hAnsi="Times New Roman" w:cs="Times New Roman"/>
          <w:sz w:val="24"/>
          <w:szCs w:val="24"/>
        </w:rPr>
        <w:t xml:space="preserve">са аспекта централизације </w:t>
      </w:r>
      <w:r w:rsidR="00022653" w:rsidRPr="00022653">
        <w:rPr>
          <w:rFonts w:ascii="Times New Roman" w:hAnsi="Times New Roman" w:cs="Times New Roman"/>
          <w:sz w:val="24"/>
          <w:szCs w:val="24"/>
        </w:rPr>
        <w:t xml:space="preserve">јавних </w:t>
      </w:r>
      <w:r w:rsidR="0045430D">
        <w:rPr>
          <w:rFonts w:ascii="Times New Roman" w:hAnsi="Times New Roman" w:cs="Times New Roman"/>
          <w:sz w:val="24"/>
          <w:szCs w:val="24"/>
        </w:rPr>
        <w:t>набавки чији се развој очекује</w:t>
      </w:r>
      <w:r w:rsidR="007945D9">
        <w:rPr>
          <w:rFonts w:ascii="Times New Roman" w:hAnsi="Times New Roman" w:cs="Times New Roman"/>
          <w:sz w:val="24"/>
          <w:szCs w:val="24"/>
        </w:rPr>
        <w:t xml:space="preserve"> у предстојећем периоду</w:t>
      </w:r>
      <w:r w:rsidR="0045430D">
        <w:rPr>
          <w:rFonts w:ascii="Times New Roman" w:hAnsi="Times New Roman" w:cs="Times New Roman"/>
          <w:sz w:val="24"/>
          <w:szCs w:val="24"/>
        </w:rPr>
        <w:t xml:space="preserve">. </w:t>
      </w:r>
      <w:r w:rsidRPr="00022653">
        <w:rPr>
          <w:rFonts w:ascii="Times New Roman" w:hAnsi="Times New Roman" w:cs="Times New Roman"/>
          <w:sz w:val="24"/>
          <w:szCs w:val="24"/>
        </w:rPr>
        <w:t xml:space="preserve"> У складу са идентификованим ограничењима, неопходно је утврдити сет мера за њихово превазилажење како би се</w:t>
      </w:r>
      <w:r w:rsidR="007945D9">
        <w:rPr>
          <w:rFonts w:ascii="Times New Roman" w:hAnsi="Times New Roman" w:cs="Times New Roman"/>
          <w:sz w:val="24"/>
          <w:szCs w:val="24"/>
        </w:rPr>
        <w:t>,</w:t>
      </w:r>
      <w:r w:rsidRPr="00022653">
        <w:rPr>
          <w:rFonts w:ascii="Times New Roman" w:hAnsi="Times New Roman" w:cs="Times New Roman"/>
          <w:sz w:val="24"/>
          <w:szCs w:val="24"/>
        </w:rPr>
        <w:t xml:space="preserve"> у </w:t>
      </w:r>
      <w:r w:rsidR="007945D9">
        <w:rPr>
          <w:rFonts w:ascii="Times New Roman" w:hAnsi="Times New Roman" w:cs="Times New Roman"/>
          <w:sz w:val="24"/>
          <w:szCs w:val="24"/>
        </w:rPr>
        <w:t xml:space="preserve">наредном </w:t>
      </w:r>
      <w:r w:rsidRPr="00022653">
        <w:rPr>
          <w:rFonts w:ascii="Times New Roman" w:hAnsi="Times New Roman" w:cs="Times New Roman"/>
          <w:sz w:val="24"/>
          <w:szCs w:val="24"/>
        </w:rPr>
        <w:t>периоду</w:t>
      </w:r>
      <w:r w:rsidR="007945D9">
        <w:rPr>
          <w:rFonts w:ascii="Times New Roman" w:hAnsi="Times New Roman" w:cs="Times New Roman"/>
          <w:sz w:val="24"/>
          <w:szCs w:val="24"/>
        </w:rPr>
        <w:t>,</w:t>
      </w:r>
      <w:r w:rsidRPr="00022653">
        <w:rPr>
          <w:rFonts w:ascii="Times New Roman" w:hAnsi="Times New Roman" w:cs="Times New Roman"/>
          <w:sz w:val="24"/>
          <w:szCs w:val="24"/>
        </w:rPr>
        <w:t xml:space="preserve"> обезбедило веће учешће МСП у поступцима јавних набавки. </w:t>
      </w:r>
    </w:p>
    <w:p w:rsidR="00C3138C" w:rsidRPr="001D11EB" w:rsidRDefault="00D261EC" w:rsidP="00C469B9">
      <w:pPr>
        <w:jc w:val="both"/>
        <w:rPr>
          <w:rFonts w:ascii="Times New Roman" w:hAnsi="Times New Roman" w:cs="Times New Roman"/>
          <w:sz w:val="24"/>
          <w:szCs w:val="24"/>
        </w:rPr>
      </w:pPr>
      <w:r>
        <w:rPr>
          <w:rFonts w:ascii="Times New Roman" w:hAnsi="Times New Roman" w:cs="Times New Roman"/>
          <w:sz w:val="24"/>
          <w:szCs w:val="24"/>
        </w:rPr>
        <w:t>Следеће запажање везано за почетак примене новог закона је да је, увођењем бољег надзора над применом закона, обезбеђено да наручиоци који су себе неосновано изузели од примене ЗЈН, као што су апотекарске установе, на пример, почну да примењују ЗЈН. То је био значајан корак ка пуној примени закона</w:t>
      </w:r>
      <w:r w:rsidR="00C80620">
        <w:rPr>
          <w:rFonts w:ascii="Times New Roman" w:hAnsi="Times New Roman" w:cs="Times New Roman"/>
          <w:sz w:val="24"/>
          <w:szCs w:val="24"/>
        </w:rPr>
        <w:t xml:space="preserve"> на свим нивоима. </w:t>
      </w:r>
      <w:r>
        <w:rPr>
          <w:rFonts w:ascii="Times New Roman" w:hAnsi="Times New Roman" w:cs="Times New Roman"/>
          <w:sz w:val="24"/>
          <w:szCs w:val="24"/>
        </w:rPr>
        <w:t xml:space="preserve">  </w:t>
      </w:r>
      <w:r w:rsidR="00C3138C" w:rsidRPr="00022653">
        <w:rPr>
          <w:rFonts w:ascii="Times New Roman" w:hAnsi="Times New Roman" w:cs="Times New Roman"/>
          <w:sz w:val="24"/>
          <w:szCs w:val="24"/>
        </w:rPr>
        <w:t xml:space="preserve">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lastRenderedPageBreak/>
        <w:t>Имајући у виду почетак преговора у оквиру Поглавља 5 – јавне набавке, неопходно је</w:t>
      </w:r>
      <w:r w:rsidR="00C3138C">
        <w:rPr>
          <w:rFonts w:ascii="Times New Roman" w:hAnsi="Times New Roman"/>
          <w:sz w:val="24"/>
          <w:szCs w:val="24"/>
          <w:lang w:val="ru-RU"/>
        </w:rPr>
        <w:t>,</w:t>
      </w:r>
      <w:r w:rsidRPr="002D3646">
        <w:rPr>
          <w:rFonts w:ascii="Times New Roman" w:hAnsi="Times New Roman"/>
          <w:sz w:val="24"/>
          <w:szCs w:val="24"/>
          <w:lang w:val="ru-RU"/>
        </w:rPr>
        <w:t xml:space="preserve"> у планираним реформама јавних набавки</w:t>
      </w:r>
      <w:r w:rsidR="00C3138C">
        <w:rPr>
          <w:rFonts w:ascii="Times New Roman" w:hAnsi="Times New Roman"/>
          <w:sz w:val="24"/>
          <w:szCs w:val="24"/>
          <w:lang w:val="ru-RU"/>
        </w:rPr>
        <w:t>,</w:t>
      </w:r>
      <w:r w:rsidR="00E430B6">
        <w:rPr>
          <w:rFonts w:ascii="Times New Roman" w:hAnsi="Times New Roman"/>
          <w:sz w:val="24"/>
          <w:szCs w:val="24"/>
          <w:lang w:val="ru-RU"/>
        </w:rPr>
        <w:t xml:space="preserve"> узети у обзир и </w:t>
      </w:r>
      <w:r w:rsidRPr="002D3646">
        <w:rPr>
          <w:rFonts w:ascii="Times New Roman" w:hAnsi="Times New Roman"/>
          <w:sz w:val="24"/>
          <w:szCs w:val="24"/>
          <w:lang w:val="ru-RU"/>
        </w:rPr>
        <w:t>препоруке Европск</w:t>
      </w:r>
      <w:r w:rsidR="001D11EB">
        <w:rPr>
          <w:rFonts w:ascii="Times New Roman" w:hAnsi="Times New Roman"/>
          <w:sz w:val="24"/>
          <w:szCs w:val="24"/>
          <w:lang w:val="ru-RU"/>
        </w:rPr>
        <w:t xml:space="preserve">е комисије (ЕК). </w:t>
      </w:r>
      <w:r w:rsidR="00E430B6">
        <w:rPr>
          <w:rFonts w:ascii="Times New Roman" w:hAnsi="Times New Roman"/>
          <w:sz w:val="24"/>
          <w:szCs w:val="24"/>
          <w:lang w:val="ru-RU"/>
        </w:rPr>
        <w:t xml:space="preserve">Из тог разлога </w:t>
      </w:r>
      <w:r w:rsidRPr="002D3646">
        <w:rPr>
          <w:rFonts w:ascii="Times New Roman" w:hAnsi="Times New Roman"/>
          <w:sz w:val="24"/>
          <w:szCs w:val="24"/>
          <w:lang w:val="ru-RU"/>
        </w:rPr>
        <w:t xml:space="preserve">оцене и препоруке </w:t>
      </w:r>
      <w:r w:rsidR="00E430B6">
        <w:rPr>
          <w:rFonts w:ascii="Times New Roman" w:hAnsi="Times New Roman"/>
          <w:sz w:val="24"/>
          <w:szCs w:val="24"/>
          <w:lang w:val="ru-RU"/>
        </w:rPr>
        <w:t xml:space="preserve">дате у овом извештају у великој мери полазе од </w:t>
      </w:r>
      <w:r w:rsidRPr="002D3646">
        <w:rPr>
          <w:rFonts w:ascii="Times New Roman" w:hAnsi="Times New Roman"/>
          <w:sz w:val="24"/>
          <w:szCs w:val="24"/>
          <w:lang w:val="ru-RU"/>
        </w:rPr>
        <w:t>препорук</w:t>
      </w:r>
      <w:r w:rsidR="001D11EB">
        <w:rPr>
          <w:rFonts w:ascii="Times New Roman" w:hAnsi="Times New Roman"/>
          <w:sz w:val="24"/>
          <w:szCs w:val="24"/>
          <w:lang w:val="ru-RU"/>
        </w:rPr>
        <w:t>а</w:t>
      </w:r>
      <w:r w:rsidRPr="002D3646">
        <w:rPr>
          <w:rFonts w:ascii="Times New Roman" w:hAnsi="Times New Roman"/>
          <w:sz w:val="24"/>
          <w:szCs w:val="24"/>
          <w:lang w:val="ru-RU"/>
        </w:rPr>
        <w:t xml:space="preserve"> ЕК </w:t>
      </w:r>
      <w:r w:rsidR="00E430B6">
        <w:rPr>
          <w:rFonts w:ascii="Times New Roman" w:hAnsi="Times New Roman"/>
          <w:sz w:val="24"/>
          <w:szCs w:val="24"/>
          <w:lang w:val="ru-RU"/>
        </w:rPr>
        <w:t xml:space="preserve">и СИГМА садржаних у њиховим последњим извештајима.   </w:t>
      </w:r>
      <w:r w:rsidRPr="002D3646">
        <w:rPr>
          <w:rFonts w:ascii="Times New Roman" w:hAnsi="Times New Roman"/>
          <w:sz w:val="24"/>
          <w:szCs w:val="24"/>
          <w:lang w:val="ru-RU"/>
        </w:rPr>
        <w:t xml:space="preserve">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Конкретно, удео преговарачког поступка без објављивања у ЕУ креће се на нивоу од око 5%, што значи да је, у наредном периоду, потребно даље смањивање заступљености овог поступка.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Други кључан показатељ на који ће бити сконцентрисана пажња током преговора са ЕУ  јесу изузећа од примене ЗЈН. Управи за јавне набавке је, од 1. априла 2013. године, стигло преко 600 захтева за изузеће. Велики интерес за изузимањем од примене ЗЈН је у супротности са препоруком ЕК да се изузећа сведу на најмању меру.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У том смислу је од посебног значаја </w:t>
      </w:r>
      <w:r w:rsidR="0067375D">
        <w:rPr>
          <w:rFonts w:ascii="Times New Roman" w:hAnsi="Times New Roman"/>
          <w:sz w:val="24"/>
          <w:szCs w:val="24"/>
          <w:lang w:val="ru-RU"/>
        </w:rPr>
        <w:t>да се ради</w:t>
      </w:r>
      <w:r w:rsidRPr="002D3646">
        <w:rPr>
          <w:rFonts w:ascii="Times New Roman" w:hAnsi="Times New Roman"/>
          <w:sz w:val="24"/>
          <w:szCs w:val="24"/>
          <w:lang w:val="ru-RU"/>
        </w:rPr>
        <w:t xml:space="preserve"> на промени свести наручилаца која је формирана током протеклих десет година. Наиме, као последица одсуства ефективног надзора над применом Закона у периоду од 2003. до 2013. године било је присутно непримењивање ЗЈН</w:t>
      </w:r>
      <w:r w:rsidR="001D11EB">
        <w:rPr>
          <w:rFonts w:ascii="Times New Roman" w:hAnsi="Times New Roman"/>
          <w:sz w:val="24"/>
          <w:szCs w:val="24"/>
          <w:lang w:val="ru-RU"/>
        </w:rPr>
        <w:t>,</w:t>
      </w:r>
      <w:r w:rsidRPr="002D3646">
        <w:rPr>
          <w:rFonts w:ascii="Times New Roman" w:hAnsi="Times New Roman"/>
          <w:sz w:val="24"/>
          <w:szCs w:val="24"/>
          <w:lang w:val="ru-RU"/>
        </w:rPr>
        <w:t xml:space="preserve"> упркос јасној законској обавези, као што је то био случај са апотекарским установама широм Србије. Поред ових установа, и други бројни наручиоци су покушавали да се изузму од примене ЗЈН.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Промена свести која треба да се оствари у наредном периоду састојала би се у томе да се наручиоци превасходно окрену спровођењу отвореног поступка, </w:t>
      </w:r>
      <w:r w:rsidR="00E430B6">
        <w:rPr>
          <w:rFonts w:ascii="Times New Roman" w:hAnsi="Times New Roman"/>
          <w:sz w:val="24"/>
          <w:szCs w:val="24"/>
          <w:lang w:val="ru-RU"/>
        </w:rPr>
        <w:t>а</w:t>
      </w:r>
      <w:r w:rsidRPr="002D3646">
        <w:rPr>
          <w:rFonts w:ascii="Times New Roman" w:hAnsi="Times New Roman"/>
          <w:sz w:val="24"/>
          <w:szCs w:val="24"/>
          <w:lang w:val="ru-RU"/>
        </w:rPr>
        <w:t xml:space="preserve"> само у изузетним случајевима да </w:t>
      </w:r>
      <w:r w:rsidR="00E430B6">
        <w:rPr>
          <w:rFonts w:ascii="Times New Roman" w:hAnsi="Times New Roman"/>
          <w:sz w:val="24"/>
          <w:szCs w:val="24"/>
          <w:lang w:val="ru-RU"/>
        </w:rPr>
        <w:t xml:space="preserve">користе </w:t>
      </w:r>
      <w:r w:rsidRPr="002D3646">
        <w:rPr>
          <w:rFonts w:ascii="Times New Roman" w:hAnsi="Times New Roman"/>
          <w:sz w:val="24"/>
          <w:szCs w:val="24"/>
          <w:lang w:val="ru-RU"/>
        </w:rPr>
        <w:t xml:space="preserve">преговарачки </w:t>
      </w:r>
      <w:r w:rsidR="00E27300">
        <w:rPr>
          <w:rFonts w:ascii="Times New Roman" w:hAnsi="Times New Roman"/>
          <w:sz w:val="24"/>
          <w:szCs w:val="24"/>
          <w:lang w:val="ru-RU"/>
        </w:rPr>
        <w:t xml:space="preserve">поступак </w:t>
      </w:r>
      <w:r w:rsidRPr="002D3646">
        <w:rPr>
          <w:rFonts w:ascii="Times New Roman" w:hAnsi="Times New Roman"/>
          <w:sz w:val="24"/>
          <w:szCs w:val="24"/>
          <w:lang w:val="ru-RU"/>
        </w:rPr>
        <w:t>без објављивања</w:t>
      </w:r>
      <w:r w:rsidR="00E430B6">
        <w:rPr>
          <w:rFonts w:ascii="Times New Roman" w:hAnsi="Times New Roman"/>
          <w:sz w:val="24"/>
          <w:szCs w:val="24"/>
          <w:lang w:val="ru-RU"/>
        </w:rPr>
        <w:t>, чиме би се остварила примена начела обезбеђивања конкуренције</w:t>
      </w:r>
      <w:r w:rsidRPr="002D3646">
        <w:rPr>
          <w:rFonts w:ascii="Times New Roman" w:hAnsi="Times New Roman"/>
          <w:sz w:val="24"/>
          <w:szCs w:val="24"/>
          <w:lang w:val="ru-RU"/>
        </w:rPr>
        <w:t xml:space="preserve">. </w:t>
      </w:r>
    </w:p>
    <w:p w:rsidR="00465356" w:rsidRPr="00DE3A35" w:rsidRDefault="00465356" w:rsidP="00465356">
      <w:pPr>
        <w:jc w:val="both"/>
        <w:rPr>
          <w:rFonts w:ascii="Times New Roman" w:hAnsi="Times New Roman"/>
          <w:sz w:val="24"/>
          <w:szCs w:val="24"/>
        </w:rPr>
      </w:pPr>
      <w:r w:rsidRPr="002D3646">
        <w:rPr>
          <w:rFonts w:ascii="Times New Roman" w:hAnsi="Times New Roman"/>
          <w:sz w:val="24"/>
          <w:szCs w:val="24"/>
        </w:rPr>
        <w:t xml:space="preserve">Европска комисија је, у Извештају о напретку, дала препоруку да Србија ажурира Стратегију развоја јавних набавки и Акциони план за њено спровођење тако да се њима обухвате све неопходне реформе у погледу законодавног усклађивања и изградње институционалних капацитета.  </w:t>
      </w:r>
      <w:r>
        <w:rPr>
          <w:rFonts w:ascii="Times New Roman" w:hAnsi="Times New Roman"/>
          <w:sz w:val="24"/>
          <w:szCs w:val="24"/>
        </w:rPr>
        <w:t>Као што је у Кварталном извештају Управе за јавне набавке од 7. марта 2014. године упућеног Влади Републике Србије наведено, о</w:t>
      </w:r>
      <w:r w:rsidRPr="002D3646">
        <w:rPr>
          <w:rFonts w:ascii="Times New Roman" w:hAnsi="Times New Roman"/>
          <w:sz w:val="24"/>
          <w:szCs w:val="24"/>
        </w:rPr>
        <w:t>д Србије се</w:t>
      </w:r>
      <w:r>
        <w:rPr>
          <w:rFonts w:ascii="Times New Roman" w:hAnsi="Times New Roman"/>
          <w:sz w:val="24"/>
          <w:szCs w:val="24"/>
        </w:rPr>
        <w:t>, у том смислу,</w:t>
      </w:r>
      <w:r w:rsidRPr="002D3646">
        <w:rPr>
          <w:rFonts w:ascii="Times New Roman" w:hAnsi="Times New Roman"/>
          <w:sz w:val="24"/>
          <w:szCs w:val="24"/>
        </w:rPr>
        <w:t xml:space="preserve"> очекује да, у складу са Стратегијом и Акционим планом, покаже да</w:t>
      </w:r>
      <w:r>
        <w:rPr>
          <w:rFonts w:ascii="Times New Roman" w:hAnsi="Times New Roman"/>
          <w:sz w:val="24"/>
          <w:szCs w:val="24"/>
        </w:rPr>
        <w:t xml:space="preserve"> </w:t>
      </w:r>
      <w:r w:rsidRPr="002D3646">
        <w:rPr>
          <w:rFonts w:ascii="Times New Roman" w:hAnsi="Times New Roman"/>
          <w:sz w:val="24"/>
          <w:szCs w:val="24"/>
        </w:rPr>
        <w:t>државне институције надлежне за креирање</w:t>
      </w:r>
      <w:r w:rsidRPr="002D3646">
        <w:rPr>
          <w:rFonts w:ascii="Times New Roman" w:hAnsi="Times New Roman"/>
          <w:sz w:val="24"/>
          <w:szCs w:val="24"/>
          <w:lang w:val="en-GB"/>
        </w:rPr>
        <w:t xml:space="preserve">, </w:t>
      </w:r>
      <w:r w:rsidRPr="002D3646">
        <w:rPr>
          <w:rFonts w:ascii="Times New Roman" w:hAnsi="Times New Roman"/>
          <w:sz w:val="24"/>
          <w:szCs w:val="24"/>
        </w:rPr>
        <w:t>спровођење и примену политике јавних набавки могу адекватно да врше своје задатке, нарочито законодавне функције и функције праћења и контроле</w:t>
      </w:r>
      <w:r>
        <w:rPr>
          <w:rFonts w:ascii="Times New Roman" w:hAnsi="Times New Roman"/>
          <w:sz w:val="24"/>
          <w:szCs w:val="24"/>
        </w:rPr>
        <w:t>. То конкретно значи, као што је наведено и у препорукама ЕК, да се јасно одреди ко ће припремати нацрте закона и бити “</w:t>
      </w:r>
      <w:r w:rsidRPr="005E26B7">
        <w:rPr>
          <w:rFonts w:ascii="Times New Roman" w:hAnsi="Times New Roman"/>
          <w:i/>
          <w:sz w:val="24"/>
          <w:szCs w:val="24"/>
        </w:rPr>
        <w:t>Policy body</w:t>
      </w:r>
      <w:r>
        <w:rPr>
          <w:rFonts w:ascii="Times New Roman" w:hAnsi="Times New Roman"/>
          <w:sz w:val="24"/>
          <w:szCs w:val="24"/>
        </w:rPr>
        <w:t xml:space="preserve">” за јавне набавке, као и ко ће водити преговоре са ЕУ у оквиру Поглавља 5, јавне набавке. </w:t>
      </w:r>
    </w:p>
    <w:p w:rsidR="00465356" w:rsidRPr="002D3646" w:rsidRDefault="00465356" w:rsidP="00465356">
      <w:pPr>
        <w:jc w:val="both"/>
        <w:rPr>
          <w:rFonts w:ascii="Times New Roman" w:hAnsi="Times New Roman"/>
          <w:sz w:val="24"/>
          <w:szCs w:val="24"/>
          <w:lang w:val="ru-RU"/>
        </w:rPr>
      </w:pPr>
      <w:r>
        <w:rPr>
          <w:rFonts w:ascii="Times New Roman" w:hAnsi="Times New Roman"/>
          <w:sz w:val="24"/>
          <w:szCs w:val="24"/>
          <w:lang w:val="ru-RU"/>
        </w:rPr>
        <w:t xml:space="preserve">Јасно решавање поменута два питања представља кључну претпоставку од које ће зависити темпо реформи у области јавних набавки и динамика преговора у оквиру поглавља 5, Јавне набавке. Та решења морају бити унета у ажурирану Стратегију </w:t>
      </w:r>
      <w:r w:rsidRPr="002D3646">
        <w:rPr>
          <w:rFonts w:ascii="Times New Roman" w:hAnsi="Times New Roman"/>
          <w:sz w:val="24"/>
          <w:szCs w:val="24"/>
          <w:lang w:val="ru-RU"/>
        </w:rPr>
        <w:t>развоја јавних набавки и Акцион</w:t>
      </w:r>
      <w:r>
        <w:rPr>
          <w:rFonts w:ascii="Times New Roman" w:hAnsi="Times New Roman"/>
          <w:sz w:val="24"/>
          <w:szCs w:val="24"/>
          <w:lang w:val="ru-RU"/>
        </w:rPr>
        <w:t>и план</w:t>
      </w:r>
      <w:r w:rsidRPr="002D3646">
        <w:rPr>
          <w:rFonts w:ascii="Times New Roman" w:hAnsi="Times New Roman"/>
          <w:sz w:val="24"/>
          <w:szCs w:val="24"/>
          <w:lang w:val="ru-RU"/>
        </w:rPr>
        <w:t xml:space="preserve"> за њено спровођење</w:t>
      </w:r>
      <w:r>
        <w:rPr>
          <w:rFonts w:ascii="Times New Roman" w:hAnsi="Times New Roman"/>
          <w:sz w:val="24"/>
          <w:szCs w:val="24"/>
          <w:lang w:val="ru-RU"/>
        </w:rPr>
        <w:t xml:space="preserve">. Ажурирана </w:t>
      </w:r>
      <w:r w:rsidRPr="002D3646">
        <w:rPr>
          <w:rFonts w:ascii="Times New Roman" w:hAnsi="Times New Roman"/>
          <w:sz w:val="24"/>
          <w:szCs w:val="24"/>
          <w:lang w:val="ru-RU"/>
        </w:rPr>
        <w:t xml:space="preserve">Стратегија и Акциони план морају садржати јасно дефинисане надлежности не само за јавне набавке, већ и за повезане области као што су концесије и јавно приватно партнерство. Не сме се дозволити да промене </w:t>
      </w:r>
      <w:r>
        <w:rPr>
          <w:rFonts w:ascii="Times New Roman" w:hAnsi="Times New Roman"/>
          <w:sz w:val="24"/>
          <w:szCs w:val="24"/>
          <w:lang w:val="ru-RU"/>
        </w:rPr>
        <w:t xml:space="preserve">других </w:t>
      </w:r>
      <w:r w:rsidRPr="002D3646">
        <w:rPr>
          <w:rFonts w:ascii="Times New Roman" w:hAnsi="Times New Roman"/>
          <w:sz w:val="24"/>
          <w:szCs w:val="24"/>
          <w:lang w:val="ru-RU"/>
        </w:rPr>
        <w:t>закона дерогирају ЗЈН, већ се мора обезбедити пуна координација и усклађеност у доношењу прописа.</w:t>
      </w:r>
    </w:p>
    <w:p w:rsidR="002D3646" w:rsidRPr="002D3646" w:rsidRDefault="002D3646" w:rsidP="00C469B9">
      <w:pPr>
        <w:jc w:val="both"/>
        <w:rPr>
          <w:rFonts w:ascii="Times New Roman" w:hAnsi="Times New Roman"/>
          <w:sz w:val="24"/>
          <w:szCs w:val="24"/>
        </w:rPr>
      </w:pPr>
      <w:r w:rsidRPr="002D3646">
        <w:rPr>
          <w:rFonts w:ascii="Times New Roman" w:hAnsi="Times New Roman"/>
          <w:sz w:val="24"/>
          <w:szCs w:val="24"/>
        </w:rPr>
        <w:t>У предстојећем периоду, Србија ће морати да, у складу са Стратегијом и Акционим планом, представи кроз конкретне резултате</w:t>
      </w:r>
      <w:r w:rsidRPr="002D3646">
        <w:rPr>
          <w:rFonts w:ascii="Times New Roman" w:hAnsi="Times New Roman"/>
          <w:sz w:val="24"/>
          <w:szCs w:val="24"/>
          <w:lang w:val="en-GB"/>
        </w:rPr>
        <w:t xml:space="preserve">, </w:t>
      </w:r>
      <w:r w:rsidRPr="002D3646">
        <w:rPr>
          <w:rFonts w:ascii="Times New Roman" w:hAnsi="Times New Roman"/>
          <w:sz w:val="24"/>
          <w:szCs w:val="24"/>
        </w:rPr>
        <w:t>да је предузела одговарајуће мере за спровођење националног законодавства на свим нивоима</w:t>
      </w:r>
      <w:r w:rsidRPr="002D3646">
        <w:rPr>
          <w:rFonts w:ascii="Times New Roman" w:hAnsi="Times New Roman"/>
          <w:sz w:val="24"/>
          <w:szCs w:val="24"/>
          <w:lang w:val="en-GB"/>
        </w:rPr>
        <w:t xml:space="preserve"> (</w:t>
      </w:r>
      <w:r w:rsidRPr="002D3646">
        <w:rPr>
          <w:rFonts w:ascii="Times New Roman" w:hAnsi="Times New Roman"/>
          <w:sz w:val="24"/>
          <w:szCs w:val="24"/>
        </w:rPr>
        <w:t>националном, регионалном и локалном</w:t>
      </w:r>
      <w:r w:rsidR="00B646A4" w:rsidRPr="00B646A4">
        <w:rPr>
          <w:rFonts w:ascii="Times New Roman" w:hAnsi="Times New Roman"/>
          <w:sz w:val="24"/>
          <w:szCs w:val="24"/>
        </w:rPr>
        <w:t>)</w:t>
      </w:r>
      <w:r w:rsidR="0045430D">
        <w:rPr>
          <w:rFonts w:ascii="Times New Roman" w:hAnsi="Times New Roman"/>
          <w:sz w:val="24"/>
          <w:szCs w:val="24"/>
        </w:rPr>
        <w:t xml:space="preserve"> знатно </w:t>
      </w:r>
      <w:r w:rsidRPr="002D3646">
        <w:rPr>
          <w:rFonts w:ascii="Times New Roman" w:hAnsi="Times New Roman"/>
          <w:sz w:val="24"/>
          <w:szCs w:val="24"/>
        </w:rPr>
        <w:t>пре приступања ЕУ</w:t>
      </w:r>
      <w:r w:rsidRPr="002D3646">
        <w:rPr>
          <w:rFonts w:ascii="Times New Roman" w:hAnsi="Times New Roman"/>
          <w:sz w:val="24"/>
          <w:szCs w:val="24"/>
          <w:lang w:val="en-GB"/>
        </w:rPr>
        <w:t xml:space="preserve">. </w:t>
      </w:r>
    </w:p>
    <w:p w:rsidR="002D3646" w:rsidRPr="002D3646" w:rsidRDefault="002D3646" w:rsidP="00C469B9">
      <w:pPr>
        <w:jc w:val="both"/>
        <w:rPr>
          <w:rFonts w:ascii="Times New Roman" w:hAnsi="Times New Roman"/>
          <w:sz w:val="24"/>
          <w:szCs w:val="24"/>
        </w:rPr>
      </w:pPr>
      <w:r w:rsidRPr="002D3646">
        <w:rPr>
          <w:rFonts w:ascii="Times New Roman" w:hAnsi="Times New Roman"/>
          <w:sz w:val="24"/>
          <w:szCs w:val="24"/>
        </w:rPr>
        <w:lastRenderedPageBreak/>
        <w:t>Посебна пажња биће посвећена утврђивању да ли постоје</w:t>
      </w:r>
      <w:r w:rsidRPr="002D3646">
        <w:rPr>
          <w:rFonts w:ascii="Times New Roman" w:hAnsi="Times New Roman"/>
          <w:sz w:val="24"/>
          <w:szCs w:val="24"/>
          <w:lang w:val="en-GB"/>
        </w:rPr>
        <w:t>:</w:t>
      </w:r>
    </w:p>
    <w:p w:rsidR="002D3646" w:rsidRPr="002D3646" w:rsidRDefault="00651F8D" w:rsidP="002D3646">
      <w:pPr>
        <w:pStyle w:val="ListParagraph"/>
        <w:jc w:val="both"/>
        <w:rPr>
          <w:rFonts w:ascii="Times New Roman" w:hAnsi="Times New Roman"/>
          <w:sz w:val="24"/>
          <w:szCs w:val="24"/>
        </w:rPr>
      </w:pPr>
      <w:r>
        <w:rPr>
          <w:rFonts w:ascii="Times New Roman" w:hAnsi="Times New Roman"/>
          <w:sz w:val="24"/>
          <w:szCs w:val="24"/>
          <w:lang w:val="en-GB"/>
        </w:rPr>
        <w:t>(a)</w:t>
      </w:r>
      <w:r w:rsidR="002D3646" w:rsidRPr="002D3646">
        <w:rPr>
          <w:rFonts w:ascii="Times New Roman" w:hAnsi="Times New Roman"/>
          <w:sz w:val="24"/>
          <w:szCs w:val="24"/>
          <w:lang w:val="sr-Cyrl-CS"/>
        </w:rPr>
        <w:t>о</w:t>
      </w:r>
      <w:r w:rsidR="002D3646" w:rsidRPr="002D3646">
        <w:rPr>
          <w:rFonts w:ascii="Times New Roman" w:hAnsi="Times New Roman"/>
          <w:sz w:val="24"/>
          <w:szCs w:val="24"/>
        </w:rPr>
        <w:t>дговарајући развој административних капацитета</w:t>
      </w:r>
      <w:r w:rsidR="002D3646"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б</w:t>
      </w:r>
      <w:r w:rsidR="00651F8D">
        <w:rPr>
          <w:rFonts w:ascii="Times New Roman" w:hAnsi="Times New Roman"/>
          <w:sz w:val="24"/>
          <w:szCs w:val="24"/>
          <w:lang w:val="en-GB"/>
        </w:rPr>
        <w:t>)</w:t>
      </w:r>
      <w:r w:rsidRPr="002D3646">
        <w:rPr>
          <w:rFonts w:ascii="Times New Roman" w:hAnsi="Times New Roman"/>
          <w:sz w:val="24"/>
          <w:szCs w:val="24"/>
        </w:rPr>
        <w:t>припремљена практична оруђа за спровођење</w:t>
      </w:r>
      <w:r w:rsidRPr="002D3646">
        <w:rPr>
          <w:rFonts w:ascii="Times New Roman" w:hAnsi="Times New Roman"/>
          <w:sz w:val="24"/>
          <w:szCs w:val="24"/>
          <w:lang w:val="en-GB"/>
        </w:rPr>
        <w:t xml:space="preserve"> (</w:t>
      </w:r>
      <w:r w:rsidRPr="002D3646">
        <w:rPr>
          <w:rFonts w:ascii="Times New Roman" w:hAnsi="Times New Roman"/>
          <w:sz w:val="24"/>
          <w:szCs w:val="24"/>
        </w:rPr>
        <w:t>административна правила, упутства, приручници, стандардни документи за уговоре итд</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в</w:t>
      </w:r>
      <w:r w:rsidRPr="002D3646">
        <w:rPr>
          <w:rFonts w:ascii="Times New Roman" w:hAnsi="Times New Roman"/>
          <w:sz w:val="24"/>
          <w:szCs w:val="24"/>
          <w:lang w:val="en-GB"/>
        </w:rPr>
        <w:t xml:space="preserve">) </w:t>
      </w:r>
      <w:r w:rsidRPr="002D3646">
        <w:rPr>
          <w:rFonts w:ascii="Times New Roman" w:hAnsi="Times New Roman"/>
          <w:sz w:val="24"/>
          <w:szCs w:val="24"/>
        </w:rPr>
        <w:t>усвојени контролни механизми</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г</w:t>
      </w:r>
      <w:r w:rsidRPr="002D3646">
        <w:rPr>
          <w:rFonts w:ascii="Times New Roman" w:hAnsi="Times New Roman"/>
          <w:sz w:val="24"/>
          <w:szCs w:val="24"/>
          <w:lang w:val="en-GB"/>
        </w:rPr>
        <w:t>) e</w:t>
      </w:r>
      <w:r w:rsidRPr="002D3646">
        <w:rPr>
          <w:rFonts w:ascii="Times New Roman" w:hAnsi="Times New Roman"/>
          <w:sz w:val="24"/>
          <w:szCs w:val="24"/>
        </w:rPr>
        <w:t>фикасно функционисање система заштите права у поступцима јавних набавки</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д</w:t>
      </w:r>
      <w:r w:rsidRPr="002D3646">
        <w:rPr>
          <w:rFonts w:ascii="Times New Roman" w:hAnsi="Times New Roman"/>
          <w:sz w:val="24"/>
          <w:szCs w:val="24"/>
          <w:lang w:val="en-GB"/>
        </w:rPr>
        <w:t xml:space="preserve">) </w:t>
      </w:r>
      <w:r w:rsidRPr="002D3646">
        <w:rPr>
          <w:rFonts w:ascii="Times New Roman" w:hAnsi="Times New Roman"/>
          <w:sz w:val="24"/>
          <w:szCs w:val="24"/>
        </w:rPr>
        <w:t>одговарајућа обука на свим нивоима за све заинтересоване стране</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ђ</w:t>
      </w:r>
      <w:r w:rsidRPr="002D3646">
        <w:rPr>
          <w:rFonts w:ascii="Times New Roman" w:hAnsi="Times New Roman"/>
          <w:sz w:val="24"/>
          <w:szCs w:val="24"/>
          <w:lang w:val="en-GB"/>
        </w:rPr>
        <w:t xml:space="preserve">) </w:t>
      </w:r>
      <w:r w:rsidRPr="002D3646">
        <w:rPr>
          <w:rFonts w:ascii="Times New Roman" w:hAnsi="Times New Roman"/>
          <w:sz w:val="24"/>
          <w:szCs w:val="24"/>
        </w:rPr>
        <w:t>мере које се односе на борбу против корупције у области јавних набавки, у облас</w:t>
      </w:r>
      <w:r w:rsidR="0045430D">
        <w:rPr>
          <w:rFonts w:ascii="Times New Roman" w:hAnsi="Times New Roman"/>
          <w:sz w:val="24"/>
          <w:szCs w:val="24"/>
        </w:rPr>
        <w:t>тима које покривају С</w:t>
      </w:r>
      <w:r w:rsidRPr="002D3646">
        <w:rPr>
          <w:rFonts w:ascii="Times New Roman" w:hAnsi="Times New Roman"/>
          <w:sz w:val="24"/>
          <w:szCs w:val="24"/>
        </w:rPr>
        <w:t>тратегија и</w:t>
      </w:r>
      <w:r w:rsidR="0045430D">
        <w:rPr>
          <w:rFonts w:ascii="Times New Roman" w:hAnsi="Times New Roman"/>
          <w:sz w:val="24"/>
          <w:szCs w:val="24"/>
        </w:rPr>
        <w:t xml:space="preserve"> </w:t>
      </w:r>
      <w:r w:rsidRPr="002D3646">
        <w:rPr>
          <w:rFonts w:ascii="Times New Roman" w:hAnsi="Times New Roman"/>
          <w:sz w:val="24"/>
          <w:szCs w:val="24"/>
        </w:rPr>
        <w:t>Акциони план</w:t>
      </w:r>
      <w:r w:rsidRPr="002D3646">
        <w:rPr>
          <w:rFonts w:ascii="Times New Roman" w:hAnsi="Times New Roman"/>
          <w:sz w:val="24"/>
          <w:szCs w:val="24"/>
          <w:lang w:val="en-GB"/>
        </w:rPr>
        <w:t>.</w:t>
      </w:r>
    </w:p>
    <w:p w:rsidR="002D3646" w:rsidRPr="00651F8D" w:rsidRDefault="002D3646" w:rsidP="00651F8D">
      <w:pPr>
        <w:jc w:val="both"/>
        <w:rPr>
          <w:rFonts w:ascii="Times New Roman" w:hAnsi="Times New Roman"/>
          <w:sz w:val="24"/>
          <w:szCs w:val="24"/>
          <w:lang w:val="ru-RU"/>
        </w:rPr>
      </w:pPr>
      <w:r w:rsidRPr="00651F8D">
        <w:rPr>
          <w:rFonts w:ascii="Times New Roman" w:hAnsi="Times New Roman"/>
          <w:sz w:val="24"/>
          <w:szCs w:val="24"/>
          <w:lang w:val="ru-RU"/>
        </w:rPr>
        <w:t xml:space="preserve">Такође је неопходно донети преостала подзаконска акта предвиђена ЗЈН: 1) План за борбу против корупције у јавним набавкама и 2) Правилник о начину и програму стручног оспособљавања и начину полагања стручног испита за службеника за јавне набавке. </w:t>
      </w:r>
    </w:p>
    <w:p w:rsidR="002D3646" w:rsidRPr="002D3646" w:rsidRDefault="002D3646" w:rsidP="002D3646">
      <w:pPr>
        <w:pStyle w:val="ListParagraph"/>
        <w:jc w:val="both"/>
        <w:rPr>
          <w:rFonts w:ascii="Times New Roman" w:hAnsi="Times New Roman"/>
          <w:sz w:val="24"/>
          <w:szCs w:val="24"/>
          <w:lang w:val="ru-RU"/>
        </w:rPr>
      </w:pPr>
    </w:p>
    <w:p w:rsidR="002D3646" w:rsidRPr="002D3646" w:rsidRDefault="002D3646" w:rsidP="002D3646">
      <w:pPr>
        <w:ind w:left="360"/>
        <w:jc w:val="both"/>
        <w:rPr>
          <w:rFonts w:ascii="Times New Roman" w:hAnsi="Times New Roman"/>
          <w:sz w:val="24"/>
          <w:szCs w:val="24"/>
          <w:lang w:val="ru-RU"/>
        </w:rPr>
      </w:pPr>
    </w:p>
    <w:p w:rsidR="002D3646" w:rsidRPr="002D3646" w:rsidRDefault="002D3646" w:rsidP="002D3646">
      <w:pPr>
        <w:pStyle w:val="ListParagraph"/>
        <w:jc w:val="both"/>
        <w:rPr>
          <w:rFonts w:ascii="Times New Roman" w:hAnsi="Times New Roman"/>
          <w:sz w:val="24"/>
          <w:szCs w:val="24"/>
        </w:rPr>
      </w:pPr>
    </w:p>
    <w:p w:rsidR="00CC5D30" w:rsidRPr="00CC5D30" w:rsidRDefault="00CC5D30" w:rsidP="002D3646">
      <w:pPr>
        <w:jc w:val="both"/>
        <w:rPr>
          <w:rFonts w:ascii="Times New Roman" w:hAnsi="Times New Roman" w:cs="Times New Roman"/>
          <w:sz w:val="24"/>
          <w:szCs w:val="24"/>
        </w:rPr>
      </w:pPr>
    </w:p>
    <w:sectPr w:rsidR="00CC5D30" w:rsidRPr="00CC5D30" w:rsidSect="00FC3DDD">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AF9" w:rsidRDefault="00622AF9" w:rsidP="00AA1254">
      <w:pPr>
        <w:spacing w:after="0" w:line="240" w:lineRule="auto"/>
      </w:pPr>
      <w:r>
        <w:separator/>
      </w:r>
    </w:p>
  </w:endnote>
  <w:endnote w:type="continuationSeparator" w:id="0">
    <w:p w:rsidR="00622AF9" w:rsidRDefault="00622AF9"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06226F" w:rsidRDefault="0006226F">
        <w:pPr>
          <w:pStyle w:val="Footer"/>
          <w:jc w:val="right"/>
        </w:pPr>
        <w:r>
          <w:fldChar w:fldCharType="begin"/>
        </w:r>
        <w:r>
          <w:instrText xml:space="preserve"> PAGE   \* MERGEFORMAT </w:instrText>
        </w:r>
        <w:r>
          <w:fldChar w:fldCharType="separate"/>
        </w:r>
        <w:r w:rsidR="00913C71">
          <w:rPr>
            <w:noProof/>
          </w:rPr>
          <w:t>23</w:t>
        </w:r>
        <w:r>
          <w:rPr>
            <w:noProof/>
          </w:rPr>
          <w:fldChar w:fldCharType="end"/>
        </w:r>
      </w:p>
    </w:sdtContent>
  </w:sdt>
  <w:p w:rsidR="0006226F" w:rsidRDefault="00062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AF9" w:rsidRDefault="00622AF9" w:rsidP="00AA1254">
      <w:pPr>
        <w:spacing w:after="0" w:line="240" w:lineRule="auto"/>
      </w:pPr>
      <w:r>
        <w:separator/>
      </w:r>
    </w:p>
  </w:footnote>
  <w:footnote w:type="continuationSeparator" w:id="0">
    <w:p w:rsidR="00622AF9" w:rsidRDefault="00622AF9" w:rsidP="00AA1254">
      <w:pPr>
        <w:spacing w:after="0" w:line="240" w:lineRule="auto"/>
      </w:pPr>
      <w:r>
        <w:continuationSeparator/>
      </w:r>
    </w:p>
  </w:footnote>
  <w:footnote w:id="1">
    <w:p w:rsidR="0006226F" w:rsidRPr="008428D0" w:rsidRDefault="0006226F" w:rsidP="00CC6537">
      <w:pPr>
        <w:pStyle w:val="FootnoteText"/>
        <w:rPr>
          <w:rFonts w:ascii="Times New Roman" w:eastAsia="Times New Roman" w:hAnsi="Times New Roman" w:cs="Times New Roman"/>
        </w:rPr>
      </w:pPr>
      <w:r>
        <w:rPr>
          <w:rStyle w:val="FootnoteReference"/>
        </w:rPr>
        <w:footnoteRef/>
      </w:r>
      <w:r w:rsidRPr="008428D0">
        <w:rPr>
          <w:rFonts w:ascii="Times New Roman" w:hAnsi="Times New Roman" w:cs="Times New Roman"/>
        </w:rPr>
        <w:t>Вредности су изражене у милионима динара</w:t>
      </w:r>
    </w:p>
  </w:footnote>
  <w:footnote w:id="2">
    <w:p w:rsidR="0006226F" w:rsidRPr="00717E18" w:rsidRDefault="0006226F" w:rsidP="00CC6537">
      <w:pPr>
        <w:pStyle w:val="FootnoteText"/>
        <w:rPr>
          <w:rFonts w:ascii="Times New Roman" w:hAnsi="Times New Roman" w:cs="Times New Roman"/>
          <w:lang w:val="sr-Cyrl-RS"/>
        </w:rPr>
      </w:pPr>
      <w:r w:rsidRPr="008428D0">
        <w:rPr>
          <w:rStyle w:val="FootnoteReference"/>
          <w:rFonts w:ascii="Times New Roman" w:hAnsi="Times New Roman" w:cs="Times New Roman"/>
        </w:rPr>
        <w:footnoteRef/>
      </w:r>
      <w:r w:rsidRPr="008428D0">
        <w:rPr>
          <w:rFonts w:ascii="Times New Roman" w:hAnsi="Times New Roman" w:cs="Times New Roman"/>
        </w:rPr>
        <w:t>На основ</w:t>
      </w:r>
      <w:r>
        <w:rPr>
          <w:rFonts w:ascii="Times New Roman" w:hAnsi="Times New Roman" w:cs="Times New Roman"/>
        </w:rPr>
        <w:t xml:space="preserve">у процене </w:t>
      </w:r>
      <w:r>
        <w:rPr>
          <w:rFonts w:ascii="Times New Roman" w:hAnsi="Times New Roman" w:cs="Times New Roman"/>
          <w:lang w:val="sr-Cyrl-RS"/>
        </w:rPr>
        <w:t>Републичког завода за статистику</w:t>
      </w:r>
    </w:p>
  </w:footnote>
  <w:footnote w:id="3">
    <w:p w:rsidR="0006226F" w:rsidRPr="00867110" w:rsidRDefault="0006226F">
      <w:pPr>
        <w:pStyle w:val="FootnoteText"/>
      </w:pPr>
      <w:r>
        <w:rPr>
          <w:rStyle w:val="FootnoteReference"/>
        </w:rPr>
        <w:footnoteRef/>
      </w:r>
      <w:r w:rsidRPr="00B43E94">
        <w:rPr>
          <w:rFonts w:ascii="Times New Roman" w:hAnsi="Times New Roman" w:cs="Times New Roman"/>
          <w:sz w:val="22"/>
          <w:szCs w:val="22"/>
        </w:rPr>
        <w:t>Други кључни параметар су изузећа од примене закона.</w:t>
      </w:r>
    </w:p>
  </w:footnote>
  <w:footnote w:id="4">
    <w:p w:rsidR="0006226F" w:rsidRPr="00646862" w:rsidRDefault="0006226F" w:rsidP="00646862">
      <w:pPr>
        <w:pStyle w:val="FootnoteText"/>
      </w:pPr>
      <w:r>
        <w:rPr>
          <w:rStyle w:val="FootnoteReference"/>
        </w:rPr>
        <w:footnoteRef/>
      </w:r>
      <w:r>
        <w:t xml:space="preserve"> </w:t>
      </w:r>
      <w:r>
        <w:rPr>
          <w:rFonts w:ascii="Times New Roman" w:hAnsi="Times New Roman" w:cs="Times New Roman"/>
        </w:rPr>
        <w:t>Извештај о јавним набавкама у Црној Гори за 2012. годину</w:t>
      </w:r>
      <w:r>
        <w:t xml:space="preserve"> :</w:t>
      </w:r>
    </w:p>
    <w:p w:rsidR="0006226F" w:rsidRPr="00646862" w:rsidRDefault="0006226F" w:rsidP="00646862">
      <w:pPr>
        <w:pStyle w:val="FootnoteText"/>
        <w:rPr>
          <w:rFonts w:ascii="Times New Roman" w:hAnsi="Times New Roman" w:cs="Times New Roman"/>
        </w:rPr>
      </w:pPr>
      <w:r>
        <w:t xml:space="preserve"> </w:t>
      </w:r>
      <w:hyperlink r:id="rId1" w:history="1">
        <w:r w:rsidRPr="00264762">
          <w:rPr>
            <w:rStyle w:val="Hyperlink"/>
          </w:rPr>
          <w:t>http://www.ujn.gov.me/wp-content/uploads/2013/07/Izvjestaj2012.pdf</w:t>
        </w:r>
      </w:hyperlink>
      <w:r>
        <w:t xml:space="preserve">  </w:t>
      </w:r>
      <w:r w:rsidRPr="00646862">
        <w:rPr>
          <w:rFonts w:ascii="Times New Roman" w:hAnsi="Times New Roman" w:cs="Times New Roman"/>
        </w:rPr>
        <w:t>графикон 8, страна 58-59</w:t>
      </w:r>
    </w:p>
  </w:footnote>
  <w:footnote w:id="5">
    <w:p w:rsidR="0006226F" w:rsidRPr="0098735A" w:rsidRDefault="0006226F" w:rsidP="00D56073">
      <w:pPr>
        <w:rPr>
          <w:rFonts w:ascii="Times New Roman" w:hAnsi="Times New Roman" w:cs="Times New Roman"/>
        </w:rPr>
      </w:pPr>
      <w:r>
        <w:rPr>
          <w:rStyle w:val="FootnoteReference"/>
        </w:rPr>
        <w:footnoteRef/>
      </w:r>
      <w:r w:rsidRPr="007E1FAD">
        <w:rPr>
          <w:rFonts w:ascii="Times New Roman" w:hAnsi="Times New Roman" w:cs="Times New Roman"/>
        </w:rPr>
        <w:t xml:space="preserve">Извор: Статистички годишњи извештај о јавним набавкама за 2011. годину, Портал јавних набавки, Република Хрватска, </w:t>
      </w:r>
      <w:r>
        <w:rPr>
          <w:rFonts w:ascii="Times New Roman" w:hAnsi="Times New Roman" w:cs="Times New Roman"/>
        </w:rPr>
        <w:t xml:space="preserve">страна 54, </w:t>
      </w:r>
      <w:r w:rsidRPr="007E1FAD">
        <w:rPr>
          <w:rFonts w:ascii="Times New Roman" w:hAnsi="Times New Roman" w:cs="Times New Roman"/>
        </w:rPr>
        <w:t xml:space="preserve">линк: </w:t>
      </w:r>
      <w:hyperlink r:id="rId2" w:history="1">
        <w:r w:rsidRPr="007E1FAD">
          <w:rPr>
            <w:rStyle w:val="Hyperlink"/>
            <w:rFonts w:ascii="Times New Roman" w:hAnsi="Times New Roman" w:cs="Times New Roman"/>
          </w:rPr>
          <w:t>http://www.javnanabava.hr/userdocsimages/userfiles/file/Statistička%20izvješća/Godišnja/Statisticko_izvjesce_JN-2011.pdf</w:t>
        </w:r>
      </w:hyperlink>
    </w:p>
  </w:footnote>
  <w:footnote w:id="6">
    <w:p w:rsidR="0006226F" w:rsidRPr="0098735A" w:rsidRDefault="0006226F">
      <w:pPr>
        <w:pStyle w:val="FootnoteText"/>
      </w:pPr>
      <w:r>
        <w:rPr>
          <w:rStyle w:val="FootnoteReference"/>
        </w:rPr>
        <w:footnoteRef/>
      </w:r>
      <w:r w:rsidRPr="007E1FAD">
        <w:rPr>
          <w:rFonts w:ascii="Times New Roman" w:hAnsi="Times New Roman" w:cs="Times New Roman"/>
          <w:sz w:val="22"/>
          <w:szCs w:val="22"/>
        </w:rPr>
        <w:t>Извор: Статистички годишњи извештај о јавним набавкама за 201</w:t>
      </w:r>
      <w:r>
        <w:rPr>
          <w:rFonts w:ascii="Times New Roman" w:hAnsi="Times New Roman" w:cs="Times New Roman"/>
          <w:sz w:val="22"/>
          <w:szCs w:val="22"/>
        </w:rPr>
        <w:t>2</w:t>
      </w:r>
      <w:r w:rsidRPr="007E1FAD">
        <w:rPr>
          <w:rFonts w:ascii="Times New Roman" w:hAnsi="Times New Roman" w:cs="Times New Roman"/>
          <w:sz w:val="22"/>
          <w:szCs w:val="22"/>
        </w:rPr>
        <w:t>. годину, Портал јавних набавки, Република Хрватска</w:t>
      </w:r>
      <w:r>
        <w:rPr>
          <w:rFonts w:ascii="Times New Roman" w:hAnsi="Times New Roman" w:cs="Times New Roman"/>
          <w:sz w:val="22"/>
          <w:szCs w:val="22"/>
        </w:rPr>
        <w:t>,страна 31, л</w:t>
      </w:r>
      <w:r w:rsidRPr="001453FB">
        <w:rPr>
          <w:rFonts w:ascii="Times New Roman" w:hAnsi="Times New Roman" w:cs="Times New Roman"/>
          <w:sz w:val="22"/>
          <w:szCs w:val="22"/>
        </w:rPr>
        <w:t>инк:</w:t>
      </w:r>
      <w:hyperlink r:id="rId3" w:history="1">
        <w:r w:rsidRPr="00E75767">
          <w:rPr>
            <w:rStyle w:val="Hyperlink"/>
            <w:rFonts w:ascii="Times New Roman" w:hAnsi="Times New Roman" w:cs="Times New Roman"/>
            <w:sz w:val="22"/>
            <w:szCs w:val="22"/>
          </w:rPr>
          <w:t>http://www.javnanabava.hr/userdocsimages/userfiles/file/Statistička%20izvješća/Godišnja/Statisticko_izvjesce_JN-2012.pdf</w:t>
        </w:r>
      </w:hyperlink>
    </w:p>
  </w:footnote>
  <w:footnote w:id="7">
    <w:p w:rsidR="0006226F" w:rsidRPr="0098735A" w:rsidRDefault="0006226F" w:rsidP="0098735A">
      <w:pPr>
        <w:pStyle w:val="FootnoteText"/>
        <w:rPr>
          <w:rFonts w:ascii="Times New Roman" w:hAnsi="Times New Roman" w:cs="Times New Roman"/>
          <w:sz w:val="22"/>
          <w:szCs w:val="22"/>
        </w:rPr>
      </w:pPr>
      <w:r w:rsidRPr="001453FB">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Исто</w:t>
      </w:r>
    </w:p>
    <w:p w:rsidR="0006226F" w:rsidRPr="001453FB" w:rsidRDefault="0006226F" w:rsidP="0098735A">
      <w:pPr>
        <w:pStyle w:val="FootnoteText"/>
        <w:rPr>
          <w:rFonts w:ascii="Times New Roman" w:hAnsi="Times New Roman" w:cs="Times New Roman"/>
          <w:sz w:val="22"/>
          <w:szCs w:val="22"/>
        </w:rPr>
      </w:pPr>
    </w:p>
  </w:footnote>
  <w:footnote w:id="8">
    <w:p w:rsidR="0006226F" w:rsidRDefault="0006226F">
      <w:pPr>
        <w:pStyle w:val="FootnoteText"/>
      </w:pPr>
      <w:r>
        <w:rPr>
          <w:rStyle w:val="FootnoteReference"/>
        </w:rPr>
        <w:footnoteRef/>
      </w:r>
      <w:r>
        <w:t xml:space="preserve">  </w:t>
      </w:r>
      <w:r>
        <w:rPr>
          <w:rFonts w:ascii="Times New Roman" w:hAnsi="Times New Roman" w:cs="Times New Roman"/>
        </w:rPr>
        <w:t>Извештај о јавним набавкама у Црној Гори за 2012. годину</w:t>
      </w:r>
      <w:r>
        <w:t xml:space="preserve"> </w:t>
      </w:r>
    </w:p>
    <w:p w:rsidR="0006226F" w:rsidRDefault="0006226F">
      <w:pPr>
        <w:pStyle w:val="FootnoteText"/>
      </w:pPr>
      <w:r>
        <w:t xml:space="preserve"> </w:t>
      </w:r>
      <w:hyperlink r:id="rId4" w:history="1">
        <w:r w:rsidRPr="00264762">
          <w:rPr>
            <w:rStyle w:val="Hyperlink"/>
          </w:rPr>
          <w:t>http://www.ujn.gov.me/wp-content/uploads/2013/07/Izvjestaj2012.pdf</w:t>
        </w:r>
      </w:hyperlink>
    </w:p>
    <w:p w:rsidR="0006226F" w:rsidRPr="00FA77D4" w:rsidRDefault="0006226F">
      <w:pPr>
        <w:pStyle w:val="FootnoteText"/>
      </w:pPr>
    </w:p>
  </w:footnote>
  <w:footnote w:id="9">
    <w:p w:rsidR="0006226F" w:rsidRPr="00CE2E47" w:rsidRDefault="0006226F">
      <w:pPr>
        <w:pStyle w:val="FootnoteText"/>
      </w:pPr>
      <w:r>
        <w:rPr>
          <w:rStyle w:val="FootnoteReference"/>
        </w:rPr>
        <w:footnoteRef/>
      </w:r>
      <w:r>
        <w:t xml:space="preserve"> </w:t>
      </w:r>
      <w:r w:rsidRPr="00CE2E47">
        <w:rPr>
          <w:rFonts w:ascii="Times New Roman" w:hAnsi="Times New Roman" w:cs="Times New Roman"/>
        </w:rPr>
        <w:t>Графикон број 5, страна 56 Извештаја</w:t>
      </w:r>
    </w:p>
  </w:footnote>
  <w:footnote w:id="10">
    <w:p w:rsidR="0006226F" w:rsidRPr="00696FC9" w:rsidRDefault="0006226F" w:rsidP="0044645B">
      <w:pPr>
        <w:pStyle w:val="FootnoteText"/>
        <w:jc w:val="both"/>
        <w:rPr>
          <w:rFonts w:ascii="Times New Roman" w:hAnsi="Times New Roman" w:cs="Times New Roman"/>
          <w:sz w:val="22"/>
          <w:szCs w:val="22"/>
        </w:rPr>
      </w:pPr>
      <w:r>
        <w:rPr>
          <w:rStyle w:val="FootnoteReference"/>
        </w:rPr>
        <w:footnoteRef/>
      </w:r>
      <w:r w:rsidRPr="00696FC9">
        <w:rPr>
          <w:rFonts w:ascii="Times New Roman" w:hAnsi="Times New Roman" w:cs="Times New Roman"/>
          <w:sz w:val="22"/>
          <w:szCs w:val="22"/>
        </w:rPr>
        <w:t xml:space="preserve">Мисли се на решење из претходног </w:t>
      </w:r>
      <w:r>
        <w:rPr>
          <w:rFonts w:ascii="Times New Roman" w:hAnsi="Times New Roman" w:cs="Times New Roman"/>
          <w:sz w:val="22"/>
          <w:szCs w:val="22"/>
        </w:rPr>
        <w:t>З</w:t>
      </w:r>
      <w:r w:rsidRPr="00696FC9">
        <w:rPr>
          <w:rFonts w:ascii="Times New Roman" w:hAnsi="Times New Roman" w:cs="Times New Roman"/>
          <w:sz w:val="22"/>
          <w:szCs w:val="22"/>
        </w:rPr>
        <w:t>акона по коме се одлука</w:t>
      </w:r>
      <w:r>
        <w:rPr>
          <w:rFonts w:ascii="Times New Roman" w:hAnsi="Times New Roman" w:cs="Times New Roman"/>
          <w:sz w:val="22"/>
          <w:szCs w:val="22"/>
          <w:lang w:val="sr-Cyrl-RS"/>
        </w:rPr>
        <w:t xml:space="preserve"> о избору повољнијег понуђача</w:t>
      </w:r>
      <w:r w:rsidRPr="00696FC9">
        <w:rPr>
          <w:rFonts w:ascii="Times New Roman" w:hAnsi="Times New Roman" w:cs="Times New Roman"/>
          <w:sz w:val="22"/>
          <w:szCs w:val="22"/>
        </w:rPr>
        <w:t xml:space="preserve"> објављивала на Порталу уз очекивање да ће понуђачи сами, на основу овако добијене информације, реаговати и спречавати неосноване </w:t>
      </w:r>
      <w:r>
        <w:rPr>
          <w:rFonts w:ascii="Times New Roman" w:hAnsi="Times New Roman" w:cs="Times New Roman"/>
          <w:sz w:val="22"/>
          <w:szCs w:val="22"/>
        </w:rPr>
        <w:t xml:space="preserve">преговарачке </w:t>
      </w:r>
      <w:r w:rsidRPr="00696FC9">
        <w:rPr>
          <w:rFonts w:ascii="Times New Roman" w:hAnsi="Times New Roman" w:cs="Times New Roman"/>
          <w:sz w:val="22"/>
          <w:szCs w:val="22"/>
        </w:rPr>
        <w:t xml:space="preserve">поступке. </w:t>
      </w:r>
    </w:p>
  </w:footnote>
  <w:footnote w:id="11">
    <w:p w:rsidR="0006226F" w:rsidRPr="00D954B5" w:rsidRDefault="0006226F" w:rsidP="007339A4">
      <w:pPr>
        <w:pStyle w:val="FootnoteText"/>
        <w:jc w:val="both"/>
        <w:rPr>
          <w:rFonts w:ascii="Times New Roman" w:hAnsi="Times New Roman" w:cs="Times New Roman"/>
          <w:sz w:val="22"/>
          <w:szCs w:val="22"/>
        </w:rPr>
      </w:pPr>
      <w:r>
        <w:rPr>
          <w:rStyle w:val="FootnoteReference"/>
        </w:rPr>
        <w:footnoteRef/>
      </w:r>
      <w:r w:rsidRPr="00D954B5">
        <w:rPr>
          <w:rFonts w:ascii="Times New Roman" w:hAnsi="Times New Roman" w:cs="Times New Roman"/>
          <w:sz w:val="22"/>
          <w:szCs w:val="22"/>
        </w:rPr>
        <w:t xml:space="preserve">Од 516 </w:t>
      </w:r>
      <w:r>
        <w:rPr>
          <w:rFonts w:ascii="Times New Roman" w:hAnsi="Times New Roman" w:cs="Times New Roman"/>
          <w:sz w:val="22"/>
          <w:szCs w:val="22"/>
        </w:rPr>
        <w:t xml:space="preserve">захтева за заштиту права </w:t>
      </w:r>
      <w:r w:rsidRPr="00D954B5">
        <w:rPr>
          <w:rFonts w:ascii="Times New Roman" w:hAnsi="Times New Roman" w:cs="Times New Roman"/>
          <w:sz w:val="22"/>
          <w:szCs w:val="22"/>
        </w:rPr>
        <w:t xml:space="preserve">приспелих словеначкој Републичкој комисији за заштиту права у 2012. години, усвојено је 210 </w:t>
      </w:r>
      <w:r>
        <w:rPr>
          <w:rFonts w:ascii="Times New Roman" w:hAnsi="Times New Roman" w:cs="Times New Roman"/>
          <w:sz w:val="22"/>
          <w:szCs w:val="22"/>
        </w:rPr>
        <w:t xml:space="preserve">захтева, </w:t>
      </w:r>
      <w:r w:rsidRPr="00D954B5">
        <w:rPr>
          <w:rFonts w:ascii="Times New Roman" w:hAnsi="Times New Roman" w:cs="Times New Roman"/>
          <w:sz w:val="22"/>
          <w:szCs w:val="22"/>
        </w:rPr>
        <w:t>што је 40%. С обзиром да је укупан број поступака био 4.850</w:t>
      </w:r>
      <w:r>
        <w:rPr>
          <w:rFonts w:ascii="Times New Roman" w:hAnsi="Times New Roman" w:cs="Times New Roman"/>
          <w:sz w:val="22"/>
          <w:szCs w:val="22"/>
        </w:rPr>
        <w:t>,</w:t>
      </w:r>
      <w:r w:rsidRPr="00D954B5">
        <w:rPr>
          <w:rFonts w:ascii="Times New Roman" w:hAnsi="Times New Roman" w:cs="Times New Roman"/>
          <w:sz w:val="22"/>
          <w:szCs w:val="22"/>
        </w:rPr>
        <w:t xml:space="preserve"> произлази да је било поништено 4% поступака.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F851B4"/>
    <w:multiLevelType w:val="hybridMultilevel"/>
    <w:tmpl w:val="D56081B0"/>
    <w:lvl w:ilvl="0" w:tplc="241A000F">
      <w:start w:val="10"/>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0094"/>
    <w:rsid w:val="00005222"/>
    <w:rsid w:val="000057F4"/>
    <w:rsid w:val="00006754"/>
    <w:rsid w:val="00010632"/>
    <w:rsid w:val="00011AB2"/>
    <w:rsid w:val="00011DFE"/>
    <w:rsid w:val="000145AE"/>
    <w:rsid w:val="00016550"/>
    <w:rsid w:val="00016E0F"/>
    <w:rsid w:val="00022653"/>
    <w:rsid w:val="000229D1"/>
    <w:rsid w:val="00023ACB"/>
    <w:rsid w:val="00025C3A"/>
    <w:rsid w:val="000305FA"/>
    <w:rsid w:val="000322F9"/>
    <w:rsid w:val="000329EE"/>
    <w:rsid w:val="00043616"/>
    <w:rsid w:val="00043A99"/>
    <w:rsid w:val="0004715E"/>
    <w:rsid w:val="00050EE1"/>
    <w:rsid w:val="00051D27"/>
    <w:rsid w:val="000549B7"/>
    <w:rsid w:val="00055CB3"/>
    <w:rsid w:val="0005655C"/>
    <w:rsid w:val="00060772"/>
    <w:rsid w:val="0006226F"/>
    <w:rsid w:val="00063103"/>
    <w:rsid w:val="00063307"/>
    <w:rsid w:val="00066D83"/>
    <w:rsid w:val="000706BF"/>
    <w:rsid w:val="00071D1A"/>
    <w:rsid w:val="00072DBF"/>
    <w:rsid w:val="0007674F"/>
    <w:rsid w:val="0009495F"/>
    <w:rsid w:val="0009577C"/>
    <w:rsid w:val="000A0732"/>
    <w:rsid w:val="000A1E11"/>
    <w:rsid w:val="000A5330"/>
    <w:rsid w:val="000B0E15"/>
    <w:rsid w:val="000B3C80"/>
    <w:rsid w:val="000B4B53"/>
    <w:rsid w:val="000B7FC6"/>
    <w:rsid w:val="000C129C"/>
    <w:rsid w:val="000C13C7"/>
    <w:rsid w:val="000C6B34"/>
    <w:rsid w:val="000D04EB"/>
    <w:rsid w:val="000D2095"/>
    <w:rsid w:val="000D5EF5"/>
    <w:rsid w:val="000E090E"/>
    <w:rsid w:val="000E1864"/>
    <w:rsid w:val="000E22AD"/>
    <w:rsid w:val="000E4D09"/>
    <w:rsid w:val="000E763E"/>
    <w:rsid w:val="000F3249"/>
    <w:rsid w:val="0010541B"/>
    <w:rsid w:val="00106438"/>
    <w:rsid w:val="00107999"/>
    <w:rsid w:val="00112DB7"/>
    <w:rsid w:val="001208DC"/>
    <w:rsid w:val="00120C2B"/>
    <w:rsid w:val="00121ED9"/>
    <w:rsid w:val="00126F16"/>
    <w:rsid w:val="001275D0"/>
    <w:rsid w:val="00130625"/>
    <w:rsid w:val="00131509"/>
    <w:rsid w:val="00134B57"/>
    <w:rsid w:val="001359AF"/>
    <w:rsid w:val="00136E6C"/>
    <w:rsid w:val="001374B8"/>
    <w:rsid w:val="00142489"/>
    <w:rsid w:val="00142C48"/>
    <w:rsid w:val="001453FB"/>
    <w:rsid w:val="00151C94"/>
    <w:rsid w:val="0015266C"/>
    <w:rsid w:val="00153A40"/>
    <w:rsid w:val="00161F1F"/>
    <w:rsid w:val="00172360"/>
    <w:rsid w:val="00172DAB"/>
    <w:rsid w:val="00175132"/>
    <w:rsid w:val="00175F3A"/>
    <w:rsid w:val="00177B9E"/>
    <w:rsid w:val="00181494"/>
    <w:rsid w:val="00181940"/>
    <w:rsid w:val="00191758"/>
    <w:rsid w:val="00195172"/>
    <w:rsid w:val="001A373D"/>
    <w:rsid w:val="001B03AA"/>
    <w:rsid w:val="001B10E9"/>
    <w:rsid w:val="001B11F7"/>
    <w:rsid w:val="001B1D08"/>
    <w:rsid w:val="001B245E"/>
    <w:rsid w:val="001B3B8E"/>
    <w:rsid w:val="001B454E"/>
    <w:rsid w:val="001B6A47"/>
    <w:rsid w:val="001B6E57"/>
    <w:rsid w:val="001C39E6"/>
    <w:rsid w:val="001C39F2"/>
    <w:rsid w:val="001C62AD"/>
    <w:rsid w:val="001D11EB"/>
    <w:rsid w:val="001D45F3"/>
    <w:rsid w:val="001D6E7A"/>
    <w:rsid w:val="001D703D"/>
    <w:rsid w:val="001E0481"/>
    <w:rsid w:val="001E2BD6"/>
    <w:rsid w:val="001E77F9"/>
    <w:rsid w:val="001F32F4"/>
    <w:rsid w:val="001F73CC"/>
    <w:rsid w:val="002016A0"/>
    <w:rsid w:val="00202D69"/>
    <w:rsid w:val="00206CEF"/>
    <w:rsid w:val="00211A49"/>
    <w:rsid w:val="00213757"/>
    <w:rsid w:val="00213AEB"/>
    <w:rsid w:val="00216380"/>
    <w:rsid w:val="00216C8E"/>
    <w:rsid w:val="00220C95"/>
    <w:rsid w:val="00221039"/>
    <w:rsid w:val="00221A36"/>
    <w:rsid w:val="0022593B"/>
    <w:rsid w:val="00227F73"/>
    <w:rsid w:val="00230198"/>
    <w:rsid w:val="00233A2E"/>
    <w:rsid w:val="00236C4C"/>
    <w:rsid w:val="00237916"/>
    <w:rsid w:val="00237D96"/>
    <w:rsid w:val="002415F4"/>
    <w:rsid w:val="002437F1"/>
    <w:rsid w:val="00252D71"/>
    <w:rsid w:val="00254B23"/>
    <w:rsid w:val="0026092A"/>
    <w:rsid w:val="00261373"/>
    <w:rsid w:val="00263B08"/>
    <w:rsid w:val="00267139"/>
    <w:rsid w:val="0027449F"/>
    <w:rsid w:val="00274BE6"/>
    <w:rsid w:val="00277E96"/>
    <w:rsid w:val="00280F6B"/>
    <w:rsid w:val="00283EA7"/>
    <w:rsid w:val="002876D6"/>
    <w:rsid w:val="00293586"/>
    <w:rsid w:val="00293B02"/>
    <w:rsid w:val="00294262"/>
    <w:rsid w:val="002A45BA"/>
    <w:rsid w:val="002A6366"/>
    <w:rsid w:val="002A792E"/>
    <w:rsid w:val="002B1273"/>
    <w:rsid w:val="002B428A"/>
    <w:rsid w:val="002C1979"/>
    <w:rsid w:val="002C2339"/>
    <w:rsid w:val="002C47F0"/>
    <w:rsid w:val="002C7D82"/>
    <w:rsid w:val="002D1B5E"/>
    <w:rsid w:val="002D3646"/>
    <w:rsid w:val="002D7A88"/>
    <w:rsid w:val="002E036E"/>
    <w:rsid w:val="002E234F"/>
    <w:rsid w:val="002E23B7"/>
    <w:rsid w:val="002F2F7D"/>
    <w:rsid w:val="002F4C79"/>
    <w:rsid w:val="002F61C4"/>
    <w:rsid w:val="0032145B"/>
    <w:rsid w:val="00324462"/>
    <w:rsid w:val="00326D82"/>
    <w:rsid w:val="00326EDA"/>
    <w:rsid w:val="00332DC2"/>
    <w:rsid w:val="00334015"/>
    <w:rsid w:val="00342D08"/>
    <w:rsid w:val="0034536F"/>
    <w:rsid w:val="00345AA6"/>
    <w:rsid w:val="00347612"/>
    <w:rsid w:val="00351F82"/>
    <w:rsid w:val="00355D60"/>
    <w:rsid w:val="003624D9"/>
    <w:rsid w:val="00367F37"/>
    <w:rsid w:val="00371803"/>
    <w:rsid w:val="00372F90"/>
    <w:rsid w:val="00374908"/>
    <w:rsid w:val="0038040F"/>
    <w:rsid w:val="0038259F"/>
    <w:rsid w:val="00383777"/>
    <w:rsid w:val="003837F0"/>
    <w:rsid w:val="0038499A"/>
    <w:rsid w:val="00384FE1"/>
    <w:rsid w:val="00385201"/>
    <w:rsid w:val="0038728C"/>
    <w:rsid w:val="0039379B"/>
    <w:rsid w:val="00395D3C"/>
    <w:rsid w:val="003962FD"/>
    <w:rsid w:val="003A26B8"/>
    <w:rsid w:val="003B365F"/>
    <w:rsid w:val="003B4846"/>
    <w:rsid w:val="003B768C"/>
    <w:rsid w:val="003C3288"/>
    <w:rsid w:val="003C3BC0"/>
    <w:rsid w:val="003C500A"/>
    <w:rsid w:val="003C6BE1"/>
    <w:rsid w:val="003D0488"/>
    <w:rsid w:val="003D2AA5"/>
    <w:rsid w:val="003E0F28"/>
    <w:rsid w:val="003E1839"/>
    <w:rsid w:val="003E1ACF"/>
    <w:rsid w:val="003F0A58"/>
    <w:rsid w:val="003F24BD"/>
    <w:rsid w:val="003F4D18"/>
    <w:rsid w:val="003F4DFD"/>
    <w:rsid w:val="003F5451"/>
    <w:rsid w:val="003F79E8"/>
    <w:rsid w:val="00401E53"/>
    <w:rsid w:val="00404477"/>
    <w:rsid w:val="00407740"/>
    <w:rsid w:val="00412BE9"/>
    <w:rsid w:val="00412FC5"/>
    <w:rsid w:val="004169ED"/>
    <w:rsid w:val="00420FE0"/>
    <w:rsid w:val="0042231E"/>
    <w:rsid w:val="004225E6"/>
    <w:rsid w:val="00423371"/>
    <w:rsid w:val="00423963"/>
    <w:rsid w:val="00424A49"/>
    <w:rsid w:val="00426199"/>
    <w:rsid w:val="00432B7F"/>
    <w:rsid w:val="00440547"/>
    <w:rsid w:val="0044109F"/>
    <w:rsid w:val="00441219"/>
    <w:rsid w:val="0044200F"/>
    <w:rsid w:val="0044349B"/>
    <w:rsid w:val="00443A88"/>
    <w:rsid w:val="0044645B"/>
    <w:rsid w:val="004465D3"/>
    <w:rsid w:val="004468FE"/>
    <w:rsid w:val="0045067B"/>
    <w:rsid w:val="00453CC2"/>
    <w:rsid w:val="0045430D"/>
    <w:rsid w:val="004561B3"/>
    <w:rsid w:val="004618C1"/>
    <w:rsid w:val="00464666"/>
    <w:rsid w:val="00464F05"/>
    <w:rsid w:val="00465356"/>
    <w:rsid w:val="00467D58"/>
    <w:rsid w:val="00471ACE"/>
    <w:rsid w:val="00474096"/>
    <w:rsid w:val="004742B8"/>
    <w:rsid w:val="00475267"/>
    <w:rsid w:val="00480309"/>
    <w:rsid w:val="00482558"/>
    <w:rsid w:val="00482BC8"/>
    <w:rsid w:val="00490AC5"/>
    <w:rsid w:val="0049248C"/>
    <w:rsid w:val="004B4CB3"/>
    <w:rsid w:val="004C059D"/>
    <w:rsid w:val="004C07A2"/>
    <w:rsid w:val="004C425E"/>
    <w:rsid w:val="004D3C64"/>
    <w:rsid w:val="004E03E9"/>
    <w:rsid w:val="004E5018"/>
    <w:rsid w:val="004F2D0E"/>
    <w:rsid w:val="004F3B0F"/>
    <w:rsid w:val="004F48CF"/>
    <w:rsid w:val="004F615A"/>
    <w:rsid w:val="005047A3"/>
    <w:rsid w:val="00507231"/>
    <w:rsid w:val="00510F89"/>
    <w:rsid w:val="00520BF5"/>
    <w:rsid w:val="00523A8B"/>
    <w:rsid w:val="00530F4E"/>
    <w:rsid w:val="00531F44"/>
    <w:rsid w:val="00532A9E"/>
    <w:rsid w:val="00542F9A"/>
    <w:rsid w:val="005434D6"/>
    <w:rsid w:val="005440C4"/>
    <w:rsid w:val="005504EF"/>
    <w:rsid w:val="00552758"/>
    <w:rsid w:val="0055513A"/>
    <w:rsid w:val="0055792A"/>
    <w:rsid w:val="00561099"/>
    <w:rsid w:val="00561134"/>
    <w:rsid w:val="00561F5E"/>
    <w:rsid w:val="005715E5"/>
    <w:rsid w:val="00572540"/>
    <w:rsid w:val="005736F0"/>
    <w:rsid w:val="005745B7"/>
    <w:rsid w:val="00576FA1"/>
    <w:rsid w:val="00580221"/>
    <w:rsid w:val="005843D1"/>
    <w:rsid w:val="00587396"/>
    <w:rsid w:val="00595FBA"/>
    <w:rsid w:val="005977B5"/>
    <w:rsid w:val="005A3464"/>
    <w:rsid w:val="005B1F16"/>
    <w:rsid w:val="005B48DC"/>
    <w:rsid w:val="005C09B9"/>
    <w:rsid w:val="005C1F0A"/>
    <w:rsid w:val="005C4294"/>
    <w:rsid w:val="005C55CF"/>
    <w:rsid w:val="005D0B49"/>
    <w:rsid w:val="005E1BB2"/>
    <w:rsid w:val="005F16BC"/>
    <w:rsid w:val="005F2D4F"/>
    <w:rsid w:val="005F33D6"/>
    <w:rsid w:val="005F47AD"/>
    <w:rsid w:val="005F4E8C"/>
    <w:rsid w:val="005F5974"/>
    <w:rsid w:val="005F59A4"/>
    <w:rsid w:val="0060326C"/>
    <w:rsid w:val="00605717"/>
    <w:rsid w:val="00606825"/>
    <w:rsid w:val="00607EFC"/>
    <w:rsid w:val="006102B6"/>
    <w:rsid w:val="00611386"/>
    <w:rsid w:val="00611FE5"/>
    <w:rsid w:val="00612FB9"/>
    <w:rsid w:val="00615C52"/>
    <w:rsid w:val="006201BC"/>
    <w:rsid w:val="00620992"/>
    <w:rsid w:val="00622AF9"/>
    <w:rsid w:val="006243C3"/>
    <w:rsid w:val="00626C8F"/>
    <w:rsid w:val="0062748C"/>
    <w:rsid w:val="006322C4"/>
    <w:rsid w:val="006325A7"/>
    <w:rsid w:val="00635E82"/>
    <w:rsid w:val="00637BC6"/>
    <w:rsid w:val="006415C4"/>
    <w:rsid w:val="00645020"/>
    <w:rsid w:val="0064608D"/>
    <w:rsid w:val="006463F1"/>
    <w:rsid w:val="00646862"/>
    <w:rsid w:val="00651B5A"/>
    <w:rsid w:val="00651F8D"/>
    <w:rsid w:val="00651F91"/>
    <w:rsid w:val="006556B5"/>
    <w:rsid w:val="00657FC1"/>
    <w:rsid w:val="00664E86"/>
    <w:rsid w:val="006659B3"/>
    <w:rsid w:val="006678EB"/>
    <w:rsid w:val="00671EA6"/>
    <w:rsid w:val="0067375D"/>
    <w:rsid w:val="00686B5D"/>
    <w:rsid w:val="0069262C"/>
    <w:rsid w:val="00696FC9"/>
    <w:rsid w:val="00697808"/>
    <w:rsid w:val="00697A86"/>
    <w:rsid w:val="00697E66"/>
    <w:rsid w:val="006A449A"/>
    <w:rsid w:val="006A4CEA"/>
    <w:rsid w:val="006A5E11"/>
    <w:rsid w:val="006A7D55"/>
    <w:rsid w:val="006A7E33"/>
    <w:rsid w:val="006A7E44"/>
    <w:rsid w:val="006B0D56"/>
    <w:rsid w:val="006B4A9B"/>
    <w:rsid w:val="006B5B21"/>
    <w:rsid w:val="006C00BE"/>
    <w:rsid w:val="006C1DFE"/>
    <w:rsid w:val="006C3C7D"/>
    <w:rsid w:val="006C63FF"/>
    <w:rsid w:val="006C7810"/>
    <w:rsid w:val="006C7F3F"/>
    <w:rsid w:val="006D5918"/>
    <w:rsid w:val="006D796B"/>
    <w:rsid w:val="006D79F5"/>
    <w:rsid w:val="006E087E"/>
    <w:rsid w:val="006E44C5"/>
    <w:rsid w:val="006F0FE4"/>
    <w:rsid w:val="006F2A88"/>
    <w:rsid w:val="006F6E84"/>
    <w:rsid w:val="006F7F1A"/>
    <w:rsid w:val="0070037F"/>
    <w:rsid w:val="00707351"/>
    <w:rsid w:val="00707946"/>
    <w:rsid w:val="00713FBA"/>
    <w:rsid w:val="007144DA"/>
    <w:rsid w:val="00717E18"/>
    <w:rsid w:val="00720A1A"/>
    <w:rsid w:val="00725059"/>
    <w:rsid w:val="007259B7"/>
    <w:rsid w:val="00726490"/>
    <w:rsid w:val="00726F0B"/>
    <w:rsid w:val="00730020"/>
    <w:rsid w:val="007339A4"/>
    <w:rsid w:val="007345E3"/>
    <w:rsid w:val="007367CB"/>
    <w:rsid w:val="00740B7E"/>
    <w:rsid w:val="0074358D"/>
    <w:rsid w:val="00744FF8"/>
    <w:rsid w:val="00753F20"/>
    <w:rsid w:val="007622B9"/>
    <w:rsid w:val="0076276D"/>
    <w:rsid w:val="00763F47"/>
    <w:rsid w:val="007652C6"/>
    <w:rsid w:val="007655FB"/>
    <w:rsid w:val="00766964"/>
    <w:rsid w:val="007734EF"/>
    <w:rsid w:val="007736FA"/>
    <w:rsid w:val="0078086F"/>
    <w:rsid w:val="007811A8"/>
    <w:rsid w:val="007814C9"/>
    <w:rsid w:val="00782C66"/>
    <w:rsid w:val="007830F4"/>
    <w:rsid w:val="00783450"/>
    <w:rsid w:val="00786C64"/>
    <w:rsid w:val="007945D9"/>
    <w:rsid w:val="007A00D3"/>
    <w:rsid w:val="007A39AD"/>
    <w:rsid w:val="007A5119"/>
    <w:rsid w:val="007A5F17"/>
    <w:rsid w:val="007B26D5"/>
    <w:rsid w:val="007B4B66"/>
    <w:rsid w:val="007B5DB7"/>
    <w:rsid w:val="007C138C"/>
    <w:rsid w:val="007C26F3"/>
    <w:rsid w:val="007C2888"/>
    <w:rsid w:val="007D2412"/>
    <w:rsid w:val="007D6047"/>
    <w:rsid w:val="007E1FAD"/>
    <w:rsid w:val="007E42E0"/>
    <w:rsid w:val="007E4511"/>
    <w:rsid w:val="007E52FE"/>
    <w:rsid w:val="007F05C7"/>
    <w:rsid w:val="007F4192"/>
    <w:rsid w:val="007F50EE"/>
    <w:rsid w:val="00803B5D"/>
    <w:rsid w:val="00811AC2"/>
    <w:rsid w:val="00816103"/>
    <w:rsid w:val="0082151A"/>
    <w:rsid w:val="008216AC"/>
    <w:rsid w:val="00823974"/>
    <w:rsid w:val="00824F97"/>
    <w:rsid w:val="00830FC5"/>
    <w:rsid w:val="008335B2"/>
    <w:rsid w:val="00833FA8"/>
    <w:rsid w:val="0083472D"/>
    <w:rsid w:val="00837EA8"/>
    <w:rsid w:val="00837F22"/>
    <w:rsid w:val="008428D0"/>
    <w:rsid w:val="00844E74"/>
    <w:rsid w:val="008460C7"/>
    <w:rsid w:val="008471E3"/>
    <w:rsid w:val="00850AA5"/>
    <w:rsid w:val="00852037"/>
    <w:rsid w:val="008563CB"/>
    <w:rsid w:val="00862807"/>
    <w:rsid w:val="00863435"/>
    <w:rsid w:val="00865EBD"/>
    <w:rsid w:val="008666EB"/>
    <w:rsid w:val="00867110"/>
    <w:rsid w:val="00870647"/>
    <w:rsid w:val="00871FE8"/>
    <w:rsid w:val="008727EF"/>
    <w:rsid w:val="0087602C"/>
    <w:rsid w:val="00881559"/>
    <w:rsid w:val="00881C4A"/>
    <w:rsid w:val="00882CB3"/>
    <w:rsid w:val="008844FD"/>
    <w:rsid w:val="00884CB7"/>
    <w:rsid w:val="0089637B"/>
    <w:rsid w:val="008B048C"/>
    <w:rsid w:val="008B0AC4"/>
    <w:rsid w:val="008B1816"/>
    <w:rsid w:val="008B2D94"/>
    <w:rsid w:val="008B3678"/>
    <w:rsid w:val="008B45A9"/>
    <w:rsid w:val="008B5716"/>
    <w:rsid w:val="008C0981"/>
    <w:rsid w:val="008C2A39"/>
    <w:rsid w:val="008D1F00"/>
    <w:rsid w:val="008E18A8"/>
    <w:rsid w:val="008E1974"/>
    <w:rsid w:val="008E2E56"/>
    <w:rsid w:val="008E5975"/>
    <w:rsid w:val="008E719E"/>
    <w:rsid w:val="008F0573"/>
    <w:rsid w:val="008F344B"/>
    <w:rsid w:val="008F4769"/>
    <w:rsid w:val="008F6182"/>
    <w:rsid w:val="009006D0"/>
    <w:rsid w:val="0090117B"/>
    <w:rsid w:val="00901E3A"/>
    <w:rsid w:val="0090382C"/>
    <w:rsid w:val="00904A10"/>
    <w:rsid w:val="0090623C"/>
    <w:rsid w:val="00910B1E"/>
    <w:rsid w:val="00912C52"/>
    <w:rsid w:val="00913C71"/>
    <w:rsid w:val="0091627A"/>
    <w:rsid w:val="00921996"/>
    <w:rsid w:val="0092428A"/>
    <w:rsid w:val="00926E1C"/>
    <w:rsid w:val="00936542"/>
    <w:rsid w:val="009428AD"/>
    <w:rsid w:val="0094422B"/>
    <w:rsid w:val="0094612A"/>
    <w:rsid w:val="00946D3E"/>
    <w:rsid w:val="00951613"/>
    <w:rsid w:val="0095389B"/>
    <w:rsid w:val="00964F05"/>
    <w:rsid w:val="00964FB1"/>
    <w:rsid w:val="00974287"/>
    <w:rsid w:val="009860FF"/>
    <w:rsid w:val="00986835"/>
    <w:rsid w:val="0098735A"/>
    <w:rsid w:val="00991EB8"/>
    <w:rsid w:val="0099228D"/>
    <w:rsid w:val="009965E9"/>
    <w:rsid w:val="00997EDF"/>
    <w:rsid w:val="009A4443"/>
    <w:rsid w:val="009A466C"/>
    <w:rsid w:val="009A5241"/>
    <w:rsid w:val="009A59B8"/>
    <w:rsid w:val="009A68A2"/>
    <w:rsid w:val="009A6BA3"/>
    <w:rsid w:val="009A6DD2"/>
    <w:rsid w:val="009A7B37"/>
    <w:rsid w:val="009B2CB0"/>
    <w:rsid w:val="009B3038"/>
    <w:rsid w:val="009B55CF"/>
    <w:rsid w:val="009B6761"/>
    <w:rsid w:val="009C34BC"/>
    <w:rsid w:val="009C677F"/>
    <w:rsid w:val="009C6C7C"/>
    <w:rsid w:val="009D1BE2"/>
    <w:rsid w:val="009D3079"/>
    <w:rsid w:val="009D6781"/>
    <w:rsid w:val="009D7B1C"/>
    <w:rsid w:val="009D7B2C"/>
    <w:rsid w:val="009E2C73"/>
    <w:rsid w:val="009E37C0"/>
    <w:rsid w:val="009E7177"/>
    <w:rsid w:val="009F3C49"/>
    <w:rsid w:val="00A012EE"/>
    <w:rsid w:val="00A01819"/>
    <w:rsid w:val="00A02879"/>
    <w:rsid w:val="00A07ECD"/>
    <w:rsid w:val="00A11C2B"/>
    <w:rsid w:val="00A154D7"/>
    <w:rsid w:val="00A15768"/>
    <w:rsid w:val="00A170EB"/>
    <w:rsid w:val="00A20355"/>
    <w:rsid w:val="00A2309F"/>
    <w:rsid w:val="00A236E8"/>
    <w:rsid w:val="00A3133D"/>
    <w:rsid w:val="00A330BA"/>
    <w:rsid w:val="00A3373C"/>
    <w:rsid w:val="00A43B51"/>
    <w:rsid w:val="00A63F0C"/>
    <w:rsid w:val="00A65D58"/>
    <w:rsid w:val="00A65EEE"/>
    <w:rsid w:val="00A65F9E"/>
    <w:rsid w:val="00A71BD1"/>
    <w:rsid w:val="00A734C3"/>
    <w:rsid w:val="00A73C25"/>
    <w:rsid w:val="00A75FC0"/>
    <w:rsid w:val="00A84629"/>
    <w:rsid w:val="00A85965"/>
    <w:rsid w:val="00A85B04"/>
    <w:rsid w:val="00A8682D"/>
    <w:rsid w:val="00A92087"/>
    <w:rsid w:val="00A9660E"/>
    <w:rsid w:val="00AA0304"/>
    <w:rsid w:val="00AA1254"/>
    <w:rsid w:val="00AA7DBD"/>
    <w:rsid w:val="00AB11ED"/>
    <w:rsid w:val="00AB464B"/>
    <w:rsid w:val="00AC49B6"/>
    <w:rsid w:val="00AC6B21"/>
    <w:rsid w:val="00AC7F64"/>
    <w:rsid w:val="00AD2121"/>
    <w:rsid w:val="00AD3464"/>
    <w:rsid w:val="00B0351C"/>
    <w:rsid w:val="00B07DE5"/>
    <w:rsid w:val="00B1140C"/>
    <w:rsid w:val="00B12BAB"/>
    <w:rsid w:val="00B12E9D"/>
    <w:rsid w:val="00B136FE"/>
    <w:rsid w:val="00B152F5"/>
    <w:rsid w:val="00B15BAA"/>
    <w:rsid w:val="00B23311"/>
    <w:rsid w:val="00B24274"/>
    <w:rsid w:val="00B26AAA"/>
    <w:rsid w:val="00B27120"/>
    <w:rsid w:val="00B30C16"/>
    <w:rsid w:val="00B31710"/>
    <w:rsid w:val="00B4214A"/>
    <w:rsid w:val="00B43E94"/>
    <w:rsid w:val="00B45187"/>
    <w:rsid w:val="00B4563B"/>
    <w:rsid w:val="00B46DD9"/>
    <w:rsid w:val="00B52C7D"/>
    <w:rsid w:val="00B55269"/>
    <w:rsid w:val="00B55E4A"/>
    <w:rsid w:val="00B55F55"/>
    <w:rsid w:val="00B56910"/>
    <w:rsid w:val="00B5717C"/>
    <w:rsid w:val="00B6079F"/>
    <w:rsid w:val="00B646A4"/>
    <w:rsid w:val="00B75166"/>
    <w:rsid w:val="00B76317"/>
    <w:rsid w:val="00B903C9"/>
    <w:rsid w:val="00B92895"/>
    <w:rsid w:val="00B92EF5"/>
    <w:rsid w:val="00B93598"/>
    <w:rsid w:val="00B944F4"/>
    <w:rsid w:val="00B96B3D"/>
    <w:rsid w:val="00BA35BE"/>
    <w:rsid w:val="00BA3B82"/>
    <w:rsid w:val="00BB0B53"/>
    <w:rsid w:val="00BB0B9A"/>
    <w:rsid w:val="00BB64E7"/>
    <w:rsid w:val="00BB6EC6"/>
    <w:rsid w:val="00BB7407"/>
    <w:rsid w:val="00BC0F17"/>
    <w:rsid w:val="00BC5EEE"/>
    <w:rsid w:val="00BD596F"/>
    <w:rsid w:val="00BE041F"/>
    <w:rsid w:val="00BE14E5"/>
    <w:rsid w:val="00BE3BC3"/>
    <w:rsid w:val="00BE519C"/>
    <w:rsid w:val="00BE58E1"/>
    <w:rsid w:val="00BE5B17"/>
    <w:rsid w:val="00BE6BA0"/>
    <w:rsid w:val="00BF0CEA"/>
    <w:rsid w:val="00BF2D32"/>
    <w:rsid w:val="00C013A0"/>
    <w:rsid w:val="00C0583A"/>
    <w:rsid w:val="00C0695D"/>
    <w:rsid w:val="00C06A03"/>
    <w:rsid w:val="00C06C5A"/>
    <w:rsid w:val="00C06F5E"/>
    <w:rsid w:val="00C162DC"/>
    <w:rsid w:val="00C23E95"/>
    <w:rsid w:val="00C3138C"/>
    <w:rsid w:val="00C330AE"/>
    <w:rsid w:val="00C33DBF"/>
    <w:rsid w:val="00C37142"/>
    <w:rsid w:val="00C40DD9"/>
    <w:rsid w:val="00C41DA4"/>
    <w:rsid w:val="00C469B9"/>
    <w:rsid w:val="00C46C4D"/>
    <w:rsid w:val="00C46D31"/>
    <w:rsid w:val="00C5649B"/>
    <w:rsid w:val="00C57B4D"/>
    <w:rsid w:val="00C61911"/>
    <w:rsid w:val="00C65A4C"/>
    <w:rsid w:val="00C71997"/>
    <w:rsid w:val="00C73AB2"/>
    <w:rsid w:val="00C77F21"/>
    <w:rsid w:val="00C80620"/>
    <w:rsid w:val="00C84A54"/>
    <w:rsid w:val="00C85130"/>
    <w:rsid w:val="00C922D1"/>
    <w:rsid w:val="00C92C4D"/>
    <w:rsid w:val="00C972BC"/>
    <w:rsid w:val="00CA10A3"/>
    <w:rsid w:val="00CA197A"/>
    <w:rsid w:val="00CA1F8B"/>
    <w:rsid w:val="00CA42B4"/>
    <w:rsid w:val="00CB0445"/>
    <w:rsid w:val="00CB1DB7"/>
    <w:rsid w:val="00CB4477"/>
    <w:rsid w:val="00CC3111"/>
    <w:rsid w:val="00CC5B2E"/>
    <w:rsid w:val="00CC5D30"/>
    <w:rsid w:val="00CC6537"/>
    <w:rsid w:val="00CC6549"/>
    <w:rsid w:val="00CC7909"/>
    <w:rsid w:val="00CD1FB0"/>
    <w:rsid w:val="00CD3F73"/>
    <w:rsid w:val="00CE1887"/>
    <w:rsid w:val="00CE2E47"/>
    <w:rsid w:val="00CE31B2"/>
    <w:rsid w:val="00CF11EC"/>
    <w:rsid w:val="00CF1F3D"/>
    <w:rsid w:val="00CF57CA"/>
    <w:rsid w:val="00D044FD"/>
    <w:rsid w:val="00D04601"/>
    <w:rsid w:val="00D05FFD"/>
    <w:rsid w:val="00D10BCF"/>
    <w:rsid w:val="00D11CF7"/>
    <w:rsid w:val="00D12F10"/>
    <w:rsid w:val="00D1343F"/>
    <w:rsid w:val="00D14DA3"/>
    <w:rsid w:val="00D15DC9"/>
    <w:rsid w:val="00D20B81"/>
    <w:rsid w:val="00D23077"/>
    <w:rsid w:val="00D240A5"/>
    <w:rsid w:val="00D26037"/>
    <w:rsid w:val="00D261EC"/>
    <w:rsid w:val="00D2757B"/>
    <w:rsid w:val="00D333FA"/>
    <w:rsid w:val="00D41592"/>
    <w:rsid w:val="00D440ED"/>
    <w:rsid w:val="00D50094"/>
    <w:rsid w:val="00D5059D"/>
    <w:rsid w:val="00D506EF"/>
    <w:rsid w:val="00D50FF9"/>
    <w:rsid w:val="00D56073"/>
    <w:rsid w:val="00D563B4"/>
    <w:rsid w:val="00D56604"/>
    <w:rsid w:val="00D6015D"/>
    <w:rsid w:val="00D676EC"/>
    <w:rsid w:val="00D72C91"/>
    <w:rsid w:val="00D737EA"/>
    <w:rsid w:val="00D7713C"/>
    <w:rsid w:val="00D844B0"/>
    <w:rsid w:val="00D86A19"/>
    <w:rsid w:val="00D908C4"/>
    <w:rsid w:val="00D90F54"/>
    <w:rsid w:val="00D935BD"/>
    <w:rsid w:val="00D93AD9"/>
    <w:rsid w:val="00D94FB5"/>
    <w:rsid w:val="00D954B5"/>
    <w:rsid w:val="00D95BDA"/>
    <w:rsid w:val="00DA15C7"/>
    <w:rsid w:val="00DA4317"/>
    <w:rsid w:val="00DA7BBA"/>
    <w:rsid w:val="00DB2E22"/>
    <w:rsid w:val="00DB5E23"/>
    <w:rsid w:val="00DC1BB2"/>
    <w:rsid w:val="00DC5F79"/>
    <w:rsid w:val="00DD295E"/>
    <w:rsid w:val="00DD4423"/>
    <w:rsid w:val="00DD52BC"/>
    <w:rsid w:val="00DD7D04"/>
    <w:rsid w:val="00DE000C"/>
    <w:rsid w:val="00DE030F"/>
    <w:rsid w:val="00DE31BE"/>
    <w:rsid w:val="00DE5FBB"/>
    <w:rsid w:val="00DF1799"/>
    <w:rsid w:val="00DF1BEC"/>
    <w:rsid w:val="00DF3616"/>
    <w:rsid w:val="00DF5D06"/>
    <w:rsid w:val="00DF7E05"/>
    <w:rsid w:val="00E00E7B"/>
    <w:rsid w:val="00E03C8D"/>
    <w:rsid w:val="00E17B13"/>
    <w:rsid w:val="00E21485"/>
    <w:rsid w:val="00E27300"/>
    <w:rsid w:val="00E32219"/>
    <w:rsid w:val="00E37A87"/>
    <w:rsid w:val="00E430B6"/>
    <w:rsid w:val="00E54959"/>
    <w:rsid w:val="00E56979"/>
    <w:rsid w:val="00E633FD"/>
    <w:rsid w:val="00E63F47"/>
    <w:rsid w:val="00E64BDD"/>
    <w:rsid w:val="00E64E90"/>
    <w:rsid w:val="00E6620C"/>
    <w:rsid w:val="00E66903"/>
    <w:rsid w:val="00E677C6"/>
    <w:rsid w:val="00E70A37"/>
    <w:rsid w:val="00E7451F"/>
    <w:rsid w:val="00E77C49"/>
    <w:rsid w:val="00E86DD9"/>
    <w:rsid w:val="00E90209"/>
    <w:rsid w:val="00E9515B"/>
    <w:rsid w:val="00E9772E"/>
    <w:rsid w:val="00EA0849"/>
    <w:rsid w:val="00EA3515"/>
    <w:rsid w:val="00EA4DF7"/>
    <w:rsid w:val="00EA532F"/>
    <w:rsid w:val="00EA57E7"/>
    <w:rsid w:val="00EA7742"/>
    <w:rsid w:val="00EB1054"/>
    <w:rsid w:val="00EB3381"/>
    <w:rsid w:val="00EB5E3D"/>
    <w:rsid w:val="00EB6DB3"/>
    <w:rsid w:val="00EC0788"/>
    <w:rsid w:val="00EC0C75"/>
    <w:rsid w:val="00EC5440"/>
    <w:rsid w:val="00EC5796"/>
    <w:rsid w:val="00EC7A00"/>
    <w:rsid w:val="00ED0713"/>
    <w:rsid w:val="00ED22ED"/>
    <w:rsid w:val="00ED277B"/>
    <w:rsid w:val="00ED28B4"/>
    <w:rsid w:val="00ED7446"/>
    <w:rsid w:val="00ED777F"/>
    <w:rsid w:val="00EE01E7"/>
    <w:rsid w:val="00EE0519"/>
    <w:rsid w:val="00EE31A5"/>
    <w:rsid w:val="00EE3388"/>
    <w:rsid w:val="00EF15C0"/>
    <w:rsid w:val="00EF35D1"/>
    <w:rsid w:val="00F07CC7"/>
    <w:rsid w:val="00F10A92"/>
    <w:rsid w:val="00F1269C"/>
    <w:rsid w:val="00F155EE"/>
    <w:rsid w:val="00F32666"/>
    <w:rsid w:val="00F34747"/>
    <w:rsid w:val="00F35245"/>
    <w:rsid w:val="00F35FCC"/>
    <w:rsid w:val="00F40367"/>
    <w:rsid w:val="00F40BAC"/>
    <w:rsid w:val="00F4167F"/>
    <w:rsid w:val="00F42775"/>
    <w:rsid w:val="00F44859"/>
    <w:rsid w:val="00F4561A"/>
    <w:rsid w:val="00F51000"/>
    <w:rsid w:val="00F52D28"/>
    <w:rsid w:val="00F53080"/>
    <w:rsid w:val="00F56102"/>
    <w:rsid w:val="00F56CE2"/>
    <w:rsid w:val="00F5778D"/>
    <w:rsid w:val="00F5794F"/>
    <w:rsid w:val="00F63467"/>
    <w:rsid w:val="00F66D94"/>
    <w:rsid w:val="00F700F0"/>
    <w:rsid w:val="00F725C1"/>
    <w:rsid w:val="00F936A9"/>
    <w:rsid w:val="00F94235"/>
    <w:rsid w:val="00F94A35"/>
    <w:rsid w:val="00F95DF5"/>
    <w:rsid w:val="00FA77D4"/>
    <w:rsid w:val="00FB4ACA"/>
    <w:rsid w:val="00FB58EA"/>
    <w:rsid w:val="00FB793F"/>
    <w:rsid w:val="00FC156C"/>
    <w:rsid w:val="00FC3DDD"/>
    <w:rsid w:val="00FC6400"/>
    <w:rsid w:val="00FD1DF0"/>
    <w:rsid w:val="00FD22B6"/>
    <w:rsid w:val="00FD3ACB"/>
    <w:rsid w:val="00FD42B3"/>
    <w:rsid w:val="00FD7ED2"/>
    <w:rsid w:val="00FE02F6"/>
    <w:rsid w:val="00FE2EF3"/>
    <w:rsid w:val="00FE45ED"/>
    <w:rsid w:val="00FE7102"/>
    <w:rsid w:val="00FE7727"/>
    <w:rsid w:val="00FF24CC"/>
    <w:rsid w:val="00FF2D0F"/>
    <w:rsid w:val="00FF34D1"/>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package" Target="embeddings/Microsoft_Excel_Worksheet12.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www.javnanabava.hr/userdocsimages/userfiles/file/Statisti&#269;ka%20izvje&#353;&#263;a/Godi&#353;nja/Statisticko_izvjesce_JN-2011.pdf" TargetMode="External"/><Relationship Id="rId42" Type="http://schemas.openxmlformats.org/officeDocument/2006/relationships/image" Target="media/image15.png"/><Relationship Id="rId47" Type="http://schemas.openxmlformats.org/officeDocument/2006/relationships/image" Target="media/image18.emf"/><Relationship Id="rId50" Type="http://schemas.openxmlformats.org/officeDocument/2006/relationships/package" Target="embeddings/Microsoft_Excel_Worksheet17.xlsx"/><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yperlink" Target="http://www.djn.mf.gov.si/resources/files/Sistem_javnega_narocanja/Stat_por_JN2012_IN.pdf" TargetMode="External"/><Relationship Id="rId38" Type="http://schemas.openxmlformats.org/officeDocument/2006/relationships/image" Target="media/image13.emf"/><Relationship Id="rId46" Type="http://schemas.openxmlformats.org/officeDocument/2006/relationships/package" Target="embeddings/Microsoft_Excel_Worksheet15.xlsx"/><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41" Type="http://schemas.openxmlformats.org/officeDocument/2006/relationships/package" Target="embeddings/Microsoft_Excel_Worksheet13.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37" Type="http://schemas.openxmlformats.org/officeDocument/2006/relationships/package" Target="embeddings/Microsoft_Excel_Worksheet11.xlsx"/><Relationship Id="rId40" Type="http://schemas.openxmlformats.org/officeDocument/2006/relationships/image" Target="media/image14.emf"/><Relationship Id="rId45" Type="http://schemas.openxmlformats.org/officeDocument/2006/relationships/image" Target="media/image17.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image" Target="media/image12.emf"/><Relationship Id="rId49" Type="http://schemas.openxmlformats.org/officeDocument/2006/relationships/image" Target="media/image19.emf"/><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image" Target="media/image11.emf"/><Relationship Id="rId44" Type="http://schemas.openxmlformats.org/officeDocument/2006/relationships/package" Target="embeddings/Microsoft_Excel_Worksheet14.xlsx"/><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hyperlink" Target="http://www.ujn.gov.me/wp-content/uploads/2013/07/Izvjestaj2012.pdf" TargetMode="External"/><Relationship Id="rId43" Type="http://schemas.openxmlformats.org/officeDocument/2006/relationships/image" Target="media/image16.emf"/><Relationship Id="rId48" Type="http://schemas.openxmlformats.org/officeDocument/2006/relationships/package" Target="embeddings/Microsoft_Excel_Worksheet16.xlsx"/><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javnanabava.hr/userdocsimages/userfiles/file/Statisti&#269;ka%20izvje&#353;&#263;a/Godi&#353;nja/Statisticko_izvjesce_JN-2012.pdf" TargetMode="External"/><Relationship Id="rId2" Type="http://schemas.openxmlformats.org/officeDocument/2006/relationships/hyperlink" Target="http://www.javnanabava.hr/userdocsimages/userfiles/file/Statisti&#269;ka%20izvje&#353;&#263;a/Godi&#353;nja/Statisticko_izvjesce_JN-2011.pdf" TargetMode="External"/><Relationship Id="rId1" Type="http://schemas.openxmlformats.org/officeDocument/2006/relationships/hyperlink" Target="http://www.ujn.gov.me/wp-content/uploads/2013/07/Izvjestaj2012.pdf" TargetMode="External"/><Relationship Id="rId4" Type="http://schemas.openxmlformats.org/officeDocument/2006/relationships/hyperlink" Target="http://www.ujn.gov.me/wp-content/uploads/2013/07/Izvjestaj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8B09-4231-4F00-885F-1A678077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6204</Words>
  <Characters>35366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Mladen</cp:lastModifiedBy>
  <cp:revision>2</cp:revision>
  <cp:lastPrinted>2014-04-28T12:56:00Z</cp:lastPrinted>
  <dcterms:created xsi:type="dcterms:W3CDTF">2014-05-09T10:54:00Z</dcterms:created>
  <dcterms:modified xsi:type="dcterms:W3CDTF">2014-05-09T10:54:00Z</dcterms:modified>
</cp:coreProperties>
</file>