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62AD" w:rsidRDefault="001C62AD">
      <w:pPr>
        <w:rPr>
          <w:rFonts w:ascii="Times New Roman" w:hAnsi="Times New Roman" w:cs="Times New Roman"/>
          <w:sz w:val="24"/>
          <w:szCs w:val="24"/>
        </w:rPr>
      </w:pPr>
      <w:bookmarkStart w:id="0" w:name="_GoBack"/>
      <w:bookmarkEnd w:id="0"/>
    </w:p>
    <w:p w:rsidR="000C129C" w:rsidRPr="000C129C" w:rsidRDefault="000C129C" w:rsidP="000C129C">
      <w:pPr>
        <w:spacing w:after="0" w:line="240" w:lineRule="auto"/>
        <w:jc w:val="center"/>
        <w:rPr>
          <w:rFonts w:ascii="Times New Roman" w:eastAsia="Times New Roman" w:hAnsi="Times New Roman" w:cs="Times New Roman"/>
          <w:b/>
          <w:sz w:val="28"/>
          <w:szCs w:val="20"/>
          <w:lang w:val="ru-RU"/>
        </w:rPr>
      </w:pPr>
    </w:p>
    <w:p w:rsidR="000C129C" w:rsidRPr="000C129C" w:rsidRDefault="000C129C" w:rsidP="000C129C">
      <w:pPr>
        <w:spacing w:after="0" w:line="240" w:lineRule="auto"/>
        <w:jc w:val="center"/>
        <w:rPr>
          <w:rFonts w:ascii="Times New Roman" w:eastAsia="Times New Roman" w:hAnsi="Times New Roman" w:cs="Times New Roman"/>
          <w:b/>
          <w:sz w:val="28"/>
          <w:szCs w:val="20"/>
          <w:lang w:val="ru-RU"/>
        </w:rPr>
      </w:pPr>
    </w:p>
    <w:p w:rsidR="000C129C" w:rsidRPr="000C129C" w:rsidRDefault="000C129C" w:rsidP="000C129C">
      <w:pPr>
        <w:spacing w:after="0" w:line="240" w:lineRule="auto"/>
        <w:jc w:val="center"/>
        <w:rPr>
          <w:rFonts w:ascii="Times New Roman" w:eastAsia="Times New Roman" w:hAnsi="Times New Roman" w:cs="Times New Roman"/>
          <w:b/>
          <w:sz w:val="28"/>
          <w:szCs w:val="20"/>
          <w:lang w:val="ru-RU"/>
        </w:rPr>
      </w:pPr>
      <w:r>
        <w:rPr>
          <w:rFonts w:ascii="Times New Roman" w:eastAsia="Times New Roman" w:hAnsi="Times New Roman" w:cs="Times New Roman"/>
          <w:b/>
          <w:noProof/>
          <w:sz w:val="28"/>
          <w:szCs w:val="20"/>
        </w:rPr>
        <w:drawing>
          <wp:inline distT="0" distB="0" distL="0" distR="0">
            <wp:extent cx="1276350" cy="8096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76350" cy="809625"/>
                    </a:xfrm>
                    <a:prstGeom prst="rect">
                      <a:avLst/>
                    </a:prstGeom>
                    <a:noFill/>
                  </pic:spPr>
                </pic:pic>
              </a:graphicData>
            </a:graphic>
          </wp:inline>
        </w:drawing>
      </w:r>
      <w:r>
        <w:rPr>
          <w:rFonts w:ascii="Times New Roman" w:eastAsia="Times New Roman" w:hAnsi="Times New Roman" w:cs="Times New Roman"/>
          <w:b/>
          <w:sz w:val="28"/>
          <w:szCs w:val="20"/>
          <w:lang w:val="ru-RU"/>
        </w:rPr>
        <w:br/>
      </w:r>
    </w:p>
    <w:p w:rsidR="000C129C" w:rsidRPr="000C129C" w:rsidRDefault="000C129C" w:rsidP="000C129C">
      <w:pPr>
        <w:spacing w:after="0" w:line="240" w:lineRule="auto"/>
        <w:jc w:val="center"/>
        <w:rPr>
          <w:rFonts w:ascii="Times New Roman" w:eastAsia="Times New Roman" w:hAnsi="Times New Roman" w:cs="Times New Roman"/>
          <w:b/>
          <w:sz w:val="28"/>
          <w:szCs w:val="20"/>
          <w:lang w:val="ru-RU"/>
        </w:rPr>
      </w:pPr>
      <w:r w:rsidRPr="000C129C">
        <w:rPr>
          <w:rFonts w:ascii="Times New Roman" w:eastAsia="Times New Roman" w:hAnsi="Times New Roman" w:cs="Times New Roman"/>
          <w:b/>
          <w:sz w:val="28"/>
          <w:szCs w:val="20"/>
          <w:lang w:val="ru-RU"/>
        </w:rPr>
        <w:t>РЕПУБЛИКА СРБИЈА</w:t>
      </w:r>
    </w:p>
    <w:p w:rsidR="000C129C" w:rsidRPr="000C129C" w:rsidRDefault="000C129C" w:rsidP="000C129C">
      <w:pPr>
        <w:spacing w:after="0" w:line="240" w:lineRule="auto"/>
        <w:jc w:val="center"/>
        <w:rPr>
          <w:rFonts w:ascii="Times New Roman" w:eastAsia="Times New Roman" w:hAnsi="Times New Roman" w:cs="Times New Roman"/>
          <w:b/>
          <w:sz w:val="28"/>
          <w:szCs w:val="20"/>
          <w:lang w:val="ru-RU"/>
        </w:rPr>
      </w:pPr>
      <w:r w:rsidRPr="000C129C">
        <w:rPr>
          <w:rFonts w:ascii="Times New Roman" w:eastAsia="Times New Roman" w:hAnsi="Times New Roman" w:cs="Times New Roman"/>
          <w:b/>
          <w:sz w:val="28"/>
          <w:szCs w:val="20"/>
          <w:lang w:val="ru-RU"/>
        </w:rPr>
        <w:t>УПРАВА ЗА ЈАВНЕ НАБАВКЕ</w:t>
      </w:r>
    </w:p>
    <w:p w:rsidR="000C129C" w:rsidRPr="000C129C" w:rsidRDefault="000C129C" w:rsidP="000C129C">
      <w:pPr>
        <w:spacing w:after="0" w:line="240" w:lineRule="auto"/>
        <w:jc w:val="center"/>
        <w:rPr>
          <w:rFonts w:ascii="Times New Roman" w:eastAsia="Times New Roman" w:hAnsi="Times New Roman" w:cs="Times New Roman"/>
          <w:b/>
          <w:sz w:val="28"/>
          <w:szCs w:val="20"/>
          <w:lang w:val="ru-RU"/>
        </w:rPr>
      </w:pPr>
    </w:p>
    <w:p w:rsidR="000C129C" w:rsidRPr="000C129C" w:rsidRDefault="000C129C" w:rsidP="000C129C">
      <w:pPr>
        <w:spacing w:after="0" w:line="240" w:lineRule="auto"/>
        <w:jc w:val="center"/>
        <w:rPr>
          <w:rFonts w:ascii="Times New Roman" w:eastAsia="Times New Roman" w:hAnsi="Times New Roman" w:cs="Times New Roman"/>
          <w:b/>
          <w:sz w:val="28"/>
          <w:szCs w:val="20"/>
          <w:lang w:val="ru-RU"/>
        </w:rPr>
      </w:pPr>
    </w:p>
    <w:p w:rsidR="000C129C" w:rsidRPr="000C129C" w:rsidRDefault="000C129C" w:rsidP="000C129C">
      <w:pPr>
        <w:spacing w:after="0" w:line="240" w:lineRule="auto"/>
        <w:jc w:val="center"/>
        <w:rPr>
          <w:rFonts w:ascii="Times New Roman" w:eastAsia="Times New Roman" w:hAnsi="Times New Roman" w:cs="Times New Roman"/>
          <w:b/>
          <w:sz w:val="28"/>
          <w:szCs w:val="20"/>
          <w:lang w:val="ru-RU"/>
        </w:rPr>
      </w:pPr>
    </w:p>
    <w:p w:rsidR="000C129C" w:rsidRPr="000C129C" w:rsidRDefault="000C129C" w:rsidP="000C129C">
      <w:pPr>
        <w:spacing w:after="0" w:line="240" w:lineRule="auto"/>
        <w:jc w:val="center"/>
        <w:rPr>
          <w:rFonts w:ascii="Times New Roman" w:eastAsia="Times New Roman" w:hAnsi="Times New Roman" w:cs="Times New Roman"/>
          <w:b/>
          <w:sz w:val="28"/>
          <w:szCs w:val="20"/>
          <w:lang w:val="ru-RU"/>
        </w:rPr>
      </w:pPr>
    </w:p>
    <w:p w:rsidR="000C129C" w:rsidRPr="000C129C" w:rsidRDefault="000C129C" w:rsidP="000C129C">
      <w:pPr>
        <w:spacing w:after="0" w:line="240" w:lineRule="auto"/>
        <w:jc w:val="center"/>
        <w:rPr>
          <w:rFonts w:ascii="Times New Roman" w:eastAsia="Times New Roman" w:hAnsi="Times New Roman" w:cs="Times New Roman"/>
          <w:b/>
          <w:sz w:val="28"/>
          <w:szCs w:val="20"/>
          <w:lang w:val="ru-RU"/>
        </w:rPr>
      </w:pPr>
    </w:p>
    <w:p w:rsidR="000C129C" w:rsidRPr="000C129C" w:rsidRDefault="000C129C" w:rsidP="000C129C">
      <w:pPr>
        <w:spacing w:after="0" w:line="240" w:lineRule="auto"/>
        <w:jc w:val="center"/>
        <w:rPr>
          <w:rFonts w:ascii="Times New Roman" w:eastAsia="Times New Roman" w:hAnsi="Times New Roman" w:cs="Times New Roman"/>
          <w:b/>
          <w:sz w:val="28"/>
          <w:szCs w:val="20"/>
          <w:lang w:val="ru-RU"/>
        </w:rPr>
      </w:pPr>
    </w:p>
    <w:p w:rsidR="000C129C" w:rsidRPr="000C129C" w:rsidRDefault="000C129C" w:rsidP="000C129C">
      <w:pPr>
        <w:spacing w:after="0" w:line="240" w:lineRule="auto"/>
        <w:jc w:val="center"/>
        <w:rPr>
          <w:rFonts w:ascii="Times New Roman" w:eastAsia="Times New Roman" w:hAnsi="Times New Roman" w:cs="Times New Roman"/>
          <w:b/>
          <w:sz w:val="28"/>
          <w:szCs w:val="20"/>
          <w:lang w:val="ru-RU"/>
        </w:rPr>
      </w:pPr>
    </w:p>
    <w:p w:rsidR="000C129C" w:rsidRPr="000C129C" w:rsidRDefault="000C129C" w:rsidP="000C129C">
      <w:pPr>
        <w:spacing w:after="0" w:line="240" w:lineRule="auto"/>
        <w:jc w:val="center"/>
        <w:rPr>
          <w:rFonts w:ascii="Times New Roman" w:eastAsia="Times New Roman" w:hAnsi="Times New Roman" w:cs="Times New Roman"/>
          <w:b/>
          <w:sz w:val="28"/>
          <w:szCs w:val="20"/>
          <w:lang w:val="sr-Latn-CS"/>
        </w:rPr>
      </w:pPr>
    </w:p>
    <w:p w:rsidR="000C129C" w:rsidRPr="000C129C" w:rsidRDefault="000C129C" w:rsidP="000C129C">
      <w:pPr>
        <w:spacing w:after="0" w:line="240" w:lineRule="auto"/>
        <w:jc w:val="center"/>
        <w:rPr>
          <w:rFonts w:ascii="Times New Roman" w:eastAsia="Times New Roman" w:hAnsi="Times New Roman" w:cs="Times New Roman"/>
          <w:b/>
          <w:sz w:val="28"/>
          <w:szCs w:val="20"/>
          <w:lang w:val="sr-Latn-CS"/>
        </w:rPr>
      </w:pPr>
    </w:p>
    <w:p w:rsidR="000C129C" w:rsidRPr="000C129C" w:rsidRDefault="000C129C" w:rsidP="000C129C">
      <w:pPr>
        <w:spacing w:after="0" w:line="240" w:lineRule="auto"/>
        <w:jc w:val="center"/>
        <w:rPr>
          <w:rFonts w:ascii="Times New Roman" w:eastAsia="Times New Roman" w:hAnsi="Times New Roman" w:cs="Times New Roman"/>
          <w:b/>
          <w:sz w:val="28"/>
          <w:szCs w:val="20"/>
          <w:lang w:val="sr-Latn-CS"/>
        </w:rPr>
      </w:pPr>
    </w:p>
    <w:p w:rsidR="000C129C" w:rsidRPr="000C129C" w:rsidRDefault="000C129C" w:rsidP="000C129C">
      <w:pPr>
        <w:spacing w:after="0" w:line="240" w:lineRule="auto"/>
        <w:jc w:val="center"/>
        <w:rPr>
          <w:rFonts w:ascii="Times New Roman" w:eastAsia="Times New Roman" w:hAnsi="Times New Roman" w:cs="Times New Roman"/>
          <w:b/>
          <w:sz w:val="28"/>
          <w:szCs w:val="20"/>
          <w:lang w:val="sr-Latn-CS"/>
        </w:rPr>
      </w:pPr>
    </w:p>
    <w:p w:rsidR="000C129C" w:rsidRPr="000C129C" w:rsidRDefault="000C129C" w:rsidP="000C129C">
      <w:pPr>
        <w:spacing w:after="0" w:line="240" w:lineRule="auto"/>
        <w:jc w:val="center"/>
        <w:rPr>
          <w:rFonts w:ascii="Times New Roman" w:eastAsia="Times New Roman" w:hAnsi="Times New Roman" w:cs="Times New Roman"/>
          <w:b/>
          <w:sz w:val="28"/>
          <w:szCs w:val="20"/>
          <w:lang w:val="sr-Latn-CS"/>
        </w:rPr>
      </w:pPr>
    </w:p>
    <w:p w:rsidR="000C129C" w:rsidRPr="000C129C" w:rsidRDefault="000C129C" w:rsidP="000C129C">
      <w:pPr>
        <w:spacing w:after="0" w:line="240" w:lineRule="auto"/>
        <w:jc w:val="center"/>
        <w:rPr>
          <w:rFonts w:ascii="Times New Roman" w:eastAsia="Times New Roman" w:hAnsi="Times New Roman" w:cs="Times New Roman"/>
          <w:b/>
          <w:sz w:val="28"/>
          <w:szCs w:val="20"/>
          <w:lang w:val="ru-RU"/>
        </w:rPr>
      </w:pPr>
    </w:p>
    <w:p w:rsidR="000C129C" w:rsidRPr="00C46C4D" w:rsidRDefault="000C129C" w:rsidP="000C129C">
      <w:pPr>
        <w:spacing w:after="0" w:line="240" w:lineRule="auto"/>
        <w:jc w:val="center"/>
        <w:rPr>
          <w:rFonts w:ascii="Times New Roman" w:eastAsia="Times New Roman" w:hAnsi="Times New Roman" w:cs="Times New Roman"/>
          <w:b/>
          <w:sz w:val="28"/>
          <w:szCs w:val="28"/>
          <w:lang w:val="ru-RU"/>
        </w:rPr>
      </w:pPr>
      <w:r w:rsidRPr="00C46C4D">
        <w:rPr>
          <w:rFonts w:ascii="Times New Roman" w:eastAsia="Times New Roman" w:hAnsi="Times New Roman" w:cs="Times New Roman"/>
          <w:b/>
          <w:sz w:val="28"/>
          <w:szCs w:val="28"/>
          <w:lang w:val="ru-RU"/>
        </w:rPr>
        <w:t xml:space="preserve">ИЗВЕШТАЈ О ЈАВНИМ НАБАВКАМА У РЕПУБЛИЦИ СРБИЈИ </w:t>
      </w:r>
    </w:p>
    <w:p w:rsidR="000C129C" w:rsidRPr="000C129C" w:rsidRDefault="00E633FD" w:rsidP="000C129C">
      <w:pPr>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lang w:val="ru-RU"/>
        </w:rPr>
        <w:t>ЗА</w:t>
      </w:r>
      <w:r>
        <w:rPr>
          <w:rFonts w:ascii="Times New Roman" w:eastAsia="Times New Roman" w:hAnsi="Times New Roman" w:cs="Times New Roman"/>
          <w:b/>
          <w:color w:val="000000"/>
          <w:sz w:val="28"/>
          <w:szCs w:val="28"/>
        </w:rPr>
        <w:t xml:space="preserve"> ЧЕТВРТИ</w:t>
      </w:r>
      <w:r w:rsidR="00DA7BBA">
        <w:rPr>
          <w:rFonts w:ascii="Times New Roman" w:eastAsia="Times New Roman" w:hAnsi="Times New Roman" w:cs="Times New Roman"/>
          <w:b/>
          <w:color w:val="000000"/>
          <w:sz w:val="28"/>
          <w:szCs w:val="28"/>
        </w:rPr>
        <w:t xml:space="preserve"> </w:t>
      </w:r>
      <w:r w:rsidR="000C129C" w:rsidRPr="00C46C4D">
        <w:rPr>
          <w:rFonts w:ascii="Times New Roman" w:eastAsia="Times New Roman" w:hAnsi="Times New Roman" w:cs="Times New Roman"/>
          <w:b/>
          <w:color w:val="000000"/>
          <w:sz w:val="28"/>
          <w:szCs w:val="28"/>
        </w:rPr>
        <w:t>КВАРТАЛ</w:t>
      </w:r>
      <w:r w:rsidR="000C129C" w:rsidRPr="00C46C4D">
        <w:rPr>
          <w:rFonts w:ascii="Times New Roman" w:eastAsia="Times New Roman" w:hAnsi="Times New Roman" w:cs="Times New Roman"/>
          <w:b/>
          <w:color w:val="000000"/>
          <w:sz w:val="28"/>
          <w:szCs w:val="28"/>
          <w:lang w:val="ru-RU"/>
        </w:rPr>
        <w:t xml:space="preserve"> 2013. ГОДИНЕ</w:t>
      </w:r>
    </w:p>
    <w:p w:rsidR="000C129C" w:rsidRPr="000C129C" w:rsidRDefault="000C129C" w:rsidP="000C129C">
      <w:pPr>
        <w:spacing w:after="0" w:line="240" w:lineRule="auto"/>
        <w:rPr>
          <w:rFonts w:ascii="Times New Roman" w:eastAsia="Times New Roman" w:hAnsi="Times New Roman" w:cs="Times New Roman"/>
          <w:b/>
          <w:sz w:val="28"/>
          <w:szCs w:val="20"/>
          <w:lang w:val="ru-RU"/>
        </w:rPr>
      </w:pPr>
    </w:p>
    <w:p w:rsidR="000C129C" w:rsidRPr="000C129C" w:rsidRDefault="000C129C" w:rsidP="000C129C">
      <w:pPr>
        <w:spacing w:after="0" w:line="240" w:lineRule="auto"/>
        <w:rPr>
          <w:rFonts w:ascii="Times New Roman" w:eastAsia="Times New Roman" w:hAnsi="Times New Roman" w:cs="Times New Roman"/>
          <w:b/>
          <w:sz w:val="28"/>
          <w:szCs w:val="20"/>
          <w:lang w:val="ru-RU"/>
        </w:rPr>
      </w:pPr>
    </w:p>
    <w:p w:rsidR="000C129C" w:rsidRPr="000C129C" w:rsidRDefault="000C129C" w:rsidP="000C129C">
      <w:pPr>
        <w:spacing w:after="0" w:line="240" w:lineRule="auto"/>
        <w:rPr>
          <w:rFonts w:ascii="Times New Roman" w:eastAsia="Times New Roman" w:hAnsi="Times New Roman" w:cs="Times New Roman"/>
          <w:b/>
          <w:sz w:val="28"/>
          <w:szCs w:val="20"/>
          <w:lang w:val="ru-RU"/>
        </w:rPr>
      </w:pPr>
    </w:p>
    <w:p w:rsidR="000C129C" w:rsidRPr="000C129C" w:rsidRDefault="000C129C" w:rsidP="000C129C">
      <w:pPr>
        <w:spacing w:after="0" w:line="240" w:lineRule="auto"/>
        <w:rPr>
          <w:rFonts w:ascii="Times New Roman" w:eastAsia="Times New Roman" w:hAnsi="Times New Roman" w:cs="Times New Roman"/>
          <w:b/>
          <w:sz w:val="28"/>
          <w:szCs w:val="20"/>
          <w:lang w:val="ru-RU"/>
        </w:rPr>
      </w:pPr>
    </w:p>
    <w:p w:rsidR="000C129C" w:rsidRPr="000C129C" w:rsidRDefault="000C129C" w:rsidP="000C129C">
      <w:pPr>
        <w:spacing w:after="0" w:line="240" w:lineRule="auto"/>
        <w:rPr>
          <w:rFonts w:ascii="Times New Roman" w:eastAsia="Times New Roman" w:hAnsi="Times New Roman" w:cs="Times New Roman"/>
          <w:b/>
          <w:sz w:val="28"/>
          <w:szCs w:val="20"/>
          <w:lang w:val="ru-RU"/>
        </w:rPr>
      </w:pPr>
    </w:p>
    <w:p w:rsidR="000C129C" w:rsidRPr="000C129C" w:rsidRDefault="000C129C" w:rsidP="000C129C">
      <w:pPr>
        <w:spacing w:after="0" w:line="240" w:lineRule="auto"/>
        <w:rPr>
          <w:rFonts w:ascii="Times New Roman" w:eastAsia="Times New Roman" w:hAnsi="Times New Roman" w:cs="Times New Roman"/>
          <w:b/>
          <w:sz w:val="28"/>
          <w:szCs w:val="20"/>
          <w:lang w:val="ru-RU"/>
        </w:rPr>
      </w:pPr>
    </w:p>
    <w:p w:rsidR="000C129C" w:rsidRPr="000C129C" w:rsidRDefault="000C129C" w:rsidP="000C129C">
      <w:pPr>
        <w:spacing w:after="0" w:line="240" w:lineRule="auto"/>
        <w:rPr>
          <w:rFonts w:ascii="Times New Roman" w:eastAsia="Times New Roman" w:hAnsi="Times New Roman" w:cs="Times New Roman"/>
          <w:b/>
          <w:sz w:val="28"/>
          <w:szCs w:val="20"/>
          <w:lang w:val="ru-RU"/>
        </w:rPr>
      </w:pPr>
    </w:p>
    <w:p w:rsidR="000C129C" w:rsidRPr="000C129C" w:rsidRDefault="000C129C" w:rsidP="000C129C">
      <w:pPr>
        <w:spacing w:after="0" w:line="240" w:lineRule="auto"/>
        <w:rPr>
          <w:rFonts w:ascii="Times New Roman" w:eastAsia="Times New Roman" w:hAnsi="Times New Roman" w:cs="Times New Roman"/>
          <w:b/>
          <w:sz w:val="28"/>
          <w:szCs w:val="20"/>
          <w:lang w:val="ru-RU"/>
        </w:rPr>
      </w:pPr>
    </w:p>
    <w:p w:rsidR="000C129C" w:rsidRPr="000C129C" w:rsidRDefault="000C129C" w:rsidP="000C129C">
      <w:pPr>
        <w:spacing w:after="0" w:line="240" w:lineRule="auto"/>
        <w:rPr>
          <w:rFonts w:ascii="Times New Roman" w:eastAsia="Times New Roman" w:hAnsi="Times New Roman" w:cs="Times New Roman"/>
          <w:b/>
          <w:sz w:val="28"/>
          <w:szCs w:val="20"/>
          <w:lang w:val="sr-Latn-CS"/>
        </w:rPr>
      </w:pPr>
    </w:p>
    <w:p w:rsidR="000C129C" w:rsidRPr="000C129C" w:rsidRDefault="000C129C" w:rsidP="000C129C">
      <w:pPr>
        <w:spacing w:after="0" w:line="240" w:lineRule="auto"/>
        <w:jc w:val="center"/>
        <w:rPr>
          <w:rFonts w:ascii="Times New Roman" w:eastAsia="Times New Roman" w:hAnsi="Times New Roman" w:cs="Times New Roman"/>
          <w:b/>
          <w:sz w:val="28"/>
          <w:szCs w:val="20"/>
          <w:lang w:val="sr-Latn-CS"/>
        </w:rPr>
      </w:pPr>
    </w:p>
    <w:p w:rsidR="000C129C" w:rsidRPr="001275D0" w:rsidRDefault="000C129C" w:rsidP="000C129C">
      <w:pPr>
        <w:spacing w:after="0" w:line="240" w:lineRule="auto"/>
        <w:rPr>
          <w:rFonts w:ascii="Times New Roman" w:eastAsia="Times New Roman" w:hAnsi="Times New Roman" w:cs="Times New Roman"/>
          <w:b/>
          <w:sz w:val="28"/>
          <w:szCs w:val="20"/>
        </w:rPr>
      </w:pPr>
    </w:p>
    <w:p w:rsidR="000C129C" w:rsidRPr="000C129C" w:rsidRDefault="000C129C" w:rsidP="000C129C">
      <w:pPr>
        <w:spacing w:after="0" w:line="240" w:lineRule="auto"/>
        <w:rPr>
          <w:rFonts w:ascii="Times New Roman" w:eastAsia="Times New Roman" w:hAnsi="Times New Roman" w:cs="Times New Roman"/>
          <w:b/>
          <w:sz w:val="28"/>
          <w:szCs w:val="20"/>
          <w:lang w:val="ru-RU"/>
        </w:rPr>
      </w:pPr>
    </w:p>
    <w:p w:rsidR="000C129C" w:rsidRPr="000C129C" w:rsidRDefault="000C129C" w:rsidP="000C129C">
      <w:pPr>
        <w:spacing w:after="0" w:line="240" w:lineRule="auto"/>
        <w:rPr>
          <w:rFonts w:ascii="Times New Roman" w:eastAsia="Times New Roman" w:hAnsi="Times New Roman" w:cs="Times New Roman"/>
          <w:b/>
          <w:sz w:val="28"/>
          <w:szCs w:val="20"/>
          <w:lang w:val="ru-RU"/>
        </w:rPr>
      </w:pPr>
    </w:p>
    <w:p w:rsidR="000C129C" w:rsidRPr="000C129C" w:rsidRDefault="000C129C" w:rsidP="000C129C">
      <w:pPr>
        <w:spacing w:after="0" w:line="240" w:lineRule="auto"/>
        <w:rPr>
          <w:rFonts w:ascii="Times New Roman" w:eastAsia="Times New Roman" w:hAnsi="Times New Roman" w:cs="Times New Roman"/>
          <w:b/>
          <w:sz w:val="28"/>
          <w:szCs w:val="20"/>
          <w:lang w:val="sr-Latn-CS"/>
        </w:rPr>
      </w:pPr>
    </w:p>
    <w:p w:rsidR="000C129C" w:rsidRPr="000C129C" w:rsidRDefault="000C129C" w:rsidP="000C129C">
      <w:pPr>
        <w:spacing w:after="0" w:line="240" w:lineRule="auto"/>
        <w:jc w:val="center"/>
        <w:rPr>
          <w:rFonts w:ascii="Times New Roman" w:eastAsia="Times New Roman" w:hAnsi="Times New Roman" w:cs="Times New Roman"/>
          <w:b/>
          <w:sz w:val="28"/>
          <w:szCs w:val="28"/>
          <w:lang w:val="ru-RU"/>
        </w:rPr>
      </w:pPr>
      <w:r w:rsidRPr="000C129C">
        <w:rPr>
          <w:rFonts w:ascii="Times New Roman" w:eastAsia="Times New Roman" w:hAnsi="Times New Roman" w:cs="Times New Roman"/>
          <w:b/>
          <w:sz w:val="28"/>
          <w:szCs w:val="28"/>
          <w:lang w:val="sr-Cyrl-CS"/>
        </w:rPr>
        <w:t>Београд</w:t>
      </w:r>
    </w:p>
    <w:p w:rsidR="000C129C" w:rsidRPr="000C129C" w:rsidRDefault="00F94235" w:rsidP="000C129C">
      <w:pPr>
        <w:spacing w:after="0" w:line="240" w:lineRule="auto"/>
        <w:jc w:val="center"/>
        <w:rPr>
          <w:rFonts w:ascii="Times New Roman" w:eastAsia="Times New Roman" w:hAnsi="Times New Roman" w:cs="Times New Roman"/>
          <w:b/>
          <w:sz w:val="28"/>
          <w:szCs w:val="28"/>
          <w:lang w:val="sr-Cyrl-CS"/>
        </w:rPr>
      </w:pPr>
      <w:r>
        <w:rPr>
          <w:rFonts w:ascii="Times New Roman" w:eastAsia="Times New Roman" w:hAnsi="Times New Roman" w:cs="Times New Roman"/>
          <w:b/>
          <w:sz w:val="28"/>
          <w:szCs w:val="28"/>
        </w:rPr>
        <w:t>7</w:t>
      </w:r>
      <w:r w:rsidR="00441219">
        <w:rPr>
          <w:rFonts w:ascii="Times New Roman" w:eastAsia="Times New Roman" w:hAnsi="Times New Roman" w:cs="Times New Roman"/>
          <w:b/>
          <w:sz w:val="28"/>
          <w:szCs w:val="28"/>
          <w:lang w:val="ru-RU"/>
        </w:rPr>
        <w:t xml:space="preserve">. </w:t>
      </w:r>
      <w:r w:rsidR="001275D0">
        <w:rPr>
          <w:rFonts w:ascii="Times New Roman" w:eastAsia="Times New Roman" w:hAnsi="Times New Roman" w:cs="Times New Roman"/>
          <w:b/>
          <w:sz w:val="28"/>
          <w:szCs w:val="28"/>
          <w:lang w:val="ru-RU"/>
        </w:rPr>
        <w:t>март</w:t>
      </w:r>
      <w:r w:rsidR="001B245E">
        <w:rPr>
          <w:rFonts w:ascii="Times New Roman" w:eastAsia="Times New Roman" w:hAnsi="Times New Roman" w:cs="Times New Roman"/>
          <w:b/>
          <w:sz w:val="28"/>
          <w:szCs w:val="28"/>
          <w:lang w:val="ru-RU"/>
        </w:rPr>
        <w:t xml:space="preserve"> 2014</w:t>
      </w:r>
      <w:r w:rsidR="000C129C">
        <w:rPr>
          <w:rFonts w:ascii="Times New Roman" w:eastAsia="Times New Roman" w:hAnsi="Times New Roman" w:cs="Times New Roman"/>
          <w:b/>
          <w:sz w:val="28"/>
          <w:szCs w:val="28"/>
          <w:lang w:val="ru-RU"/>
        </w:rPr>
        <w:t>. године</w:t>
      </w:r>
    </w:p>
    <w:p w:rsidR="000C129C" w:rsidRDefault="000C129C">
      <w:pPr>
        <w:rPr>
          <w:rFonts w:ascii="Times New Roman" w:hAnsi="Times New Roman" w:cs="Times New Roman"/>
          <w:sz w:val="24"/>
          <w:szCs w:val="24"/>
        </w:rPr>
      </w:pPr>
    </w:p>
    <w:p w:rsidR="00261373" w:rsidRDefault="00261373">
      <w:pPr>
        <w:rPr>
          <w:rFonts w:ascii="Times New Roman" w:hAnsi="Times New Roman" w:cs="Times New Roman"/>
          <w:sz w:val="24"/>
          <w:szCs w:val="24"/>
        </w:rPr>
      </w:pPr>
    </w:p>
    <w:p w:rsidR="00725059" w:rsidRDefault="00725059">
      <w:pPr>
        <w:rPr>
          <w:rFonts w:ascii="Times New Roman" w:hAnsi="Times New Roman" w:cs="Times New Roman"/>
          <w:sz w:val="24"/>
          <w:szCs w:val="24"/>
        </w:rPr>
      </w:pPr>
    </w:p>
    <w:p w:rsidR="00725059" w:rsidRPr="00725059" w:rsidRDefault="00725059">
      <w:pPr>
        <w:rPr>
          <w:rFonts w:ascii="Times New Roman" w:hAnsi="Times New Roman" w:cs="Times New Roman"/>
          <w:sz w:val="24"/>
          <w:szCs w:val="24"/>
        </w:rPr>
      </w:pPr>
    </w:p>
    <w:p w:rsidR="003B4846" w:rsidRPr="003B4846" w:rsidRDefault="003B4846" w:rsidP="003B4846">
      <w:pPr>
        <w:contextualSpacing/>
        <w:rPr>
          <w:rFonts w:ascii="Times New Roman" w:eastAsia="Calibri" w:hAnsi="Times New Roman" w:cs="Times New Roman"/>
          <w:b/>
          <w:sz w:val="24"/>
          <w:szCs w:val="24"/>
        </w:rPr>
      </w:pPr>
      <w:r w:rsidRPr="003B4846">
        <w:rPr>
          <w:rFonts w:ascii="Times New Roman" w:eastAsia="Calibri" w:hAnsi="Times New Roman" w:cs="Times New Roman"/>
          <w:b/>
          <w:sz w:val="24"/>
          <w:szCs w:val="24"/>
        </w:rPr>
        <w:lastRenderedPageBreak/>
        <w:t>УВОД</w:t>
      </w:r>
    </w:p>
    <w:p w:rsidR="003B4846" w:rsidRPr="003B4846" w:rsidRDefault="003B4846" w:rsidP="003B4846">
      <w:pPr>
        <w:ind w:left="720"/>
        <w:contextualSpacing/>
        <w:rPr>
          <w:rFonts w:ascii="Times New Roman" w:eastAsia="Calibri" w:hAnsi="Times New Roman" w:cs="Times New Roman"/>
          <w:b/>
          <w:sz w:val="24"/>
          <w:szCs w:val="24"/>
        </w:rPr>
      </w:pPr>
    </w:p>
    <w:p w:rsidR="003B4846" w:rsidRPr="003B4846" w:rsidRDefault="003B4846" w:rsidP="003B4846">
      <w:pPr>
        <w:jc w:val="both"/>
        <w:rPr>
          <w:rFonts w:ascii="Times New Roman" w:eastAsia="Calibri" w:hAnsi="Times New Roman" w:cs="Times New Roman"/>
          <w:sz w:val="24"/>
          <w:szCs w:val="24"/>
        </w:rPr>
      </w:pPr>
      <w:r w:rsidRPr="003B4846">
        <w:rPr>
          <w:rFonts w:ascii="Times New Roman" w:eastAsia="Calibri" w:hAnsi="Times New Roman" w:cs="Times New Roman"/>
          <w:sz w:val="24"/>
          <w:szCs w:val="24"/>
        </w:rPr>
        <w:t xml:space="preserve">Законом о јавним набавкама („Службени гласник РС“, бр. 124/12) прописано је да су наручиоци дужни да прикупљају и евидентирају податке о јавним набавкама и да своје </w:t>
      </w:r>
      <w:r w:rsidR="00F155EE">
        <w:rPr>
          <w:rFonts w:ascii="Times New Roman" w:eastAsia="Calibri" w:hAnsi="Times New Roman" w:cs="Times New Roman"/>
          <w:sz w:val="24"/>
          <w:szCs w:val="24"/>
          <w:lang w:val="sr-Cyrl-RS"/>
        </w:rPr>
        <w:t xml:space="preserve">кварталне </w:t>
      </w:r>
      <w:r w:rsidRPr="003B4846">
        <w:rPr>
          <w:rFonts w:ascii="Times New Roman" w:eastAsia="Calibri" w:hAnsi="Times New Roman" w:cs="Times New Roman"/>
          <w:sz w:val="24"/>
          <w:szCs w:val="24"/>
        </w:rPr>
        <w:t>извештаје достављају Управи за јавне набавке најкасније до 10. у месецу који следи по истеку тромесечја.</w:t>
      </w:r>
    </w:p>
    <w:p w:rsidR="003B4846" w:rsidRPr="003B4846" w:rsidRDefault="003B4846" w:rsidP="003B4846">
      <w:pPr>
        <w:jc w:val="both"/>
        <w:rPr>
          <w:rFonts w:ascii="Times New Roman" w:eastAsia="Calibri" w:hAnsi="Times New Roman" w:cs="Times New Roman"/>
          <w:sz w:val="24"/>
          <w:szCs w:val="24"/>
        </w:rPr>
      </w:pPr>
      <w:r w:rsidRPr="003B4846">
        <w:rPr>
          <w:rFonts w:ascii="Times New Roman" w:eastAsia="Calibri" w:hAnsi="Times New Roman" w:cs="Times New Roman"/>
          <w:sz w:val="24"/>
          <w:szCs w:val="24"/>
        </w:rPr>
        <w:t xml:space="preserve">Кључни елементи тромесечних извештаја о јавним набавкама предвиђени су самим Законом, док су садржина извештаја и начин вођења евиденције детаљније уређени Правилником о садржини извештаја о јавним набавкама и начину вођења евиденције о јавним набавкама („Службени гласник РС“, бр. 29/13). </w:t>
      </w:r>
    </w:p>
    <w:p w:rsidR="003B4846" w:rsidRPr="003B4846" w:rsidRDefault="003B4846" w:rsidP="003B4846">
      <w:pPr>
        <w:jc w:val="both"/>
        <w:rPr>
          <w:rFonts w:ascii="Times New Roman" w:eastAsia="Calibri" w:hAnsi="Times New Roman" w:cs="Times New Roman"/>
          <w:sz w:val="24"/>
          <w:szCs w:val="24"/>
        </w:rPr>
      </w:pPr>
      <w:r w:rsidRPr="003B4846">
        <w:rPr>
          <w:rFonts w:ascii="Times New Roman" w:eastAsia="Calibri" w:hAnsi="Times New Roman" w:cs="Times New Roman"/>
          <w:sz w:val="24"/>
          <w:szCs w:val="24"/>
        </w:rPr>
        <w:t xml:space="preserve">Конкретно, прописано је да наручиоци достављају Управи тромесечни извештај о спроведеним поступцима и закљученим уговорима о јавним набавкама, о спроведеним поступцима набавки на које се </w:t>
      </w:r>
      <w:r w:rsidR="00AD2121">
        <w:rPr>
          <w:rFonts w:ascii="Times New Roman" w:eastAsia="Calibri" w:hAnsi="Times New Roman" w:cs="Times New Roman"/>
          <w:sz w:val="24"/>
          <w:szCs w:val="24"/>
          <w:lang w:val="sr-Cyrl-RS"/>
        </w:rPr>
        <w:t>не примењују</w:t>
      </w:r>
      <w:r w:rsidRPr="003B4846">
        <w:rPr>
          <w:rFonts w:ascii="Times New Roman" w:eastAsia="Calibri" w:hAnsi="Times New Roman" w:cs="Times New Roman"/>
          <w:sz w:val="24"/>
          <w:szCs w:val="24"/>
        </w:rPr>
        <w:t xml:space="preserve"> одредбе Закона, о обустављеним и поништеним поступцима јавне набавке, као и извештај о извршењу уговора.</w:t>
      </w:r>
    </w:p>
    <w:p w:rsidR="003B4846" w:rsidRPr="003B4846" w:rsidRDefault="003B4846" w:rsidP="003B4846">
      <w:pPr>
        <w:jc w:val="both"/>
        <w:rPr>
          <w:rFonts w:ascii="Times New Roman" w:eastAsia="Calibri" w:hAnsi="Times New Roman" w:cs="Times New Roman"/>
          <w:sz w:val="24"/>
          <w:szCs w:val="24"/>
        </w:rPr>
      </w:pPr>
      <w:r w:rsidRPr="003B4846">
        <w:rPr>
          <w:rFonts w:ascii="Times New Roman" w:eastAsia="Calibri" w:hAnsi="Times New Roman" w:cs="Times New Roman"/>
          <w:sz w:val="24"/>
          <w:szCs w:val="24"/>
        </w:rPr>
        <w:t>Тромесечни извештај о јавним набавкама припрема се и доставља Управи искључиво у електронској форми, коришћењем електронског система, односно апликативног софтвера Управе за јавне набавке.  Софтвер, који садржи обрасце за вођење евиденције и пратеће корисничко упутство за употребу, доступан је на интернет страници Управе, одакле га наручиоци могу преузети (</w:t>
      </w:r>
      <w:hyperlink r:id="rId10" w:history="1">
        <w:r w:rsidRPr="003B4846">
          <w:rPr>
            <w:rFonts w:ascii="Times New Roman" w:eastAsia="Calibri" w:hAnsi="Times New Roman" w:cs="Times New Roman"/>
            <w:color w:val="0000FF"/>
            <w:sz w:val="24"/>
            <w:szCs w:val="24"/>
            <w:u w:val="single"/>
          </w:rPr>
          <w:t>www.ujn.gov.rs</w:t>
        </w:r>
      </w:hyperlink>
      <w:r w:rsidRPr="003B4846">
        <w:rPr>
          <w:rFonts w:ascii="Times New Roman" w:eastAsia="Calibri" w:hAnsi="Times New Roman" w:cs="Times New Roman"/>
          <w:sz w:val="24"/>
          <w:szCs w:val="24"/>
        </w:rPr>
        <w:t xml:space="preserve">). </w:t>
      </w:r>
    </w:p>
    <w:p w:rsidR="003B4846" w:rsidRPr="003B4846" w:rsidRDefault="003B4846" w:rsidP="003B4846">
      <w:pPr>
        <w:jc w:val="both"/>
        <w:rPr>
          <w:rFonts w:ascii="Times New Roman" w:eastAsia="Calibri" w:hAnsi="Times New Roman" w:cs="Times New Roman"/>
          <w:sz w:val="24"/>
          <w:szCs w:val="24"/>
        </w:rPr>
      </w:pPr>
      <w:r w:rsidRPr="003B4846">
        <w:rPr>
          <w:rFonts w:ascii="Times New Roman" w:eastAsia="Calibri" w:hAnsi="Times New Roman" w:cs="Times New Roman"/>
          <w:sz w:val="24"/>
          <w:szCs w:val="24"/>
        </w:rPr>
        <w:t>Подаци о уговорима закљученим у поступку јавне набавке мале вредности, као и подаци о набавкама на које се Закон не примењује у извештајима се наводе збирно, за разлику од осталих поступака где се евидентира сваки закључени уговор појединачно.</w:t>
      </w:r>
    </w:p>
    <w:p w:rsidR="003B4846" w:rsidRPr="003B4846" w:rsidRDefault="003B4846" w:rsidP="003B4846">
      <w:pPr>
        <w:jc w:val="both"/>
        <w:rPr>
          <w:rFonts w:ascii="Times New Roman" w:eastAsia="Calibri" w:hAnsi="Times New Roman" w:cs="Times New Roman"/>
          <w:sz w:val="24"/>
          <w:szCs w:val="24"/>
        </w:rPr>
      </w:pPr>
      <w:r w:rsidRPr="003B4846">
        <w:rPr>
          <w:rFonts w:ascii="Times New Roman" w:eastAsia="Calibri" w:hAnsi="Times New Roman" w:cs="Times New Roman"/>
          <w:sz w:val="24"/>
          <w:szCs w:val="24"/>
        </w:rPr>
        <w:t>Нови систем извештавања, путем наведеног апликативног софтвера, почео је са применом од рока за достављање извештаја о јавним набавкама за други  квартал 2013. године.</w:t>
      </w:r>
    </w:p>
    <w:p w:rsidR="003B4846" w:rsidRPr="003B4846" w:rsidRDefault="003B4846" w:rsidP="003B4846">
      <w:pPr>
        <w:jc w:val="both"/>
        <w:rPr>
          <w:rFonts w:ascii="Times New Roman" w:eastAsia="Calibri" w:hAnsi="Times New Roman" w:cs="Times New Roman"/>
          <w:sz w:val="24"/>
          <w:szCs w:val="24"/>
        </w:rPr>
      </w:pPr>
      <w:r w:rsidRPr="003B4846">
        <w:rPr>
          <w:rFonts w:ascii="Times New Roman" w:eastAsia="Calibri" w:hAnsi="Times New Roman" w:cs="Times New Roman"/>
          <w:sz w:val="24"/>
          <w:szCs w:val="24"/>
        </w:rPr>
        <w:t>За исправност и тачност података приказаних у извештајима одговорни су сами наручиоци.</w:t>
      </w:r>
    </w:p>
    <w:p w:rsidR="003B4846" w:rsidRPr="003B4846" w:rsidRDefault="003B4846" w:rsidP="003B4846">
      <w:pPr>
        <w:jc w:val="both"/>
        <w:rPr>
          <w:rFonts w:ascii="Times New Roman" w:eastAsia="Calibri" w:hAnsi="Times New Roman" w:cs="Times New Roman"/>
          <w:sz w:val="24"/>
          <w:szCs w:val="24"/>
        </w:rPr>
      </w:pPr>
      <w:r w:rsidRPr="003B4846">
        <w:rPr>
          <w:rFonts w:ascii="Times New Roman" w:eastAsia="Calibri" w:hAnsi="Times New Roman" w:cs="Times New Roman"/>
          <w:sz w:val="24"/>
          <w:szCs w:val="24"/>
        </w:rPr>
        <w:t>На основу достављених тромесечних извештаја наручилаца Управа припрема преглед спроведених поступака и закључених уговорa који објављује на Порталу јавних набавки (</w:t>
      </w:r>
      <w:hyperlink r:id="rId11" w:history="1">
        <w:r w:rsidRPr="003B4846">
          <w:rPr>
            <w:rStyle w:val="Hyperlink"/>
            <w:rFonts w:ascii="Times New Roman" w:eastAsia="Calibri" w:hAnsi="Times New Roman" w:cs="Times New Roman"/>
            <w:sz w:val="24"/>
            <w:szCs w:val="24"/>
          </w:rPr>
          <w:t>http://portal.ujn.gov.rs</w:t>
        </w:r>
      </w:hyperlink>
      <w:r w:rsidRPr="003B4846">
        <w:rPr>
          <w:rFonts w:ascii="Times New Roman" w:eastAsia="Calibri" w:hAnsi="Times New Roman" w:cs="Times New Roman"/>
          <w:sz w:val="24"/>
          <w:szCs w:val="24"/>
        </w:rPr>
        <w:t>), и који сви заинтересовани могу да претражују.</w:t>
      </w:r>
    </w:p>
    <w:p w:rsidR="003B4846" w:rsidRPr="003B4846" w:rsidRDefault="003B4846" w:rsidP="003B4846">
      <w:pPr>
        <w:jc w:val="both"/>
        <w:rPr>
          <w:rFonts w:ascii="Times New Roman" w:eastAsia="Calibri" w:hAnsi="Times New Roman" w:cs="Times New Roman"/>
          <w:sz w:val="24"/>
          <w:szCs w:val="24"/>
        </w:rPr>
      </w:pPr>
      <w:r w:rsidRPr="003B4846">
        <w:rPr>
          <w:rFonts w:ascii="Times New Roman" w:eastAsia="Calibri" w:hAnsi="Times New Roman" w:cs="Times New Roman"/>
          <w:sz w:val="24"/>
          <w:szCs w:val="24"/>
        </w:rPr>
        <w:t>Такође, Управа је дужна да на основу појединачних извештаја наручилаца припреми збирни, полугодишњи и годишњи извештај о јавним набавкама са предлогом мера за унапређење система јавних набавки и да их, након достављања Влади РС, објави на својој интернет страници.</w:t>
      </w:r>
    </w:p>
    <w:p w:rsidR="001C62AD" w:rsidRPr="003B4846" w:rsidRDefault="001C62AD">
      <w:pPr>
        <w:rPr>
          <w:rFonts w:ascii="Times New Roman" w:hAnsi="Times New Roman" w:cs="Times New Roman"/>
          <w:sz w:val="24"/>
          <w:szCs w:val="24"/>
        </w:rPr>
      </w:pPr>
    </w:p>
    <w:p w:rsidR="00293B02" w:rsidRDefault="00293B02">
      <w:pPr>
        <w:rPr>
          <w:rFonts w:ascii="Times New Roman" w:hAnsi="Times New Roman" w:cs="Times New Roman"/>
          <w:sz w:val="24"/>
          <w:szCs w:val="24"/>
        </w:rPr>
        <w:sectPr w:rsidR="00293B02" w:rsidSect="00F56CE2">
          <w:footerReference w:type="default" r:id="rId12"/>
          <w:pgSz w:w="11907" w:h="16839" w:code="9"/>
          <w:pgMar w:top="720" w:right="720" w:bottom="720" w:left="720" w:header="708" w:footer="708" w:gutter="0"/>
          <w:pgNumType w:start="0"/>
          <w:cols w:space="708"/>
          <w:titlePg/>
          <w:docGrid w:linePitch="360"/>
        </w:sectPr>
      </w:pPr>
    </w:p>
    <w:p w:rsidR="005745B7" w:rsidRPr="000B4B53" w:rsidRDefault="00E70A37" w:rsidP="000B4B53">
      <w:pPr>
        <w:pStyle w:val="ListParagraph"/>
        <w:numPr>
          <w:ilvl w:val="0"/>
          <w:numId w:val="2"/>
        </w:numPr>
        <w:rPr>
          <w:rFonts w:ascii="Times New Roman" w:hAnsi="Times New Roman" w:cs="Times New Roman"/>
          <w:b/>
          <w:sz w:val="24"/>
          <w:szCs w:val="24"/>
        </w:rPr>
      </w:pPr>
      <w:r w:rsidRPr="000B4B53">
        <w:rPr>
          <w:rFonts w:ascii="Times New Roman" w:hAnsi="Times New Roman" w:cs="Times New Roman"/>
          <w:b/>
          <w:sz w:val="24"/>
          <w:szCs w:val="24"/>
        </w:rPr>
        <w:lastRenderedPageBreak/>
        <w:t xml:space="preserve">ЗБИРНИ ПРЕГЛЕД </w:t>
      </w:r>
      <w:r w:rsidR="008F0573">
        <w:rPr>
          <w:rFonts w:ascii="Times New Roman" w:hAnsi="Times New Roman" w:cs="Times New Roman"/>
          <w:b/>
          <w:sz w:val="24"/>
          <w:szCs w:val="24"/>
        </w:rPr>
        <w:t xml:space="preserve">ЈАВНИХ </w:t>
      </w:r>
      <w:r w:rsidRPr="000B4B53">
        <w:rPr>
          <w:rFonts w:ascii="Times New Roman" w:hAnsi="Times New Roman" w:cs="Times New Roman"/>
          <w:b/>
          <w:sz w:val="24"/>
          <w:szCs w:val="24"/>
        </w:rPr>
        <w:t>НАБАВКИ У РЕПУБЛИЦИ СРБИЈИ</w:t>
      </w:r>
    </w:p>
    <w:p w:rsidR="00EF35D1" w:rsidRPr="00A71BD1" w:rsidRDefault="00EF35D1" w:rsidP="00912C52">
      <w:pPr>
        <w:jc w:val="both"/>
        <w:rPr>
          <w:rFonts w:ascii="Times New Roman" w:hAnsi="Times New Roman" w:cs="Times New Roman"/>
          <w:sz w:val="24"/>
          <w:szCs w:val="24"/>
        </w:rPr>
      </w:pPr>
      <w:r w:rsidRPr="00EF35D1">
        <w:rPr>
          <w:rFonts w:ascii="Times New Roman" w:hAnsi="Times New Roman" w:cs="Times New Roman"/>
          <w:sz w:val="24"/>
          <w:szCs w:val="24"/>
        </w:rPr>
        <w:t xml:space="preserve">Подаци о јавним набавкама у </w:t>
      </w:r>
      <w:r w:rsidR="001275D0">
        <w:rPr>
          <w:rFonts w:ascii="Times New Roman" w:hAnsi="Times New Roman" w:cs="Times New Roman"/>
          <w:sz w:val="24"/>
          <w:szCs w:val="24"/>
        </w:rPr>
        <w:t xml:space="preserve">четвртом </w:t>
      </w:r>
      <w:r w:rsidRPr="00EF35D1">
        <w:rPr>
          <w:rFonts w:ascii="Times New Roman" w:hAnsi="Times New Roman" w:cs="Times New Roman"/>
          <w:sz w:val="24"/>
          <w:szCs w:val="24"/>
        </w:rPr>
        <w:t xml:space="preserve">квараталу 2013. године имају </w:t>
      </w:r>
      <w:r w:rsidR="001275D0">
        <w:rPr>
          <w:rFonts w:ascii="Times New Roman" w:hAnsi="Times New Roman" w:cs="Times New Roman"/>
          <w:sz w:val="24"/>
          <w:szCs w:val="24"/>
        </w:rPr>
        <w:t xml:space="preserve">велики </w:t>
      </w:r>
      <w:r w:rsidRPr="00EF35D1">
        <w:rPr>
          <w:rFonts w:ascii="Times New Roman" w:hAnsi="Times New Roman" w:cs="Times New Roman"/>
          <w:sz w:val="24"/>
          <w:szCs w:val="24"/>
        </w:rPr>
        <w:t xml:space="preserve">значај јер </w:t>
      </w:r>
      <w:r w:rsidR="00912C52">
        <w:rPr>
          <w:rFonts w:ascii="Times New Roman" w:hAnsi="Times New Roman" w:cs="Times New Roman"/>
          <w:sz w:val="24"/>
          <w:szCs w:val="24"/>
          <w:lang w:val="sr-Cyrl-RS"/>
        </w:rPr>
        <w:t>је реч</w:t>
      </w:r>
      <w:r w:rsidR="001275D0">
        <w:rPr>
          <w:rFonts w:ascii="Times New Roman" w:hAnsi="Times New Roman" w:cs="Times New Roman"/>
          <w:sz w:val="24"/>
          <w:szCs w:val="24"/>
        </w:rPr>
        <w:t xml:space="preserve"> о другом извештајном периоду којим су обухваћени ефекти примене новог Закона о јавним набавкама (ЗЈН). </w:t>
      </w:r>
      <w:r w:rsidRPr="00EF35D1">
        <w:rPr>
          <w:rFonts w:ascii="Times New Roman" w:hAnsi="Times New Roman" w:cs="Times New Roman"/>
          <w:sz w:val="24"/>
          <w:szCs w:val="24"/>
        </w:rPr>
        <w:t xml:space="preserve">Наиме, нови ЗЈН почео је да се примењује од 1. априла 2013. године, па је велики број наручилаца покренуо поступке пре тог датума. </w:t>
      </w:r>
      <w:r w:rsidR="009A7B37">
        <w:rPr>
          <w:rFonts w:ascii="Times New Roman" w:hAnsi="Times New Roman" w:cs="Times New Roman"/>
          <w:sz w:val="24"/>
          <w:szCs w:val="24"/>
        </w:rPr>
        <w:t>Резултат ј</w:t>
      </w:r>
      <w:r w:rsidRPr="00EF35D1">
        <w:rPr>
          <w:rFonts w:ascii="Times New Roman" w:hAnsi="Times New Roman" w:cs="Times New Roman"/>
          <w:sz w:val="24"/>
          <w:szCs w:val="24"/>
        </w:rPr>
        <w:t xml:space="preserve">е да је већина закључених уговора у другом кварталу била по поступцима који су били покренути током првог квартала. Стога се може сматрати да тек подаци о закљученим уговорима из трећег квартала </w:t>
      </w:r>
      <w:r w:rsidR="001275D0">
        <w:rPr>
          <w:rFonts w:ascii="Times New Roman" w:hAnsi="Times New Roman" w:cs="Times New Roman"/>
          <w:sz w:val="24"/>
          <w:szCs w:val="24"/>
        </w:rPr>
        <w:t xml:space="preserve">и надаље </w:t>
      </w:r>
      <w:r w:rsidRPr="00EF35D1">
        <w:rPr>
          <w:rFonts w:ascii="Times New Roman" w:hAnsi="Times New Roman" w:cs="Times New Roman"/>
          <w:sz w:val="24"/>
          <w:szCs w:val="24"/>
        </w:rPr>
        <w:t>одржавају ефекте новог ЗЈН, односно поступака покренутих после 1.</w:t>
      </w:r>
      <w:r w:rsidR="00912C52">
        <w:rPr>
          <w:rFonts w:ascii="Times New Roman" w:hAnsi="Times New Roman" w:cs="Times New Roman"/>
          <w:sz w:val="24"/>
          <w:szCs w:val="24"/>
          <w:lang w:val="sr-Cyrl-RS"/>
        </w:rPr>
        <w:t xml:space="preserve"> </w:t>
      </w:r>
      <w:r w:rsidRPr="00EF35D1">
        <w:rPr>
          <w:rFonts w:ascii="Times New Roman" w:hAnsi="Times New Roman" w:cs="Times New Roman"/>
          <w:sz w:val="24"/>
          <w:szCs w:val="24"/>
        </w:rPr>
        <w:t>априла 2013. године.</w:t>
      </w:r>
      <w:r w:rsidR="001275D0">
        <w:rPr>
          <w:rFonts w:ascii="Times New Roman" w:hAnsi="Times New Roman" w:cs="Times New Roman"/>
          <w:sz w:val="24"/>
          <w:szCs w:val="24"/>
        </w:rPr>
        <w:t xml:space="preserve"> Стога ће подаци из четв</w:t>
      </w:r>
      <w:r w:rsidR="00595FBA">
        <w:rPr>
          <w:rFonts w:ascii="Times New Roman" w:hAnsi="Times New Roman" w:cs="Times New Roman"/>
          <w:sz w:val="24"/>
          <w:szCs w:val="24"/>
        </w:rPr>
        <w:t xml:space="preserve">ртог квартала показати да ли су промене регистроване у трећем кварталу биле </w:t>
      </w:r>
      <w:r w:rsidR="001275D0">
        <w:rPr>
          <w:rFonts w:ascii="Times New Roman" w:hAnsi="Times New Roman" w:cs="Times New Roman"/>
          <w:sz w:val="24"/>
          <w:szCs w:val="24"/>
        </w:rPr>
        <w:t>је</w:t>
      </w:r>
      <w:r w:rsidR="008B3678">
        <w:rPr>
          <w:rFonts w:ascii="Times New Roman" w:hAnsi="Times New Roman" w:cs="Times New Roman"/>
          <w:sz w:val="24"/>
          <w:szCs w:val="24"/>
        </w:rPr>
        <w:t xml:space="preserve">днократне или су почетак </w:t>
      </w:r>
      <w:r w:rsidR="00A71BD1">
        <w:rPr>
          <w:rFonts w:ascii="Times New Roman" w:hAnsi="Times New Roman" w:cs="Times New Roman"/>
          <w:sz w:val="24"/>
          <w:szCs w:val="24"/>
        </w:rPr>
        <w:t>преласка на нову, вишу фазу развоја система јавних набавки. Подсетимо да су, током претходних десет година, извршене две значајне промене ЗЈН</w:t>
      </w:r>
      <w:r w:rsidR="00912C52">
        <w:rPr>
          <w:rFonts w:ascii="Times New Roman" w:hAnsi="Times New Roman" w:cs="Times New Roman"/>
          <w:sz w:val="24"/>
          <w:szCs w:val="24"/>
          <w:lang w:val="sr-Cyrl-RS"/>
        </w:rPr>
        <w:t>,</w:t>
      </w:r>
      <w:r w:rsidR="00A71BD1">
        <w:rPr>
          <w:rFonts w:ascii="Times New Roman" w:hAnsi="Times New Roman" w:cs="Times New Roman"/>
          <w:sz w:val="24"/>
          <w:szCs w:val="24"/>
        </w:rPr>
        <w:t xml:space="preserve"> и то једна измена и допуна ЗЈН (2004. године), а 2008. године је донесен нови ЗЈН. </w:t>
      </w:r>
      <w:r w:rsidR="00C92C4D">
        <w:rPr>
          <w:rFonts w:ascii="Times New Roman" w:hAnsi="Times New Roman" w:cs="Times New Roman"/>
          <w:sz w:val="24"/>
          <w:szCs w:val="24"/>
        </w:rPr>
        <w:t xml:space="preserve">Међутим, </w:t>
      </w:r>
      <w:r w:rsidR="00A71BD1">
        <w:rPr>
          <w:rFonts w:ascii="Times New Roman" w:hAnsi="Times New Roman" w:cs="Times New Roman"/>
          <w:sz w:val="24"/>
          <w:szCs w:val="24"/>
        </w:rPr>
        <w:t xml:space="preserve">изостала </w:t>
      </w:r>
      <w:r w:rsidR="00C92C4D">
        <w:rPr>
          <w:rFonts w:ascii="Times New Roman" w:hAnsi="Times New Roman" w:cs="Times New Roman"/>
          <w:sz w:val="24"/>
          <w:szCs w:val="24"/>
        </w:rPr>
        <w:t xml:space="preserve">су </w:t>
      </w:r>
      <w:r w:rsidR="00A71BD1">
        <w:rPr>
          <w:rFonts w:ascii="Times New Roman" w:hAnsi="Times New Roman" w:cs="Times New Roman"/>
          <w:sz w:val="24"/>
          <w:szCs w:val="24"/>
        </w:rPr>
        <w:t>побољшања у неким кључним параметрима система јавних набавки, као што је обезбеђивање услова за слободно деловање конкуренције кроз смањивање учешћа преговарачких поступака</w:t>
      </w:r>
      <w:r w:rsidR="00C92C4D">
        <w:rPr>
          <w:rFonts w:ascii="Times New Roman" w:hAnsi="Times New Roman" w:cs="Times New Roman"/>
          <w:sz w:val="24"/>
          <w:szCs w:val="24"/>
        </w:rPr>
        <w:t xml:space="preserve"> и</w:t>
      </w:r>
      <w:r w:rsidR="00AA0304">
        <w:rPr>
          <w:rFonts w:ascii="Times New Roman" w:hAnsi="Times New Roman" w:cs="Times New Roman"/>
          <w:sz w:val="24"/>
          <w:szCs w:val="24"/>
        </w:rPr>
        <w:t xml:space="preserve"> изузимања од</w:t>
      </w:r>
      <w:r w:rsidR="00A71BD1">
        <w:rPr>
          <w:rFonts w:ascii="Times New Roman" w:hAnsi="Times New Roman" w:cs="Times New Roman"/>
          <w:sz w:val="24"/>
          <w:szCs w:val="24"/>
        </w:rPr>
        <w:t xml:space="preserve"> примене закона. Позитивни помаци били </w:t>
      </w:r>
      <w:r w:rsidR="00C92C4D">
        <w:rPr>
          <w:rFonts w:ascii="Times New Roman" w:hAnsi="Times New Roman" w:cs="Times New Roman"/>
          <w:sz w:val="24"/>
          <w:szCs w:val="24"/>
        </w:rPr>
        <w:t xml:space="preserve">су </w:t>
      </w:r>
      <w:r w:rsidR="00A71BD1">
        <w:rPr>
          <w:rFonts w:ascii="Times New Roman" w:hAnsi="Times New Roman" w:cs="Times New Roman"/>
          <w:sz w:val="24"/>
          <w:szCs w:val="24"/>
        </w:rPr>
        <w:t xml:space="preserve">начињени пре свега у домену повећања транспарентности увођењем Портала јавних набавки. </w:t>
      </w:r>
      <w:r w:rsidR="00C92C4D">
        <w:rPr>
          <w:rFonts w:ascii="Times New Roman" w:hAnsi="Times New Roman" w:cs="Times New Roman"/>
          <w:sz w:val="24"/>
          <w:szCs w:val="24"/>
        </w:rPr>
        <w:t>Стога је важно сагледати на који начин су се</w:t>
      </w:r>
      <w:r w:rsidR="00121ED9">
        <w:rPr>
          <w:rFonts w:ascii="Times New Roman" w:hAnsi="Times New Roman" w:cs="Times New Roman"/>
          <w:sz w:val="24"/>
          <w:szCs w:val="24"/>
        </w:rPr>
        <w:t>, у четвртом кварталу 2013. године,</w:t>
      </w:r>
      <w:r w:rsidR="00C92C4D">
        <w:rPr>
          <w:rFonts w:ascii="Times New Roman" w:hAnsi="Times New Roman" w:cs="Times New Roman"/>
          <w:sz w:val="24"/>
          <w:szCs w:val="24"/>
        </w:rPr>
        <w:t xml:space="preserve"> кретали </w:t>
      </w:r>
      <w:r w:rsidR="00121ED9">
        <w:rPr>
          <w:rFonts w:ascii="Times New Roman" w:hAnsi="Times New Roman" w:cs="Times New Roman"/>
          <w:sz w:val="24"/>
          <w:szCs w:val="24"/>
        </w:rPr>
        <w:t xml:space="preserve">кључни </w:t>
      </w:r>
      <w:r w:rsidR="00C92C4D">
        <w:rPr>
          <w:rFonts w:ascii="Times New Roman" w:hAnsi="Times New Roman" w:cs="Times New Roman"/>
          <w:sz w:val="24"/>
          <w:szCs w:val="24"/>
        </w:rPr>
        <w:t>параметри</w:t>
      </w:r>
      <w:r w:rsidR="00121ED9">
        <w:rPr>
          <w:rFonts w:ascii="Times New Roman" w:hAnsi="Times New Roman" w:cs="Times New Roman"/>
          <w:sz w:val="24"/>
          <w:szCs w:val="24"/>
        </w:rPr>
        <w:t xml:space="preserve"> конкуренције и транспарентности.  </w:t>
      </w:r>
    </w:p>
    <w:p w:rsidR="00EF35D1" w:rsidRPr="00121ED9" w:rsidRDefault="00121ED9" w:rsidP="00912C52">
      <w:pPr>
        <w:jc w:val="both"/>
        <w:rPr>
          <w:rFonts w:ascii="Times New Roman" w:hAnsi="Times New Roman" w:cs="Times New Roman"/>
          <w:sz w:val="24"/>
          <w:szCs w:val="24"/>
        </w:rPr>
      </w:pPr>
      <w:r>
        <w:rPr>
          <w:rFonts w:ascii="Times New Roman" w:hAnsi="Times New Roman" w:cs="Times New Roman"/>
          <w:sz w:val="24"/>
          <w:szCs w:val="24"/>
        </w:rPr>
        <w:t>Р</w:t>
      </w:r>
      <w:r w:rsidR="00EF35D1" w:rsidRPr="00EF35D1">
        <w:rPr>
          <w:rFonts w:ascii="Times New Roman" w:hAnsi="Times New Roman" w:cs="Times New Roman"/>
          <w:sz w:val="24"/>
          <w:szCs w:val="24"/>
        </w:rPr>
        <w:t>егистрована вредност јавних набавки</w:t>
      </w:r>
      <w:r w:rsidR="007B26D5">
        <w:rPr>
          <w:rFonts w:ascii="Times New Roman" w:hAnsi="Times New Roman" w:cs="Times New Roman"/>
          <w:sz w:val="24"/>
          <w:szCs w:val="24"/>
        </w:rPr>
        <w:t xml:space="preserve"> у 2013. години</w:t>
      </w:r>
      <w:r>
        <w:rPr>
          <w:rFonts w:ascii="Times New Roman" w:hAnsi="Times New Roman" w:cs="Times New Roman"/>
          <w:sz w:val="24"/>
          <w:szCs w:val="24"/>
        </w:rPr>
        <w:t xml:space="preserve"> износила је 2</w:t>
      </w:r>
      <w:r w:rsidR="00011DFE">
        <w:rPr>
          <w:rFonts w:ascii="Times New Roman" w:hAnsi="Times New Roman" w:cs="Times New Roman"/>
          <w:sz w:val="24"/>
          <w:szCs w:val="24"/>
        </w:rPr>
        <w:t>62</w:t>
      </w:r>
      <w:r>
        <w:rPr>
          <w:rFonts w:ascii="Times New Roman" w:hAnsi="Times New Roman" w:cs="Times New Roman"/>
          <w:sz w:val="24"/>
          <w:szCs w:val="24"/>
        </w:rPr>
        <w:t>,9 милијарди динара што је мање у односу на 2012. годину за 4</w:t>
      </w:r>
      <w:r w:rsidR="00B152F5">
        <w:rPr>
          <w:rFonts w:ascii="Times New Roman" w:hAnsi="Times New Roman" w:cs="Times New Roman"/>
          <w:sz w:val="24"/>
          <w:szCs w:val="24"/>
        </w:rPr>
        <w:t>0</w:t>
      </w:r>
      <w:r>
        <w:rPr>
          <w:rFonts w:ascii="Times New Roman" w:hAnsi="Times New Roman" w:cs="Times New Roman"/>
          <w:sz w:val="24"/>
          <w:szCs w:val="24"/>
        </w:rPr>
        <w:t xml:space="preserve">,8 милијарди динара или </w:t>
      </w:r>
      <w:r w:rsidR="00B152F5">
        <w:rPr>
          <w:rFonts w:ascii="Times New Roman" w:hAnsi="Times New Roman" w:cs="Times New Roman"/>
          <w:sz w:val="24"/>
          <w:szCs w:val="24"/>
        </w:rPr>
        <w:t xml:space="preserve">за </w:t>
      </w:r>
      <w:r>
        <w:rPr>
          <w:rFonts w:ascii="Times New Roman" w:hAnsi="Times New Roman" w:cs="Times New Roman"/>
          <w:sz w:val="24"/>
          <w:szCs w:val="24"/>
        </w:rPr>
        <w:t>око 3</w:t>
      </w:r>
      <w:r w:rsidR="00B152F5">
        <w:rPr>
          <w:rFonts w:ascii="Times New Roman" w:hAnsi="Times New Roman" w:cs="Times New Roman"/>
          <w:sz w:val="24"/>
          <w:szCs w:val="24"/>
        </w:rPr>
        <w:t>55</w:t>
      </w:r>
      <w:r>
        <w:rPr>
          <w:rFonts w:ascii="Times New Roman" w:hAnsi="Times New Roman" w:cs="Times New Roman"/>
          <w:sz w:val="24"/>
          <w:szCs w:val="24"/>
        </w:rPr>
        <w:t xml:space="preserve"> милиона евра</w:t>
      </w:r>
      <w:r w:rsidR="007830F4">
        <w:rPr>
          <w:rFonts w:ascii="Times New Roman" w:hAnsi="Times New Roman" w:cs="Times New Roman"/>
          <w:sz w:val="24"/>
          <w:szCs w:val="24"/>
        </w:rPr>
        <w:t xml:space="preserve"> (Табела 1</w:t>
      </w:r>
      <w:r w:rsidR="00CA42B4">
        <w:rPr>
          <w:rFonts w:ascii="Times New Roman" w:hAnsi="Times New Roman" w:cs="Times New Roman"/>
          <w:sz w:val="24"/>
          <w:szCs w:val="24"/>
        </w:rPr>
        <w:t>, Слика 1</w:t>
      </w:r>
      <w:r w:rsidR="007830F4">
        <w:rPr>
          <w:rFonts w:ascii="Times New Roman" w:hAnsi="Times New Roman" w:cs="Times New Roman"/>
          <w:sz w:val="24"/>
          <w:szCs w:val="24"/>
        </w:rPr>
        <w:t>).</w:t>
      </w:r>
    </w:p>
    <w:p w:rsidR="008471E3" w:rsidRPr="00912C52" w:rsidRDefault="000B4B53">
      <w:pPr>
        <w:rPr>
          <w:rFonts w:ascii="Times New Roman" w:hAnsi="Times New Roman" w:cs="Times New Roman"/>
          <w:b/>
          <w:sz w:val="24"/>
          <w:szCs w:val="24"/>
        </w:rPr>
      </w:pPr>
      <w:r w:rsidRPr="00912C52">
        <w:rPr>
          <w:rFonts w:ascii="Times New Roman" w:hAnsi="Times New Roman" w:cs="Times New Roman"/>
          <w:b/>
          <w:sz w:val="24"/>
          <w:szCs w:val="24"/>
        </w:rPr>
        <w:t>Табела 1</w:t>
      </w:r>
    </w:p>
    <w:tbl>
      <w:tblPr>
        <w:tblW w:w="147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3"/>
        <w:gridCol w:w="936"/>
        <w:gridCol w:w="1016"/>
        <w:gridCol w:w="1016"/>
        <w:gridCol w:w="1016"/>
        <w:gridCol w:w="1016"/>
        <w:gridCol w:w="1016"/>
        <w:gridCol w:w="1016"/>
        <w:gridCol w:w="1016"/>
        <w:gridCol w:w="1016"/>
        <w:gridCol w:w="1016"/>
        <w:gridCol w:w="936"/>
        <w:gridCol w:w="936"/>
        <w:gridCol w:w="936"/>
        <w:gridCol w:w="936"/>
      </w:tblGrid>
      <w:tr w:rsidR="00CC3111" w:rsidRPr="007622B9" w:rsidTr="00CC3111">
        <w:tc>
          <w:tcPr>
            <w:tcW w:w="14767" w:type="dxa"/>
            <w:gridSpan w:val="15"/>
            <w:tcBorders>
              <w:left w:val="single" w:sz="4" w:space="0" w:color="auto"/>
            </w:tcBorders>
            <w:shd w:val="clear" w:color="auto" w:fill="auto"/>
            <w:vAlign w:val="center"/>
          </w:tcPr>
          <w:p w:rsidR="00CC3111" w:rsidRPr="007622B9" w:rsidRDefault="00CC3111" w:rsidP="00CC3111">
            <w:pPr>
              <w:tabs>
                <w:tab w:val="left" w:pos="3622"/>
              </w:tabs>
              <w:spacing w:after="0" w:line="240" w:lineRule="auto"/>
              <w:jc w:val="center"/>
              <w:rPr>
                <w:rFonts w:ascii="Times New Roman" w:eastAsia="Times New Roman" w:hAnsi="Times New Roman" w:cs="Times New Roman"/>
                <w:b/>
                <w:sz w:val="16"/>
                <w:szCs w:val="16"/>
              </w:rPr>
            </w:pPr>
          </w:p>
          <w:p w:rsidR="00CC3111" w:rsidRPr="007622B9" w:rsidRDefault="00CC3111" w:rsidP="00CC3111">
            <w:pPr>
              <w:tabs>
                <w:tab w:val="left" w:pos="3622"/>
              </w:tabs>
              <w:spacing w:after="0" w:line="240" w:lineRule="auto"/>
              <w:jc w:val="center"/>
              <w:rPr>
                <w:rFonts w:ascii="Times New Roman" w:eastAsia="Times New Roman" w:hAnsi="Times New Roman" w:cs="Times New Roman"/>
                <w:b/>
                <w:sz w:val="24"/>
                <w:szCs w:val="24"/>
              </w:rPr>
            </w:pPr>
            <w:r w:rsidRPr="007622B9">
              <w:rPr>
                <w:rFonts w:ascii="Times New Roman" w:eastAsia="Times New Roman" w:hAnsi="Times New Roman" w:cs="Times New Roman"/>
                <w:b/>
                <w:sz w:val="24"/>
                <w:szCs w:val="24"/>
              </w:rPr>
              <w:t>Упоредни преглед закључених уговора о јавним набавкамапо годинама и кварталима у 2013. години</w:t>
            </w:r>
          </w:p>
          <w:p w:rsidR="00CC3111" w:rsidRPr="007622B9" w:rsidRDefault="00CC3111" w:rsidP="00CC3111">
            <w:pPr>
              <w:jc w:val="center"/>
              <w:rPr>
                <w:sz w:val="16"/>
                <w:szCs w:val="16"/>
              </w:rPr>
            </w:pPr>
          </w:p>
        </w:tc>
      </w:tr>
      <w:tr w:rsidR="00CC3111" w:rsidRPr="007622B9" w:rsidTr="00BE14E5">
        <w:trPr>
          <w:trHeight w:val="490"/>
        </w:trPr>
        <w:tc>
          <w:tcPr>
            <w:tcW w:w="943" w:type="dxa"/>
            <w:tcBorders>
              <w:left w:val="single" w:sz="4" w:space="0" w:color="auto"/>
            </w:tcBorders>
            <w:shd w:val="clear" w:color="auto" w:fill="auto"/>
            <w:vAlign w:val="center"/>
          </w:tcPr>
          <w:p w:rsidR="00CC3111" w:rsidRPr="007622B9" w:rsidRDefault="00CC3111" w:rsidP="00CC3111">
            <w:pPr>
              <w:tabs>
                <w:tab w:val="left" w:pos="3622"/>
              </w:tabs>
              <w:spacing w:after="0" w:line="240" w:lineRule="auto"/>
              <w:jc w:val="center"/>
              <w:rPr>
                <w:rFonts w:ascii="Times New Roman" w:eastAsia="Times New Roman" w:hAnsi="Times New Roman" w:cs="Times New Roman"/>
                <w:b/>
                <w:sz w:val="16"/>
                <w:szCs w:val="16"/>
              </w:rPr>
            </w:pPr>
            <w:r w:rsidRPr="007622B9">
              <w:rPr>
                <w:rFonts w:ascii="Times New Roman" w:eastAsia="Times New Roman" w:hAnsi="Times New Roman" w:cs="Times New Roman"/>
                <w:b/>
                <w:sz w:val="16"/>
                <w:szCs w:val="16"/>
              </w:rPr>
              <w:t>Година</w:t>
            </w:r>
          </w:p>
        </w:tc>
        <w:tc>
          <w:tcPr>
            <w:tcW w:w="936" w:type="dxa"/>
            <w:shd w:val="clear" w:color="auto" w:fill="auto"/>
            <w:vAlign w:val="center"/>
          </w:tcPr>
          <w:p w:rsidR="00CC3111" w:rsidRPr="007622B9" w:rsidRDefault="00CC3111" w:rsidP="00CC3111">
            <w:pPr>
              <w:tabs>
                <w:tab w:val="left" w:pos="3622"/>
              </w:tabs>
              <w:spacing w:after="0" w:line="240" w:lineRule="auto"/>
              <w:jc w:val="center"/>
              <w:rPr>
                <w:rFonts w:ascii="Times New Roman" w:eastAsia="Times New Roman" w:hAnsi="Times New Roman" w:cs="Times New Roman"/>
                <w:b/>
                <w:sz w:val="16"/>
                <w:szCs w:val="16"/>
              </w:rPr>
            </w:pPr>
            <w:r w:rsidRPr="007622B9">
              <w:rPr>
                <w:rFonts w:ascii="Times New Roman" w:eastAsia="Times New Roman" w:hAnsi="Times New Roman" w:cs="Times New Roman"/>
                <w:b/>
                <w:sz w:val="16"/>
                <w:szCs w:val="16"/>
              </w:rPr>
              <w:t>2003.</w:t>
            </w:r>
          </w:p>
        </w:tc>
        <w:tc>
          <w:tcPr>
            <w:tcW w:w="1016" w:type="dxa"/>
            <w:shd w:val="clear" w:color="auto" w:fill="auto"/>
            <w:vAlign w:val="center"/>
          </w:tcPr>
          <w:p w:rsidR="00CC3111" w:rsidRPr="007622B9" w:rsidRDefault="00CC3111" w:rsidP="00CC3111">
            <w:pPr>
              <w:tabs>
                <w:tab w:val="left" w:pos="3622"/>
              </w:tabs>
              <w:spacing w:after="0" w:line="240" w:lineRule="auto"/>
              <w:jc w:val="center"/>
              <w:rPr>
                <w:rFonts w:ascii="Times New Roman" w:eastAsia="Times New Roman" w:hAnsi="Times New Roman" w:cs="Times New Roman"/>
                <w:b/>
                <w:sz w:val="16"/>
                <w:szCs w:val="16"/>
              </w:rPr>
            </w:pPr>
            <w:r w:rsidRPr="007622B9">
              <w:rPr>
                <w:rFonts w:ascii="Times New Roman" w:eastAsia="Times New Roman" w:hAnsi="Times New Roman" w:cs="Times New Roman"/>
                <w:b/>
                <w:sz w:val="16"/>
                <w:szCs w:val="16"/>
              </w:rPr>
              <w:t>2004.</w:t>
            </w:r>
          </w:p>
        </w:tc>
        <w:tc>
          <w:tcPr>
            <w:tcW w:w="1016" w:type="dxa"/>
            <w:shd w:val="clear" w:color="auto" w:fill="auto"/>
            <w:vAlign w:val="center"/>
          </w:tcPr>
          <w:p w:rsidR="00CC3111" w:rsidRPr="007622B9" w:rsidRDefault="00CC3111" w:rsidP="00CC3111">
            <w:pPr>
              <w:tabs>
                <w:tab w:val="left" w:pos="3622"/>
              </w:tabs>
              <w:spacing w:after="0" w:line="240" w:lineRule="auto"/>
              <w:jc w:val="center"/>
              <w:rPr>
                <w:rFonts w:ascii="Times New Roman" w:eastAsia="Times New Roman" w:hAnsi="Times New Roman" w:cs="Times New Roman"/>
                <w:b/>
                <w:sz w:val="16"/>
                <w:szCs w:val="16"/>
              </w:rPr>
            </w:pPr>
            <w:r w:rsidRPr="007622B9">
              <w:rPr>
                <w:rFonts w:ascii="Times New Roman" w:eastAsia="Times New Roman" w:hAnsi="Times New Roman" w:cs="Times New Roman"/>
                <w:b/>
                <w:sz w:val="16"/>
                <w:szCs w:val="16"/>
              </w:rPr>
              <w:t>2005.</w:t>
            </w:r>
          </w:p>
        </w:tc>
        <w:tc>
          <w:tcPr>
            <w:tcW w:w="1016" w:type="dxa"/>
            <w:shd w:val="clear" w:color="auto" w:fill="auto"/>
            <w:vAlign w:val="center"/>
          </w:tcPr>
          <w:p w:rsidR="00CC3111" w:rsidRPr="007622B9" w:rsidRDefault="00CC3111" w:rsidP="00CC3111">
            <w:pPr>
              <w:tabs>
                <w:tab w:val="left" w:pos="3622"/>
              </w:tabs>
              <w:spacing w:after="0" w:line="240" w:lineRule="auto"/>
              <w:jc w:val="center"/>
              <w:rPr>
                <w:rFonts w:ascii="Times New Roman" w:eastAsia="Times New Roman" w:hAnsi="Times New Roman" w:cs="Times New Roman"/>
                <w:b/>
                <w:sz w:val="16"/>
                <w:szCs w:val="16"/>
              </w:rPr>
            </w:pPr>
            <w:r w:rsidRPr="007622B9">
              <w:rPr>
                <w:rFonts w:ascii="Times New Roman" w:eastAsia="Times New Roman" w:hAnsi="Times New Roman" w:cs="Times New Roman"/>
                <w:b/>
                <w:sz w:val="16"/>
                <w:szCs w:val="16"/>
              </w:rPr>
              <w:t>2006.</w:t>
            </w:r>
          </w:p>
        </w:tc>
        <w:tc>
          <w:tcPr>
            <w:tcW w:w="1016" w:type="dxa"/>
            <w:shd w:val="clear" w:color="auto" w:fill="auto"/>
            <w:vAlign w:val="center"/>
          </w:tcPr>
          <w:p w:rsidR="00CC3111" w:rsidRPr="007622B9" w:rsidRDefault="00CC3111" w:rsidP="00CC3111">
            <w:pPr>
              <w:tabs>
                <w:tab w:val="left" w:pos="3622"/>
              </w:tabs>
              <w:spacing w:after="0" w:line="240" w:lineRule="auto"/>
              <w:jc w:val="center"/>
              <w:rPr>
                <w:rFonts w:ascii="Times New Roman" w:eastAsia="Times New Roman" w:hAnsi="Times New Roman" w:cs="Times New Roman"/>
                <w:b/>
                <w:sz w:val="16"/>
                <w:szCs w:val="16"/>
              </w:rPr>
            </w:pPr>
            <w:r w:rsidRPr="007622B9">
              <w:rPr>
                <w:rFonts w:ascii="Times New Roman" w:eastAsia="Times New Roman" w:hAnsi="Times New Roman" w:cs="Times New Roman"/>
                <w:b/>
                <w:sz w:val="16"/>
                <w:szCs w:val="16"/>
              </w:rPr>
              <w:t>2007.</w:t>
            </w:r>
          </w:p>
        </w:tc>
        <w:tc>
          <w:tcPr>
            <w:tcW w:w="1016" w:type="dxa"/>
            <w:shd w:val="clear" w:color="auto" w:fill="auto"/>
            <w:vAlign w:val="center"/>
          </w:tcPr>
          <w:p w:rsidR="00CC3111" w:rsidRPr="007622B9" w:rsidRDefault="00CC3111" w:rsidP="00CC3111">
            <w:pPr>
              <w:tabs>
                <w:tab w:val="left" w:pos="3622"/>
              </w:tabs>
              <w:spacing w:after="0" w:line="240" w:lineRule="auto"/>
              <w:jc w:val="center"/>
              <w:rPr>
                <w:rFonts w:ascii="Times New Roman" w:eastAsia="Times New Roman" w:hAnsi="Times New Roman" w:cs="Times New Roman"/>
                <w:b/>
                <w:sz w:val="16"/>
                <w:szCs w:val="16"/>
              </w:rPr>
            </w:pPr>
            <w:r w:rsidRPr="007622B9">
              <w:rPr>
                <w:rFonts w:ascii="Times New Roman" w:eastAsia="Times New Roman" w:hAnsi="Times New Roman" w:cs="Times New Roman"/>
                <w:b/>
                <w:sz w:val="16"/>
                <w:szCs w:val="16"/>
              </w:rPr>
              <w:t>2008.</w:t>
            </w:r>
          </w:p>
        </w:tc>
        <w:tc>
          <w:tcPr>
            <w:tcW w:w="0" w:type="auto"/>
            <w:shd w:val="clear" w:color="auto" w:fill="auto"/>
            <w:vAlign w:val="center"/>
          </w:tcPr>
          <w:p w:rsidR="00CC3111" w:rsidRPr="007622B9" w:rsidRDefault="00CC3111" w:rsidP="00CC3111">
            <w:pPr>
              <w:tabs>
                <w:tab w:val="left" w:pos="3622"/>
              </w:tabs>
              <w:spacing w:after="0" w:line="240" w:lineRule="auto"/>
              <w:jc w:val="center"/>
              <w:rPr>
                <w:rFonts w:ascii="Times New Roman" w:eastAsia="Times New Roman" w:hAnsi="Times New Roman" w:cs="Times New Roman"/>
                <w:b/>
                <w:sz w:val="16"/>
                <w:szCs w:val="16"/>
              </w:rPr>
            </w:pPr>
            <w:r w:rsidRPr="007622B9">
              <w:rPr>
                <w:rFonts w:ascii="Times New Roman" w:eastAsia="Times New Roman" w:hAnsi="Times New Roman" w:cs="Times New Roman"/>
                <w:b/>
                <w:sz w:val="16"/>
                <w:szCs w:val="16"/>
              </w:rPr>
              <w:t>2009.</w:t>
            </w:r>
          </w:p>
        </w:tc>
        <w:tc>
          <w:tcPr>
            <w:tcW w:w="0" w:type="auto"/>
            <w:shd w:val="clear" w:color="auto" w:fill="auto"/>
            <w:vAlign w:val="center"/>
          </w:tcPr>
          <w:p w:rsidR="00CC3111" w:rsidRPr="007622B9" w:rsidRDefault="00CC3111" w:rsidP="00CC3111">
            <w:pPr>
              <w:tabs>
                <w:tab w:val="left" w:pos="3622"/>
              </w:tabs>
              <w:spacing w:after="0" w:line="240" w:lineRule="auto"/>
              <w:jc w:val="center"/>
              <w:rPr>
                <w:rFonts w:ascii="Times New Roman" w:eastAsia="Times New Roman" w:hAnsi="Times New Roman" w:cs="Times New Roman"/>
                <w:b/>
                <w:sz w:val="16"/>
                <w:szCs w:val="16"/>
              </w:rPr>
            </w:pPr>
            <w:r w:rsidRPr="007622B9">
              <w:rPr>
                <w:rFonts w:ascii="Times New Roman" w:eastAsia="Times New Roman" w:hAnsi="Times New Roman" w:cs="Times New Roman"/>
                <w:b/>
                <w:sz w:val="16"/>
                <w:szCs w:val="16"/>
              </w:rPr>
              <w:t>2010.</w:t>
            </w:r>
          </w:p>
        </w:tc>
        <w:tc>
          <w:tcPr>
            <w:tcW w:w="0" w:type="auto"/>
            <w:shd w:val="clear" w:color="auto" w:fill="auto"/>
            <w:vAlign w:val="center"/>
          </w:tcPr>
          <w:p w:rsidR="00CC3111" w:rsidRPr="007622B9" w:rsidRDefault="00CC3111" w:rsidP="00CC3111">
            <w:pPr>
              <w:tabs>
                <w:tab w:val="left" w:pos="3622"/>
              </w:tabs>
              <w:spacing w:after="0" w:line="240" w:lineRule="auto"/>
              <w:jc w:val="center"/>
              <w:rPr>
                <w:rFonts w:ascii="Times New Roman" w:eastAsia="Times New Roman" w:hAnsi="Times New Roman" w:cs="Times New Roman"/>
                <w:b/>
                <w:sz w:val="16"/>
                <w:szCs w:val="16"/>
              </w:rPr>
            </w:pPr>
            <w:r w:rsidRPr="007622B9">
              <w:rPr>
                <w:rFonts w:ascii="Times New Roman" w:eastAsia="Times New Roman" w:hAnsi="Times New Roman" w:cs="Times New Roman"/>
                <w:b/>
                <w:sz w:val="16"/>
                <w:szCs w:val="16"/>
              </w:rPr>
              <w:t>2011.</w:t>
            </w:r>
          </w:p>
        </w:tc>
        <w:tc>
          <w:tcPr>
            <w:tcW w:w="0" w:type="auto"/>
            <w:shd w:val="clear" w:color="auto" w:fill="auto"/>
            <w:vAlign w:val="center"/>
          </w:tcPr>
          <w:p w:rsidR="00CC3111" w:rsidRPr="007622B9" w:rsidRDefault="00CC3111" w:rsidP="00CC3111">
            <w:pPr>
              <w:tabs>
                <w:tab w:val="left" w:pos="3622"/>
              </w:tabs>
              <w:spacing w:after="0" w:line="240" w:lineRule="auto"/>
              <w:jc w:val="center"/>
              <w:rPr>
                <w:rFonts w:ascii="Times New Roman" w:eastAsia="Times New Roman" w:hAnsi="Times New Roman" w:cs="Times New Roman"/>
                <w:b/>
                <w:sz w:val="16"/>
                <w:szCs w:val="16"/>
              </w:rPr>
            </w:pPr>
            <w:r w:rsidRPr="007622B9">
              <w:rPr>
                <w:rFonts w:ascii="Times New Roman" w:eastAsia="Times New Roman" w:hAnsi="Times New Roman" w:cs="Times New Roman"/>
                <w:b/>
                <w:sz w:val="16"/>
                <w:szCs w:val="16"/>
              </w:rPr>
              <w:t>2012.</w:t>
            </w:r>
          </w:p>
        </w:tc>
        <w:tc>
          <w:tcPr>
            <w:tcW w:w="936" w:type="dxa"/>
            <w:shd w:val="clear" w:color="auto" w:fill="auto"/>
            <w:vAlign w:val="center"/>
          </w:tcPr>
          <w:p w:rsidR="00CC3111" w:rsidRPr="007622B9" w:rsidRDefault="00CC3111" w:rsidP="00CC3111">
            <w:pPr>
              <w:tabs>
                <w:tab w:val="left" w:pos="3622"/>
              </w:tabs>
              <w:spacing w:after="0" w:line="240" w:lineRule="auto"/>
              <w:jc w:val="center"/>
              <w:rPr>
                <w:rFonts w:ascii="Times New Roman" w:eastAsia="Times New Roman" w:hAnsi="Times New Roman" w:cs="Times New Roman"/>
                <w:b/>
                <w:sz w:val="16"/>
                <w:szCs w:val="16"/>
              </w:rPr>
            </w:pPr>
            <w:r w:rsidRPr="007622B9">
              <w:rPr>
                <w:rFonts w:ascii="Times New Roman" w:eastAsia="Times New Roman" w:hAnsi="Times New Roman" w:cs="Times New Roman"/>
                <w:b/>
                <w:sz w:val="16"/>
                <w:szCs w:val="16"/>
              </w:rPr>
              <w:t>2013.</w:t>
            </w:r>
          </w:p>
          <w:p w:rsidR="00CC3111" w:rsidRPr="007622B9" w:rsidRDefault="00CC3111" w:rsidP="00CC3111">
            <w:pPr>
              <w:tabs>
                <w:tab w:val="left" w:pos="3622"/>
              </w:tabs>
              <w:spacing w:after="0" w:line="240" w:lineRule="auto"/>
              <w:jc w:val="center"/>
              <w:rPr>
                <w:rFonts w:ascii="Times New Roman" w:eastAsia="Times New Roman" w:hAnsi="Times New Roman" w:cs="Times New Roman"/>
                <w:b/>
                <w:sz w:val="16"/>
                <w:szCs w:val="16"/>
              </w:rPr>
            </w:pPr>
            <w:r w:rsidRPr="007622B9">
              <w:rPr>
                <w:rFonts w:ascii="Times New Roman" w:eastAsia="Times New Roman" w:hAnsi="Times New Roman" w:cs="Times New Roman"/>
                <w:b/>
                <w:sz w:val="16"/>
                <w:szCs w:val="16"/>
              </w:rPr>
              <w:t>први квартал</w:t>
            </w:r>
          </w:p>
        </w:tc>
        <w:tc>
          <w:tcPr>
            <w:tcW w:w="936" w:type="dxa"/>
            <w:shd w:val="clear" w:color="auto" w:fill="auto"/>
            <w:vAlign w:val="center"/>
          </w:tcPr>
          <w:p w:rsidR="00CC3111" w:rsidRPr="007622B9" w:rsidRDefault="00CC3111" w:rsidP="00CC3111">
            <w:pPr>
              <w:tabs>
                <w:tab w:val="left" w:pos="3622"/>
              </w:tabs>
              <w:spacing w:after="0" w:line="240" w:lineRule="auto"/>
              <w:jc w:val="center"/>
              <w:rPr>
                <w:rFonts w:ascii="Times New Roman" w:eastAsia="Times New Roman" w:hAnsi="Times New Roman" w:cs="Times New Roman"/>
                <w:b/>
                <w:sz w:val="16"/>
                <w:szCs w:val="16"/>
              </w:rPr>
            </w:pPr>
            <w:r w:rsidRPr="007622B9">
              <w:rPr>
                <w:rFonts w:ascii="Times New Roman" w:eastAsia="Times New Roman" w:hAnsi="Times New Roman" w:cs="Times New Roman"/>
                <w:b/>
                <w:sz w:val="16"/>
                <w:szCs w:val="16"/>
              </w:rPr>
              <w:t>2013.</w:t>
            </w:r>
          </w:p>
          <w:p w:rsidR="00CC3111" w:rsidRPr="007622B9" w:rsidRDefault="00CC3111" w:rsidP="00CC3111">
            <w:pPr>
              <w:tabs>
                <w:tab w:val="left" w:pos="3622"/>
              </w:tabs>
              <w:spacing w:after="0" w:line="240" w:lineRule="auto"/>
              <w:jc w:val="center"/>
              <w:rPr>
                <w:rFonts w:ascii="Times New Roman" w:eastAsia="Times New Roman" w:hAnsi="Times New Roman" w:cs="Times New Roman"/>
                <w:b/>
                <w:sz w:val="16"/>
                <w:szCs w:val="16"/>
              </w:rPr>
            </w:pPr>
            <w:r w:rsidRPr="007622B9">
              <w:rPr>
                <w:rFonts w:ascii="Times New Roman" w:eastAsia="Times New Roman" w:hAnsi="Times New Roman" w:cs="Times New Roman"/>
                <w:b/>
                <w:sz w:val="16"/>
                <w:szCs w:val="16"/>
              </w:rPr>
              <w:t>други</w:t>
            </w:r>
          </w:p>
          <w:p w:rsidR="00CC3111" w:rsidRPr="007622B9" w:rsidRDefault="00CC3111" w:rsidP="00CC3111">
            <w:pPr>
              <w:tabs>
                <w:tab w:val="left" w:pos="3622"/>
              </w:tabs>
              <w:spacing w:after="0" w:line="240" w:lineRule="auto"/>
              <w:jc w:val="center"/>
              <w:rPr>
                <w:rFonts w:ascii="Times New Roman" w:eastAsia="Times New Roman" w:hAnsi="Times New Roman" w:cs="Times New Roman"/>
                <w:b/>
                <w:sz w:val="16"/>
                <w:szCs w:val="16"/>
              </w:rPr>
            </w:pPr>
            <w:r w:rsidRPr="007622B9">
              <w:rPr>
                <w:rFonts w:ascii="Times New Roman" w:eastAsia="Times New Roman" w:hAnsi="Times New Roman" w:cs="Times New Roman"/>
                <w:b/>
                <w:sz w:val="16"/>
                <w:szCs w:val="16"/>
              </w:rPr>
              <w:t>квартал</w:t>
            </w:r>
          </w:p>
        </w:tc>
        <w:tc>
          <w:tcPr>
            <w:tcW w:w="936" w:type="dxa"/>
            <w:shd w:val="clear" w:color="auto" w:fill="auto"/>
            <w:vAlign w:val="center"/>
          </w:tcPr>
          <w:p w:rsidR="00CC3111" w:rsidRPr="007622B9" w:rsidRDefault="00CC3111" w:rsidP="00CC3111">
            <w:pPr>
              <w:tabs>
                <w:tab w:val="left" w:pos="3622"/>
              </w:tabs>
              <w:spacing w:after="0" w:line="240" w:lineRule="auto"/>
              <w:jc w:val="center"/>
              <w:rPr>
                <w:rFonts w:ascii="Times New Roman" w:eastAsia="Times New Roman" w:hAnsi="Times New Roman" w:cs="Times New Roman"/>
                <w:b/>
                <w:sz w:val="16"/>
                <w:szCs w:val="16"/>
              </w:rPr>
            </w:pPr>
            <w:r w:rsidRPr="007622B9">
              <w:rPr>
                <w:rFonts w:ascii="Times New Roman" w:eastAsia="Times New Roman" w:hAnsi="Times New Roman" w:cs="Times New Roman"/>
                <w:b/>
                <w:sz w:val="16"/>
                <w:szCs w:val="16"/>
              </w:rPr>
              <w:t>2013. трећи квартал</w:t>
            </w:r>
          </w:p>
        </w:tc>
        <w:tc>
          <w:tcPr>
            <w:tcW w:w="936" w:type="dxa"/>
            <w:shd w:val="clear" w:color="auto" w:fill="auto"/>
            <w:vAlign w:val="center"/>
          </w:tcPr>
          <w:p w:rsidR="00CC3111" w:rsidRPr="007622B9" w:rsidRDefault="00CC3111" w:rsidP="00BE14E5">
            <w:pPr>
              <w:jc w:val="center"/>
              <w:rPr>
                <w:rFonts w:ascii="Times New Roman" w:eastAsia="Times New Roman" w:hAnsi="Times New Roman" w:cs="Times New Roman"/>
                <w:b/>
                <w:sz w:val="16"/>
                <w:szCs w:val="16"/>
              </w:rPr>
            </w:pPr>
            <w:r w:rsidRPr="007622B9">
              <w:rPr>
                <w:rFonts w:ascii="Times New Roman" w:eastAsia="Times New Roman" w:hAnsi="Times New Roman" w:cs="Times New Roman"/>
                <w:b/>
                <w:sz w:val="16"/>
                <w:szCs w:val="16"/>
              </w:rPr>
              <w:t>2013. четврти квартал</w:t>
            </w:r>
          </w:p>
        </w:tc>
      </w:tr>
      <w:tr w:rsidR="00CC3111" w:rsidRPr="007622B9" w:rsidTr="00CC3111">
        <w:tc>
          <w:tcPr>
            <w:tcW w:w="943" w:type="dxa"/>
            <w:shd w:val="clear" w:color="auto" w:fill="auto"/>
            <w:vAlign w:val="center"/>
          </w:tcPr>
          <w:p w:rsidR="00CC3111" w:rsidRPr="007622B9" w:rsidRDefault="00CC3111" w:rsidP="00CC3111">
            <w:pPr>
              <w:tabs>
                <w:tab w:val="left" w:pos="3622"/>
              </w:tabs>
              <w:spacing w:after="0" w:line="240" w:lineRule="auto"/>
              <w:jc w:val="center"/>
              <w:rPr>
                <w:rFonts w:ascii="Times New Roman" w:eastAsia="Times New Roman" w:hAnsi="Times New Roman" w:cs="Times New Roman"/>
                <w:b/>
                <w:sz w:val="16"/>
                <w:szCs w:val="16"/>
              </w:rPr>
            </w:pPr>
            <w:r w:rsidRPr="007622B9">
              <w:rPr>
                <w:rFonts w:ascii="Times New Roman" w:eastAsia="Times New Roman" w:hAnsi="Times New Roman" w:cs="Times New Roman"/>
                <w:b/>
                <w:sz w:val="16"/>
                <w:szCs w:val="16"/>
              </w:rPr>
              <w:t>Укупан број уговора</w:t>
            </w:r>
          </w:p>
        </w:tc>
        <w:tc>
          <w:tcPr>
            <w:tcW w:w="936" w:type="dxa"/>
            <w:shd w:val="clear" w:color="auto" w:fill="auto"/>
            <w:vAlign w:val="center"/>
          </w:tcPr>
          <w:p w:rsidR="00CC3111" w:rsidRPr="007622B9" w:rsidRDefault="00CC3111" w:rsidP="00CC3111">
            <w:pPr>
              <w:tabs>
                <w:tab w:val="left" w:pos="3622"/>
              </w:tabs>
              <w:spacing w:after="0" w:line="240" w:lineRule="auto"/>
              <w:jc w:val="center"/>
              <w:rPr>
                <w:rFonts w:ascii="Times New Roman" w:eastAsia="Times New Roman" w:hAnsi="Times New Roman" w:cs="Times New Roman"/>
                <w:sz w:val="16"/>
                <w:szCs w:val="16"/>
              </w:rPr>
            </w:pPr>
            <w:r w:rsidRPr="007622B9">
              <w:rPr>
                <w:rFonts w:ascii="Times New Roman" w:eastAsia="Times New Roman" w:hAnsi="Times New Roman" w:cs="Times New Roman"/>
                <w:sz w:val="16"/>
                <w:szCs w:val="16"/>
              </w:rPr>
              <w:t>231.661</w:t>
            </w:r>
          </w:p>
        </w:tc>
        <w:tc>
          <w:tcPr>
            <w:tcW w:w="1016" w:type="dxa"/>
            <w:shd w:val="clear" w:color="auto" w:fill="auto"/>
            <w:vAlign w:val="center"/>
          </w:tcPr>
          <w:p w:rsidR="00CC3111" w:rsidRPr="007622B9" w:rsidRDefault="00CC3111" w:rsidP="00CC3111">
            <w:pPr>
              <w:tabs>
                <w:tab w:val="left" w:pos="3622"/>
              </w:tabs>
              <w:spacing w:after="0" w:line="240" w:lineRule="auto"/>
              <w:jc w:val="center"/>
              <w:rPr>
                <w:rFonts w:ascii="Times New Roman" w:eastAsia="Times New Roman" w:hAnsi="Times New Roman" w:cs="Times New Roman"/>
                <w:sz w:val="16"/>
                <w:szCs w:val="16"/>
              </w:rPr>
            </w:pPr>
            <w:r w:rsidRPr="007622B9">
              <w:rPr>
                <w:rFonts w:ascii="Times New Roman" w:eastAsia="Times New Roman" w:hAnsi="Times New Roman" w:cs="Times New Roman"/>
                <w:sz w:val="16"/>
                <w:szCs w:val="16"/>
              </w:rPr>
              <w:t>215.815</w:t>
            </w:r>
          </w:p>
        </w:tc>
        <w:tc>
          <w:tcPr>
            <w:tcW w:w="1016" w:type="dxa"/>
            <w:shd w:val="clear" w:color="auto" w:fill="auto"/>
            <w:vAlign w:val="center"/>
          </w:tcPr>
          <w:p w:rsidR="00CC3111" w:rsidRPr="007622B9" w:rsidRDefault="00CC3111" w:rsidP="00CC3111">
            <w:pPr>
              <w:tabs>
                <w:tab w:val="left" w:pos="3622"/>
              </w:tabs>
              <w:spacing w:after="0" w:line="240" w:lineRule="auto"/>
              <w:jc w:val="center"/>
              <w:rPr>
                <w:rFonts w:ascii="Times New Roman" w:eastAsia="Times New Roman" w:hAnsi="Times New Roman" w:cs="Times New Roman"/>
                <w:sz w:val="16"/>
                <w:szCs w:val="16"/>
              </w:rPr>
            </w:pPr>
            <w:r w:rsidRPr="007622B9">
              <w:rPr>
                <w:rFonts w:ascii="Times New Roman" w:eastAsia="Times New Roman" w:hAnsi="Times New Roman" w:cs="Times New Roman"/>
                <w:sz w:val="16"/>
                <w:szCs w:val="16"/>
              </w:rPr>
              <w:t>148.758</w:t>
            </w:r>
          </w:p>
        </w:tc>
        <w:tc>
          <w:tcPr>
            <w:tcW w:w="1016" w:type="dxa"/>
            <w:shd w:val="clear" w:color="auto" w:fill="auto"/>
            <w:vAlign w:val="center"/>
          </w:tcPr>
          <w:p w:rsidR="00CC3111" w:rsidRPr="007622B9" w:rsidRDefault="00CC3111" w:rsidP="00CC3111">
            <w:pPr>
              <w:tabs>
                <w:tab w:val="left" w:pos="3622"/>
              </w:tabs>
              <w:spacing w:after="0" w:line="240" w:lineRule="auto"/>
              <w:jc w:val="center"/>
              <w:rPr>
                <w:rFonts w:ascii="Times New Roman" w:eastAsia="Times New Roman" w:hAnsi="Times New Roman" w:cs="Times New Roman"/>
                <w:sz w:val="16"/>
                <w:szCs w:val="16"/>
              </w:rPr>
            </w:pPr>
            <w:r w:rsidRPr="007622B9">
              <w:rPr>
                <w:rFonts w:ascii="Times New Roman" w:eastAsia="Times New Roman" w:hAnsi="Times New Roman" w:cs="Times New Roman"/>
                <w:sz w:val="16"/>
                <w:szCs w:val="16"/>
              </w:rPr>
              <w:t>152.485</w:t>
            </w:r>
          </w:p>
        </w:tc>
        <w:tc>
          <w:tcPr>
            <w:tcW w:w="1016" w:type="dxa"/>
            <w:shd w:val="clear" w:color="auto" w:fill="auto"/>
            <w:vAlign w:val="center"/>
          </w:tcPr>
          <w:p w:rsidR="00CC3111" w:rsidRPr="007622B9" w:rsidRDefault="00CC3111" w:rsidP="00CC3111">
            <w:pPr>
              <w:tabs>
                <w:tab w:val="left" w:pos="3622"/>
              </w:tabs>
              <w:spacing w:after="0" w:line="240" w:lineRule="auto"/>
              <w:jc w:val="center"/>
              <w:rPr>
                <w:rFonts w:ascii="Times New Roman" w:eastAsia="Times New Roman" w:hAnsi="Times New Roman" w:cs="Times New Roman"/>
                <w:sz w:val="16"/>
                <w:szCs w:val="16"/>
              </w:rPr>
            </w:pPr>
            <w:r w:rsidRPr="007622B9">
              <w:rPr>
                <w:rFonts w:ascii="Times New Roman" w:eastAsia="Times New Roman" w:hAnsi="Times New Roman" w:cs="Times New Roman"/>
                <w:sz w:val="16"/>
                <w:szCs w:val="16"/>
              </w:rPr>
              <w:t>122.587</w:t>
            </w:r>
          </w:p>
        </w:tc>
        <w:tc>
          <w:tcPr>
            <w:tcW w:w="1016" w:type="dxa"/>
            <w:shd w:val="clear" w:color="auto" w:fill="auto"/>
            <w:vAlign w:val="center"/>
          </w:tcPr>
          <w:p w:rsidR="00CC3111" w:rsidRPr="007622B9" w:rsidRDefault="00CC3111" w:rsidP="00CC3111">
            <w:pPr>
              <w:tabs>
                <w:tab w:val="left" w:pos="3622"/>
              </w:tabs>
              <w:spacing w:after="0" w:line="240" w:lineRule="auto"/>
              <w:jc w:val="center"/>
              <w:rPr>
                <w:rFonts w:ascii="Times New Roman" w:eastAsia="Times New Roman" w:hAnsi="Times New Roman" w:cs="Times New Roman"/>
                <w:sz w:val="16"/>
                <w:szCs w:val="16"/>
              </w:rPr>
            </w:pPr>
            <w:r w:rsidRPr="007622B9">
              <w:rPr>
                <w:rFonts w:ascii="Times New Roman" w:eastAsia="Times New Roman" w:hAnsi="Times New Roman" w:cs="Times New Roman"/>
                <w:sz w:val="16"/>
                <w:szCs w:val="16"/>
              </w:rPr>
              <w:t>109.910</w:t>
            </w:r>
          </w:p>
        </w:tc>
        <w:tc>
          <w:tcPr>
            <w:tcW w:w="0" w:type="auto"/>
            <w:shd w:val="clear" w:color="auto" w:fill="auto"/>
            <w:vAlign w:val="center"/>
          </w:tcPr>
          <w:p w:rsidR="00CC3111" w:rsidRPr="007622B9" w:rsidRDefault="00CC3111" w:rsidP="00CC3111">
            <w:pPr>
              <w:tabs>
                <w:tab w:val="left" w:pos="3622"/>
              </w:tabs>
              <w:spacing w:after="0" w:line="240" w:lineRule="auto"/>
              <w:jc w:val="center"/>
              <w:rPr>
                <w:rFonts w:ascii="Times New Roman" w:eastAsia="Times New Roman" w:hAnsi="Times New Roman" w:cs="Times New Roman"/>
                <w:sz w:val="16"/>
                <w:szCs w:val="16"/>
              </w:rPr>
            </w:pPr>
            <w:r w:rsidRPr="007622B9">
              <w:rPr>
                <w:rFonts w:ascii="Times New Roman" w:eastAsia="Times New Roman" w:hAnsi="Times New Roman" w:cs="Times New Roman"/>
                <w:sz w:val="16"/>
                <w:szCs w:val="16"/>
              </w:rPr>
              <w:t>91.992</w:t>
            </w:r>
          </w:p>
        </w:tc>
        <w:tc>
          <w:tcPr>
            <w:tcW w:w="0" w:type="auto"/>
            <w:shd w:val="clear" w:color="auto" w:fill="auto"/>
            <w:vAlign w:val="center"/>
          </w:tcPr>
          <w:p w:rsidR="00CC3111" w:rsidRPr="007622B9" w:rsidRDefault="00CC3111" w:rsidP="00CC3111">
            <w:pPr>
              <w:tabs>
                <w:tab w:val="left" w:pos="3622"/>
              </w:tabs>
              <w:spacing w:after="0" w:line="240" w:lineRule="auto"/>
              <w:jc w:val="center"/>
              <w:rPr>
                <w:rFonts w:ascii="Times New Roman" w:eastAsia="Times New Roman" w:hAnsi="Times New Roman" w:cs="Times New Roman"/>
                <w:sz w:val="16"/>
                <w:szCs w:val="16"/>
              </w:rPr>
            </w:pPr>
            <w:r w:rsidRPr="007622B9">
              <w:rPr>
                <w:rFonts w:ascii="Times New Roman" w:eastAsia="Times New Roman" w:hAnsi="Times New Roman" w:cs="Times New Roman"/>
                <w:sz w:val="16"/>
                <w:szCs w:val="16"/>
              </w:rPr>
              <w:t>83.693</w:t>
            </w:r>
          </w:p>
        </w:tc>
        <w:tc>
          <w:tcPr>
            <w:tcW w:w="0" w:type="auto"/>
            <w:shd w:val="clear" w:color="auto" w:fill="auto"/>
            <w:vAlign w:val="center"/>
          </w:tcPr>
          <w:p w:rsidR="00CC3111" w:rsidRPr="007622B9" w:rsidRDefault="00CC3111" w:rsidP="00CC3111">
            <w:pPr>
              <w:tabs>
                <w:tab w:val="left" w:pos="3622"/>
              </w:tabs>
              <w:spacing w:after="0" w:line="240" w:lineRule="auto"/>
              <w:jc w:val="center"/>
              <w:rPr>
                <w:rFonts w:ascii="Times New Roman" w:eastAsia="Times New Roman" w:hAnsi="Times New Roman" w:cs="Times New Roman"/>
                <w:sz w:val="16"/>
                <w:szCs w:val="16"/>
              </w:rPr>
            </w:pPr>
            <w:r w:rsidRPr="007622B9">
              <w:rPr>
                <w:rFonts w:ascii="Times New Roman" w:eastAsia="Times New Roman" w:hAnsi="Times New Roman" w:cs="Times New Roman"/>
                <w:sz w:val="16"/>
                <w:szCs w:val="16"/>
              </w:rPr>
              <w:t>111.249</w:t>
            </w:r>
          </w:p>
        </w:tc>
        <w:tc>
          <w:tcPr>
            <w:tcW w:w="0" w:type="auto"/>
            <w:shd w:val="clear" w:color="auto" w:fill="auto"/>
            <w:vAlign w:val="center"/>
          </w:tcPr>
          <w:p w:rsidR="00CC3111" w:rsidRPr="007622B9" w:rsidRDefault="00CC3111" w:rsidP="00CC3111">
            <w:pPr>
              <w:tabs>
                <w:tab w:val="left" w:pos="3622"/>
              </w:tabs>
              <w:spacing w:after="0" w:line="240" w:lineRule="auto"/>
              <w:jc w:val="center"/>
              <w:rPr>
                <w:rFonts w:ascii="Times New Roman" w:eastAsia="Times New Roman" w:hAnsi="Times New Roman" w:cs="Times New Roman"/>
                <w:sz w:val="16"/>
                <w:szCs w:val="16"/>
              </w:rPr>
            </w:pPr>
            <w:r w:rsidRPr="007622B9">
              <w:rPr>
                <w:rFonts w:ascii="Times New Roman" w:eastAsia="Times New Roman" w:hAnsi="Times New Roman" w:cs="Times New Roman"/>
                <w:sz w:val="16"/>
                <w:szCs w:val="16"/>
              </w:rPr>
              <w:t>92.710</w:t>
            </w:r>
          </w:p>
        </w:tc>
        <w:tc>
          <w:tcPr>
            <w:tcW w:w="936" w:type="dxa"/>
            <w:shd w:val="clear" w:color="auto" w:fill="auto"/>
            <w:vAlign w:val="center"/>
          </w:tcPr>
          <w:p w:rsidR="00CC3111" w:rsidRPr="002D7A88" w:rsidRDefault="002D7A88" w:rsidP="00CC3111">
            <w:pPr>
              <w:tabs>
                <w:tab w:val="left" w:pos="3622"/>
              </w:tabs>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19.930</w:t>
            </w:r>
          </w:p>
        </w:tc>
        <w:tc>
          <w:tcPr>
            <w:tcW w:w="936" w:type="dxa"/>
            <w:shd w:val="clear" w:color="auto" w:fill="auto"/>
            <w:vAlign w:val="center"/>
          </w:tcPr>
          <w:p w:rsidR="00CC3111" w:rsidRPr="001208DC" w:rsidRDefault="001208DC" w:rsidP="00CC3111">
            <w:pPr>
              <w:tabs>
                <w:tab w:val="left" w:pos="3622"/>
              </w:tabs>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25.201</w:t>
            </w:r>
          </w:p>
        </w:tc>
        <w:tc>
          <w:tcPr>
            <w:tcW w:w="936" w:type="dxa"/>
            <w:shd w:val="clear" w:color="auto" w:fill="auto"/>
            <w:vAlign w:val="center"/>
          </w:tcPr>
          <w:p w:rsidR="00CC3111" w:rsidRPr="001208DC" w:rsidRDefault="001208DC" w:rsidP="00CC3111">
            <w:pPr>
              <w:tabs>
                <w:tab w:val="left" w:pos="3622"/>
              </w:tabs>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18.745</w:t>
            </w:r>
          </w:p>
        </w:tc>
        <w:tc>
          <w:tcPr>
            <w:tcW w:w="936" w:type="dxa"/>
            <w:shd w:val="clear" w:color="auto" w:fill="auto"/>
            <w:vAlign w:val="center"/>
          </w:tcPr>
          <w:p w:rsidR="00CC3111" w:rsidRPr="007622B9" w:rsidRDefault="00CC3111" w:rsidP="00CC3111">
            <w:pPr>
              <w:tabs>
                <w:tab w:val="left" w:pos="3622"/>
              </w:tabs>
              <w:spacing w:after="0" w:line="240" w:lineRule="auto"/>
              <w:jc w:val="center"/>
              <w:rPr>
                <w:rFonts w:ascii="Times New Roman" w:eastAsia="Times New Roman" w:hAnsi="Times New Roman" w:cs="Times New Roman"/>
                <w:sz w:val="16"/>
                <w:szCs w:val="16"/>
              </w:rPr>
            </w:pPr>
            <w:r w:rsidRPr="007622B9">
              <w:rPr>
                <w:rFonts w:ascii="Times New Roman" w:eastAsia="Times New Roman" w:hAnsi="Times New Roman" w:cs="Times New Roman"/>
                <w:sz w:val="16"/>
                <w:szCs w:val="16"/>
              </w:rPr>
              <w:t>19.245</w:t>
            </w:r>
          </w:p>
        </w:tc>
      </w:tr>
      <w:tr w:rsidR="00CC3111" w:rsidRPr="007622B9" w:rsidTr="00CC3111">
        <w:tc>
          <w:tcPr>
            <w:tcW w:w="943" w:type="dxa"/>
            <w:shd w:val="clear" w:color="auto" w:fill="auto"/>
            <w:vAlign w:val="center"/>
          </w:tcPr>
          <w:p w:rsidR="00CC3111" w:rsidRPr="007622B9" w:rsidRDefault="00CC3111" w:rsidP="00CC3111">
            <w:pPr>
              <w:tabs>
                <w:tab w:val="left" w:pos="3622"/>
              </w:tabs>
              <w:spacing w:after="0" w:line="240" w:lineRule="auto"/>
              <w:jc w:val="center"/>
              <w:rPr>
                <w:rFonts w:ascii="Times New Roman" w:eastAsia="Times New Roman" w:hAnsi="Times New Roman" w:cs="Times New Roman"/>
                <w:b/>
                <w:sz w:val="16"/>
                <w:szCs w:val="16"/>
              </w:rPr>
            </w:pPr>
            <w:r w:rsidRPr="007622B9">
              <w:rPr>
                <w:rFonts w:ascii="Times New Roman" w:eastAsia="Times New Roman" w:hAnsi="Times New Roman" w:cs="Times New Roman"/>
                <w:b/>
                <w:sz w:val="16"/>
                <w:szCs w:val="16"/>
              </w:rPr>
              <w:t>Укупна вредност</w:t>
            </w:r>
          </w:p>
          <w:p w:rsidR="00CC3111" w:rsidRPr="007622B9" w:rsidRDefault="00CC3111" w:rsidP="00CC3111">
            <w:pPr>
              <w:tabs>
                <w:tab w:val="left" w:pos="3622"/>
              </w:tabs>
              <w:spacing w:after="0" w:line="240" w:lineRule="auto"/>
              <w:jc w:val="center"/>
              <w:rPr>
                <w:rFonts w:ascii="Times New Roman" w:eastAsia="Times New Roman" w:hAnsi="Times New Roman" w:cs="Times New Roman"/>
                <w:b/>
                <w:sz w:val="16"/>
                <w:szCs w:val="16"/>
              </w:rPr>
            </w:pPr>
            <w:r w:rsidRPr="007622B9">
              <w:rPr>
                <w:rFonts w:ascii="Times New Roman" w:eastAsia="Times New Roman" w:hAnsi="Times New Roman" w:cs="Times New Roman"/>
                <w:b/>
                <w:sz w:val="16"/>
                <w:szCs w:val="16"/>
              </w:rPr>
              <w:t>(у хиљадама динара)</w:t>
            </w:r>
          </w:p>
        </w:tc>
        <w:tc>
          <w:tcPr>
            <w:tcW w:w="936" w:type="dxa"/>
            <w:shd w:val="clear" w:color="auto" w:fill="auto"/>
            <w:vAlign w:val="center"/>
          </w:tcPr>
          <w:p w:rsidR="00CC3111" w:rsidRPr="007622B9" w:rsidRDefault="00CC3111" w:rsidP="00CC3111">
            <w:pPr>
              <w:tabs>
                <w:tab w:val="left" w:pos="3622"/>
              </w:tabs>
              <w:spacing w:after="0" w:line="240" w:lineRule="auto"/>
              <w:jc w:val="center"/>
              <w:rPr>
                <w:rFonts w:ascii="Times New Roman" w:eastAsia="Times New Roman" w:hAnsi="Times New Roman" w:cs="Times New Roman"/>
                <w:sz w:val="16"/>
                <w:szCs w:val="16"/>
              </w:rPr>
            </w:pPr>
            <w:r w:rsidRPr="007622B9">
              <w:rPr>
                <w:rFonts w:ascii="Times New Roman" w:eastAsia="Times New Roman" w:hAnsi="Times New Roman" w:cs="Times New Roman"/>
                <w:sz w:val="16"/>
                <w:szCs w:val="16"/>
              </w:rPr>
              <w:t>98.777.652</w:t>
            </w:r>
          </w:p>
        </w:tc>
        <w:tc>
          <w:tcPr>
            <w:tcW w:w="1016" w:type="dxa"/>
            <w:shd w:val="clear" w:color="auto" w:fill="auto"/>
            <w:vAlign w:val="center"/>
          </w:tcPr>
          <w:p w:rsidR="00CC3111" w:rsidRPr="007622B9" w:rsidRDefault="00CC3111" w:rsidP="00CC3111">
            <w:pPr>
              <w:tabs>
                <w:tab w:val="left" w:pos="3622"/>
              </w:tabs>
              <w:spacing w:after="0" w:line="240" w:lineRule="auto"/>
              <w:jc w:val="center"/>
              <w:rPr>
                <w:rFonts w:ascii="Times New Roman" w:eastAsia="Times New Roman" w:hAnsi="Times New Roman" w:cs="Times New Roman"/>
                <w:sz w:val="16"/>
                <w:szCs w:val="16"/>
              </w:rPr>
            </w:pPr>
            <w:r w:rsidRPr="007622B9">
              <w:rPr>
                <w:rFonts w:ascii="Times New Roman" w:eastAsia="Times New Roman" w:hAnsi="Times New Roman" w:cs="Times New Roman"/>
                <w:sz w:val="16"/>
                <w:szCs w:val="16"/>
              </w:rPr>
              <w:t>109.282.212</w:t>
            </w:r>
          </w:p>
        </w:tc>
        <w:tc>
          <w:tcPr>
            <w:tcW w:w="1016" w:type="dxa"/>
            <w:shd w:val="clear" w:color="auto" w:fill="auto"/>
            <w:vAlign w:val="center"/>
          </w:tcPr>
          <w:p w:rsidR="00CC3111" w:rsidRPr="007622B9" w:rsidRDefault="00CC3111" w:rsidP="00CC3111">
            <w:pPr>
              <w:tabs>
                <w:tab w:val="left" w:pos="3622"/>
              </w:tabs>
              <w:spacing w:after="0" w:line="240" w:lineRule="auto"/>
              <w:jc w:val="center"/>
              <w:rPr>
                <w:rFonts w:ascii="Times New Roman" w:eastAsia="Times New Roman" w:hAnsi="Times New Roman" w:cs="Times New Roman"/>
                <w:sz w:val="16"/>
                <w:szCs w:val="16"/>
              </w:rPr>
            </w:pPr>
            <w:r w:rsidRPr="007622B9">
              <w:rPr>
                <w:rFonts w:ascii="Times New Roman" w:eastAsia="Times New Roman" w:hAnsi="Times New Roman" w:cs="Times New Roman"/>
                <w:sz w:val="16"/>
                <w:szCs w:val="16"/>
              </w:rPr>
              <w:t>124.753.207</w:t>
            </w:r>
          </w:p>
        </w:tc>
        <w:tc>
          <w:tcPr>
            <w:tcW w:w="1016" w:type="dxa"/>
            <w:shd w:val="clear" w:color="auto" w:fill="auto"/>
            <w:vAlign w:val="center"/>
          </w:tcPr>
          <w:p w:rsidR="00CC3111" w:rsidRPr="007622B9" w:rsidRDefault="00CC3111" w:rsidP="00CC3111">
            <w:pPr>
              <w:tabs>
                <w:tab w:val="left" w:pos="3622"/>
              </w:tabs>
              <w:spacing w:after="0" w:line="240" w:lineRule="auto"/>
              <w:jc w:val="center"/>
              <w:rPr>
                <w:rFonts w:ascii="Times New Roman" w:eastAsia="Times New Roman" w:hAnsi="Times New Roman" w:cs="Times New Roman"/>
                <w:sz w:val="16"/>
                <w:szCs w:val="16"/>
              </w:rPr>
            </w:pPr>
            <w:r w:rsidRPr="007622B9">
              <w:rPr>
                <w:rFonts w:ascii="Times New Roman" w:eastAsia="Times New Roman" w:hAnsi="Times New Roman" w:cs="Times New Roman"/>
                <w:sz w:val="16"/>
                <w:szCs w:val="16"/>
              </w:rPr>
              <w:t>168.914.947</w:t>
            </w:r>
          </w:p>
        </w:tc>
        <w:tc>
          <w:tcPr>
            <w:tcW w:w="1016" w:type="dxa"/>
            <w:shd w:val="clear" w:color="auto" w:fill="auto"/>
            <w:vAlign w:val="center"/>
          </w:tcPr>
          <w:p w:rsidR="00CC3111" w:rsidRPr="007622B9" w:rsidRDefault="00CC3111" w:rsidP="00CC3111">
            <w:pPr>
              <w:tabs>
                <w:tab w:val="left" w:pos="3622"/>
              </w:tabs>
              <w:spacing w:after="0" w:line="240" w:lineRule="auto"/>
              <w:jc w:val="center"/>
              <w:rPr>
                <w:rFonts w:ascii="Times New Roman" w:eastAsia="Times New Roman" w:hAnsi="Times New Roman" w:cs="Times New Roman"/>
                <w:sz w:val="16"/>
                <w:szCs w:val="16"/>
              </w:rPr>
            </w:pPr>
            <w:r w:rsidRPr="007622B9">
              <w:rPr>
                <w:rFonts w:ascii="Times New Roman" w:eastAsia="Times New Roman" w:hAnsi="Times New Roman" w:cs="Times New Roman"/>
                <w:sz w:val="16"/>
                <w:szCs w:val="16"/>
              </w:rPr>
              <w:t>187.559.752</w:t>
            </w:r>
          </w:p>
        </w:tc>
        <w:tc>
          <w:tcPr>
            <w:tcW w:w="1016" w:type="dxa"/>
            <w:shd w:val="clear" w:color="auto" w:fill="auto"/>
            <w:vAlign w:val="center"/>
          </w:tcPr>
          <w:p w:rsidR="00CC3111" w:rsidRPr="007622B9" w:rsidRDefault="00CC3111" w:rsidP="00CC3111">
            <w:pPr>
              <w:tabs>
                <w:tab w:val="left" w:pos="3622"/>
              </w:tabs>
              <w:spacing w:after="0" w:line="240" w:lineRule="auto"/>
              <w:jc w:val="center"/>
              <w:rPr>
                <w:rFonts w:ascii="Times New Roman" w:eastAsia="Times New Roman" w:hAnsi="Times New Roman" w:cs="Times New Roman"/>
                <w:sz w:val="16"/>
                <w:szCs w:val="16"/>
              </w:rPr>
            </w:pPr>
            <w:r w:rsidRPr="007622B9">
              <w:rPr>
                <w:rFonts w:ascii="Times New Roman" w:eastAsia="Times New Roman" w:hAnsi="Times New Roman" w:cs="Times New Roman"/>
                <w:sz w:val="16"/>
                <w:szCs w:val="16"/>
              </w:rPr>
              <w:t>234.028.744</w:t>
            </w:r>
          </w:p>
        </w:tc>
        <w:tc>
          <w:tcPr>
            <w:tcW w:w="0" w:type="auto"/>
            <w:shd w:val="clear" w:color="auto" w:fill="auto"/>
            <w:vAlign w:val="center"/>
          </w:tcPr>
          <w:p w:rsidR="00CC3111" w:rsidRPr="007622B9" w:rsidRDefault="00CC3111" w:rsidP="00CC3111">
            <w:pPr>
              <w:tabs>
                <w:tab w:val="left" w:pos="3622"/>
              </w:tabs>
              <w:spacing w:after="0" w:line="240" w:lineRule="auto"/>
              <w:jc w:val="center"/>
              <w:rPr>
                <w:rFonts w:ascii="Times New Roman" w:eastAsia="Times New Roman" w:hAnsi="Times New Roman" w:cs="Times New Roman"/>
                <w:sz w:val="16"/>
                <w:szCs w:val="16"/>
              </w:rPr>
            </w:pPr>
            <w:r w:rsidRPr="007622B9">
              <w:rPr>
                <w:rFonts w:ascii="Times New Roman" w:eastAsia="Times New Roman" w:hAnsi="Times New Roman" w:cs="Times New Roman"/>
                <w:sz w:val="16"/>
                <w:szCs w:val="16"/>
              </w:rPr>
              <w:t>190.655.028</w:t>
            </w:r>
          </w:p>
        </w:tc>
        <w:tc>
          <w:tcPr>
            <w:tcW w:w="0" w:type="auto"/>
            <w:shd w:val="clear" w:color="auto" w:fill="auto"/>
            <w:vAlign w:val="center"/>
          </w:tcPr>
          <w:p w:rsidR="00CC3111" w:rsidRPr="007622B9" w:rsidRDefault="00CC3111" w:rsidP="00CC3111">
            <w:pPr>
              <w:tabs>
                <w:tab w:val="left" w:pos="3622"/>
              </w:tabs>
              <w:spacing w:after="0" w:line="240" w:lineRule="auto"/>
              <w:jc w:val="center"/>
              <w:rPr>
                <w:rFonts w:ascii="Times New Roman" w:eastAsia="Times New Roman" w:hAnsi="Times New Roman" w:cs="Times New Roman"/>
                <w:sz w:val="16"/>
                <w:szCs w:val="16"/>
              </w:rPr>
            </w:pPr>
            <w:r w:rsidRPr="007622B9">
              <w:rPr>
                <w:rFonts w:ascii="Times New Roman" w:eastAsia="Times New Roman" w:hAnsi="Times New Roman" w:cs="Times New Roman"/>
                <w:sz w:val="16"/>
                <w:szCs w:val="16"/>
              </w:rPr>
              <w:t>273.055.306</w:t>
            </w:r>
          </w:p>
        </w:tc>
        <w:tc>
          <w:tcPr>
            <w:tcW w:w="0" w:type="auto"/>
            <w:shd w:val="clear" w:color="auto" w:fill="auto"/>
            <w:vAlign w:val="center"/>
          </w:tcPr>
          <w:p w:rsidR="00CC3111" w:rsidRPr="007622B9" w:rsidRDefault="00CC3111" w:rsidP="00CC3111">
            <w:pPr>
              <w:tabs>
                <w:tab w:val="left" w:pos="3622"/>
              </w:tabs>
              <w:spacing w:after="0" w:line="240" w:lineRule="auto"/>
              <w:jc w:val="center"/>
              <w:rPr>
                <w:rFonts w:ascii="Times New Roman" w:eastAsia="Times New Roman" w:hAnsi="Times New Roman" w:cs="Times New Roman"/>
                <w:sz w:val="16"/>
                <w:szCs w:val="16"/>
              </w:rPr>
            </w:pPr>
            <w:r w:rsidRPr="007622B9">
              <w:rPr>
                <w:rFonts w:ascii="Times New Roman" w:eastAsia="Times New Roman" w:hAnsi="Times New Roman" w:cs="Times New Roman"/>
                <w:sz w:val="16"/>
                <w:szCs w:val="16"/>
              </w:rPr>
              <w:t>293.324.810</w:t>
            </w:r>
          </w:p>
        </w:tc>
        <w:tc>
          <w:tcPr>
            <w:tcW w:w="0" w:type="auto"/>
            <w:shd w:val="clear" w:color="auto" w:fill="auto"/>
            <w:vAlign w:val="center"/>
          </w:tcPr>
          <w:p w:rsidR="00CC3111" w:rsidRPr="007622B9" w:rsidRDefault="00CC3111" w:rsidP="00CC3111">
            <w:pPr>
              <w:tabs>
                <w:tab w:val="left" w:pos="3622"/>
              </w:tabs>
              <w:spacing w:after="0" w:line="240" w:lineRule="auto"/>
              <w:jc w:val="center"/>
              <w:rPr>
                <w:rFonts w:ascii="Times New Roman" w:eastAsia="Times New Roman" w:hAnsi="Times New Roman" w:cs="Times New Roman"/>
                <w:sz w:val="16"/>
                <w:szCs w:val="16"/>
              </w:rPr>
            </w:pPr>
            <w:r w:rsidRPr="007622B9">
              <w:rPr>
                <w:rFonts w:ascii="Times New Roman" w:eastAsia="Times New Roman" w:hAnsi="Times New Roman" w:cs="Times New Roman"/>
                <w:sz w:val="16"/>
                <w:szCs w:val="16"/>
              </w:rPr>
              <w:t>303.694.136</w:t>
            </w:r>
          </w:p>
        </w:tc>
        <w:tc>
          <w:tcPr>
            <w:tcW w:w="936" w:type="dxa"/>
            <w:shd w:val="clear" w:color="auto" w:fill="auto"/>
            <w:vAlign w:val="center"/>
          </w:tcPr>
          <w:p w:rsidR="00CC3111" w:rsidRPr="007622B9" w:rsidRDefault="002D7A88" w:rsidP="00CC3111">
            <w:pPr>
              <w:tabs>
                <w:tab w:val="left" w:pos="3622"/>
              </w:tabs>
              <w:spacing w:after="0" w:line="240" w:lineRule="auto"/>
              <w:jc w:val="center"/>
              <w:rPr>
                <w:rFonts w:ascii="Times New Roman" w:eastAsia="Times New Roman" w:hAnsi="Times New Roman" w:cs="Times New Roman"/>
                <w:sz w:val="16"/>
                <w:szCs w:val="16"/>
              </w:rPr>
            </w:pPr>
            <w:r w:rsidRPr="002D7A88">
              <w:rPr>
                <w:rFonts w:ascii="Times New Roman" w:eastAsia="Times New Roman" w:hAnsi="Times New Roman" w:cs="Times New Roman"/>
                <w:sz w:val="16"/>
                <w:szCs w:val="16"/>
              </w:rPr>
              <w:t>62.122.406</w:t>
            </w:r>
          </w:p>
        </w:tc>
        <w:tc>
          <w:tcPr>
            <w:tcW w:w="936" w:type="dxa"/>
            <w:shd w:val="clear" w:color="auto" w:fill="auto"/>
            <w:vAlign w:val="center"/>
          </w:tcPr>
          <w:p w:rsidR="00CC3111" w:rsidRPr="007622B9" w:rsidRDefault="001208DC" w:rsidP="00CC3111">
            <w:pPr>
              <w:tabs>
                <w:tab w:val="left" w:pos="3622"/>
              </w:tabs>
              <w:spacing w:after="0" w:line="240" w:lineRule="auto"/>
              <w:jc w:val="center"/>
              <w:rPr>
                <w:rFonts w:ascii="Times New Roman" w:eastAsia="Times New Roman" w:hAnsi="Times New Roman" w:cs="Times New Roman"/>
                <w:sz w:val="16"/>
                <w:szCs w:val="16"/>
              </w:rPr>
            </w:pPr>
            <w:r w:rsidRPr="001208DC">
              <w:rPr>
                <w:rFonts w:ascii="Times New Roman" w:eastAsia="Times New Roman" w:hAnsi="Times New Roman" w:cs="Times New Roman"/>
                <w:sz w:val="16"/>
                <w:szCs w:val="16"/>
              </w:rPr>
              <w:t>77.490.249</w:t>
            </w:r>
          </w:p>
        </w:tc>
        <w:tc>
          <w:tcPr>
            <w:tcW w:w="936" w:type="dxa"/>
            <w:shd w:val="clear" w:color="auto" w:fill="auto"/>
            <w:vAlign w:val="center"/>
          </w:tcPr>
          <w:p w:rsidR="00CC3111" w:rsidRPr="001208DC" w:rsidRDefault="001208DC" w:rsidP="00CC3111">
            <w:pPr>
              <w:tabs>
                <w:tab w:val="left" w:pos="3622"/>
              </w:tabs>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7</w:t>
            </w:r>
            <w:r w:rsidR="00F4561A">
              <w:rPr>
                <w:rFonts w:ascii="Times New Roman" w:eastAsia="Times New Roman" w:hAnsi="Times New Roman" w:cs="Times New Roman"/>
                <w:sz w:val="16"/>
                <w:szCs w:val="16"/>
              </w:rPr>
              <w:t>1.030.473</w:t>
            </w:r>
          </w:p>
        </w:tc>
        <w:tc>
          <w:tcPr>
            <w:tcW w:w="936" w:type="dxa"/>
            <w:shd w:val="clear" w:color="auto" w:fill="auto"/>
            <w:vAlign w:val="center"/>
          </w:tcPr>
          <w:p w:rsidR="00CC3111" w:rsidRPr="007622B9" w:rsidRDefault="001208DC" w:rsidP="00CC3111">
            <w:pPr>
              <w:tabs>
                <w:tab w:val="left" w:pos="3622"/>
              </w:tabs>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52.295.607</w:t>
            </w:r>
          </w:p>
        </w:tc>
      </w:tr>
      <w:tr w:rsidR="00CC3111" w:rsidRPr="007622B9" w:rsidTr="00CC3111">
        <w:tc>
          <w:tcPr>
            <w:tcW w:w="943" w:type="dxa"/>
            <w:shd w:val="clear" w:color="auto" w:fill="auto"/>
            <w:vAlign w:val="center"/>
          </w:tcPr>
          <w:p w:rsidR="00CC3111" w:rsidRPr="007622B9" w:rsidRDefault="00CC3111" w:rsidP="00CC3111">
            <w:pPr>
              <w:tabs>
                <w:tab w:val="left" w:pos="3622"/>
              </w:tabs>
              <w:spacing w:after="0" w:line="240" w:lineRule="auto"/>
              <w:jc w:val="center"/>
              <w:rPr>
                <w:rFonts w:ascii="Times New Roman" w:eastAsia="Times New Roman" w:hAnsi="Times New Roman" w:cs="Times New Roman"/>
                <w:b/>
                <w:sz w:val="16"/>
                <w:szCs w:val="16"/>
              </w:rPr>
            </w:pPr>
            <w:r w:rsidRPr="007622B9">
              <w:rPr>
                <w:rFonts w:ascii="Times New Roman" w:eastAsia="Times New Roman" w:hAnsi="Times New Roman" w:cs="Times New Roman"/>
                <w:b/>
                <w:sz w:val="16"/>
                <w:szCs w:val="16"/>
              </w:rPr>
              <w:t>Просечна вредност             (у хиљадама динара)</w:t>
            </w:r>
          </w:p>
        </w:tc>
        <w:tc>
          <w:tcPr>
            <w:tcW w:w="936" w:type="dxa"/>
            <w:shd w:val="clear" w:color="auto" w:fill="auto"/>
            <w:vAlign w:val="center"/>
          </w:tcPr>
          <w:p w:rsidR="00CC3111" w:rsidRPr="007622B9" w:rsidRDefault="00CC3111" w:rsidP="00CC3111">
            <w:pPr>
              <w:tabs>
                <w:tab w:val="left" w:pos="3622"/>
              </w:tabs>
              <w:spacing w:after="0" w:line="240" w:lineRule="auto"/>
              <w:jc w:val="center"/>
              <w:rPr>
                <w:rFonts w:ascii="Times New Roman" w:eastAsia="Times New Roman" w:hAnsi="Times New Roman" w:cs="Times New Roman"/>
                <w:sz w:val="16"/>
                <w:szCs w:val="16"/>
              </w:rPr>
            </w:pPr>
            <w:r w:rsidRPr="007622B9">
              <w:rPr>
                <w:rFonts w:ascii="Times New Roman" w:eastAsia="Times New Roman" w:hAnsi="Times New Roman" w:cs="Times New Roman"/>
                <w:sz w:val="16"/>
                <w:szCs w:val="16"/>
              </w:rPr>
              <w:t>426</w:t>
            </w:r>
          </w:p>
        </w:tc>
        <w:tc>
          <w:tcPr>
            <w:tcW w:w="1016" w:type="dxa"/>
            <w:shd w:val="clear" w:color="auto" w:fill="auto"/>
            <w:vAlign w:val="center"/>
          </w:tcPr>
          <w:p w:rsidR="00CC3111" w:rsidRPr="007622B9" w:rsidRDefault="00CC3111" w:rsidP="00CC3111">
            <w:pPr>
              <w:tabs>
                <w:tab w:val="left" w:pos="3622"/>
              </w:tabs>
              <w:spacing w:after="0" w:line="240" w:lineRule="auto"/>
              <w:jc w:val="center"/>
              <w:rPr>
                <w:rFonts w:ascii="Times New Roman" w:eastAsia="Times New Roman" w:hAnsi="Times New Roman" w:cs="Times New Roman"/>
                <w:sz w:val="16"/>
                <w:szCs w:val="16"/>
              </w:rPr>
            </w:pPr>
            <w:r w:rsidRPr="007622B9">
              <w:rPr>
                <w:rFonts w:ascii="Times New Roman" w:eastAsia="Times New Roman" w:hAnsi="Times New Roman" w:cs="Times New Roman"/>
                <w:sz w:val="16"/>
                <w:szCs w:val="16"/>
              </w:rPr>
              <w:t>506</w:t>
            </w:r>
          </w:p>
        </w:tc>
        <w:tc>
          <w:tcPr>
            <w:tcW w:w="1016" w:type="dxa"/>
            <w:shd w:val="clear" w:color="auto" w:fill="auto"/>
            <w:vAlign w:val="center"/>
          </w:tcPr>
          <w:p w:rsidR="00CC3111" w:rsidRPr="007622B9" w:rsidRDefault="00CC3111" w:rsidP="00CC3111">
            <w:pPr>
              <w:tabs>
                <w:tab w:val="left" w:pos="3622"/>
              </w:tabs>
              <w:spacing w:after="0" w:line="240" w:lineRule="auto"/>
              <w:jc w:val="center"/>
              <w:rPr>
                <w:rFonts w:ascii="Times New Roman" w:eastAsia="Times New Roman" w:hAnsi="Times New Roman" w:cs="Times New Roman"/>
                <w:sz w:val="16"/>
                <w:szCs w:val="16"/>
              </w:rPr>
            </w:pPr>
            <w:r w:rsidRPr="007622B9">
              <w:rPr>
                <w:rFonts w:ascii="Times New Roman" w:eastAsia="Times New Roman" w:hAnsi="Times New Roman" w:cs="Times New Roman"/>
                <w:sz w:val="16"/>
                <w:szCs w:val="16"/>
              </w:rPr>
              <w:t>838</w:t>
            </w:r>
          </w:p>
        </w:tc>
        <w:tc>
          <w:tcPr>
            <w:tcW w:w="1016" w:type="dxa"/>
            <w:shd w:val="clear" w:color="auto" w:fill="auto"/>
            <w:vAlign w:val="center"/>
          </w:tcPr>
          <w:p w:rsidR="00CC3111" w:rsidRPr="007622B9" w:rsidRDefault="00CC3111" w:rsidP="00CC3111">
            <w:pPr>
              <w:tabs>
                <w:tab w:val="left" w:pos="3622"/>
              </w:tabs>
              <w:spacing w:after="0" w:line="240" w:lineRule="auto"/>
              <w:jc w:val="center"/>
              <w:rPr>
                <w:rFonts w:ascii="Times New Roman" w:eastAsia="Times New Roman" w:hAnsi="Times New Roman" w:cs="Times New Roman"/>
                <w:sz w:val="16"/>
                <w:szCs w:val="16"/>
              </w:rPr>
            </w:pPr>
            <w:r w:rsidRPr="007622B9">
              <w:rPr>
                <w:rFonts w:ascii="Times New Roman" w:eastAsia="Times New Roman" w:hAnsi="Times New Roman" w:cs="Times New Roman"/>
                <w:sz w:val="16"/>
                <w:szCs w:val="16"/>
              </w:rPr>
              <w:t>1.108</w:t>
            </w:r>
          </w:p>
        </w:tc>
        <w:tc>
          <w:tcPr>
            <w:tcW w:w="1016" w:type="dxa"/>
            <w:shd w:val="clear" w:color="auto" w:fill="auto"/>
            <w:vAlign w:val="center"/>
          </w:tcPr>
          <w:p w:rsidR="00CC3111" w:rsidRPr="007622B9" w:rsidRDefault="00CC3111" w:rsidP="00CC3111">
            <w:pPr>
              <w:tabs>
                <w:tab w:val="left" w:pos="3622"/>
              </w:tabs>
              <w:spacing w:after="0" w:line="240" w:lineRule="auto"/>
              <w:jc w:val="center"/>
              <w:rPr>
                <w:rFonts w:ascii="Times New Roman" w:eastAsia="Times New Roman" w:hAnsi="Times New Roman" w:cs="Times New Roman"/>
                <w:sz w:val="16"/>
                <w:szCs w:val="16"/>
              </w:rPr>
            </w:pPr>
            <w:r w:rsidRPr="007622B9">
              <w:rPr>
                <w:rFonts w:ascii="Times New Roman" w:eastAsia="Times New Roman" w:hAnsi="Times New Roman" w:cs="Times New Roman"/>
                <w:sz w:val="16"/>
                <w:szCs w:val="16"/>
              </w:rPr>
              <w:t>1.530</w:t>
            </w:r>
          </w:p>
        </w:tc>
        <w:tc>
          <w:tcPr>
            <w:tcW w:w="1016" w:type="dxa"/>
            <w:shd w:val="clear" w:color="auto" w:fill="auto"/>
            <w:vAlign w:val="center"/>
          </w:tcPr>
          <w:p w:rsidR="00CC3111" w:rsidRPr="007622B9" w:rsidRDefault="00CC3111" w:rsidP="00CC3111">
            <w:pPr>
              <w:tabs>
                <w:tab w:val="left" w:pos="3622"/>
              </w:tabs>
              <w:spacing w:after="0" w:line="240" w:lineRule="auto"/>
              <w:jc w:val="center"/>
              <w:rPr>
                <w:rFonts w:ascii="Times New Roman" w:eastAsia="Times New Roman" w:hAnsi="Times New Roman" w:cs="Times New Roman"/>
                <w:sz w:val="16"/>
                <w:szCs w:val="16"/>
              </w:rPr>
            </w:pPr>
            <w:r w:rsidRPr="007622B9">
              <w:rPr>
                <w:rFonts w:ascii="Times New Roman" w:eastAsia="Times New Roman" w:hAnsi="Times New Roman" w:cs="Times New Roman"/>
                <w:sz w:val="16"/>
                <w:szCs w:val="16"/>
              </w:rPr>
              <w:t>2.129</w:t>
            </w:r>
          </w:p>
        </w:tc>
        <w:tc>
          <w:tcPr>
            <w:tcW w:w="0" w:type="auto"/>
            <w:shd w:val="clear" w:color="auto" w:fill="auto"/>
            <w:vAlign w:val="center"/>
          </w:tcPr>
          <w:p w:rsidR="00CC3111" w:rsidRPr="007622B9" w:rsidRDefault="00CC3111" w:rsidP="00CC3111">
            <w:pPr>
              <w:tabs>
                <w:tab w:val="left" w:pos="3622"/>
              </w:tabs>
              <w:spacing w:after="0" w:line="240" w:lineRule="auto"/>
              <w:jc w:val="center"/>
              <w:rPr>
                <w:rFonts w:ascii="Times New Roman" w:eastAsia="Times New Roman" w:hAnsi="Times New Roman" w:cs="Times New Roman"/>
                <w:sz w:val="16"/>
                <w:szCs w:val="16"/>
              </w:rPr>
            </w:pPr>
            <w:r w:rsidRPr="007622B9">
              <w:rPr>
                <w:rFonts w:ascii="Times New Roman" w:eastAsia="Times New Roman" w:hAnsi="Times New Roman" w:cs="Times New Roman"/>
                <w:sz w:val="16"/>
                <w:szCs w:val="16"/>
              </w:rPr>
              <w:t>2.073</w:t>
            </w:r>
          </w:p>
        </w:tc>
        <w:tc>
          <w:tcPr>
            <w:tcW w:w="0" w:type="auto"/>
            <w:shd w:val="clear" w:color="auto" w:fill="auto"/>
            <w:vAlign w:val="center"/>
          </w:tcPr>
          <w:p w:rsidR="00CC3111" w:rsidRPr="007622B9" w:rsidRDefault="00CC3111" w:rsidP="00CC3111">
            <w:pPr>
              <w:tabs>
                <w:tab w:val="left" w:pos="3622"/>
              </w:tabs>
              <w:spacing w:after="0" w:line="240" w:lineRule="auto"/>
              <w:jc w:val="center"/>
              <w:rPr>
                <w:rFonts w:ascii="Times New Roman" w:eastAsia="Times New Roman" w:hAnsi="Times New Roman" w:cs="Times New Roman"/>
                <w:sz w:val="16"/>
                <w:szCs w:val="16"/>
              </w:rPr>
            </w:pPr>
            <w:r w:rsidRPr="007622B9">
              <w:rPr>
                <w:rFonts w:ascii="Times New Roman" w:eastAsia="Times New Roman" w:hAnsi="Times New Roman" w:cs="Times New Roman"/>
                <w:sz w:val="16"/>
                <w:szCs w:val="16"/>
              </w:rPr>
              <w:t>3.263</w:t>
            </w:r>
          </w:p>
        </w:tc>
        <w:tc>
          <w:tcPr>
            <w:tcW w:w="0" w:type="auto"/>
            <w:shd w:val="clear" w:color="auto" w:fill="auto"/>
            <w:vAlign w:val="center"/>
          </w:tcPr>
          <w:p w:rsidR="00CC3111" w:rsidRPr="007622B9" w:rsidRDefault="00CC3111" w:rsidP="00CC3111">
            <w:pPr>
              <w:tabs>
                <w:tab w:val="left" w:pos="3622"/>
              </w:tabs>
              <w:spacing w:after="0" w:line="240" w:lineRule="auto"/>
              <w:jc w:val="center"/>
              <w:rPr>
                <w:rFonts w:ascii="Times New Roman" w:eastAsia="Times New Roman" w:hAnsi="Times New Roman" w:cs="Times New Roman"/>
                <w:sz w:val="16"/>
                <w:szCs w:val="16"/>
              </w:rPr>
            </w:pPr>
            <w:r w:rsidRPr="007622B9">
              <w:rPr>
                <w:rFonts w:ascii="Times New Roman" w:eastAsia="Times New Roman" w:hAnsi="Times New Roman" w:cs="Times New Roman"/>
                <w:sz w:val="16"/>
                <w:szCs w:val="16"/>
              </w:rPr>
              <w:t>2.637</w:t>
            </w:r>
          </w:p>
        </w:tc>
        <w:tc>
          <w:tcPr>
            <w:tcW w:w="0" w:type="auto"/>
            <w:shd w:val="clear" w:color="auto" w:fill="auto"/>
            <w:vAlign w:val="center"/>
          </w:tcPr>
          <w:p w:rsidR="00CC3111" w:rsidRPr="007622B9" w:rsidRDefault="00CC3111" w:rsidP="00CC3111">
            <w:pPr>
              <w:tabs>
                <w:tab w:val="left" w:pos="3622"/>
              </w:tabs>
              <w:spacing w:after="0" w:line="240" w:lineRule="auto"/>
              <w:jc w:val="center"/>
              <w:rPr>
                <w:rFonts w:ascii="Times New Roman" w:eastAsia="Times New Roman" w:hAnsi="Times New Roman" w:cs="Times New Roman"/>
                <w:sz w:val="16"/>
                <w:szCs w:val="16"/>
              </w:rPr>
            </w:pPr>
            <w:r w:rsidRPr="007622B9">
              <w:rPr>
                <w:rFonts w:ascii="Times New Roman" w:eastAsia="Times New Roman" w:hAnsi="Times New Roman" w:cs="Times New Roman"/>
                <w:sz w:val="16"/>
                <w:szCs w:val="16"/>
              </w:rPr>
              <w:t>3.276</w:t>
            </w:r>
          </w:p>
        </w:tc>
        <w:tc>
          <w:tcPr>
            <w:tcW w:w="936" w:type="dxa"/>
            <w:shd w:val="clear" w:color="auto" w:fill="auto"/>
            <w:vAlign w:val="center"/>
          </w:tcPr>
          <w:p w:rsidR="00CC3111" w:rsidRPr="002D7A88" w:rsidRDefault="002D7A88" w:rsidP="00CC3111">
            <w:pPr>
              <w:tabs>
                <w:tab w:val="left" w:pos="3622"/>
              </w:tabs>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3.117</w:t>
            </w:r>
          </w:p>
        </w:tc>
        <w:tc>
          <w:tcPr>
            <w:tcW w:w="936" w:type="dxa"/>
            <w:shd w:val="clear" w:color="auto" w:fill="auto"/>
            <w:vAlign w:val="center"/>
          </w:tcPr>
          <w:p w:rsidR="00CC3111" w:rsidRPr="007622B9" w:rsidRDefault="001208DC" w:rsidP="00CC3111">
            <w:pPr>
              <w:tabs>
                <w:tab w:val="left" w:pos="3622"/>
              </w:tabs>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3.08</w:t>
            </w:r>
            <w:r w:rsidR="00CC3111" w:rsidRPr="007622B9">
              <w:rPr>
                <w:rFonts w:ascii="Times New Roman" w:eastAsia="Times New Roman" w:hAnsi="Times New Roman" w:cs="Times New Roman"/>
                <w:sz w:val="16"/>
                <w:szCs w:val="16"/>
              </w:rPr>
              <w:t>4</w:t>
            </w:r>
          </w:p>
        </w:tc>
        <w:tc>
          <w:tcPr>
            <w:tcW w:w="936" w:type="dxa"/>
            <w:shd w:val="clear" w:color="auto" w:fill="auto"/>
            <w:vAlign w:val="center"/>
          </w:tcPr>
          <w:p w:rsidR="00CC3111" w:rsidRPr="001208DC" w:rsidRDefault="00CC3111" w:rsidP="00CC3111">
            <w:pPr>
              <w:tabs>
                <w:tab w:val="left" w:pos="3622"/>
              </w:tabs>
              <w:spacing w:after="0" w:line="240" w:lineRule="auto"/>
              <w:jc w:val="center"/>
              <w:rPr>
                <w:rFonts w:ascii="Times New Roman" w:eastAsia="Times New Roman" w:hAnsi="Times New Roman" w:cs="Times New Roman"/>
                <w:sz w:val="16"/>
                <w:szCs w:val="16"/>
              </w:rPr>
            </w:pPr>
            <w:r w:rsidRPr="007622B9">
              <w:rPr>
                <w:rFonts w:ascii="Times New Roman" w:eastAsia="Times New Roman" w:hAnsi="Times New Roman" w:cs="Times New Roman"/>
                <w:sz w:val="16"/>
                <w:szCs w:val="16"/>
              </w:rPr>
              <w:t>3.728</w:t>
            </w:r>
          </w:p>
        </w:tc>
        <w:tc>
          <w:tcPr>
            <w:tcW w:w="936" w:type="dxa"/>
            <w:shd w:val="clear" w:color="auto" w:fill="auto"/>
            <w:vAlign w:val="center"/>
          </w:tcPr>
          <w:p w:rsidR="00CC3111" w:rsidRPr="001208DC" w:rsidRDefault="00CC3111" w:rsidP="00CC3111">
            <w:pPr>
              <w:tabs>
                <w:tab w:val="left" w:pos="3622"/>
              </w:tabs>
              <w:spacing w:after="0" w:line="240" w:lineRule="auto"/>
              <w:jc w:val="center"/>
              <w:rPr>
                <w:rFonts w:ascii="Times New Roman" w:eastAsia="Times New Roman" w:hAnsi="Times New Roman" w:cs="Times New Roman"/>
                <w:sz w:val="16"/>
                <w:szCs w:val="16"/>
              </w:rPr>
            </w:pPr>
            <w:r w:rsidRPr="007622B9">
              <w:rPr>
                <w:rFonts w:ascii="Times New Roman" w:eastAsia="Times New Roman" w:hAnsi="Times New Roman" w:cs="Times New Roman"/>
                <w:sz w:val="16"/>
                <w:szCs w:val="16"/>
              </w:rPr>
              <w:t>2.</w:t>
            </w:r>
            <w:r w:rsidR="001208DC">
              <w:rPr>
                <w:rFonts w:ascii="Times New Roman" w:eastAsia="Times New Roman" w:hAnsi="Times New Roman" w:cs="Times New Roman"/>
                <w:sz w:val="16"/>
                <w:szCs w:val="16"/>
              </w:rPr>
              <w:t>717</w:t>
            </w:r>
          </w:p>
        </w:tc>
      </w:tr>
    </w:tbl>
    <w:p w:rsidR="00CC3111" w:rsidRDefault="00CC3111" w:rsidP="009E2C73">
      <w:pPr>
        <w:rPr>
          <w:rFonts w:ascii="Times New Roman" w:hAnsi="Times New Roman" w:cs="Times New Roman"/>
          <w:sz w:val="24"/>
          <w:szCs w:val="24"/>
        </w:rPr>
        <w:sectPr w:rsidR="00CC3111" w:rsidSect="00293B02">
          <w:pgSz w:w="15840" w:h="12240" w:orient="landscape"/>
          <w:pgMar w:top="720" w:right="720" w:bottom="720" w:left="720" w:header="708" w:footer="708" w:gutter="0"/>
          <w:cols w:space="708"/>
          <w:docGrid w:linePitch="360"/>
        </w:sectPr>
      </w:pPr>
    </w:p>
    <w:p w:rsidR="00ED28B4" w:rsidRPr="00912C52" w:rsidRDefault="000B4B53" w:rsidP="00B903C9">
      <w:pPr>
        <w:jc w:val="center"/>
        <w:rPr>
          <w:rFonts w:ascii="Times New Roman" w:hAnsi="Times New Roman" w:cs="Times New Roman"/>
          <w:b/>
          <w:sz w:val="24"/>
          <w:szCs w:val="24"/>
        </w:rPr>
      </w:pPr>
      <w:r w:rsidRPr="00912C52">
        <w:rPr>
          <w:rFonts w:ascii="Times New Roman" w:hAnsi="Times New Roman" w:cs="Times New Roman"/>
          <w:b/>
          <w:sz w:val="24"/>
          <w:szCs w:val="24"/>
        </w:rPr>
        <w:lastRenderedPageBreak/>
        <w:t>Слика 1</w:t>
      </w:r>
    </w:p>
    <w:bookmarkStart w:id="1" w:name="_MON_1455200076"/>
    <w:bookmarkEnd w:id="1"/>
    <w:p w:rsidR="00C06C5A" w:rsidRPr="009B3038" w:rsidRDefault="000145AE" w:rsidP="009B3038">
      <w:pPr>
        <w:jc w:val="center"/>
        <w:rPr>
          <w:rFonts w:ascii="Times New Roman" w:hAnsi="Times New Roman" w:cs="Times New Roman"/>
          <w:b/>
          <w:color w:val="FF0000"/>
          <w:sz w:val="24"/>
          <w:szCs w:val="24"/>
          <w:lang w:val="sr-Cyrl-RS"/>
        </w:rPr>
      </w:pPr>
      <w:r w:rsidRPr="00136E6C">
        <w:rPr>
          <w:rFonts w:ascii="Times New Roman" w:hAnsi="Times New Roman" w:cs="Times New Roman"/>
          <w:b/>
          <w:color w:val="FF0000"/>
          <w:sz w:val="24"/>
          <w:szCs w:val="24"/>
        </w:rPr>
        <w:object w:dxaOrig="7039" w:dyaOrig="57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1.75pt;height:273.75pt" o:ole="">
            <v:imagedata r:id="rId13" o:title=""/>
          </v:shape>
          <o:OLEObject Type="Embed" ProgID="Excel.Sheet.12" ShapeID="_x0000_i1025" DrawAspect="Content" ObjectID="_1456551359" r:id="rId14"/>
        </w:object>
      </w:r>
    </w:p>
    <w:p w:rsidR="005C09B9" w:rsidRPr="009B3038" w:rsidRDefault="005C09B9" w:rsidP="00FE7102">
      <w:pPr>
        <w:jc w:val="both"/>
        <w:rPr>
          <w:rFonts w:ascii="Times New Roman" w:hAnsi="Times New Roman" w:cs="Times New Roman"/>
          <w:sz w:val="24"/>
          <w:szCs w:val="24"/>
          <w:lang w:val="sr-Cyrl-RS"/>
        </w:rPr>
      </w:pPr>
      <w:r>
        <w:rPr>
          <w:rFonts w:ascii="Times New Roman" w:hAnsi="Times New Roman" w:cs="Times New Roman"/>
          <w:sz w:val="24"/>
          <w:szCs w:val="24"/>
        </w:rPr>
        <w:t>Подаци из Табеле 1 такође показују да се просечна вредност уговора смањила у четвртом кварталу у односу на трећи и да је на нивоу који је био 2011. године.</w:t>
      </w:r>
      <w:r w:rsidR="009B3038">
        <w:rPr>
          <w:rFonts w:ascii="Times New Roman" w:hAnsi="Times New Roman" w:cs="Times New Roman"/>
          <w:sz w:val="24"/>
          <w:szCs w:val="24"/>
        </w:rPr>
        <w:t xml:space="preserve">  </w:t>
      </w:r>
    </w:p>
    <w:p w:rsidR="005C09B9" w:rsidRPr="005C09B9" w:rsidRDefault="005C09B9" w:rsidP="00FE7102">
      <w:pPr>
        <w:jc w:val="both"/>
        <w:rPr>
          <w:rFonts w:ascii="Times New Roman" w:hAnsi="Times New Roman" w:cs="Times New Roman"/>
          <w:sz w:val="24"/>
          <w:szCs w:val="24"/>
        </w:rPr>
      </w:pPr>
      <w:r>
        <w:rPr>
          <w:rFonts w:ascii="Times New Roman" w:hAnsi="Times New Roman" w:cs="Times New Roman"/>
          <w:sz w:val="24"/>
          <w:szCs w:val="24"/>
        </w:rPr>
        <w:t xml:space="preserve">У четвртом кварталу 2013. године потрошено је 16,5 милијарди динара </w:t>
      </w:r>
      <w:r w:rsidR="00F42775">
        <w:rPr>
          <w:rFonts w:ascii="Times New Roman" w:hAnsi="Times New Roman" w:cs="Times New Roman"/>
          <w:sz w:val="24"/>
          <w:szCs w:val="24"/>
        </w:rPr>
        <w:t xml:space="preserve">или око 143 милиона евра </w:t>
      </w:r>
      <w:r>
        <w:rPr>
          <w:rFonts w:ascii="Times New Roman" w:hAnsi="Times New Roman" w:cs="Times New Roman"/>
          <w:sz w:val="24"/>
          <w:szCs w:val="24"/>
        </w:rPr>
        <w:t xml:space="preserve">мање него у истом периоду 2012. године (Слика 2).   </w:t>
      </w:r>
    </w:p>
    <w:p w:rsidR="00605717" w:rsidRPr="009B3038" w:rsidRDefault="00B27120" w:rsidP="005C09B9">
      <w:pPr>
        <w:jc w:val="center"/>
        <w:rPr>
          <w:rFonts w:ascii="Times New Roman" w:hAnsi="Times New Roman" w:cs="Times New Roman"/>
          <w:b/>
          <w:sz w:val="24"/>
          <w:szCs w:val="24"/>
        </w:rPr>
      </w:pPr>
      <w:r w:rsidRPr="009B3038">
        <w:rPr>
          <w:rFonts w:ascii="Times New Roman" w:hAnsi="Times New Roman" w:cs="Times New Roman"/>
          <w:b/>
          <w:sz w:val="24"/>
          <w:szCs w:val="24"/>
        </w:rPr>
        <w:t>Слика 2</w:t>
      </w:r>
    </w:p>
    <w:p w:rsidR="005C09B9" w:rsidRDefault="000145AE" w:rsidP="00395D3C">
      <w:pPr>
        <w:jc w:val="center"/>
      </w:pPr>
      <w:r>
        <w:object w:dxaOrig="7202" w:dyaOrig="5530">
          <v:shape id="_x0000_i1026" type="#_x0000_t75" style="width:5in;height:259.5pt" o:ole="">
            <v:imagedata r:id="rId15" o:title=""/>
          </v:shape>
          <o:OLEObject Type="Embed" ProgID="Excel.Sheet.12" ShapeID="_x0000_i1026" DrawAspect="Content" ObjectID="_1456551360" r:id="rId16"/>
        </w:object>
      </w:r>
    </w:p>
    <w:p w:rsidR="005C09B9" w:rsidRDefault="005C09B9" w:rsidP="00C0583A">
      <w:pPr>
        <w:jc w:val="both"/>
        <w:rPr>
          <w:rFonts w:ascii="Times New Roman" w:hAnsi="Times New Roman" w:cs="Times New Roman"/>
          <w:color w:val="FF0000"/>
          <w:sz w:val="24"/>
          <w:szCs w:val="24"/>
        </w:rPr>
      </w:pPr>
    </w:p>
    <w:p w:rsidR="00605717" w:rsidRPr="00605717" w:rsidRDefault="00605717" w:rsidP="00605717">
      <w:pPr>
        <w:jc w:val="both"/>
        <w:rPr>
          <w:rFonts w:ascii="Times New Roman" w:hAnsi="Times New Roman" w:cs="Times New Roman"/>
          <w:color w:val="FF0000"/>
          <w:sz w:val="24"/>
          <w:szCs w:val="24"/>
        </w:rPr>
      </w:pPr>
      <w:r>
        <w:rPr>
          <w:rFonts w:ascii="Times New Roman" w:hAnsi="Times New Roman" w:cs="Times New Roman"/>
          <w:sz w:val="24"/>
          <w:szCs w:val="24"/>
        </w:rPr>
        <w:t>Следећи значајан показатељ јесте учешће набавки мале вредности у укупној вредности јавних набавки (Слика 3). У трећем кварталу значајно</w:t>
      </w:r>
      <w:r w:rsidR="00AA0304">
        <w:rPr>
          <w:rFonts w:ascii="Times New Roman" w:hAnsi="Times New Roman" w:cs="Times New Roman"/>
          <w:sz w:val="24"/>
          <w:szCs w:val="24"/>
        </w:rPr>
        <w:t xml:space="preserve"> се смањио </w:t>
      </w:r>
      <w:r>
        <w:rPr>
          <w:rFonts w:ascii="Times New Roman" w:hAnsi="Times New Roman" w:cs="Times New Roman"/>
          <w:sz w:val="24"/>
          <w:szCs w:val="24"/>
        </w:rPr>
        <w:t>уде</w:t>
      </w:r>
      <w:r w:rsidR="00AA0304">
        <w:rPr>
          <w:rFonts w:ascii="Times New Roman" w:hAnsi="Times New Roman" w:cs="Times New Roman"/>
          <w:sz w:val="24"/>
          <w:szCs w:val="24"/>
        </w:rPr>
        <w:t>о</w:t>
      </w:r>
      <w:r>
        <w:rPr>
          <w:rFonts w:ascii="Times New Roman" w:hAnsi="Times New Roman" w:cs="Times New Roman"/>
          <w:sz w:val="24"/>
          <w:szCs w:val="24"/>
        </w:rPr>
        <w:t xml:space="preserve"> малих набавки у укупној вредности набавки као последица обавезног објављивања набавки мале вредности на Порталу. Стога је </w:t>
      </w:r>
      <w:r w:rsidR="00AA0304">
        <w:rPr>
          <w:rFonts w:ascii="Times New Roman" w:hAnsi="Times New Roman" w:cs="Times New Roman"/>
          <w:sz w:val="24"/>
          <w:szCs w:val="24"/>
        </w:rPr>
        <w:t xml:space="preserve">важно </w:t>
      </w:r>
      <w:r>
        <w:rPr>
          <w:rFonts w:ascii="Times New Roman" w:hAnsi="Times New Roman" w:cs="Times New Roman"/>
          <w:sz w:val="24"/>
          <w:szCs w:val="24"/>
        </w:rPr>
        <w:t xml:space="preserve">сагледати да ли је и у четвртом кварталу удео набавки мале вредности остао на нижем нивоу него у претходним годинама; у супротном би се њихов пад у трећем кварталу морао приписати неком другом фактору, а не повећању транспарентности ове категорије набавки.         </w:t>
      </w:r>
    </w:p>
    <w:p w:rsidR="00C0583A" w:rsidRDefault="00C0583A" w:rsidP="00C0583A">
      <w:pPr>
        <w:jc w:val="both"/>
        <w:rPr>
          <w:rFonts w:ascii="Times New Roman" w:hAnsi="Times New Roman" w:cs="Times New Roman"/>
          <w:sz w:val="24"/>
          <w:szCs w:val="24"/>
        </w:rPr>
      </w:pPr>
      <w:r>
        <w:rPr>
          <w:rFonts w:ascii="Times New Roman" w:hAnsi="Times New Roman" w:cs="Times New Roman"/>
          <w:sz w:val="24"/>
          <w:szCs w:val="24"/>
        </w:rPr>
        <w:t xml:space="preserve">Подаци представљени на Слици </w:t>
      </w:r>
      <w:r w:rsidR="00605717">
        <w:rPr>
          <w:rFonts w:ascii="Times New Roman" w:hAnsi="Times New Roman" w:cs="Times New Roman"/>
          <w:sz w:val="24"/>
          <w:szCs w:val="24"/>
        </w:rPr>
        <w:t>3</w:t>
      </w:r>
      <w:r>
        <w:rPr>
          <w:rFonts w:ascii="Times New Roman" w:hAnsi="Times New Roman" w:cs="Times New Roman"/>
          <w:sz w:val="24"/>
          <w:szCs w:val="24"/>
        </w:rPr>
        <w:t xml:space="preserve"> показују да је учешће набавки мале вредности у укупним јавним набавкама, у </w:t>
      </w:r>
      <w:r w:rsidR="00997EDF">
        <w:rPr>
          <w:rFonts w:ascii="Times New Roman" w:hAnsi="Times New Roman" w:cs="Times New Roman"/>
          <w:sz w:val="24"/>
          <w:szCs w:val="24"/>
        </w:rPr>
        <w:t xml:space="preserve">четвртом </w:t>
      </w:r>
      <w:r>
        <w:rPr>
          <w:rFonts w:ascii="Times New Roman" w:hAnsi="Times New Roman" w:cs="Times New Roman"/>
          <w:sz w:val="24"/>
          <w:szCs w:val="24"/>
        </w:rPr>
        <w:t xml:space="preserve">кварталу 2013. </w:t>
      </w:r>
      <w:r w:rsidR="00997EDF">
        <w:rPr>
          <w:rFonts w:ascii="Times New Roman" w:hAnsi="Times New Roman" w:cs="Times New Roman"/>
          <w:sz w:val="24"/>
          <w:szCs w:val="24"/>
        </w:rPr>
        <w:t>г</w:t>
      </w:r>
      <w:r>
        <w:rPr>
          <w:rFonts w:ascii="Times New Roman" w:hAnsi="Times New Roman" w:cs="Times New Roman"/>
          <w:sz w:val="24"/>
          <w:szCs w:val="24"/>
        </w:rPr>
        <w:t>одине</w:t>
      </w:r>
      <w:r w:rsidR="00997EDF">
        <w:rPr>
          <w:rFonts w:ascii="Times New Roman" w:hAnsi="Times New Roman" w:cs="Times New Roman"/>
          <w:sz w:val="24"/>
          <w:szCs w:val="24"/>
        </w:rPr>
        <w:t>, било на нижем нивоу (9%) него што је било у истом периоду годину дана раније (13</w:t>
      </w:r>
      <w:r>
        <w:rPr>
          <w:rFonts w:ascii="Times New Roman" w:hAnsi="Times New Roman" w:cs="Times New Roman"/>
          <w:sz w:val="24"/>
          <w:szCs w:val="24"/>
        </w:rPr>
        <w:t>%</w:t>
      </w:r>
      <w:r w:rsidR="00997EDF">
        <w:rPr>
          <w:rFonts w:ascii="Times New Roman" w:hAnsi="Times New Roman" w:cs="Times New Roman"/>
          <w:sz w:val="24"/>
          <w:szCs w:val="24"/>
        </w:rPr>
        <w:t xml:space="preserve">). </w:t>
      </w:r>
    </w:p>
    <w:p w:rsidR="00C06C5A" w:rsidRDefault="000B4B53" w:rsidP="009B3038">
      <w:pPr>
        <w:jc w:val="center"/>
        <w:rPr>
          <w:rFonts w:ascii="Times New Roman" w:hAnsi="Times New Roman" w:cs="Times New Roman"/>
          <w:sz w:val="24"/>
          <w:szCs w:val="24"/>
        </w:rPr>
      </w:pPr>
      <w:r w:rsidRPr="009B3038">
        <w:rPr>
          <w:rFonts w:ascii="Times New Roman" w:hAnsi="Times New Roman" w:cs="Times New Roman"/>
          <w:b/>
          <w:sz w:val="24"/>
          <w:szCs w:val="24"/>
        </w:rPr>
        <w:t xml:space="preserve">Слика </w:t>
      </w:r>
      <w:r w:rsidR="00997EDF" w:rsidRPr="009B3038">
        <w:rPr>
          <w:rFonts w:ascii="Times New Roman" w:hAnsi="Times New Roman" w:cs="Times New Roman"/>
          <w:b/>
          <w:sz w:val="24"/>
          <w:szCs w:val="24"/>
        </w:rPr>
        <w:t>3</w:t>
      </w:r>
      <w:r w:rsidR="00CC3111" w:rsidRPr="009B3038">
        <w:rPr>
          <w:rFonts w:ascii="Times New Roman" w:hAnsi="Times New Roman" w:cs="Times New Roman"/>
          <w:b/>
          <w:sz w:val="24"/>
          <w:szCs w:val="24"/>
        </w:rPr>
        <w:br/>
      </w:r>
      <w:r w:rsidR="00FE7102" w:rsidRPr="00561134">
        <w:rPr>
          <w:rFonts w:ascii="Times New Roman" w:hAnsi="Times New Roman" w:cs="Times New Roman"/>
          <w:sz w:val="24"/>
          <w:szCs w:val="24"/>
        </w:rPr>
        <w:object w:dxaOrig="7719" w:dyaOrig="5025">
          <v:shape id="_x0000_i1027" type="#_x0000_t75" style="width:386.25pt;height:251.25pt" o:ole="">
            <v:imagedata r:id="rId17" o:title=""/>
          </v:shape>
          <o:OLEObject Type="Embed" ProgID="Excel.Sheet.12" ShapeID="_x0000_i1027" DrawAspect="Content" ObjectID="_1456551361" r:id="rId18"/>
        </w:object>
      </w:r>
    </w:p>
    <w:p w:rsidR="009C34BC" w:rsidRDefault="009A5241" w:rsidP="00912C52">
      <w:pPr>
        <w:jc w:val="both"/>
        <w:rPr>
          <w:rFonts w:ascii="Times New Roman" w:hAnsi="Times New Roman" w:cs="Times New Roman"/>
          <w:sz w:val="24"/>
          <w:szCs w:val="24"/>
        </w:rPr>
      </w:pPr>
      <w:r>
        <w:rPr>
          <w:rFonts w:ascii="Times New Roman" w:hAnsi="Times New Roman" w:cs="Times New Roman"/>
          <w:sz w:val="24"/>
          <w:szCs w:val="24"/>
        </w:rPr>
        <w:t xml:space="preserve">Када се упореди учешће малих набавки у укупној вредности набавки у </w:t>
      </w:r>
      <w:r w:rsidR="009D7B2C">
        <w:rPr>
          <w:rFonts w:ascii="Times New Roman" w:hAnsi="Times New Roman" w:cs="Times New Roman"/>
          <w:sz w:val="24"/>
          <w:szCs w:val="24"/>
        </w:rPr>
        <w:t xml:space="preserve">трећем и </w:t>
      </w:r>
      <w:r>
        <w:rPr>
          <w:rFonts w:ascii="Times New Roman" w:hAnsi="Times New Roman" w:cs="Times New Roman"/>
          <w:sz w:val="24"/>
          <w:szCs w:val="24"/>
        </w:rPr>
        <w:t xml:space="preserve">четвртом кварталу 2013. године са уделом који су имале током претходних </w:t>
      </w:r>
      <w:r w:rsidR="00766964">
        <w:rPr>
          <w:rFonts w:ascii="Times New Roman" w:hAnsi="Times New Roman" w:cs="Times New Roman"/>
          <w:sz w:val="24"/>
          <w:szCs w:val="24"/>
        </w:rPr>
        <w:t xml:space="preserve">десет </w:t>
      </w:r>
      <w:r w:rsidR="009D7B2C">
        <w:rPr>
          <w:rFonts w:ascii="Times New Roman" w:hAnsi="Times New Roman" w:cs="Times New Roman"/>
          <w:sz w:val="24"/>
          <w:szCs w:val="24"/>
        </w:rPr>
        <w:t xml:space="preserve">година (Слика </w:t>
      </w:r>
      <w:r w:rsidR="00B07DE5">
        <w:rPr>
          <w:rFonts w:ascii="Times New Roman" w:hAnsi="Times New Roman" w:cs="Times New Roman"/>
          <w:sz w:val="24"/>
          <w:szCs w:val="24"/>
        </w:rPr>
        <w:t>4</w:t>
      </w:r>
      <w:r w:rsidR="009D7B2C">
        <w:rPr>
          <w:rFonts w:ascii="Times New Roman" w:hAnsi="Times New Roman" w:cs="Times New Roman"/>
          <w:sz w:val="24"/>
          <w:szCs w:val="24"/>
        </w:rPr>
        <w:t>) може се закључити да је нови ЗЈН, уводећи транспарентност у набавке мале вредности, значајно смањио њихову „атрактивност“ за наручиоце. Другим речима, то показује да су набавке мале вредности</w:t>
      </w:r>
      <w:r w:rsidR="00CC7909">
        <w:rPr>
          <w:rFonts w:ascii="Times New Roman" w:hAnsi="Times New Roman" w:cs="Times New Roman"/>
          <w:sz w:val="24"/>
          <w:szCs w:val="24"/>
        </w:rPr>
        <w:t>, у претходном периоду,</w:t>
      </w:r>
      <w:r w:rsidR="009D7B2C">
        <w:rPr>
          <w:rFonts w:ascii="Times New Roman" w:hAnsi="Times New Roman" w:cs="Times New Roman"/>
          <w:sz w:val="24"/>
          <w:szCs w:val="24"/>
        </w:rPr>
        <w:t xml:space="preserve"> коришћене једним делом </w:t>
      </w:r>
      <w:r w:rsidR="00CC7909">
        <w:rPr>
          <w:rFonts w:ascii="Times New Roman" w:hAnsi="Times New Roman" w:cs="Times New Roman"/>
          <w:sz w:val="24"/>
          <w:szCs w:val="24"/>
        </w:rPr>
        <w:t xml:space="preserve">и </w:t>
      </w:r>
      <w:r w:rsidR="009D7B2C">
        <w:rPr>
          <w:rFonts w:ascii="Times New Roman" w:hAnsi="Times New Roman" w:cs="Times New Roman"/>
          <w:sz w:val="24"/>
          <w:szCs w:val="24"/>
        </w:rPr>
        <w:t xml:space="preserve">због тога </w:t>
      </w:r>
      <w:r w:rsidR="00CC7909">
        <w:rPr>
          <w:rFonts w:ascii="Times New Roman" w:hAnsi="Times New Roman" w:cs="Times New Roman"/>
          <w:sz w:val="24"/>
          <w:szCs w:val="24"/>
        </w:rPr>
        <w:t xml:space="preserve">да би се избегло </w:t>
      </w:r>
      <w:r w:rsidR="009D7B2C">
        <w:rPr>
          <w:rFonts w:ascii="Times New Roman" w:hAnsi="Times New Roman" w:cs="Times New Roman"/>
          <w:sz w:val="24"/>
          <w:szCs w:val="24"/>
        </w:rPr>
        <w:t xml:space="preserve">објављивање из чега произлази да је поменута законска одредба о обавезности објављивања имала значајне </w:t>
      </w:r>
      <w:r w:rsidR="009C34BC">
        <w:rPr>
          <w:rFonts w:ascii="Times New Roman" w:hAnsi="Times New Roman" w:cs="Times New Roman"/>
          <w:sz w:val="24"/>
          <w:szCs w:val="24"/>
        </w:rPr>
        <w:t xml:space="preserve">ефекте на </w:t>
      </w:r>
      <w:r w:rsidR="00294262">
        <w:rPr>
          <w:rFonts w:ascii="Times New Roman" w:hAnsi="Times New Roman" w:cs="Times New Roman"/>
          <w:sz w:val="24"/>
          <w:szCs w:val="24"/>
        </w:rPr>
        <w:t xml:space="preserve">повећање транспарентности и </w:t>
      </w:r>
      <w:r w:rsidR="009C34BC">
        <w:rPr>
          <w:rFonts w:ascii="Times New Roman" w:hAnsi="Times New Roman" w:cs="Times New Roman"/>
          <w:sz w:val="24"/>
          <w:szCs w:val="24"/>
        </w:rPr>
        <w:t>смањивање</w:t>
      </w:r>
      <w:r w:rsidR="00766964">
        <w:rPr>
          <w:rFonts w:ascii="Times New Roman" w:hAnsi="Times New Roman" w:cs="Times New Roman"/>
          <w:sz w:val="24"/>
          <w:szCs w:val="24"/>
        </w:rPr>
        <w:t xml:space="preserve"> </w:t>
      </w:r>
      <w:r w:rsidR="009C34BC">
        <w:rPr>
          <w:rFonts w:ascii="Times New Roman" w:hAnsi="Times New Roman" w:cs="Times New Roman"/>
          <w:sz w:val="24"/>
          <w:szCs w:val="24"/>
        </w:rPr>
        <w:t xml:space="preserve">могућности </w:t>
      </w:r>
      <w:r w:rsidR="00CC7909">
        <w:rPr>
          <w:rFonts w:ascii="Times New Roman" w:hAnsi="Times New Roman" w:cs="Times New Roman"/>
          <w:sz w:val="24"/>
          <w:szCs w:val="24"/>
        </w:rPr>
        <w:t>за</w:t>
      </w:r>
      <w:r w:rsidR="009C34BC">
        <w:rPr>
          <w:rFonts w:ascii="Times New Roman" w:hAnsi="Times New Roman" w:cs="Times New Roman"/>
          <w:sz w:val="24"/>
          <w:szCs w:val="24"/>
        </w:rPr>
        <w:t xml:space="preserve"> корупциј</w:t>
      </w:r>
      <w:r w:rsidR="00CC7909">
        <w:rPr>
          <w:rFonts w:ascii="Times New Roman" w:hAnsi="Times New Roman" w:cs="Times New Roman"/>
          <w:sz w:val="24"/>
          <w:szCs w:val="24"/>
        </w:rPr>
        <w:t>у</w:t>
      </w:r>
      <w:r w:rsidR="009C34BC">
        <w:rPr>
          <w:rFonts w:ascii="Times New Roman" w:hAnsi="Times New Roman" w:cs="Times New Roman"/>
          <w:sz w:val="24"/>
          <w:szCs w:val="24"/>
        </w:rPr>
        <w:t xml:space="preserve">. </w:t>
      </w:r>
    </w:p>
    <w:p w:rsidR="009B3038" w:rsidRDefault="009B3038" w:rsidP="00B93598">
      <w:pPr>
        <w:rPr>
          <w:rFonts w:ascii="Times New Roman" w:hAnsi="Times New Roman" w:cs="Times New Roman"/>
          <w:b/>
          <w:color w:val="FF0000"/>
          <w:sz w:val="24"/>
          <w:szCs w:val="24"/>
          <w:lang w:val="sr-Cyrl-RS"/>
        </w:rPr>
      </w:pPr>
    </w:p>
    <w:p w:rsidR="009B3038" w:rsidRDefault="009B3038" w:rsidP="00B93598">
      <w:pPr>
        <w:rPr>
          <w:rFonts w:ascii="Times New Roman" w:hAnsi="Times New Roman" w:cs="Times New Roman"/>
          <w:b/>
          <w:color w:val="FF0000"/>
          <w:sz w:val="24"/>
          <w:szCs w:val="24"/>
          <w:lang w:val="sr-Cyrl-RS"/>
        </w:rPr>
      </w:pPr>
    </w:p>
    <w:p w:rsidR="009B3038" w:rsidRDefault="009B3038" w:rsidP="00B93598">
      <w:pPr>
        <w:rPr>
          <w:rFonts w:ascii="Times New Roman" w:hAnsi="Times New Roman" w:cs="Times New Roman"/>
          <w:b/>
          <w:color w:val="FF0000"/>
          <w:sz w:val="24"/>
          <w:szCs w:val="24"/>
          <w:lang w:val="sr-Cyrl-RS"/>
        </w:rPr>
      </w:pPr>
    </w:p>
    <w:p w:rsidR="009B3038" w:rsidRDefault="009B3038" w:rsidP="00B93598">
      <w:pPr>
        <w:rPr>
          <w:rFonts w:ascii="Times New Roman" w:hAnsi="Times New Roman" w:cs="Times New Roman"/>
          <w:b/>
          <w:color w:val="FF0000"/>
          <w:sz w:val="24"/>
          <w:szCs w:val="24"/>
          <w:lang w:val="sr-Cyrl-RS"/>
        </w:rPr>
      </w:pPr>
    </w:p>
    <w:p w:rsidR="00E03C8D" w:rsidRDefault="00E03C8D" w:rsidP="00FE7102">
      <w:pPr>
        <w:jc w:val="center"/>
        <w:rPr>
          <w:rFonts w:ascii="Times New Roman" w:hAnsi="Times New Roman" w:cs="Times New Roman"/>
          <w:b/>
          <w:sz w:val="24"/>
          <w:szCs w:val="24"/>
          <w:lang w:val="sr-Cyrl-RS"/>
        </w:rPr>
      </w:pPr>
    </w:p>
    <w:p w:rsidR="00D935BD" w:rsidRPr="00FE7102" w:rsidRDefault="00B07DE5" w:rsidP="00FE7102">
      <w:pPr>
        <w:jc w:val="center"/>
        <w:rPr>
          <w:rFonts w:ascii="Times New Roman" w:hAnsi="Times New Roman" w:cs="Times New Roman"/>
          <w:b/>
          <w:sz w:val="24"/>
          <w:szCs w:val="24"/>
        </w:rPr>
      </w:pPr>
      <w:r w:rsidRPr="00FE7102">
        <w:rPr>
          <w:rFonts w:ascii="Times New Roman" w:hAnsi="Times New Roman" w:cs="Times New Roman"/>
          <w:b/>
          <w:sz w:val="24"/>
          <w:szCs w:val="24"/>
        </w:rPr>
        <w:t>Слика 4</w:t>
      </w:r>
    </w:p>
    <w:p w:rsidR="00D11CF7" w:rsidRPr="009B3038" w:rsidRDefault="00CC3111" w:rsidP="009B3038">
      <w:pPr>
        <w:jc w:val="center"/>
        <w:rPr>
          <w:rFonts w:ascii="Times New Roman" w:hAnsi="Times New Roman" w:cs="Times New Roman"/>
          <w:b/>
          <w:color w:val="FF0000"/>
          <w:sz w:val="24"/>
          <w:szCs w:val="24"/>
          <w:lang w:val="sr-Cyrl-RS"/>
        </w:rPr>
      </w:pPr>
      <w:r w:rsidRPr="00561134">
        <w:rPr>
          <w:rFonts w:ascii="Times New Roman" w:hAnsi="Times New Roman" w:cs="Times New Roman"/>
          <w:b/>
          <w:color w:val="FF0000"/>
          <w:sz w:val="24"/>
          <w:szCs w:val="24"/>
        </w:rPr>
        <w:object w:dxaOrig="7706" w:dyaOrig="5907">
          <v:shape id="_x0000_i1028" type="#_x0000_t75" style="width:352.5pt;height:251.25pt;mso-position-horizontal:absolute" o:ole="">
            <v:imagedata r:id="rId19" o:title=""/>
          </v:shape>
          <o:OLEObject Type="Embed" ProgID="Excel.Sheet.12" ShapeID="_x0000_i1028" DrawAspect="Content" ObjectID="_1456551362" r:id="rId20"/>
        </w:object>
      </w:r>
    </w:p>
    <w:p w:rsidR="009B3038" w:rsidRPr="009B3038" w:rsidRDefault="00904A10" w:rsidP="009B3038">
      <w:pPr>
        <w:jc w:val="both"/>
        <w:rPr>
          <w:rFonts w:ascii="Times New Roman" w:hAnsi="Times New Roman" w:cs="Times New Roman"/>
          <w:sz w:val="24"/>
          <w:szCs w:val="24"/>
          <w:lang w:val="sr-Cyrl-RS"/>
        </w:rPr>
      </w:pPr>
      <w:r w:rsidRPr="006B0D56">
        <w:rPr>
          <w:rFonts w:ascii="Times New Roman" w:hAnsi="Times New Roman" w:cs="Times New Roman"/>
          <w:sz w:val="24"/>
          <w:szCs w:val="24"/>
        </w:rPr>
        <w:t xml:space="preserve">Структура јавних набавки, посматрано по категоријама наручилаца, променила се у </w:t>
      </w:r>
      <w:r w:rsidR="00294262">
        <w:rPr>
          <w:rFonts w:ascii="Times New Roman" w:hAnsi="Times New Roman" w:cs="Times New Roman"/>
          <w:sz w:val="24"/>
          <w:szCs w:val="24"/>
        </w:rPr>
        <w:t>четвртом</w:t>
      </w:r>
      <w:r w:rsidRPr="006B0D56">
        <w:rPr>
          <w:rFonts w:ascii="Times New Roman" w:hAnsi="Times New Roman" w:cs="Times New Roman"/>
          <w:sz w:val="24"/>
          <w:szCs w:val="24"/>
        </w:rPr>
        <w:t xml:space="preserve"> кварталу 2013. године у односу на 2012. годину (Табела </w:t>
      </w:r>
      <w:r w:rsidR="00B96B3D" w:rsidRPr="006B0D56">
        <w:rPr>
          <w:rFonts w:ascii="Times New Roman" w:hAnsi="Times New Roman" w:cs="Times New Roman"/>
          <w:sz w:val="24"/>
          <w:szCs w:val="24"/>
        </w:rPr>
        <w:t>2)</w:t>
      </w:r>
      <w:r w:rsidRPr="006B0D56">
        <w:rPr>
          <w:rFonts w:ascii="Times New Roman" w:hAnsi="Times New Roman" w:cs="Times New Roman"/>
          <w:sz w:val="24"/>
          <w:szCs w:val="24"/>
        </w:rPr>
        <w:t xml:space="preserve">. </w:t>
      </w:r>
      <w:r w:rsidR="00010632" w:rsidRPr="006B0D56">
        <w:rPr>
          <w:rFonts w:ascii="Times New Roman" w:hAnsi="Times New Roman" w:cs="Times New Roman"/>
          <w:sz w:val="24"/>
          <w:szCs w:val="24"/>
        </w:rPr>
        <w:t xml:space="preserve">Највеће промене одиграле су се код две категорије наручилаца: </w:t>
      </w:r>
      <w:r w:rsidR="0095389B" w:rsidRPr="006B0D56">
        <w:rPr>
          <w:rFonts w:ascii="Times New Roman" w:hAnsi="Times New Roman" w:cs="Times New Roman"/>
          <w:sz w:val="24"/>
          <w:szCs w:val="24"/>
        </w:rPr>
        <w:t xml:space="preserve">јавних предузећа и </w:t>
      </w:r>
      <w:r w:rsidR="00010632" w:rsidRPr="006B0D56">
        <w:rPr>
          <w:rFonts w:ascii="Times New Roman" w:hAnsi="Times New Roman" w:cs="Times New Roman"/>
          <w:sz w:val="24"/>
          <w:szCs w:val="24"/>
        </w:rPr>
        <w:t xml:space="preserve">здравства. </w:t>
      </w:r>
      <w:r w:rsidRPr="006B0D56">
        <w:rPr>
          <w:rFonts w:ascii="Times New Roman" w:hAnsi="Times New Roman" w:cs="Times New Roman"/>
          <w:sz w:val="24"/>
          <w:szCs w:val="24"/>
        </w:rPr>
        <w:t>У</w:t>
      </w:r>
      <w:r w:rsidR="00D935BD" w:rsidRPr="006B0D56">
        <w:rPr>
          <w:rFonts w:ascii="Times New Roman" w:hAnsi="Times New Roman" w:cs="Times New Roman"/>
          <w:sz w:val="24"/>
          <w:szCs w:val="24"/>
        </w:rPr>
        <w:t>ч</w:t>
      </w:r>
      <w:r w:rsidRPr="006B0D56">
        <w:rPr>
          <w:rFonts w:ascii="Times New Roman" w:hAnsi="Times New Roman" w:cs="Times New Roman"/>
          <w:sz w:val="24"/>
          <w:szCs w:val="24"/>
        </w:rPr>
        <w:t xml:space="preserve">ешће </w:t>
      </w:r>
      <w:r w:rsidR="00010632" w:rsidRPr="006B0D56">
        <w:rPr>
          <w:rFonts w:ascii="Times New Roman" w:hAnsi="Times New Roman" w:cs="Times New Roman"/>
          <w:sz w:val="24"/>
          <w:szCs w:val="24"/>
        </w:rPr>
        <w:t>здравства у јавним набавкама повећало се са 14 на 24%, а на рачун смањења учешћа јавних предузећа са 46 на 32%. Кључни</w:t>
      </w:r>
      <w:r w:rsidR="00986835" w:rsidRPr="006B0D56">
        <w:rPr>
          <w:rFonts w:ascii="Times New Roman" w:hAnsi="Times New Roman" w:cs="Times New Roman"/>
          <w:sz w:val="24"/>
          <w:szCs w:val="24"/>
        </w:rPr>
        <w:t xml:space="preserve"> фактор зашто се </w:t>
      </w:r>
      <w:r w:rsidR="009B2CB0" w:rsidRPr="006B0D56">
        <w:rPr>
          <w:rFonts w:ascii="Times New Roman" w:hAnsi="Times New Roman" w:cs="Times New Roman"/>
          <w:sz w:val="24"/>
          <w:szCs w:val="24"/>
        </w:rPr>
        <w:t>повећала вредност закључених уговора у категорији здравства јесте што су апотеке и нек</w:t>
      </w:r>
      <w:r w:rsidR="00010632" w:rsidRPr="006B0D56">
        <w:rPr>
          <w:rFonts w:ascii="Times New Roman" w:hAnsi="Times New Roman" w:cs="Times New Roman"/>
          <w:sz w:val="24"/>
          <w:szCs w:val="24"/>
        </w:rPr>
        <w:t>е здравствене установе</w:t>
      </w:r>
      <w:r w:rsidR="007A5119">
        <w:rPr>
          <w:rFonts w:ascii="Times New Roman" w:hAnsi="Times New Roman" w:cs="Times New Roman"/>
          <w:sz w:val="24"/>
          <w:szCs w:val="24"/>
        </w:rPr>
        <w:t>,</w:t>
      </w:r>
      <w:r w:rsidR="00010632" w:rsidRPr="006B0D56">
        <w:rPr>
          <w:rFonts w:ascii="Times New Roman" w:hAnsi="Times New Roman" w:cs="Times New Roman"/>
          <w:sz w:val="24"/>
          <w:szCs w:val="24"/>
        </w:rPr>
        <w:t xml:space="preserve"> тек </w:t>
      </w:r>
      <w:r w:rsidR="0095389B">
        <w:rPr>
          <w:rFonts w:ascii="Times New Roman" w:hAnsi="Times New Roman" w:cs="Times New Roman"/>
          <w:sz w:val="24"/>
          <w:szCs w:val="24"/>
        </w:rPr>
        <w:t xml:space="preserve">од априла </w:t>
      </w:r>
      <w:r w:rsidR="009B2CB0" w:rsidRPr="006B0D56">
        <w:rPr>
          <w:rFonts w:ascii="Times New Roman" w:hAnsi="Times New Roman" w:cs="Times New Roman"/>
          <w:sz w:val="24"/>
          <w:szCs w:val="24"/>
        </w:rPr>
        <w:t xml:space="preserve">2013. </w:t>
      </w:r>
      <w:r w:rsidR="00766964">
        <w:rPr>
          <w:rFonts w:ascii="Times New Roman" w:hAnsi="Times New Roman" w:cs="Times New Roman"/>
          <w:sz w:val="24"/>
          <w:szCs w:val="24"/>
        </w:rPr>
        <w:t>г</w:t>
      </w:r>
      <w:r w:rsidR="00010632" w:rsidRPr="006B0D56">
        <w:rPr>
          <w:rFonts w:ascii="Times New Roman" w:hAnsi="Times New Roman" w:cs="Times New Roman"/>
          <w:sz w:val="24"/>
          <w:szCs w:val="24"/>
        </w:rPr>
        <w:t>одине</w:t>
      </w:r>
      <w:r w:rsidR="00766964">
        <w:rPr>
          <w:rFonts w:ascii="Times New Roman" w:hAnsi="Times New Roman" w:cs="Times New Roman"/>
          <w:sz w:val="24"/>
          <w:szCs w:val="24"/>
        </w:rPr>
        <w:t xml:space="preserve"> </w:t>
      </w:r>
      <w:r w:rsidR="009B2CB0" w:rsidRPr="006B0D56">
        <w:rPr>
          <w:rFonts w:ascii="Times New Roman" w:hAnsi="Times New Roman" w:cs="Times New Roman"/>
          <w:sz w:val="24"/>
          <w:szCs w:val="24"/>
        </w:rPr>
        <w:t>почеле да примењују Закон о јавним набавкама</w:t>
      </w:r>
      <w:r w:rsidR="0095389B">
        <w:rPr>
          <w:rFonts w:ascii="Times New Roman" w:hAnsi="Times New Roman" w:cs="Times New Roman"/>
          <w:sz w:val="24"/>
          <w:szCs w:val="24"/>
        </w:rPr>
        <w:t xml:space="preserve">. </w:t>
      </w:r>
      <w:r w:rsidR="006F7F1A">
        <w:rPr>
          <w:rFonts w:ascii="Times New Roman" w:hAnsi="Times New Roman" w:cs="Times New Roman"/>
          <w:sz w:val="24"/>
          <w:szCs w:val="24"/>
        </w:rPr>
        <w:t>Почетак примене закона од стране апотекар</w:t>
      </w:r>
      <w:r w:rsidR="0095389B">
        <w:rPr>
          <w:rFonts w:ascii="Times New Roman" w:hAnsi="Times New Roman" w:cs="Times New Roman"/>
          <w:sz w:val="24"/>
          <w:szCs w:val="24"/>
        </w:rPr>
        <w:t>ских установа био је важан корак ка пуној примени ЗЈН</w:t>
      </w:r>
      <w:r w:rsidR="006F7F1A">
        <w:rPr>
          <w:rFonts w:ascii="Times New Roman" w:hAnsi="Times New Roman" w:cs="Times New Roman"/>
          <w:sz w:val="24"/>
          <w:szCs w:val="24"/>
        </w:rPr>
        <w:t xml:space="preserve">, имајући у виду да ове установе нису примењивале ЗЈН током протеклих десет година, иако су биле дужне и по тада важећим </w:t>
      </w:r>
      <w:r w:rsidR="00910B1E">
        <w:rPr>
          <w:rFonts w:ascii="Times New Roman" w:hAnsi="Times New Roman" w:cs="Times New Roman"/>
          <w:sz w:val="24"/>
          <w:szCs w:val="24"/>
        </w:rPr>
        <w:t>прописима</w:t>
      </w:r>
      <w:r w:rsidR="006F7F1A">
        <w:rPr>
          <w:rFonts w:ascii="Times New Roman" w:hAnsi="Times New Roman" w:cs="Times New Roman"/>
          <w:sz w:val="24"/>
          <w:szCs w:val="24"/>
        </w:rPr>
        <w:t xml:space="preserve">. </w:t>
      </w:r>
    </w:p>
    <w:p w:rsidR="009B3038" w:rsidRDefault="009B3038" w:rsidP="00904A10">
      <w:pPr>
        <w:rPr>
          <w:rFonts w:ascii="Times New Roman" w:hAnsi="Times New Roman" w:cs="Times New Roman"/>
          <w:b/>
          <w:color w:val="FF0000"/>
          <w:sz w:val="24"/>
          <w:szCs w:val="24"/>
          <w:lang w:val="sr-Cyrl-RS"/>
        </w:rPr>
      </w:pPr>
    </w:p>
    <w:p w:rsidR="009B3038" w:rsidRDefault="009B3038" w:rsidP="00904A10">
      <w:pPr>
        <w:rPr>
          <w:rFonts w:ascii="Times New Roman" w:hAnsi="Times New Roman" w:cs="Times New Roman"/>
          <w:b/>
          <w:color w:val="FF0000"/>
          <w:sz w:val="24"/>
          <w:szCs w:val="24"/>
          <w:lang w:val="sr-Cyrl-RS"/>
        </w:rPr>
      </w:pPr>
    </w:p>
    <w:p w:rsidR="009B3038" w:rsidRDefault="009B3038" w:rsidP="00904A10">
      <w:pPr>
        <w:rPr>
          <w:rFonts w:ascii="Times New Roman" w:hAnsi="Times New Roman" w:cs="Times New Roman"/>
          <w:b/>
          <w:color w:val="FF0000"/>
          <w:sz w:val="24"/>
          <w:szCs w:val="24"/>
          <w:lang w:val="sr-Cyrl-RS"/>
        </w:rPr>
      </w:pPr>
    </w:p>
    <w:p w:rsidR="009B3038" w:rsidRDefault="009B3038" w:rsidP="00904A10">
      <w:pPr>
        <w:rPr>
          <w:rFonts w:ascii="Times New Roman" w:hAnsi="Times New Roman" w:cs="Times New Roman"/>
          <w:b/>
          <w:color w:val="FF0000"/>
          <w:sz w:val="24"/>
          <w:szCs w:val="24"/>
          <w:lang w:val="sr-Cyrl-RS"/>
        </w:rPr>
      </w:pPr>
    </w:p>
    <w:p w:rsidR="009B3038" w:rsidRDefault="009B3038" w:rsidP="00904A10">
      <w:pPr>
        <w:rPr>
          <w:rFonts w:ascii="Times New Roman" w:hAnsi="Times New Roman" w:cs="Times New Roman"/>
          <w:b/>
          <w:color w:val="FF0000"/>
          <w:sz w:val="24"/>
          <w:szCs w:val="24"/>
          <w:lang w:val="sr-Cyrl-RS"/>
        </w:rPr>
      </w:pPr>
    </w:p>
    <w:p w:rsidR="009B3038" w:rsidRDefault="009B3038" w:rsidP="00904A10">
      <w:pPr>
        <w:rPr>
          <w:rFonts w:ascii="Times New Roman" w:hAnsi="Times New Roman" w:cs="Times New Roman"/>
          <w:b/>
          <w:color w:val="FF0000"/>
          <w:sz w:val="24"/>
          <w:szCs w:val="24"/>
          <w:lang w:val="sr-Cyrl-RS"/>
        </w:rPr>
      </w:pPr>
    </w:p>
    <w:p w:rsidR="009B3038" w:rsidRDefault="009B3038" w:rsidP="00904A10">
      <w:pPr>
        <w:rPr>
          <w:rFonts w:ascii="Times New Roman" w:hAnsi="Times New Roman" w:cs="Times New Roman"/>
          <w:b/>
          <w:color w:val="FF0000"/>
          <w:sz w:val="24"/>
          <w:szCs w:val="24"/>
          <w:lang w:val="sr-Cyrl-RS"/>
        </w:rPr>
      </w:pPr>
    </w:p>
    <w:p w:rsidR="009B3038" w:rsidRDefault="009B3038" w:rsidP="00904A10">
      <w:pPr>
        <w:rPr>
          <w:rFonts w:ascii="Times New Roman" w:hAnsi="Times New Roman" w:cs="Times New Roman"/>
          <w:b/>
          <w:color w:val="FF0000"/>
          <w:sz w:val="24"/>
          <w:szCs w:val="24"/>
          <w:lang w:val="sr-Cyrl-RS"/>
        </w:rPr>
      </w:pPr>
    </w:p>
    <w:p w:rsidR="009B3038" w:rsidRDefault="009B3038" w:rsidP="00904A10">
      <w:pPr>
        <w:rPr>
          <w:rFonts w:ascii="Times New Roman" w:hAnsi="Times New Roman" w:cs="Times New Roman"/>
          <w:b/>
          <w:color w:val="FF0000"/>
          <w:sz w:val="24"/>
          <w:szCs w:val="24"/>
          <w:lang w:val="sr-Cyrl-RS"/>
        </w:rPr>
      </w:pPr>
    </w:p>
    <w:p w:rsidR="009965E9" w:rsidRPr="00E03C8D" w:rsidRDefault="00A07ECD" w:rsidP="00904A10">
      <w:pPr>
        <w:rPr>
          <w:rFonts w:ascii="Times New Roman" w:hAnsi="Times New Roman" w:cs="Times New Roman"/>
          <w:b/>
          <w:sz w:val="24"/>
          <w:szCs w:val="24"/>
        </w:rPr>
      </w:pPr>
      <w:r w:rsidRPr="00E03C8D">
        <w:rPr>
          <w:rFonts w:ascii="Times New Roman" w:hAnsi="Times New Roman" w:cs="Times New Roman"/>
          <w:b/>
          <w:sz w:val="24"/>
          <w:szCs w:val="24"/>
        </w:rPr>
        <w:lastRenderedPageBreak/>
        <w:t>Табела 2</w:t>
      </w:r>
    </w:p>
    <w:p w:rsidR="00A07ECD" w:rsidRDefault="00A07ECD" w:rsidP="00904A10">
      <w:pPr>
        <w:rPr>
          <w:rFonts w:ascii="Times New Roman" w:hAnsi="Times New Roman" w:cs="Times New Roman"/>
          <w:sz w:val="24"/>
          <w:szCs w:val="24"/>
        </w:rPr>
      </w:pPr>
    </w:p>
    <w:tbl>
      <w:tblPr>
        <w:tblStyle w:val="TableGrid"/>
        <w:tblW w:w="0" w:type="auto"/>
        <w:jc w:val="center"/>
        <w:tblInd w:w="-837" w:type="dxa"/>
        <w:tblLook w:val="0000" w:firstRow="0" w:lastRow="0" w:firstColumn="0" w:lastColumn="0" w:noHBand="0" w:noVBand="0"/>
      </w:tblPr>
      <w:tblGrid>
        <w:gridCol w:w="2354"/>
        <w:gridCol w:w="940"/>
        <w:gridCol w:w="573"/>
        <w:gridCol w:w="1216"/>
        <w:gridCol w:w="516"/>
        <w:gridCol w:w="940"/>
        <w:gridCol w:w="724"/>
        <w:gridCol w:w="1331"/>
        <w:gridCol w:w="818"/>
      </w:tblGrid>
      <w:tr w:rsidR="00EE0519" w:rsidRPr="00A07ECD" w:rsidTr="00DE000C">
        <w:trPr>
          <w:trHeight w:val="624"/>
          <w:jc w:val="center"/>
        </w:trPr>
        <w:tc>
          <w:tcPr>
            <w:tcW w:w="9412" w:type="dxa"/>
            <w:gridSpan w:val="9"/>
            <w:tcBorders>
              <w:top w:val="single" w:sz="18" w:space="0" w:color="auto"/>
              <w:left w:val="single" w:sz="18" w:space="0" w:color="auto"/>
              <w:right w:val="single" w:sz="18" w:space="0" w:color="auto"/>
            </w:tcBorders>
            <w:vAlign w:val="center"/>
          </w:tcPr>
          <w:p w:rsidR="00EE0519" w:rsidRDefault="00EE0519" w:rsidP="00DE000C">
            <w:pPr>
              <w:jc w:val="center"/>
              <w:rPr>
                <w:rFonts w:ascii="Times New Roman" w:hAnsi="Times New Roman" w:cs="Times New Roman"/>
                <w:b/>
                <w:sz w:val="24"/>
                <w:szCs w:val="24"/>
              </w:rPr>
            </w:pPr>
            <w:r w:rsidRPr="00910B1E">
              <w:rPr>
                <w:rFonts w:ascii="Times New Roman" w:hAnsi="Times New Roman" w:cs="Times New Roman"/>
                <w:b/>
                <w:sz w:val="24"/>
                <w:szCs w:val="24"/>
              </w:rPr>
              <w:t xml:space="preserve">Упоредни преглед јавних набавки по категоријама наручилаца </w:t>
            </w:r>
          </w:p>
          <w:p w:rsidR="00EE0519" w:rsidRPr="002026DB" w:rsidRDefault="00EA3515" w:rsidP="00EA3515">
            <w:pPr>
              <w:jc w:val="center"/>
              <w:rPr>
                <w:rFonts w:ascii="Times New Roman" w:hAnsi="Times New Roman" w:cs="Times New Roman"/>
                <w:b/>
                <w:sz w:val="24"/>
                <w:szCs w:val="24"/>
              </w:rPr>
            </w:pPr>
            <w:r>
              <w:rPr>
                <w:rFonts w:ascii="Times New Roman" w:hAnsi="Times New Roman" w:cs="Times New Roman"/>
                <w:b/>
                <w:sz w:val="24"/>
                <w:szCs w:val="24"/>
              </w:rPr>
              <w:t>у 2012</w:t>
            </w:r>
            <w:r>
              <w:rPr>
                <w:rFonts w:ascii="Times New Roman" w:hAnsi="Times New Roman" w:cs="Times New Roman"/>
                <w:b/>
                <w:sz w:val="24"/>
                <w:szCs w:val="24"/>
                <w:lang w:val="sr-Cyrl-RS"/>
              </w:rPr>
              <w:t xml:space="preserve"> и </w:t>
            </w:r>
            <w:r w:rsidR="00EE0519" w:rsidRPr="00910B1E">
              <w:rPr>
                <w:rFonts w:ascii="Times New Roman" w:hAnsi="Times New Roman" w:cs="Times New Roman"/>
                <w:b/>
                <w:sz w:val="24"/>
                <w:szCs w:val="24"/>
              </w:rPr>
              <w:t xml:space="preserve">2013. </w:t>
            </w:r>
            <w:r w:rsidR="00EE0519">
              <w:rPr>
                <w:rFonts w:ascii="Times New Roman" w:hAnsi="Times New Roman" w:cs="Times New Roman"/>
                <w:b/>
                <w:sz w:val="24"/>
                <w:szCs w:val="24"/>
              </w:rPr>
              <w:t>години</w:t>
            </w:r>
          </w:p>
        </w:tc>
      </w:tr>
      <w:tr w:rsidR="00EE0519" w:rsidRPr="00A07ECD" w:rsidTr="00DE000C">
        <w:tblPrEx>
          <w:tblLook w:val="04A0" w:firstRow="1" w:lastRow="0" w:firstColumn="1" w:lastColumn="0" w:noHBand="0" w:noVBand="1"/>
        </w:tblPrEx>
        <w:trPr>
          <w:jc w:val="center"/>
        </w:trPr>
        <w:tc>
          <w:tcPr>
            <w:tcW w:w="2354" w:type="dxa"/>
            <w:tcBorders>
              <w:top w:val="single" w:sz="18" w:space="0" w:color="auto"/>
              <w:left w:val="single" w:sz="18" w:space="0" w:color="auto"/>
              <w:bottom w:val="single" w:sz="18" w:space="0" w:color="auto"/>
              <w:right w:val="single" w:sz="18" w:space="0" w:color="auto"/>
            </w:tcBorders>
            <w:vAlign w:val="center"/>
          </w:tcPr>
          <w:p w:rsidR="00EE0519" w:rsidRPr="00A07ECD" w:rsidRDefault="00EE0519" w:rsidP="00DE000C">
            <w:pPr>
              <w:jc w:val="center"/>
              <w:rPr>
                <w:rFonts w:ascii="Times New Roman" w:hAnsi="Times New Roman" w:cs="Times New Roman"/>
                <w:b/>
                <w:sz w:val="20"/>
                <w:szCs w:val="20"/>
              </w:rPr>
            </w:pPr>
            <w:r w:rsidRPr="00A07ECD">
              <w:rPr>
                <w:rFonts w:ascii="Times New Roman" w:hAnsi="Times New Roman" w:cs="Times New Roman"/>
                <w:b/>
                <w:sz w:val="20"/>
                <w:szCs w:val="20"/>
              </w:rPr>
              <w:t>Период</w:t>
            </w:r>
          </w:p>
        </w:tc>
        <w:tc>
          <w:tcPr>
            <w:tcW w:w="3245" w:type="dxa"/>
            <w:gridSpan w:val="4"/>
            <w:tcBorders>
              <w:top w:val="single" w:sz="18" w:space="0" w:color="auto"/>
              <w:left w:val="single" w:sz="18" w:space="0" w:color="auto"/>
              <w:bottom w:val="single" w:sz="18" w:space="0" w:color="auto"/>
              <w:right w:val="single" w:sz="18" w:space="0" w:color="auto"/>
            </w:tcBorders>
            <w:vAlign w:val="center"/>
          </w:tcPr>
          <w:p w:rsidR="00EE0519" w:rsidRPr="00A07ECD" w:rsidRDefault="00EE0519" w:rsidP="00DE000C">
            <w:pPr>
              <w:jc w:val="center"/>
              <w:rPr>
                <w:rFonts w:ascii="Times New Roman" w:hAnsi="Times New Roman" w:cs="Times New Roman"/>
                <w:b/>
                <w:sz w:val="20"/>
                <w:szCs w:val="20"/>
              </w:rPr>
            </w:pPr>
            <w:r w:rsidRPr="00A07ECD">
              <w:rPr>
                <w:rFonts w:ascii="Times New Roman" w:hAnsi="Times New Roman" w:cs="Times New Roman"/>
                <w:b/>
                <w:sz w:val="20"/>
                <w:szCs w:val="20"/>
              </w:rPr>
              <w:t>2012.</w:t>
            </w:r>
          </w:p>
        </w:tc>
        <w:tc>
          <w:tcPr>
            <w:tcW w:w="3813" w:type="dxa"/>
            <w:gridSpan w:val="4"/>
            <w:tcBorders>
              <w:top w:val="single" w:sz="18" w:space="0" w:color="auto"/>
              <w:left w:val="single" w:sz="18" w:space="0" w:color="auto"/>
              <w:bottom w:val="single" w:sz="18" w:space="0" w:color="auto"/>
              <w:right w:val="single" w:sz="18" w:space="0" w:color="auto"/>
            </w:tcBorders>
            <w:vAlign w:val="center"/>
          </w:tcPr>
          <w:p w:rsidR="00EE0519" w:rsidRPr="002026DB" w:rsidRDefault="00EE0519" w:rsidP="00DE000C">
            <w:pPr>
              <w:jc w:val="center"/>
              <w:rPr>
                <w:rFonts w:ascii="Times New Roman" w:hAnsi="Times New Roman" w:cs="Times New Roman"/>
                <w:b/>
                <w:sz w:val="20"/>
                <w:szCs w:val="20"/>
              </w:rPr>
            </w:pPr>
            <w:r>
              <w:rPr>
                <w:rFonts w:ascii="Times New Roman" w:hAnsi="Times New Roman" w:cs="Times New Roman"/>
                <w:b/>
                <w:sz w:val="20"/>
                <w:szCs w:val="20"/>
              </w:rPr>
              <w:t>2013.</w:t>
            </w:r>
          </w:p>
        </w:tc>
      </w:tr>
      <w:tr w:rsidR="00EE0519" w:rsidRPr="00A07ECD" w:rsidTr="00DE000C">
        <w:tblPrEx>
          <w:tblLook w:val="04A0" w:firstRow="1" w:lastRow="0" w:firstColumn="1" w:lastColumn="0" w:noHBand="0" w:noVBand="1"/>
        </w:tblPrEx>
        <w:trPr>
          <w:jc w:val="center"/>
        </w:trPr>
        <w:tc>
          <w:tcPr>
            <w:tcW w:w="2354" w:type="dxa"/>
            <w:tcBorders>
              <w:top w:val="single" w:sz="18" w:space="0" w:color="auto"/>
              <w:left w:val="single" w:sz="18" w:space="0" w:color="auto"/>
              <w:right w:val="single" w:sz="18" w:space="0" w:color="auto"/>
            </w:tcBorders>
            <w:vAlign w:val="center"/>
          </w:tcPr>
          <w:p w:rsidR="00EE0519" w:rsidRPr="00A07ECD" w:rsidRDefault="00EE0519" w:rsidP="00DE000C">
            <w:pPr>
              <w:jc w:val="center"/>
              <w:rPr>
                <w:rFonts w:ascii="Times New Roman" w:hAnsi="Times New Roman" w:cs="Times New Roman"/>
                <w:b/>
                <w:sz w:val="20"/>
                <w:szCs w:val="20"/>
              </w:rPr>
            </w:pPr>
            <w:r w:rsidRPr="00A07ECD">
              <w:rPr>
                <w:rFonts w:ascii="Times New Roman" w:hAnsi="Times New Roman" w:cs="Times New Roman"/>
                <w:b/>
                <w:sz w:val="20"/>
                <w:szCs w:val="20"/>
              </w:rPr>
              <w:t>Категорија</w:t>
            </w:r>
          </w:p>
        </w:tc>
        <w:tc>
          <w:tcPr>
            <w:tcW w:w="940" w:type="dxa"/>
            <w:tcBorders>
              <w:top w:val="single" w:sz="18" w:space="0" w:color="auto"/>
              <w:left w:val="single" w:sz="18" w:space="0" w:color="auto"/>
            </w:tcBorders>
            <w:vAlign w:val="center"/>
          </w:tcPr>
          <w:p w:rsidR="00EE0519" w:rsidRPr="00A07ECD" w:rsidRDefault="00EE0519" w:rsidP="00DE000C">
            <w:pPr>
              <w:jc w:val="center"/>
              <w:rPr>
                <w:rFonts w:ascii="Times New Roman" w:hAnsi="Times New Roman" w:cs="Times New Roman"/>
                <w:sz w:val="20"/>
                <w:szCs w:val="20"/>
              </w:rPr>
            </w:pPr>
            <w:r w:rsidRPr="00A07ECD">
              <w:rPr>
                <w:rFonts w:ascii="Times New Roman" w:hAnsi="Times New Roman" w:cs="Times New Roman"/>
                <w:sz w:val="20"/>
                <w:szCs w:val="20"/>
              </w:rPr>
              <w:t>Број</w:t>
            </w:r>
          </w:p>
          <w:p w:rsidR="00EE0519" w:rsidRPr="00A07ECD" w:rsidRDefault="00EE0519" w:rsidP="00DE000C">
            <w:pPr>
              <w:jc w:val="center"/>
              <w:rPr>
                <w:rFonts w:ascii="Times New Roman" w:hAnsi="Times New Roman" w:cs="Times New Roman"/>
                <w:sz w:val="20"/>
                <w:szCs w:val="20"/>
              </w:rPr>
            </w:pPr>
            <w:r w:rsidRPr="00A07ECD">
              <w:rPr>
                <w:rFonts w:ascii="Times New Roman" w:hAnsi="Times New Roman" w:cs="Times New Roman"/>
                <w:sz w:val="20"/>
                <w:szCs w:val="20"/>
              </w:rPr>
              <w:t>Уговора</w:t>
            </w:r>
          </w:p>
        </w:tc>
        <w:tc>
          <w:tcPr>
            <w:tcW w:w="573" w:type="dxa"/>
            <w:tcBorders>
              <w:top w:val="single" w:sz="18" w:space="0" w:color="auto"/>
            </w:tcBorders>
            <w:vAlign w:val="center"/>
          </w:tcPr>
          <w:p w:rsidR="00EE0519" w:rsidRPr="00A07ECD" w:rsidRDefault="00EE0519" w:rsidP="00DE000C">
            <w:pPr>
              <w:jc w:val="center"/>
              <w:rPr>
                <w:rFonts w:ascii="Times New Roman" w:hAnsi="Times New Roman" w:cs="Times New Roman"/>
                <w:sz w:val="20"/>
                <w:szCs w:val="20"/>
              </w:rPr>
            </w:pPr>
            <w:r w:rsidRPr="00A07ECD">
              <w:rPr>
                <w:rFonts w:ascii="Times New Roman" w:hAnsi="Times New Roman" w:cs="Times New Roman"/>
                <w:sz w:val="20"/>
                <w:szCs w:val="20"/>
              </w:rPr>
              <w:t>%</w:t>
            </w:r>
          </w:p>
        </w:tc>
        <w:tc>
          <w:tcPr>
            <w:tcW w:w="1216" w:type="dxa"/>
            <w:tcBorders>
              <w:top w:val="single" w:sz="18" w:space="0" w:color="auto"/>
            </w:tcBorders>
            <w:vAlign w:val="center"/>
          </w:tcPr>
          <w:p w:rsidR="00EE0519" w:rsidRPr="00A07ECD" w:rsidRDefault="00EE0519" w:rsidP="00DE000C">
            <w:pPr>
              <w:jc w:val="center"/>
              <w:rPr>
                <w:rFonts w:ascii="Times New Roman" w:hAnsi="Times New Roman" w:cs="Times New Roman"/>
                <w:sz w:val="20"/>
                <w:szCs w:val="20"/>
              </w:rPr>
            </w:pPr>
            <w:r w:rsidRPr="00A07ECD">
              <w:rPr>
                <w:rFonts w:ascii="Times New Roman" w:hAnsi="Times New Roman" w:cs="Times New Roman"/>
                <w:sz w:val="20"/>
                <w:szCs w:val="20"/>
              </w:rPr>
              <w:t>Уговорена</w:t>
            </w:r>
          </w:p>
          <w:p w:rsidR="00EE0519" w:rsidRPr="00A07ECD" w:rsidRDefault="00EE0519" w:rsidP="00DE000C">
            <w:pPr>
              <w:jc w:val="center"/>
              <w:rPr>
                <w:rFonts w:ascii="Times New Roman" w:hAnsi="Times New Roman" w:cs="Times New Roman"/>
                <w:sz w:val="20"/>
                <w:szCs w:val="20"/>
              </w:rPr>
            </w:pPr>
            <w:r w:rsidRPr="00A07ECD">
              <w:rPr>
                <w:rFonts w:ascii="Times New Roman" w:hAnsi="Times New Roman" w:cs="Times New Roman"/>
                <w:sz w:val="20"/>
                <w:szCs w:val="20"/>
              </w:rPr>
              <w:t>Вредност</w:t>
            </w:r>
          </w:p>
          <w:p w:rsidR="00EE0519" w:rsidRPr="00A07ECD" w:rsidRDefault="00EE0519" w:rsidP="00DE000C">
            <w:pPr>
              <w:jc w:val="center"/>
              <w:rPr>
                <w:rFonts w:ascii="Times New Roman" w:hAnsi="Times New Roman" w:cs="Times New Roman"/>
                <w:sz w:val="20"/>
                <w:szCs w:val="20"/>
              </w:rPr>
            </w:pPr>
            <w:r>
              <w:rPr>
                <w:rFonts w:ascii="Times New Roman" w:hAnsi="Times New Roman" w:cs="Times New Roman"/>
                <w:sz w:val="20"/>
                <w:szCs w:val="20"/>
              </w:rPr>
              <w:t>б</w:t>
            </w:r>
            <w:r w:rsidRPr="00A07ECD">
              <w:rPr>
                <w:rFonts w:ascii="Times New Roman" w:hAnsi="Times New Roman" w:cs="Times New Roman"/>
                <w:sz w:val="20"/>
                <w:szCs w:val="20"/>
              </w:rPr>
              <w:t>ез ПДВ-а*</w:t>
            </w:r>
          </w:p>
        </w:tc>
        <w:tc>
          <w:tcPr>
            <w:tcW w:w="0" w:type="auto"/>
            <w:tcBorders>
              <w:top w:val="single" w:sz="18" w:space="0" w:color="auto"/>
              <w:right w:val="single" w:sz="18" w:space="0" w:color="auto"/>
            </w:tcBorders>
            <w:vAlign w:val="center"/>
          </w:tcPr>
          <w:p w:rsidR="00EE0519" w:rsidRPr="00A07ECD" w:rsidRDefault="00EE0519" w:rsidP="00DE000C">
            <w:pPr>
              <w:jc w:val="center"/>
              <w:rPr>
                <w:rFonts w:ascii="Times New Roman" w:hAnsi="Times New Roman" w:cs="Times New Roman"/>
                <w:sz w:val="20"/>
                <w:szCs w:val="20"/>
              </w:rPr>
            </w:pPr>
            <w:r w:rsidRPr="00A07ECD">
              <w:rPr>
                <w:rFonts w:ascii="Times New Roman" w:hAnsi="Times New Roman" w:cs="Times New Roman"/>
                <w:sz w:val="20"/>
                <w:szCs w:val="20"/>
              </w:rPr>
              <w:t>%</w:t>
            </w:r>
          </w:p>
        </w:tc>
        <w:tc>
          <w:tcPr>
            <w:tcW w:w="940" w:type="dxa"/>
            <w:tcBorders>
              <w:top w:val="single" w:sz="18" w:space="0" w:color="auto"/>
              <w:left w:val="single" w:sz="18" w:space="0" w:color="auto"/>
            </w:tcBorders>
            <w:vAlign w:val="center"/>
          </w:tcPr>
          <w:p w:rsidR="00EE0519" w:rsidRPr="00A07ECD" w:rsidRDefault="00EE0519" w:rsidP="00DE000C">
            <w:pPr>
              <w:jc w:val="center"/>
              <w:rPr>
                <w:rFonts w:ascii="Times New Roman" w:hAnsi="Times New Roman" w:cs="Times New Roman"/>
                <w:sz w:val="20"/>
                <w:szCs w:val="20"/>
              </w:rPr>
            </w:pPr>
            <w:r w:rsidRPr="00A07ECD">
              <w:rPr>
                <w:rFonts w:ascii="Times New Roman" w:hAnsi="Times New Roman" w:cs="Times New Roman"/>
                <w:sz w:val="20"/>
                <w:szCs w:val="20"/>
              </w:rPr>
              <w:t>Број</w:t>
            </w:r>
          </w:p>
          <w:p w:rsidR="00EE0519" w:rsidRPr="00A07ECD" w:rsidRDefault="00EE0519" w:rsidP="00DE000C">
            <w:pPr>
              <w:jc w:val="center"/>
              <w:rPr>
                <w:rFonts w:ascii="Times New Roman" w:hAnsi="Times New Roman" w:cs="Times New Roman"/>
                <w:sz w:val="20"/>
                <w:szCs w:val="20"/>
              </w:rPr>
            </w:pPr>
            <w:r w:rsidRPr="00A07ECD">
              <w:rPr>
                <w:rFonts w:ascii="Times New Roman" w:hAnsi="Times New Roman" w:cs="Times New Roman"/>
                <w:sz w:val="20"/>
                <w:szCs w:val="20"/>
              </w:rPr>
              <w:t>Уговора</w:t>
            </w:r>
          </w:p>
        </w:tc>
        <w:tc>
          <w:tcPr>
            <w:tcW w:w="724" w:type="dxa"/>
            <w:tcBorders>
              <w:top w:val="single" w:sz="18" w:space="0" w:color="auto"/>
            </w:tcBorders>
            <w:vAlign w:val="center"/>
          </w:tcPr>
          <w:p w:rsidR="00EE0519" w:rsidRPr="00A07ECD" w:rsidRDefault="00EE0519" w:rsidP="00DE000C">
            <w:pPr>
              <w:jc w:val="center"/>
              <w:rPr>
                <w:rFonts w:ascii="Times New Roman" w:hAnsi="Times New Roman" w:cs="Times New Roman"/>
                <w:sz w:val="20"/>
                <w:szCs w:val="20"/>
              </w:rPr>
            </w:pPr>
            <w:r w:rsidRPr="00A07ECD">
              <w:rPr>
                <w:rFonts w:ascii="Times New Roman" w:hAnsi="Times New Roman" w:cs="Times New Roman"/>
                <w:sz w:val="20"/>
                <w:szCs w:val="20"/>
              </w:rPr>
              <w:t>%</w:t>
            </w:r>
          </w:p>
        </w:tc>
        <w:tc>
          <w:tcPr>
            <w:tcW w:w="1331" w:type="dxa"/>
            <w:tcBorders>
              <w:top w:val="single" w:sz="18" w:space="0" w:color="auto"/>
            </w:tcBorders>
            <w:vAlign w:val="center"/>
          </w:tcPr>
          <w:p w:rsidR="00EE0519" w:rsidRPr="00A07ECD" w:rsidRDefault="00EE0519" w:rsidP="00DE000C">
            <w:pPr>
              <w:jc w:val="center"/>
              <w:rPr>
                <w:rFonts w:ascii="Times New Roman" w:hAnsi="Times New Roman" w:cs="Times New Roman"/>
                <w:sz w:val="20"/>
                <w:szCs w:val="20"/>
              </w:rPr>
            </w:pPr>
            <w:r w:rsidRPr="00A07ECD">
              <w:rPr>
                <w:rFonts w:ascii="Times New Roman" w:hAnsi="Times New Roman" w:cs="Times New Roman"/>
                <w:sz w:val="20"/>
                <w:szCs w:val="20"/>
              </w:rPr>
              <w:t>Уговорена</w:t>
            </w:r>
          </w:p>
          <w:p w:rsidR="00EE0519" w:rsidRPr="00A07ECD" w:rsidRDefault="00EE0519" w:rsidP="00DE000C">
            <w:pPr>
              <w:jc w:val="center"/>
              <w:rPr>
                <w:rFonts w:ascii="Times New Roman" w:hAnsi="Times New Roman" w:cs="Times New Roman"/>
                <w:sz w:val="20"/>
                <w:szCs w:val="20"/>
              </w:rPr>
            </w:pPr>
            <w:r w:rsidRPr="00A07ECD">
              <w:rPr>
                <w:rFonts w:ascii="Times New Roman" w:hAnsi="Times New Roman" w:cs="Times New Roman"/>
                <w:sz w:val="20"/>
                <w:szCs w:val="20"/>
              </w:rPr>
              <w:t>Вредност</w:t>
            </w:r>
          </w:p>
          <w:p w:rsidR="00EE0519" w:rsidRPr="00A07ECD" w:rsidRDefault="00EE0519" w:rsidP="00DE000C">
            <w:pPr>
              <w:jc w:val="center"/>
              <w:rPr>
                <w:rFonts w:ascii="Times New Roman" w:hAnsi="Times New Roman" w:cs="Times New Roman"/>
                <w:sz w:val="20"/>
                <w:szCs w:val="20"/>
              </w:rPr>
            </w:pPr>
            <w:r>
              <w:rPr>
                <w:rFonts w:ascii="Times New Roman" w:hAnsi="Times New Roman" w:cs="Times New Roman"/>
                <w:sz w:val="20"/>
                <w:szCs w:val="20"/>
              </w:rPr>
              <w:t>б</w:t>
            </w:r>
            <w:r w:rsidRPr="00A07ECD">
              <w:rPr>
                <w:rFonts w:ascii="Times New Roman" w:hAnsi="Times New Roman" w:cs="Times New Roman"/>
                <w:sz w:val="20"/>
                <w:szCs w:val="20"/>
              </w:rPr>
              <w:t>ез ПДВ-а*</w:t>
            </w:r>
          </w:p>
        </w:tc>
        <w:tc>
          <w:tcPr>
            <w:tcW w:w="818" w:type="dxa"/>
            <w:tcBorders>
              <w:top w:val="single" w:sz="18" w:space="0" w:color="auto"/>
              <w:right w:val="single" w:sz="18" w:space="0" w:color="auto"/>
            </w:tcBorders>
            <w:vAlign w:val="center"/>
          </w:tcPr>
          <w:p w:rsidR="00EE0519" w:rsidRPr="00A07ECD" w:rsidRDefault="00EE0519" w:rsidP="00DE000C">
            <w:pPr>
              <w:jc w:val="center"/>
              <w:rPr>
                <w:rFonts w:ascii="Times New Roman" w:hAnsi="Times New Roman" w:cs="Times New Roman"/>
                <w:sz w:val="20"/>
                <w:szCs w:val="20"/>
              </w:rPr>
            </w:pPr>
            <w:r w:rsidRPr="00A07ECD">
              <w:rPr>
                <w:rFonts w:ascii="Times New Roman" w:hAnsi="Times New Roman" w:cs="Times New Roman"/>
                <w:sz w:val="20"/>
                <w:szCs w:val="20"/>
              </w:rPr>
              <w:t>%</w:t>
            </w:r>
          </w:p>
        </w:tc>
      </w:tr>
      <w:tr w:rsidR="00EE0519" w:rsidRPr="002026DB" w:rsidTr="00DE000C">
        <w:tblPrEx>
          <w:tblLook w:val="04A0" w:firstRow="1" w:lastRow="0" w:firstColumn="1" w:lastColumn="0" w:noHBand="0" w:noVBand="1"/>
        </w:tblPrEx>
        <w:trPr>
          <w:jc w:val="center"/>
        </w:trPr>
        <w:tc>
          <w:tcPr>
            <w:tcW w:w="2354" w:type="dxa"/>
            <w:tcBorders>
              <w:left w:val="single" w:sz="18" w:space="0" w:color="auto"/>
              <w:right w:val="single" w:sz="18" w:space="0" w:color="auto"/>
            </w:tcBorders>
            <w:vAlign w:val="center"/>
          </w:tcPr>
          <w:p w:rsidR="00EE0519" w:rsidRPr="00A07ECD" w:rsidRDefault="00EE0519" w:rsidP="00DE000C">
            <w:pPr>
              <w:jc w:val="center"/>
              <w:rPr>
                <w:rFonts w:ascii="Times New Roman" w:hAnsi="Times New Roman" w:cs="Times New Roman"/>
                <w:b/>
                <w:sz w:val="20"/>
                <w:szCs w:val="20"/>
              </w:rPr>
            </w:pPr>
            <w:r w:rsidRPr="00A07ECD">
              <w:rPr>
                <w:rFonts w:ascii="Times New Roman" w:hAnsi="Times New Roman" w:cs="Times New Roman"/>
                <w:b/>
                <w:sz w:val="20"/>
                <w:szCs w:val="20"/>
              </w:rPr>
              <w:t>Органи државне управе</w:t>
            </w:r>
          </w:p>
        </w:tc>
        <w:tc>
          <w:tcPr>
            <w:tcW w:w="940" w:type="dxa"/>
            <w:tcBorders>
              <w:left w:val="single" w:sz="18" w:space="0" w:color="auto"/>
            </w:tcBorders>
            <w:vAlign w:val="center"/>
          </w:tcPr>
          <w:p w:rsidR="00EE0519" w:rsidRPr="002026DB" w:rsidRDefault="00EE0519" w:rsidP="00DE000C">
            <w:pPr>
              <w:jc w:val="center"/>
              <w:rPr>
                <w:rFonts w:ascii="Times New Roman" w:hAnsi="Times New Roman" w:cs="Times New Roman"/>
                <w:sz w:val="20"/>
                <w:szCs w:val="20"/>
              </w:rPr>
            </w:pPr>
            <w:r w:rsidRPr="002026DB">
              <w:rPr>
                <w:rFonts w:ascii="Times New Roman" w:hAnsi="Times New Roman" w:cs="Times New Roman"/>
                <w:sz w:val="20"/>
                <w:szCs w:val="20"/>
              </w:rPr>
              <w:t>23.483</w:t>
            </w:r>
          </w:p>
        </w:tc>
        <w:tc>
          <w:tcPr>
            <w:tcW w:w="573" w:type="dxa"/>
            <w:vAlign w:val="center"/>
          </w:tcPr>
          <w:p w:rsidR="00EE0519" w:rsidRPr="002026DB" w:rsidRDefault="00EE0519" w:rsidP="00DE000C">
            <w:pPr>
              <w:jc w:val="center"/>
              <w:rPr>
                <w:rFonts w:ascii="Times New Roman" w:hAnsi="Times New Roman" w:cs="Times New Roman"/>
                <w:color w:val="000000"/>
                <w:sz w:val="20"/>
                <w:szCs w:val="20"/>
              </w:rPr>
            </w:pPr>
            <w:r w:rsidRPr="002026DB">
              <w:rPr>
                <w:rFonts w:ascii="Times New Roman" w:hAnsi="Times New Roman" w:cs="Times New Roman"/>
                <w:color w:val="000000"/>
                <w:sz w:val="20"/>
                <w:szCs w:val="20"/>
              </w:rPr>
              <w:t>25</w:t>
            </w:r>
          </w:p>
        </w:tc>
        <w:tc>
          <w:tcPr>
            <w:tcW w:w="1216" w:type="dxa"/>
            <w:vAlign w:val="center"/>
          </w:tcPr>
          <w:p w:rsidR="00EE0519" w:rsidRPr="002026DB" w:rsidRDefault="00EE0519" w:rsidP="00DE000C">
            <w:pPr>
              <w:jc w:val="center"/>
              <w:rPr>
                <w:rFonts w:ascii="Times New Roman" w:hAnsi="Times New Roman" w:cs="Times New Roman"/>
                <w:color w:val="000000"/>
                <w:sz w:val="20"/>
                <w:szCs w:val="20"/>
              </w:rPr>
            </w:pPr>
            <w:r w:rsidRPr="002026DB">
              <w:rPr>
                <w:rFonts w:ascii="Times New Roman" w:hAnsi="Times New Roman" w:cs="Times New Roman"/>
                <w:color w:val="000000"/>
                <w:sz w:val="20"/>
                <w:szCs w:val="20"/>
              </w:rPr>
              <w:t>27.143.362</w:t>
            </w:r>
          </w:p>
        </w:tc>
        <w:tc>
          <w:tcPr>
            <w:tcW w:w="0" w:type="auto"/>
            <w:tcBorders>
              <w:right w:val="single" w:sz="18" w:space="0" w:color="auto"/>
            </w:tcBorders>
            <w:vAlign w:val="center"/>
          </w:tcPr>
          <w:p w:rsidR="00EE0519" w:rsidRPr="002026DB" w:rsidRDefault="00EE0519" w:rsidP="00DE000C">
            <w:pPr>
              <w:jc w:val="center"/>
              <w:rPr>
                <w:rFonts w:ascii="Times New Roman" w:hAnsi="Times New Roman" w:cs="Times New Roman"/>
                <w:color w:val="000000"/>
                <w:sz w:val="20"/>
                <w:szCs w:val="20"/>
              </w:rPr>
            </w:pPr>
            <w:r w:rsidRPr="002026DB">
              <w:rPr>
                <w:rFonts w:ascii="Times New Roman" w:hAnsi="Times New Roman" w:cs="Times New Roman"/>
                <w:color w:val="000000"/>
                <w:sz w:val="20"/>
                <w:szCs w:val="20"/>
              </w:rPr>
              <w:t>9</w:t>
            </w:r>
          </w:p>
        </w:tc>
        <w:tc>
          <w:tcPr>
            <w:tcW w:w="940" w:type="dxa"/>
            <w:tcBorders>
              <w:left w:val="single" w:sz="18" w:space="0" w:color="auto"/>
            </w:tcBorders>
            <w:vAlign w:val="center"/>
          </w:tcPr>
          <w:p w:rsidR="00EE0519" w:rsidRPr="002026DB" w:rsidRDefault="00EE0519" w:rsidP="00DE000C">
            <w:pPr>
              <w:jc w:val="center"/>
              <w:rPr>
                <w:rFonts w:ascii="Times New Roman" w:hAnsi="Times New Roman" w:cs="Times New Roman"/>
                <w:color w:val="000000"/>
                <w:sz w:val="18"/>
                <w:szCs w:val="18"/>
              </w:rPr>
            </w:pPr>
            <w:r w:rsidRPr="002026DB">
              <w:rPr>
                <w:rFonts w:ascii="Times New Roman" w:hAnsi="Times New Roman" w:cs="Times New Roman"/>
                <w:color w:val="000000"/>
                <w:sz w:val="18"/>
                <w:szCs w:val="18"/>
              </w:rPr>
              <w:t>17.473</w:t>
            </w:r>
          </w:p>
        </w:tc>
        <w:tc>
          <w:tcPr>
            <w:tcW w:w="724" w:type="dxa"/>
            <w:vAlign w:val="center"/>
          </w:tcPr>
          <w:p w:rsidR="00EE0519" w:rsidRPr="002026DB" w:rsidRDefault="00EE0519" w:rsidP="00DE000C">
            <w:pPr>
              <w:jc w:val="center"/>
              <w:rPr>
                <w:rFonts w:ascii="Times New Roman" w:hAnsi="Times New Roman" w:cs="Times New Roman"/>
                <w:color w:val="000000"/>
                <w:sz w:val="18"/>
                <w:szCs w:val="18"/>
              </w:rPr>
            </w:pPr>
            <w:r w:rsidRPr="002026DB">
              <w:rPr>
                <w:rFonts w:ascii="Times New Roman" w:hAnsi="Times New Roman" w:cs="Times New Roman"/>
                <w:color w:val="000000"/>
                <w:sz w:val="18"/>
                <w:szCs w:val="18"/>
              </w:rPr>
              <w:t>21</w:t>
            </w:r>
          </w:p>
        </w:tc>
        <w:tc>
          <w:tcPr>
            <w:tcW w:w="1331" w:type="dxa"/>
            <w:vAlign w:val="center"/>
          </w:tcPr>
          <w:p w:rsidR="00EE0519" w:rsidRPr="002026DB" w:rsidRDefault="00EE0519" w:rsidP="00DE000C">
            <w:pPr>
              <w:jc w:val="center"/>
              <w:rPr>
                <w:rFonts w:ascii="Times New Roman" w:hAnsi="Times New Roman" w:cs="Times New Roman"/>
                <w:color w:val="000000"/>
                <w:sz w:val="18"/>
                <w:szCs w:val="18"/>
              </w:rPr>
            </w:pPr>
            <w:r w:rsidRPr="002026DB">
              <w:rPr>
                <w:rFonts w:ascii="Times New Roman" w:hAnsi="Times New Roman" w:cs="Times New Roman"/>
                <w:color w:val="000000"/>
                <w:sz w:val="18"/>
                <w:szCs w:val="18"/>
              </w:rPr>
              <w:t>25.869.366</w:t>
            </w:r>
          </w:p>
        </w:tc>
        <w:tc>
          <w:tcPr>
            <w:tcW w:w="818" w:type="dxa"/>
            <w:tcBorders>
              <w:right w:val="single" w:sz="18" w:space="0" w:color="auto"/>
            </w:tcBorders>
            <w:vAlign w:val="center"/>
          </w:tcPr>
          <w:p w:rsidR="00EE0519" w:rsidRPr="002026DB" w:rsidRDefault="00EE0519" w:rsidP="00DE000C">
            <w:pPr>
              <w:jc w:val="center"/>
              <w:rPr>
                <w:rFonts w:ascii="Times New Roman" w:hAnsi="Times New Roman" w:cs="Times New Roman"/>
                <w:color w:val="000000"/>
              </w:rPr>
            </w:pPr>
            <w:r w:rsidRPr="002026DB">
              <w:rPr>
                <w:rFonts w:ascii="Times New Roman" w:hAnsi="Times New Roman" w:cs="Times New Roman"/>
                <w:color w:val="000000"/>
              </w:rPr>
              <w:t>10</w:t>
            </w:r>
          </w:p>
        </w:tc>
      </w:tr>
      <w:tr w:rsidR="00EE0519" w:rsidRPr="002026DB" w:rsidTr="00DE000C">
        <w:tblPrEx>
          <w:tblLook w:val="04A0" w:firstRow="1" w:lastRow="0" w:firstColumn="1" w:lastColumn="0" w:noHBand="0" w:noVBand="1"/>
        </w:tblPrEx>
        <w:trPr>
          <w:jc w:val="center"/>
        </w:trPr>
        <w:tc>
          <w:tcPr>
            <w:tcW w:w="2354" w:type="dxa"/>
            <w:tcBorders>
              <w:left w:val="single" w:sz="18" w:space="0" w:color="auto"/>
              <w:right w:val="single" w:sz="18" w:space="0" w:color="auto"/>
            </w:tcBorders>
            <w:vAlign w:val="center"/>
          </w:tcPr>
          <w:p w:rsidR="00EE0519" w:rsidRPr="00A07ECD" w:rsidRDefault="00EE0519" w:rsidP="00DE000C">
            <w:pPr>
              <w:jc w:val="center"/>
              <w:rPr>
                <w:rFonts w:ascii="Times New Roman" w:hAnsi="Times New Roman" w:cs="Times New Roman"/>
                <w:b/>
                <w:sz w:val="20"/>
                <w:szCs w:val="20"/>
              </w:rPr>
            </w:pPr>
            <w:r w:rsidRPr="00A07ECD">
              <w:rPr>
                <w:rFonts w:ascii="Times New Roman" w:hAnsi="Times New Roman" w:cs="Times New Roman"/>
                <w:b/>
                <w:sz w:val="20"/>
                <w:szCs w:val="20"/>
              </w:rPr>
              <w:t>Правосуђе</w:t>
            </w:r>
          </w:p>
        </w:tc>
        <w:tc>
          <w:tcPr>
            <w:tcW w:w="940" w:type="dxa"/>
            <w:tcBorders>
              <w:left w:val="single" w:sz="18" w:space="0" w:color="auto"/>
            </w:tcBorders>
            <w:vAlign w:val="center"/>
          </w:tcPr>
          <w:p w:rsidR="00EE0519" w:rsidRPr="002026DB" w:rsidRDefault="00EE0519" w:rsidP="00DE000C">
            <w:pPr>
              <w:jc w:val="center"/>
              <w:rPr>
                <w:rFonts w:ascii="Times New Roman" w:hAnsi="Times New Roman" w:cs="Times New Roman"/>
                <w:sz w:val="20"/>
                <w:szCs w:val="20"/>
              </w:rPr>
            </w:pPr>
            <w:r w:rsidRPr="002026DB">
              <w:rPr>
                <w:rFonts w:ascii="Times New Roman" w:hAnsi="Times New Roman" w:cs="Times New Roman"/>
                <w:sz w:val="20"/>
                <w:szCs w:val="20"/>
              </w:rPr>
              <w:t>609</w:t>
            </w:r>
          </w:p>
        </w:tc>
        <w:tc>
          <w:tcPr>
            <w:tcW w:w="573" w:type="dxa"/>
            <w:vAlign w:val="center"/>
          </w:tcPr>
          <w:p w:rsidR="00EE0519" w:rsidRPr="002026DB" w:rsidRDefault="00EE0519" w:rsidP="00DE000C">
            <w:pPr>
              <w:jc w:val="center"/>
              <w:rPr>
                <w:rFonts w:ascii="Times New Roman" w:hAnsi="Times New Roman" w:cs="Times New Roman"/>
                <w:color w:val="000000"/>
                <w:sz w:val="20"/>
                <w:szCs w:val="20"/>
              </w:rPr>
            </w:pPr>
            <w:r w:rsidRPr="002026DB">
              <w:rPr>
                <w:rFonts w:ascii="Times New Roman" w:hAnsi="Times New Roman" w:cs="Times New Roman"/>
                <w:color w:val="000000"/>
                <w:sz w:val="20"/>
                <w:szCs w:val="20"/>
              </w:rPr>
              <w:t>1</w:t>
            </w:r>
          </w:p>
        </w:tc>
        <w:tc>
          <w:tcPr>
            <w:tcW w:w="1216" w:type="dxa"/>
            <w:vAlign w:val="center"/>
          </w:tcPr>
          <w:p w:rsidR="00EE0519" w:rsidRPr="002026DB" w:rsidRDefault="00EE0519" w:rsidP="00DE000C">
            <w:pPr>
              <w:jc w:val="center"/>
              <w:rPr>
                <w:rFonts w:ascii="Times New Roman" w:hAnsi="Times New Roman" w:cs="Times New Roman"/>
                <w:color w:val="000000"/>
                <w:sz w:val="20"/>
                <w:szCs w:val="20"/>
              </w:rPr>
            </w:pPr>
            <w:r w:rsidRPr="002026DB">
              <w:rPr>
                <w:rFonts w:ascii="Times New Roman" w:hAnsi="Times New Roman" w:cs="Times New Roman"/>
                <w:color w:val="000000"/>
                <w:sz w:val="20"/>
                <w:szCs w:val="20"/>
              </w:rPr>
              <w:t>606.124</w:t>
            </w:r>
          </w:p>
        </w:tc>
        <w:tc>
          <w:tcPr>
            <w:tcW w:w="0" w:type="auto"/>
            <w:tcBorders>
              <w:right w:val="single" w:sz="18" w:space="0" w:color="auto"/>
            </w:tcBorders>
            <w:vAlign w:val="center"/>
          </w:tcPr>
          <w:p w:rsidR="00EE0519" w:rsidRPr="002026DB" w:rsidRDefault="00EE0519" w:rsidP="00DE000C">
            <w:pPr>
              <w:jc w:val="center"/>
              <w:rPr>
                <w:rFonts w:ascii="Times New Roman" w:hAnsi="Times New Roman" w:cs="Times New Roman"/>
                <w:color w:val="000000"/>
                <w:sz w:val="20"/>
                <w:szCs w:val="20"/>
              </w:rPr>
            </w:pPr>
            <w:r w:rsidRPr="002026DB">
              <w:rPr>
                <w:rFonts w:ascii="Times New Roman" w:hAnsi="Times New Roman" w:cs="Times New Roman"/>
                <w:color w:val="000000"/>
                <w:sz w:val="20"/>
                <w:szCs w:val="20"/>
              </w:rPr>
              <w:t>0</w:t>
            </w:r>
          </w:p>
        </w:tc>
        <w:tc>
          <w:tcPr>
            <w:tcW w:w="940" w:type="dxa"/>
            <w:tcBorders>
              <w:left w:val="single" w:sz="18" w:space="0" w:color="auto"/>
            </w:tcBorders>
            <w:vAlign w:val="center"/>
          </w:tcPr>
          <w:p w:rsidR="00EE0519" w:rsidRPr="002026DB" w:rsidRDefault="00EE0519" w:rsidP="00DE000C">
            <w:pPr>
              <w:jc w:val="center"/>
              <w:rPr>
                <w:rFonts w:ascii="Times New Roman" w:hAnsi="Times New Roman" w:cs="Times New Roman"/>
                <w:color w:val="000000"/>
                <w:sz w:val="18"/>
                <w:szCs w:val="18"/>
              </w:rPr>
            </w:pPr>
            <w:r w:rsidRPr="002026DB">
              <w:rPr>
                <w:rFonts w:ascii="Times New Roman" w:hAnsi="Times New Roman" w:cs="Times New Roman"/>
                <w:color w:val="000000"/>
                <w:sz w:val="18"/>
                <w:szCs w:val="18"/>
              </w:rPr>
              <w:t>785</w:t>
            </w:r>
          </w:p>
        </w:tc>
        <w:tc>
          <w:tcPr>
            <w:tcW w:w="724" w:type="dxa"/>
            <w:vAlign w:val="center"/>
          </w:tcPr>
          <w:p w:rsidR="00EE0519" w:rsidRPr="002026DB" w:rsidRDefault="00EE0519" w:rsidP="00DE000C">
            <w:pPr>
              <w:jc w:val="center"/>
              <w:rPr>
                <w:rFonts w:ascii="Times New Roman" w:hAnsi="Times New Roman" w:cs="Times New Roman"/>
                <w:color w:val="000000"/>
                <w:sz w:val="18"/>
                <w:szCs w:val="18"/>
              </w:rPr>
            </w:pPr>
            <w:r w:rsidRPr="002026DB">
              <w:rPr>
                <w:rFonts w:ascii="Times New Roman" w:hAnsi="Times New Roman" w:cs="Times New Roman"/>
                <w:color w:val="000000"/>
                <w:sz w:val="18"/>
                <w:szCs w:val="18"/>
              </w:rPr>
              <w:t>1</w:t>
            </w:r>
          </w:p>
        </w:tc>
        <w:tc>
          <w:tcPr>
            <w:tcW w:w="1331" w:type="dxa"/>
            <w:vAlign w:val="center"/>
          </w:tcPr>
          <w:p w:rsidR="00EE0519" w:rsidRPr="002026DB" w:rsidRDefault="00EE0519" w:rsidP="00DE000C">
            <w:pPr>
              <w:jc w:val="center"/>
              <w:rPr>
                <w:rFonts w:ascii="Times New Roman" w:hAnsi="Times New Roman" w:cs="Times New Roman"/>
                <w:color w:val="000000"/>
                <w:sz w:val="18"/>
                <w:szCs w:val="18"/>
              </w:rPr>
            </w:pPr>
            <w:r w:rsidRPr="002026DB">
              <w:rPr>
                <w:rFonts w:ascii="Times New Roman" w:hAnsi="Times New Roman" w:cs="Times New Roman"/>
                <w:color w:val="000000"/>
                <w:sz w:val="18"/>
                <w:szCs w:val="18"/>
              </w:rPr>
              <w:t>596.963</w:t>
            </w:r>
          </w:p>
        </w:tc>
        <w:tc>
          <w:tcPr>
            <w:tcW w:w="818" w:type="dxa"/>
            <w:tcBorders>
              <w:right w:val="single" w:sz="18" w:space="0" w:color="auto"/>
            </w:tcBorders>
            <w:vAlign w:val="center"/>
          </w:tcPr>
          <w:p w:rsidR="00EE0519" w:rsidRPr="002026DB" w:rsidRDefault="00EE0519" w:rsidP="00DE000C">
            <w:pPr>
              <w:jc w:val="center"/>
              <w:rPr>
                <w:rFonts w:ascii="Times New Roman" w:hAnsi="Times New Roman" w:cs="Times New Roman"/>
                <w:color w:val="000000"/>
              </w:rPr>
            </w:pPr>
            <w:r w:rsidRPr="002026DB">
              <w:rPr>
                <w:rFonts w:ascii="Times New Roman" w:hAnsi="Times New Roman" w:cs="Times New Roman"/>
                <w:color w:val="000000"/>
              </w:rPr>
              <w:t>0</w:t>
            </w:r>
          </w:p>
        </w:tc>
      </w:tr>
      <w:tr w:rsidR="00EE0519" w:rsidRPr="002026DB" w:rsidTr="00DE000C">
        <w:tblPrEx>
          <w:tblLook w:val="04A0" w:firstRow="1" w:lastRow="0" w:firstColumn="1" w:lastColumn="0" w:noHBand="0" w:noVBand="1"/>
        </w:tblPrEx>
        <w:trPr>
          <w:jc w:val="center"/>
        </w:trPr>
        <w:tc>
          <w:tcPr>
            <w:tcW w:w="2354" w:type="dxa"/>
            <w:tcBorders>
              <w:left w:val="single" w:sz="18" w:space="0" w:color="auto"/>
              <w:right w:val="single" w:sz="18" w:space="0" w:color="auto"/>
            </w:tcBorders>
            <w:vAlign w:val="center"/>
          </w:tcPr>
          <w:p w:rsidR="00EE0519" w:rsidRPr="00A07ECD" w:rsidRDefault="00EE0519" w:rsidP="00DE000C">
            <w:pPr>
              <w:jc w:val="center"/>
              <w:rPr>
                <w:rFonts w:ascii="Times New Roman" w:hAnsi="Times New Roman" w:cs="Times New Roman"/>
                <w:b/>
                <w:sz w:val="20"/>
                <w:szCs w:val="20"/>
              </w:rPr>
            </w:pPr>
            <w:r w:rsidRPr="00A07ECD">
              <w:rPr>
                <w:rFonts w:ascii="Times New Roman" w:hAnsi="Times New Roman" w:cs="Times New Roman"/>
                <w:b/>
                <w:sz w:val="20"/>
                <w:szCs w:val="20"/>
              </w:rPr>
              <w:t>Здравство и социјална заштита</w:t>
            </w:r>
          </w:p>
        </w:tc>
        <w:tc>
          <w:tcPr>
            <w:tcW w:w="940" w:type="dxa"/>
            <w:tcBorders>
              <w:left w:val="single" w:sz="18" w:space="0" w:color="auto"/>
            </w:tcBorders>
            <w:vAlign w:val="center"/>
          </w:tcPr>
          <w:p w:rsidR="00EE0519" w:rsidRPr="002026DB" w:rsidRDefault="00EE0519" w:rsidP="00DE000C">
            <w:pPr>
              <w:jc w:val="center"/>
              <w:rPr>
                <w:rFonts w:ascii="Times New Roman" w:hAnsi="Times New Roman" w:cs="Times New Roman"/>
                <w:sz w:val="20"/>
                <w:szCs w:val="20"/>
              </w:rPr>
            </w:pPr>
            <w:r w:rsidRPr="002026DB">
              <w:rPr>
                <w:rFonts w:ascii="Times New Roman" w:hAnsi="Times New Roman" w:cs="Times New Roman"/>
                <w:sz w:val="20"/>
                <w:szCs w:val="20"/>
              </w:rPr>
              <w:t>23.606</w:t>
            </w:r>
          </w:p>
        </w:tc>
        <w:tc>
          <w:tcPr>
            <w:tcW w:w="573" w:type="dxa"/>
            <w:vAlign w:val="center"/>
          </w:tcPr>
          <w:p w:rsidR="00EE0519" w:rsidRPr="002026DB" w:rsidRDefault="00EE0519" w:rsidP="00DE000C">
            <w:pPr>
              <w:jc w:val="center"/>
              <w:rPr>
                <w:rFonts w:ascii="Times New Roman" w:hAnsi="Times New Roman" w:cs="Times New Roman"/>
                <w:color w:val="000000"/>
                <w:sz w:val="20"/>
                <w:szCs w:val="20"/>
              </w:rPr>
            </w:pPr>
            <w:r w:rsidRPr="002026DB">
              <w:rPr>
                <w:rFonts w:ascii="Times New Roman" w:hAnsi="Times New Roman" w:cs="Times New Roman"/>
                <w:color w:val="000000"/>
                <w:sz w:val="20"/>
                <w:szCs w:val="20"/>
              </w:rPr>
              <w:t>25</w:t>
            </w:r>
          </w:p>
        </w:tc>
        <w:tc>
          <w:tcPr>
            <w:tcW w:w="1216" w:type="dxa"/>
            <w:vAlign w:val="center"/>
          </w:tcPr>
          <w:p w:rsidR="00EE0519" w:rsidRPr="002026DB" w:rsidRDefault="00EE0519" w:rsidP="00DE000C">
            <w:pPr>
              <w:jc w:val="center"/>
              <w:rPr>
                <w:rFonts w:ascii="Times New Roman" w:hAnsi="Times New Roman" w:cs="Times New Roman"/>
                <w:color w:val="000000"/>
                <w:sz w:val="20"/>
                <w:szCs w:val="20"/>
              </w:rPr>
            </w:pPr>
            <w:r w:rsidRPr="002026DB">
              <w:rPr>
                <w:rFonts w:ascii="Times New Roman" w:hAnsi="Times New Roman" w:cs="Times New Roman"/>
                <w:color w:val="000000"/>
                <w:sz w:val="20"/>
                <w:szCs w:val="20"/>
              </w:rPr>
              <w:t>43.772.320</w:t>
            </w:r>
          </w:p>
        </w:tc>
        <w:tc>
          <w:tcPr>
            <w:tcW w:w="0" w:type="auto"/>
            <w:tcBorders>
              <w:right w:val="single" w:sz="18" w:space="0" w:color="auto"/>
            </w:tcBorders>
            <w:vAlign w:val="center"/>
          </w:tcPr>
          <w:p w:rsidR="00EE0519" w:rsidRPr="002026DB" w:rsidRDefault="00EE0519" w:rsidP="00DE000C">
            <w:pPr>
              <w:jc w:val="center"/>
              <w:rPr>
                <w:rFonts w:ascii="Times New Roman" w:hAnsi="Times New Roman" w:cs="Times New Roman"/>
                <w:color w:val="000000"/>
                <w:sz w:val="20"/>
                <w:szCs w:val="20"/>
              </w:rPr>
            </w:pPr>
            <w:r w:rsidRPr="002026DB">
              <w:rPr>
                <w:rFonts w:ascii="Times New Roman" w:hAnsi="Times New Roman" w:cs="Times New Roman"/>
                <w:color w:val="000000"/>
                <w:sz w:val="20"/>
                <w:szCs w:val="20"/>
              </w:rPr>
              <w:t>14</w:t>
            </w:r>
          </w:p>
        </w:tc>
        <w:tc>
          <w:tcPr>
            <w:tcW w:w="940" w:type="dxa"/>
            <w:tcBorders>
              <w:left w:val="single" w:sz="18" w:space="0" w:color="auto"/>
            </w:tcBorders>
            <w:vAlign w:val="center"/>
          </w:tcPr>
          <w:p w:rsidR="00EE0519" w:rsidRPr="002026DB" w:rsidRDefault="00EE0519" w:rsidP="00DE000C">
            <w:pPr>
              <w:jc w:val="center"/>
              <w:rPr>
                <w:rFonts w:ascii="Times New Roman" w:hAnsi="Times New Roman" w:cs="Times New Roman"/>
                <w:color w:val="000000"/>
                <w:sz w:val="18"/>
                <w:szCs w:val="18"/>
              </w:rPr>
            </w:pPr>
            <w:r w:rsidRPr="002026DB">
              <w:rPr>
                <w:rFonts w:ascii="Times New Roman" w:hAnsi="Times New Roman" w:cs="Times New Roman"/>
                <w:color w:val="000000"/>
                <w:sz w:val="18"/>
                <w:szCs w:val="18"/>
              </w:rPr>
              <w:t>25.915</w:t>
            </w:r>
          </w:p>
        </w:tc>
        <w:tc>
          <w:tcPr>
            <w:tcW w:w="724" w:type="dxa"/>
            <w:vAlign w:val="center"/>
          </w:tcPr>
          <w:p w:rsidR="00EE0519" w:rsidRPr="002026DB" w:rsidRDefault="00EE0519" w:rsidP="00DE000C">
            <w:pPr>
              <w:jc w:val="center"/>
              <w:rPr>
                <w:rFonts w:ascii="Times New Roman" w:hAnsi="Times New Roman" w:cs="Times New Roman"/>
                <w:color w:val="000000"/>
                <w:sz w:val="18"/>
                <w:szCs w:val="18"/>
              </w:rPr>
            </w:pPr>
            <w:r w:rsidRPr="002026DB">
              <w:rPr>
                <w:rFonts w:ascii="Times New Roman" w:hAnsi="Times New Roman" w:cs="Times New Roman"/>
                <w:color w:val="000000"/>
                <w:sz w:val="18"/>
                <w:szCs w:val="18"/>
              </w:rPr>
              <w:t>31</w:t>
            </w:r>
          </w:p>
        </w:tc>
        <w:tc>
          <w:tcPr>
            <w:tcW w:w="1331" w:type="dxa"/>
            <w:vAlign w:val="center"/>
          </w:tcPr>
          <w:p w:rsidR="00EE0519" w:rsidRPr="002026DB" w:rsidRDefault="00EE0519" w:rsidP="00DE000C">
            <w:pPr>
              <w:jc w:val="center"/>
              <w:rPr>
                <w:rFonts w:ascii="Times New Roman" w:hAnsi="Times New Roman" w:cs="Times New Roman"/>
                <w:color w:val="000000"/>
                <w:sz w:val="18"/>
                <w:szCs w:val="18"/>
              </w:rPr>
            </w:pPr>
            <w:r w:rsidRPr="002026DB">
              <w:rPr>
                <w:rFonts w:ascii="Times New Roman" w:hAnsi="Times New Roman" w:cs="Times New Roman"/>
                <w:color w:val="000000"/>
                <w:sz w:val="18"/>
                <w:szCs w:val="18"/>
              </w:rPr>
              <w:t>63.013.171</w:t>
            </w:r>
          </w:p>
        </w:tc>
        <w:tc>
          <w:tcPr>
            <w:tcW w:w="818" w:type="dxa"/>
            <w:tcBorders>
              <w:right w:val="single" w:sz="18" w:space="0" w:color="auto"/>
            </w:tcBorders>
            <w:vAlign w:val="center"/>
          </w:tcPr>
          <w:p w:rsidR="00EE0519" w:rsidRPr="002026DB" w:rsidRDefault="00EE0519" w:rsidP="00DE000C">
            <w:pPr>
              <w:jc w:val="center"/>
              <w:rPr>
                <w:rFonts w:ascii="Times New Roman" w:hAnsi="Times New Roman" w:cs="Times New Roman"/>
                <w:color w:val="000000"/>
              </w:rPr>
            </w:pPr>
            <w:r w:rsidRPr="002026DB">
              <w:rPr>
                <w:rFonts w:ascii="Times New Roman" w:hAnsi="Times New Roman" w:cs="Times New Roman"/>
                <w:color w:val="000000"/>
              </w:rPr>
              <w:t>24</w:t>
            </w:r>
          </w:p>
        </w:tc>
      </w:tr>
      <w:tr w:rsidR="00EE0519" w:rsidRPr="002026DB" w:rsidTr="00DE000C">
        <w:tblPrEx>
          <w:tblLook w:val="04A0" w:firstRow="1" w:lastRow="0" w:firstColumn="1" w:lastColumn="0" w:noHBand="0" w:noVBand="1"/>
        </w:tblPrEx>
        <w:trPr>
          <w:jc w:val="center"/>
        </w:trPr>
        <w:tc>
          <w:tcPr>
            <w:tcW w:w="2354" w:type="dxa"/>
            <w:tcBorders>
              <w:left w:val="single" w:sz="18" w:space="0" w:color="auto"/>
              <w:right w:val="single" w:sz="18" w:space="0" w:color="auto"/>
            </w:tcBorders>
            <w:vAlign w:val="center"/>
          </w:tcPr>
          <w:p w:rsidR="00EE0519" w:rsidRPr="00A07ECD" w:rsidRDefault="00EE0519" w:rsidP="00DE000C">
            <w:pPr>
              <w:jc w:val="center"/>
              <w:rPr>
                <w:rFonts w:ascii="Times New Roman" w:hAnsi="Times New Roman" w:cs="Times New Roman"/>
                <w:b/>
                <w:sz w:val="20"/>
                <w:szCs w:val="20"/>
              </w:rPr>
            </w:pPr>
            <w:r w:rsidRPr="00A07ECD">
              <w:rPr>
                <w:rFonts w:ascii="Times New Roman" w:hAnsi="Times New Roman" w:cs="Times New Roman"/>
                <w:b/>
                <w:sz w:val="20"/>
                <w:szCs w:val="20"/>
              </w:rPr>
              <w:t>Култура</w:t>
            </w:r>
          </w:p>
        </w:tc>
        <w:tc>
          <w:tcPr>
            <w:tcW w:w="940" w:type="dxa"/>
            <w:tcBorders>
              <w:left w:val="single" w:sz="18" w:space="0" w:color="auto"/>
            </w:tcBorders>
            <w:vAlign w:val="center"/>
          </w:tcPr>
          <w:p w:rsidR="00EE0519" w:rsidRPr="002026DB" w:rsidRDefault="00EE0519" w:rsidP="00DE000C">
            <w:pPr>
              <w:jc w:val="center"/>
              <w:rPr>
                <w:rFonts w:ascii="Times New Roman" w:hAnsi="Times New Roman" w:cs="Times New Roman"/>
                <w:sz w:val="20"/>
                <w:szCs w:val="20"/>
              </w:rPr>
            </w:pPr>
            <w:r w:rsidRPr="002026DB">
              <w:rPr>
                <w:rFonts w:ascii="Times New Roman" w:hAnsi="Times New Roman" w:cs="Times New Roman"/>
                <w:sz w:val="20"/>
                <w:szCs w:val="20"/>
              </w:rPr>
              <w:t>2.160</w:t>
            </w:r>
          </w:p>
        </w:tc>
        <w:tc>
          <w:tcPr>
            <w:tcW w:w="573" w:type="dxa"/>
            <w:vAlign w:val="center"/>
          </w:tcPr>
          <w:p w:rsidR="00EE0519" w:rsidRPr="002026DB" w:rsidRDefault="00EE0519" w:rsidP="00DE000C">
            <w:pPr>
              <w:jc w:val="center"/>
              <w:rPr>
                <w:rFonts w:ascii="Times New Roman" w:hAnsi="Times New Roman" w:cs="Times New Roman"/>
                <w:color w:val="000000"/>
                <w:sz w:val="20"/>
                <w:szCs w:val="20"/>
              </w:rPr>
            </w:pPr>
            <w:r w:rsidRPr="002026DB">
              <w:rPr>
                <w:rFonts w:ascii="Times New Roman" w:hAnsi="Times New Roman" w:cs="Times New Roman"/>
                <w:color w:val="000000"/>
                <w:sz w:val="20"/>
                <w:szCs w:val="20"/>
              </w:rPr>
              <w:t>2</w:t>
            </w:r>
          </w:p>
        </w:tc>
        <w:tc>
          <w:tcPr>
            <w:tcW w:w="1216" w:type="dxa"/>
            <w:vAlign w:val="center"/>
          </w:tcPr>
          <w:p w:rsidR="00EE0519" w:rsidRPr="002026DB" w:rsidRDefault="00EE0519" w:rsidP="00DE000C">
            <w:pPr>
              <w:jc w:val="center"/>
              <w:rPr>
                <w:rFonts w:ascii="Times New Roman" w:hAnsi="Times New Roman" w:cs="Times New Roman"/>
                <w:color w:val="000000"/>
                <w:sz w:val="20"/>
                <w:szCs w:val="20"/>
              </w:rPr>
            </w:pPr>
            <w:r w:rsidRPr="002026DB">
              <w:rPr>
                <w:rFonts w:ascii="Times New Roman" w:hAnsi="Times New Roman" w:cs="Times New Roman"/>
                <w:color w:val="000000"/>
                <w:sz w:val="20"/>
                <w:szCs w:val="20"/>
              </w:rPr>
              <w:t>1.740.648</w:t>
            </w:r>
          </w:p>
        </w:tc>
        <w:tc>
          <w:tcPr>
            <w:tcW w:w="0" w:type="auto"/>
            <w:tcBorders>
              <w:right w:val="single" w:sz="18" w:space="0" w:color="auto"/>
            </w:tcBorders>
            <w:vAlign w:val="center"/>
          </w:tcPr>
          <w:p w:rsidR="00EE0519" w:rsidRPr="002026DB" w:rsidRDefault="00EE0519" w:rsidP="00DE000C">
            <w:pPr>
              <w:jc w:val="center"/>
              <w:rPr>
                <w:rFonts w:ascii="Times New Roman" w:hAnsi="Times New Roman" w:cs="Times New Roman"/>
                <w:color w:val="000000"/>
                <w:sz w:val="20"/>
                <w:szCs w:val="20"/>
              </w:rPr>
            </w:pPr>
            <w:r w:rsidRPr="002026DB">
              <w:rPr>
                <w:rFonts w:ascii="Times New Roman" w:hAnsi="Times New Roman" w:cs="Times New Roman"/>
                <w:color w:val="000000"/>
                <w:sz w:val="20"/>
                <w:szCs w:val="20"/>
              </w:rPr>
              <w:t>1</w:t>
            </w:r>
          </w:p>
        </w:tc>
        <w:tc>
          <w:tcPr>
            <w:tcW w:w="940" w:type="dxa"/>
            <w:tcBorders>
              <w:left w:val="single" w:sz="18" w:space="0" w:color="auto"/>
            </w:tcBorders>
            <w:vAlign w:val="center"/>
          </w:tcPr>
          <w:p w:rsidR="00EE0519" w:rsidRPr="002026DB" w:rsidRDefault="00EE0519" w:rsidP="00DE000C">
            <w:pPr>
              <w:jc w:val="center"/>
              <w:rPr>
                <w:rFonts w:ascii="Times New Roman" w:hAnsi="Times New Roman" w:cs="Times New Roman"/>
                <w:color w:val="000000"/>
                <w:sz w:val="18"/>
                <w:szCs w:val="18"/>
              </w:rPr>
            </w:pPr>
            <w:r w:rsidRPr="002026DB">
              <w:rPr>
                <w:rFonts w:ascii="Times New Roman" w:hAnsi="Times New Roman" w:cs="Times New Roman"/>
                <w:color w:val="000000"/>
                <w:sz w:val="18"/>
                <w:szCs w:val="18"/>
              </w:rPr>
              <w:t>1.915</w:t>
            </w:r>
          </w:p>
        </w:tc>
        <w:tc>
          <w:tcPr>
            <w:tcW w:w="724" w:type="dxa"/>
            <w:vAlign w:val="center"/>
          </w:tcPr>
          <w:p w:rsidR="00EE0519" w:rsidRPr="002026DB" w:rsidRDefault="00EE0519" w:rsidP="00DE000C">
            <w:pPr>
              <w:jc w:val="center"/>
              <w:rPr>
                <w:rFonts w:ascii="Times New Roman" w:hAnsi="Times New Roman" w:cs="Times New Roman"/>
                <w:color w:val="000000"/>
                <w:sz w:val="18"/>
                <w:szCs w:val="18"/>
              </w:rPr>
            </w:pPr>
            <w:r w:rsidRPr="002026DB">
              <w:rPr>
                <w:rFonts w:ascii="Times New Roman" w:hAnsi="Times New Roman" w:cs="Times New Roman"/>
                <w:color w:val="000000"/>
                <w:sz w:val="18"/>
                <w:szCs w:val="18"/>
              </w:rPr>
              <w:t>2</w:t>
            </w:r>
          </w:p>
        </w:tc>
        <w:tc>
          <w:tcPr>
            <w:tcW w:w="1331" w:type="dxa"/>
            <w:vAlign w:val="center"/>
          </w:tcPr>
          <w:p w:rsidR="00EE0519" w:rsidRPr="002026DB" w:rsidRDefault="00EE0519" w:rsidP="00DE000C">
            <w:pPr>
              <w:jc w:val="center"/>
              <w:rPr>
                <w:rFonts w:ascii="Times New Roman" w:hAnsi="Times New Roman" w:cs="Times New Roman"/>
                <w:color w:val="000000"/>
                <w:sz w:val="18"/>
                <w:szCs w:val="18"/>
              </w:rPr>
            </w:pPr>
            <w:r w:rsidRPr="002026DB">
              <w:rPr>
                <w:rFonts w:ascii="Times New Roman" w:hAnsi="Times New Roman" w:cs="Times New Roman"/>
                <w:color w:val="000000"/>
                <w:sz w:val="18"/>
                <w:szCs w:val="18"/>
              </w:rPr>
              <w:t>1.936.650</w:t>
            </w:r>
          </w:p>
        </w:tc>
        <w:tc>
          <w:tcPr>
            <w:tcW w:w="818" w:type="dxa"/>
            <w:tcBorders>
              <w:right w:val="single" w:sz="18" w:space="0" w:color="auto"/>
            </w:tcBorders>
            <w:vAlign w:val="center"/>
          </w:tcPr>
          <w:p w:rsidR="00EE0519" w:rsidRPr="002026DB" w:rsidRDefault="00EE0519" w:rsidP="00DE000C">
            <w:pPr>
              <w:jc w:val="center"/>
              <w:rPr>
                <w:rFonts w:ascii="Times New Roman" w:hAnsi="Times New Roman" w:cs="Times New Roman"/>
                <w:color w:val="000000"/>
              </w:rPr>
            </w:pPr>
            <w:r w:rsidRPr="002026DB">
              <w:rPr>
                <w:rFonts w:ascii="Times New Roman" w:hAnsi="Times New Roman" w:cs="Times New Roman"/>
                <w:color w:val="000000"/>
              </w:rPr>
              <w:t>1</w:t>
            </w:r>
          </w:p>
        </w:tc>
      </w:tr>
      <w:tr w:rsidR="00EE0519" w:rsidRPr="002026DB" w:rsidTr="00DE000C">
        <w:tblPrEx>
          <w:tblLook w:val="04A0" w:firstRow="1" w:lastRow="0" w:firstColumn="1" w:lastColumn="0" w:noHBand="0" w:noVBand="1"/>
        </w:tblPrEx>
        <w:trPr>
          <w:jc w:val="center"/>
        </w:trPr>
        <w:tc>
          <w:tcPr>
            <w:tcW w:w="2354" w:type="dxa"/>
            <w:tcBorders>
              <w:left w:val="single" w:sz="18" w:space="0" w:color="auto"/>
              <w:right w:val="single" w:sz="18" w:space="0" w:color="auto"/>
            </w:tcBorders>
            <w:vAlign w:val="center"/>
          </w:tcPr>
          <w:p w:rsidR="00EE0519" w:rsidRPr="00A07ECD" w:rsidRDefault="00EE0519" w:rsidP="00DE000C">
            <w:pPr>
              <w:jc w:val="center"/>
              <w:rPr>
                <w:rFonts w:ascii="Times New Roman" w:hAnsi="Times New Roman" w:cs="Times New Roman"/>
                <w:b/>
                <w:sz w:val="20"/>
                <w:szCs w:val="20"/>
              </w:rPr>
            </w:pPr>
            <w:r w:rsidRPr="00A07ECD">
              <w:rPr>
                <w:rFonts w:ascii="Times New Roman" w:hAnsi="Times New Roman" w:cs="Times New Roman"/>
                <w:b/>
                <w:sz w:val="20"/>
                <w:szCs w:val="20"/>
              </w:rPr>
              <w:t>Просвета, наука и спорт</w:t>
            </w:r>
          </w:p>
        </w:tc>
        <w:tc>
          <w:tcPr>
            <w:tcW w:w="940" w:type="dxa"/>
            <w:tcBorders>
              <w:left w:val="single" w:sz="18" w:space="0" w:color="auto"/>
            </w:tcBorders>
            <w:vAlign w:val="center"/>
          </w:tcPr>
          <w:p w:rsidR="00EE0519" w:rsidRPr="002026DB" w:rsidRDefault="00EE0519" w:rsidP="00DE000C">
            <w:pPr>
              <w:jc w:val="center"/>
              <w:rPr>
                <w:rFonts w:ascii="Times New Roman" w:hAnsi="Times New Roman" w:cs="Times New Roman"/>
                <w:sz w:val="20"/>
                <w:szCs w:val="20"/>
              </w:rPr>
            </w:pPr>
            <w:r w:rsidRPr="002026DB">
              <w:rPr>
                <w:rFonts w:ascii="Times New Roman" w:hAnsi="Times New Roman" w:cs="Times New Roman"/>
                <w:sz w:val="20"/>
                <w:szCs w:val="20"/>
              </w:rPr>
              <w:t>9.093</w:t>
            </w:r>
          </w:p>
        </w:tc>
        <w:tc>
          <w:tcPr>
            <w:tcW w:w="573" w:type="dxa"/>
            <w:vAlign w:val="center"/>
          </w:tcPr>
          <w:p w:rsidR="00EE0519" w:rsidRPr="002026DB" w:rsidRDefault="00EE0519" w:rsidP="00DE000C">
            <w:pPr>
              <w:jc w:val="center"/>
              <w:rPr>
                <w:rFonts w:ascii="Times New Roman" w:hAnsi="Times New Roman" w:cs="Times New Roman"/>
                <w:color w:val="000000"/>
                <w:sz w:val="20"/>
                <w:szCs w:val="20"/>
              </w:rPr>
            </w:pPr>
            <w:r w:rsidRPr="002026DB">
              <w:rPr>
                <w:rFonts w:ascii="Times New Roman" w:hAnsi="Times New Roman" w:cs="Times New Roman"/>
                <w:color w:val="000000"/>
                <w:sz w:val="20"/>
                <w:szCs w:val="20"/>
              </w:rPr>
              <w:t>10</w:t>
            </w:r>
          </w:p>
        </w:tc>
        <w:tc>
          <w:tcPr>
            <w:tcW w:w="1216" w:type="dxa"/>
            <w:vAlign w:val="center"/>
          </w:tcPr>
          <w:p w:rsidR="00EE0519" w:rsidRPr="002026DB" w:rsidRDefault="00EE0519" w:rsidP="00DE000C">
            <w:pPr>
              <w:jc w:val="center"/>
              <w:rPr>
                <w:rFonts w:ascii="Times New Roman" w:hAnsi="Times New Roman" w:cs="Times New Roman"/>
                <w:color w:val="000000"/>
                <w:sz w:val="20"/>
                <w:szCs w:val="20"/>
              </w:rPr>
            </w:pPr>
            <w:r w:rsidRPr="002026DB">
              <w:rPr>
                <w:rFonts w:ascii="Times New Roman" w:hAnsi="Times New Roman" w:cs="Times New Roman"/>
                <w:color w:val="000000"/>
                <w:sz w:val="20"/>
                <w:szCs w:val="20"/>
              </w:rPr>
              <w:t>10.723.733</w:t>
            </w:r>
          </w:p>
        </w:tc>
        <w:tc>
          <w:tcPr>
            <w:tcW w:w="0" w:type="auto"/>
            <w:tcBorders>
              <w:right w:val="single" w:sz="18" w:space="0" w:color="auto"/>
            </w:tcBorders>
            <w:vAlign w:val="center"/>
          </w:tcPr>
          <w:p w:rsidR="00EE0519" w:rsidRPr="002026DB" w:rsidRDefault="00EE0519" w:rsidP="00DE000C">
            <w:pPr>
              <w:jc w:val="center"/>
              <w:rPr>
                <w:rFonts w:ascii="Times New Roman" w:hAnsi="Times New Roman" w:cs="Times New Roman"/>
                <w:color w:val="000000"/>
                <w:sz w:val="20"/>
                <w:szCs w:val="20"/>
              </w:rPr>
            </w:pPr>
            <w:r w:rsidRPr="002026DB">
              <w:rPr>
                <w:rFonts w:ascii="Times New Roman" w:hAnsi="Times New Roman" w:cs="Times New Roman"/>
                <w:color w:val="000000"/>
                <w:sz w:val="20"/>
                <w:szCs w:val="20"/>
              </w:rPr>
              <w:t>4</w:t>
            </w:r>
          </w:p>
        </w:tc>
        <w:tc>
          <w:tcPr>
            <w:tcW w:w="940" w:type="dxa"/>
            <w:tcBorders>
              <w:left w:val="single" w:sz="18" w:space="0" w:color="auto"/>
            </w:tcBorders>
            <w:vAlign w:val="center"/>
          </w:tcPr>
          <w:p w:rsidR="00EE0519" w:rsidRPr="002026DB" w:rsidRDefault="00EE0519" w:rsidP="00DE000C">
            <w:pPr>
              <w:jc w:val="center"/>
              <w:rPr>
                <w:rFonts w:ascii="Times New Roman" w:hAnsi="Times New Roman" w:cs="Times New Roman"/>
                <w:color w:val="000000"/>
                <w:sz w:val="18"/>
                <w:szCs w:val="18"/>
              </w:rPr>
            </w:pPr>
            <w:r w:rsidRPr="002026DB">
              <w:rPr>
                <w:rFonts w:ascii="Times New Roman" w:hAnsi="Times New Roman" w:cs="Times New Roman"/>
                <w:color w:val="000000"/>
                <w:sz w:val="18"/>
                <w:szCs w:val="18"/>
              </w:rPr>
              <w:t>6.998</w:t>
            </w:r>
          </w:p>
        </w:tc>
        <w:tc>
          <w:tcPr>
            <w:tcW w:w="724" w:type="dxa"/>
            <w:vAlign w:val="center"/>
          </w:tcPr>
          <w:p w:rsidR="00EE0519" w:rsidRPr="002026DB" w:rsidRDefault="00EE0519" w:rsidP="00DE000C">
            <w:pPr>
              <w:jc w:val="center"/>
              <w:rPr>
                <w:rFonts w:ascii="Times New Roman" w:hAnsi="Times New Roman" w:cs="Times New Roman"/>
                <w:color w:val="000000"/>
                <w:sz w:val="18"/>
                <w:szCs w:val="18"/>
              </w:rPr>
            </w:pPr>
            <w:r w:rsidRPr="002026DB">
              <w:rPr>
                <w:rFonts w:ascii="Times New Roman" w:hAnsi="Times New Roman" w:cs="Times New Roman"/>
                <w:color w:val="000000"/>
                <w:sz w:val="18"/>
                <w:szCs w:val="18"/>
              </w:rPr>
              <w:t>8</w:t>
            </w:r>
          </w:p>
        </w:tc>
        <w:tc>
          <w:tcPr>
            <w:tcW w:w="1331" w:type="dxa"/>
            <w:vAlign w:val="center"/>
          </w:tcPr>
          <w:p w:rsidR="00EE0519" w:rsidRPr="002026DB" w:rsidRDefault="00EE0519" w:rsidP="00DE000C">
            <w:pPr>
              <w:jc w:val="center"/>
              <w:rPr>
                <w:rFonts w:ascii="Times New Roman" w:hAnsi="Times New Roman" w:cs="Times New Roman"/>
                <w:color w:val="000000"/>
                <w:sz w:val="18"/>
                <w:szCs w:val="18"/>
              </w:rPr>
            </w:pPr>
            <w:r w:rsidRPr="002026DB">
              <w:rPr>
                <w:rFonts w:ascii="Times New Roman" w:hAnsi="Times New Roman" w:cs="Times New Roman"/>
                <w:color w:val="000000"/>
                <w:sz w:val="18"/>
                <w:szCs w:val="18"/>
              </w:rPr>
              <w:t>11.127.872</w:t>
            </w:r>
          </w:p>
        </w:tc>
        <w:tc>
          <w:tcPr>
            <w:tcW w:w="818" w:type="dxa"/>
            <w:tcBorders>
              <w:right w:val="single" w:sz="18" w:space="0" w:color="auto"/>
            </w:tcBorders>
            <w:vAlign w:val="center"/>
          </w:tcPr>
          <w:p w:rsidR="00EE0519" w:rsidRPr="002026DB" w:rsidRDefault="00EE0519" w:rsidP="00DE000C">
            <w:pPr>
              <w:jc w:val="center"/>
              <w:rPr>
                <w:rFonts w:ascii="Times New Roman" w:hAnsi="Times New Roman" w:cs="Times New Roman"/>
                <w:color w:val="000000"/>
              </w:rPr>
            </w:pPr>
            <w:r w:rsidRPr="002026DB">
              <w:rPr>
                <w:rFonts w:ascii="Times New Roman" w:hAnsi="Times New Roman" w:cs="Times New Roman"/>
                <w:color w:val="000000"/>
              </w:rPr>
              <w:t>4</w:t>
            </w:r>
          </w:p>
        </w:tc>
      </w:tr>
      <w:tr w:rsidR="00EE0519" w:rsidRPr="002026DB" w:rsidTr="00DE000C">
        <w:tblPrEx>
          <w:tblLook w:val="04A0" w:firstRow="1" w:lastRow="0" w:firstColumn="1" w:lastColumn="0" w:noHBand="0" w:noVBand="1"/>
        </w:tblPrEx>
        <w:trPr>
          <w:jc w:val="center"/>
        </w:trPr>
        <w:tc>
          <w:tcPr>
            <w:tcW w:w="2354" w:type="dxa"/>
            <w:tcBorders>
              <w:left w:val="single" w:sz="18" w:space="0" w:color="auto"/>
              <w:right w:val="single" w:sz="18" w:space="0" w:color="auto"/>
            </w:tcBorders>
            <w:vAlign w:val="center"/>
          </w:tcPr>
          <w:p w:rsidR="00EE0519" w:rsidRPr="00A07ECD" w:rsidRDefault="00EE0519" w:rsidP="00DE000C">
            <w:pPr>
              <w:jc w:val="center"/>
              <w:rPr>
                <w:rFonts w:ascii="Times New Roman" w:hAnsi="Times New Roman" w:cs="Times New Roman"/>
                <w:b/>
                <w:sz w:val="20"/>
                <w:szCs w:val="20"/>
              </w:rPr>
            </w:pPr>
            <w:r w:rsidRPr="00A07ECD">
              <w:rPr>
                <w:rFonts w:ascii="Times New Roman" w:hAnsi="Times New Roman" w:cs="Times New Roman"/>
                <w:b/>
                <w:sz w:val="20"/>
                <w:szCs w:val="20"/>
              </w:rPr>
              <w:t>Државна јавна предузећа</w:t>
            </w:r>
          </w:p>
        </w:tc>
        <w:tc>
          <w:tcPr>
            <w:tcW w:w="940" w:type="dxa"/>
            <w:tcBorders>
              <w:left w:val="single" w:sz="18" w:space="0" w:color="auto"/>
            </w:tcBorders>
            <w:vAlign w:val="center"/>
          </w:tcPr>
          <w:p w:rsidR="00EE0519" w:rsidRPr="002026DB" w:rsidRDefault="00EE0519" w:rsidP="00DE000C">
            <w:pPr>
              <w:jc w:val="center"/>
              <w:rPr>
                <w:rFonts w:ascii="Times New Roman" w:hAnsi="Times New Roman" w:cs="Times New Roman"/>
                <w:sz w:val="20"/>
                <w:szCs w:val="20"/>
              </w:rPr>
            </w:pPr>
            <w:r w:rsidRPr="002026DB">
              <w:rPr>
                <w:rFonts w:ascii="Times New Roman" w:hAnsi="Times New Roman" w:cs="Times New Roman"/>
                <w:sz w:val="20"/>
                <w:szCs w:val="20"/>
              </w:rPr>
              <w:t>13.427</w:t>
            </w:r>
          </w:p>
        </w:tc>
        <w:tc>
          <w:tcPr>
            <w:tcW w:w="573" w:type="dxa"/>
            <w:vAlign w:val="center"/>
          </w:tcPr>
          <w:p w:rsidR="00EE0519" w:rsidRPr="002026DB" w:rsidRDefault="00EE0519" w:rsidP="00DE000C">
            <w:pPr>
              <w:jc w:val="center"/>
              <w:rPr>
                <w:rFonts w:ascii="Times New Roman" w:hAnsi="Times New Roman" w:cs="Times New Roman"/>
                <w:color w:val="000000"/>
                <w:sz w:val="20"/>
                <w:szCs w:val="20"/>
              </w:rPr>
            </w:pPr>
            <w:r w:rsidRPr="002026DB">
              <w:rPr>
                <w:rFonts w:ascii="Times New Roman" w:hAnsi="Times New Roman" w:cs="Times New Roman"/>
                <w:color w:val="000000"/>
                <w:sz w:val="20"/>
                <w:szCs w:val="20"/>
              </w:rPr>
              <w:t>14</w:t>
            </w:r>
          </w:p>
        </w:tc>
        <w:tc>
          <w:tcPr>
            <w:tcW w:w="1216" w:type="dxa"/>
            <w:vAlign w:val="center"/>
          </w:tcPr>
          <w:p w:rsidR="00EE0519" w:rsidRPr="002026DB" w:rsidRDefault="00EE0519" w:rsidP="00DE000C">
            <w:pPr>
              <w:jc w:val="center"/>
              <w:rPr>
                <w:rFonts w:ascii="Times New Roman" w:hAnsi="Times New Roman" w:cs="Times New Roman"/>
                <w:color w:val="000000"/>
                <w:sz w:val="20"/>
                <w:szCs w:val="20"/>
              </w:rPr>
            </w:pPr>
            <w:r w:rsidRPr="002026DB">
              <w:rPr>
                <w:rFonts w:ascii="Times New Roman" w:hAnsi="Times New Roman" w:cs="Times New Roman"/>
                <w:color w:val="000000"/>
                <w:sz w:val="20"/>
                <w:szCs w:val="20"/>
              </w:rPr>
              <w:t>140.972.486</w:t>
            </w:r>
          </w:p>
        </w:tc>
        <w:tc>
          <w:tcPr>
            <w:tcW w:w="0" w:type="auto"/>
            <w:tcBorders>
              <w:right w:val="single" w:sz="18" w:space="0" w:color="auto"/>
            </w:tcBorders>
            <w:vAlign w:val="center"/>
          </w:tcPr>
          <w:p w:rsidR="00EE0519" w:rsidRPr="002026DB" w:rsidRDefault="00EE0519" w:rsidP="00DE000C">
            <w:pPr>
              <w:jc w:val="center"/>
              <w:rPr>
                <w:rFonts w:ascii="Times New Roman" w:hAnsi="Times New Roman" w:cs="Times New Roman"/>
                <w:color w:val="000000"/>
                <w:sz w:val="20"/>
                <w:szCs w:val="20"/>
              </w:rPr>
            </w:pPr>
            <w:r w:rsidRPr="002026DB">
              <w:rPr>
                <w:rFonts w:ascii="Times New Roman" w:hAnsi="Times New Roman" w:cs="Times New Roman"/>
                <w:color w:val="000000"/>
                <w:sz w:val="20"/>
                <w:szCs w:val="20"/>
              </w:rPr>
              <w:t>46</w:t>
            </w:r>
          </w:p>
        </w:tc>
        <w:tc>
          <w:tcPr>
            <w:tcW w:w="940" w:type="dxa"/>
            <w:tcBorders>
              <w:left w:val="single" w:sz="18" w:space="0" w:color="auto"/>
            </w:tcBorders>
            <w:vAlign w:val="center"/>
          </w:tcPr>
          <w:p w:rsidR="00EE0519" w:rsidRPr="002026DB" w:rsidRDefault="00EE0519" w:rsidP="00DE000C">
            <w:pPr>
              <w:jc w:val="center"/>
              <w:rPr>
                <w:rFonts w:ascii="Times New Roman" w:hAnsi="Times New Roman" w:cs="Times New Roman"/>
                <w:color w:val="000000"/>
                <w:sz w:val="18"/>
                <w:szCs w:val="18"/>
              </w:rPr>
            </w:pPr>
            <w:r w:rsidRPr="002026DB">
              <w:rPr>
                <w:rFonts w:ascii="Times New Roman" w:hAnsi="Times New Roman" w:cs="Times New Roman"/>
                <w:color w:val="000000"/>
                <w:sz w:val="18"/>
                <w:szCs w:val="18"/>
              </w:rPr>
              <w:t>11.511</w:t>
            </w:r>
          </w:p>
        </w:tc>
        <w:tc>
          <w:tcPr>
            <w:tcW w:w="724" w:type="dxa"/>
            <w:vAlign w:val="center"/>
          </w:tcPr>
          <w:p w:rsidR="00EE0519" w:rsidRPr="002026DB" w:rsidRDefault="00EE0519" w:rsidP="00DE000C">
            <w:pPr>
              <w:jc w:val="center"/>
              <w:rPr>
                <w:rFonts w:ascii="Times New Roman" w:hAnsi="Times New Roman" w:cs="Times New Roman"/>
                <w:color w:val="000000"/>
                <w:sz w:val="18"/>
                <w:szCs w:val="18"/>
              </w:rPr>
            </w:pPr>
            <w:r w:rsidRPr="002026DB">
              <w:rPr>
                <w:rFonts w:ascii="Times New Roman" w:hAnsi="Times New Roman" w:cs="Times New Roman"/>
                <w:color w:val="000000"/>
                <w:sz w:val="18"/>
                <w:szCs w:val="18"/>
              </w:rPr>
              <w:t>14</w:t>
            </w:r>
          </w:p>
        </w:tc>
        <w:tc>
          <w:tcPr>
            <w:tcW w:w="1331" w:type="dxa"/>
            <w:vAlign w:val="center"/>
          </w:tcPr>
          <w:p w:rsidR="00EE0519" w:rsidRPr="002026DB" w:rsidRDefault="00EE0519" w:rsidP="00DE000C">
            <w:pPr>
              <w:jc w:val="center"/>
              <w:rPr>
                <w:rFonts w:ascii="Times New Roman" w:hAnsi="Times New Roman" w:cs="Times New Roman"/>
                <w:color w:val="000000"/>
                <w:sz w:val="18"/>
                <w:szCs w:val="18"/>
              </w:rPr>
            </w:pPr>
            <w:r w:rsidRPr="002026DB">
              <w:rPr>
                <w:rFonts w:ascii="Times New Roman" w:hAnsi="Times New Roman" w:cs="Times New Roman"/>
                <w:color w:val="000000"/>
                <w:sz w:val="18"/>
                <w:szCs w:val="18"/>
              </w:rPr>
              <w:t>83.598.260</w:t>
            </w:r>
          </w:p>
        </w:tc>
        <w:tc>
          <w:tcPr>
            <w:tcW w:w="818" w:type="dxa"/>
            <w:tcBorders>
              <w:right w:val="single" w:sz="18" w:space="0" w:color="auto"/>
            </w:tcBorders>
            <w:vAlign w:val="center"/>
          </w:tcPr>
          <w:p w:rsidR="00EE0519" w:rsidRPr="002026DB" w:rsidRDefault="00EE0519" w:rsidP="00DE000C">
            <w:pPr>
              <w:jc w:val="center"/>
              <w:rPr>
                <w:rFonts w:ascii="Times New Roman" w:hAnsi="Times New Roman" w:cs="Times New Roman"/>
                <w:color w:val="000000"/>
              </w:rPr>
            </w:pPr>
            <w:r w:rsidRPr="002026DB">
              <w:rPr>
                <w:rFonts w:ascii="Times New Roman" w:hAnsi="Times New Roman" w:cs="Times New Roman"/>
                <w:color w:val="000000"/>
              </w:rPr>
              <w:t>32</w:t>
            </w:r>
          </w:p>
        </w:tc>
      </w:tr>
      <w:tr w:rsidR="00EE0519" w:rsidRPr="002026DB" w:rsidTr="00DE000C">
        <w:tblPrEx>
          <w:tblLook w:val="04A0" w:firstRow="1" w:lastRow="0" w:firstColumn="1" w:lastColumn="0" w:noHBand="0" w:noVBand="1"/>
        </w:tblPrEx>
        <w:trPr>
          <w:jc w:val="center"/>
        </w:trPr>
        <w:tc>
          <w:tcPr>
            <w:tcW w:w="2354" w:type="dxa"/>
            <w:tcBorders>
              <w:left w:val="single" w:sz="18" w:space="0" w:color="auto"/>
              <w:right w:val="single" w:sz="18" w:space="0" w:color="auto"/>
            </w:tcBorders>
            <w:vAlign w:val="center"/>
          </w:tcPr>
          <w:p w:rsidR="00EE0519" w:rsidRPr="00A07ECD" w:rsidRDefault="00EE0519" w:rsidP="00DE000C">
            <w:pPr>
              <w:jc w:val="center"/>
              <w:rPr>
                <w:rFonts w:ascii="Times New Roman" w:hAnsi="Times New Roman" w:cs="Times New Roman"/>
                <w:b/>
                <w:sz w:val="20"/>
                <w:szCs w:val="20"/>
              </w:rPr>
            </w:pPr>
            <w:r w:rsidRPr="00A07ECD">
              <w:rPr>
                <w:rFonts w:ascii="Times New Roman" w:hAnsi="Times New Roman" w:cs="Times New Roman"/>
                <w:b/>
                <w:sz w:val="20"/>
                <w:szCs w:val="20"/>
              </w:rPr>
              <w:t>Јавна предузећа-локална самоуправа</w:t>
            </w:r>
          </w:p>
        </w:tc>
        <w:tc>
          <w:tcPr>
            <w:tcW w:w="940" w:type="dxa"/>
            <w:tcBorders>
              <w:left w:val="single" w:sz="18" w:space="0" w:color="auto"/>
            </w:tcBorders>
            <w:vAlign w:val="center"/>
          </w:tcPr>
          <w:p w:rsidR="00EE0519" w:rsidRPr="002026DB" w:rsidRDefault="00EE0519" w:rsidP="00DE000C">
            <w:pPr>
              <w:jc w:val="center"/>
              <w:rPr>
                <w:rFonts w:ascii="Times New Roman" w:hAnsi="Times New Roman" w:cs="Times New Roman"/>
                <w:sz w:val="20"/>
                <w:szCs w:val="20"/>
              </w:rPr>
            </w:pPr>
            <w:r w:rsidRPr="002026DB">
              <w:rPr>
                <w:rFonts w:ascii="Times New Roman" w:hAnsi="Times New Roman" w:cs="Times New Roman"/>
                <w:sz w:val="20"/>
                <w:szCs w:val="20"/>
              </w:rPr>
              <w:t>14.380</w:t>
            </w:r>
          </w:p>
        </w:tc>
        <w:tc>
          <w:tcPr>
            <w:tcW w:w="573" w:type="dxa"/>
            <w:vAlign w:val="center"/>
          </w:tcPr>
          <w:p w:rsidR="00EE0519" w:rsidRPr="002026DB" w:rsidRDefault="00EE0519" w:rsidP="00DE000C">
            <w:pPr>
              <w:jc w:val="center"/>
              <w:rPr>
                <w:rFonts w:ascii="Times New Roman" w:hAnsi="Times New Roman" w:cs="Times New Roman"/>
                <w:color w:val="000000"/>
                <w:sz w:val="20"/>
                <w:szCs w:val="20"/>
              </w:rPr>
            </w:pPr>
            <w:r w:rsidRPr="002026DB">
              <w:rPr>
                <w:rFonts w:ascii="Times New Roman" w:hAnsi="Times New Roman" w:cs="Times New Roman"/>
                <w:color w:val="000000"/>
                <w:sz w:val="20"/>
                <w:szCs w:val="20"/>
              </w:rPr>
              <w:t>16</w:t>
            </w:r>
          </w:p>
        </w:tc>
        <w:tc>
          <w:tcPr>
            <w:tcW w:w="1216" w:type="dxa"/>
            <w:vAlign w:val="center"/>
          </w:tcPr>
          <w:p w:rsidR="00EE0519" w:rsidRPr="002026DB" w:rsidRDefault="00EE0519" w:rsidP="00DE000C">
            <w:pPr>
              <w:jc w:val="center"/>
              <w:rPr>
                <w:rFonts w:ascii="Times New Roman" w:hAnsi="Times New Roman" w:cs="Times New Roman"/>
                <w:color w:val="000000"/>
                <w:sz w:val="20"/>
                <w:szCs w:val="20"/>
              </w:rPr>
            </w:pPr>
            <w:r w:rsidRPr="002026DB">
              <w:rPr>
                <w:rFonts w:ascii="Times New Roman" w:hAnsi="Times New Roman" w:cs="Times New Roman"/>
                <w:color w:val="000000"/>
                <w:sz w:val="20"/>
                <w:szCs w:val="20"/>
              </w:rPr>
              <w:t>59.948.551</w:t>
            </w:r>
          </w:p>
        </w:tc>
        <w:tc>
          <w:tcPr>
            <w:tcW w:w="0" w:type="auto"/>
            <w:tcBorders>
              <w:right w:val="single" w:sz="18" w:space="0" w:color="auto"/>
            </w:tcBorders>
            <w:vAlign w:val="center"/>
          </w:tcPr>
          <w:p w:rsidR="00EE0519" w:rsidRPr="002026DB" w:rsidRDefault="00EE0519" w:rsidP="00DE000C">
            <w:pPr>
              <w:jc w:val="center"/>
              <w:rPr>
                <w:rFonts w:ascii="Times New Roman" w:hAnsi="Times New Roman" w:cs="Times New Roman"/>
                <w:color w:val="000000"/>
                <w:sz w:val="20"/>
                <w:szCs w:val="20"/>
              </w:rPr>
            </w:pPr>
            <w:r w:rsidRPr="002026DB">
              <w:rPr>
                <w:rFonts w:ascii="Times New Roman" w:hAnsi="Times New Roman" w:cs="Times New Roman"/>
                <w:color w:val="000000"/>
                <w:sz w:val="20"/>
                <w:szCs w:val="20"/>
              </w:rPr>
              <w:t>20</w:t>
            </w:r>
          </w:p>
        </w:tc>
        <w:tc>
          <w:tcPr>
            <w:tcW w:w="940" w:type="dxa"/>
            <w:tcBorders>
              <w:left w:val="single" w:sz="18" w:space="0" w:color="auto"/>
            </w:tcBorders>
            <w:vAlign w:val="center"/>
          </w:tcPr>
          <w:p w:rsidR="00EE0519" w:rsidRPr="002026DB" w:rsidRDefault="00EE0519" w:rsidP="00DE000C">
            <w:pPr>
              <w:jc w:val="center"/>
              <w:rPr>
                <w:rFonts w:ascii="Times New Roman" w:hAnsi="Times New Roman" w:cs="Times New Roman"/>
                <w:color w:val="000000"/>
                <w:sz w:val="18"/>
                <w:szCs w:val="18"/>
              </w:rPr>
            </w:pPr>
            <w:r w:rsidRPr="002026DB">
              <w:rPr>
                <w:rFonts w:ascii="Times New Roman" w:hAnsi="Times New Roman" w:cs="Times New Roman"/>
                <w:color w:val="000000"/>
                <w:sz w:val="18"/>
                <w:szCs w:val="18"/>
              </w:rPr>
              <w:t>13.076</w:t>
            </w:r>
          </w:p>
        </w:tc>
        <w:tc>
          <w:tcPr>
            <w:tcW w:w="724" w:type="dxa"/>
            <w:vAlign w:val="center"/>
          </w:tcPr>
          <w:p w:rsidR="00EE0519" w:rsidRPr="002026DB" w:rsidRDefault="00EE0519" w:rsidP="00DE000C">
            <w:pPr>
              <w:jc w:val="center"/>
              <w:rPr>
                <w:rFonts w:ascii="Times New Roman" w:hAnsi="Times New Roman" w:cs="Times New Roman"/>
                <w:color w:val="000000"/>
                <w:sz w:val="18"/>
                <w:szCs w:val="18"/>
              </w:rPr>
            </w:pPr>
            <w:r w:rsidRPr="002026DB">
              <w:rPr>
                <w:rFonts w:ascii="Times New Roman" w:hAnsi="Times New Roman" w:cs="Times New Roman"/>
                <w:color w:val="000000"/>
                <w:sz w:val="18"/>
                <w:szCs w:val="18"/>
              </w:rPr>
              <w:t>16</w:t>
            </w:r>
          </w:p>
        </w:tc>
        <w:tc>
          <w:tcPr>
            <w:tcW w:w="1331" w:type="dxa"/>
            <w:vAlign w:val="center"/>
          </w:tcPr>
          <w:p w:rsidR="00EE0519" w:rsidRPr="002026DB" w:rsidRDefault="00EE0519" w:rsidP="00DE000C">
            <w:pPr>
              <w:jc w:val="center"/>
              <w:rPr>
                <w:rFonts w:ascii="Times New Roman" w:hAnsi="Times New Roman" w:cs="Times New Roman"/>
                <w:color w:val="000000"/>
                <w:sz w:val="18"/>
                <w:szCs w:val="18"/>
              </w:rPr>
            </w:pPr>
            <w:r w:rsidRPr="002026DB">
              <w:rPr>
                <w:rFonts w:ascii="Times New Roman" w:hAnsi="Times New Roman" w:cs="Times New Roman"/>
                <w:color w:val="000000"/>
                <w:sz w:val="18"/>
                <w:szCs w:val="18"/>
              </w:rPr>
              <w:t>56.417.703</w:t>
            </w:r>
          </w:p>
        </w:tc>
        <w:tc>
          <w:tcPr>
            <w:tcW w:w="818" w:type="dxa"/>
            <w:tcBorders>
              <w:right w:val="single" w:sz="18" w:space="0" w:color="auto"/>
            </w:tcBorders>
            <w:vAlign w:val="center"/>
          </w:tcPr>
          <w:p w:rsidR="00EE0519" w:rsidRPr="002026DB" w:rsidRDefault="00EE0519" w:rsidP="00DE000C">
            <w:pPr>
              <w:jc w:val="center"/>
              <w:rPr>
                <w:rFonts w:ascii="Times New Roman" w:hAnsi="Times New Roman" w:cs="Times New Roman"/>
                <w:color w:val="000000"/>
              </w:rPr>
            </w:pPr>
            <w:r w:rsidRPr="002026DB">
              <w:rPr>
                <w:rFonts w:ascii="Times New Roman" w:hAnsi="Times New Roman" w:cs="Times New Roman"/>
                <w:color w:val="000000"/>
              </w:rPr>
              <w:t>21</w:t>
            </w:r>
          </w:p>
        </w:tc>
      </w:tr>
      <w:tr w:rsidR="00EE0519" w:rsidRPr="002026DB" w:rsidTr="00DE000C">
        <w:tblPrEx>
          <w:tblLook w:val="04A0" w:firstRow="1" w:lastRow="0" w:firstColumn="1" w:lastColumn="0" w:noHBand="0" w:noVBand="1"/>
        </w:tblPrEx>
        <w:trPr>
          <w:jc w:val="center"/>
        </w:trPr>
        <w:tc>
          <w:tcPr>
            <w:tcW w:w="2354" w:type="dxa"/>
            <w:tcBorders>
              <w:left w:val="single" w:sz="18" w:space="0" w:color="auto"/>
              <w:bottom w:val="single" w:sz="18" w:space="0" w:color="auto"/>
              <w:right w:val="single" w:sz="18" w:space="0" w:color="auto"/>
            </w:tcBorders>
            <w:vAlign w:val="center"/>
          </w:tcPr>
          <w:p w:rsidR="00EE0519" w:rsidRPr="00A07ECD" w:rsidRDefault="00EE0519" w:rsidP="00DE000C">
            <w:pPr>
              <w:jc w:val="center"/>
              <w:rPr>
                <w:rFonts w:ascii="Times New Roman" w:hAnsi="Times New Roman" w:cs="Times New Roman"/>
                <w:b/>
                <w:sz w:val="20"/>
                <w:szCs w:val="20"/>
              </w:rPr>
            </w:pPr>
            <w:r w:rsidRPr="00A07ECD">
              <w:rPr>
                <w:rFonts w:ascii="Times New Roman" w:hAnsi="Times New Roman" w:cs="Times New Roman"/>
                <w:b/>
                <w:sz w:val="20"/>
                <w:szCs w:val="20"/>
              </w:rPr>
              <w:t>Градска и општинска управа</w:t>
            </w:r>
          </w:p>
        </w:tc>
        <w:tc>
          <w:tcPr>
            <w:tcW w:w="940" w:type="dxa"/>
            <w:tcBorders>
              <w:left w:val="single" w:sz="18" w:space="0" w:color="auto"/>
              <w:bottom w:val="single" w:sz="18" w:space="0" w:color="auto"/>
            </w:tcBorders>
            <w:vAlign w:val="center"/>
          </w:tcPr>
          <w:p w:rsidR="00EE0519" w:rsidRPr="002026DB" w:rsidRDefault="00EE0519" w:rsidP="00DE000C">
            <w:pPr>
              <w:jc w:val="center"/>
              <w:rPr>
                <w:rFonts w:ascii="Times New Roman" w:hAnsi="Times New Roman" w:cs="Times New Roman"/>
                <w:sz w:val="20"/>
                <w:szCs w:val="20"/>
              </w:rPr>
            </w:pPr>
            <w:r w:rsidRPr="002026DB">
              <w:rPr>
                <w:rFonts w:ascii="Times New Roman" w:hAnsi="Times New Roman" w:cs="Times New Roman"/>
                <w:sz w:val="20"/>
                <w:szCs w:val="20"/>
              </w:rPr>
              <w:t>5.952</w:t>
            </w:r>
          </w:p>
        </w:tc>
        <w:tc>
          <w:tcPr>
            <w:tcW w:w="573" w:type="dxa"/>
            <w:tcBorders>
              <w:bottom w:val="single" w:sz="18" w:space="0" w:color="auto"/>
            </w:tcBorders>
            <w:vAlign w:val="center"/>
          </w:tcPr>
          <w:p w:rsidR="00EE0519" w:rsidRPr="00221039" w:rsidRDefault="00221039" w:rsidP="00DE000C">
            <w:pPr>
              <w:jc w:val="center"/>
              <w:rPr>
                <w:rFonts w:ascii="Times New Roman" w:hAnsi="Times New Roman" w:cs="Times New Roman"/>
                <w:color w:val="000000"/>
                <w:sz w:val="20"/>
                <w:szCs w:val="20"/>
              </w:rPr>
            </w:pPr>
            <w:r>
              <w:rPr>
                <w:rFonts w:ascii="Times New Roman" w:hAnsi="Times New Roman" w:cs="Times New Roman"/>
                <w:color w:val="000000"/>
                <w:sz w:val="20"/>
                <w:szCs w:val="20"/>
              </w:rPr>
              <w:t>7</w:t>
            </w:r>
          </w:p>
        </w:tc>
        <w:tc>
          <w:tcPr>
            <w:tcW w:w="1216" w:type="dxa"/>
            <w:tcBorders>
              <w:bottom w:val="single" w:sz="18" w:space="0" w:color="auto"/>
            </w:tcBorders>
            <w:vAlign w:val="center"/>
          </w:tcPr>
          <w:p w:rsidR="00EE0519" w:rsidRPr="002026DB" w:rsidRDefault="00EE0519" w:rsidP="00DE000C">
            <w:pPr>
              <w:jc w:val="center"/>
              <w:rPr>
                <w:rFonts w:ascii="Times New Roman" w:hAnsi="Times New Roman" w:cs="Times New Roman"/>
                <w:color w:val="000000"/>
                <w:sz w:val="20"/>
                <w:szCs w:val="20"/>
              </w:rPr>
            </w:pPr>
            <w:r w:rsidRPr="002026DB">
              <w:rPr>
                <w:rFonts w:ascii="Times New Roman" w:hAnsi="Times New Roman" w:cs="Times New Roman"/>
                <w:color w:val="000000"/>
                <w:sz w:val="20"/>
                <w:szCs w:val="20"/>
              </w:rPr>
              <w:t>18.786.912</w:t>
            </w:r>
          </w:p>
        </w:tc>
        <w:tc>
          <w:tcPr>
            <w:tcW w:w="0" w:type="auto"/>
            <w:tcBorders>
              <w:bottom w:val="single" w:sz="18" w:space="0" w:color="auto"/>
              <w:right w:val="single" w:sz="18" w:space="0" w:color="auto"/>
            </w:tcBorders>
            <w:vAlign w:val="center"/>
          </w:tcPr>
          <w:p w:rsidR="00EE0519" w:rsidRPr="002026DB" w:rsidRDefault="00EE0519" w:rsidP="00DE000C">
            <w:pPr>
              <w:jc w:val="center"/>
              <w:rPr>
                <w:rFonts w:ascii="Times New Roman" w:hAnsi="Times New Roman" w:cs="Times New Roman"/>
                <w:color w:val="000000"/>
                <w:sz w:val="20"/>
                <w:szCs w:val="20"/>
              </w:rPr>
            </w:pPr>
            <w:r w:rsidRPr="002026DB">
              <w:rPr>
                <w:rFonts w:ascii="Times New Roman" w:hAnsi="Times New Roman" w:cs="Times New Roman"/>
                <w:color w:val="000000"/>
                <w:sz w:val="20"/>
                <w:szCs w:val="20"/>
              </w:rPr>
              <w:t>6</w:t>
            </w:r>
          </w:p>
        </w:tc>
        <w:tc>
          <w:tcPr>
            <w:tcW w:w="940" w:type="dxa"/>
            <w:tcBorders>
              <w:left w:val="single" w:sz="18" w:space="0" w:color="auto"/>
              <w:bottom w:val="single" w:sz="18" w:space="0" w:color="auto"/>
            </w:tcBorders>
            <w:vAlign w:val="center"/>
          </w:tcPr>
          <w:p w:rsidR="00EE0519" w:rsidRPr="002026DB" w:rsidRDefault="00EE0519" w:rsidP="00DE000C">
            <w:pPr>
              <w:jc w:val="center"/>
              <w:rPr>
                <w:rFonts w:ascii="Times New Roman" w:hAnsi="Times New Roman" w:cs="Times New Roman"/>
                <w:color w:val="000000"/>
                <w:sz w:val="18"/>
                <w:szCs w:val="18"/>
              </w:rPr>
            </w:pPr>
            <w:r w:rsidRPr="002026DB">
              <w:rPr>
                <w:rFonts w:ascii="Times New Roman" w:hAnsi="Times New Roman" w:cs="Times New Roman"/>
                <w:color w:val="000000"/>
                <w:sz w:val="18"/>
                <w:szCs w:val="18"/>
              </w:rPr>
              <w:t>5.804</w:t>
            </w:r>
          </w:p>
        </w:tc>
        <w:tc>
          <w:tcPr>
            <w:tcW w:w="724" w:type="dxa"/>
            <w:tcBorders>
              <w:bottom w:val="single" w:sz="18" w:space="0" w:color="auto"/>
            </w:tcBorders>
            <w:vAlign w:val="center"/>
          </w:tcPr>
          <w:p w:rsidR="00EE0519" w:rsidRPr="002026DB" w:rsidRDefault="00EE0519" w:rsidP="00DE000C">
            <w:pPr>
              <w:jc w:val="center"/>
              <w:rPr>
                <w:rFonts w:ascii="Times New Roman" w:hAnsi="Times New Roman" w:cs="Times New Roman"/>
                <w:color w:val="000000"/>
                <w:sz w:val="18"/>
                <w:szCs w:val="18"/>
              </w:rPr>
            </w:pPr>
            <w:r w:rsidRPr="002026DB">
              <w:rPr>
                <w:rFonts w:ascii="Times New Roman" w:hAnsi="Times New Roman" w:cs="Times New Roman"/>
                <w:color w:val="000000"/>
                <w:sz w:val="18"/>
                <w:szCs w:val="18"/>
              </w:rPr>
              <w:t>7</w:t>
            </w:r>
          </w:p>
        </w:tc>
        <w:tc>
          <w:tcPr>
            <w:tcW w:w="1331" w:type="dxa"/>
            <w:tcBorders>
              <w:bottom w:val="single" w:sz="18" w:space="0" w:color="auto"/>
            </w:tcBorders>
            <w:vAlign w:val="center"/>
          </w:tcPr>
          <w:p w:rsidR="00EE0519" w:rsidRPr="002026DB" w:rsidRDefault="00EE0519" w:rsidP="00DE000C">
            <w:pPr>
              <w:jc w:val="center"/>
              <w:rPr>
                <w:rFonts w:ascii="Times New Roman" w:hAnsi="Times New Roman" w:cs="Times New Roman"/>
                <w:color w:val="000000"/>
                <w:sz w:val="18"/>
                <w:szCs w:val="18"/>
              </w:rPr>
            </w:pPr>
            <w:r w:rsidRPr="002026DB">
              <w:rPr>
                <w:rFonts w:ascii="Times New Roman" w:hAnsi="Times New Roman" w:cs="Times New Roman"/>
                <w:color w:val="000000"/>
                <w:sz w:val="18"/>
                <w:szCs w:val="18"/>
              </w:rPr>
              <w:t>20.378.750</w:t>
            </w:r>
          </w:p>
        </w:tc>
        <w:tc>
          <w:tcPr>
            <w:tcW w:w="818" w:type="dxa"/>
            <w:tcBorders>
              <w:bottom w:val="single" w:sz="18" w:space="0" w:color="auto"/>
              <w:right w:val="single" w:sz="18" w:space="0" w:color="auto"/>
            </w:tcBorders>
            <w:vAlign w:val="center"/>
          </w:tcPr>
          <w:p w:rsidR="00EE0519" w:rsidRPr="002026DB" w:rsidRDefault="00EE0519" w:rsidP="00DE000C">
            <w:pPr>
              <w:jc w:val="center"/>
              <w:rPr>
                <w:rFonts w:ascii="Times New Roman" w:hAnsi="Times New Roman" w:cs="Times New Roman"/>
                <w:color w:val="000000"/>
              </w:rPr>
            </w:pPr>
            <w:r w:rsidRPr="002026DB">
              <w:rPr>
                <w:rFonts w:ascii="Times New Roman" w:hAnsi="Times New Roman" w:cs="Times New Roman"/>
                <w:color w:val="000000"/>
              </w:rPr>
              <w:t>8</w:t>
            </w:r>
          </w:p>
        </w:tc>
      </w:tr>
      <w:tr w:rsidR="00EE0519" w:rsidRPr="002026DB" w:rsidTr="00DE000C">
        <w:tblPrEx>
          <w:tblLook w:val="04A0" w:firstRow="1" w:lastRow="0" w:firstColumn="1" w:lastColumn="0" w:noHBand="0" w:noVBand="1"/>
        </w:tblPrEx>
        <w:trPr>
          <w:jc w:val="center"/>
        </w:trPr>
        <w:tc>
          <w:tcPr>
            <w:tcW w:w="2354" w:type="dxa"/>
            <w:tcBorders>
              <w:top w:val="single" w:sz="18" w:space="0" w:color="auto"/>
              <w:left w:val="single" w:sz="18" w:space="0" w:color="auto"/>
              <w:bottom w:val="single" w:sz="18" w:space="0" w:color="auto"/>
              <w:right w:val="single" w:sz="18" w:space="0" w:color="auto"/>
            </w:tcBorders>
            <w:vAlign w:val="center"/>
          </w:tcPr>
          <w:p w:rsidR="00EE0519" w:rsidRPr="00A07ECD" w:rsidRDefault="00EE0519" w:rsidP="00DE000C">
            <w:pPr>
              <w:jc w:val="center"/>
              <w:rPr>
                <w:rFonts w:ascii="Times New Roman" w:hAnsi="Times New Roman" w:cs="Times New Roman"/>
                <w:b/>
                <w:sz w:val="20"/>
                <w:szCs w:val="20"/>
              </w:rPr>
            </w:pPr>
            <w:r w:rsidRPr="00A07ECD">
              <w:rPr>
                <w:rFonts w:ascii="Times New Roman" w:hAnsi="Times New Roman" w:cs="Times New Roman"/>
                <w:b/>
                <w:sz w:val="20"/>
                <w:szCs w:val="20"/>
              </w:rPr>
              <w:t>Укупно</w:t>
            </w:r>
          </w:p>
        </w:tc>
        <w:tc>
          <w:tcPr>
            <w:tcW w:w="940" w:type="dxa"/>
            <w:tcBorders>
              <w:top w:val="single" w:sz="18" w:space="0" w:color="auto"/>
              <w:left w:val="single" w:sz="18" w:space="0" w:color="auto"/>
              <w:bottom w:val="single" w:sz="18" w:space="0" w:color="auto"/>
            </w:tcBorders>
            <w:vAlign w:val="center"/>
          </w:tcPr>
          <w:p w:rsidR="00EE0519" w:rsidRPr="002026DB" w:rsidRDefault="00EE0519" w:rsidP="00DE000C">
            <w:pPr>
              <w:jc w:val="center"/>
              <w:rPr>
                <w:rFonts w:ascii="Times New Roman" w:hAnsi="Times New Roman" w:cs="Times New Roman"/>
                <w:sz w:val="20"/>
                <w:szCs w:val="20"/>
              </w:rPr>
            </w:pPr>
            <w:r w:rsidRPr="002026DB">
              <w:rPr>
                <w:rFonts w:ascii="Times New Roman" w:hAnsi="Times New Roman" w:cs="Times New Roman"/>
                <w:sz w:val="20"/>
                <w:szCs w:val="20"/>
              </w:rPr>
              <w:t>92.710</w:t>
            </w:r>
          </w:p>
        </w:tc>
        <w:tc>
          <w:tcPr>
            <w:tcW w:w="573" w:type="dxa"/>
            <w:tcBorders>
              <w:top w:val="single" w:sz="18" w:space="0" w:color="auto"/>
              <w:bottom w:val="single" w:sz="18" w:space="0" w:color="auto"/>
            </w:tcBorders>
            <w:vAlign w:val="center"/>
          </w:tcPr>
          <w:p w:rsidR="00EE0519" w:rsidRPr="002026DB" w:rsidRDefault="00EE0519" w:rsidP="00DE000C">
            <w:pPr>
              <w:jc w:val="center"/>
              <w:rPr>
                <w:rFonts w:ascii="Times New Roman" w:hAnsi="Times New Roman" w:cs="Times New Roman"/>
                <w:color w:val="000000"/>
                <w:sz w:val="20"/>
                <w:szCs w:val="20"/>
              </w:rPr>
            </w:pPr>
            <w:r w:rsidRPr="002026DB">
              <w:rPr>
                <w:rFonts w:ascii="Times New Roman" w:hAnsi="Times New Roman" w:cs="Times New Roman"/>
                <w:color w:val="000000"/>
                <w:sz w:val="20"/>
                <w:szCs w:val="20"/>
              </w:rPr>
              <w:t>100</w:t>
            </w:r>
          </w:p>
        </w:tc>
        <w:tc>
          <w:tcPr>
            <w:tcW w:w="1216" w:type="dxa"/>
            <w:tcBorders>
              <w:top w:val="single" w:sz="18" w:space="0" w:color="auto"/>
              <w:bottom w:val="single" w:sz="18" w:space="0" w:color="auto"/>
            </w:tcBorders>
            <w:vAlign w:val="center"/>
          </w:tcPr>
          <w:p w:rsidR="00EE0519" w:rsidRPr="002026DB" w:rsidRDefault="00EE0519" w:rsidP="00DE000C">
            <w:pPr>
              <w:jc w:val="center"/>
              <w:rPr>
                <w:rFonts w:ascii="Times New Roman" w:hAnsi="Times New Roman" w:cs="Times New Roman"/>
                <w:color w:val="000000"/>
                <w:sz w:val="20"/>
                <w:szCs w:val="20"/>
              </w:rPr>
            </w:pPr>
            <w:r w:rsidRPr="002026DB">
              <w:rPr>
                <w:rFonts w:ascii="Times New Roman" w:hAnsi="Times New Roman" w:cs="Times New Roman"/>
                <w:color w:val="000000"/>
                <w:sz w:val="20"/>
                <w:szCs w:val="20"/>
              </w:rPr>
              <w:t>303.694.136</w:t>
            </w:r>
          </w:p>
        </w:tc>
        <w:tc>
          <w:tcPr>
            <w:tcW w:w="0" w:type="auto"/>
            <w:tcBorders>
              <w:top w:val="single" w:sz="18" w:space="0" w:color="auto"/>
              <w:bottom w:val="single" w:sz="18" w:space="0" w:color="auto"/>
              <w:right w:val="single" w:sz="18" w:space="0" w:color="auto"/>
            </w:tcBorders>
            <w:vAlign w:val="center"/>
          </w:tcPr>
          <w:p w:rsidR="00EE0519" w:rsidRPr="002026DB" w:rsidRDefault="00EE0519" w:rsidP="00DE000C">
            <w:pPr>
              <w:jc w:val="center"/>
              <w:rPr>
                <w:rFonts w:ascii="Times New Roman" w:hAnsi="Times New Roman" w:cs="Times New Roman"/>
                <w:color w:val="000000"/>
                <w:sz w:val="20"/>
                <w:szCs w:val="20"/>
              </w:rPr>
            </w:pPr>
            <w:r w:rsidRPr="002026DB">
              <w:rPr>
                <w:rFonts w:ascii="Times New Roman" w:hAnsi="Times New Roman" w:cs="Times New Roman"/>
                <w:color w:val="000000"/>
                <w:sz w:val="20"/>
                <w:szCs w:val="20"/>
              </w:rPr>
              <w:t>100</w:t>
            </w:r>
          </w:p>
        </w:tc>
        <w:tc>
          <w:tcPr>
            <w:tcW w:w="940" w:type="dxa"/>
            <w:tcBorders>
              <w:top w:val="single" w:sz="18" w:space="0" w:color="auto"/>
              <w:left w:val="single" w:sz="18" w:space="0" w:color="auto"/>
              <w:bottom w:val="single" w:sz="18" w:space="0" w:color="auto"/>
            </w:tcBorders>
            <w:vAlign w:val="bottom"/>
          </w:tcPr>
          <w:p w:rsidR="00EE0519" w:rsidRPr="002026DB" w:rsidRDefault="00EE0519" w:rsidP="00DE000C">
            <w:pPr>
              <w:jc w:val="right"/>
              <w:rPr>
                <w:rFonts w:ascii="Times New Roman" w:hAnsi="Times New Roman" w:cs="Times New Roman"/>
                <w:color w:val="000000"/>
              </w:rPr>
            </w:pPr>
            <w:r w:rsidRPr="002026DB">
              <w:rPr>
                <w:rFonts w:ascii="Times New Roman" w:hAnsi="Times New Roman" w:cs="Times New Roman"/>
                <w:color w:val="000000"/>
              </w:rPr>
              <w:t>83.477</w:t>
            </w:r>
          </w:p>
        </w:tc>
        <w:tc>
          <w:tcPr>
            <w:tcW w:w="724" w:type="dxa"/>
            <w:tcBorders>
              <w:top w:val="single" w:sz="18" w:space="0" w:color="auto"/>
              <w:bottom w:val="single" w:sz="18" w:space="0" w:color="auto"/>
            </w:tcBorders>
            <w:vAlign w:val="center"/>
          </w:tcPr>
          <w:p w:rsidR="00EE0519" w:rsidRPr="002026DB" w:rsidRDefault="00EE0519" w:rsidP="00DE000C">
            <w:pPr>
              <w:jc w:val="right"/>
              <w:rPr>
                <w:rFonts w:ascii="Times New Roman" w:hAnsi="Times New Roman" w:cs="Times New Roman"/>
                <w:color w:val="000000"/>
                <w:sz w:val="18"/>
                <w:szCs w:val="18"/>
              </w:rPr>
            </w:pPr>
            <w:r w:rsidRPr="002026DB">
              <w:rPr>
                <w:rFonts w:ascii="Times New Roman" w:hAnsi="Times New Roman" w:cs="Times New Roman"/>
                <w:color w:val="000000"/>
                <w:sz w:val="18"/>
                <w:szCs w:val="18"/>
              </w:rPr>
              <w:t>100</w:t>
            </w:r>
          </w:p>
        </w:tc>
        <w:tc>
          <w:tcPr>
            <w:tcW w:w="1331" w:type="dxa"/>
            <w:tcBorders>
              <w:top w:val="single" w:sz="18" w:space="0" w:color="auto"/>
              <w:bottom w:val="single" w:sz="18" w:space="0" w:color="auto"/>
            </w:tcBorders>
            <w:vAlign w:val="bottom"/>
          </w:tcPr>
          <w:p w:rsidR="00EE0519" w:rsidRPr="002026DB" w:rsidRDefault="00EE0519" w:rsidP="00DE000C">
            <w:pPr>
              <w:jc w:val="right"/>
              <w:rPr>
                <w:rFonts w:ascii="Times New Roman" w:hAnsi="Times New Roman" w:cs="Times New Roman"/>
                <w:color w:val="000000"/>
              </w:rPr>
            </w:pPr>
            <w:r w:rsidRPr="002026DB">
              <w:rPr>
                <w:rFonts w:ascii="Times New Roman" w:hAnsi="Times New Roman" w:cs="Times New Roman"/>
                <w:color w:val="000000"/>
              </w:rPr>
              <w:t>262.938.735</w:t>
            </w:r>
          </w:p>
        </w:tc>
        <w:tc>
          <w:tcPr>
            <w:tcW w:w="818" w:type="dxa"/>
            <w:tcBorders>
              <w:top w:val="single" w:sz="18" w:space="0" w:color="auto"/>
              <w:bottom w:val="single" w:sz="18" w:space="0" w:color="auto"/>
              <w:right w:val="single" w:sz="18" w:space="0" w:color="auto"/>
            </w:tcBorders>
            <w:vAlign w:val="bottom"/>
          </w:tcPr>
          <w:p w:rsidR="00EE0519" w:rsidRPr="002026DB" w:rsidRDefault="00EE0519" w:rsidP="00DE000C">
            <w:pPr>
              <w:jc w:val="center"/>
              <w:rPr>
                <w:rFonts w:ascii="Times New Roman" w:hAnsi="Times New Roman" w:cs="Times New Roman"/>
                <w:color w:val="000000"/>
              </w:rPr>
            </w:pPr>
            <w:r w:rsidRPr="002026DB">
              <w:rPr>
                <w:rFonts w:ascii="Times New Roman" w:hAnsi="Times New Roman" w:cs="Times New Roman"/>
                <w:color w:val="000000"/>
              </w:rPr>
              <w:t>100</w:t>
            </w:r>
          </w:p>
        </w:tc>
      </w:tr>
    </w:tbl>
    <w:p w:rsidR="00BE14E5" w:rsidRDefault="00BE14E5" w:rsidP="00BE14E5">
      <w:pPr>
        <w:rPr>
          <w:rFonts w:ascii="Times New Roman" w:hAnsi="Times New Roman" w:cs="Times New Roman"/>
          <w:lang w:val="sr-Cyrl-RS"/>
        </w:rPr>
      </w:pPr>
      <w:r w:rsidRPr="00BE14E5">
        <w:rPr>
          <w:rFonts w:ascii="Times New Roman" w:hAnsi="Times New Roman" w:cs="Times New Roman"/>
        </w:rPr>
        <w:t>*вредности су изражене у хиљадама динара</w:t>
      </w:r>
    </w:p>
    <w:p w:rsidR="009B3038" w:rsidRPr="00BE14E5" w:rsidRDefault="009B3038" w:rsidP="00BE14E5">
      <w:pPr>
        <w:rPr>
          <w:rFonts w:ascii="Times New Roman" w:hAnsi="Times New Roman" w:cs="Times New Roman"/>
        </w:rPr>
      </w:pPr>
      <w:r w:rsidRPr="006B0D56">
        <w:rPr>
          <w:rFonts w:ascii="Times New Roman" w:hAnsi="Times New Roman" w:cs="Times New Roman"/>
          <w:sz w:val="24"/>
          <w:szCs w:val="24"/>
        </w:rPr>
        <w:t xml:space="preserve">Остале категорије </w:t>
      </w:r>
      <w:r>
        <w:rPr>
          <w:rFonts w:ascii="Times New Roman" w:hAnsi="Times New Roman" w:cs="Times New Roman"/>
          <w:sz w:val="24"/>
          <w:szCs w:val="24"/>
        </w:rPr>
        <w:t xml:space="preserve">наручилаца </w:t>
      </w:r>
      <w:r w:rsidRPr="006B0D56">
        <w:rPr>
          <w:rFonts w:ascii="Times New Roman" w:hAnsi="Times New Roman" w:cs="Times New Roman"/>
          <w:sz w:val="24"/>
          <w:szCs w:val="24"/>
        </w:rPr>
        <w:t xml:space="preserve">нису значајније мењале </w:t>
      </w:r>
      <w:r>
        <w:rPr>
          <w:rFonts w:ascii="Times New Roman" w:hAnsi="Times New Roman" w:cs="Times New Roman"/>
          <w:sz w:val="24"/>
          <w:szCs w:val="24"/>
        </w:rPr>
        <w:t xml:space="preserve">удео. Сагледавање структуре јавних набавки је битно јер указује на које </w:t>
      </w:r>
      <w:r w:rsidRPr="006B0D56">
        <w:rPr>
          <w:rFonts w:ascii="Times New Roman" w:hAnsi="Times New Roman" w:cs="Times New Roman"/>
          <w:sz w:val="24"/>
          <w:szCs w:val="24"/>
        </w:rPr>
        <w:t xml:space="preserve">категорије наручилаца треба обратити нарочиту пажњу </w:t>
      </w:r>
      <w:r>
        <w:rPr>
          <w:rFonts w:ascii="Times New Roman" w:hAnsi="Times New Roman" w:cs="Times New Roman"/>
          <w:sz w:val="24"/>
          <w:szCs w:val="24"/>
        </w:rPr>
        <w:t xml:space="preserve">у анализи: </w:t>
      </w:r>
      <w:r w:rsidRPr="006B0D56">
        <w:rPr>
          <w:rFonts w:ascii="Times New Roman" w:hAnsi="Times New Roman" w:cs="Times New Roman"/>
          <w:sz w:val="24"/>
          <w:szCs w:val="24"/>
        </w:rPr>
        <w:t>јавна предузећа</w:t>
      </w:r>
      <w:r>
        <w:rPr>
          <w:rFonts w:ascii="Times New Roman" w:hAnsi="Times New Roman" w:cs="Times New Roman"/>
          <w:sz w:val="24"/>
          <w:szCs w:val="24"/>
        </w:rPr>
        <w:t>,</w:t>
      </w:r>
      <w:r w:rsidRPr="006B0D56">
        <w:rPr>
          <w:rFonts w:ascii="Times New Roman" w:hAnsi="Times New Roman" w:cs="Times New Roman"/>
          <w:sz w:val="24"/>
          <w:szCs w:val="24"/>
        </w:rPr>
        <w:t xml:space="preserve"> здравство</w:t>
      </w:r>
      <w:r>
        <w:rPr>
          <w:rFonts w:ascii="Times New Roman" w:hAnsi="Times New Roman" w:cs="Times New Roman"/>
          <w:sz w:val="24"/>
          <w:szCs w:val="24"/>
        </w:rPr>
        <w:t xml:space="preserve"> и јавна комунална предузећа</w:t>
      </w:r>
      <w:r w:rsidRPr="006B0D56">
        <w:rPr>
          <w:rFonts w:ascii="Times New Roman" w:hAnsi="Times New Roman" w:cs="Times New Roman"/>
          <w:sz w:val="24"/>
          <w:szCs w:val="24"/>
        </w:rPr>
        <w:t xml:space="preserve">, а посебно </w:t>
      </w:r>
      <w:r>
        <w:rPr>
          <w:rFonts w:ascii="Times New Roman" w:hAnsi="Times New Roman" w:cs="Times New Roman"/>
          <w:sz w:val="24"/>
          <w:szCs w:val="24"/>
        </w:rPr>
        <w:t xml:space="preserve">на то </w:t>
      </w:r>
      <w:r w:rsidRPr="006B0D56">
        <w:rPr>
          <w:rFonts w:ascii="Times New Roman" w:hAnsi="Times New Roman" w:cs="Times New Roman"/>
          <w:sz w:val="24"/>
          <w:szCs w:val="24"/>
        </w:rPr>
        <w:t xml:space="preserve">у којим поступцима закључују уговоре о јавним набавкама. </w:t>
      </w:r>
    </w:p>
    <w:p w:rsidR="00EE0519" w:rsidRPr="009B3038" w:rsidRDefault="00EE0519" w:rsidP="009B3038">
      <w:pPr>
        <w:rPr>
          <w:rFonts w:ascii="Times New Roman" w:hAnsi="Times New Roman" w:cs="Times New Roman"/>
          <w:sz w:val="24"/>
          <w:szCs w:val="24"/>
          <w:lang w:val="sr-Cyrl-RS"/>
        </w:rPr>
        <w:sectPr w:rsidR="00EE0519" w:rsidRPr="009B3038" w:rsidSect="003C3288">
          <w:pgSz w:w="12240" w:h="15840"/>
          <w:pgMar w:top="720" w:right="720" w:bottom="720" w:left="720" w:header="708" w:footer="708" w:gutter="0"/>
          <w:cols w:space="708"/>
          <w:docGrid w:linePitch="360"/>
        </w:sectPr>
      </w:pPr>
    </w:p>
    <w:p w:rsidR="003B365F" w:rsidRPr="009B3038" w:rsidRDefault="007A5119" w:rsidP="007B4B66">
      <w:pPr>
        <w:jc w:val="both"/>
        <w:rPr>
          <w:rFonts w:ascii="Times New Roman" w:hAnsi="Times New Roman" w:cs="Times New Roman"/>
          <w:sz w:val="24"/>
          <w:szCs w:val="24"/>
          <w:lang w:val="sr-Cyrl-RS"/>
        </w:rPr>
      </w:pPr>
      <w:r w:rsidRPr="006B0D56">
        <w:rPr>
          <w:rFonts w:ascii="Times New Roman" w:hAnsi="Times New Roman" w:cs="Times New Roman"/>
          <w:sz w:val="24"/>
          <w:szCs w:val="24"/>
        </w:rPr>
        <w:lastRenderedPageBreak/>
        <w:t xml:space="preserve"> </w:t>
      </w:r>
    </w:p>
    <w:p w:rsidR="009965E9" w:rsidRPr="00D12F10" w:rsidRDefault="009965E9" w:rsidP="00D12F10">
      <w:pPr>
        <w:pStyle w:val="ListParagraph"/>
        <w:numPr>
          <w:ilvl w:val="0"/>
          <w:numId w:val="2"/>
        </w:numPr>
        <w:rPr>
          <w:rFonts w:ascii="Times New Roman" w:hAnsi="Times New Roman" w:cs="Times New Roman"/>
          <w:b/>
          <w:sz w:val="24"/>
          <w:szCs w:val="24"/>
        </w:rPr>
      </w:pPr>
      <w:r w:rsidRPr="00D12F10">
        <w:rPr>
          <w:rFonts w:ascii="Times New Roman" w:hAnsi="Times New Roman" w:cs="Times New Roman"/>
          <w:b/>
          <w:sz w:val="24"/>
          <w:szCs w:val="24"/>
        </w:rPr>
        <w:t>НАБАВКЕ ПО ВРСТАМА ПОСТУПАКА</w:t>
      </w:r>
    </w:p>
    <w:p w:rsidR="00D50094" w:rsidRDefault="00C972BC" w:rsidP="007B4B66">
      <w:pPr>
        <w:jc w:val="both"/>
        <w:rPr>
          <w:rFonts w:ascii="Times New Roman" w:hAnsi="Times New Roman" w:cs="Times New Roman"/>
          <w:sz w:val="24"/>
          <w:szCs w:val="24"/>
        </w:rPr>
      </w:pPr>
      <w:r>
        <w:rPr>
          <w:rFonts w:ascii="Times New Roman" w:hAnsi="Times New Roman" w:cs="Times New Roman"/>
          <w:sz w:val="24"/>
          <w:szCs w:val="24"/>
        </w:rPr>
        <w:t xml:space="preserve">Један од најзначајнијих показатеља функционисања система јавних набавки јесте у којим поступцима </w:t>
      </w:r>
      <w:r w:rsidR="00D50094">
        <w:rPr>
          <w:rFonts w:ascii="Times New Roman" w:hAnsi="Times New Roman" w:cs="Times New Roman"/>
          <w:sz w:val="24"/>
          <w:szCs w:val="24"/>
        </w:rPr>
        <w:t xml:space="preserve">се </w:t>
      </w:r>
      <w:r>
        <w:rPr>
          <w:rFonts w:ascii="Times New Roman" w:hAnsi="Times New Roman" w:cs="Times New Roman"/>
          <w:sz w:val="24"/>
          <w:szCs w:val="24"/>
        </w:rPr>
        <w:t xml:space="preserve">спроводе набавке: да ли преовлађују транспарентни и конкурентни </w:t>
      </w:r>
      <w:r w:rsidR="005440C4">
        <w:rPr>
          <w:rFonts w:ascii="Times New Roman" w:hAnsi="Times New Roman" w:cs="Times New Roman"/>
          <w:sz w:val="24"/>
          <w:szCs w:val="24"/>
        </w:rPr>
        <w:t>поступци (отворени и рестриктивни) или нетранспарентни и неконкурентни (преговарачки поступак без објављивања јавног позива). ЗЈН превиђа да се ови други примењују само у изузетним случајевима прописаним законом, док су конкурентни поступци правило.</w:t>
      </w:r>
      <w:r w:rsidR="00D50094">
        <w:rPr>
          <w:rFonts w:ascii="Times New Roman" w:hAnsi="Times New Roman" w:cs="Times New Roman"/>
          <w:sz w:val="24"/>
          <w:szCs w:val="24"/>
        </w:rPr>
        <w:t xml:space="preserve"> Због тога се већа заступљеност поступка који је изузетак оцењује као неадекватна примена закона.  </w:t>
      </w:r>
    </w:p>
    <w:p w:rsidR="005440C4" w:rsidRDefault="00D50094" w:rsidP="007B4B66">
      <w:pPr>
        <w:jc w:val="both"/>
        <w:rPr>
          <w:rFonts w:ascii="Times New Roman" w:hAnsi="Times New Roman" w:cs="Times New Roman"/>
          <w:sz w:val="24"/>
          <w:szCs w:val="24"/>
        </w:rPr>
      </w:pPr>
      <w:r>
        <w:rPr>
          <w:rFonts w:ascii="Times New Roman" w:hAnsi="Times New Roman" w:cs="Times New Roman"/>
          <w:sz w:val="24"/>
          <w:szCs w:val="24"/>
        </w:rPr>
        <w:t xml:space="preserve">Системе јавних набавки </w:t>
      </w:r>
      <w:r w:rsidR="00BC5EEE">
        <w:rPr>
          <w:rFonts w:ascii="Times New Roman" w:hAnsi="Times New Roman" w:cs="Times New Roman"/>
          <w:sz w:val="24"/>
          <w:szCs w:val="24"/>
        </w:rPr>
        <w:t xml:space="preserve">који су </w:t>
      </w:r>
      <w:r>
        <w:rPr>
          <w:rFonts w:ascii="Times New Roman" w:hAnsi="Times New Roman" w:cs="Times New Roman"/>
          <w:sz w:val="24"/>
          <w:szCs w:val="24"/>
        </w:rPr>
        <w:t xml:space="preserve">на нижем нивоу развоја карактерише висок удео </w:t>
      </w:r>
      <w:r w:rsidR="005440C4">
        <w:rPr>
          <w:rFonts w:ascii="Times New Roman" w:hAnsi="Times New Roman" w:cs="Times New Roman"/>
          <w:sz w:val="24"/>
          <w:szCs w:val="24"/>
        </w:rPr>
        <w:t>преговарачк</w:t>
      </w:r>
      <w:r>
        <w:rPr>
          <w:rFonts w:ascii="Times New Roman" w:hAnsi="Times New Roman" w:cs="Times New Roman"/>
          <w:sz w:val="24"/>
          <w:szCs w:val="24"/>
        </w:rPr>
        <w:t>ог по</w:t>
      </w:r>
      <w:r w:rsidR="00BC5EEE">
        <w:rPr>
          <w:rFonts w:ascii="Times New Roman" w:hAnsi="Times New Roman" w:cs="Times New Roman"/>
          <w:sz w:val="24"/>
          <w:szCs w:val="24"/>
        </w:rPr>
        <w:t>с</w:t>
      </w:r>
      <w:r>
        <w:rPr>
          <w:rFonts w:ascii="Times New Roman" w:hAnsi="Times New Roman" w:cs="Times New Roman"/>
          <w:sz w:val="24"/>
          <w:szCs w:val="24"/>
        </w:rPr>
        <w:t>туп</w:t>
      </w:r>
      <w:r w:rsidR="00697808">
        <w:rPr>
          <w:rFonts w:ascii="Times New Roman" w:hAnsi="Times New Roman" w:cs="Times New Roman"/>
          <w:sz w:val="24"/>
          <w:szCs w:val="24"/>
        </w:rPr>
        <w:t>а</w:t>
      </w:r>
      <w:r w:rsidR="005440C4">
        <w:rPr>
          <w:rFonts w:ascii="Times New Roman" w:hAnsi="Times New Roman" w:cs="Times New Roman"/>
          <w:sz w:val="24"/>
          <w:szCs w:val="24"/>
        </w:rPr>
        <w:t>к</w:t>
      </w:r>
      <w:r>
        <w:rPr>
          <w:rFonts w:ascii="Times New Roman" w:hAnsi="Times New Roman" w:cs="Times New Roman"/>
          <w:sz w:val="24"/>
          <w:szCs w:val="24"/>
        </w:rPr>
        <w:t>а</w:t>
      </w:r>
      <w:r w:rsidR="0044645B">
        <w:rPr>
          <w:rFonts w:ascii="Times New Roman" w:hAnsi="Times New Roman" w:cs="Times New Roman"/>
          <w:sz w:val="24"/>
          <w:szCs w:val="24"/>
          <w:lang w:val="sr-Cyrl-RS"/>
        </w:rPr>
        <w:t>,</w:t>
      </w:r>
      <w:r w:rsidR="00867110">
        <w:rPr>
          <w:rFonts w:ascii="Times New Roman" w:hAnsi="Times New Roman" w:cs="Times New Roman"/>
          <w:sz w:val="24"/>
          <w:szCs w:val="24"/>
        </w:rPr>
        <w:t xml:space="preserve"> </w:t>
      </w:r>
      <w:r w:rsidR="00BC5EEE">
        <w:rPr>
          <w:rFonts w:ascii="Times New Roman" w:hAnsi="Times New Roman" w:cs="Times New Roman"/>
          <w:sz w:val="24"/>
          <w:szCs w:val="24"/>
        </w:rPr>
        <w:t>зато што га</w:t>
      </w:r>
      <w:r w:rsidR="005440C4">
        <w:rPr>
          <w:rFonts w:ascii="Times New Roman" w:hAnsi="Times New Roman" w:cs="Times New Roman"/>
          <w:sz w:val="24"/>
          <w:szCs w:val="24"/>
        </w:rPr>
        <w:t xml:space="preserve"> већина наручилаца третира као прву опцију када се опредељује за поступак</w:t>
      </w:r>
      <w:r w:rsidR="00BC5EEE">
        <w:rPr>
          <w:rFonts w:ascii="Times New Roman" w:hAnsi="Times New Roman" w:cs="Times New Roman"/>
          <w:sz w:val="24"/>
          <w:szCs w:val="24"/>
        </w:rPr>
        <w:t xml:space="preserve"> јер желе да избегну</w:t>
      </w:r>
      <w:r w:rsidR="00EB3381">
        <w:rPr>
          <w:rFonts w:ascii="Times New Roman" w:hAnsi="Times New Roman" w:cs="Times New Roman"/>
          <w:sz w:val="24"/>
          <w:szCs w:val="24"/>
        </w:rPr>
        <w:t xml:space="preserve"> јавно оглашавање и конкуренцију.</w:t>
      </w:r>
      <w:r w:rsidR="005440C4">
        <w:rPr>
          <w:rFonts w:ascii="Times New Roman" w:hAnsi="Times New Roman" w:cs="Times New Roman"/>
          <w:sz w:val="24"/>
          <w:szCs w:val="24"/>
        </w:rPr>
        <w:t xml:space="preserve"> Преговарачки поступак има читав низ пот</w:t>
      </w:r>
      <w:r w:rsidR="00697808">
        <w:rPr>
          <w:rFonts w:ascii="Times New Roman" w:hAnsi="Times New Roman" w:cs="Times New Roman"/>
          <w:sz w:val="24"/>
          <w:szCs w:val="24"/>
        </w:rPr>
        <w:t>е</w:t>
      </w:r>
      <w:r w:rsidR="005440C4">
        <w:rPr>
          <w:rFonts w:ascii="Times New Roman" w:hAnsi="Times New Roman" w:cs="Times New Roman"/>
          <w:sz w:val="24"/>
          <w:szCs w:val="24"/>
        </w:rPr>
        <w:t>нцијално негативних ефеката од којих су најзначајнији</w:t>
      </w:r>
      <w:r w:rsidR="00867110">
        <w:rPr>
          <w:rFonts w:ascii="Times New Roman" w:hAnsi="Times New Roman" w:cs="Times New Roman"/>
          <w:sz w:val="24"/>
          <w:szCs w:val="24"/>
        </w:rPr>
        <w:t>:</w:t>
      </w:r>
      <w:r w:rsidR="005440C4">
        <w:rPr>
          <w:rFonts w:ascii="Times New Roman" w:hAnsi="Times New Roman" w:cs="Times New Roman"/>
          <w:sz w:val="24"/>
          <w:szCs w:val="24"/>
        </w:rPr>
        <w:t xml:space="preserve"> ограничена конкуренција и повећани ризик од злоупотреба</w:t>
      </w:r>
      <w:r w:rsidR="00BC5EEE">
        <w:rPr>
          <w:rFonts w:ascii="Times New Roman" w:hAnsi="Times New Roman" w:cs="Times New Roman"/>
          <w:sz w:val="24"/>
          <w:szCs w:val="24"/>
        </w:rPr>
        <w:t>, па је стога и предвиђен само за изузетне случајеве.</w:t>
      </w:r>
      <w:r w:rsidR="00867110">
        <w:rPr>
          <w:rFonts w:ascii="Times New Roman" w:hAnsi="Times New Roman" w:cs="Times New Roman"/>
          <w:sz w:val="24"/>
          <w:szCs w:val="24"/>
        </w:rPr>
        <w:t xml:space="preserve"> </w:t>
      </w:r>
      <w:r w:rsidR="00BC5EEE">
        <w:rPr>
          <w:rFonts w:ascii="Times New Roman" w:hAnsi="Times New Roman" w:cs="Times New Roman"/>
          <w:sz w:val="24"/>
          <w:szCs w:val="24"/>
        </w:rPr>
        <w:t xml:space="preserve">Отуда </w:t>
      </w:r>
      <w:r w:rsidR="005440C4">
        <w:rPr>
          <w:rFonts w:ascii="Times New Roman" w:hAnsi="Times New Roman" w:cs="Times New Roman"/>
          <w:sz w:val="24"/>
          <w:szCs w:val="24"/>
        </w:rPr>
        <w:t xml:space="preserve">се заступљеност преговарачких поступака у земљама ЕУ креће око 5% у </w:t>
      </w:r>
      <w:r w:rsidR="00EB3381">
        <w:rPr>
          <w:rFonts w:ascii="Times New Roman" w:hAnsi="Times New Roman" w:cs="Times New Roman"/>
          <w:sz w:val="24"/>
          <w:szCs w:val="24"/>
        </w:rPr>
        <w:t xml:space="preserve">вредности јавних набавки и представља један од најзначајнијих показатеља </w:t>
      </w:r>
      <w:r w:rsidR="00181494">
        <w:rPr>
          <w:rFonts w:ascii="Times New Roman" w:hAnsi="Times New Roman" w:cs="Times New Roman"/>
          <w:sz w:val="24"/>
          <w:szCs w:val="24"/>
        </w:rPr>
        <w:t xml:space="preserve">нивоа развоја </w:t>
      </w:r>
      <w:r w:rsidR="00EB3381">
        <w:rPr>
          <w:rFonts w:ascii="Times New Roman" w:hAnsi="Times New Roman" w:cs="Times New Roman"/>
          <w:sz w:val="24"/>
          <w:szCs w:val="24"/>
        </w:rPr>
        <w:t>система</w:t>
      </w:r>
      <w:r w:rsidR="00181494">
        <w:rPr>
          <w:rFonts w:ascii="Times New Roman" w:hAnsi="Times New Roman" w:cs="Times New Roman"/>
          <w:sz w:val="24"/>
          <w:szCs w:val="24"/>
        </w:rPr>
        <w:t xml:space="preserve"> јавних набавки и степена усклађености са ЕУ стандардима. </w:t>
      </w:r>
    </w:p>
    <w:p w:rsidR="009965E9" w:rsidRDefault="005440C4" w:rsidP="007B4B66">
      <w:pPr>
        <w:jc w:val="both"/>
        <w:rPr>
          <w:rFonts w:ascii="Times New Roman" w:hAnsi="Times New Roman" w:cs="Times New Roman"/>
          <w:sz w:val="24"/>
          <w:szCs w:val="24"/>
        </w:rPr>
      </w:pPr>
      <w:r>
        <w:rPr>
          <w:rFonts w:ascii="Times New Roman" w:hAnsi="Times New Roman" w:cs="Times New Roman"/>
          <w:sz w:val="24"/>
          <w:szCs w:val="24"/>
        </w:rPr>
        <w:t xml:space="preserve">Учешће </w:t>
      </w:r>
      <w:r w:rsidR="00816103">
        <w:rPr>
          <w:rFonts w:ascii="Times New Roman" w:hAnsi="Times New Roman" w:cs="Times New Roman"/>
          <w:sz w:val="24"/>
          <w:szCs w:val="24"/>
        </w:rPr>
        <w:t>свих врста поступака у вредности јавних набавки у Србији приказано је у Т</w:t>
      </w:r>
      <w:r w:rsidR="009965E9">
        <w:rPr>
          <w:rFonts w:ascii="Times New Roman" w:hAnsi="Times New Roman" w:cs="Times New Roman"/>
          <w:sz w:val="24"/>
          <w:szCs w:val="24"/>
        </w:rPr>
        <w:t xml:space="preserve">абели </w:t>
      </w:r>
      <w:r w:rsidR="00412BE9">
        <w:rPr>
          <w:rFonts w:ascii="Times New Roman" w:hAnsi="Times New Roman" w:cs="Times New Roman"/>
          <w:sz w:val="24"/>
          <w:szCs w:val="24"/>
        </w:rPr>
        <w:t>3</w:t>
      </w:r>
      <w:r w:rsidR="00816103">
        <w:rPr>
          <w:rFonts w:ascii="Times New Roman" w:hAnsi="Times New Roman" w:cs="Times New Roman"/>
          <w:sz w:val="24"/>
          <w:szCs w:val="24"/>
        </w:rPr>
        <w:t xml:space="preserve">. </w:t>
      </w:r>
    </w:p>
    <w:p w:rsidR="003B365F" w:rsidRDefault="003B365F" w:rsidP="009965E9">
      <w:pPr>
        <w:jc w:val="both"/>
        <w:rPr>
          <w:rFonts w:ascii="Times New Roman" w:hAnsi="Times New Roman" w:cs="Times New Roman"/>
          <w:b/>
          <w:sz w:val="24"/>
          <w:szCs w:val="24"/>
        </w:rPr>
      </w:pPr>
    </w:p>
    <w:p w:rsidR="003B365F" w:rsidRDefault="003B365F" w:rsidP="009965E9">
      <w:pPr>
        <w:jc w:val="both"/>
        <w:rPr>
          <w:rFonts w:ascii="Times New Roman" w:hAnsi="Times New Roman" w:cs="Times New Roman"/>
          <w:b/>
          <w:sz w:val="24"/>
          <w:szCs w:val="24"/>
        </w:rPr>
      </w:pPr>
    </w:p>
    <w:p w:rsidR="003B365F" w:rsidRDefault="003B365F" w:rsidP="009965E9">
      <w:pPr>
        <w:jc w:val="both"/>
        <w:rPr>
          <w:rFonts w:ascii="Times New Roman" w:hAnsi="Times New Roman" w:cs="Times New Roman"/>
          <w:b/>
          <w:sz w:val="24"/>
          <w:szCs w:val="24"/>
        </w:rPr>
      </w:pPr>
    </w:p>
    <w:p w:rsidR="003B365F" w:rsidRDefault="003B365F" w:rsidP="009965E9">
      <w:pPr>
        <w:jc w:val="both"/>
        <w:rPr>
          <w:rFonts w:ascii="Times New Roman" w:hAnsi="Times New Roman" w:cs="Times New Roman"/>
          <w:b/>
          <w:sz w:val="24"/>
          <w:szCs w:val="24"/>
        </w:rPr>
      </w:pPr>
    </w:p>
    <w:p w:rsidR="003B365F" w:rsidRDefault="003B365F" w:rsidP="009965E9">
      <w:pPr>
        <w:jc w:val="both"/>
        <w:rPr>
          <w:rFonts w:ascii="Times New Roman" w:hAnsi="Times New Roman" w:cs="Times New Roman"/>
          <w:b/>
          <w:sz w:val="24"/>
          <w:szCs w:val="24"/>
        </w:rPr>
      </w:pPr>
    </w:p>
    <w:p w:rsidR="008E1974" w:rsidRPr="008B048C" w:rsidRDefault="008E1974" w:rsidP="009965E9">
      <w:pPr>
        <w:jc w:val="both"/>
        <w:rPr>
          <w:rFonts w:ascii="Times New Roman" w:hAnsi="Times New Roman" w:cs="Times New Roman"/>
          <w:b/>
          <w:sz w:val="24"/>
          <w:szCs w:val="24"/>
          <w:lang w:val="sr-Cyrl-RS"/>
        </w:rPr>
        <w:sectPr w:rsidR="008E1974" w:rsidRPr="008B048C" w:rsidSect="00293B02">
          <w:pgSz w:w="12240" w:h="15840"/>
          <w:pgMar w:top="720" w:right="720" w:bottom="720" w:left="720" w:header="708" w:footer="708" w:gutter="0"/>
          <w:cols w:space="708"/>
          <w:docGrid w:linePitch="360"/>
        </w:sectPr>
      </w:pPr>
    </w:p>
    <w:p w:rsidR="009965E9" w:rsidRPr="008B048C" w:rsidRDefault="00412BE9" w:rsidP="009965E9">
      <w:pPr>
        <w:jc w:val="both"/>
        <w:rPr>
          <w:rFonts w:ascii="Times New Roman" w:hAnsi="Times New Roman" w:cs="Times New Roman"/>
          <w:b/>
          <w:sz w:val="24"/>
          <w:szCs w:val="24"/>
        </w:rPr>
      </w:pPr>
      <w:r w:rsidRPr="008B048C">
        <w:rPr>
          <w:rFonts w:ascii="Times New Roman" w:hAnsi="Times New Roman" w:cs="Times New Roman"/>
          <w:b/>
          <w:sz w:val="24"/>
          <w:szCs w:val="24"/>
        </w:rPr>
        <w:lastRenderedPageBreak/>
        <w:t>Табела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9"/>
        <w:gridCol w:w="1349"/>
        <w:gridCol w:w="758"/>
        <w:gridCol w:w="1499"/>
        <w:gridCol w:w="1084"/>
        <w:gridCol w:w="1348"/>
        <w:gridCol w:w="1084"/>
        <w:gridCol w:w="1224"/>
        <w:gridCol w:w="1084"/>
        <w:gridCol w:w="1220"/>
        <w:gridCol w:w="961"/>
      </w:tblGrid>
      <w:tr w:rsidR="008E1974" w:rsidRPr="008E1974" w:rsidTr="003F4DFD">
        <w:trPr>
          <w:trHeight w:val="441"/>
        </w:trPr>
        <w:tc>
          <w:tcPr>
            <w:tcW w:w="14220" w:type="dxa"/>
            <w:gridSpan w:val="11"/>
            <w:tcBorders>
              <w:top w:val="single" w:sz="18" w:space="0" w:color="auto"/>
              <w:left w:val="single" w:sz="18" w:space="0" w:color="auto"/>
              <w:right w:val="single" w:sz="18" w:space="0" w:color="auto"/>
            </w:tcBorders>
            <w:shd w:val="clear" w:color="auto" w:fill="auto"/>
            <w:vAlign w:val="center"/>
          </w:tcPr>
          <w:p w:rsidR="008E1974" w:rsidRPr="008E1974" w:rsidRDefault="008E1974" w:rsidP="008E1974">
            <w:pPr>
              <w:tabs>
                <w:tab w:val="left" w:pos="1885"/>
              </w:tabs>
              <w:spacing w:after="0" w:line="240" w:lineRule="auto"/>
              <w:jc w:val="center"/>
              <w:rPr>
                <w:rFonts w:ascii="Times New Roman" w:eastAsia="Times New Roman" w:hAnsi="Times New Roman" w:cs="Times New Roman"/>
                <w:b/>
                <w:color w:val="000000"/>
                <w:sz w:val="24"/>
                <w:szCs w:val="24"/>
              </w:rPr>
            </w:pPr>
            <w:r w:rsidRPr="008E1974">
              <w:rPr>
                <w:rFonts w:ascii="Times New Roman" w:eastAsia="Times New Roman" w:hAnsi="Times New Roman" w:cs="Times New Roman"/>
                <w:b/>
                <w:color w:val="000000"/>
                <w:sz w:val="24"/>
                <w:szCs w:val="24"/>
              </w:rPr>
              <w:t>Преглед</w:t>
            </w:r>
            <w:r w:rsidR="00867110">
              <w:rPr>
                <w:rFonts w:ascii="Times New Roman" w:eastAsia="Times New Roman" w:hAnsi="Times New Roman" w:cs="Times New Roman"/>
                <w:b/>
                <w:color w:val="000000"/>
                <w:sz w:val="24"/>
                <w:szCs w:val="24"/>
              </w:rPr>
              <w:t xml:space="preserve"> вредносне структуре </w:t>
            </w:r>
            <w:r w:rsidRPr="008E1974">
              <w:rPr>
                <w:rFonts w:ascii="Times New Roman" w:eastAsia="Times New Roman" w:hAnsi="Times New Roman" w:cs="Times New Roman"/>
                <w:b/>
                <w:color w:val="000000"/>
                <w:sz w:val="24"/>
                <w:szCs w:val="24"/>
              </w:rPr>
              <w:t>јавних набавки велике вредности по врстама поступака</w:t>
            </w:r>
          </w:p>
          <w:p w:rsidR="008E1974" w:rsidRPr="008E1974" w:rsidRDefault="008E1974" w:rsidP="00867110">
            <w:pPr>
              <w:tabs>
                <w:tab w:val="left" w:pos="1885"/>
              </w:tabs>
              <w:spacing w:after="0" w:line="240" w:lineRule="auto"/>
              <w:jc w:val="center"/>
              <w:rPr>
                <w:rFonts w:ascii="Times New Roman" w:eastAsia="Times New Roman" w:hAnsi="Times New Roman" w:cs="Times New Roman"/>
                <w:b/>
                <w:color w:val="000000"/>
                <w:sz w:val="24"/>
                <w:szCs w:val="24"/>
              </w:rPr>
            </w:pPr>
            <w:r w:rsidRPr="008E1974">
              <w:rPr>
                <w:rFonts w:ascii="Times New Roman" w:eastAsia="Times New Roman" w:hAnsi="Times New Roman" w:cs="Times New Roman"/>
                <w:b/>
                <w:color w:val="000000"/>
                <w:sz w:val="24"/>
                <w:szCs w:val="24"/>
              </w:rPr>
              <w:t xml:space="preserve">у 2012. години и четири квартала </w:t>
            </w:r>
            <w:r w:rsidR="00867110">
              <w:rPr>
                <w:rFonts w:ascii="Times New Roman" w:eastAsia="Times New Roman" w:hAnsi="Times New Roman" w:cs="Times New Roman"/>
                <w:b/>
                <w:color w:val="000000"/>
                <w:sz w:val="24"/>
                <w:szCs w:val="24"/>
              </w:rPr>
              <w:t>2013. године</w:t>
            </w:r>
            <w:r w:rsidR="000145AE">
              <w:rPr>
                <w:rFonts w:ascii="Times New Roman" w:eastAsia="Times New Roman" w:hAnsi="Times New Roman" w:cs="Times New Roman"/>
                <w:b/>
                <w:color w:val="000000"/>
                <w:sz w:val="24"/>
                <w:szCs w:val="24"/>
              </w:rPr>
              <w:t xml:space="preserve"> </w:t>
            </w:r>
          </w:p>
        </w:tc>
      </w:tr>
      <w:tr w:rsidR="008E1974" w:rsidRPr="008E1974" w:rsidTr="003F4DFD">
        <w:tc>
          <w:tcPr>
            <w:tcW w:w="2609" w:type="dxa"/>
            <w:tcBorders>
              <w:top w:val="single" w:sz="18" w:space="0" w:color="auto"/>
              <w:left w:val="single" w:sz="18" w:space="0" w:color="auto"/>
              <w:right w:val="single" w:sz="18" w:space="0" w:color="auto"/>
            </w:tcBorders>
            <w:shd w:val="clear" w:color="auto" w:fill="auto"/>
            <w:vAlign w:val="center"/>
          </w:tcPr>
          <w:p w:rsidR="008E1974" w:rsidRPr="008E1974" w:rsidRDefault="008E1974" w:rsidP="008E1974">
            <w:pPr>
              <w:tabs>
                <w:tab w:val="left" w:pos="1885"/>
              </w:tabs>
              <w:spacing w:after="0" w:line="240" w:lineRule="auto"/>
              <w:jc w:val="center"/>
              <w:rPr>
                <w:rFonts w:ascii="Times New Roman" w:eastAsia="Times New Roman" w:hAnsi="Times New Roman" w:cs="Times New Roman"/>
                <w:b/>
                <w:color w:val="000000"/>
                <w:sz w:val="20"/>
                <w:szCs w:val="20"/>
              </w:rPr>
            </w:pPr>
          </w:p>
          <w:p w:rsidR="008E1974" w:rsidRPr="008E1974" w:rsidRDefault="008E1974" w:rsidP="008E1974">
            <w:pPr>
              <w:tabs>
                <w:tab w:val="left" w:pos="1885"/>
              </w:tabs>
              <w:spacing w:after="0" w:line="240" w:lineRule="auto"/>
              <w:jc w:val="center"/>
              <w:rPr>
                <w:rFonts w:ascii="Times New Roman" w:eastAsia="Times New Roman" w:hAnsi="Times New Roman" w:cs="Times New Roman"/>
                <w:b/>
                <w:color w:val="000000"/>
                <w:sz w:val="20"/>
                <w:szCs w:val="20"/>
              </w:rPr>
            </w:pPr>
            <w:r w:rsidRPr="008E1974">
              <w:rPr>
                <w:rFonts w:ascii="Times New Roman" w:eastAsia="Times New Roman" w:hAnsi="Times New Roman" w:cs="Times New Roman"/>
                <w:b/>
                <w:color w:val="000000"/>
                <w:sz w:val="20"/>
                <w:szCs w:val="20"/>
              </w:rPr>
              <w:t>Период</w:t>
            </w:r>
          </w:p>
        </w:tc>
        <w:tc>
          <w:tcPr>
            <w:tcW w:w="1349" w:type="dxa"/>
            <w:tcBorders>
              <w:top w:val="single" w:sz="18" w:space="0" w:color="auto"/>
              <w:left w:val="single" w:sz="18" w:space="0" w:color="auto"/>
            </w:tcBorders>
            <w:shd w:val="clear" w:color="auto" w:fill="auto"/>
            <w:vAlign w:val="center"/>
          </w:tcPr>
          <w:p w:rsidR="008E1974" w:rsidRPr="008E1974" w:rsidRDefault="008E1974" w:rsidP="008E1974">
            <w:pPr>
              <w:tabs>
                <w:tab w:val="left" w:pos="1885"/>
              </w:tabs>
              <w:spacing w:after="0" w:line="240" w:lineRule="auto"/>
              <w:jc w:val="center"/>
              <w:rPr>
                <w:rFonts w:ascii="Times New Roman" w:eastAsia="Times New Roman" w:hAnsi="Times New Roman" w:cs="Times New Roman"/>
                <w:b/>
                <w:color w:val="000000"/>
                <w:sz w:val="20"/>
                <w:szCs w:val="20"/>
              </w:rPr>
            </w:pPr>
            <w:r w:rsidRPr="008E1974">
              <w:rPr>
                <w:rFonts w:ascii="Times New Roman" w:eastAsia="Times New Roman" w:hAnsi="Times New Roman" w:cs="Times New Roman"/>
                <w:b/>
                <w:color w:val="000000"/>
                <w:sz w:val="20"/>
                <w:szCs w:val="20"/>
              </w:rPr>
              <w:t>2012.</w:t>
            </w:r>
          </w:p>
        </w:tc>
        <w:tc>
          <w:tcPr>
            <w:tcW w:w="758" w:type="dxa"/>
            <w:tcBorders>
              <w:top w:val="single" w:sz="18" w:space="0" w:color="auto"/>
              <w:right w:val="single" w:sz="18" w:space="0" w:color="auto"/>
            </w:tcBorders>
            <w:shd w:val="clear" w:color="auto" w:fill="auto"/>
            <w:vAlign w:val="center"/>
          </w:tcPr>
          <w:p w:rsidR="008E1974" w:rsidRPr="008E1974" w:rsidRDefault="008E1974" w:rsidP="008E1974">
            <w:pPr>
              <w:tabs>
                <w:tab w:val="left" w:pos="1885"/>
              </w:tabs>
              <w:spacing w:after="0" w:line="240" w:lineRule="auto"/>
              <w:jc w:val="center"/>
              <w:rPr>
                <w:rFonts w:ascii="Times New Roman" w:eastAsia="Times New Roman" w:hAnsi="Times New Roman" w:cs="Times New Roman"/>
                <w:b/>
                <w:color w:val="000000"/>
                <w:sz w:val="20"/>
                <w:szCs w:val="20"/>
              </w:rPr>
            </w:pPr>
            <w:r w:rsidRPr="008E1974">
              <w:rPr>
                <w:rFonts w:ascii="Times New Roman" w:eastAsia="Times New Roman" w:hAnsi="Times New Roman" w:cs="Times New Roman"/>
                <w:b/>
                <w:color w:val="000000"/>
                <w:sz w:val="20"/>
                <w:szCs w:val="20"/>
              </w:rPr>
              <w:t>2012.</w:t>
            </w:r>
          </w:p>
        </w:tc>
        <w:tc>
          <w:tcPr>
            <w:tcW w:w="1499" w:type="dxa"/>
            <w:tcBorders>
              <w:top w:val="single" w:sz="18" w:space="0" w:color="auto"/>
              <w:left w:val="single" w:sz="18" w:space="0" w:color="auto"/>
            </w:tcBorders>
            <w:shd w:val="clear" w:color="auto" w:fill="auto"/>
            <w:vAlign w:val="center"/>
          </w:tcPr>
          <w:p w:rsidR="008E1974" w:rsidRPr="008E1974" w:rsidRDefault="008E1974" w:rsidP="008E1974">
            <w:pPr>
              <w:tabs>
                <w:tab w:val="left" w:pos="1885"/>
              </w:tabs>
              <w:spacing w:after="0" w:line="240" w:lineRule="auto"/>
              <w:jc w:val="center"/>
              <w:rPr>
                <w:rFonts w:ascii="Times New Roman" w:eastAsia="Times New Roman" w:hAnsi="Times New Roman" w:cs="Times New Roman"/>
                <w:b/>
                <w:color w:val="000000"/>
                <w:sz w:val="20"/>
                <w:szCs w:val="20"/>
              </w:rPr>
            </w:pPr>
            <w:r w:rsidRPr="008E1974">
              <w:rPr>
                <w:rFonts w:ascii="Times New Roman" w:eastAsia="Times New Roman" w:hAnsi="Times New Roman" w:cs="Times New Roman"/>
                <w:b/>
                <w:color w:val="000000"/>
                <w:sz w:val="20"/>
                <w:szCs w:val="20"/>
              </w:rPr>
              <w:t>2013.</w:t>
            </w:r>
          </w:p>
          <w:p w:rsidR="008E1974" w:rsidRPr="008E1974" w:rsidRDefault="008E1974" w:rsidP="008E1974">
            <w:pPr>
              <w:tabs>
                <w:tab w:val="left" w:pos="1885"/>
              </w:tabs>
              <w:spacing w:after="0" w:line="240" w:lineRule="auto"/>
              <w:jc w:val="center"/>
              <w:rPr>
                <w:rFonts w:ascii="Times New Roman" w:eastAsia="Times New Roman" w:hAnsi="Times New Roman" w:cs="Times New Roman"/>
                <w:b/>
                <w:color w:val="000000"/>
                <w:sz w:val="20"/>
                <w:szCs w:val="20"/>
              </w:rPr>
            </w:pPr>
            <w:r w:rsidRPr="008E1974">
              <w:rPr>
                <w:rFonts w:ascii="Times New Roman" w:eastAsia="Times New Roman" w:hAnsi="Times New Roman" w:cs="Times New Roman"/>
                <w:b/>
                <w:color w:val="000000"/>
                <w:sz w:val="20"/>
                <w:szCs w:val="20"/>
              </w:rPr>
              <w:t>први</w:t>
            </w:r>
          </w:p>
          <w:p w:rsidR="008E1974" w:rsidRPr="008E1974" w:rsidRDefault="008E1974" w:rsidP="008E1974">
            <w:pPr>
              <w:tabs>
                <w:tab w:val="left" w:pos="1885"/>
              </w:tabs>
              <w:spacing w:after="0" w:line="240" w:lineRule="auto"/>
              <w:jc w:val="center"/>
              <w:rPr>
                <w:rFonts w:ascii="Times New Roman" w:eastAsia="Times New Roman" w:hAnsi="Times New Roman" w:cs="Times New Roman"/>
                <w:b/>
                <w:color w:val="000000"/>
                <w:sz w:val="20"/>
                <w:szCs w:val="20"/>
              </w:rPr>
            </w:pPr>
            <w:r w:rsidRPr="008E1974">
              <w:rPr>
                <w:rFonts w:ascii="Times New Roman" w:eastAsia="Times New Roman" w:hAnsi="Times New Roman" w:cs="Times New Roman"/>
                <w:b/>
                <w:color w:val="000000"/>
                <w:sz w:val="20"/>
                <w:szCs w:val="20"/>
              </w:rPr>
              <w:t>квартал</w:t>
            </w:r>
          </w:p>
        </w:tc>
        <w:tc>
          <w:tcPr>
            <w:tcW w:w="1084" w:type="dxa"/>
            <w:tcBorders>
              <w:top w:val="single" w:sz="18" w:space="0" w:color="auto"/>
              <w:right w:val="single" w:sz="18" w:space="0" w:color="auto"/>
            </w:tcBorders>
            <w:shd w:val="clear" w:color="auto" w:fill="auto"/>
            <w:vAlign w:val="center"/>
          </w:tcPr>
          <w:p w:rsidR="008E1974" w:rsidRPr="008E1974" w:rsidRDefault="008E1974" w:rsidP="008E1974">
            <w:pPr>
              <w:tabs>
                <w:tab w:val="left" w:pos="1885"/>
              </w:tabs>
              <w:spacing w:after="0" w:line="240" w:lineRule="auto"/>
              <w:jc w:val="center"/>
              <w:rPr>
                <w:rFonts w:ascii="Times New Roman" w:eastAsia="Times New Roman" w:hAnsi="Times New Roman" w:cs="Times New Roman"/>
                <w:b/>
                <w:color w:val="000000"/>
                <w:sz w:val="20"/>
                <w:szCs w:val="20"/>
              </w:rPr>
            </w:pPr>
            <w:r w:rsidRPr="008E1974">
              <w:rPr>
                <w:rFonts w:ascii="Times New Roman" w:eastAsia="Times New Roman" w:hAnsi="Times New Roman" w:cs="Times New Roman"/>
                <w:b/>
                <w:color w:val="000000"/>
                <w:sz w:val="20"/>
                <w:szCs w:val="20"/>
              </w:rPr>
              <w:t>2013.</w:t>
            </w:r>
          </w:p>
          <w:p w:rsidR="008E1974" w:rsidRPr="008E1974" w:rsidRDefault="008E1974" w:rsidP="008E1974">
            <w:pPr>
              <w:tabs>
                <w:tab w:val="left" w:pos="1885"/>
              </w:tabs>
              <w:spacing w:after="0" w:line="240" w:lineRule="auto"/>
              <w:jc w:val="center"/>
              <w:rPr>
                <w:rFonts w:ascii="Times New Roman" w:eastAsia="Times New Roman" w:hAnsi="Times New Roman" w:cs="Times New Roman"/>
                <w:b/>
                <w:color w:val="000000"/>
                <w:sz w:val="20"/>
                <w:szCs w:val="20"/>
              </w:rPr>
            </w:pPr>
            <w:r w:rsidRPr="008E1974">
              <w:rPr>
                <w:rFonts w:ascii="Times New Roman" w:eastAsia="Times New Roman" w:hAnsi="Times New Roman" w:cs="Times New Roman"/>
                <w:b/>
                <w:color w:val="000000"/>
                <w:sz w:val="20"/>
                <w:szCs w:val="20"/>
              </w:rPr>
              <w:t>први</w:t>
            </w:r>
          </w:p>
          <w:p w:rsidR="008E1974" w:rsidRPr="008E1974" w:rsidRDefault="008E1974" w:rsidP="008E1974">
            <w:pPr>
              <w:tabs>
                <w:tab w:val="left" w:pos="1885"/>
              </w:tabs>
              <w:spacing w:after="0" w:line="240" w:lineRule="auto"/>
              <w:jc w:val="center"/>
              <w:rPr>
                <w:rFonts w:ascii="Times New Roman" w:eastAsia="Times New Roman" w:hAnsi="Times New Roman" w:cs="Times New Roman"/>
                <w:b/>
                <w:color w:val="000000"/>
                <w:sz w:val="20"/>
                <w:szCs w:val="20"/>
              </w:rPr>
            </w:pPr>
            <w:r w:rsidRPr="008E1974">
              <w:rPr>
                <w:rFonts w:ascii="Times New Roman" w:eastAsia="Times New Roman" w:hAnsi="Times New Roman" w:cs="Times New Roman"/>
                <w:b/>
                <w:color w:val="000000"/>
                <w:sz w:val="20"/>
                <w:szCs w:val="20"/>
              </w:rPr>
              <w:t>квартал</w:t>
            </w:r>
          </w:p>
        </w:tc>
        <w:tc>
          <w:tcPr>
            <w:tcW w:w="1348" w:type="dxa"/>
            <w:tcBorders>
              <w:top w:val="single" w:sz="18" w:space="0" w:color="auto"/>
              <w:left w:val="single" w:sz="18" w:space="0" w:color="auto"/>
            </w:tcBorders>
            <w:shd w:val="clear" w:color="auto" w:fill="auto"/>
            <w:vAlign w:val="center"/>
          </w:tcPr>
          <w:p w:rsidR="008E1974" w:rsidRPr="008E1974" w:rsidRDefault="008E1974" w:rsidP="008E1974">
            <w:pPr>
              <w:tabs>
                <w:tab w:val="left" w:pos="1885"/>
              </w:tabs>
              <w:spacing w:after="0" w:line="240" w:lineRule="auto"/>
              <w:jc w:val="center"/>
              <w:rPr>
                <w:rFonts w:ascii="Times New Roman" w:eastAsia="Times New Roman" w:hAnsi="Times New Roman" w:cs="Times New Roman"/>
                <w:b/>
                <w:color w:val="000000"/>
                <w:sz w:val="20"/>
                <w:szCs w:val="20"/>
              </w:rPr>
            </w:pPr>
            <w:r w:rsidRPr="008E1974">
              <w:rPr>
                <w:rFonts w:ascii="Times New Roman" w:eastAsia="Times New Roman" w:hAnsi="Times New Roman" w:cs="Times New Roman"/>
                <w:b/>
                <w:color w:val="000000"/>
                <w:sz w:val="20"/>
                <w:szCs w:val="20"/>
              </w:rPr>
              <w:t>2013.</w:t>
            </w:r>
          </w:p>
          <w:p w:rsidR="008E1974" w:rsidRPr="008E1974" w:rsidRDefault="008E1974" w:rsidP="008E1974">
            <w:pPr>
              <w:tabs>
                <w:tab w:val="left" w:pos="1885"/>
              </w:tabs>
              <w:spacing w:after="0" w:line="240" w:lineRule="auto"/>
              <w:jc w:val="center"/>
              <w:rPr>
                <w:rFonts w:ascii="Times New Roman" w:eastAsia="Times New Roman" w:hAnsi="Times New Roman" w:cs="Times New Roman"/>
                <w:b/>
                <w:color w:val="000000"/>
                <w:sz w:val="20"/>
                <w:szCs w:val="20"/>
              </w:rPr>
            </w:pPr>
            <w:r w:rsidRPr="008E1974">
              <w:rPr>
                <w:rFonts w:ascii="Times New Roman" w:eastAsia="Times New Roman" w:hAnsi="Times New Roman" w:cs="Times New Roman"/>
                <w:b/>
                <w:color w:val="000000"/>
                <w:sz w:val="20"/>
                <w:szCs w:val="20"/>
              </w:rPr>
              <w:t>други</w:t>
            </w:r>
          </w:p>
          <w:p w:rsidR="008E1974" w:rsidRPr="008E1974" w:rsidRDefault="008E1974" w:rsidP="008E1974">
            <w:pPr>
              <w:tabs>
                <w:tab w:val="left" w:pos="1885"/>
              </w:tabs>
              <w:spacing w:after="0" w:line="240" w:lineRule="auto"/>
              <w:jc w:val="center"/>
              <w:rPr>
                <w:rFonts w:ascii="Times New Roman" w:eastAsia="Times New Roman" w:hAnsi="Times New Roman" w:cs="Times New Roman"/>
                <w:b/>
                <w:color w:val="000000"/>
                <w:sz w:val="20"/>
                <w:szCs w:val="20"/>
              </w:rPr>
            </w:pPr>
            <w:r w:rsidRPr="008E1974">
              <w:rPr>
                <w:rFonts w:ascii="Times New Roman" w:eastAsia="Times New Roman" w:hAnsi="Times New Roman" w:cs="Times New Roman"/>
                <w:b/>
                <w:color w:val="000000"/>
                <w:sz w:val="20"/>
                <w:szCs w:val="20"/>
              </w:rPr>
              <w:t>квартал</w:t>
            </w:r>
          </w:p>
        </w:tc>
        <w:tc>
          <w:tcPr>
            <w:tcW w:w="1084" w:type="dxa"/>
            <w:tcBorders>
              <w:top w:val="single" w:sz="18" w:space="0" w:color="auto"/>
              <w:right w:val="single" w:sz="18" w:space="0" w:color="auto"/>
            </w:tcBorders>
            <w:shd w:val="clear" w:color="auto" w:fill="auto"/>
            <w:vAlign w:val="center"/>
          </w:tcPr>
          <w:p w:rsidR="008E1974" w:rsidRPr="008E1974" w:rsidRDefault="008E1974" w:rsidP="008E1974">
            <w:pPr>
              <w:tabs>
                <w:tab w:val="left" w:pos="1885"/>
              </w:tabs>
              <w:spacing w:after="0" w:line="240" w:lineRule="auto"/>
              <w:jc w:val="center"/>
              <w:rPr>
                <w:rFonts w:ascii="Times New Roman" w:eastAsia="Times New Roman" w:hAnsi="Times New Roman" w:cs="Times New Roman"/>
                <w:b/>
                <w:color w:val="000000"/>
                <w:sz w:val="20"/>
                <w:szCs w:val="20"/>
              </w:rPr>
            </w:pPr>
            <w:r w:rsidRPr="008E1974">
              <w:rPr>
                <w:rFonts w:ascii="Times New Roman" w:eastAsia="Times New Roman" w:hAnsi="Times New Roman" w:cs="Times New Roman"/>
                <w:b/>
                <w:color w:val="000000"/>
                <w:sz w:val="20"/>
                <w:szCs w:val="20"/>
              </w:rPr>
              <w:t>2013.</w:t>
            </w:r>
          </w:p>
          <w:p w:rsidR="008E1974" w:rsidRPr="008E1974" w:rsidRDefault="008E1974" w:rsidP="008E1974">
            <w:pPr>
              <w:tabs>
                <w:tab w:val="left" w:pos="1885"/>
              </w:tabs>
              <w:spacing w:after="0" w:line="240" w:lineRule="auto"/>
              <w:jc w:val="center"/>
              <w:rPr>
                <w:rFonts w:ascii="Times New Roman" w:eastAsia="Times New Roman" w:hAnsi="Times New Roman" w:cs="Times New Roman"/>
                <w:b/>
                <w:color w:val="000000"/>
                <w:sz w:val="20"/>
                <w:szCs w:val="20"/>
              </w:rPr>
            </w:pPr>
            <w:r w:rsidRPr="008E1974">
              <w:rPr>
                <w:rFonts w:ascii="Times New Roman" w:eastAsia="Times New Roman" w:hAnsi="Times New Roman" w:cs="Times New Roman"/>
                <w:b/>
                <w:color w:val="000000"/>
                <w:sz w:val="20"/>
                <w:szCs w:val="20"/>
              </w:rPr>
              <w:t>други</w:t>
            </w:r>
          </w:p>
          <w:p w:rsidR="008E1974" w:rsidRPr="008E1974" w:rsidRDefault="008E1974" w:rsidP="008E1974">
            <w:pPr>
              <w:tabs>
                <w:tab w:val="left" w:pos="1885"/>
              </w:tabs>
              <w:spacing w:after="0" w:line="240" w:lineRule="auto"/>
              <w:jc w:val="center"/>
              <w:rPr>
                <w:rFonts w:ascii="Times New Roman" w:eastAsia="Times New Roman" w:hAnsi="Times New Roman" w:cs="Times New Roman"/>
                <w:b/>
                <w:color w:val="000000"/>
                <w:sz w:val="20"/>
                <w:szCs w:val="20"/>
              </w:rPr>
            </w:pPr>
            <w:r w:rsidRPr="008E1974">
              <w:rPr>
                <w:rFonts w:ascii="Times New Roman" w:eastAsia="Times New Roman" w:hAnsi="Times New Roman" w:cs="Times New Roman"/>
                <w:b/>
                <w:color w:val="000000"/>
                <w:sz w:val="20"/>
                <w:szCs w:val="20"/>
              </w:rPr>
              <w:t>квартал</w:t>
            </w:r>
          </w:p>
        </w:tc>
        <w:tc>
          <w:tcPr>
            <w:tcW w:w="1224" w:type="dxa"/>
            <w:tcBorders>
              <w:top w:val="single" w:sz="18" w:space="0" w:color="auto"/>
              <w:left w:val="single" w:sz="18" w:space="0" w:color="auto"/>
            </w:tcBorders>
            <w:shd w:val="clear" w:color="auto" w:fill="auto"/>
            <w:vAlign w:val="center"/>
          </w:tcPr>
          <w:p w:rsidR="008E1974" w:rsidRPr="008E1974" w:rsidRDefault="008E1974" w:rsidP="008E1974">
            <w:pPr>
              <w:tabs>
                <w:tab w:val="left" w:pos="1885"/>
              </w:tabs>
              <w:spacing w:after="0" w:line="240" w:lineRule="auto"/>
              <w:jc w:val="center"/>
              <w:rPr>
                <w:rFonts w:ascii="Times New Roman" w:eastAsia="Times New Roman" w:hAnsi="Times New Roman" w:cs="Times New Roman"/>
                <w:b/>
                <w:color w:val="000000"/>
                <w:sz w:val="20"/>
                <w:szCs w:val="20"/>
              </w:rPr>
            </w:pPr>
            <w:r w:rsidRPr="008E1974">
              <w:rPr>
                <w:rFonts w:ascii="Times New Roman" w:eastAsia="Times New Roman" w:hAnsi="Times New Roman" w:cs="Times New Roman"/>
                <w:b/>
                <w:color w:val="000000"/>
                <w:sz w:val="20"/>
                <w:szCs w:val="20"/>
              </w:rPr>
              <w:t>2013.</w:t>
            </w:r>
          </w:p>
          <w:p w:rsidR="008E1974" w:rsidRPr="008E1974" w:rsidRDefault="008E1974" w:rsidP="008E1974">
            <w:pPr>
              <w:tabs>
                <w:tab w:val="left" w:pos="1885"/>
              </w:tabs>
              <w:spacing w:after="0" w:line="240" w:lineRule="auto"/>
              <w:jc w:val="center"/>
              <w:rPr>
                <w:rFonts w:ascii="Times New Roman" w:eastAsia="Times New Roman" w:hAnsi="Times New Roman" w:cs="Times New Roman"/>
                <w:b/>
                <w:color w:val="000000"/>
                <w:sz w:val="20"/>
                <w:szCs w:val="20"/>
              </w:rPr>
            </w:pPr>
            <w:r w:rsidRPr="008E1974">
              <w:rPr>
                <w:rFonts w:ascii="Times New Roman" w:eastAsia="Times New Roman" w:hAnsi="Times New Roman" w:cs="Times New Roman"/>
                <w:b/>
                <w:color w:val="000000"/>
                <w:sz w:val="20"/>
                <w:szCs w:val="20"/>
              </w:rPr>
              <w:t>трећи</w:t>
            </w:r>
          </w:p>
          <w:p w:rsidR="008E1974" w:rsidRPr="008E1974" w:rsidRDefault="008E1974" w:rsidP="008E1974">
            <w:pPr>
              <w:tabs>
                <w:tab w:val="left" w:pos="1885"/>
              </w:tabs>
              <w:spacing w:after="0" w:line="240" w:lineRule="auto"/>
              <w:jc w:val="center"/>
              <w:rPr>
                <w:rFonts w:ascii="Times New Roman" w:eastAsia="Times New Roman" w:hAnsi="Times New Roman" w:cs="Times New Roman"/>
                <w:b/>
                <w:color w:val="000000"/>
                <w:sz w:val="20"/>
                <w:szCs w:val="20"/>
              </w:rPr>
            </w:pPr>
            <w:r w:rsidRPr="008E1974">
              <w:rPr>
                <w:rFonts w:ascii="Times New Roman" w:eastAsia="Times New Roman" w:hAnsi="Times New Roman" w:cs="Times New Roman"/>
                <w:b/>
                <w:color w:val="000000"/>
                <w:sz w:val="20"/>
                <w:szCs w:val="20"/>
              </w:rPr>
              <w:t>квартал</w:t>
            </w:r>
          </w:p>
        </w:tc>
        <w:tc>
          <w:tcPr>
            <w:tcW w:w="1084" w:type="dxa"/>
            <w:tcBorders>
              <w:top w:val="single" w:sz="18" w:space="0" w:color="auto"/>
              <w:right w:val="single" w:sz="18" w:space="0" w:color="auto"/>
            </w:tcBorders>
            <w:shd w:val="clear" w:color="auto" w:fill="auto"/>
            <w:vAlign w:val="center"/>
          </w:tcPr>
          <w:p w:rsidR="008E1974" w:rsidRPr="008E1974" w:rsidRDefault="008E1974" w:rsidP="008E1974">
            <w:pPr>
              <w:tabs>
                <w:tab w:val="left" w:pos="1885"/>
              </w:tabs>
              <w:spacing w:after="0" w:line="240" w:lineRule="auto"/>
              <w:jc w:val="center"/>
              <w:rPr>
                <w:rFonts w:ascii="Times New Roman" w:eastAsia="Times New Roman" w:hAnsi="Times New Roman" w:cs="Times New Roman"/>
                <w:b/>
                <w:color w:val="000000"/>
                <w:sz w:val="20"/>
                <w:szCs w:val="20"/>
              </w:rPr>
            </w:pPr>
            <w:r w:rsidRPr="008E1974">
              <w:rPr>
                <w:rFonts w:ascii="Times New Roman" w:eastAsia="Times New Roman" w:hAnsi="Times New Roman" w:cs="Times New Roman"/>
                <w:b/>
                <w:color w:val="000000"/>
                <w:sz w:val="20"/>
                <w:szCs w:val="20"/>
              </w:rPr>
              <w:t>2013.</w:t>
            </w:r>
          </w:p>
          <w:p w:rsidR="008E1974" w:rsidRPr="008E1974" w:rsidRDefault="008E1974" w:rsidP="008E1974">
            <w:pPr>
              <w:tabs>
                <w:tab w:val="left" w:pos="1885"/>
              </w:tabs>
              <w:spacing w:after="0" w:line="240" w:lineRule="auto"/>
              <w:jc w:val="center"/>
              <w:rPr>
                <w:rFonts w:ascii="Times New Roman" w:eastAsia="Times New Roman" w:hAnsi="Times New Roman" w:cs="Times New Roman"/>
                <w:b/>
                <w:color w:val="000000"/>
                <w:sz w:val="20"/>
                <w:szCs w:val="20"/>
              </w:rPr>
            </w:pPr>
            <w:r w:rsidRPr="008E1974">
              <w:rPr>
                <w:rFonts w:ascii="Times New Roman" w:eastAsia="Times New Roman" w:hAnsi="Times New Roman" w:cs="Times New Roman"/>
                <w:b/>
                <w:color w:val="000000"/>
                <w:sz w:val="20"/>
                <w:szCs w:val="20"/>
              </w:rPr>
              <w:t>трећи</w:t>
            </w:r>
          </w:p>
          <w:p w:rsidR="008E1974" w:rsidRPr="008E1974" w:rsidRDefault="008E1974" w:rsidP="008E1974">
            <w:pPr>
              <w:tabs>
                <w:tab w:val="left" w:pos="1885"/>
              </w:tabs>
              <w:spacing w:after="0" w:line="240" w:lineRule="auto"/>
              <w:jc w:val="center"/>
              <w:rPr>
                <w:rFonts w:ascii="Times New Roman" w:eastAsia="Times New Roman" w:hAnsi="Times New Roman" w:cs="Times New Roman"/>
                <w:b/>
                <w:color w:val="000000"/>
                <w:sz w:val="20"/>
                <w:szCs w:val="20"/>
              </w:rPr>
            </w:pPr>
            <w:r w:rsidRPr="008E1974">
              <w:rPr>
                <w:rFonts w:ascii="Times New Roman" w:eastAsia="Times New Roman" w:hAnsi="Times New Roman" w:cs="Times New Roman"/>
                <w:b/>
                <w:color w:val="000000"/>
                <w:sz w:val="20"/>
                <w:szCs w:val="20"/>
              </w:rPr>
              <w:t>квартал</w:t>
            </w:r>
          </w:p>
        </w:tc>
        <w:tc>
          <w:tcPr>
            <w:tcW w:w="1220" w:type="dxa"/>
            <w:tcBorders>
              <w:top w:val="single" w:sz="18" w:space="0" w:color="auto"/>
              <w:bottom w:val="single" w:sz="4" w:space="0" w:color="auto"/>
              <w:right w:val="single" w:sz="4" w:space="0" w:color="auto"/>
            </w:tcBorders>
            <w:vAlign w:val="center"/>
          </w:tcPr>
          <w:p w:rsidR="008E1974" w:rsidRPr="008E1974" w:rsidRDefault="008E1974" w:rsidP="008E1974">
            <w:pPr>
              <w:tabs>
                <w:tab w:val="left" w:pos="1885"/>
              </w:tabs>
              <w:spacing w:after="0" w:line="240" w:lineRule="auto"/>
              <w:jc w:val="center"/>
              <w:rPr>
                <w:rFonts w:ascii="Times New Roman" w:eastAsia="Times New Roman" w:hAnsi="Times New Roman" w:cs="Times New Roman"/>
                <w:b/>
                <w:color w:val="000000"/>
                <w:sz w:val="20"/>
                <w:szCs w:val="20"/>
              </w:rPr>
            </w:pPr>
            <w:r w:rsidRPr="008E1974">
              <w:rPr>
                <w:rFonts w:ascii="Times New Roman" w:eastAsia="Times New Roman" w:hAnsi="Times New Roman" w:cs="Times New Roman"/>
                <w:b/>
                <w:color w:val="000000"/>
                <w:sz w:val="20"/>
                <w:szCs w:val="20"/>
              </w:rPr>
              <w:t>2013.</w:t>
            </w:r>
          </w:p>
          <w:p w:rsidR="008E1974" w:rsidRPr="008E1974" w:rsidRDefault="008E1974" w:rsidP="008E1974">
            <w:pPr>
              <w:tabs>
                <w:tab w:val="left" w:pos="1885"/>
              </w:tabs>
              <w:spacing w:after="0" w:line="240" w:lineRule="auto"/>
              <w:jc w:val="center"/>
              <w:rPr>
                <w:rFonts w:ascii="Times New Roman" w:eastAsia="Times New Roman" w:hAnsi="Times New Roman" w:cs="Times New Roman"/>
                <w:b/>
                <w:color w:val="000000"/>
                <w:sz w:val="20"/>
                <w:szCs w:val="20"/>
              </w:rPr>
            </w:pPr>
            <w:r w:rsidRPr="008E1974">
              <w:rPr>
                <w:rFonts w:ascii="Times New Roman" w:eastAsia="Times New Roman" w:hAnsi="Times New Roman" w:cs="Times New Roman"/>
                <w:b/>
                <w:color w:val="000000"/>
                <w:sz w:val="20"/>
                <w:szCs w:val="20"/>
              </w:rPr>
              <w:t>четврти</w:t>
            </w:r>
          </w:p>
          <w:p w:rsidR="008E1974" w:rsidRPr="008E1974" w:rsidRDefault="008E1974" w:rsidP="008E1974">
            <w:pPr>
              <w:tabs>
                <w:tab w:val="left" w:pos="1885"/>
              </w:tabs>
              <w:spacing w:after="0" w:line="240" w:lineRule="auto"/>
              <w:jc w:val="center"/>
              <w:rPr>
                <w:rFonts w:ascii="Times New Roman" w:eastAsia="Times New Roman" w:hAnsi="Times New Roman" w:cs="Times New Roman"/>
                <w:b/>
                <w:color w:val="000000"/>
                <w:sz w:val="20"/>
                <w:szCs w:val="20"/>
              </w:rPr>
            </w:pPr>
            <w:r w:rsidRPr="008E1974">
              <w:rPr>
                <w:rFonts w:ascii="Times New Roman" w:eastAsia="Times New Roman" w:hAnsi="Times New Roman" w:cs="Times New Roman"/>
                <w:b/>
                <w:color w:val="000000"/>
                <w:sz w:val="20"/>
                <w:szCs w:val="20"/>
              </w:rPr>
              <w:t>квартал</w:t>
            </w:r>
          </w:p>
        </w:tc>
        <w:tc>
          <w:tcPr>
            <w:tcW w:w="961" w:type="dxa"/>
            <w:tcBorders>
              <w:top w:val="single" w:sz="18" w:space="0" w:color="auto"/>
              <w:left w:val="single" w:sz="4" w:space="0" w:color="auto"/>
              <w:bottom w:val="single" w:sz="4" w:space="0" w:color="auto"/>
              <w:right w:val="single" w:sz="18" w:space="0" w:color="auto"/>
            </w:tcBorders>
            <w:vAlign w:val="center"/>
          </w:tcPr>
          <w:p w:rsidR="008E1974" w:rsidRPr="008E1974" w:rsidRDefault="008E1974" w:rsidP="008E1974">
            <w:pPr>
              <w:tabs>
                <w:tab w:val="left" w:pos="1885"/>
              </w:tabs>
              <w:spacing w:after="0" w:line="240" w:lineRule="auto"/>
              <w:jc w:val="center"/>
              <w:rPr>
                <w:rFonts w:ascii="Times New Roman" w:eastAsia="Times New Roman" w:hAnsi="Times New Roman" w:cs="Times New Roman"/>
                <w:b/>
                <w:color w:val="000000"/>
                <w:sz w:val="20"/>
                <w:szCs w:val="20"/>
              </w:rPr>
            </w:pPr>
            <w:r w:rsidRPr="008E1974">
              <w:rPr>
                <w:rFonts w:ascii="Times New Roman" w:eastAsia="Times New Roman" w:hAnsi="Times New Roman" w:cs="Times New Roman"/>
                <w:b/>
                <w:color w:val="000000"/>
                <w:sz w:val="20"/>
                <w:szCs w:val="20"/>
              </w:rPr>
              <w:t>2013.</w:t>
            </w:r>
          </w:p>
          <w:p w:rsidR="008E1974" w:rsidRPr="008E1974" w:rsidRDefault="008E1974" w:rsidP="008E1974">
            <w:pPr>
              <w:tabs>
                <w:tab w:val="left" w:pos="1885"/>
              </w:tabs>
              <w:spacing w:after="0" w:line="240" w:lineRule="auto"/>
              <w:jc w:val="center"/>
              <w:rPr>
                <w:rFonts w:ascii="Times New Roman" w:eastAsia="Times New Roman" w:hAnsi="Times New Roman" w:cs="Times New Roman"/>
                <w:b/>
                <w:color w:val="000000"/>
                <w:sz w:val="20"/>
                <w:szCs w:val="20"/>
              </w:rPr>
            </w:pPr>
            <w:r w:rsidRPr="008E1974">
              <w:rPr>
                <w:rFonts w:ascii="Times New Roman" w:eastAsia="Times New Roman" w:hAnsi="Times New Roman" w:cs="Times New Roman"/>
                <w:b/>
                <w:color w:val="000000"/>
                <w:sz w:val="20"/>
                <w:szCs w:val="20"/>
              </w:rPr>
              <w:t>четврти</w:t>
            </w:r>
          </w:p>
          <w:p w:rsidR="008E1974" w:rsidRPr="008E1974" w:rsidRDefault="008E1974" w:rsidP="008E1974">
            <w:pPr>
              <w:tabs>
                <w:tab w:val="left" w:pos="1885"/>
              </w:tabs>
              <w:spacing w:after="0" w:line="240" w:lineRule="auto"/>
              <w:jc w:val="center"/>
              <w:rPr>
                <w:rFonts w:ascii="Times New Roman" w:eastAsia="Times New Roman" w:hAnsi="Times New Roman" w:cs="Times New Roman"/>
                <w:b/>
                <w:color w:val="000000"/>
                <w:sz w:val="20"/>
                <w:szCs w:val="20"/>
              </w:rPr>
            </w:pPr>
            <w:r w:rsidRPr="008E1974">
              <w:rPr>
                <w:rFonts w:ascii="Times New Roman" w:eastAsia="Times New Roman" w:hAnsi="Times New Roman" w:cs="Times New Roman"/>
                <w:b/>
                <w:color w:val="000000"/>
                <w:sz w:val="20"/>
                <w:szCs w:val="20"/>
              </w:rPr>
              <w:t>квартал</w:t>
            </w:r>
          </w:p>
        </w:tc>
      </w:tr>
      <w:tr w:rsidR="008E1974" w:rsidRPr="008E1974" w:rsidTr="003F4DFD">
        <w:tc>
          <w:tcPr>
            <w:tcW w:w="2609" w:type="dxa"/>
            <w:tcBorders>
              <w:left w:val="single" w:sz="18" w:space="0" w:color="auto"/>
              <w:right w:val="single" w:sz="18" w:space="0" w:color="auto"/>
            </w:tcBorders>
            <w:shd w:val="clear" w:color="auto" w:fill="auto"/>
            <w:vAlign w:val="center"/>
          </w:tcPr>
          <w:p w:rsidR="008E1974" w:rsidRPr="008E1974" w:rsidRDefault="008E1974" w:rsidP="008E1974">
            <w:pPr>
              <w:tabs>
                <w:tab w:val="left" w:pos="1885"/>
              </w:tabs>
              <w:spacing w:after="0" w:line="240" w:lineRule="auto"/>
              <w:jc w:val="center"/>
              <w:rPr>
                <w:rFonts w:ascii="Times New Roman" w:eastAsia="Times New Roman" w:hAnsi="Times New Roman" w:cs="Times New Roman"/>
                <w:b/>
                <w:color w:val="000000"/>
                <w:sz w:val="20"/>
                <w:szCs w:val="20"/>
              </w:rPr>
            </w:pPr>
            <w:r w:rsidRPr="008E1974">
              <w:rPr>
                <w:rFonts w:ascii="Times New Roman" w:eastAsia="Times New Roman" w:hAnsi="Times New Roman" w:cs="Times New Roman"/>
                <w:b/>
                <w:color w:val="000000"/>
                <w:sz w:val="20"/>
                <w:szCs w:val="20"/>
              </w:rPr>
              <w:t>Врста поступка</w:t>
            </w:r>
          </w:p>
          <w:p w:rsidR="008E1974" w:rsidRPr="008E1974" w:rsidRDefault="008E1974" w:rsidP="008E1974">
            <w:pPr>
              <w:tabs>
                <w:tab w:val="left" w:pos="1885"/>
              </w:tabs>
              <w:spacing w:after="0" w:line="240" w:lineRule="auto"/>
              <w:jc w:val="center"/>
              <w:rPr>
                <w:rFonts w:ascii="Times New Roman" w:eastAsia="Times New Roman" w:hAnsi="Times New Roman" w:cs="Times New Roman"/>
                <w:b/>
                <w:color w:val="000000"/>
                <w:sz w:val="20"/>
                <w:szCs w:val="20"/>
              </w:rPr>
            </w:pPr>
          </w:p>
        </w:tc>
        <w:tc>
          <w:tcPr>
            <w:tcW w:w="1349" w:type="dxa"/>
            <w:tcBorders>
              <w:left w:val="single" w:sz="18" w:space="0" w:color="auto"/>
            </w:tcBorders>
            <w:shd w:val="clear" w:color="auto" w:fill="auto"/>
            <w:vAlign w:val="center"/>
          </w:tcPr>
          <w:p w:rsidR="008E1974" w:rsidRPr="008E1974" w:rsidRDefault="008E1974" w:rsidP="008E1974">
            <w:pPr>
              <w:tabs>
                <w:tab w:val="left" w:pos="1885"/>
              </w:tabs>
              <w:spacing w:after="0" w:line="240" w:lineRule="auto"/>
              <w:jc w:val="center"/>
              <w:rPr>
                <w:rFonts w:ascii="Times New Roman" w:eastAsia="Times New Roman" w:hAnsi="Times New Roman" w:cs="Times New Roman"/>
                <w:b/>
                <w:color w:val="000000"/>
                <w:sz w:val="20"/>
                <w:szCs w:val="20"/>
              </w:rPr>
            </w:pPr>
            <w:r w:rsidRPr="008E1974">
              <w:rPr>
                <w:rFonts w:ascii="Times New Roman" w:eastAsia="Times New Roman" w:hAnsi="Times New Roman" w:cs="Times New Roman"/>
                <w:b/>
                <w:color w:val="000000"/>
                <w:sz w:val="20"/>
                <w:szCs w:val="20"/>
              </w:rPr>
              <w:t>Уговорена</w:t>
            </w:r>
          </w:p>
          <w:p w:rsidR="008E1974" w:rsidRPr="008E1974" w:rsidRDefault="008E1974" w:rsidP="008E1974">
            <w:pPr>
              <w:tabs>
                <w:tab w:val="left" w:pos="1885"/>
              </w:tabs>
              <w:spacing w:after="0" w:line="240" w:lineRule="auto"/>
              <w:jc w:val="center"/>
              <w:rPr>
                <w:rFonts w:ascii="Times New Roman" w:eastAsia="Times New Roman" w:hAnsi="Times New Roman" w:cs="Times New Roman"/>
                <w:b/>
                <w:color w:val="000000"/>
                <w:sz w:val="20"/>
                <w:szCs w:val="20"/>
              </w:rPr>
            </w:pPr>
            <w:r w:rsidRPr="008E1974">
              <w:rPr>
                <w:rFonts w:ascii="Times New Roman" w:eastAsia="Times New Roman" w:hAnsi="Times New Roman" w:cs="Times New Roman"/>
                <w:b/>
                <w:color w:val="000000"/>
                <w:sz w:val="20"/>
                <w:szCs w:val="20"/>
              </w:rPr>
              <w:t>вредност у хиљадама динара</w:t>
            </w:r>
          </w:p>
          <w:p w:rsidR="008E1974" w:rsidRPr="008E1974" w:rsidRDefault="008E1974" w:rsidP="008E1974">
            <w:pPr>
              <w:tabs>
                <w:tab w:val="left" w:pos="1885"/>
              </w:tabs>
              <w:spacing w:after="0" w:line="240" w:lineRule="auto"/>
              <w:jc w:val="center"/>
              <w:rPr>
                <w:rFonts w:ascii="Times New Roman" w:eastAsia="Times New Roman" w:hAnsi="Times New Roman" w:cs="Times New Roman"/>
                <w:b/>
                <w:color w:val="000000"/>
                <w:sz w:val="20"/>
                <w:szCs w:val="20"/>
              </w:rPr>
            </w:pPr>
          </w:p>
        </w:tc>
        <w:tc>
          <w:tcPr>
            <w:tcW w:w="758" w:type="dxa"/>
            <w:tcBorders>
              <w:right w:val="single" w:sz="18" w:space="0" w:color="auto"/>
            </w:tcBorders>
            <w:shd w:val="clear" w:color="auto" w:fill="auto"/>
            <w:vAlign w:val="center"/>
          </w:tcPr>
          <w:p w:rsidR="008E1974" w:rsidRPr="008E1974" w:rsidRDefault="008E1974" w:rsidP="008E1974">
            <w:pPr>
              <w:tabs>
                <w:tab w:val="left" w:pos="1885"/>
              </w:tabs>
              <w:spacing w:after="0" w:line="240" w:lineRule="auto"/>
              <w:jc w:val="center"/>
              <w:rPr>
                <w:rFonts w:ascii="Times New Roman" w:eastAsia="Times New Roman" w:hAnsi="Times New Roman" w:cs="Times New Roman"/>
                <w:b/>
                <w:color w:val="000000"/>
                <w:sz w:val="20"/>
                <w:szCs w:val="20"/>
              </w:rPr>
            </w:pPr>
            <w:r w:rsidRPr="008E1974">
              <w:rPr>
                <w:rFonts w:ascii="Times New Roman" w:eastAsia="Times New Roman" w:hAnsi="Times New Roman" w:cs="Times New Roman"/>
                <w:b/>
                <w:color w:val="000000"/>
                <w:sz w:val="20"/>
                <w:szCs w:val="20"/>
              </w:rPr>
              <w:t>%</w:t>
            </w:r>
          </w:p>
        </w:tc>
        <w:tc>
          <w:tcPr>
            <w:tcW w:w="1499" w:type="dxa"/>
            <w:tcBorders>
              <w:left w:val="single" w:sz="18" w:space="0" w:color="auto"/>
            </w:tcBorders>
            <w:shd w:val="clear" w:color="auto" w:fill="auto"/>
            <w:vAlign w:val="center"/>
          </w:tcPr>
          <w:p w:rsidR="008E1974" w:rsidRPr="008E1974" w:rsidRDefault="008E1974" w:rsidP="008E1974">
            <w:pPr>
              <w:tabs>
                <w:tab w:val="left" w:pos="1885"/>
              </w:tabs>
              <w:spacing w:after="0" w:line="240" w:lineRule="auto"/>
              <w:jc w:val="center"/>
              <w:rPr>
                <w:rFonts w:ascii="Times New Roman" w:eastAsia="Times New Roman" w:hAnsi="Times New Roman" w:cs="Times New Roman"/>
                <w:b/>
                <w:color w:val="000000"/>
                <w:sz w:val="20"/>
                <w:szCs w:val="20"/>
              </w:rPr>
            </w:pPr>
            <w:r w:rsidRPr="008E1974">
              <w:rPr>
                <w:rFonts w:ascii="Times New Roman" w:eastAsia="Times New Roman" w:hAnsi="Times New Roman" w:cs="Times New Roman"/>
                <w:b/>
                <w:color w:val="000000"/>
                <w:sz w:val="20"/>
                <w:szCs w:val="20"/>
              </w:rPr>
              <w:t>Уговорена</w:t>
            </w:r>
          </w:p>
          <w:p w:rsidR="008E1974" w:rsidRPr="008E1974" w:rsidRDefault="008E1974" w:rsidP="008E1974">
            <w:pPr>
              <w:tabs>
                <w:tab w:val="left" w:pos="1885"/>
              </w:tabs>
              <w:spacing w:after="0" w:line="240" w:lineRule="auto"/>
              <w:jc w:val="center"/>
              <w:rPr>
                <w:rFonts w:ascii="Times New Roman" w:eastAsia="Times New Roman" w:hAnsi="Times New Roman" w:cs="Times New Roman"/>
                <w:b/>
                <w:color w:val="000000"/>
                <w:sz w:val="20"/>
                <w:szCs w:val="20"/>
              </w:rPr>
            </w:pPr>
            <w:r w:rsidRPr="008E1974">
              <w:rPr>
                <w:rFonts w:ascii="Times New Roman" w:eastAsia="Times New Roman" w:hAnsi="Times New Roman" w:cs="Times New Roman"/>
                <w:b/>
                <w:color w:val="000000"/>
                <w:sz w:val="20"/>
                <w:szCs w:val="20"/>
              </w:rPr>
              <w:t>вредност у хиљадама</w:t>
            </w:r>
          </w:p>
          <w:p w:rsidR="008E1974" w:rsidRPr="008E1974" w:rsidRDefault="008E1974" w:rsidP="008E1974">
            <w:pPr>
              <w:tabs>
                <w:tab w:val="left" w:pos="1885"/>
              </w:tabs>
              <w:spacing w:after="0" w:line="240" w:lineRule="auto"/>
              <w:jc w:val="center"/>
              <w:rPr>
                <w:rFonts w:ascii="Times New Roman" w:eastAsia="Times New Roman" w:hAnsi="Times New Roman" w:cs="Times New Roman"/>
                <w:b/>
                <w:color w:val="000000"/>
                <w:sz w:val="20"/>
                <w:szCs w:val="20"/>
              </w:rPr>
            </w:pPr>
            <w:r w:rsidRPr="008E1974">
              <w:rPr>
                <w:rFonts w:ascii="Times New Roman" w:eastAsia="Times New Roman" w:hAnsi="Times New Roman" w:cs="Times New Roman"/>
                <w:b/>
                <w:color w:val="000000"/>
                <w:sz w:val="20"/>
                <w:szCs w:val="20"/>
              </w:rPr>
              <w:t>динара</w:t>
            </w:r>
          </w:p>
        </w:tc>
        <w:tc>
          <w:tcPr>
            <w:tcW w:w="1084" w:type="dxa"/>
            <w:tcBorders>
              <w:right w:val="single" w:sz="18" w:space="0" w:color="auto"/>
            </w:tcBorders>
            <w:shd w:val="clear" w:color="auto" w:fill="auto"/>
            <w:vAlign w:val="center"/>
          </w:tcPr>
          <w:p w:rsidR="008E1974" w:rsidRPr="008E1974" w:rsidRDefault="008E1974" w:rsidP="008E1974">
            <w:pPr>
              <w:tabs>
                <w:tab w:val="left" w:pos="1885"/>
              </w:tabs>
              <w:spacing w:after="0" w:line="240" w:lineRule="auto"/>
              <w:jc w:val="center"/>
              <w:rPr>
                <w:rFonts w:ascii="Times New Roman" w:eastAsia="Times New Roman" w:hAnsi="Times New Roman" w:cs="Times New Roman"/>
                <w:b/>
                <w:color w:val="000000"/>
                <w:sz w:val="20"/>
                <w:szCs w:val="20"/>
              </w:rPr>
            </w:pPr>
            <w:r w:rsidRPr="008E1974">
              <w:rPr>
                <w:rFonts w:ascii="Times New Roman" w:eastAsia="Times New Roman" w:hAnsi="Times New Roman" w:cs="Times New Roman"/>
                <w:b/>
                <w:color w:val="000000"/>
                <w:sz w:val="20"/>
                <w:szCs w:val="20"/>
              </w:rPr>
              <w:t>%</w:t>
            </w:r>
          </w:p>
        </w:tc>
        <w:tc>
          <w:tcPr>
            <w:tcW w:w="1348" w:type="dxa"/>
            <w:tcBorders>
              <w:left w:val="single" w:sz="18" w:space="0" w:color="auto"/>
            </w:tcBorders>
            <w:shd w:val="clear" w:color="auto" w:fill="auto"/>
            <w:vAlign w:val="center"/>
          </w:tcPr>
          <w:p w:rsidR="008E1974" w:rsidRPr="008E1974" w:rsidRDefault="008E1974" w:rsidP="008E1974">
            <w:pPr>
              <w:tabs>
                <w:tab w:val="left" w:pos="1885"/>
              </w:tabs>
              <w:spacing w:after="0" w:line="240" w:lineRule="auto"/>
              <w:jc w:val="center"/>
              <w:rPr>
                <w:rFonts w:ascii="Times New Roman" w:eastAsia="Times New Roman" w:hAnsi="Times New Roman" w:cs="Times New Roman"/>
                <w:b/>
                <w:color w:val="000000"/>
                <w:sz w:val="20"/>
                <w:szCs w:val="20"/>
              </w:rPr>
            </w:pPr>
            <w:r w:rsidRPr="008E1974">
              <w:rPr>
                <w:rFonts w:ascii="Times New Roman" w:eastAsia="Times New Roman" w:hAnsi="Times New Roman" w:cs="Times New Roman"/>
                <w:b/>
                <w:color w:val="000000"/>
                <w:sz w:val="20"/>
                <w:szCs w:val="20"/>
              </w:rPr>
              <w:t>Уговорена</w:t>
            </w:r>
          </w:p>
          <w:p w:rsidR="008E1974" w:rsidRPr="008E1974" w:rsidRDefault="008E1974" w:rsidP="008E1974">
            <w:pPr>
              <w:tabs>
                <w:tab w:val="left" w:pos="1885"/>
              </w:tabs>
              <w:spacing w:after="0" w:line="240" w:lineRule="auto"/>
              <w:jc w:val="center"/>
              <w:rPr>
                <w:rFonts w:ascii="Times New Roman" w:eastAsia="Times New Roman" w:hAnsi="Times New Roman" w:cs="Times New Roman"/>
                <w:b/>
                <w:color w:val="000000"/>
                <w:sz w:val="20"/>
                <w:szCs w:val="20"/>
              </w:rPr>
            </w:pPr>
            <w:r w:rsidRPr="008E1974">
              <w:rPr>
                <w:rFonts w:ascii="Times New Roman" w:eastAsia="Times New Roman" w:hAnsi="Times New Roman" w:cs="Times New Roman"/>
                <w:b/>
                <w:color w:val="000000"/>
                <w:sz w:val="20"/>
                <w:szCs w:val="20"/>
              </w:rPr>
              <w:t>вредност у хиљадама динара</w:t>
            </w:r>
          </w:p>
        </w:tc>
        <w:tc>
          <w:tcPr>
            <w:tcW w:w="1084" w:type="dxa"/>
            <w:tcBorders>
              <w:right w:val="single" w:sz="18" w:space="0" w:color="auto"/>
            </w:tcBorders>
            <w:shd w:val="clear" w:color="auto" w:fill="auto"/>
            <w:vAlign w:val="center"/>
          </w:tcPr>
          <w:p w:rsidR="008E1974" w:rsidRPr="008E1974" w:rsidRDefault="008E1974" w:rsidP="008E1974">
            <w:pPr>
              <w:tabs>
                <w:tab w:val="left" w:pos="1885"/>
              </w:tabs>
              <w:spacing w:after="0" w:line="240" w:lineRule="auto"/>
              <w:jc w:val="center"/>
              <w:rPr>
                <w:rFonts w:ascii="Times New Roman" w:eastAsia="Times New Roman" w:hAnsi="Times New Roman" w:cs="Times New Roman"/>
                <w:b/>
                <w:color w:val="000000"/>
                <w:sz w:val="20"/>
                <w:szCs w:val="20"/>
              </w:rPr>
            </w:pPr>
            <w:r w:rsidRPr="008E1974">
              <w:rPr>
                <w:rFonts w:ascii="Times New Roman" w:eastAsia="Times New Roman" w:hAnsi="Times New Roman" w:cs="Times New Roman"/>
                <w:b/>
                <w:color w:val="000000"/>
                <w:sz w:val="20"/>
                <w:szCs w:val="20"/>
              </w:rPr>
              <w:t>%</w:t>
            </w:r>
          </w:p>
        </w:tc>
        <w:tc>
          <w:tcPr>
            <w:tcW w:w="1224" w:type="dxa"/>
            <w:tcBorders>
              <w:left w:val="single" w:sz="18" w:space="0" w:color="auto"/>
            </w:tcBorders>
            <w:shd w:val="clear" w:color="auto" w:fill="auto"/>
            <w:vAlign w:val="center"/>
          </w:tcPr>
          <w:p w:rsidR="008E1974" w:rsidRPr="008E1974" w:rsidRDefault="008E1974" w:rsidP="008E1974">
            <w:pPr>
              <w:tabs>
                <w:tab w:val="left" w:pos="1885"/>
              </w:tabs>
              <w:spacing w:after="0" w:line="240" w:lineRule="auto"/>
              <w:jc w:val="center"/>
              <w:rPr>
                <w:rFonts w:ascii="Times New Roman" w:eastAsia="Times New Roman" w:hAnsi="Times New Roman" w:cs="Times New Roman"/>
                <w:b/>
                <w:color w:val="000000"/>
                <w:sz w:val="20"/>
                <w:szCs w:val="20"/>
              </w:rPr>
            </w:pPr>
            <w:r w:rsidRPr="008E1974">
              <w:rPr>
                <w:rFonts w:ascii="Times New Roman" w:eastAsia="Times New Roman" w:hAnsi="Times New Roman" w:cs="Times New Roman"/>
                <w:b/>
                <w:color w:val="000000"/>
                <w:sz w:val="20"/>
                <w:szCs w:val="20"/>
              </w:rPr>
              <w:t>Уговорена</w:t>
            </w:r>
          </w:p>
          <w:p w:rsidR="008E1974" w:rsidRPr="008E1974" w:rsidRDefault="008E1974" w:rsidP="008E1974">
            <w:pPr>
              <w:tabs>
                <w:tab w:val="left" w:pos="1885"/>
              </w:tabs>
              <w:spacing w:after="0" w:line="240" w:lineRule="auto"/>
              <w:jc w:val="center"/>
              <w:rPr>
                <w:rFonts w:ascii="Times New Roman" w:eastAsia="Times New Roman" w:hAnsi="Times New Roman" w:cs="Times New Roman"/>
                <w:b/>
                <w:color w:val="000000"/>
                <w:sz w:val="20"/>
                <w:szCs w:val="20"/>
              </w:rPr>
            </w:pPr>
            <w:r w:rsidRPr="008E1974">
              <w:rPr>
                <w:rFonts w:ascii="Times New Roman" w:eastAsia="Times New Roman" w:hAnsi="Times New Roman" w:cs="Times New Roman"/>
                <w:b/>
                <w:color w:val="000000"/>
                <w:sz w:val="20"/>
                <w:szCs w:val="20"/>
              </w:rPr>
              <w:t>вредност у хиљадама динара</w:t>
            </w:r>
          </w:p>
        </w:tc>
        <w:tc>
          <w:tcPr>
            <w:tcW w:w="1084" w:type="dxa"/>
            <w:tcBorders>
              <w:right w:val="single" w:sz="18" w:space="0" w:color="auto"/>
            </w:tcBorders>
            <w:shd w:val="clear" w:color="auto" w:fill="auto"/>
            <w:vAlign w:val="center"/>
          </w:tcPr>
          <w:p w:rsidR="008E1974" w:rsidRPr="008E1974" w:rsidRDefault="008E1974" w:rsidP="008E1974">
            <w:pPr>
              <w:tabs>
                <w:tab w:val="left" w:pos="1885"/>
              </w:tabs>
              <w:spacing w:after="0" w:line="240" w:lineRule="auto"/>
              <w:jc w:val="center"/>
              <w:rPr>
                <w:rFonts w:ascii="Times New Roman" w:eastAsia="Times New Roman" w:hAnsi="Times New Roman" w:cs="Times New Roman"/>
                <w:b/>
                <w:color w:val="000000"/>
                <w:sz w:val="20"/>
                <w:szCs w:val="20"/>
              </w:rPr>
            </w:pPr>
            <w:r w:rsidRPr="008E1974">
              <w:rPr>
                <w:rFonts w:ascii="Times New Roman" w:eastAsia="Times New Roman" w:hAnsi="Times New Roman" w:cs="Times New Roman"/>
                <w:b/>
                <w:color w:val="000000"/>
                <w:sz w:val="20"/>
                <w:szCs w:val="20"/>
              </w:rPr>
              <w:t>%</w:t>
            </w:r>
          </w:p>
        </w:tc>
        <w:tc>
          <w:tcPr>
            <w:tcW w:w="1220" w:type="dxa"/>
            <w:tcBorders>
              <w:top w:val="single" w:sz="4" w:space="0" w:color="auto"/>
              <w:bottom w:val="single" w:sz="4" w:space="0" w:color="auto"/>
              <w:right w:val="single" w:sz="4" w:space="0" w:color="auto"/>
            </w:tcBorders>
            <w:vAlign w:val="center"/>
          </w:tcPr>
          <w:p w:rsidR="008E1974" w:rsidRPr="008E1974" w:rsidRDefault="008E1974" w:rsidP="008E1974">
            <w:pPr>
              <w:tabs>
                <w:tab w:val="left" w:pos="1885"/>
              </w:tabs>
              <w:spacing w:after="0" w:line="240" w:lineRule="auto"/>
              <w:jc w:val="center"/>
              <w:rPr>
                <w:rFonts w:ascii="Times New Roman" w:eastAsia="Times New Roman" w:hAnsi="Times New Roman" w:cs="Times New Roman"/>
                <w:b/>
                <w:color w:val="000000"/>
                <w:sz w:val="20"/>
                <w:szCs w:val="20"/>
              </w:rPr>
            </w:pPr>
            <w:r w:rsidRPr="008E1974">
              <w:rPr>
                <w:rFonts w:ascii="Times New Roman" w:eastAsia="Times New Roman" w:hAnsi="Times New Roman" w:cs="Times New Roman"/>
                <w:b/>
                <w:color w:val="000000"/>
                <w:sz w:val="20"/>
                <w:szCs w:val="20"/>
              </w:rPr>
              <w:t>Уговорена</w:t>
            </w:r>
          </w:p>
          <w:p w:rsidR="008E1974" w:rsidRPr="008E1974" w:rsidRDefault="008E1974" w:rsidP="008E1974">
            <w:pPr>
              <w:tabs>
                <w:tab w:val="left" w:pos="1885"/>
              </w:tabs>
              <w:spacing w:after="0" w:line="240" w:lineRule="auto"/>
              <w:jc w:val="center"/>
              <w:rPr>
                <w:rFonts w:ascii="Times New Roman" w:eastAsia="Times New Roman" w:hAnsi="Times New Roman" w:cs="Times New Roman"/>
                <w:b/>
                <w:color w:val="000000"/>
                <w:sz w:val="20"/>
                <w:szCs w:val="20"/>
              </w:rPr>
            </w:pPr>
            <w:r w:rsidRPr="008E1974">
              <w:rPr>
                <w:rFonts w:ascii="Times New Roman" w:eastAsia="Times New Roman" w:hAnsi="Times New Roman" w:cs="Times New Roman"/>
                <w:b/>
                <w:color w:val="000000"/>
                <w:sz w:val="20"/>
                <w:szCs w:val="20"/>
              </w:rPr>
              <w:t>вредност у хиљадама динара</w:t>
            </w:r>
          </w:p>
        </w:tc>
        <w:tc>
          <w:tcPr>
            <w:tcW w:w="961" w:type="dxa"/>
            <w:tcBorders>
              <w:top w:val="single" w:sz="4" w:space="0" w:color="auto"/>
              <w:left w:val="single" w:sz="4" w:space="0" w:color="auto"/>
              <w:bottom w:val="single" w:sz="4" w:space="0" w:color="auto"/>
              <w:right w:val="single" w:sz="18" w:space="0" w:color="auto"/>
            </w:tcBorders>
            <w:vAlign w:val="center"/>
          </w:tcPr>
          <w:p w:rsidR="008E1974" w:rsidRPr="008E1974" w:rsidRDefault="008E1974" w:rsidP="008E1974">
            <w:pPr>
              <w:tabs>
                <w:tab w:val="left" w:pos="1885"/>
              </w:tabs>
              <w:spacing w:after="0" w:line="240" w:lineRule="auto"/>
              <w:jc w:val="center"/>
              <w:rPr>
                <w:rFonts w:ascii="Times New Roman" w:eastAsia="Times New Roman" w:hAnsi="Times New Roman" w:cs="Times New Roman"/>
                <w:b/>
                <w:color w:val="000000"/>
                <w:sz w:val="20"/>
                <w:szCs w:val="20"/>
              </w:rPr>
            </w:pPr>
            <w:r w:rsidRPr="008E1974">
              <w:rPr>
                <w:rFonts w:ascii="Times New Roman" w:eastAsia="Times New Roman" w:hAnsi="Times New Roman" w:cs="Times New Roman"/>
                <w:b/>
                <w:color w:val="000000"/>
                <w:sz w:val="20"/>
                <w:szCs w:val="20"/>
              </w:rPr>
              <w:t>%</w:t>
            </w:r>
          </w:p>
        </w:tc>
      </w:tr>
      <w:tr w:rsidR="008E1974" w:rsidRPr="008E1974" w:rsidTr="003F4DFD">
        <w:tc>
          <w:tcPr>
            <w:tcW w:w="2609" w:type="dxa"/>
            <w:tcBorders>
              <w:left w:val="single" w:sz="18" w:space="0" w:color="auto"/>
              <w:right w:val="single" w:sz="18" w:space="0" w:color="auto"/>
            </w:tcBorders>
            <w:shd w:val="clear" w:color="auto" w:fill="auto"/>
            <w:vAlign w:val="center"/>
          </w:tcPr>
          <w:p w:rsidR="008E1974" w:rsidRPr="008E1974" w:rsidRDefault="008E1974" w:rsidP="008E1974">
            <w:pPr>
              <w:tabs>
                <w:tab w:val="left" w:pos="3622"/>
              </w:tabs>
              <w:spacing w:after="0" w:line="240" w:lineRule="auto"/>
              <w:jc w:val="center"/>
              <w:rPr>
                <w:rFonts w:ascii="Times New Roman" w:eastAsia="Times New Roman" w:hAnsi="Times New Roman" w:cs="Times New Roman"/>
                <w:b/>
                <w:color w:val="000000"/>
                <w:sz w:val="20"/>
                <w:szCs w:val="20"/>
              </w:rPr>
            </w:pPr>
            <w:r w:rsidRPr="008E1974">
              <w:rPr>
                <w:rFonts w:ascii="Times New Roman" w:eastAsia="Times New Roman" w:hAnsi="Times New Roman" w:cs="Times New Roman"/>
                <w:b/>
                <w:color w:val="000000"/>
                <w:sz w:val="20"/>
                <w:szCs w:val="20"/>
              </w:rPr>
              <w:t>Отворени поступак</w:t>
            </w:r>
          </w:p>
          <w:p w:rsidR="008E1974" w:rsidRPr="008E1974" w:rsidRDefault="008E1974" w:rsidP="008E1974">
            <w:pPr>
              <w:tabs>
                <w:tab w:val="left" w:pos="3622"/>
              </w:tabs>
              <w:spacing w:after="0" w:line="240" w:lineRule="auto"/>
              <w:jc w:val="center"/>
              <w:rPr>
                <w:rFonts w:ascii="Times New Roman" w:eastAsia="Times New Roman" w:hAnsi="Times New Roman" w:cs="Times New Roman"/>
                <w:b/>
                <w:color w:val="000000"/>
                <w:sz w:val="20"/>
                <w:szCs w:val="20"/>
              </w:rPr>
            </w:pPr>
            <w:r w:rsidRPr="008E1974">
              <w:rPr>
                <w:rFonts w:ascii="Times New Roman" w:eastAsia="Times New Roman" w:hAnsi="Times New Roman" w:cs="Times New Roman"/>
                <w:b/>
                <w:color w:val="000000"/>
                <w:sz w:val="20"/>
                <w:szCs w:val="20"/>
              </w:rPr>
              <w:t>(зјн2008 + зјн2012)</w:t>
            </w:r>
          </w:p>
        </w:tc>
        <w:tc>
          <w:tcPr>
            <w:tcW w:w="1349" w:type="dxa"/>
            <w:tcBorders>
              <w:left w:val="single" w:sz="18" w:space="0" w:color="auto"/>
            </w:tcBorders>
            <w:shd w:val="clear" w:color="auto" w:fill="auto"/>
            <w:vAlign w:val="center"/>
          </w:tcPr>
          <w:p w:rsidR="008E1974" w:rsidRPr="008E1974" w:rsidRDefault="008E1974" w:rsidP="008E1974">
            <w:pPr>
              <w:spacing w:after="0" w:line="240" w:lineRule="auto"/>
              <w:jc w:val="center"/>
              <w:rPr>
                <w:rFonts w:ascii="Calibri" w:eastAsia="Times New Roman" w:hAnsi="Calibri" w:cs="Calibri"/>
                <w:color w:val="000000"/>
              </w:rPr>
            </w:pPr>
            <w:r w:rsidRPr="008E1974">
              <w:rPr>
                <w:rFonts w:ascii="Calibri" w:eastAsia="Times New Roman" w:hAnsi="Calibri" w:cs="Calibri"/>
                <w:color w:val="000000"/>
              </w:rPr>
              <w:t>149.633.612</w:t>
            </w:r>
          </w:p>
        </w:tc>
        <w:tc>
          <w:tcPr>
            <w:tcW w:w="758" w:type="dxa"/>
            <w:tcBorders>
              <w:right w:val="single" w:sz="18" w:space="0" w:color="auto"/>
            </w:tcBorders>
            <w:shd w:val="clear" w:color="auto" w:fill="auto"/>
            <w:vAlign w:val="center"/>
          </w:tcPr>
          <w:p w:rsidR="008E1974" w:rsidRPr="008E1974" w:rsidRDefault="008E1974" w:rsidP="008E1974">
            <w:pPr>
              <w:spacing w:after="0" w:line="240" w:lineRule="auto"/>
              <w:jc w:val="center"/>
              <w:rPr>
                <w:rFonts w:ascii="Calibri" w:eastAsia="Times New Roman" w:hAnsi="Calibri" w:cs="Calibri"/>
                <w:color w:val="000000"/>
              </w:rPr>
            </w:pPr>
            <w:r w:rsidRPr="008E1974">
              <w:rPr>
                <w:rFonts w:ascii="Calibri" w:eastAsia="Times New Roman" w:hAnsi="Calibri" w:cs="Calibri"/>
                <w:color w:val="000000"/>
              </w:rPr>
              <w:t>57%</w:t>
            </w:r>
          </w:p>
        </w:tc>
        <w:tc>
          <w:tcPr>
            <w:tcW w:w="1499" w:type="dxa"/>
            <w:tcBorders>
              <w:left w:val="single" w:sz="18" w:space="0" w:color="auto"/>
            </w:tcBorders>
            <w:shd w:val="clear" w:color="auto" w:fill="auto"/>
            <w:vAlign w:val="center"/>
          </w:tcPr>
          <w:p w:rsidR="008E1974" w:rsidRPr="008E1974" w:rsidRDefault="008E1974" w:rsidP="008E1974">
            <w:pPr>
              <w:spacing w:after="0" w:line="240" w:lineRule="auto"/>
              <w:jc w:val="center"/>
              <w:rPr>
                <w:rFonts w:ascii="Calibri" w:eastAsia="Times New Roman" w:hAnsi="Calibri" w:cs="Calibri"/>
                <w:color w:val="000000"/>
              </w:rPr>
            </w:pPr>
            <w:r w:rsidRPr="008E1974">
              <w:rPr>
                <w:rFonts w:ascii="Calibri" w:eastAsia="Times New Roman" w:hAnsi="Calibri" w:cs="Calibri"/>
                <w:color w:val="000000"/>
              </w:rPr>
              <w:t>31.176.847</w:t>
            </w:r>
          </w:p>
        </w:tc>
        <w:tc>
          <w:tcPr>
            <w:tcW w:w="1084" w:type="dxa"/>
            <w:tcBorders>
              <w:right w:val="single" w:sz="18" w:space="0" w:color="auto"/>
            </w:tcBorders>
            <w:shd w:val="clear" w:color="auto" w:fill="auto"/>
            <w:vAlign w:val="center"/>
          </w:tcPr>
          <w:p w:rsidR="008E1974" w:rsidRPr="008E1974" w:rsidRDefault="008E1974" w:rsidP="008E1974">
            <w:pPr>
              <w:spacing w:after="0" w:line="240" w:lineRule="auto"/>
              <w:jc w:val="center"/>
              <w:rPr>
                <w:rFonts w:ascii="Calibri" w:eastAsia="Times New Roman" w:hAnsi="Calibri" w:cs="Calibri"/>
                <w:color w:val="000000"/>
              </w:rPr>
            </w:pPr>
            <w:r w:rsidRPr="008E1974">
              <w:rPr>
                <w:rFonts w:ascii="Calibri" w:eastAsia="Times New Roman" w:hAnsi="Calibri" w:cs="Calibri"/>
                <w:color w:val="000000"/>
              </w:rPr>
              <w:t>64%</w:t>
            </w:r>
          </w:p>
        </w:tc>
        <w:tc>
          <w:tcPr>
            <w:tcW w:w="1348" w:type="dxa"/>
            <w:tcBorders>
              <w:left w:val="single" w:sz="18" w:space="0" w:color="auto"/>
            </w:tcBorders>
            <w:shd w:val="clear" w:color="auto" w:fill="auto"/>
            <w:vAlign w:val="center"/>
          </w:tcPr>
          <w:p w:rsidR="008E1974" w:rsidRPr="008E1974" w:rsidRDefault="008E1974" w:rsidP="008E1974">
            <w:pPr>
              <w:spacing w:after="0" w:line="240" w:lineRule="auto"/>
              <w:jc w:val="center"/>
              <w:rPr>
                <w:rFonts w:ascii="Calibri" w:eastAsia="Times New Roman" w:hAnsi="Calibri" w:cs="Calibri"/>
                <w:color w:val="000000"/>
              </w:rPr>
            </w:pPr>
            <w:r w:rsidRPr="008E1974">
              <w:rPr>
                <w:rFonts w:ascii="Calibri" w:eastAsia="Times New Roman" w:hAnsi="Calibri" w:cs="Calibri"/>
                <w:color w:val="000000"/>
              </w:rPr>
              <w:t>29.878.981</w:t>
            </w:r>
          </w:p>
        </w:tc>
        <w:tc>
          <w:tcPr>
            <w:tcW w:w="1084" w:type="dxa"/>
            <w:tcBorders>
              <w:right w:val="single" w:sz="18" w:space="0" w:color="auto"/>
            </w:tcBorders>
            <w:shd w:val="clear" w:color="auto" w:fill="auto"/>
            <w:vAlign w:val="center"/>
          </w:tcPr>
          <w:p w:rsidR="008E1974" w:rsidRPr="008E1974" w:rsidRDefault="008E1974" w:rsidP="008E1974">
            <w:pPr>
              <w:spacing w:after="0" w:line="240" w:lineRule="auto"/>
              <w:jc w:val="center"/>
              <w:rPr>
                <w:rFonts w:ascii="Calibri" w:eastAsia="Times New Roman" w:hAnsi="Calibri" w:cs="Calibri"/>
                <w:color w:val="000000"/>
              </w:rPr>
            </w:pPr>
            <w:r w:rsidRPr="008E1974">
              <w:rPr>
                <w:rFonts w:ascii="Calibri" w:eastAsia="Times New Roman" w:hAnsi="Calibri" w:cs="Calibri"/>
                <w:color w:val="000000"/>
              </w:rPr>
              <w:t>45%</w:t>
            </w:r>
          </w:p>
        </w:tc>
        <w:tc>
          <w:tcPr>
            <w:tcW w:w="1224" w:type="dxa"/>
            <w:tcBorders>
              <w:left w:val="single" w:sz="18" w:space="0" w:color="auto"/>
            </w:tcBorders>
            <w:shd w:val="clear" w:color="auto" w:fill="auto"/>
            <w:vAlign w:val="center"/>
          </w:tcPr>
          <w:p w:rsidR="008E1974" w:rsidRPr="008E1974" w:rsidRDefault="008E1974" w:rsidP="008E1974">
            <w:pPr>
              <w:spacing w:after="0" w:line="240" w:lineRule="auto"/>
              <w:jc w:val="center"/>
              <w:rPr>
                <w:rFonts w:ascii="Calibri" w:eastAsia="Times New Roman" w:hAnsi="Calibri" w:cs="Calibri"/>
                <w:color w:val="000000"/>
              </w:rPr>
            </w:pPr>
            <w:r w:rsidRPr="008E1974">
              <w:rPr>
                <w:rFonts w:ascii="Calibri" w:eastAsia="Times New Roman" w:hAnsi="Calibri" w:cs="Calibri"/>
                <w:color w:val="000000"/>
              </w:rPr>
              <w:t>50.733.931</w:t>
            </w:r>
          </w:p>
        </w:tc>
        <w:tc>
          <w:tcPr>
            <w:tcW w:w="1084" w:type="dxa"/>
            <w:tcBorders>
              <w:right w:val="single" w:sz="18" w:space="0" w:color="auto"/>
            </w:tcBorders>
            <w:shd w:val="clear" w:color="auto" w:fill="auto"/>
            <w:vAlign w:val="center"/>
          </w:tcPr>
          <w:p w:rsidR="008E1974" w:rsidRPr="008E1974" w:rsidRDefault="008E1974" w:rsidP="008E1974">
            <w:pPr>
              <w:spacing w:after="0" w:line="240" w:lineRule="auto"/>
              <w:jc w:val="center"/>
              <w:rPr>
                <w:rFonts w:ascii="Calibri" w:eastAsia="Times New Roman" w:hAnsi="Calibri" w:cs="Calibri"/>
                <w:color w:val="000000"/>
              </w:rPr>
            </w:pPr>
            <w:r w:rsidRPr="008E1974">
              <w:rPr>
                <w:rFonts w:ascii="Calibri" w:eastAsia="Times New Roman" w:hAnsi="Calibri" w:cs="Calibri"/>
                <w:color w:val="000000"/>
              </w:rPr>
              <w:t>79%</w:t>
            </w:r>
          </w:p>
        </w:tc>
        <w:tc>
          <w:tcPr>
            <w:tcW w:w="1220" w:type="dxa"/>
            <w:tcBorders>
              <w:top w:val="single" w:sz="4" w:space="0" w:color="auto"/>
              <w:bottom w:val="single" w:sz="4" w:space="0" w:color="auto"/>
              <w:right w:val="single" w:sz="4" w:space="0" w:color="auto"/>
            </w:tcBorders>
            <w:vAlign w:val="center"/>
          </w:tcPr>
          <w:p w:rsidR="008E1974" w:rsidRPr="008E1974" w:rsidRDefault="008E1974" w:rsidP="008E1974">
            <w:pPr>
              <w:spacing w:after="0" w:line="240" w:lineRule="auto"/>
              <w:jc w:val="center"/>
              <w:rPr>
                <w:rFonts w:ascii="Calibri" w:eastAsia="Times New Roman" w:hAnsi="Calibri" w:cs="Calibri"/>
                <w:color w:val="000000"/>
              </w:rPr>
            </w:pPr>
            <w:r w:rsidRPr="008E1974">
              <w:rPr>
                <w:rFonts w:ascii="Calibri" w:eastAsia="Times New Roman" w:hAnsi="Calibri" w:cs="Calibri"/>
                <w:color w:val="000000"/>
              </w:rPr>
              <w:t>37.771.967</w:t>
            </w:r>
          </w:p>
        </w:tc>
        <w:tc>
          <w:tcPr>
            <w:tcW w:w="961" w:type="dxa"/>
            <w:tcBorders>
              <w:top w:val="single" w:sz="4" w:space="0" w:color="auto"/>
              <w:left w:val="single" w:sz="4" w:space="0" w:color="auto"/>
              <w:bottom w:val="single" w:sz="4" w:space="0" w:color="auto"/>
              <w:right w:val="single" w:sz="18" w:space="0" w:color="auto"/>
            </w:tcBorders>
            <w:vAlign w:val="center"/>
          </w:tcPr>
          <w:p w:rsidR="008E1974" w:rsidRPr="008E1974" w:rsidRDefault="008E1974" w:rsidP="008E1974">
            <w:pPr>
              <w:spacing w:after="0" w:line="240" w:lineRule="auto"/>
              <w:jc w:val="center"/>
              <w:rPr>
                <w:rFonts w:ascii="Calibri" w:eastAsia="Times New Roman" w:hAnsi="Calibri" w:cs="Calibri"/>
                <w:color w:val="000000"/>
              </w:rPr>
            </w:pPr>
            <w:r w:rsidRPr="008E1974">
              <w:rPr>
                <w:rFonts w:ascii="Calibri" w:eastAsia="Times New Roman" w:hAnsi="Calibri" w:cs="Calibri"/>
                <w:color w:val="000000"/>
              </w:rPr>
              <w:t>80%</w:t>
            </w:r>
          </w:p>
        </w:tc>
      </w:tr>
      <w:tr w:rsidR="008E1974" w:rsidRPr="008E1974" w:rsidTr="003F4DFD">
        <w:tc>
          <w:tcPr>
            <w:tcW w:w="2609" w:type="dxa"/>
            <w:tcBorders>
              <w:left w:val="single" w:sz="18" w:space="0" w:color="auto"/>
              <w:right w:val="single" w:sz="18" w:space="0" w:color="auto"/>
            </w:tcBorders>
            <w:shd w:val="clear" w:color="auto" w:fill="auto"/>
            <w:vAlign w:val="center"/>
          </w:tcPr>
          <w:p w:rsidR="008E1974" w:rsidRPr="008E1974" w:rsidRDefault="008E1974" w:rsidP="008E1974">
            <w:pPr>
              <w:tabs>
                <w:tab w:val="left" w:pos="3622"/>
              </w:tabs>
              <w:spacing w:after="0" w:line="240" w:lineRule="auto"/>
              <w:jc w:val="center"/>
              <w:rPr>
                <w:rFonts w:ascii="Times New Roman" w:eastAsia="Times New Roman" w:hAnsi="Times New Roman" w:cs="Times New Roman"/>
                <w:b/>
                <w:color w:val="000000"/>
                <w:sz w:val="20"/>
                <w:szCs w:val="20"/>
              </w:rPr>
            </w:pPr>
            <w:r w:rsidRPr="008E1974">
              <w:rPr>
                <w:rFonts w:ascii="Times New Roman" w:eastAsia="Times New Roman" w:hAnsi="Times New Roman" w:cs="Times New Roman"/>
                <w:b/>
                <w:color w:val="000000"/>
                <w:sz w:val="20"/>
                <w:szCs w:val="20"/>
              </w:rPr>
              <w:t>Рестриктивни поступак-зјн2008, квалификациони поступак-зјн2012</w:t>
            </w:r>
          </w:p>
        </w:tc>
        <w:tc>
          <w:tcPr>
            <w:tcW w:w="1349" w:type="dxa"/>
            <w:tcBorders>
              <w:left w:val="single" w:sz="18" w:space="0" w:color="auto"/>
            </w:tcBorders>
            <w:shd w:val="clear" w:color="auto" w:fill="auto"/>
            <w:vAlign w:val="center"/>
          </w:tcPr>
          <w:p w:rsidR="008E1974" w:rsidRPr="008E1974" w:rsidRDefault="008E1974" w:rsidP="008E1974">
            <w:pPr>
              <w:spacing w:after="0" w:line="240" w:lineRule="auto"/>
              <w:jc w:val="center"/>
              <w:rPr>
                <w:rFonts w:ascii="Calibri" w:eastAsia="Times New Roman" w:hAnsi="Calibri" w:cs="Calibri"/>
                <w:color w:val="000000"/>
              </w:rPr>
            </w:pPr>
            <w:r w:rsidRPr="008E1974">
              <w:rPr>
                <w:rFonts w:ascii="Calibri" w:eastAsia="Times New Roman" w:hAnsi="Calibri" w:cs="Calibri"/>
                <w:color w:val="000000"/>
              </w:rPr>
              <w:t>24.867.536</w:t>
            </w:r>
          </w:p>
        </w:tc>
        <w:tc>
          <w:tcPr>
            <w:tcW w:w="758" w:type="dxa"/>
            <w:tcBorders>
              <w:right w:val="single" w:sz="18" w:space="0" w:color="auto"/>
            </w:tcBorders>
            <w:shd w:val="clear" w:color="auto" w:fill="auto"/>
            <w:vAlign w:val="center"/>
          </w:tcPr>
          <w:p w:rsidR="008E1974" w:rsidRPr="008E1974" w:rsidRDefault="008E1974" w:rsidP="008E1974">
            <w:pPr>
              <w:spacing w:after="0" w:line="240" w:lineRule="auto"/>
              <w:jc w:val="center"/>
              <w:rPr>
                <w:rFonts w:ascii="Calibri" w:eastAsia="Times New Roman" w:hAnsi="Calibri" w:cs="Calibri"/>
                <w:color w:val="000000"/>
              </w:rPr>
            </w:pPr>
            <w:r w:rsidRPr="008E1974">
              <w:rPr>
                <w:rFonts w:ascii="Calibri" w:eastAsia="Times New Roman" w:hAnsi="Calibri" w:cs="Calibri"/>
                <w:color w:val="000000"/>
              </w:rPr>
              <w:t>9%</w:t>
            </w:r>
          </w:p>
        </w:tc>
        <w:tc>
          <w:tcPr>
            <w:tcW w:w="1499" w:type="dxa"/>
            <w:tcBorders>
              <w:left w:val="single" w:sz="18" w:space="0" w:color="auto"/>
            </w:tcBorders>
            <w:shd w:val="clear" w:color="auto" w:fill="auto"/>
            <w:vAlign w:val="center"/>
          </w:tcPr>
          <w:p w:rsidR="008E1974" w:rsidRPr="008E1974" w:rsidRDefault="008E1974" w:rsidP="008E1974">
            <w:pPr>
              <w:spacing w:after="0" w:line="240" w:lineRule="auto"/>
              <w:jc w:val="center"/>
              <w:rPr>
                <w:rFonts w:ascii="Calibri" w:eastAsia="Times New Roman" w:hAnsi="Calibri" w:cs="Calibri"/>
                <w:color w:val="000000"/>
              </w:rPr>
            </w:pPr>
            <w:r w:rsidRPr="008E1974">
              <w:rPr>
                <w:rFonts w:ascii="Calibri" w:eastAsia="Times New Roman" w:hAnsi="Calibri" w:cs="Calibri"/>
                <w:color w:val="000000"/>
              </w:rPr>
              <w:t>2.418.279</w:t>
            </w:r>
          </w:p>
        </w:tc>
        <w:tc>
          <w:tcPr>
            <w:tcW w:w="1084" w:type="dxa"/>
            <w:tcBorders>
              <w:right w:val="single" w:sz="18" w:space="0" w:color="auto"/>
            </w:tcBorders>
            <w:shd w:val="clear" w:color="auto" w:fill="auto"/>
            <w:vAlign w:val="center"/>
          </w:tcPr>
          <w:p w:rsidR="008E1974" w:rsidRPr="008E1974" w:rsidRDefault="008E1974" w:rsidP="008E1974">
            <w:pPr>
              <w:spacing w:after="0" w:line="240" w:lineRule="auto"/>
              <w:jc w:val="center"/>
              <w:rPr>
                <w:rFonts w:ascii="Calibri" w:eastAsia="Times New Roman" w:hAnsi="Calibri" w:cs="Calibri"/>
                <w:color w:val="000000"/>
              </w:rPr>
            </w:pPr>
            <w:r w:rsidRPr="008E1974">
              <w:rPr>
                <w:rFonts w:ascii="Calibri" w:eastAsia="Times New Roman" w:hAnsi="Calibri" w:cs="Calibri"/>
                <w:color w:val="000000"/>
              </w:rPr>
              <w:t>5%</w:t>
            </w:r>
          </w:p>
        </w:tc>
        <w:tc>
          <w:tcPr>
            <w:tcW w:w="1348" w:type="dxa"/>
            <w:tcBorders>
              <w:left w:val="single" w:sz="18" w:space="0" w:color="auto"/>
            </w:tcBorders>
            <w:shd w:val="clear" w:color="auto" w:fill="auto"/>
            <w:vAlign w:val="center"/>
          </w:tcPr>
          <w:p w:rsidR="008E1974" w:rsidRPr="008E1974" w:rsidRDefault="008E1974" w:rsidP="008E1974">
            <w:pPr>
              <w:spacing w:after="0" w:line="240" w:lineRule="auto"/>
              <w:jc w:val="center"/>
              <w:rPr>
                <w:rFonts w:ascii="Calibri" w:eastAsia="Times New Roman" w:hAnsi="Calibri" w:cs="Calibri"/>
                <w:color w:val="000000"/>
              </w:rPr>
            </w:pPr>
            <w:r w:rsidRPr="008E1974">
              <w:rPr>
                <w:rFonts w:ascii="Calibri" w:eastAsia="Times New Roman" w:hAnsi="Calibri" w:cs="Calibri"/>
                <w:color w:val="000000"/>
              </w:rPr>
              <w:t>12.980.837</w:t>
            </w:r>
          </w:p>
        </w:tc>
        <w:tc>
          <w:tcPr>
            <w:tcW w:w="1084" w:type="dxa"/>
            <w:tcBorders>
              <w:right w:val="single" w:sz="18" w:space="0" w:color="auto"/>
            </w:tcBorders>
            <w:shd w:val="clear" w:color="auto" w:fill="auto"/>
            <w:vAlign w:val="center"/>
          </w:tcPr>
          <w:p w:rsidR="008E1974" w:rsidRPr="008E1974" w:rsidRDefault="008E1974" w:rsidP="008E1974">
            <w:pPr>
              <w:spacing w:after="0" w:line="240" w:lineRule="auto"/>
              <w:jc w:val="center"/>
              <w:rPr>
                <w:rFonts w:ascii="Calibri" w:eastAsia="Times New Roman" w:hAnsi="Calibri" w:cs="Calibri"/>
                <w:color w:val="000000"/>
              </w:rPr>
            </w:pPr>
            <w:r w:rsidRPr="008E1974">
              <w:rPr>
                <w:rFonts w:ascii="Calibri" w:eastAsia="Times New Roman" w:hAnsi="Calibri" w:cs="Calibri"/>
                <w:color w:val="000000"/>
              </w:rPr>
              <w:t>20%</w:t>
            </w:r>
          </w:p>
        </w:tc>
        <w:tc>
          <w:tcPr>
            <w:tcW w:w="1224" w:type="dxa"/>
            <w:tcBorders>
              <w:left w:val="single" w:sz="18" w:space="0" w:color="auto"/>
            </w:tcBorders>
            <w:shd w:val="clear" w:color="auto" w:fill="auto"/>
            <w:vAlign w:val="center"/>
          </w:tcPr>
          <w:p w:rsidR="008E1974" w:rsidRPr="008E1974" w:rsidRDefault="008E1974" w:rsidP="008E1974">
            <w:pPr>
              <w:spacing w:after="0" w:line="240" w:lineRule="auto"/>
              <w:jc w:val="center"/>
              <w:rPr>
                <w:rFonts w:ascii="Calibri" w:eastAsia="Times New Roman" w:hAnsi="Calibri" w:cs="Calibri"/>
                <w:color w:val="000000"/>
              </w:rPr>
            </w:pPr>
            <w:r w:rsidRPr="008E1974">
              <w:rPr>
                <w:rFonts w:ascii="Calibri" w:eastAsia="Times New Roman" w:hAnsi="Calibri" w:cs="Calibri"/>
                <w:color w:val="000000"/>
              </w:rPr>
              <w:t>4.350.608</w:t>
            </w:r>
          </w:p>
        </w:tc>
        <w:tc>
          <w:tcPr>
            <w:tcW w:w="1084" w:type="dxa"/>
            <w:tcBorders>
              <w:right w:val="single" w:sz="18" w:space="0" w:color="auto"/>
            </w:tcBorders>
            <w:shd w:val="clear" w:color="auto" w:fill="auto"/>
            <w:vAlign w:val="center"/>
          </w:tcPr>
          <w:p w:rsidR="008E1974" w:rsidRPr="008E1974" w:rsidRDefault="008E1974" w:rsidP="008E1974">
            <w:pPr>
              <w:spacing w:after="0" w:line="240" w:lineRule="auto"/>
              <w:jc w:val="center"/>
              <w:rPr>
                <w:rFonts w:ascii="Calibri" w:eastAsia="Times New Roman" w:hAnsi="Calibri" w:cs="Calibri"/>
                <w:color w:val="000000"/>
              </w:rPr>
            </w:pPr>
            <w:r w:rsidRPr="008E1974">
              <w:rPr>
                <w:rFonts w:ascii="Calibri" w:eastAsia="Times New Roman" w:hAnsi="Calibri" w:cs="Calibri"/>
                <w:color w:val="000000"/>
              </w:rPr>
              <w:t>7%</w:t>
            </w:r>
          </w:p>
        </w:tc>
        <w:tc>
          <w:tcPr>
            <w:tcW w:w="1220" w:type="dxa"/>
            <w:tcBorders>
              <w:top w:val="single" w:sz="4" w:space="0" w:color="auto"/>
              <w:bottom w:val="single" w:sz="4" w:space="0" w:color="auto"/>
              <w:right w:val="single" w:sz="4" w:space="0" w:color="auto"/>
            </w:tcBorders>
            <w:vAlign w:val="center"/>
          </w:tcPr>
          <w:p w:rsidR="008E1974" w:rsidRPr="008E1974" w:rsidRDefault="008E1974" w:rsidP="008E1974">
            <w:pPr>
              <w:spacing w:after="0" w:line="240" w:lineRule="auto"/>
              <w:jc w:val="center"/>
              <w:rPr>
                <w:rFonts w:ascii="Calibri" w:eastAsia="Times New Roman" w:hAnsi="Calibri" w:cs="Calibri"/>
                <w:color w:val="000000"/>
              </w:rPr>
            </w:pPr>
            <w:r w:rsidRPr="008E1974">
              <w:rPr>
                <w:rFonts w:ascii="Calibri" w:eastAsia="Times New Roman" w:hAnsi="Calibri" w:cs="Calibri"/>
                <w:color w:val="000000"/>
              </w:rPr>
              <w:t>1.278.469</w:t>
            </w:r>
          </w:p>
        </w:tc>
        <w:tc>
          <w:tcPr>
            <w:tcW w:w="961" w:type="dxa"/>
            <w:tcBorders>
              <w:top w:val="single" w:sz="4" w:space="0" w:color="auto"/>
              <w:left w:val="single" w:sz="4" w:space="0" w:color="auto"/>
              <w:bottom w:val="single" w:sz="4" w:space="0" w:color="auto"/>
              <w:right w:val="single" w:sz="18" w:space="0" w:color="auto"/>
            </w:tcBorders>
            <w:vAlign w:val="center"/>
          </w:tcPr>
          <w:p w:rsidR="008E1974" w:rsidRPr="008E1974" w:rsidRDefault="008E1974" w:rsidP="008E1974">
            <w:pPr>
              <w:spacing w:after="0" w:line="240" w:lineRule="auto"/>
              <w:jc w:val="center"/>
              <w:rPr>
                <w:rFonts w:ascii="Calibri" w:eastAsia="Times New Roman" w:hAnsi="Calibri" w:cs="Calibri"/>
                <w:color w:val="000000"/>
              </w:rPr>
            </w:pPr>
            <w:r w:rsidRPr="008E1974">
              <w:rPr>
                <w:rFonts w:ascii="Calibri" w:eastAsia="Times New Roman" w:hAnsi="Calibri" w:cs="Calibri"/>
                <w:color w:val="000000"/>
              </w:rPr>
              <w:t>3%</w:t>
            </w:r>
          </w:p>
        </w:tc>
      </w:tr>
      <w:tr w:rsidR="008E1974" w:rsidRPr="008E1974" w:rsidTr="003F4DFD">
        <w:tc>
          <w:tcPr>
            <w:tcW w:w="2609" w:type="dxa"/>
            <w:tcBorders>
              <w:left w:val="single" w:sz="18" w:space="0" w:color="auto"/>
              <w:right w:val="single" w:sz="18" w:space="0" w:color="auto"/>
            </w:tcBorders>
            <w:shd w:val="clear" w:color="auto" w:fill="auto"/>
            <w:vAlign w:val="center"/>
          </w:tcPr>
          <w:p w:rsidR="008E1974" w:rsidRPr="008E1974" w:rsidRDefault="008E1974" w:rsidP="008E1974">
            <w:pPr>
              <w:tabs>
                <w:tab w:val="left" w:pos="3622"/>
              </w:tabs>
              <w:spacing w:after="0" w:line="240" w:lineRule="auto"/>
              <w:jc w:val="center"/>
              <w:rPr>
                <w:rFonts w:ascii="Times New Roman" w:eastAsia="Times New Roman" w:hAnsi="Times New Roman" w:cs="Times New Roman"/>
                <w:b/>
                <w:color w:val="000000"/>
                <w:sz w:val="20"/>
                <w:szCs w:val="20"/>
              </w:rPr>
            </w:pPr>
            <w:r w:rsidRPr="008E1974">
              <w:rPr>
                <w:rFonts w:ascii="Times New Roman" w:eastAsia="Times New Roman" w:hAnsi="Times New Roman" w:cs="Times New Roman"/>
                <w:b/>
                <w:color w:val="000000"/>
                <w:sz w:val="20"/>
                <w:szCs w:val="20"/>
              </w:rPr>
              <w:t>Рестриктивни поступак-зјн2012</w:t>
            </w:r>
          </w:p>
        </w:tc>
        <w:tc>
          <w:tcPr>
            <w:tcW w:w="1349" w:type="dxa"/>
            <w:tcBorders>
              <w:left w:val="single" w:sz="18" w:space="0" w:color="auto"/>
            </w:tcBorders>
            <w:shd w:val="clear" w:color="auto" w:fill="auto"/>
            <w:vAlign w:val="center"/>
          </w:tcPr>
          <w:p w:rsidR="008E1974" w:rsidRPr="008E1974" w:rsidRDefault="008E1974" w:rsidP="008E1974">
            <w:pPr>
              <w:spacing w:after="0" w:line="240" w:lineRule="auto"/>
              <w:jc w:val="center"/>
              <w:rPr>
                <w:rFonts w:ascii="Calibri" w:eastAsia="Times New Roman" w:hAnsi="Calibri" w:cs="Calibri"/>
                <w:color w:val="000000"/>
              </w:rPr>
            </w:pPr>
            <w:r w:rsidRPr="008E1974">
              <w:rPr>
                <w:rFonts w:ascii="Calibri" w:eastAsia="Times New Roman" w:hAnsi="Calibri" w:cs="Calibri"/>
                <w:color w:val="000000"/>
              </w:rPr>
              <w:t>0</w:t>
            </w:r>
          </w:p>
        </w:tc>
        <w:tc>
          <w:tcPr>
            <w:tcW w:w="758" w:type="dxa"/>
            <w:tcBorders>
              <w:right w:val="single" w:sz="18" w:space="0" w:color="auto"/>
            </w:tcBorders>
            <w:shd w:val="clear" w:color="auto" w:fill="auto"/>
            <w:vAlign w:val="center"/>
          </w:tcPr>
          <w:p w:rsidR="008E1974" w:rsidRPr="008E1974" w:rsidRDefault="008E1974" w:rsidP="008E1974">
            <w:pPr>
              <w:spacing w:after="0" w:line="240" w:lineRule="auto"/>
              <w:jc w:val="center"/>
              <w:rPr>
                <w:rFonts w:ascii="Calibri" w:eastAsia="Times New Roman" w:hAnsi="Calibri" w:cs="Calibri"/>
                <w:color w:val="000000"/>
              </w:rPr>
            </w:pPr>
            <w:r w:rsidRPr="008E1974">
              <w:rPr>
                <w:rFonts w:ascii="Calibri" w:eastAsia="Times New Roman" w:hAnsi="Calibri" w:cs="Calibri"/>
                <w:color w:val="000000"/>
              </w:rPr>
              <w:t>0%</w:t>
            </w:r>
          </w:p>
        </w:tc>
        <w:tc>
          <w:tcPr>
            <w:tcW w:w="1499" w:type="dxa"/>
            <w:tcBorders>
              <w:left w:val="single" w:sz="18" w:space="0" w:color="auto"/>
            </w:tcBorders>
            <w:shd w:val="clear" w:color="auto" w:fill="auto"/>
            <w:vAlign w:val="center"/>
          </w:tcPr>
          <w:p w:rsidR="008E1974" w:rsidRPr="008E1974" w:rsidRDefault="008E1974" w:rsidP="008E1974">
            <w:pPr>
              <w:spacing w:after="0" w:line="240" w:lineRule="auto"/>
              <w:jc w:val="center"/>
              <w:rPr>
                <w:rFonts w:ascii="Calibri" w:eastAsia="Times New Roman" w:hAnsi="Calibri" w:cs="Calibri"/>
                <w:color w:val="000000"/>
              </w:rPr>
            </w:pPr>
            <w:r w:rsidRPr="008E1974">
              <w:rPr>
                <w:rFonts w:ascii="Calibri" w:eastAsia="Times New Roman" w:hAnsi="Calibri" w:cs="Calibri"/>
                <w:color w:val="000000"/>
              </w:rPr>
              <w:t>0</w:t>
            </w:r>
          </w:p>
        </w:tc>
        <w:tc>
          <w:tcPr>
            <w:tcW w:w="1084" w:type="dxa"/>
            <w:tcBorders>
              <w:right w:val="single" w:sz="18" w:space="0" w:color="auto"/>
            </w:tcBorders>
            <w:shd w:val="clear" w:color="auto" w:fill="auto"/>
            <w:vAlign w:val="center"/>
          </w:tcPr>
          <w:p w:rsidR="008E1974" w:rsidRPr="008E1974" w:rsidRDefault="008E1974" w:rsidP="008E1974">
            <w:pPr>
              <w:spacing w:after="0" w:line="240" w:lineRule="auto"/>
              <w:jc w:val="center"/>
              <w:rPr>
                <w:rFonts w:ascii="Calibri" w:eastAsia="Times New Roman" w:hAnsi="Calibri" w:cs="Calibri"/>
                <w:color w:val="000000"/>
              </w:rPr>
            </w:pPr>
            <w:r w:rsidRPr="008E1974">
              <w:rPr>
                <w:rFonts w:ascii="Calibri" w:eastAsia="Times New Roman" w:hAnsi="Calibri" w:cs="Calibri"/>
                <w:color w:val="000000"/>
              </w:rPr>
              <w:t>0%</w:t>
            </w:r>
          </w:p>
        </w:tc>
        <w:tc>
          <w:tcPr>
            <w:tcW w:w="1348" w:type="dxa"/>
            <w:tcBorders>
              <w:left w:val="single" w:sz="18" w:space="0" w:color="auto"/>
            </w:tcBorders>
            <w:shd w:val="clear" w:color="auto" w:fill="auto"/>
            <w:vAlign w:val="center"/>
          </w:tcPr>
          <w:p w:rsidR="008E1974" w:rsidRPr="008E1974" w:rsidRDefault="008E1974" w:rsidP="008E1974">
            <w:pPr>
              <w:spacing w:after="0" w:line="240" w:lineRule="auto"/>
              <w:jc w:val="center"/>
              <w:rPr>
                <w:rFonts w:ascii="Calibri" w:eastAsia="Times New Roman" w:hAnsi="Calibri" w:cs="Calibri"/>
                <w:color w:val="000000"/>
              </w:rPr>
            </w:pPr>
            <w:r w:rsidRPr="008E1974">
              <w:rPr>
                <w:rFonts w:ascii="Calibri" w:eastAsia="Times New Roman" w:hAnsi="Calibri" w:cs="Calibri"/>
                <w:color w:val="000000"/>
              </w:rPr>
              <w:t>458.701</w:t>
            </w:r>
          </w:p>
        </w:tc>
        <w:tc>
          <w:tcPr>
            <w:tcW w:w="1084" w:type="dxa"/>
            <w:tcBorders>
              <w:right w:val="single" w:sz="18" w:space="0" w:color="auto"/>
            </w:tcBorders>
            <w:shd w:val="clear" w:color="auto" w:fill="auto"/>
            <w:vAlign w:val="center"/>
          </w:tcPr>
          <w:p w:rsidR="008E1974" w:rsidRPr="008E1974" w:rsidRDefault="008E1974" w:rsidP="008E1974">
            <w:pPr>
              <w:spacing w:after="0" w:line="240" w:lineRule="auto"/>
              <w:jc w:val="center"/>
              <w:rPr>
                <w:rFonts w:ascii="Calibri" w:eastAsia="Times New Roman" w:hAnsi="Calibri" w:cs="Calibri"/>
                <w:color w:val="000000"/>
              </w:rPr>
            </w:pPr>
            <w:r w:rsidRPr="008E1974">
              <w:rPr>
                <w:rFonts w:ascii="Calibri" w:eastAsia="Times New Roman" w:hAnsi="Calibri" w:cs="Calibri"/>
                <w:color w:val="000000"/>
              </w:rPr>
              <w:t>1%</w:t>
            </w:r>
          </w:p>
        </w:tc>
        <w:tc>
          <w:tcPr>
            <w:tcW w:w="1224" w:type="dxa"/>
            <w:tcBorders>
              <w:left w:val="single" w:sz="18" w:space="0" w:color="auto"/>
            </w:tcBorders>
            <w:shd w:val="clear" w:color="auto" w:fill="auto"/>
            <w:vAlign w:val="center"/>
          </w:tcPr>
          <w:p w:rsidR="008E1974" w:rsidRPr="008E1974" w:rsidRDefault="008E1974" w:rsidP="008E1974">
            <w:pPr>
              <w:spacing w:after="0" w:line="240" w:lineRule="auto"/>
              <w:jc w:val="center"/>
              <w:rPr>
                <w:rFonts w:ascii="Calibri" w:eastAsia="Times New Roman" w:hAnsi="Calibri" w:cs="Calibri"/>
                <w:color w:val="000000"/>
              </w:rPr>
            </w:pPr>
            <w:r w:rsidRPr="008E1974">
              <w:rPr>
                <w:rFonts w:ascii="Calibri" w:eastAsia="Times New Roman" w:hAnsi="Calibri" w:cs="Calibri"/>
                <w:color w:val="000000"/>
              </w:rPr>
              <w:t>314.121</w:t>
            </w:r>
          </w:p>
        </w:tc>
        <w:tc>
          <w:tcPr>
            <w:tcW w:w="1084" w:type="dxa"/>
            <w:tcBorders>
              <w:right w:val="single" w:sz="18" w:space="0" w:color="auto"/>
            </w:tcBorders>
            <w:shd w:val="clear" w:color="auto" w:fill="auto"/>
            <w:vAlign w:val="center"/>
          </w:tcPr>
          <w:p w:rsidR="008E1974" w:rsidRPr="008E1974" w:rsidRDefault="008E1974" w:rsidP="008E1974">
            <w:pPr>
              <w:spacing w:after="0" w:line="240" w:lineRule="auto"/>
              <w:jc w:val="center"/>
              <w:rPr>
                <w:rFonts w:ascii="Calibri" w:eastAsia="Times New Roman" w:hAnsi="Calibri" w:cs="Calibri"/>
                <w:color w:val="000000"/>
              </w:rPr>
            </w:pPr>
            <w:r w:rsidRPr="008E1974">
              <w:rPr>
                <w:rFonts w:ascii="Calibri" w:eastAsia="Times New Roman" w:hAnsi="Calibri" w:cs="Calibri"/>
                <w:color w:val="000000"/>
              </w:rPr>
              <w:t>0%</w:t>
            </w:r>
          </w:p>
        </w:tc>
        <w:tc>
          <w:tcPr>
            <w:tcW w:w="1220" w:type="dxa"/>
            <w:tcBorders>
              <w:top w:val="single" w:sz="4" w:space="0" w:color="auto"/>
              <w:bottom w:val="single" w:sz="4" w:space="0" w:color="auto"/>
              <w:right w:val="single" w:sz="4" w:space="0" w:color="auto"/>
            </w:tcBorders>
            <w:vAlign w:val="center"/>
          </w:tcPr>
          <w:p w:rsidR="008E1974" w:rsidRPr="008E1974" w:rsidRDefault="008E1974" w:rsidP="008E1974">
            <w:pPr>
              <w:spacing w:after="0" w:line="240" w:lineRule="auto"/>
              <w:jc w:val="center"/>
              <w:rPr>
                <w:rFonts w:ascii="Calibri" w:eastAsia="Times New Roman" w:hAnsi="Calibri" w:cs="Calibri"/>
                <w:color w:val="000000"/>
              </w:rPr>
            </w:pPr>
            <w:r w:rsidRPr="008E1974">
              <w:rPr>
                <w:rFonts w:ascii="Calibri" w:eastAsia="Times New Roman" w:hAnsi="Calibri" w:cs="Calibri"/>
                <w:color w:val="000000"/>
              </w:rPr>
              <w:t>307.219</w:t>
            </w:r>
          </w:p>
        </w:tc>
        <w:tc>
          <w:tcPr>
            <w:tcW w:w="961" w:type="dxa"/>
            <w:tcBorders>
              <w:top w:val="single" w:sz="4" w:space="0" w:color="auto"/>
              <w:left w:val="single" w:sz="4" w:space="0" w:color="auto"/>
              <w:bottom w:val="single" w:sz="4" w:space="0" w:color="auto"/>
              <w:right w:val="single" w:sz="18" w:space="0" w:color="auto"/>
            </w:tcBorders>
            <w:vAlign w:val="center"/>
          </w:tcPr>
          <w:p w:rsidR="008E1974" w:rsidRPr="008E1974" w:rsidRDefault="00221039" w:rsidP="008E1974">
            <w:pPr>
              <w:spacing w:after="0" w:line="240" w:lineRule="auto"/>
              <w:jc w:val="center"/>
              <w:rPr>
                <w:rFonts w:ascii="Calibri" w:eastAsia="Times New Roman" w:hAnsi="Calibri" w:cs="Calibri"/>
                <w:color w:val="000000"/>
              </w:rPr>
            </w:pPr>
            <w:r>
              <w:rPr>
                <w:rFonts w:ascii="Calibri" w:eastAsia="Times New Roman" w:hAnsi="Calibri" w:cs="Calibri"/>
                <w:color w:val="000000"/>
              </w:rPr>
              <w:t>0</w:t>
            </w:r>
            <w:r w:rsidR="008E1974" w:rsidRPr="008E1974">
              <w:rPr>
                <w:rFonts w:ascii="Calibri" w:eastAsia="Times New Roman" w:hAnsi="Calibri" w:cs="Calibri"/>
                <w:color w:val="000000"/>
              </w:rPr>
              <w:t>%</w:t>
            </w:r>
          </w:p>
        </w:tc>
      </w:tr>
      <w:tr w:rsidR="008E1974" w:rsidRPr="008E1974" w:rsidTr="003F4DFD">
        <w:tc>
          <w:tcPr>
            <w:tcW w:w="2609" w:type="dxa"/>
            <w:tcBorders>
              <w:left w:val="single" w:sz="18" w:space="0" w:color="auto"/>
              <w:right w:val="single" w:sz="18" w:space="0" w:color="auto"/>
            </w:tcBorders>
            <w:shd w:val="clear" w:color="auto" w:fill="auto"/>
            <w:vAlign w:val="center"/>
          </w:tcPr>
          <w:p w:rsidR="008E1974" w:rsidRPr="008E1974" w:rsidRDefault="008E1974" w:rsidP="008E1974">
            <w:pPr>
              <w:tabs>
                <w:tab w:val="left" w:pos="3622"/>
              </w:tabs>
              <w:spacing w:after="0" w:line="240" w:lineRule="auto"/>
              <w:jc w:val="center"/>
              <w:rPr>
                <w:rFonts w:ascii="Times New Roman" w:eastAsia="Times New Roman" w:hAnsi="Times New Roman" w:cs="Times New Roman"/>
                <w:b/>
                <w:color w:val="000000"/>
                <w:sz w:val="20"/>
                <w:szCs w:val="20"/>
              </w:rPr>
            </w:pPr>
            <w:r w:rsidRPr="008E1974">
              <w:rPr>
                <w:rFonts w:ascii="Times New Roman" w:eastAsia="Times New Roman" w:hAnsi="Times New Roman" w:cs="Times New Roman"/>
                <w:b/>
                <w:color w:val="000000"/>
                <w:sz w:val="20"/>
                <w:szCs w:val="20"/>
              </w:rPr>
              <w:t>Преговарачки поступак без објављивања јавног позива(зјн2008+зјн2012)</w:t>
            </w:r>
          </w:p>
        </w:tc>
        <w:tc>
          <w:tcPr>
            <w:tcW w:w="1349" w:type="dxa"/>
            <w:tcBorders>
              <w:left w:val="single" w:sz="18" w:space="0" w:color="auto"/>
            </w:tcBorders>
            <w:shd w:val="clear" w:color="auto" w:fill="auto"/>
            <w:vAlign w:val="center"/>
          </w:tcPr>
          <w:p w:rsidR="008E1974" w:rsidRPr="008E1974" w:rsidRDefault="008E1974" w:rsidP="008E1974">
            <w:pPr>
              <w:spacing w:after="0" w:line="240" w:lineRule="auto"/>
              <w:jc w:val="center"/>
              <w:rPr>
                <w:rFonts w:ascii="Calibri" w:eastAsia="Times New Roman" w:hAnsi="Calibri" w:cs="Calibri"/>
                <w:color w:val="000000"/>
              </w:rPr>
            </w:pPr>
            <w:r w:rsidRPr="008E1974">
              <w:rPr>
                <w:rFonts w:ascii="Calibri" w:eastAsia="Times New Roman" w:hAnsi="Calibri" w:cs="Calibri"/>
                <w:color w:val="000000"/>
              </w:rPr>
              <w:t>73.131.350</w:t>
            </w:r>
          </w:p>
        </w:tc>
        <w:tc>
          <w:tcPr>
            <w:tcW w:w="758" w:type="dxa"/>
            <w:tcBorders>
              <w:right w:val="single" w:sz="18" w:space="0" w:color="auto"/>
            </w:tcBorders>
            <w:shd w:val="clear" w:color="auto" w:fill="auto"/>
            <w:vAlign w:val="center"/>
          </w:tcPr>
          <w:p w:rsidR="008E1974" w:rsidRPr="008E1974" w:rsidRDefault="008E1974" w:rsidP="008E1974">
            <w:pPr>
              <w:spacing w:after="0" w:line="240" w:lineRule="auto"/>
              <w:jc w:val="center"/>
              <w:rPr>
                <w:rFonts w:ascii="Calibri" w:eastAsia="Times New Roman" w:hAnsi="Calibri" w:cs="Calibri"/>
                <w:color w:val="000000"/>
              </w:rPr>
            </w:pPr>
            <w:r w:rsidRPr="008E1974">
              <w:rPr>
                <w:rFonts w:ascii="Calibri" w:eastAsia="Times New Roman" w:hAnsi="Calibri" w:cs="Calibri"/>
                <w:color w:val="000000"/>
              </w:rPr>
              <w:t>28%</w:t>
            </w:r>
          </w:p>
        </w:tc>
        <w:tc>
          <w:tcPr>
            <w:tcW w:w="1499" w:type="dxa"/>
            <w:tcBorders>
              <w:left w:val="single" w:sz="18" w:space="0" w:color="auto"/>
            </w:tcBorders>
            <w:shd w:val="clear" w:color="auto" w:fill="auto"/>
            <w:vAlign w:val="center"/>
          </w:tcPr>
          <w:p w:rsidR="008E1974" w:rsidRPr="008E1974" w:rsidRDefault="008E1974" w:rsidP="008E1974">
            <w:pPr>
              <w:spacing w:after="0" w:line="240" w:lineRule="auto"/>
              <w:jc w:val="center"/>
              <w:rPr>
                <w:rFonts w:ascii="Calibri" w:eastAsia="Times New Roman" w:hAnsi="Calibri" w:cs="Calibri"/>
                <w:color w:val="000000"/>
              </w:rPr>
            </w:pPr>
            <w:r w:rsidRPr="008E1974">
              <w:rPr>
                <w:rFonts w:ascii="Calibri" w:eastAsia="Times New Roman" w:hAnsi="Calibri" w:cs="Calibri"/>
                <w:color w:val="000000"/>
              </w:rPr>
              <w:t>8.412.664</w:t>
            </w:r>
          </w:p>
        </w:tc>
        <w:tc>
          <w:tcPr>
            <w:tcW w:w="1084" w:type="dxa"/>
            <w:tcBorders>
              <w:right w:val="single" w:sz="18" w:space="0" w:color="auto"/>
            </w:tcBorders>
            <w:shd w:val="clear" w:color="auto" w:fill="auto"/>
            <w:vAlign w:val="center"/>
          </w:tcPr>
          <w:p w:rsidR="008E1974" w:rsidRPr="008E1974" w:rsidRDefault="008E1974" w:rsidP="008E1974">
            <w:pPr>
              <w:spacing w:after="0" w:line="240" w:lineRule="auto"/>
              <w:jc w:val="center"/>
              <w:rPr>
                <w:rFonts w:ascii="Calibri" w:eastAsia="Times New Roman" w:hAnsi="Calibri" w:cs="Calibri"/>
                <w:color w:val="000000"/>
              </w:rPr>
            </w:pPr>
            <w:r w:rsidRPr="008E1974">
              <w:rPr>
                <w:rFonts w:ascii="Calibri" w:eastAsia="Times New Roman" w:hAnsi="Calibri" w:cs="Calibri"/>
                <w:color w:val="000000"/>
              </w:rPr>
              <w:t>17%</w:t>
            </w:r>
          </w:p>
        </w:tc>
        <w:tc>
          <w:tcPr>
            <w:tcW w:w="1348" w:type="dxa"/>
            <w:tcBorders>
              <w:left w:val="single" w:sz="18" w:space="0" w:color="auto"/>
            </w:tcBorders>
            <w:shd w:val="clear" w:color="auto" w:fill="auto"/>
            <w:vAlign w:val="center"/>
          </w:tcPr>
          <w:p w:rsidR="008E1974" w:rsidRPr="008E1974" w:rsidRDefault="008E1974" w:rsidP="008E1974">
            <w:pPr>
              <w:spacing w:after="0" w:line="240" w:lineRule="auto"/>
              <w:jc w:val="center"/>
              <w:rPr>
                <w:rFonts w:ascii="Calibri" w:eastAsia="Times New Roman" w:hAnsi="Calibri" w:cs="Calibri"/>
                <w:color w:val="000000"/>
              </w:rPr>
            </w:pPr>
            <w:r w:rsidRPr="008E1974">
              <w:rPr>
                <w:rFonts w:ascii="Calibri" w:eastAsia="Times New Roman" w:hAnsi="Calibri" w:cs="Calibri"/>
                <w:color w:val="000000"/>
              </w:rPr>
              <w:t>18.392.340</w:t>
            </w:r>
          </w:p>
        </w:tc>
        <w:tc>
          <w:tcPr>
            <w:tcW w:w="1084" w:type="dxa"/>
            <w:tcBorders>
              <w:right w:val="single" w:sz="18" w:space="0" w:color="auto"/>
            </w:tcBorders>
            <w:shd w:val="clear" w:color="auto" w:fill="auto"/>
            <w:vAlign w:val="center"/>
          </w:tcPr>
          <w:p w:rsidR="008E1974" w:rsidRPr="008E1974" w:rsidRDefault="008E1974" w:rsidP="008E1974">
            <w:pPr>
              <w:spacing w:after="0" w:line="240" w:lineRule="auto"/>
              <w:jc w:val="center"/>
              <w:rPr>
                <w:rFonts w:ascii="Calibri" w:eastAsia="Times New Roman" w:hAnsi="Calibri" w:cs="Calibri"/>
                <w:color w:val="000000"/>
              </w:rPr>
            </w:pPr>
            <w:r w:rsidRPr="008E1974">
              <w:rPr>
                <w:rFonts w:ascii="Calibri" w:eastAsia="Times New Roman" w:hAnsi="Calibri" w:cs="Calibri"/>
                <w:color w:val="000000"/>
              </w:rPr>
              <w:t>28%</w:t>
            </w:r>
          </w:p>
        </w:tc>
        <w:tc>
          <w:tcPr>
            <w:tcW w:w="1224" w:type="dxa"/>
            <w:tcBorders>
              <w:left w:val="single" w:sz="18" w:space="0" w:color="auto"/>
            </w:tcBorders>
            <w:shd w:val="clear" w:color="auto" w:fill="auto"/>
            <w:vAlign w:val="center"/>
          </w:tcPr>
          <w:p w:rsidR="008E1974" w:rsidRPr="008E1974" w:rsidRDefault="008E1974" w:rsidP="008E1974">
            <w:pPr>
              <w:spacing w:after="0" w:line="240" w:lineRule="auto"/>
              <w:jc w:val="center"/>
              <w:rPr>
                <w:rFonts w:ascii="Calibri" w:eastAsia="Times New Roman" w:hAnsi="Calibri" w:cs="Calibri"/>
                <w:color w:val="000000"/>
              </w:rPr>
            </w:pPr>
            <w:r w:rsidRPr="008E1974">
              <w:rPr>
                <w:rFonts w:ascii="Calibri" w:eastAsia="Times New Roman" w:hAnsi="Calibri" w:cs="Calibri"/>
                <w:color w:val="000000"/>
              </w:rPr>
              <w:t>6.580.345</w:t>
            </w:r>
          </w:p>
        </w:tc>
        <w:tc>
          <w:tcPr>
            <w:tcW w:w="1084" w:type="dxa"/>
            <w:tcBorders>
              <w:right w:val="single" w:sz="18" w:space="0" w:color="auto"/>
            </w:tcBorders>
            <w:shd w:val="clear" w:color="auto" w:fill="auto"/>
            <w:vAlign w:val="center"/>
          </w:tcPr>
          <w:p w:rsidR="008E1974" w:rsidRPr="008E1974" w:rsidRDefault="008E1974" w:rsidP="008E1974">
            <w:pPr>
              <w:spacing w:after="0" w:line="240" w:lineRule="auto"/>
              <w:jc w:val="center"/>
              <w:rPr>
                <w:rFonts w:ascii="Calibri" w:eastAsia="Times New Roman" w:hAnsi="Calibri" w:cs="Calibri"/>
                <w:color w:val="000000"/>
              </w:rPr>
            </w:pPr>
            <w:r w:rsidRPr="008E1974">
              <w:rPr>
                <w:rFonts w:ascii="Calibri" w:eastAsia="Times New Roman" w:hAnsi="Calibri" w:cs="Calibri"/>
                <w:color w:val="000000"/>
              </w:rPr>
              <w:t>10%</w:t>
            </w:r>
          </w:p>
        </w:tc>
        <w:tc>
          <w:tcPr>
            <w:tcW w:w="1220" w:type="dxa"/>
            <w:tcBorders>
              <w:top w:val="single" w:sz="4" w:space="0" w:color="auto"/>
              <w:bottom w:val="single" w:sz="4" w:space="0" w:color="auto"/>
              <w:right w:val="single" w:sz="4" w:space="0" w:color="auto"/>
            </w:tcBorders>
            <w:vAlign w:val="center"/>
          </w:tcPr>
          <w:p w:rsidR="008E1974" w:rsidRPr="008E1974" w:rsidRDefault="008E1974" w:rsidP="008E1974">
            <w:pPr>
              <w:spacing w:after="0" w:line="240" w:lineRule="auto"/>
              <w:jc w:val="center"/>
              <w:rPr>
                <w:rFonts w:ascii="Calibri" w:eastAsia="Times New Roman" w:hAnsi="Calibri" w:cs="Calibri"/>
                <w:color w:val="000000"/>
              </w:rPr>
            </w:pPr>
            <w:r w:rsidRPr="008E1974">
              <w:rPr>
                <w:rFonts w:ascii="Calibri" w:eastAsia="Times New Roman" w:hAnsi="Calibri" w:cs="Calibri"/>
                <w:color w:val="000000"/>
              </w:rPr>
              <w:t>5.689.271</w:t>
            </w:r>
          </w:p>
        </w:tc>
        <w:tc>
          <w:tcPr>
            <w:tcW w:w="961" w:type="dxa"/>
            <w:tcBorders>
              <w:top w:val="single" w:sz="4" w:space="0" w:color="auto"/>
              <w:left w:val="single" w:sz="4" w:space="0" w:color="auto"/>
              <w:bottom w:val="single" w:sz="4" w:space="0" w:color="auto"/>
              <w:right w:val="single" w:sz="18" w:space="0" w:color="auto"/>
            </w:tcBorders>
            <w:vAlign w:val="center"/>
          </w:tcPr>
          <w:p w:rsidR="008E1974" w:rsidRPr="008E1974" w:rsidRDefault="008E1974" w:rsidP="008E1974">
            <w:pPr>
              <w:spacing w:after="0" w:line="240" w:lineRule="auto"/>
              <w:jc w:val="center"/>
              <w:rPr>
                <w:rFonts w:ascii="Calibri" w:eastAsia="Times New Roman" w:hAnsi="Calibri" w:cs="Calibri"/>
                <w:color w:val="000000"/>
              </w:rPr>
            </w:pPr>
            <w:r w:rsidRPr="008E1974">
              <w:rPr>
                <w:rFonts w:ascii="Calibri" w:eastAsia="Times New Roman" w:hAnsi="Calibri" w:cs="Calibri"/>
                <w:color w:val="000000"/>
              </w:rPr>
              <w:t>12%</w:t>
            </w:r>
          </w:p>
        </w:tc>
      </w:tr>
      <w:tr w:rsidR="008E1974" w:rsidRPr="008E1974" w:rsidTr="003F4DFD">
        <w:tc>
          <w:tcPr>
            <w:tcW w:w="2609" w:type="dxa"/>
            <w:tcBorders>
              <w:left w:val="single" w:sz="18" w:space="0" w:color="auto"/>
              <w:right w:val="single" w:sz="18" w:space="0" w:color="auto"/>
            </w:tcBorders>
            <w:shd w:val="clear" w:color="auto" w:fill="auto"/>
            <w:vAlign w:val="center"/>
          </w:tcPr>
          <w:p w:rsidR="008E1974" w:rsidRPr="008E1974" w:rsidRDefault="008E1974" w:rsidP="008E1974">
            <w:pPr>
              <w:tabs>
                <w:tab w:val="left" w:pos="3622"/>
              </w:tabs>
              <w:spacing w:after="0" w:line="240" w:lineRule="auto"/>
              <w:jc w:val="center"/>
              <w:rPr>
                <w:rFonts w:ascii="Times New Roman" w:eastAsia="Times New Roman" w:hAnsi="Times New Roman" w:cs="Times New Roman"/>
                <w:b/>
                <w:color w:val="000000"/>
                <w:sz w:val="20"/>
                <w:szCs w:val="20"/>
              </w:rPr>
            </w:pPr>
            <w:r w:rsidRPr="008E1974">
              <w:rPr>
                <w:rFonts w:ascii="Times New Roman" w:eastAsia="Times New Roman" w:hAnsi="Times New Roman" w:cs="Times New Roman"/>
                <w:b/>
                <w:color w:val="000000"/>
                <w:sz w:val="20"/>
                <w:szCs w:val="20"/>
              </w:rPr>
              <w:t>Преговарачки поступак са објављивањем јавног позива (зјн2008+зјн2012)</w:t>
            </w:r>
          </w:p>
        </w:tc>
        <w:tc>
          <w:tcPr>
            <w:tcW w:w="1349" w:type="dxa"/>
            <w:tcBorders>
              <w:left w:val="single" w:sz="18" w:space="0" w:color="auto"/>
            </w:tcBorders>
            <w:shd w:val="clear" w:color="auto" w:fill="auto"/>
            <w:vAlign w:val="center"/>
          </w:tcPr>
          <w:p w:rsidR="008E1974" w:rsidRPr="008E1974" w:rsidRDefault="008E1974" w:rsidP="008E1974">
            <w:pPr>
              <w:spacing w:after="0" w:line="240" w:lineRule="auto"/>
              <w:jc w:val="center"/>
              <w:rPr>
                <w:rFonts w:ascii="Calibri" w:eastAsia="Times New Roman" w:hAnsi="Calibri" w:cs="Calibri"/>
                <w:color w:val="000000"/>
              </w:rPr>
            </w:pPr>
            <w:r w:rsidRPr="008E1974">
              <w:rPr>
                <w:rFonts w:ascii="Calibri" w:eastAsia="Times New Roman" w:hAnsi="Calibri" w:cs="Calibri"/>
                <w:color w:val="000000"/>
              </w:rPr>
              <w:t>15.600.374</w:t>
            </w:r>
          </w:p>
        </w:tc>
        <w:tc>
          <w:tcPr>
            <w:tcW w:w="758" w:type="dxa"/>
            <w:tcBorders>
              <w:right w:val="single" w:sz="18" w:space="0" w:color="auto"/>
            </w:tcBorders>
            <w:shd w:val="clear" w:color="auto" w:fill="auto"/>
            <w:vAlign w:val="center"/>
          </w:tcPr>
          <w:p w:rsidR="008E1974" w:rsidRPr="008E1974" w:rsidRDefault="008E1974" w:rsidP="008E1974">
            <w:pPr>
              <w:spacing w:after="0" w:line="240" w:lineRule="auto"/>
              <w:jc w:val="center"/>
              <w:rPr>
                <w:rFonts w:ascii="Calibri" w:eastAsia="Times New Roman" w:hAnsi="Calibri" w:cs="Calibri"/>
                <w:color w:val="000000"/>
              </w:rPr>
            </w:pPr>
            <w:r w:rsidRPr="008E1974">
              <w:rPr>
                <w:rFonts w:ascii="Calibri" w:eastAsia="Times New Roman" w:hAnsi="Calibri" w:cs="Calibri"/>
                <w:color w:val="000000"/>
              </w:rPr>
              <w:t>6%</w:t>
            </w:r>
          </w:p>
        </w:tc>
        <w:tc>
          <w:tcPr>
            <w:tcW w:w="1499" w:type="dxa"/>
            <w:tcBorders>
              <w:left w:val="single" w:sz="18" w:space="0" w:color="auto"/>
            </w:tcBorders>
            <w:shd w:val="clear" w:color="auto" w:fill="auto"/>
            <w:vAlign w:val="center"/>
          </w:tcPr>
          <w:p w:rsidR="008E1974" w:rsidRPr="008E1974" w:rsidRDefault="008E1974" w:rsidP="008E1974">
            <w:pPr>
              <w:spacing w:after="0" w:line="240" w:lineRule="auto"/>
              <w:jc w:val="center"/>
              <w:rPr>
                <w:rFonts w:ascii="Calibri" w:eastAsia="Times New Roman" w:hAnsi="Calibri" w:cs="Calibri"/>
                <w:color w:val="000000"/>
              </w:rPr>
            </w:pPr>
            <w:r w:rsidRPr="008E1974">
              <w:rPr>
                <w:rFonts w:ascii="Calibri" w:eastAsia="Times New Roman" w:hAnsi="Calibri" w:cs="Calibri"/>
                <w:color w:val="000000"/>
              </w:rPr>
              <w:t>6.345.510</w:t>
            </w:r>
          </w:p>
        </w:tc>
        <w:tc>
          <w:tcPr>
            <w:tcW w:w="1084" w:type="dxa"/>
            <w:tcBorders>
              <w:right w:val="single" w:sz="18" w:space="0" w:color="auto"/>
            </w:tcBorders>
            <w:shd w:val="clear" w:color="auto" w:fill="auto"/>
            <w:vAlign w:val="center"/>
          </w:tcPr>
          <w:p w:rsidR="008E1974" w:rsidRPr="008E1974" w:rsidRDefault="008E1974" w:rsidP="008E1974">
            <w:pPr>
              <w:spacing w:after="0" w:line="240" w:lineRule="auto"/>
              <w:jc w:val="center"/>
              <w:rPr>
                <w:rFonts w:ascii="Calibri" w:eastAsia="Times New Roman" w:hAnsi="Calibri" w:cs="Calibri"/>
                <w:color w:val="000000"/>
              </w:rPr>
            </w:pPr>
            <w:r w:rsidRPr="008E1974">
              <w:rPr>
                <w:rFonts w:ascii="Calibri" w:eastAsia="Times New Roman" w:hAnsi="Calibri" w:cs="Calibri"/>
                <w:color w:val="000000"/>
              </w:rPr>
              <w:t>13%</w:t>
            </w:r>
          </w:p>
        </w:tc>
        <w:tc>
          <w:tcPr>
            <w:tcW w:w="1348" w:type="dxa"/>
            <w:tcBorders>
              <w:left w:val="single" w:sz="18" w:space="0" w:color="auto"/>
            </w:tcBorders>
            <w:shd w:val="clear" w:color="auto" w:fill="auto"/>
            <w:vAlign w:val="center"/>
          </w:tcPr>
          <w:p w:rsidR="008E1974" w:rsidRPr="008E1974" w:rsidRDefault="008E1974" w:rsidP="008E1974">
            <w:pPr>
              <w:spacing w:after="0" w:line="240" w:lineRule="auto"/>
              <w:jc w:val="center"/>
              <w:rPr>
                <w:rFonts w:ascii="Calibri" w:eastAsia="Times New Roman" w:hAnsi="Calibri" w:cs="Calibri"/>
                <w:color w:val="000000"/>
              </w:rPr>
            </w:pPr>
            <w:r w:rsidRPr="008E1974">
              <w:rPr>
                <w:rFonts w:ascii="Calibri" w:eastAsia="Times New Roman" w:hAnsi="Calibri" w:cs="Calibri"/>
                <w:color w:val="000000"/>
              </w:rPr>
              <w:t>3.517.391</w:t>
            </w:r>
          </w:p>
        </w:tc>
        <w:tc>
          <w:tcPr>
            <w:tcW w:w="1084" w:type="dxa"/>
            <w:tcBorders>
              <w:right w:val="single" w:sz="18" w:space="0" w:color="auto"/>
            </w:tcBorders>
            <w:shd w:val="clear" w:color="auto" w:fill="auto"/>
            <w:vAlign w:val="center"/>
          </w:tcPr>
          <w:p w:rsidR="008E1974" w:rsidRPr="008E1974" w:rsidRDefault="008E1974" w:rsidP="008E1974">
            <w:pPr>
              <w:spacing w:after="0" w:line="240" w:lineRule="auto"/>
              <w:jc w:val="center"/>
              <w:rPr>
                <w:rFonts w:ascii="Calibri" w:eastAsia="Times New Roman" w:hAnsi="Calibri" w:cs="Calibri"/>
                <w:color w:val="000000"/>
              </w:rPr>
            </w:pPr>
            <w:r w:rsidRPr="008E1974">
              <w:rPr>
                <w:rFonts w:ascii="Calibri" w:eastAsia="Times New Roman" w:hAnsi="Calibri" w:cs="Calibri"/>
                <w:color w:val="000000"/>
              </w:rPr>
              <w:t>5%</w:t>
            </w:r>
          </w:p>
        </w:tc>
        <w:tc>
          <w:tcPr>
            <w:tcW w:w="1224" w:type="dxa"/>
            <w:tcBorders>
              <w:left w:val="single" w:sz="18" w:space="0" w:color="auto"/>
            </w:tcBorders>
            <w:shd w:val="clear" w:color="auto" w:fill="auto"/>
            <w:vAlign w:val="center"/>
          </w:tcPr>
          <w:p w:rsidR="008E1974" w:rsidRPr="008E1974" w:rsidRDefault="008E1974" w:rsidP="008E1974">
            <w:pPr>
              <w:spacing w:after="0" w:line="240" w:lineRule="auto"/>
              <w:jc w:val="center"/>
              <w:rPr>
                <w:rFonts w:ascii="Calibri" w:eastAsia="Times New Roman" w:hAnsi="Calibri" w:cs="Calibri"/>
                <w:color w:val="000000"/>
              </w:rPr>
            </w:pPr>
            <w:r w:rsidRPr="008E1974">
              <w:rPr>
                <w:rFonts w:ascii="Calibri" w:eastAsia="Times New Roman" w:hAnsi="Calibri" w:cs="Calibri"/>
                <w:color w:val="000000"/>
              </w:rPr>
              <w:t>2.558.596</w:t>
            </w:r>
          </w:p>
        </w:tc>
        <w:tc>
          <w:tcPr>
            <w:tcW w:w="1084" w:type="dxa"/>
            <w:tcBorders>
              <w:right w:val="single" w:sz="18" w:space="0" w:color="auto"/>
            </w:tcBorders>
            <w:shd w:val="clear" w:color="auto" w:fill="auto"/>
            <w:vAlign w:val="center"/>
          </w:tcPr>
          <w:p w:rsidR="008E1974" w:rsidRPr="008E1974" w:rsidRDefault="008E1974" w:rsidP="008E1974">
            <w:pPr>
              <w:spacing w:after="0" w:line="240" w:lineRule="auto"/>
              <w:jc w:val="center"/>
              <w:rPr>
                <w:rFonts w:ascii="Calibri" w:eastAsia="Times New Roman" w:hAnsi="Calibri" w:cs="Calibri"/>
                <w:color w:val="000000"/>
              </w:rPr>
            </w:pPr>
            <w:r w:rsidRPr="008E1974">
              <w:rPr>
                <w:rFonts w:ascii="Calibri" w:eastAsia="Times New Roman" w:hAnsi="Calibri" w:cs="Calibri"/>
                <w:color w:val="000000"/>
              </w:rPr>
              <w:t>4%</w:t>
            </w:r>
          </w:p>
        </w:tc>
        <w:tc>
          <w:tcPr>
            <w:tcW w:w="1220" w:type="dxa"/>
            <w:tcBorders>
              <w:top w:val="single" w:sz="4" w:space="0" w:color="auto"/>
              <w:bottom w:val="single" w:sz="4" w:space="0" w:color="auto"/>
              <w:right w:val="single" w:sz="4" w:space="0" w:color="auto"/>
            </w:tcBorders>
            <w:vAlign w:val="center"/>
          </w:tcPr>
          <w:p w:rsidR="008E1974" w:rsidRPr="008E1974" w:rsidRDefault="008E1974" w:rsidP="008E1974">
            <w:pPr>
              <w:spacing w:after="0" w:line="240" w:lineRule="auto"/>
              <w:jc w:val="center"/>
              <w:rPr>
                <w:rFonts w:ascii="Calibri" w:eastAsia="Times New Roman" w:hAnsi="Calibri" w:cs="Calibri"/>
                <w:color w:val="000000"/>
              </w:rPr>
            </w:pPr>
            <w:r w:rsidRPr="008E1974">
              <w:rPr>
                <w:rFonts w:ascii="Calibri" w:eastAsia="Times New Roman" w:hAnsi="Calibri" w:cs="Calibri"/>
                <w:color w:val="000000"/>
              </w:rPr>
              <w:t>2.831.749</w:t>
            </w:r>
          </w:p>
        </w:tc>
        <w:tc>
          <w:tcPr>
            <w:tcW w:w="961" w:type="dxa"/>
            <w:tcBorders>
              <w:top w:val="single" w:sz="4" w:space="0" w:color="auto"/>
              <w:left w:val="single" w:sz="4" w:space="0" w:color="auto"/>
              <w:bottom w:val="single" w:sz="4" w:space="0" w:color="auto"/>
              <w:right w:val="single" w:sz="18" w:space="0" w:color="auto"/>
            </w:tcBorders>
            <w:vAlign w:val="center"/>
          </w:tcPr>
          <w:p w:rsidR="008E1974" w:rsidRPr="008E1974" w:rsidRDefault="008E1974" w:rsidP="008E1974">
            <w:pPr>
              <w:spacing w:after="0" w:line="240" w:lineRule="auto"/>
              <w:jc w:val="center"/>
              <w:rPr>
                <w:rFonts w:ascii="Calibri" w:eastAsia="Times New Roman" w:hAnsi="Calibri" w:cs="Calibri"/>
                <w:color w:val="000000"/>
              </w:rPr>
            </w:pPr>
            <w:r w:rsidRPr="008E1974">
              <w:rPr>
                <w:rFonts w:ascii="Calibri" w:eastAsia="Times New Roman" w:hAnsi="Calibri" w:cs="Calibri"/>
                <w:color w:val="000000"/>
              </w:rPr>
              <w:t>5%</w:t>
            </w:r>
          </w:p>
        </w:tc>
      </w:tr>
      <w:tr w:rsidR="008E1974" w:rsidRPr="008E1974" w:rsidTr="003F4DFD">
        <w:tc>
          <w:tcPr>
            <w:tcW w:w="2609" w:type="dxa"/>
            <w:tcBorders>
              <w:left w:val="single" w:sz="18" w:space="0" w:color="auto"/>
              <w:right w:val="single" w:sz="18" w:space="0" w:color="auto"/>
            </w:tcBorders>
            <w:shd w:val="clear" w:color="auto" w:fill="auto"/>
            <w:vAlign w:val="center"/>
          </w:tcPr>
          <w:p w:rsidR="008E1974" w:rsidRPr="008E1974" w:rsidRDefault="008E1974" w:rsidP="008E1974">
            <w:pPr>
              <w:tabs>
                <w:tab w:val="left" w:pos="3622"/>
              </w:tabs>
              <w:spacing w:after="0" w:line="240" w:lineRule="auto"/>
              <w:jc w:val="center"/>
              <w:rPr>
                <w:rFonts w:ascii="Times New Roman" w:eastAsia="Times New Roman" w:hAnsi="Times New Roman" w:cs="Times New Roman"/>
                <w:b/>
                <w:color w:val="000000"/>
                <w:sz w:val="20"/>
                <w:szCs w:val="20"/>
              </w:rPr>
            </w:pPr>
            <w:r w:rsidRPr="008E1974">
              <w:rPr>
                <w:rFonts w:ascii="Times New Roman" w:eastAsia="Times New Roman" w:hAnsi="Times New Roman" w:cs="Times New Roman"/>
                <w:b/>
                <w:color w:val="000000"/>
                <w:sz w:val="20"/>
                <w:szCs w:val="20"/>
              </w:rPr>
              <w:t>Конкурс за дизајн (зјн2008+зјн2012)</w:t>
            </w:r>
          </w:p>
        </w:tc>
        <w:tc>
          <w:tcPr>
            <w:tcW w:w="1349" w:type="dxa"/>
            <w:tcBorders>
              <w:left w:val="single" w:sz="18" w:space="0" w:color="auto"/>
            </w:tcBorders>
            <w:shd w:val="clear" w:color="auto" w:fill="auto"/>
            <w:vAlign w:val="center"/>
          </w:tcPr>
          <w:p w:rsidR="008E1974" w:rsidRPr="008E1974" w:rsidRDefault="008E1974" w:rsidP="008E1974">
            <w:pPr>
              <w:spacing w:after="0" w:line="240" w:lineRule="auto"/>
              <w:jc w:val="center"/>
              <w:rPr>
                <w:rFonts w:ascii="Calibri" w:eastAsia="Times New Roman" w:hAnsi="Calibri" w:cs="Calibri"/>
                <w:color w:val="000000"/>
              </w:rPr>
            </w:pPr>
            <w:r w:rsidRPr="008E1974">
              <w:rPr>
                <w:rFonts w:ascii="Calibri" w:eastAsia="Times New Roman" w:hAnsi="Calibri" w:cs="Calibri"/>
                <w:color w:val="000000"/>
              </w:rPr>
              <w:t>5.218</w:t>
            </w:r>
          </w:p>
        </w:tc>
        <w:tc>
          <w:tcPr>
            <w:tcW w:w="758" w:type="dxa"/>
            <w:tcBorders>
              <w:right w:val="single" w:sz="18" w:space="0" w:color="auto"/>
            </w:tcBorders>
            <w:shd w:val="clear" w:color="auto" w:fill="auto"/>
            <w:vAlign w:val="center"/>
          </w:tcPr>
          <w:p w:rsidR="008E1974" w:rsidRPr="008E1974" w:rsidRDefault="008E1974" w:rsidP="008E1974">
            <w:pPr>
              <w:spacing w:after="0" w:line="240" w:lineRule="auto"/>
              <w:jc w:val="center"/>
              <w:rPr>
                <w:rFonts w:ascii="Calibri" w:eastAsia="Times New Roman" w:hAnsi="Calibri" w:cs="Calibri"/>
                <w:color w:val="000000"/>
              </w:rPr>
            </w:pPr>
            <w:r w:rsidRPr="008E1974">
              <w:rPr>
                <w:rFonts w:ascii="Calibri" w:eastAsia="Times New Roman" w:hAnsi="Calibri" w:cs="Calibri"/>
                <w:color w:val="000000"/>
              </w:rPr>
              <w:t>0%</w:t>
            </w:r>
          </w:p>
        </w:tc>
        <w:tc>
          <w:tcPr>
            <w:tcW w:w="1499" w:type="dxa"/>
            <w:tcBorders>
              <w:left w:val="single" w:sz="18" w:space="0" w:color="auto"/>
            </w:tcBorders>
            <w:shd w:val="clear" w:color="auto" w:fill="auto"/>
            <w:vAlign w:val="center"/>
          </w:tcPr>
          <w:p w:rsidR="008E1974" w:rsidRPr="008E1974" w:rsidRDefault="008E1974" w:rsidP="008E1974">
            <w:pPr>
              <w:spacing w:after="0" w:line="240" w:lineRule="auto"/>
              <w:jc w:val="center"/>
              <w:rPr>
                <w:rFonts w:ascii="Calibri" w:eastAsia="Times New Roman" w:hAnsi="Calibri" w:cs="Calibri"/>
                <w:color w:val="000000"/>
              </w:rPr>
            </w:pPr>
            <w:r w:rsidRPr="008E1974">
              <w:rPr>
                <w:rFonts w:ascii="Calibri" w:eastAsia="Times New Roman" w:hAnsi="Calibri" w:cs="Calibri"/>
                <w:color w:val="000000"/>
              </w:rPr>
              <w:t>/</w:t>
            </w:r>
          </w:p>
        </w:tc>
        <w:tc>
          <w:tcPr>
            <w:tcW w:w="1084" w:type="dxa"/>
            <w:tcBorders>
              <w:right w:val="single" w:sz="18" w:space="0" w:color="auto"/>
            </w:tcBorders>
            <w:shd w:val="clear" w:color="auto" w:fill="auto"/>
            <w:vAlign w:val="center"/>
          </w:tcPr>
          <w:p w:rsidR="008E1974" w:rsidRPr="008E1974" w:rsidRDefault="008E1974" w:rsidP="008E1974">
            <w:pPr>
              <w:spacing w:after="0" w:line="240" w:lineRule="auto"/>
              <w:jc w:val="center"/>
              <w:rPr>
                <w:rFonts w:ascii="Calibri" w:eastAsia="Times New Roman" w:hAnsi="Calibri" w:cs="Calibri"/>
                <w:color w:val="000000"/>
              </w:rPr>
            </w:pPr>
            <w:r w:rsidRPr="008E1974">
              <w:rPr>
                <w:rFonts w:ascii="Calibri" w:eastAsia="Times New Roman" w:hAnsi="Calibri" w:cs="Calibri"/>
                <w:color w:val="000000"/>
              </w:rPr>
              <w:t>0%</w:t>
            </w:r>
          </w:p>
        </w:tc>
        <w:tc>
          <w:tcPr>
            <w:tcW w:w="1348" w:type="dxa"/>
            <w:tcBorders>
              <w:left w:val="single" w:sz="18" w:space="0" w:color="auto"/>
            </w:tcBorders>
            <w:shd w:val="clear" w:color="auto" w:fill="auto"/>
            <w:vAlign w:val="center"/>
          </w:tcPr>
          <w:p w:rsidR="008E1974" w:rsidRPr="008E1974" w:rsidRDefault="008E1974" w:rsidP="008E1974">
            <w:pPr>
              <w:spacing w:after="0" w:line="240" w:lineRule="auto"/>
              <w:jc w:val="center"/>
              <w:rPr>
                <w:rFonts w:ascii="Calibri" w:eastAsia="Times New Roman" w:hAnsi="Calibri" w:cs="Calibri"/>
                <w:color w:val="000000"/>
              </w:rPr>
            </w:pPr>
            <w:r w:rsidRPr="008E1974">
              <w:rPr>
                <w:rFonts w:ascii="Calibri" w:eastAsia="Times New Roman" w:hAnsi="Calibri" w:cs="Calibri"/>
                <w:color w:val="000000"/>
              </w:rPr>
              <w:t>6.999</w:t>
            </w:r>
          </w:p>
        </w:tc>
        <w:tc>
          <w:tcPr>
            <w:tcW w:w="1084" w:type="dxa"/>
            <w:tcBorders>
              <w:right w:val="single" w:sz="18" w:space="0" w:color="auto"/>
            </w:tcBorders>
            <w:shd w:val="clear" w:color="auto" w:fill="auto"/>
            <w:vAlign w:val="center"/>
          </w:tcPr>
          <w:p w:rsidR="008E1974" w:rsidRPr="008E1974" w:rsidRDefault="008E1974" w:rsidP="008E1974">
            <w:pPr>
              <w:spacing w:after="0" w:line="240" w:lineRule="auto"/>
              <w:jc w:val="center"/>
              <w:rPr>
                <w:rFonts w:ascii="Calibri" w:eastAsia="Times New Roman" w:hAnsi="Calibri" w:cs="Calibri"/>
                <w:color w:val="000000"/>
              </w:rPr>
            </w:pPr>
            <w:r w:rsidRPr="008E1974">
              <w:rPr>
                <w:rFonts w:ascii="Calibri" w:eastAsia="Times New Roman" w:hAnsi="Calibri" w:cs="Calibri"/>
                <w:color w:val="000000"/>
              </w:rPr>
              <w:t>0%</w:t>
            </w:r>
          </w:p>
        </w:tc>
        <w:tc>
          <w:tcPr>
            <w:tcW w:w="1224" w:type="dxa"/>
            <w:tcBorders>
              <w:left w:val="single" w:sz="18" w:space="0" w:color="auto"/>
            </w:tcBorders>
            <w:shd w:val="clear" w:color="auto" w:fill="auto"/>
            <w:vAlign w:val="center"/>
          </w:tcPr>
          <w:p w:rsidR="008E1974" w:rsidRPr="008E1974" w:rsidRDefault="008E1974" w:rsidP="008E1974">
            <w:pPr>
              <w:spacing w:after="0" w:line="240" w:lineRule="auto"/>
              <w:jc w:val="center"/>
              <w:rPr>
                <w:rFonts w:ascii="Calibri" w:eastAsia="Times New Roman" w:hAnsi="Calibri" w:cs="Calibri"/>
                <w:color w:val="000000"/>
              </w:rPr>
            </w:pPr>
            <w:r w:rsidRPr="008E1974">
              <w:rPr>
                <w:rFonts w:ascii="Calibri" w:eastAsia="Times New Roman" w:hAnsi="Calibri" w:cs="Calibri"/>
                <w:color w:val="000000"/>
              </w:rPr>
              <w:t>/</w:t>
            </w:r>
          </w:p>
        </w:tc>
        <w:tc>
          <w:tcPr>
            <w:tcW w:w="1084" w:type="dxa"/>
            <w:tcBorders>
              <w:right w:val="single" w:sz="18" w:space="0" w:color="auto"/>
            </w:tcBorders>
            <w:shd w:val="clear" w:color="auto" w:fill="auto"/>
            <w:vAlign w:val="center"/>
          </w:tcPr>
          <w:p w:rsidR="008E1974" w:rsidRPr="008E1974" w:rsidRDefault="008E1974" w:rsidP="008E1974">
            <w:pPr>
              <w:spacing w:after="0" w:line="240" w:lineRule="auto"/>
              <w:jc w:val="center"/>
              <w:rPr>
                <w:rFonts w:ascii="Calibri" w:eastAsia="Times New Roman" w:hAnsi="Calibri" w:cs="Calibri"/>
                <w:color w:val="000000"/>
              </w:rPr>
            </w:pPr>
            <w:r w:rsidRPr="008E1974">
              <w:rPr>
                <w:rFonts w:ascii="Calibri" w:eastAsia="Times New Roman" w:hAnsi="Calibri" w:cs="Calibri"/>
                <w:color w:val="000000"/>
              </w:rPr>
              <w:t>0%</w:t>
            </w:r>
          </w:p>
        </w:tc>
        <w:tc>
          <w:tcPr>
            <w:tcW w:w="1220" w:type="dxa"/>
            <w:tcBorders>
              <w:top w:val="single" w:sz="4" w:space="0" w:color="auto"/>
              <w:bottom w:val="single" w:sz="4" w:space="0" w:color="auto"/>
              <w:right w:val="single" w:sz="4" w:space="0" w:color="auto"/>
            </w:tcBorders>
            <w:vAlign w:val="center"/>
          </w:tcPr>
          <w:p w:rsidR="008E1974" w:rsidRPr="008E1974" w:rsidRDefault="008E1974" w:rsidP="008E1974">
            <w:pPr>
              <w:spacing w:after="0" w:line="240" w:lineRule="auto"/>
              <w:jc w:val="center"/>
              <w:rPr>
                <w:rFonts w:ascii="Calibri" w:eastAsia="Times New Roman" w:hAnsi="Calibri" w:cs="Calibri"/>
                <w:color w:val="000000"/>
              </w:rPr>
            </w:pPr>
            <w:r w:rsidRPr="008E1974">
              <w:rPr>
                <w:rFonts w:ascii="Calibri" w:eastAsia="Times New Roman" w:hAnsi="Calibri" w:cs="Calibri"/>
                <w:color w:val="000000"/>
              </w:rPr>
              <w:t>700</w:t>
            </w:r>
          </w:p>
        </w:tc>
        <w:tc>
          <w:tcPr>
            <w:tcW w:w="961" w:type="dxa"/>
            <w:tcBorders>
              <w:top w:val="single" w:sz="4" w:space="0" w:color="auto"/>
              <w:left w:val="single" w:sz="4" w:space="0" w:color="auto"/>
              <w:bottom w:val="single" w:sz="4" w:space="0" w:color="auto"/>
              <w:right w:val="single" w:sz="18" w:space="0" w:color="auto"/>
            </w:tcBorders>
            <w:vAlign w:val="center"/>
          </w:tcPr>
          <w:p w:rsidR="008E1974" w:rsidRPr="008E1974" w:rsidRDefault="008E1974" w:rsidP="008E1974">
            <w:pPr>
              <w:spacing w:after="0" w:line="240" w:lineRule="auto"/>
              <w:jc w:val="center"/>
              <w:rPr>
                <w:rFonts w:ascii="Calibri" w:eastAsia="Times New Roman" w:hAnsi="Calibri" w:cs="Calibri"/>
                <w:color w:val="000000"/>
              </w:rPr>
            </w:pPr>
            <w:r w:rsidRPr="008E1974">
              <w:rPr>
                <w:rFonts w:ascii="Calibri" w:eastAsia="Times New Roman" w:hAnsi="Calibri" w:cs="Calibri"/>
                <w:color w:val="000000"/>
              </w:rPr>
              <w:t>0%</w:t>
            </w:r>
          </w:p>
        </w:tc>
      </w:tr>
      <w:tr w:rsidR="008E1974" w:rsidRPr="008E1974" w:rsidTr="003F4DFD">
        <w:tc>
          <w:tcPr>
            <w:tcW w:w="2609" w:type="dxa"/>
            <w:tcBorders>
              <w:left w:val="single" w:sz="18" w:space="0" w:color="auto"/>
              <w:bottom w:val="single" w:sz="18" w:space="0" w:color="auto"/>
              <w:right w:val="single" w:sz="18" w:space="0" w:color="auto"/>
            </w:tcBorders>
            <w:shd w:val="clear" w:color="auto" w:fill="auto"/>
            <w:vAlign w:val="center"/>
          </w:tcPr>
          <w:p w:rsidR="008E1974" w:rsidRPr="008E1974" w:rsidRDefault="008E1974" w:rsidP="008E1974">
            <w:pPr>
              <w:tabs>
                <w:tab w:val="left" w:pos="1885"/>
              </w:tabs>
              <w:spacing w:after="0" w:line="240" w:lineRule="auto"/>
              <w:jc w:val="center"/>
              <w:rPr>
                <w:rFonts w:ascii="Times New Roman" w:eastAsia="Times New Roman" w:hAnsi="Times New Roman" w:cs="Times New Roman"/>
                <w:b/>
                <w:color w:val="000000"/>
                <w:sz w:val="20"/>
                <w:szCs w:val="20"/>
              </w:rPr>
            </w:pPr>
            <w:r w:rsidRPr="008E1974">
              <w:rPr>
                <w:rFonts w:ascii="Times New Roman" w:eastAsia="Times New Roman" w:hAnsi="Times New Roman" w:cs="Times New Roman"/>
                <w:b/>
                <w:color w:val="000000"/>
                <w:sz w:val="20"/>
                <w:szCs w:val="20"/>
              </w:rPr>
              <w:t>Укупно</w:t>
            </w:r>
          </w:p>
        </w:tc>
        <w:tc>
          <w:tcPr>
            <w:tcW w:w="1349" w:type="dxa"/>
            <w:tcBorders>
              <w:left w:val="single" w:sz="18" w:space="0" w:color="auto"/>
              <w:bottom w:val="single" w:sz="18" w:space="0" w:color="auto"/>
            </w:tcBorders>
            <w:shd w:val="clear" w:color="auto" w:fill="auto"/>
            <w:vAlign w:val="center"/>
          </w:tcPr>
          <w:p w:rsidR="008E1974" w:rsidRPr="008E1974" w:rsidRDefault="008E1974" w:rsidP="008E1974">
            <w:pPr>
              <w:spacing w:after="0" w:line="240" w:lineRule="auto"/>
              <w:jc w:val="center"/>
              <w:rPr>
                <w:rFonts w:ascii="Calibri" w:eastAsia="Times New Roman" w:hAnsi="Calibri" w:cs="Calibri"/>
                <w:color w:val="000000"/>
              </w:rPr>
            </w:pPr>
            <w:r w:rsidRPr="008E1974">
              <w:rPr>
                <w:rFonts w:ascii="Calibri" w:eastAsia="Times New Roman" w:hAnsi="Calibri" w:cs="Calibri"/>
                <w:color w:val="000000"/>
              </w:rPr>
              <w:t>263.296.071</w:t>
            </w:r>
          </w:p>
        </w:tc>
        <w:tc>
          <w:tcPr>
            <w:tcW w:w="758" w:type="dxa"/>
            <w:tcBorders>
              <w:bottom w:val="single" w:sz="18" w:space="0" w:color="auto"/>
              <w:right w:val="single" w:sz="18" w:space="0" w:color="auto"/>
            </w:tcBorders>
            <w:shd w:val="clear" w:color="auto" w:fill="auto"/>
            <w:vAlign w:val="center"/>
          </w:tcPr>
          <w:p w:rsidR="008E1974" w:rsidRPr="008E1974" w:rsidRDefault="008E1974" w:rsidP="008E1974">
            <w:pPr>
              <w:spacing w:after="0" w:line="240" w:lineRule="auto"/>
              <w:jc w:val="center"/>
              <w:rPr>
                <w:rFonts w:ascii="Calibri" w:eastAsia="Times New Roman" w:hAnsi="Calibri" w:cs="Calibri"/>
                <w:color w:val="000000"/>
              </w:rPr>
            </w:pPr>
            <w:r w:rsidRPr="008E1974">
              <w:rPr>
                <w:rFonts w:ascii="Calibri" w:eastAsia="Times New Roman" w:hAnsi="Calibri" w:cs="Calibri"/>
                <w:color w:val="000000"/>
              </w:rPr>
              <w:t>100%</w:t>
            </w:r>
          </w:p>
        </w:tc>
        <w:tc>
          <w:tcPr>
            <w:tcW w:w="1499" w:type="dxa"/>
            <w:tcBorders>
              <w:left w:val="single" w:sz="18" w:space="0" w:color="auto"/>
              <w:bottom w:val="single" w:sz="18" w:space="0" w:color="auto"/>
            </w:tcBorders>
            <w:shd w:val="clear" w:color="auto" w:fill="auto"/>
            <w:vAlign w:val="center"/>
          </w:tcPr>
          <w:p w:rsidR="008E1974" w:rsidRPr="008E1974" w:rsidRDefault="008E1974" w:rsidP="008E1974">
            <w:pPr>
              <w:spacing w:after="0" w:line="240" w:lineRule="auto"/>
              <w:jc w:val="center"/>
              <w:rPr>
                <w:rFonts w:ascii="Calibri" w:eastAsia="Times New Roman" w:hAnsi="Calibri" w:cs="Calibri"/>
                <w:color w:val="000000"/>
              </w:rPr>
            </w:pPr>
            <w:r w:rsidRPr="008E1974">
              <w:rPr>
                <w:rFonts w:ascii="Calibri" w:eastAsia="Times New Roman" w:hAnsi="Calibri" w:cs="Calibri"/>
                <w:color w:val="000000"/>
              </w:rPr>
              <w:t>48.354.495</w:t>
            </w:r>
          </w:p>
        </w:tc>
        <w:tc>
          <w:tcPr>
            <w:tcW w:w="1084" w:type="dxa"/>
            <w:tcBorders>
              <w:bottom w:val="single" w:sz="18" w:space="0" w:color="auto"/>
              <w:right w:val="single" w:sz="18" w:space="0" w:color="auto"/>
            </w:tcBorders>
            <w:shd w:val="clear" w:color="auto" w:fill="auto"/>
            <w:vAlign w:val="center"/>
          </w:tcPr>
          <w:p w:rsidR="008E1974" w:rsidRPr="008E1974" w:rsidRDefault="008E1974" w:rsidP="008E1974">
            <w:pPr>
              <w:spacing w:after="0" w:line="240" w:lineRule="auto"/>
              <w:jc w:val="center"/>
              <w:rPr>
                <w:rFonts w:ascii="Calibri" w:eastAsia="Times New Roman" w:hAnsi="Calibri" w:cs="Calibri"/>
                <w:color w:val="000000"/>
              </w:rPr>
            </w:pPr>
            <w:r w:rsidRPr="008E1974">
              <w:rPr>
                <w:rFonts w:ascii="Calibri" w:eastAsia="Times New Roman" w:hAnsi="Calibri" w:cs="Calibri"/>
                <w:color w:val="000000"/>
              </w:rPr>
              <w:t>100%</w:t>
            </w:r>
          </w:p>
        </w:tc>
        <w:tc>
          <w:tcPr>
            <w:tcW w:w="1348" w:type="dxa"/>
            <w:tcBorders>
              <w:left w:val="single" w:sz="18" w:space="0" w:color="auto"/>
              <w:bottom w:val="single" w:sz="18" w:space="0" w:color="auto"/>
            </w:tcBorders>
            <w:shd w:val="clear" w:color="auto" w:fill="auto"/>
            <w:vAlign w:val="center"/>
          </w:tcPr>
          <w:p w:rsidR="008E1974" w:rsidRPr="008E1974" w:rsidRDefault="008E1974" w:rsidP="008E1974">
            <w:pPr>
              <w:spacing w:after="0" w:line="240" w:lineRule="auto"/>
              <w:jc w:val="center"/>
              <w:rPr>
                <w:rFonts w:ascii="Calibri" w:eastAsia="Times New Roman" w:hAnsi="Calibri" w:cs="Calibri"/>
                <w:color w:val="000000"/>
              </w:rPr>
            </w:pPr>
            <w:r w:rsidRPr="008E1974">
              <w:rPr>
                <w:rFonts w:ascii="Calibri" w:eastAsia="Times New Roman" w:hAnsi="Calibri" w:cs="Calibri"/>
                <w:color w:val="000000"/>
              </w:rPr>
              <w:t>65.235.249</w:t>
            </w:r>
          </w:p>
        </w:tc>
        <w:tc>
          <w:tcPr>
            <w:tcW w:w="1084" w:type="dxa"/>
            <w:tcBorders>
              <w:bottom w:val="single" w:sz="18" w:space="0" w:color="auto"/>
              <w:right w:val="single" w:sz="18" w:space="0" w:color="auto"/>
            </w:tcBorders>
            <w:shd w:val="clear" w:color="auto" w:fill="auto"/>
            <w:vAlign w:val="center"/>
          </w:tcPr>
          <w:p w:rsidR="008E1974" w:rsidRPr="008E1974" w:rsidRDefault="008E1974" w:rsidP="008E1974">
            <w:pPr>
              <w:spacing w:after="0" w:line="240" w:lineRule="auto"/>
              <w:jc w:val="center"/>
              <w:rPr>
                <w:rFonts w:ascii="Calibri" w:eastAsia="Times New Roman" w:hAnsi="Calibri" w:cs="Calibri"/>
                <w:color w:val="000000"/>
              </w:rPr>
            </w:pPr>
            <w:r w:rsidRPr="008E1974">
              <w:rPr>
                <w:rFonts w:ascii="Calibri" w:eastAsia="Times New Roman" w:hAnsi="Calibri" w:cs="Calibri"/>
                <w:color w:val="000000"/>
              </w:rPr>
              <w:t>100%</w:t>
            </w:r>
          </w:p>
        </w:tc>
        <w:tc>
          <w:tcPr>
            <w:tcW w:w="1224" w:type="dxa"/>
            <w:tcBorders>
              <w:left w:val="single" w:sz="18" w:space="0" w:color="auto"/>
              <w:bottom w:val="single" w:sz="18" w:space="0" w:color="auto"/>
            </w:tcBorders>
            <w:shd w:val="clear" w:color="auto" w:fill="auto"/>
            <w:vAlign w:val="center"/>
          </w:tcPr>
          <w:p w:rsidR="008E1974" w:rsidRPr="008E1974" w:rsidRDefault="008E1974" w:rsidP="008E1974">
            <w:pPr>
              <w:spacing w:after="0" w:line="240" w:lineRule="auto"/>
              <w:jc w:val="center"/>
              <w:rPr>
                <w:rFonts w:ascii="Calibri" w:eastAsia="Times New Roman" w:hAnsi="Calibri" w:cs="Calibri"/>
                <w:color w:val="000000"/>
              </w:rPr>
            </w:pPr>
            <w:r w:rsidRPr="008E1974">
              <w:rPr>
                <w:rFonts w:ascii="Calibri" w:eastAsia="Times New Roman" w:hAnsi="Calibri" w:cs="Calibri"/>
                <w:color w:val="000000"/>
              </w:rPr>
              <w:t>64.537.601</w:t>
            </w:r>
          </w:p>
        </w:tc>
        <w:tc>
          <w:tcPr>
            <w:tcW w:w="1084" w:type="dxa"/>
            <w:tcBorders>
              <w:bottom w:val="single" w:sz="18" w:space="0" w:color="auto"/>
              <w:right w:val="single" w:sz="18" w:space="0" w:color="auto"/>
            </w:tcBorders>
            <w:shd w:val="clear" w:color="auto" w:fill="auto"/>
            <w:vAlign w:val="center"/>
          </w:tcPr>
          <w:p w:rsidR="008E1974" w:rsidRPr="008E1974" w:rsidRDefault="008E1974" w:rsidP="008E1974">
            <w:pPr>
              <w:spacing w:after="0" w:line="240" w:lineRule="auto"/>
              <w:jc w:val="center"/>
              <w:rPr>
                <w:rFonts w:ascii="Calibri" w:eastAsia="Times New Roman" w:hAnsi="Calibri" w:cs="Calibri"/>
                <w:color w:val="000000"/>
              </w:rPr>
            </w:pPr>
            <w:r w:rsidRPr="008E1974">
              <w:rPr>
                <w:rFonts w:ascii="Calibri" w:eastAsia="Times New Roman" w:hAnsi="Calibri" w:cs="Calibri"/>
                <w:color w:val="000000"/>
              </w:rPr>
              <w:t>100%</w:t>
            </w:r>
          </w:p>
        </w:tc>
        <w:tc>
          <w:tcPr>
            <w:tcW w:w="1220" w:type="dxa"/>
            <w:tcBorders>
              <w:top w:val="single" w:sz="4" w:space="0" w:color="auto"/>
              <w:bottom w:val="single" w:sz="18" w:space="0" w:color="auto"/>
              <w:right w:val="single" w:sz="4" w:space="0" w:color="auto"/>
            </w:tcBorders>
            <w:vAlign w:val="center"/>
          </w:tcPr>
          <w:p w:rsidR="008E1974" w:rsidRPr="008E1974" w:rsidRDefault="008E1974" w:rsidP="008E1974">
            <w:pPr>
              <w:spacing w:after="0" w:line="240" w:lineRule="auto"/>
              <w:jc w:val="center"/>
              <w:rPr>
                <w:rFonts w:ascii="Calibri" w:eastAsia="Times New Roman" w:hAnsi="Calibri" w:cs="Calibri"/>
                <w:color w:val="000000"/>
              </w:rPr>
            </w:pPr>
            <w:r w:rsidRPr="008E1974">
              <w:rPr>
                <w:rFonts w:ascii="Calibri" w:eastAsia="Times New Roman" w:hAnsi="Calibri" w:cs="Calibri"/>
                <w:color w:val="000000"/>
              </w:rPr>
              <w:t>47.474.778</w:t>
            </w:r>
          </w:p>
        </w:tc>
        <w:tc>
          <w:tcPr>
            <w:tcW w:w="961" w:type="dxa"/>
            <w:tcBorders>
              <w:top w:val="single" w:sz="4" w:space="0" w:color="auto"/>
              <w:left w:val="single" w:sz="4" w:space="0" w:color="auto"/>
              <w:bottom w:val="single" w:sz="18" w:space="0" w:color="auto"/>
              <w:right w:val="single" w:sz="18" w:space="0" w:color="auto"/>
            </w:tcBorders>
            <w:vAlign w:val="center"/>
          </w:tcPr>
          <w:p w:rsidR="008E1974" w:rsidRPr="008E1974" w:rsidRDefault="008E1974" w:rsidP="008E1974">
            <w:pPr>
              <w:spacing w:after="0" w:line="240" w:lineRule="auto"/>
              <w:jc w:val="center"/>
              <w:rPr>
                <w:rFonts w:ascii="Calibri" w:eastAsia="Times New Roman" w:hAnsi="Calibri" w:cs="Calibri"/>
                <w:color w:val="000000"/>
              </w:rPr>
            </w:pPr>
            <w:r w:rsidRPr="008E1974">
              <w:rPr>
                <w:rFonts w:ascii="Calibri" w:eastAsia="Times New Roman" w:hAnsi="Calibri" w:cs="Calibri"/>
                <w:color w:val="000000"/>
              </w:rPr>
              <w:t>100%</w:t>
            </w:r>
          </w:p>
        </w:tc>
      </w:tr>
    </w:tbl>
    <w:p w:rsidR="00744FF8" w:rsidRDefault="00EE31A5" w:rsidP="007B4B66">
      <w:pPr>
        <w:jc w:val="both"/>
        <w:rPr>
          <w:rFonts w:ascii="Times New Roman" w:hAnsi="Times New Roman" w:cs="Times New Roman"/>
          <w:sz w:val="24"/>
          <w:szCs w:val="24"/>
        </w:rPr>
      </w:pPr>
      <w:r>
        <w:rPr>
          <w:rFonts w:ascii="Times New Roman" w:hAnsi="Times New Roman" w:cs="Times New Roman"/>
          <w:sz w:val="24"/>
          <w:szCs w:val="24"/>
        </w:rPr>
        <w:br/>
      </w:r>
      <w:r w:rsidR="00A330BA" w:rsidRPr="00A330BA">
        <w:rPr>
          <w:rFonts w:ascii="Times New Roman" w:hAnsi="Times New Roman" w:cs="Times New Roman"/>
          <w:sz w:val="24"/>
          <w:szCs w:val="24"/>
        </w:rPr>
        <w:t xml:space="preserve">Подаци из табеле </w:t>
      </w:r>
      <w:r w:rsidR="00412BE9">
        <w:rPr>
          <w:rFonts w:ascii="Times New Roman" w:hAnsi="Times New Roman" w:cs="Times New Roman"/>
          <w:sz w:val="24"/>
          <w:szCs w:val="24"/>
        </w:rPr>
        <w:t>3</w:t>
      </w:r>
      <w:r w:rsidR="00A330BA" w:rsidRPr="00A330BA">
        <w:rPr>
          <w:rFonts w:ascii="Times New Roman" w:hAnsi="Times New Roman" w:cs="Times New Roman"/>
          <w:sz w:val="24"/>
          <w:szCs w:val="24"/>
        </w:rPr>
        <w:t xml:space="preserve"> показују да је учешће отвореног поступка у укупној вредности јавних набавки, у </w:t>
      </w:r>
      <w:r w:rsidR="00C84A54">
        <w:rPr>
          <w:rFonts w:ascii="Times New Roman" w:hAnsi="Times New Roman" w:cs="Times New Roman"/>
          <w:sz w:val="24"/>
          <w:szCs w:val="24"/>
        </w:rPr>
        <w:t xml:space="preserve">четвртом </w:t>
      </w:r>
      <w:r w:rsidR="00A330BA" w:rsidRPr="00A330BA">
        <w:rPr>
          <w:rFonts w:ascii="Times New Roman" w:hAnsi="Times New Roman" w:cs="Times New Roman"/>
          <w:sz w:val="24"/>
          <w:szCs w:val="24"/>
        </w:rPr>
        <w:t xml:space="preserve">кварталу 2013. године, достигло </w:t>
      </w:r>
      <w:r w:rsidR="00C84A54">
        <w:rPr>
          <w:rFonts w:ascii="Times New Roman" w:hAnsi="Times New Roman" w:cs="Times New Roman"/>
          <w:sz w:val="24"/>
          <w:szCs w:val="24"/>
        </w:rPr>
        <w:t>80</w:t>
      </w:r>
      <w:r w:rsidR="00A330BA" w:rsidRPr="00A330BA">
        <w:rPr>
          <w:rFonts w:ascii="Times New Roman" w:hAnsi="Times New Roman" w:cs="Times New Roman"/>
          <w:sz w:val="24"/>
          <w:szCs w:val="24"/>
        </w:rPr>
        <w:t>%</w:t>
      </w:r>
      <w:r w:rsidR="00C84A54">
        <w:rPr>
          <w:rFonts w:ascii="Times New Roman" w:hAnsi="Times New Roman" w:cs="Times New Roman"/>
          <w:sz w:val="24"/>
          <w:szCs w:val="24"/>
        </w:rPr>
        <w:t xml:space="preserve">. </w:t>
      </w:r>
      <w:r w:rsidR="00744FF8">
        <w:rPr>
          <w:rFonts w:ascii="Times New Roman" w:hAnsi="Times New Roman" w:cs="Times New Roman"/>
          <w:sz w:val="24"/>
          <w:szCs w:val="24"/>
        </w:rPr>
        <w:t xml:space="preserve">Када се упореди учешће отвореног поступка у четвртом кварталу 2013. године са истим периодом претходне године произлази да је остварен </w:t>
      </w:r>
      <w:r w:rsidR="00395D3C">
        <w:rPr>
          <w:rFonts w:ascii="Times New Roman" w:hAnsi="Times New Roman" w:cs="Times New Roman"/>
          <w:sz w:val="24"/>
          <w:szCs w:val="24"/>
        </w:rPr>
        <w:t xml:space="preserve">велики </w:t>
      </w:r>
      <w:r w:rsidR="00744FF8">
        <w:rPr>
          <w:rFonts w:ascii="Times New Roman" w:hAnsi="Times New Roman" w:cs="Times New Roman"/>
          <w:sz w:val="24"/>
          <w:szCs w:val="24"/>
        </w:rPr>
        <w:t xml:space="preserve">скок удела овог транспарентног и конкурентног поступка са 59 на 80% (Слика 5).    </w:t>
      </w:r>
    </w:p>
    <w:p w:rsidR="00707351" w:rsidRDefault="00707351" w:rsidP="007B4B66">
      <w:pPr>
        <w:jc w:val="both"/>
        <w:rPr>
          <w:rFonts w:ascii="Times New Roman" w:hAnsi="Times New Roman" w:cs="Times New Roman"/>
          <w:b/>
          <w:color w:val="FF0000"/>
          <w:sz w:val="24"/>
          <w:szCs w:val="24"/>
        </w:rPr>
        <w:sectPr w:rsidR="00707351" w:rsidSect="00707351">
          <w:pgSz w:w="15840" w:h="12240" w:orient="landscape"/>
          <w:pgMar w:top="720" w:right="720" w:bottom="720" w:left="720" w:header="708" w:footer="708" w:gutter="0"/>
          <w:cols w:space="708"/>
          <w:docGrid w:linePitch="360"/>
        </w:sectPr>
      </w:pPr>
    </w:p>
    <w:p w:rsidR="00744FF8" w:rsidRDefault="00744FF8" w:rsidP="007B4B66">
      <w:pPr>
        <w:jc w:val="both"/>
        <w:rPr>
          <w:rFonts w:ascii="Times New Roman" w:hAnsi="Times New Roman" w:cs="Times New Roman"/>
          <w:sz w:val="24"/>
          <w:szCs w:val="24"/>
        </w:rPr>
      </w:pPr>
    </w:p>
    <w:p w:rsidR="00744FF8" w:rsidRDefault="00744FF8" w:rsidP="00744FF8">
      <w:pPr>
        <w:jc w:val="center"/>
      </w:pPr>
      <w:r w:rsidRPr="008B048C">
        <w:rPr>
          <w:rFonts w:ascii="Times New Roman" w:hAnsi="Times New Roman" w:cs="Times New Roman"/>
          <w:b/>
          <w:sz w:val="24"/>
          <w:szCs w:val="24"/>
        </w:rPr>
        <w:t>Слика 5</w:t>
      </w:r>
      <w:r w:rsidRPr="008B048C">
        <w:rPr>
          <w:rFonts w:ascii="Times New Roman" w:hAnsi="Times New Roman" w:cs="Times New Roman"/>
          <w:b/>
          <w:sz w:val="24"/>
          <w:szCs w:val="24"/>
        </w:rPr>
        <w:br/>
      </w:r>
      <w:r w:rsidR="00213757">
        <w:object w:dxaOrig="8311" w:dyaOrig="5667">
          <v:shape id="_x0000_i1029" type="#_x0000_t75" style="width:415.5pt;height:285pt" o:ole="">
            <v:imagedata r:id="rId21" o:title=""/>
          </v:shape>
          <o:OLEObject Type="Embed" ProgID="Excel.Sheet.12" ShapeID="_x0000_i1029" DrawAspect="Content" ObjectID="_1456551363" r:id="rId22"/>
        </w:object>
      </w:r>
    </w:p>
    <w:p w:rsidR="00744FF8" w:rsidRDefault="008B048C" w:rsidP="00744FF8">
      <w:pPr>
        <w:jc w:val="center"/>
        <w:rPr>
          <w:rFonts w:ascii="Times New Roman" w:hAnsi="Times New Roman" w:cs="Times New Roman"/>
          <w:sz w:val="24"/>
          <w:szCs w:val="24"/>
        </w:rPr>
      </w:pPr>
      <w:r>
        <w:object w:dxaOrig="8463" w:dyaOrig="5651">
          <v:shape id="_x0000_i1030" type="#_x0000_t75" style="width:414.75pt;height:301.5pt" o:ole="">
            <v:imagedata r:id="rId23" o:title=""/>
          </v:shape>
          <o:OLEObject Type="Embed" ProgID="Excel.Sheet.12" ShapeID="_x0000_i1030" DrawAspect="Content" ObjectID="_1456551364" r:id="rId24"/>
        </w:object>
      </w:r>
    </w:p>
    <w:p w:rsidR="00744FF8" w:rsidRDefault="00744FF8" w:rsidP="00744FF8">
      <w:pPr>
        <w:jc w:val="both"/>
        <w:rPr>
          <w:rFonts w:ascii="Times New Roman" w:hAnsi="Times New Roman" w:cs="Times New Roman"/>
          <w:sz w:val="24"/>
          <w:szCs w:val="24"/>
        </w:rPr>
      </w:pPr>
    </w:p>
    <w:p w:rsidR="00EE31A5" w:rsidRDefault="00BC5EEE" w:rsidP="007B4B66">
      <w:pPr>
        <w:jc w:val="both"/>
        <w:rPr>
          <w:rFonts w:ascii="Times New Roman" w:hAnsi="Times New Roman" w:cs="Times New Roman"/>
          <w:sz w:val="24"/>
          <w:szCs w:val="24"/>
        </w:rPr>
      </w:pPr>
      <w:r>
        <w:rPr>
          <w:rFonts w:ascii="Times New Roman" w:hAnsi="Times New Roman" w:cs="Times New Roman"/>
          <w:sz w:val="24"/>
          <w:szCs w:val="24"/>
        </w:rPr>
        <w:lastRenderedPageBreak/>
        <w:t xml:space="preserve">То је </w:t>
      </w:r>
      <w:r w:rsidR="00A330BA" w:rsidRPr="00A330BA">
        <w:rPr>
          <w:rFonts w:ascii="Times New Roman" w:hAnsi="Times New Roman" w:cs="Times New Roman"/>
          <w:sz w:val="24"/>
          <w:szCs w:val="24"/>
        </w:rPr>
        <w:t xml:space="preserve">највеће учешће </w:t>
      </w:r>
      <w:r w:rsidR="00177B9E">
        <w:rPr>
          <w:rFonts w:ascii="Times New Roman" w:hAnsi="Times New Roman" w:cs="Times New Roman"/>
          <w:sz w:val="24"/>
          <w:szCs w:val="24"/>
        </w:rPr>
        <w:t xml:space="preserve">отвореног поступка </w:t>
      </w:r>
      <w:r w:rsidR="00A330BA" w:rsidRPr="00A330BA">
        <w:rPr>
          <w:rFonts w:ascii="Times New Roman" w:hAnsi="Times New Roman" w:cs="Times New Roman"/>
          <w:sz w:val="24"/>
          <w:szCs w:val="24"/>
        </w:rPr>
        <w:t xml:space="preserve">у читавом </w:t>
      </w:r>
      <w:r w:rsidR="00C84A54">
        <w:rPr>
          <w:rFonts w:ascii="Times New Roman" w:hAnsi="Times New Roman" w:cs="Times New Roman"/>
          <w:sz w:val="24"/>
          <w:szCs w:val="24"/>
        </w:rPr>
        <w:t>једанаестогодишњем</w:t>
      </w:r>
      <w:r w:rsidR="008B048C">
        <w:rPr>
          <w:rFonts w:ascii="Times New Roman" w:hAnsi="Times New Roman" w:cs="Times New Roman"/>
          <w:sz w:val="24"/>
          <w:szCs w:val="24"/>
          <w:lang w:val="sr-Cyrl-RS"/>
        </w:rPr>
        <w:t xml:space="preserve"> </w:t>
      </w:r>
      <w:r w:rsidR="00A330BA" w:rsidRPr="00A330BA">
        <w:rPr>
          <w:rFonts w:ascii="Times New Roman" w:hAnsi="Times New Roman" w:cs="Times New Roman"/>
          <w:sz w:val="24"/>
          <w:szCs w:val="24"/>
        </w:rPr>
        <w:t xml:space="preserve">периоду од када се примењује </w:t>
      </w:r>
      <w:r w:rsidR="003B365F">
        <w:rPr>
          <w:rFonts w:ascii="Times New Roman" w:hAnsi="Times New Roman" w:cs="Times New Roman"/>
          <w:sz w:val="24"/>
          <w:szCs w:val="24"/>
        </w:rPr>
        <w:t>За</w:t>
      </w:r>
      <w:r w:rsidR="00A330BA" w:rsidRPr="00A330BA">
        <w:rPr>
          <w:rFonts w:ascii="Times New Roman" w:hAnsi="Times New Roman" w:cs="Times New Roman"/>
          <w:sz w:val="24"/>
          <w:szCs w:val="24"/>
        </w:rPr>
        <w:t>к</w:t>
      </w:r>
      <w:r w:rsidR="00412BE9">
        <w:rPr>
          <w:rFonts w:ascii="Times New Roman" w:hAnsi="Times New Roman" w:cs="Times New Roman"/>
          <w:sz w:val="24"/>
          <w:szCs w:val="24"/>
        </w:rPr>
        <w:t xml:space="preserve">он о јавним набавкама (Слика </w:t>
      </w:r>
      <w:r w:rsidR="00744FF8">
        <w:rPr>
          <w:rFonts w:ascii="Times New Roman" w:hAnsi="Times New Roman" w:cs="Times New Roman"/>
          <w:sz w:val="24"/>
          <w:szCs w:val="24"/>
        </w:rPr>
        <w:t>6</w:t>
      </w:r>
      <w:r w:rsidR="00A330BA" w:rsidRPr="00A330BA">
        <w:rPr>
          <w:rFonts w:ascii="Times New Roman" w:hAnsi="Times New Roman" w:cs="Times New Roman"/>
          <w:sz w:val="24"/>
          <w:szCs w:val="24"/>
        </w:rPr>
        <w:t>).</w:t>
      </w:r>
    </w:p>
    <w:p w:rsidR="00C46C4D" w:rsidRPr="008B048C" w:rsidRDefault="00412BE9" w:rsidP="008B048C">
      <w:pPr>
        <w:jc w:val="center"/>
        <w:rPr>
          <w:rFonts w:ascii="Times New Roman" w:hAnsi="Times New Roman" w:cs="Times New Roman"/>
          <w:b/>
          <w:sz w:val="24"/>
          <w:szCs w:val="24"/>
        </w:rPr>
      </w:pPr>
      <w:r w:rsidRPr="008B048C">
        <w:rPr>
          <w:rFonts w:ascii="Times New Roman" w:hAnsi="Times New Roman" w:cs="Times New Roman"/>
          <w:b/>
          <w:sz w:val="24"/>
          <w:szCs w:val="24"/>
        </w:rPr>
        <w:t xml:space="preserve">Слика  </w:t>
      </w:r>
      <w:r w:rsidR="00744FF8" w:rsidRPr="008B048C">
        <w:rPr>
          <w:rFonts w:ascii="Times New Roman" w:hAnsi="Times New Roman" w:cs="Times New Roman"/>
          <w:b/>
          <w:sz w:val="24"/>
          <w:szCs w:val="24"/>
        </w:rPr>
        <w:t>6</w:t>
      </w:r>
    </w:p>
    <w:bookmarkStart w:id="2" w:name="_MON_1454937143"/>
    <w:bookmarkEnd w:id="2"/>
    <w:p w:rsidR="00A330BA" w:rsidRPr="00C46C4D" w:rsidRDefault="0099228D" w:rsidP="00C46C4D">
      <w:pPr>
        <w:jc w:val="center"/>
        <w:rPr>
          <w:rFonts w:ascii="Times New Roman" w:hAnsi="Times New Roman" w:cs="Times New Roman"/>
          <w:b/>
          <w:sz w:val="24"/>
          <w:szCs w:val="24"/>
        </w:rPr>
      </w:pPr>
      <w:r>
        <w:object w:dxaOrig="10547" w:dyaOrig="4816">
          <v:shape id="_x0000_i1031" type="#_x0000_t75" style="width:507.75pt;height:211.5pt" o:ole="">
            <v:imagedata r:id="rId25" o:title=""/>
          </v:shape>
          <o:OLEObject Type="Embed" ProgID="Excel.Sheet.12" ShapeID="_x0000_i1031" DrawAspect="Content" ObjectID="_1456551365" r:id="rId26"/>
        </w:object>
      </w:r>
    </w:p>
    <w:p w:rsidR="00C84A54" w:rsidRDefault="00482BC8" w:rsidP="0099228D">
      <w:pPr>
        <w:jc w:val="both"/>
        <w:rPr>
          <w:rFonts w:ascii="Times New Roman" w:hAnsi="Times New Roman" w:cs="Times New Roman"/>
          <w:sz w:val="24"/>
          <w:szCs w:val="24"/>
        </w:rPr>
      </w:pPr>
      <w:r>
        <w:rPr>
          <w:rFonts w:ascii="Times New Roman" w:hAnsi="Times New Roman" w:cs="Times New Roman"/>
          <w:sz w:val="24"/>
          <w:szCs w:val="24"/>
        </w:rPr>
        <w:t xml:space="preserve">Упоредо са </w:t>
      </w:r>
      <w:r w:rsidR="006A7E44">
        <w:rPr>
          <w:rFonts w:ascii="Times New Roman" w:hAnsi="Times New Roman" w:cs="Times New Roman"/>
          <w:sz w:val="24"/>
          <w:szCs w:val="24"/>
        </w:rPr>
        <w:t>растом учешћа отвореног поступка</w:t>
      </w:r>
      <w:r w:rsidR="00BC5EEE">
        <w:rPr>
          <w:rFonts w:ascii="Times New Roman" w:hAnsi="Times New Roman" w:cs="Times New Roman"/>
          <w:sz w:val="24"/>
          <w:szCs w:val="24"/>
        </w:rPr>
        <w:t>,</w:t>
      </w:r>
      <w:r w:rsidR="006A7E44">
        <w:rPr>
          <w:rFonts w:ascii="Times New Roman" w:hAnsi="Times New Roman" w:cs="Times New Roman"/>
          <w:sz w:val="24"/>
          <w:szCs w:val="24"/>
        </w:rPr>
        <w:t xml:space="preserve"> дошло је до значајног смањивања </w:t>
      </w:r>
      <w:r>
        <w:rPr>
          <w:rFonts w:ascii="Times New Roman" w:hAnsi="Times New Roman" w:cs="Times New Roman"/>
          <w:sz w:val="24"/>
          <w:szCs w:val="24"/>
        </w:rPr>
        <w:t>учешћ</w:t>
      </w:r>
      <w:r w:rsidR="006A7E44">
        <w:rPr>
          <w:rFonts w:ascii="Times New Roman" w:hAnsi="Times New Roman" w:cs="Times New Roman"/>
          <w:sz w:val="24"/>
          <w:szCs w:val="24"/>
        </w:rPr>
        <w:t>а</w:t>
      </w:r>
      <w:r>
        <w:rPr>
          <w:rFonts w:ascii="Times New Roman" w:hAnsi="Times New Roman" w:cs="Times New Roman"/>
          <w:sz w:val="24"/>
          <w:szCs w:val="24"/>
        </w:rPr>
        <w:t xml:space="preserve"> преговарачк</w:t>
      </w:r>
      <w:r w:rsidR="00BC5EEE">
        <w:rPr>
          <w:rFonts w:ascii="Times New Roman" w:hAnsi="Times New Roman" w:cs="Times New Roman"/>
          <w:sz w:val="24"/>
          <w:szCs w:val="24"/>
        </w:rPr>
        <w:t>ог</w:t>
      </w:r>
      <w:r>
        <w:rPr>
          <w:rFonts w:ascii="Times New Roman" w:hAnsi="Times New Roman" w:cs="Times New Roman"/>
          <w:sz w:val="24"/>
          <w:szCs w:val="24"/>
        </w:rPr>
        <w:t xml:space="preserve"> поступка без објављивања јавног позива са 2</w:t>
      </w:r>
      <w:r w:rsidR="006A5E11">
        <w:rPr>
          <w:rFonts w:ascii="Times New Roman" w:hAnsi="Times New Roman" w:cs="Times New Roman"/>
          <w:sz w:val="24"/>
          <w:szCs w:val="24"/>
        </w:rPr>
        <w:t>9</w:t>
      </w:r>
      <w:r>
        <w:rPr>
          <w:rFonts w:ascii="Times New Roman" w:hAnsi="Times New Roman" w:cs="Times New Roman"/>
          <w:sz w:val="24"/>
          <w:szCs w:val="24"/>
        </w:rPr>
        <w:t xml:space="preserve">% у </w:t>
      </w:r>
      <w:r w:rsidR="006A5E11">
        <w:rPr>
          <w:rFonts w:ascii="Times New Roman" w:hAnsi="Times New Roman" w:cs="Times New Roman"/>
          <w:sz w:val="24"/>
          <w:szCs w:val="24"/>
        </w:rPr>
        <w:t>четвртом кварталу 2012. године</w:t>
      </w:r>
      <w:r>
        <w:rPr>
          <w:rFonts w:ascii="Times New Roman" w:hAnsi="Times New Roman" w:cs="Times New Roman"/>
          <w:sz w:val="24"/>
          <w:szCs w:val="24"/>
        </w:rPr>
        <w:t xml:space="preserve"> на 1</w:t>
      </w:r>
      <w:r w:rsidR="00C84A54">
        <w:rPr>
          <w:rFonts w:ascii="Times New Roman" w:hAnsi="Times New Roman" w:cs="Times New Roman"/>
          <w:sz w:val="24"/>
          <w:szCs w:val="24"/>
        </w:rPr>
        <w:t>2</w:t>
      </w:r>
      <w:r>
        <w:rPr>
          <w:rFonts w:ascii="Times New Roman" w:hAnsi="Times New Roman" w:cs="Times New Roman"/>
          <w:sz w:val="24"/>
          <w:szCs w:val="24"/>
        </w:rPr>
        <w:t xml:space="preserve">% у </w:t>
      </w:r>
      <w:r w:rsidR="006A5E11">
        <w:rPr>
          <w:rFonts w:ascii="Times New Roman" w:hAnsi="Times New Roman" w:cs="Times New Roman"/>
          <w:sz w:val="24"/>
          <w:szCs w:val="24"/>
        </w:rPr>
        <w:t xml:space="preserve">истом периоду </w:t>
      </w:r>
      <w:r w:rsidR="00C84A54">
        <w:rPr>
          <w:rFonts w:ascii="Times New Roman" w:hAnsi="Times New Roman" w:cs="Times New Roman"/>
          <w:sz w:val="24"/>
          <w:szCs w:val="24"/>
        </w:rPr>
        <w:t xml:space="preserve">2013. </w:t>
      </w:r>
      <w:r w:rsidR="006A5E11">
        <w:rPr>
          <w:rFonts w:ascii="Times New Roman" w:hAnsi="Times New Roman" w:cs="Times New Roman"/>
          <w:sz w:val="24"/>
          <w:szCs w:val="24"/>
        </w:rPr>
        <w:t>г</w:t>
      </w:r>
      <w:r w:rsidR="00C84A54">
        <w:rPr>
          <w:rFonts w:ascii="Times New Roman" w:hAnsi="Times New Roman" w:cs="Times New Roman"/>
          <w:sz w:val="24"/>
          <w:szCs w:val="24"/>
        </w:rPr>
        <w:t>одине</w:t>
      </w:r>
      <w:r w:rsidR="006A5E11">
        <w:rPr>
          <w:rFonts w:ascii="Times New Roman" w:hAnsi="Times New Roman" w:cs="Times New Roman"/>
          <w:sz w:val="24"/>
          <w:szCs w:val="24"/>
        </w:rPr>
        <w:t xml:space="preserve"> (Слика </w:t>
      </w:r>
      <w:r w:rsidR="00744FF8">
        <w:rPr>
          <w:rFonts w:ascii="Times New Roman" w:hAnsi="Times New Roman" w:cs="Times New Roman"/>
          <w:sz w:val="24"/>
          <w:szCs w:val="24"/>
        </w:rPr>
        <w:t>5</w:t>
      </w:r>
      <w:r w:rsidR="006A5E11">
        <w:rPr>
          <w:rFonts w:ascii="Times New Roman" w:hAnsi="Times New Roman" w:cs="Times New Roman"/>
          <w:sz w:val="24"/>
          <w:szCs w:val="24"/>
        </w:rPr>
        <w:t>)</w:t>
      </w:r>
      <w:r>
        <w:rPr>
          <w:rFonts w:ascii="Times New Roman" w:hAnsi="Times New Roman" w:cs="Times New Roman"/>
          <w:sz w:val="24"/>
          <w:szCs w:val="24"/>
        </w:rPr>
        <w:t>.</w:t>
      </w:r>
    </w:p>
    <w:p w:rsidR="00482BC8" w:rsidRDefault="00BC5EEE" w:rsidP="007B4B66">
      <w:pPr>
        <w:jc w:val="both"/>
        <w:rPr>
          <w:rFonts w:ascii="Times New Roman" w:hAnsi="Times New Roman" w:cs="Times New Roman"/>
          <w:sz w:val="24"/>
          <w:szCs w:val="24"/>
        </w:rPr>
      </w:pPr>
      <w:r>
        <w:rPr>
          <w:rFonts w:ascii="Times New Roman" w:hAnsi="Times New Roman" w:cs="Times New Roman"/>
          <w:sz w:val="24"/>
          <w:szCs w:val="24"/>
        </w:rPr>
        <w:t xml:space="preserve">То </w:t>
      </w:r>
      <w:r w:rsidR="00482BC8">
        <w:rPr>
          <w:rFonts w:ascii="Times New Roman" w:hAnsi="Times New Roman" w:cs="Times New Roman"/>
          <w:sz w:val="24"/>
          <w:szCs w:val="24"/>
        </w:rPr>
        <w:t xml:space="preserve">је </w:t>
      </w:r>
      <w:r w:rsidR="00744FF8">
        <w:rPr>
          <w:rFonts w:ascii="Times New Roman" w:hAnsi="Times New Roman" w:cs="Times New Roman"/>
          <w:sz w:val="24"/>
          <w:szCs w:val="24"/>
        </w:rPr>
        <w:t>друга најнижа вредност учешћа</w:t>
      </w:r>
      <w:r w:rsidR="00482BC8">
        <w:rPr>
          <w:rFonts w:ascii="Times New Roman" w:hAnsi="Times New Roman" w:cs="Times New Roman"/>
          <w:sz w:val="24"/>
          <w:szCs w:val="24"/>
        </w:rPr>
        <w:t xml:space="preserve"> овог поступка у читавом </w:t>
      </w:r>
      <w:r w:rsidR="00744FF8">
        <w:rPr>
          <w:rFonts w:ascii="Times New Roman" w:hAnsi="Times New Roman" w:cs="Times New Roman"/>
          <w:sz w:val="24"/>
          <w:szCs w:val="24"/>
        </w:rPr>
        <w:t>једанаестогодишњем</w:t>
      </w:r>
      <w:r w:rsidR="00482BC8">
        <w:rPr>
          <w:rFonts w:ascii="Times New Roman" w:hAnsi="Times New Roman" w:cs="Times New Roman"/>
          <w:sz w:val="24"/>
          <w:szCs w:val="24"/>
        </w:rPr>
        <w:t xml:space="preserve"> периоду</w:t>
      </w:r>
      <w:r w:rsidR="00404477">
        <w:rPr>
          <w:rFonts w:ascii="Times New Roman" w:hAnsi="Times New Roman" w:cs="Times New Roman"/>
          <w:sz w:val="24"/>
          <w:szCs w:val="24"/>
        </w:rPr>
        <w:t xml:space="preserve"> (Слика </w:t>
      </w:r>
      <w:r w:rsidR="001B454E">
        <w:rPr>
          <w:rFonts w:ascii="Times New Roman" w:hAnsi="Times New Roman" w:cs="Times New Roman"/>
          <w:sz w:val="24"/>
          <w:szCs w:val="24"/>
          <w:lang w:val="sr-Cyrl-RS"/>
        </w:rPr>
        <w:t>7</w:t>
      </w:r>
      <w:r w:rsidR="006A7E44">
        <w:rPr>
          <w:rFonts w:ascii="Times New Roman" w:hAnsi="Times New Roman" w:cs="Times New Roman"/>
          <w:sz w:val="24"/>
          <w:szCs w:val="24"/>
        </w:rPr>
        <w:t>)</w:t>
      </w:r>
      <w:r w:rsidR="00482BC8">
        <w:rPr>
          <w:rFonts w:ascii="Times New Roman" w:hAnsi="Times New Roman" w:cs="Times New Roman"/>
          <w:sz w:val="24"/>
          <w:szCs w:val="24"/>
        </w:rPr>
        <w:t>.</w:t>
      </w:r>
    </w:p>
    <w:p w:rsidR="00482BC8" w:rsidRPr="001B454E" w:rsidRDefault="00707351" w:rsidP="001B454E">
      <w:pPr>
        <w:jc w:val="center"/>
        <w:rPr>
          <w:rFonts w:ascii="Times New Roman" w:hAnsi="Times New Roman" w:cs="Times New Roman"/>
          <w:b/>
          <w:sz w:val="24"/>
          <w:szCs w:val="24"/>
          <w:lang w:val="sr-Cyrl-RS"/>
        </w:rPr>
      </w:pPr>
      <w:r w:rsidRPr="009B3038">
        <w:rPr>
          <w:rFonts w:ascii="Times New Roman" w:hAnsi="Times New Roman" w:cs="Times New Roman"/>
          <w:b/>
          <w:sz w:val="24"/>
          <w:szCs w:val="24"/>
        </w:rPr>
        <w:t>С</w:t>
      </w:r>
      <w:r w:rsidR="00412BE9" w:rsidRPr="009B3038">
        <w:rPr>
          <w:rFonts w:ascii="Times New Roman" w:hAnsi="Times New Roman" w:cs="Times New Roman"/>
          <w:b/>
          <w:sz w:val="24"/>
          <w:szCs w:val="24"/>
        </w:rPr>
        <w:t xml:space="preserve">лика </w:t>
      </w:r>
      <w:r w:rsidR="001B454E">
        <w:rPr>
          <w:rFonts w:ascii="Times New Roman" w:hAnsi="Times New Roman" w:cs="Times New Roman"/>
          <w:b/>
          <w:sz w:val="24"/>
          <w:szCs w:val="24"/>
          <w:lang w:val="sr-Cyrl-RS"/>
        </w:rPr>
        <w:t>7</w:t>
      </w:r>
    </w:p>
    <w:bookmarkStart w:id="3" w:name="_MON_1455016428"/>
    <w:bookmarkEnd w:id="3"/>
    <w:p w:rsidR="00A330BA" w:rsidRPr="00A330BA" w:rsidRDefault="0099228D" w:rsidP="00A330BA">
      <w:pPr>
        <w:jc w:val="center"/>
        <w:rPr>
          <w:rFonts w:ascii="Times New Roman" w:hAnsi="Times New Roman" w:cs="Times New Roman"/>
          <w:sz w:val="24"/>
          <w:szCs w:val="24"/>
        </w:rPr>
      </w:pPr>
      <w:r w:rsidRPr="00561134">
        <w:object w:dxaOrig="10489" w:dyaOrig="6010">
          <v:shape id="_x0000_i1032" type="#_x0000_t75" style="width:513pt;height:242.25pt" o:ole="">
            <v:imagedata r:id="rId27" o:title=""/>
          </v:shape>
          <o:OLEObject Type="Embed" ProgID="Excel.Sheet.12" ShapeID="_x0000_i1032" DrawAspect="Content" ObjectID="_1456551366" r:id="rId28"/>
        </w:object>
      </w:r>
    </w:p>
    <w:p w:rsidR="00744FF8" w:rsidRDefault="00744FF8" w:rsidP="007B4B66">
      <w:pPr>
        <w:jc w:val="both"/>
        <w:rPr>
          <w:rFonts w:ascii="Times New Roman" w:hAnsi="Times New Roman" w:cs="Times New Roman"/>
          <w:sz w:val="24"/>
          <w:szCs w:val="24"/>
        </w:rPr>
      </w:pPr>
    </w:p>
    <w:p w:rsidR="00177B9E" w:rsidRDefault="00177B9E" w:rsidP="0099228D">
      <w:pPr>
        <w:jc w:val="both"/>
        <w:rPr>
          <w:rFonts w:ascii="Times New Roman" w:hAnsi="Times New Roman" w:cs="Times New Roman"/>
          <w:sz w:val="24"/>
          <w:szCs w:val="24"/>
        </w:rPr>
      </w:pPr>
      <w:r>
        <w:rPr>
          <w:rFonts w:ascii="Times New Roman" w:hAnsi="Times New Roman" w:cs="Times New Roman"/>
          <w:sz w:val="24"/>
          <w:szCs w:val="24"/>
        </w:rPr>
        <w:lastRenderedPageBreak/>
        <w:t xml:space="preserve">Резултати четвртог квартала 2013. године потврдили су да је значајан пад учешћа преговарачких поступака без објављивања и сразмеран раст отвореног поступка резултат примене новог ЗЈН, а не производ неког </w:t>
      </w:r>
      <w:r w:rsidRPr="00177B9E">
        <w:rPr>
          <w:rFonts w:ascii="Times New Roman" w:hAnsi="Times New Roman" w:cs="Times New Roman"/>
          <w:i/>
          <w:sz w:val="24"/>
          <w:szCs w:val="24"/>
        </w:rPr>
        <w:t>ad hoc</w:t>
      </w:r>
      <w:r>
        <w:rPr>
          <w:rFonts w:ascii="Times New Roman" w:hAnsi="Times New Roman" w:cs="Times New Roman"/>
          <w:sz w:val="24"/>
          <w:szCs w:val="24"/>
        </w:rPr>
        <w:t xml:space="preserve"> фактора, односно ванредних околности присутних у трећем кварталу 2013. године.   </w:t>
      </w:r>
    </w:p>
    <w:p w:rsidR="00177B9E" w:rsidRDefault="006F0FE4" w:rsidP="0099228D">
      <w:pPr>
        <w:jc w:val="both"/>
        <w:rPr>
          <w:rFonts w:ascii="Times New Roman" w:hAnsi="Times New Roman" w:cs="Times New Roman"/>
          <w:sz w:val="24"/>
          <w:szCs w:val="24"/>
        </w:rPr>
      </w:pPr>
      <w:r>
        <w:rPr>
          <w:rFonts w:ascii="Times New Roman" w:hAnsi="Times New Roman" w:cs="Times New Roman"/>
          <w:sz w:val="24"/>
          <w:szCs w:val="24"/>
        </w:rPr>
        <w:t>Интензивирање преговарачког процеса са ЕУ подразумева да ће учешће преговарачког поступка без објављивања бити један од два кључна параметра</w:t>
      </w:r>
      <w:r w:rsidR="00867110">
        <w:rPr>
          <w:rStyle w:val="FootnoteReference"/>
          <w:rFonts w:ascii="Times New Roman" w:hAnsi="Times New Roman" w:cs="Times New Roman"/>
          <w:sz w:val="24"/>
          <w:szCs w:val="24"/>
        </w:rPr>
        <w:footnoteReference w:id="1"/>
      </w:r>
      <w:r>
        <w:rPr>
          <w:rFonts w:ascii="Times New Roman" w:hAnsi="Times New Roman" w:cs="Times New Roman"/>
          <w:sz w:val="24"/>
          <w:szCs w:val="24"/>
        </w:rPr>
        <w:t xml:space="preserve"> чије ће кретање бити у фокусу праћ</w:t>
      </w:r>
      <w:r w:rsidR="0032145B">
        <w:rPr>
          <w:rFonts w:ascii="Times New Roman" w:hAnsi="Times New Roman" w:cs="Times New Roman"/>
          <w:sz w:val="24"/>
          <w:szCs w:val="24"/>
        </w:rPr>
        <w:t>ења од стране Европске комисије, као део остваривања циља успостављања јединственог унутрашњег тржишта ЕУ на коме неће бити препрека слободном деловању конкуренције за добијање послова које додељује држава. У том контексту важно је наставити са снижавањем учешћа преговарачких поступака без објављивања</w:t>
      </w:r>
      <w:r w:rsidR="0044645B">
        <w:rPr>
          <w:rFonts w:ascii="Times New Roman" w:hAnsi="Times New Roman" w:cs="Times New Roman"/>
          <w:sz w:val="24"/>
          <w:szCs w:val="24"/>
          <w:lang w:val="sr-Cyrl-RS"/>
        </w:rPr>
        <w:t>,</w:t>
      </w:r>
      <w:r w:rsidR="0032145B">
        <w:rPr>
          <w:rFonts w:ascii="Times New Roman" w:hAnsi="Times New Roman" w:cs="Times New Roman"/>
          <w:sz w:val="24"/>
          <w:szCs w:val="24"/>
        </w:rPr>
        <w:t xml:space="preserve"> како бисмо се приближили европском стандарду од 5%. </w:t>
      </w:r>
    </w:p>
    <w:p w:rsidR="0032145B" w:rsidRPr="000F3249" w:rsidRDefault="0032145B" w:rsidP="0099228D">
      <w:pPr>
        <w:jc w:val="both"/>
        <w:rPr>
          <w:rFonts w:ascii="Times New Roman" w:hAnsi="Times New Roman" w:cs="Times New Roman"/>
          <w:sz w:val="24"/>
          <w:szCs w:val="24"/>
        </w:rPr>
      </w:pPr>
      <w:r>
        <w:rPr>
          <w:rFonts w:ascii="Times New Roman" w:hAnsi="Times New Roman" w:cs="Times New Roman"/>
          <w:sz w:val="24"/>
          <w:szCs w:val="24"/>
        </w:rPr>
        <w:t>Пример Хрватске</w:t>
      </w:r>
      <w:r w:rsidR="00D56073">
        <w:rPr>
          <w:rFonts w:ascii="Times New Roman" w:hAnsi="Times New Roman" w:cs="Times New Roman"/>
          <w:sz w:val="24"/>
          <w:szCs w:val="24"/>
        </w:rPr>
        <w:t>,</w:t>
      </w:r>
      <w:r>
        <w:rPr>
          <w:rFonts w:ascii="Times New Roman" w:hAnsi="Times New Roman" w:cs="Times New Roman"/>
          <w:sz w:val="24"/>
          <w:szCs w:val="24"/>
        </w:rPr>
        <w:t xml:space="preserve"> која је недавно постала чланица ЕУ, показује како се смањивање учешћа преговарачких поступака подудара са напретком у пр</w:t>
      </w:r>
      <w:r w:rsidR="00D56073">
        <w:rPr>
          <w:rFonts w:ascii="Times New Roman" w:hAnsi="Times New Roman" w:cs="Times New Roman"/>
          <w:sz w:val="24"/>
          <w:szCs w:val="24"/>
        </w:rPr>
        <w:t xml:space="preserve">оцесу приступања </w:t>
      </w:r>
      <w:r>
        <w:rPr>
          <w:rFonts w:ascii="Times New Roman" w:hAnsi="Times New Roman" w:cs="Times New Roman"/>
          <w:sz w:val="24"/>
          <w:szCs w:val="24"/>
        </w:rPr>
        <w:t>ЕУ: у 2010. години учешће преговарачких поступака без објављивања износило је у Хрватској 13,7%</w:t>
      </w:r>
      <w:r w:rsidR="00D56073">
        <w:rPr>
          <w:rStyle w:val="FootnoteReference"/>
          <w:rFonts w:ascii="Times New Roman" w:hAnsi="Times New Roman" w:cs="Times New Roman"/>
          <w:sz w:val="24"/>
          <w:szCs w:val="24"/>
        </w:rPr>
        <w:footnoteReference w:id="2"/>
      </w:r>
      <w:r w:rsidR="00D56073">
        <w:rPr>
          <w:rFonts w:ascii="Times New Roman" w:hAnsi="Times New Roman" w:cs="Times New Roman"/>
          <w:sz w:val="24"/>
          <w:szCs w:val="24"/>
        </w:rPr>
        <w:t>,</w:t>
      </w:r>
      <w:r w:rsidR="0098735A">
        <w:rPr>
          <w:rFonts w:ascii="Times New Roman" w:hAnsi="Times New Roman" w:cs="Times New Roman"/>
          <w:sz w:val="24"/>
          <w:szCs w:val="24"/>
        </w:rPr>
        <w:t xml:space="preserve"> затим </w:t>
      </w:r>
      <w:r>
        <w:rPr>
          <w:rFonts w:ascii="Times New Roman" w:hAnsi="Times New Roman" w:cs="Times New Roman"/>
          <w:sz w:val="24"/>
          <w:szCs w:val="24"/>
        </w:rPr>
        <w:t>2011. године 11%</w:t>
      </w:r>
      <w:r w:rsidR="00D56073">
        <w:rPr>
          <w:rFonts w:ascii="Times New Roman" w:hAnsi="Times New Roman" w:cs="Times New Roman"/>
          <w:sz w:val="24"/>
          <w:szCs w:val="24"/>
        </w:rPr>
        <w:t>,</w:t>
      </w:r>
      <w:r w:rsidR="0098735A">
        <w:rPr>
          <w:rFonts w:ascii="Times New Roman" w:hAnsi="Times New Roman" w:cs="Times New Roman"/>
          <w:sz w:val="24"/>
          <w:szCs w:val="24"/>
        </w:rPr>
        <w:t xml:space="preserve"> а 2012. године </w:t>
      </w:r>
      <w:r>
        <w:rPr>
          <w:rFonts w:ascii="Times New Roman" w:hAnsi="Times New Roman" w:cs="Times New Roman"/>
          <w:sz w:val="24"/>
          <w:szCs w:val="24"/>
        </w:rPr>
        <w:t>6,9%</w:t>
      </w:r>
      <w:r w:rsidR="0098735A">
        <w:rPr>
          <w:rStyle w:val="FootnoteReference"/>
          <w:rFonts w:ascii="Times New Roman" w:hAnsi="Times New Roman" w:cs="Times New Roman"/>
          <w:sz w:val="24"/>
          <w:szCs w:val="24"/>
        </w:rPr>
        <w:footnoteReference w:id="3"/>
      </w:r>
      <w:r w:rsidR="0098735A">
        <w:rPr>
          <w:rFonts w:ascii="Times New Roman" w:hAnsi="Times New Roman" w:cs="Times New Roman"/>
          <w:sz w:val="24"/>
          <w:szCs w:val="24"/>
        </w:rPr>
        <w:t>.  Истовремено, у 2012. години, отворени поступак је учествовао са 89,5%</w:t>
      </w:r>
      <w:r w:rsidR="0098735A">
        <w:rPr>
          <w:rStyle w:val="FootnoteReference"/>
          <w:rFonts w:ascii="Times New Roman" w:hAnsi="Times New Roman" w:cs="Times New Roman"/>
          <w:sz w:val="24"/>
          <w:szCs w:val="24"/>
        </w:rPr>
        <w:footnoteReference w:id="4"/>
      </w:r>
      <w:r w:rsidR="0098735A">
        <w:rPr>
          <w:rFonts w:ascii="Times New Roman" w:hAnsi="Times New Roman" w:cs="Times New Roman"/>
          <w:sz w:val="24"/>
          <w:szCs w:val="24"/>
        </w:rPr>
        <w:t>.</w:t>
      </w:r>
    </w:p>
    <w:p w:rsidR="00BF2D32" w:rsidRPr="00191758" w:rsidRDefault="00B43E94" w:rsidP="0099228D">
      <w:pPr>
        <w:jc w:val="both"/>
        <w:rPr>
          <w:rFonts w:ascii="Times New Roman" w:hAnsi="Times New Roman" w:cs="Times New Roman"/>
          <w:color w:val="FF0000"/>
          <w:sz w:val="24"/>
          <w:szCs w:val="24"/>
        </w:rPr>
      </w:pPr>
      <w:r>
        <w:rPr>
          <w:rFonts w:ascii="Times New Roman" w:hAnsi="Times New Roman" w:cs="Times New Roman"/>
          <w:sz w:val="24"/>
          <w:szCs w:val="24"/>
        </w:rPr>
        <w:t>С</w:t>
      </w:r>
      <w:r w:rsidR="00D56073">
        <w:rPr>
          <w:rFonts w:ascii="Times New Roman" w:hAnsi="Times New Roman" w:cs="Times New Roman"/>
          <w:sz w:val="24"/>
          <w:szCs w:val="24"/>
        </w:rPr>
        <w:t>ледеће важно питање везано за преговарачке поступке без објављивања јесте како су они распоређени по категоријама наручилаца.</w:t>
      </w:r>
      <w:r w:rsidR="008D1F00">
        <w:rPr>
          <w:rFonts w:ascii="Times New Roman" w:hAnsi="Times New Roman" w:cs="Times New Roman"/>
          <w:sz w:val="24"/>
          <w:szCs w:val="24"/>
        </w:rPr>
        <w:t xml:space="preserve"> Другим речима, </w:t>
      </w:r>
      <w:r>
        <w:rPr>
          <w:rFonts w:ascii="Times New Roman" w:hAnsi="Times New Roman" w:cs="Times New Roman"/>
          <w:sz w:val="24"/>
          <w:szCs w:val="24"/>
        </w:rPr>
        <w:t xml:space="preserve">битно је </w:t>
      </w:r>
      <w:r w:rsidR="008D1F00">
        <w:rPr>
          <w:rFonts w:ascii="Times New Roman" w:hAnsi="Times New Roman" w:cs="Times New Roman"/>
          <w:sz w:val="24"/>
          <w:szCs w:val="24"/>
        </w:rPr>
        <w:t>да се сагледа код којих категорија наручилаца је био најзаступљенији преговарачки поступак без објављивања (Табела 4).</w:t>
      </w:r>
    </w:p>
    <w:p w:rsidR="00707351" w:rsidRDefault="00707351" w:rsidP="003B365F">
      <w:pPr>
        <w:rPr>
          <w:rFonts w:ascii="Times New Roman" w:hAnsi="Times New Roman" w:cs="Times New Roman"/>
          <w:b/>
          <w:color w:val="FF0000"/>
          <w:sz w:val="24"/>
          <w:szCs w:val="24"/>
        </w:rPr>
      </w:pPr>
    </w:p>
    <w:p w:rsidR="00707351" w:rsidRDefault="00707351" w:rsidP="003B365F">
      <w:pPr>
        <w:rPr>
          <w:rFonts w:ascii="Times New Roman" w:hAnsi="Times New Roman" w:cs="Times New Roman"/>
          <w:b/>
          <w:color w:val="FF0000"/>
          <w:sz w:val="24"/>
          <w:szCs w:val="24"/>
        </w:rPr>
      </w:pPr>
    </w:p>
    <w:p w:rsidR="00707351" w:rsidRDefault="00707351" w:rsidP="003B365F">
      <w:pPr>
        <w:rPr>
          <w:rFonts w:ascii="Times New Roman" w:hAnsi="Times New Roman" w:cs="Times New Roman"/>
          <w:b/>
          <w:color w:val="FF0000"/>
          <w:sz w:val="24"/>
          <w:szCs w:val="24"/>
        </w:rPr>
      </w:pPr>
    </w:p>
    <w:p w:rsidR="00707351" w:rsidRDefault="00707351" w:rsidP="003B365F">
      <w:pPr>
        <w:rPr>
          <w:rFonts w:ascii="Times New Roman" w:hAnsi="Times New Roman" w:cs="Times New Roman"/>
          <w:b/>
          <w:color w:val="FF0000"/>
          <w:sz w:val="24"/>
          <w:szCs w:val="24"/>
        </w:rPr>
      </w:pPr>
    </w:p>
    <w:p w:rsidR="00707351" w:rsidRDefault="00707351" w:rsidP="003B365F">
      <w:pPr>
        <w:rPr>
          <w:rFonts w:ascii="Times New Roman" w:hAnsi="Times New Roman" w:cs="Times New Roman"/>
          <w:b/>
          <w:color w:val="FF0000"/>
          <w:sz w:val="24"/>
          <w:szCs w:val="24"/>
        </w:rPr>
      </w:pPr>
    </w:p>
    <w:p w:rsidR="00707351" w:rsidRDefault="00707351" w:rsidP="003B365F">
      <w:pPr>
        <w:rPr>
          <w:rFonts w:ascii="Times New Roman" w:hAnsi="Times New Roman" w:cs="Times New Roman"/>
          <w:b/>
          <w:color w:val="FF0000"/>
          <w:sz w:val="24"/>
          <w:szCs w:val="24"/>
        </w:rPr>
      </w:pPr>
    </w:p>
    <w:p w:rsidR="00707351" w:rsidRDefault="00707351" w:rsidP="003B365F">
      <w:pPr>
        <w:rPr>
          <w:rFonts w:ascii="Times New Roman" w:hAnsi="Times New Roman" w:cs="Times New Roman"/>
          <w:b/>
          <w:color w:val="FF0000"/>
          <w:sz w:val="24"/>
          <w:szCs w:val="24"/>
        </w:rPr>
      </w:pPr>
    </w:p>
    <w:p w:rsidR="00707351" w:rsidRDefault="00707351" w:rsidP="003B365F">
      <w:pPr>
        <w:rPr>
          <w:rFonts w:ascii="Times New Roman" w:hAnsi="Times New Roman" w:cs="Times New Roman"/>
          <w:b/>
          <w:color w:val="FF0000"/>
          <w:sz w:val="24"/>
          <w:szCs w:val="24"/>
        </w:rPr>
      </w:pPr>
    </w:p>
    <w:p w:rsidR="00707351" w:rsidRDefault="00707351" w:rsidP="003B365F">
      <w:pPr>
        <w:rPr>
          <w:rFonts w:ascii="Times New Roman" w:hAnsi="Times New Roman" w:cs="Times New Roman"/>
          <w:b/>
          <w:color w:val="FF0000"/>
          <w:sz w:val="24"/>
          <w:szCs w:val="24"/>
        </w:rPr>
      </w:pPr>
    </w:p>
    <w:p w:rsidR="00BE519C" w:rsidRPr="009B3038" w:rsidRDefault="00BE519C" w:rsidP="003B365F">
      <w:pPr>
        <w:rPr>
          <w:rFonts w:ascii="Times New Roman" w:hAnsi="Times New Roman" w:cs="Times New Roman"/>
          <w:b/>
          <w:sz w:val="24"/>
          <w:szCs w:val="24"/>
        </w:rPr>
      </w:pPr>
      <w:r w:rsidRPr="009B3038">
        <w:rPr>
          <w:rFonts w:ascii="Times New Roman" w:hAnsi="Times New Roman" w:cs="Times New Roman"/>
          <w:b/>
          <w:sz w:val="24"/>
          <w:szCs w:val="24"/>
        </w:rPr>
        <w:t>Табела 4</w:t>
      </w:r>
    </w:p>
    <w:tbl>
      <w:tblPr>
        <w:tblStyle w:val="TableGrid"/>
        <w:tblW w:w="9050" w:type="dxa"/>
        <w:jc w:val="center"/>
        <w:tblLook w:val="0000" w:firstRow="0" w:lastRow="0" w:firstColumn="0" w:lastColumn="0" w:noHBand="0" w:noVBand="0"/>
      </w:tblPr>
      <w:tblGrid>
        <w:gridCol w:w="1347"/>
        <w:gridCol w:w="943"/>
        <w:gridCol w:w="644"/>
        <w:gridCol w:w="1155"/>
        <w:gridCol w:w="644"/>
        <w:gridCol w:w="943"/>
        <w:gridCol w:w="711"/>
        <w:gridCol w:w="1209"/>
        <w:gridCol w:w="1454"/>
      </w:tblGrid>
      <w:tr w:rsidR="000D04EB" w:rsidTr="003F4DFD">
        <w:trPr>
          <w:trHeight w:val="750"/>
          <w:jc w:val="center"/>
        </w:trPr>
        <w:tc>
          <w:tcPr>
            <w:tcW w:w="9050" w:type="dxa"/>
            <w:gridSpan w:val="9"/>
            <w:tcBorders>
              <w:top w:val="single" w:sz="18" w:space="0" w:color="auto"/>
              <w:left w:val="single" w:sz="18" w:space="0" w:color="auto"/>
              <w:right w:val="single" w:sz="18" w:space="0" w:color="auto"/>
            </w:tcBorders>
            <w:vAlign w:val="center"/>
          </w:tcPr>
          <w:p w:rsidR="0099228D" w:rsidRDefault="000D04EB" w:rsidP="003F4DFD">
            <w:pPr>
              <w:jc w:val="center"/>
              <w:rPr>
                <w:rFonts w:ascii="Times New Roman" w:hAnsi="Times New Roman" w:cs="Times New Roman"/>
                <w:b/>
                <w:sz w:val="24"/>
                <w:szCs w:val="24"/>
                <w:lang w:val="sr-Cyrl-RS"/>
              </w:rPr>
            </w:pPr>
            <w:r w:rsidRPr="00882AC7">
              <w:rPr>
                <w:rFonts w:ascii="Times New Roman" w:hAnsi="Times New Roman" w:cs="Times New Roman"/>
                <w:b/>
                <w:sz w:val="24"/>
                <w:szCs w:val="24"/>
              </w:rPr>
              <w:t>Упоредни преглед бројчане и вредносне структуре преговарачких поступака без објављивања, по категоријама на</w:t>
            </w:r>
            <w:r>
              <w:rPr>
                <w:rFonts w:ascii="Times New Roman" w:hAnsi="Times New Roman" w:cs="Times New Roman"/>
                <w:b/>
                <w:sz w:val="24"/>
                <w:szCs w:val="24"/>
              </w:rPr>
              <w:t xml:space="preserve">ручилаца у 2012. години </w:t>
            </w:r>
          </w:p>
          <w:p w:rsidR="000D04EB" w:rsidRPr="00882AC7" w:rsidRDefault="000D04EB" w:rsidP="003F4DFD">
            <w:pPr>
              <w:jc w:val="center"/>
              <w:rPr>
                <w:rFonts w:ascii="Times New Roman" w:hAnsi="Times New Roman" w:cs="Times New Roman"/>
                <w:b/>
                <w:sz w:val="24"/>
                <w:szCs w:val="24"/>
              </w:rPr>
            </w:pPr>
            <w:r>
              <w:rPr>
                <w:rFonts w:ascii="Times New Roman" w:hAnsi="Times New Roman" w:cs="Times New Roman"/>
                <w:b/>
                <w:sz w:val="24"/>
                <w:szCs w:val="24"/>
              </w:rPr>
              <w:t>и четвртом</w:t>
            </w:r>
            <w:r w:rsidR="000145AE">
              <w:rPr>
                <w:rFonts w:ascii="Times New Roman" w:hAnsi="Times New Roman" w:cs="Times New Roman"/>
                <w:b/>
                <w:sz w:val="24"/>
                <w:szCs w:val="24"/>
              </w:rPr>
              <w:t xml:space="preserve"> кварталу 2013. године</w:t>
            </w:r>
          </w:p>
        </w:tc>
      </w:tr>
      <w:tr w:rsidR="000D04EB" w:rsidRPr="004E5018" w:rsidTr="003F4DFD">
        <w:tblPrEx>
          <w:tblLook w:val="04A0" w:firstRow="1" w:lastRow="0" w:firstColumn="1" w:lastColumn="0" w:noHBand="0" w:noVBand="1"/>
        </w:tblPrEx>
        <w:trPr>
          <w:jc w:val="center"/>
        </w:trPr>
        <w:tc>
          <w:tcPr>
            <w:tcW w:w="1347" w:type="dxa"/>
            <w:tcBorders>
              <w:top w:val="single" w:sz="18" w:space="0" w:color="auto"/>
              <w:left w:val="single" w:sz="18" w:space="0" w:color="auto"/>
              <w:bottom w:val="single" w:sz="18" w:space="0" w:color="auto"/>
              <w:right w:val="single" w:sz="18" w:space="0" w:color="auto"/>
            </w:tcBorders>
            <w:vAlign w:val="center"/>
          </w:tcPr>
          <w:p w:rsidR="000D04EB" w:rsidRPr="004E5018" w:rsidRDefault="000D04EB" w:rsidP="003F4DFD">
            <w:pPr>
              <w:jc w:val="center"/>
              <w:rPr>
                <w:rFonts w:ascii="Times New Roman" w:hAnsi="Times New Roman" w:cs="Times New Roman"/>
                <w:b/>
                <w:sz w:val="18"/>
                <w:szCs w:val="18"/>
              </w:rPr>
            </w:pPr>
            <w:r w:rsidRPr="004E5018">
              <w:rPr>
                <w:rFonts w:ascii="Times New Roman" w:hAnsi="Times New Roman" w:cs="Times New Roman"/>
                <w:b/>
                <w:sz w:val="18"/>
                <w:szCs w:val="18"/>
              </w:rPr>
              <w:t>Период</w:t>
            </w:r>
          </w:p>
        </w:tc>
        <w:tc>
          <w:tcPr>
            <w:tcW w:w="3386" w:type="dxa"/>
            <w:gridSpan w:val="4"/>
            <w:tcBorders>
              <w:top w:val="single" w:sz="18" w:space="0" w:color="auto"/>
              <w:left w:val="single" w:sz="18" w:space="0" w:color="auto"/>
              <w:bottom w:val="single" w:sz="18" w:space="0" w:color="auto"/>
              <w:right w:val="single" w:sz="18" w:space="0" w:color="auto"/>
            </w:tcBorders>
            <w:vAlign w:val="center"/>
          </w:tcPr>
          <w:p w:rsidR="000D04EB" w:rsidRPr="004E5018" w:rsidRDefault="000D04EB" w:rsidP="003F4DFD">
            <w:pPr>
              <w:jc w:val="center"/>
              <w:rPr>
                <w:rFonts w:ascii="Times New Roman" w:hAnsi="Times New Roman" w:cs="Times New Roman"/>
                <w:b/>
                <w:sz w:val="18"/>
                <w:szCs w:val="18"/>
              </w:rPr>
            </w:pPr>
            <w:r w:rsidRPr="004E5018">
              <w:rPr>
                <w:rFonts w:ascii="Times New Roman" w:hAnsi="Times New Roman" w:cs="Times New Roman"/>
                <w:b/>
                <w:sz w:val="18"/>
                <w:szCs w:val="18"/>
              </w:rPr>
              <w:t>2012.</w:t>
            </w:r>
          </w:p>
        </w:tc>
        <w:tc>
          <w:tcPr>
            <w:tcW w:w="4317" w:type="dxa"/>
            <w:gridSpan w:val="4"/>
            <w:tcBorders>
              <w:top w:val="single" w:sz="18" w:space="0" w:color="auto"/>
              <w:left w:val="single" w:sz="18" w:space="0" w:color="auto"/>
              <w:bottom w:val="single" w:sz="18" w:space="0" w:color="auto"/>
              <w:right w:val="single" w:sz="18" w:space="0" w:color="auto"/>
            </w:tcBorders>
            <w:vAlign w:val="center"/>
          </w:tcPr>
          <w:p w:rsidR="000D04EB" w:rsidRPr="004E5018" w:rsidRDefault="000D04EB" w:rsidP="003F4DFD">
            <w:pPr>
              <w:jc w:val="center"/>
              <w:rPr>
                <w:rFonts w:ascii="Times New Roman" w:hAnsi="Times New Roman" w:cs="Times New Roman"/>
                <w:b/>
                <w:sz w:val="18"/>
                <w:szCs w:val="18"/>
              </w:rPr>
            </w:pPr>
            <w:r w:rsidRPr="004E5018">
              <w:rPr>
                <w:rFonts w:ascii="Times New Roman" w:hAnsi="Times New Roman" w:cs="Times New Roman"/>
                <w:b/>
                <w:sz w:val="18"/>
                <w:szCs w:val="18"/>
              </w:rPr>
              <w:t>2013.</w:t>
            </w:r>
          </w:p>
          <w:p w:rsidR="000D04EB" w:rsidRPr="004E5018" w:rsidRDefault="000D04EB" w:rsidP="003F4DFD">
            <w:pPr>
              <w:jc w:val="center"/>
              <w:rPr>
                <w:rFonts w:ascii="Times New Roman" w:hAnsi="Times New Roman" w:cs="Times New Roman"/>
                <w:b/>
                <w:sz w:val="18"/>
                <w:szCs w:val="18"/>
              </w:rPr>
            </w:pPr>
            <w:r>
              <w:rPr>
                <w:rFonts w:ascii="Times New Roman" w:hAnsi="Times New Roman" w:cs="Times New Roman"/>
                <w:b/>
                <w:sz w:val="18"/>
                <w:szCs w:val="18"/>
              </w:rPr>
              <w:t>4</w:t>
            </w:r>
            <w:r w:rsidRPr="004E5018">
              <w:rPr>
                <w:rFonts w:ascii="Times New Roman" w:hAnsi="Times New Roman" w:cs="Times New Roman"/>
                <w:b/>
                <w:sz w:val="18"/>
                <w:szCs w:val="18"/>
              </w:rPr>
              <w:t>.</w:t>
            </w:r>
            <w:r w:rsidR="00BE14E5">
              <w:rPr>
                <w:rFonts w:ascii="Times New Roman" w:hAnsi="Times New Roman" w:cs="Times New Roman"/>
                <w:b/>
                <w:sz w:val="18"/>
                <w:szCs w:val="18"/>
                <w:lang w:val="sr-Cyrl-RS"/>
              </w:rPr>
              <w:t xml:space="preserve"> </w:t>
            </w:r>
            <w:r w:rsidRPr="004E5018">
              <w:rPr>
                <w:rFonts w:ascii="Times New Roman" w:hAnsi="Times New Roman" w:cs="Times New Roman"/>
                <w:b/>
                <w:sz w:val="18"/>
                <w:szCs w:val="18"/>
              </w:rPr>
              <w:t>квартал</w:t>
            </w:r>
          </w:p>
        </w:tc>
      </w:tr>
      <w:tr w:rsidR="000D04EB" w:rsidRPr="004E5018" w:rsidTr="003F4DFD">
        <w:tblPrEx>
          <w:tblLook w:val="04A0" w:firstRow="1" w:lastRow="0" w:firstColumn="1" w:lastColumn="0" w:noHBand="0" w:noVBand="1"/>
        </w:tblPrEx>
        <w:trPr>
          <w:jc w:val="center"/>
        </w:trPr>
        <w:tc>
          <w:tcPr>
            <w:tcW w:w="1347" w:type="dxa"/>
            <w:tcBorders>
              <w:top w:val="single" w:sz="18" w:space="0" w:color="auto"/>
              <w:left w:val="single" w:sz="18" w:space="0" w:color="auto"/>
              <w:right w:val="single" w:sz="18" w:space="0" w:color="auto"/>
            </w:tcBorders>
            <w:vAlign w:val="center"/>
          </w:tcPr>
          <w:p w:rsidR="000D04EB" w:rsidRPr="004E5018" w:rsidRDefault="000D04EB" w:rsidP="003F4DFD">
            <w:pPr>
              <w:jc w:val="center"/>
              <w:rPr>
                <w:rFonts w:ascii="Times New Roman" w:hAnsi="Times New Roman" w:cs="Times New Roman"/>
                <w:b/>
                <w:sz w:val="18"/>
                <w:szCs w:val="18"/>
              </w:rPr>
            </w:pPr>
            <w:r w:rsidRPr="004E5018">
              <w:rPr>
                <w:rFonts w:ascii="Times New Roman" w:hAnsi="Times New Roman" w:cs="Times New Roman"/>
                <w:b/>
                <w:sz w:val="18"/>
                <w:szCs w:val="18"/>
              </w:rPr>
              <w:t>Категорија</w:t>
            </w:r>
          </w:p>
        </w:tc>
        <w:tc>
          <w:tcPr>
            <w:tcW w:w="943" w:type="dxa"/>
            <w:tcBorders>
              <w:top w:val="single" w:sz="18" w:space="0" w:color="auto"/>
              <w:left w:val="single" w:sz="18" w:space="0" w:color="auto"/>
            </w:tcBorders>
            <w:vAlign w:val="center"/>
          </w:tcPr>
          <w:p w:rsidR="000D04EB" w:rsidRPr="004E5018" w:rsidRDefault="000D04EB" w:rsidP="003F4DFD">
            <w:pPr>
              <w:jc w:val="center"/>
              <w:rPr>
                <w:rFonts w:ascii="Times New Roman" w:hAnsi="Times New Roman" w:cs="Times New Roman"/>
                <w:sz w:val="18"/>
                <w:szCs w:val="18"/>
              </w:rPr>
            </w:pPr>
            <w:r w:rsidRPr="004E5018">
              <w:rPr>
                <w:rFonts w:ascii="Times New Roman" w:hAnsi="Times New Roman" w:cs="Times New Roman"/>
                <w:sz w:val="18"/>
                <w:szCs w:val="18"/>
              </w:rPr>
              <w:t>Број</w:t>
            </w:r>
          </w:p>
          <w:p w:rsidR="000D04EB" w:rsidRPr="004E5018" w:rsidRDefault="000D04EB" w:rsidP="003F4DFD">
            <w:pPr>
              <w:jc w:val="center"/>
              <w:rPr>
                <w:rFonts w:ascii="Times New Roman" w:hAnsi="Times New Roman" w:cs="Times New Roman"/>
                <w:sz w:val="18"/>
                <w:szCs w:val="18"/>
              </w:rPr>
            </w:pPr>
            <w:r w:rsidRPr="004E5018">
              <w:rPr>
                <w:rFonts w:ascii="Times New Roman" w:hAnsi="Times New Roman" w:cs="Times New Roman"/>
                <w:sz w:val="18"/>
                <w:szCs w:val="18"/>
              </w:rPr>
              <w:t>Уговора</w:t>
            </w:r>
          </w:p>
        </w:tc>
        <w:tc>
          <w:tcPr>
            <w:tcW w:w="644" w:type="dxa"/>
            <w:tcBorders>
              <w:top w:val="single" w:sz="18" w:space="0" w:color="auto"/>
            </w:tcBorders>
            <w:vAlign w:val="center"/>
          </w:tcPr>
          <w:p w:rsidR="000D04EB" w:rsidRPr="004E5018" w:rsidRDefault="000D04EB" w:rsidP="003F4DFD">
            <w:pPr>
              <w:jc w:val="center"/>
              <w:rPr>
                <w:rFonts w:ascii="Times New Roman" w:hAnsi="Times New Roman" w:cs="Times New Roman"/>
                <w:sz w:val="18"/>
                <w:szCs w:val="18"/>
              </w:rPr>
            </w:pPr>
            <w:r w:rsidRPr="004E5018">
              <w:rPr>
                <w:rFonts w:ascii="Times New Roman" w:hAnsi="Times New Roman" w:cs="Times New Roman"/>
                <w:sz w:val="18"/>
                <w:szCs w:val="18"/>
              </w:rPr>
              <w:t>%</w:t>
            </w:r>
          </w:p>
        </w:tc>
        <w:tc>
          <w:tcPr>
            <w:tcW w:w="1155" w:type="dxa"/>
            <w:tcBorders>
              <w:top w:val="single" w:sz="18" w:space="0" w:color="auto"/>
            </w:tcBorders>
            <w:vAlign w:val="center"/>
          </w:tcPr>
          <w:p w:rsidR="000D04EB" w:rsidRPr="004E5018" w:rsidRDefault="000D04EB" w:rsidP="003F4DFD">
            <w:pPr>
              <w:jc w:val="center"/>
              <w:rPr>
                <w:rFonts w:ascii="Times New Roman" w:hAnsi="Times New Roman" w:cs="Times New Roman"/>
                <w:sz w:val="18"/>
                <w:szCs w:val="18"/>
              </w:rPr>
            </w:pPr>
            <w:r w:rsidRPr="004E5018">
              <w:rPr>
                <w:rFonts w:ascii="Times New Roman" w:hAnsi="Times New Roman" w:cs="Times New Roman"/>
                <w:sz w:val="18"/>
                <w:szCs w:val="18"/>
              </w:rPr>
              <w:t>Уговорена</w:t>
            </w:r>
          </w:p>
          <w:p w:rsidR="000D04EB" w:rsidRPr="004E5018" w:rsidRDefault="000D04EB" w:rsidP="003F4DFD">
            <w:pPr>
              <w:jc w:val="center"/>
              <w:rPr>
                <w:rFonts w:ascii="Times New Roman" w:hAnsi="Times New Roman" w:cs="Times New Roman"/>
                <w:sz w:val="18"/>
                <w:szCs w:val="18"/>
              </w:rPr>
            </w:pPr>
            <w:r w:rsidRPr="004E5018">
              <w:rPr>
                <w:rFonts w:ascii="Times New Roman" w:hAnsi="Times New Roman" w:cs="Times New Roman"/>
                <w:sz w:val="18"/>
                <w:szCs w:val="18"/>
              </w:rPr>
              <w:t>Вредност</w:t>
            </w:r>
          </w:p>
          <w:p w:rsidR="000D04EB" w:rsidRPr="004E5018" w:rsidRDefault="000D04EB" w:rsidP="003F4DFD">
            <w:pPr>
              <w:jc w:val="center"/>
              <w:rPr>
                <w:rFonts w:ascii="Times New Roman" w:hAnsi="Times New Roman" w:cs="Times New Roman"/>
                <w:sz w:val="18"/>
                <w:szCs w:val="18"/>
              </w:rPr>
            </w:pPr>
            <w:r w:rsidRPr="004E5018">
              <w:rPr>
                <w:rFonts w:ascii="Times New Roman" w:hAnsi="Times New Roman" w:cs="Times New Roman"/>
                <w:sz w:val="18"/>
                <w:szCs w:val="18"/>
              </w:rPr>
              <w:t>Без ПДВ-а*</w:t>
            </w:r>
          </w:p>
        </w:tc>
        <w:tc>
          <w:tcPr>
            <w:tcW w:w="0" w:type="auto"/>
            <w:tcBorders>
              <w:top w:val="single" w:sz="18" w:space="0" w:color="auto"/>
              <w:right w:val="single" w:sz="18" w:space="0" w:color="auto"/>
            </w:tcBorders>
            <w:vAlign w:val="center"/>
          </w:tcPr>
          <w:p w:rsidR="000D04EB" w:rsidRPr="004E5018" w:rsidRDefault="000D04EB" w:rsidP="003F4DFD">
            <w:pPr>
              <w:jc w:val="center"/>
              <w:rPr>
                <w:rFonts w:ascii="Times New Roman" w:hAnsi="Times New Roman" w:cs="Times New Roman"/>
                <w:sz w:val="18"/>
                <w:szCs w:val="18"/>
              </w:rPr>
            </w:pPr>
            <w:r w:rsidRPr="004E5018">
              <w:rPr>
                <w:rFonts w:ascii="Times New Roman" w:hAnsi="Times New Roman" w:cs="Times New Roman"/>
                <w:sz w:val="18"/>
                <w:szCs w:val="18"/>
              </w:rPr>
              <w:t>%</w:t>
            </w:r>
          </w:p>
        </w:tc>
        <w:tc>
          <w:tcPr>
            <w:tcW w:w="943" w:type="dxa"/>
            <w:tcBorders>
              <w:top w:val="single" w:sz="18" w:space="0" w:color="auto"/>
              <w:left w:val="single" w:sz="18" w:space="0" w:color="auto"/>
            </w:tcBorders>
            <w:vAlign w:val="center"/>
          </w:tcPr>
          <w:p w:rsidR="000D04EB" w:rsidRPr="004E5018" w:rsidRDefault="000D04EB" w:rsidP="003F4DFD">
            <w:pPr>
              <w:jc w:val="center"/>
              <w:rPr>
                <w:rFonts w:ascii="Times New Roman" w:hAnsi="Times New Roman" w:cs="Times New Roman"/>
                <w:sz w:val="18"/>
                <w:szCs w:val="18"/>
              </w:rPr>
            </w:pPr>
            <w:r w:rsidRPr="004E5018">
              <w:rPr>
                <w:rFonts w:ascii="Times New Roman" w:hAnsi="Times New Roman" w:cs="Times New Roman"/>
                <w:sz w:val="18"/>
                <w:szCs w:val="18"/>
              </w:rPr>
              <w:t>Број</w:t>
            </w:r>
          </w:p>
          <w:p w:rsidR="000D04EB" w:rsidRPr="004E5018" w:rsidRDefault="000D04EB" w:rsidP="003F4DFD">
            <w:pPr>
              <w:jc w:val="center"/>
              <w:rPr>
                <w:rFonts w:ascii="Times New Roman" w:hAnsi="Times New Roman" w:cs="Times New Roman"/>
                <w:sz w:val="18"/>
                <w:szCs w:val="18"/>
              </w:rPr>
            </w:pPr>
            <w:r w:rsidRPr="004E5018">
              <w:rPr>
                <w:rFonts w:ascii="Times New Roman" w:hAnsi="Times New Roman" w:cs="Times New Roman"/>
                <w:sz w:val="18"/>
                <w:szCs w:val="18"/>
              </w:rPr>
              <w:t>Уговора</w:t>
            </w:r>
          </w:p>
        </w:tc>
        <w:tc>
          <w:tcPr>
            <w:tcW w:w="711" w:type="dxa"/>
            <w:tcBorders>
              <w:top w:val="single" w:sz="18" w:space="0" w:color="auto"/>
            </w:tcBorders>
            <w:vAlign w:val="center"/>
          </w:tcPr>
          <w:p w:rsidR="000D04EB" w:rsidRPr="004E5018" w:rsidRDefault="000D04EB" w:rsidP="003F4DFD">
            <w:pPr>
              <w:jc w:val="center"/>
              <w:rPr>
                <w:rFonts w:ascii="Times New Roman" w:hAnsi="Times New Roman" w:cs="Times New Roman"/>
                <w:sz w:val="18"/>
                <w:szCs w:val="18"/>
              </w:rPr>
            </w:pPr>
            <w:r w:rsidRPr="004E5018">
              <w:rPr>
                <w:rFonts w:ascii="Times New Roman" w:hAnsi="Times New Roman" w:cs="Times New Roman"/>
                <w:sz w:val="18"/>
                <w:szCs w:val="18"/>
              </w:rPr>
              <w:t>%</w:t>
            </w:r>
          </w:p>
        </w:tc>
        <w:tc>
          <w:tcPr>
            <w:tcW w:w="1209" w:type="dxa"/>
            <w:tcBorders>
              <w:top w:val="single" w:sz="18" w:space="0" w:color="auto"/>
            </w:tcBorders>
            <w:vAlign w:val="center"/>
          </w:tcPr>
          <w:p w:rsidR="000D04EB" w:rsidRPr="004E5018" w:rsidRDefault="000D04EB" w:rsidP="003F4DFD">
            <w:pPr>
              <w:jc w:val="center"/>
              <w:rPr>
                <w:rFonts w:ascii="Times New Roman" w:hAnsi="Times New Roman" w:cs="Times New Roman"/>
                <w:sz w:val="18"/>
                <w:szCs w:val="18"/>
              </w:rPr>
            </w:pPr>
            <w:r w:rsidRPr="004E5018">
              <w:rPr>
                <w:rFonts w:ascii="Times New Roman" w:hAnsi="Times New Roman" w:cs="Times New Roman"/>
                <w:sz w:val="18"/>
                <w:szCs w:val="18"/>
              </w:rPr>
              <w:t>Уговорена</w:t>
            </w:r>
          </w:p>
          <w:p w:rsidR="000D04EB" w:rsidRPr="004E5018" w:rsidRDefault="000D04EB" w:rsidP="003F4DFD">
            <w:pPr>
              <w:jc w:val="center"/>
              <w:rPr>
                <w:rFonts w:ascii="Times New Roman" w:hAnsi="Times New Roman" w:cs="Times New Roman"/>
                <w:sz w:val="18"/>
                <w:szCs w:val="18"/>
              </w:rPr>
            </w:pPr>
            <w:r w:rsidRPr="004E5018">
              <w:rPr>
                <w:rFonts w:ascii="Times New Roman" w:hAnsi="Times New Roman" w:cs="Times New Roman"/>
                <w:sz w:val="18"/>
                <w:szCs w:val="18"/>
              </w:rPr>
              <w:t>Вредност</w:t>
            </w:r>
          </w:p>
          <w:p w:rsidR="000D04EB" w:rsidRPr="004E5018" w:rsidRDefault="000D04EB" w:rsidP="003F4DFD">
            <w:pPr>
              <w:jc w:val="center"/>
              <w:rPr>
                <w:rFonts w:ascii="Times New Roman" w:hAnsi="Times New Roman" w:cs="Times New Roman"/>
                <w:sz w:val="18"/>
                <w:szCs w:val="18"/>
              </w:rPr>
            </w:pPr>
            <w:r w:rsidRPr="004E5018">
              <w:rPr>
                <w:rFonts w:ascii="Times New Roman" w:hAnsi="Times New Roman" w:cs="Times New Roman"/>
                <w:sz w:val="18"/>
                <w:szCs w:val="18"/>
              </w:rPr>
              <w:t>Без ПДВ-а*</w:t>
            </w:r>
          </w:p>
        </w:tc>
        <w:tc>
          <w:tcPr>
            <w:tcW w:w="1454" w:type="dxa"/>
            <w:tcBorders>
              <w:top w:val="single" w:sz="18" w:space="0" w:color="auto"/>
              <w:right w:val="single" w:sz="18" w:space="0" w:color="auto"/>
            </w:tcBorders>
            <w:vAlign w:val="center"/>
          </w:tcPr>
          <w:p w:rsidR="000D04EB" w:rsidRPr="004E5018" w:rsidRDefault="000D04EB" w:rsidP="003F4DFD">
            <w:pPr>
              <w:jc w:val="center"/>
              <w:rPr>
                <w:rFonts w:ascii="Times New Roman" w:hAnsi="Times New Roman" w:cs="Times New Roman"/>
                <w:sz w:val="18"/>
                <w:szCs w:val="18"/>
              </w:rPr>
            </w:pPr>
            <w:r w:rsidRPr="004E5018">
              <w:rPr>
                <w:rFonts w:ascii="Times New Roman" w:hAnsi="Times New Roman" w:cs="Times New Roman"/>
                <w:sz w:val="18"/>
                <w:szCs w:val="18"/>
              </w:rPr>
              <w:t>%</w:t>
            </w:r>
          </w:p>
        </w:tc>
      </w:tr>
      <w:tr w:rsidR="000D04EB" w:rsidRPr="004E5018" w:rsidTr="003F4DFD">
        <w:tblPrEx>
          <w:tblLook w:val="04A0" w:firstRow="1" w:lastRow="0" w:firstColumn="1" w:lastColumn="0" w:noHBand="0" w:noVBand="1"/>
        </w:tblPrEx>
        <w:trPr>
          <w:jc w:val="center"/>
        </w:trPr>
        <w:tc>
          <w:tcPr>
            <w:tcW w:w="1347" w:type="dxa"/>
            <w:tcBorders>
              <w:left w:val="single" w:sz="18" w:space="0" w:color="auto"/>
              <w:right w:val="single" w:sz="18" w:space="0" w:color="auto"/>
            </w:tcBorders>
            <w:vAlign w:val="center"/>
          </w:tcPr>
          <w:p w:rsidR="000D04EB" w:rsidRPr="004E5018" w:rsidRDefault="000D04EB" w:rsidP="003F4DFD">
            <w:pPr>
              <w:jc w:val="center"/>
              <w:rPr>
                <w:rFonts w:ascii="Times New Roman" w:hAnsi="Times New Roman" w:cs="Times New Roman"/>
                <w:b/>
                <w:sz w:val="18"/>
                <w:szCs w:val="18"/>
              </w:rPr>
            </w:pPr>
            <w:r w:rsidRPr="004E5018">
              <w:rPr>
                <w:rFonts w:ascii="Times New Roman" w:hAnsi="Times New Roman" w:cs="Times New Roman"/>
                <w:b/>
                <w:sz w:val="18"/>
                <w:szCs w:val="18"/>
              </w:rPr>
              <w:t>Органи државне управе</w:t>
            </w:r>
          </w:p>
        </w:tc>
        <w:tc>
          <w:tcPr>
            <w:tcW w:w="943" w:type="dxa"/>
            <w:tcBorders>
              <w:left w:val="single" w:sz="18" w:space="0" w:color="auto"/>
            </w:tcBorders>
            <w:vAlign w:val="center"/>
          </w:tcPr>
          <w:p w:rsidR="000D04EB" w:rsidRPr="004E5018" w:rsidRDefault="000D04EB" w:rsidP="003F4DFD">
            <w:pPr>
              <w:jc w:val="center"/>
              <w:rPr>
                <w:color w:val="000000"/>
                <w:sz w:val="18"/>
                <w:szCs w:val="18"/>
              </w:rPr>
            </w:pPr>
            <w:r w:rsidRPr="004E5018">
              <w:rPr>
                <w:color w:val="000000"/>
                <w:sz w:val="18"/>
                <w:szCs w:val="18"/>
              </w:rPr>
              <w:t>571</w:t>
            </w:r>
          </w:p>
        </w:tc>
        <w:tc>
          <w:tcPr>
            <w:tcW w:w="644" w:type="dxa"/>
            <w:vAlign w:val="center"/>
          </w:tcPr>
          <w:p w:rsidR="000D04EB" w:rsidRPr="004E5018" w:rsidRDefault="000D04EB" w:rsidP="003F4DFD">
            <w:pPr>
              <w:jc w:val="center"/>
              <w:rPr>
                <w:color w:val="000000"/>
                <w:sz w:val="18"/>
                <w:szCs w:val="18"/>
              </w:rPr>
            </w:pPr>
            <w:r w:rsidRPr="004E5018">
              <w:rPr>
                <w:color w:val="000000"/>
                <w:sz w:val="18"/>
                <w:szCs w:val="18"/>
              </w:rPr>
              <w:t>8%</w:t>
            </w:r>
          </w:p>
        </w:tc>
        <w:tc>
          <w:tcPr>
            <w:tcW w:w="1155" w:type="dxa"/>
            <w:vAlign w:val="center"/>
          </w:tcPr>
          <w:p w:rsidR="000D04EB" w:rsidRPr="004E5018" w:rsidRDefault="000D04EB" w:rsidP="003F4DFD">
            <w:pPr>
              <w:jc w:val="center"/>
              <w:rPr>
                <w:color w:val="000000"/>
                <w:sz w:val="18"/>
                <w:szCs w:val="18"/>
              </w:rPr>
            </w:pPr>
            <w:r w:rsidRPr="004E5018">
              <w:rPr>
                <w:color w:val="000000"/>
                <w:sz w:val="18"/>
                <w:szCs w:val="18"/>
              </w:rPr>
              <w:t>3.907.082</w:t>
            </w:r>
          </w:p>
        </w:tc>
        <w:tc>
          <w:tcPr>
            <w:tcW w:w="0" w:type="auto"/>
            <w:tcBorders>
              <w:right w:val="single" w:sz="18" w:space="0" w:color="auto"/>
            </w:tcBorders>
            <w:vAlign w:val="center"/>
          </w:tcPr>
          <w:p w:rsidR="000D04EB" w:rsidRPr="004E5018" w:rsidRDefault="000D04EB" w:rsidP="003F4DFD">
            <w:pPr>
              <w:jc w:val="center"/>
              <w:rPr>
                <w:color w:val="000000"/>
                <w:sz w:val="18"/>
                <w:szCs w:val="18"/>
              </w:rPr>
            </w:pPr>
            <w:r w:rsidRPr="004E5018">
              <w:rPr>
                <w:color w:val="000000"/>
                <w:sz w:val="18"/>
                <w:szCs w:val="18"/>
              </w:rPr>
              <w:t>5%</w:t>
            </w:r>
          </w:p>
        </w:tc>
        <w:tc>
          <w:tcPr>
            <w:tcW w:w="943" w:type="dxa"/>
            <w:tcBorders>
              <w:left w:val="single" w:sz="18" w:space="0" w:color="auto"/>
            </w:tcBorders>
            <w:vAlign w:val="center"/>
          </w:tcPr>
          <w:p w:rsidR="000D04EB" w:rsidRPr="004E5018" w:rsidRDefault="000D04EB" w:rsidP="003F4DFD">
            <w:pPr>
              <w:jc w:val="center"/>
              <w:rPr>
                <w:rFonts w:ascii="Calibri" w:hAnsi="Calibri" w:cs="Calibri"/>
                <w:color w:val="000000"/>
                <w:sz w:val="18"/>
                <w:szCs w:val="18"/>
              </w:rPr>
            </w:pPr>
            <w:r>
              <w:rPr>
                <w:rFonts w:ascii="Calibri" w:hAnsi="Calibri" w:cs="Calibri"/>
                <w:color w:val="000000"/>
                <w:sz w:val="18"/>
                <w:szCs w:val="18"/>
              </w:rPr>
              <w:t>70</w:t>
            </w:r>
          </w:p>
        </w:tc>
        <w:tc>
          <w:tcPr>
            <w:tcW w:w="711" w:type="dxa"/>
            <w:vAlign w:val="center"/>
          </w:tcPr>
          <w:p w:rsidR="000D04EB" w:rsidRPr="004E5018" w:rsidRDefault="000D04EB" w:rsidP="003F4DFD">
            <w:pPr>
              <w:jc w:val="center"/>
              <w:rPr>
                <w:rFonts w:ascii="Calibri" w:hAnsi="Calibri" w:cs="Calibri"/>
                <w:color w:val="000000"/>
                <w:sz w:val="18"/>
                <w:szCs w:val="18"/>
              </w:rPr>
            </w:pPr>
            <w:r>
              <w:rPr>
                <w:rFonts w:ascii="Calibri" w:hAnsi="Calibri" w:cs="Calibri"/>
                <w:color w:val="000000"/>
                <w:sz w:val="18"/>
                <w:szCs w:val="18"/>
              </w:rPr>
              <w:t>8%</w:t>
            </w:r>
          </w:p>
        </w:tc>
        <w:tc>
          <w:tcPr>
            <w:tcW w:w="1209" w:type="dxa"/>
            <w:vAlign w:val="center"/>
          </w:tcPr>
          <w:p w:rsidR="000D04EB" w:rsidRPr="004E5018" w:rsidRDefault="000D04EB" w:rsidP="003F4DFD">
            <w:pPr>
              <w:jc w:val="center"/>
              <w:rPr>
                <w:rFonts w:ascii="Calibri" w:hAnsi="Calibri" w:cs="Calibri"/>
                <w:color w:val="000000"/>
                <w:sz w:val="18"/>
                <w:szCs w:val="18"/>
              </w:rPr>
            </w:pPr>
            <w:r>
              <w:rPr>
                <w:rFonts w:ascii="Calibri" w:hAnsi="Calibri" w:cs="Calibri"/>
                <w:color w:val="000000"/>
                <w:sz w:val="18"/>
                <w:szCs w:val="18"/>
              </w:rPr>
              <w:t>575.739</w:t>
            </w:r>
          </w:p>
        </w:tc>
        <w:tc>
          <w:tcPr>
            <w:tcW w:w="1454" w:type="dxa"/>
            <w:tcBorders>
              <w:right w:val="single" w:sz="18" w:space="0" w:color="auto"/>
            </w:tcBorders>
            <w:vAlign w:val="center"/>
          </w:tcPr>
          <w:p w:rsidR="000D04EB" w:rsidRPr="004E5018" w:rsidRDefault="000D04EB" w:rsidP="003F4DFD">
            <w:pPr>
              <w:jc w:val="center"/>
              <w:rPr>
                <w:rFonts w:ascii="Calibri" w:hAnsi="Calibri" w:cs="Calibri"/>
                <w:color w:val="000000"/>
                <w:sz w:val="18"/>
                <w:szCs w:val="18"/>
              </w:rPr>
            </w:pPr>
            <w:r>
              <w:rPr>
                <w:rFonts w:ascii="Calibri" w:hAnsi="Calibri" w:cs="Calibri"/>
                <w:color w:val="000000"/>
                <w:sz w:val="18"/>
                <w:szCs w:val="18"/>
              </w:rPr>
              <w:t>10%</w:t>
            </w:r>
          </w:p>
        </w:tc>
      </w:tr>
      <w:tr w:rsidR="000D04EB" w:rsidRPr="004E5018" w:rsidTr="003F4DFD">
        <w:tblPrEx>
          <w:tblLook w:val="04A0" w:firstRow="1" w:lastRow="0" w:firstColumn="1" w:lastColumn="0" w:noHBand="0" w:noVBand="1"/>
        </w:tblPrEx>
        <w:trPr>
          <w:jc w:val="center"/>
        </w:trPr>
        <w:tc>
          <w:tcPr>
            <w:tcW w:w="1347" w:type="dxa"/>
            <w:tcBorders>
              <w:left w:val="single" w:sz="18" w:space="0" w:color="auto"/>
              <w:right w:val="single" w:sz="18" w:space="0" w:color="auto"/>
            </w:tcBorders>
            <w:vAlign w:val="center"/>
          </w:tcPr>
          <w:p w:rsidR="000D04EB" w:rsidRPr="004E5018" w:rsidRDefault="000D04EB" w:rsidP="003F4DFD">
            <w:pPr>
              <w:jc w:val="center"/>
              <w:rPr>
                <w:rFonts w:ascii="Times New Roman" w:hAnsi="Times New Roman" w:cs="Times New Roman"/>
                <w:b/>
                <w:sz w:val="18"/>
                <w:szCs w:val="18"/>
              </w:rPr>
            </w:pPr>
            <w:r w:rsidRPr="004E5018">
              <w:rPr>
                <w:rFonts w:ascii="Times New Roman" w:hAnsi="Times New Roman" w:cs="Times New Roman"/>
                <w:b/>
                <w:sz w:val="18"/>
                <w:szCs w:val="18"/>
              </w:rPr>
              <w:t>Правосуђе</w:t>
            </w:r>
          </w:p>
        </w:tc>
        <w:tc>
          <w:tcPr>
            <w:tcW w:w="943" w:type="dxa"/>
            <w:tcBorders>
              <w:left w:val="single" w:sz="18" w:space="0" w:color="auto"/>
            </w:tcBorders>
            <w:vAlign w:val="center"/>
          </w:tcPr>
          <w:p w:rsidR="000D04EB" w:rsidRPr="004E5018" w:rsidRDefault="000D04EB" w:rsidP="003F4DFD">
            <w:pPr>
              <w:jc w:val="center"/>
              <w:rPr>
                <w:color w:val="000000"/>
                <w:sz w:val="18"/>
                <w:szCs w:val="18"/>
              </w:rPr>
            </w:pPr>
            <w:r w:rsidRPr="004E5018">
              <w:rPr>
                <w:color w:val="000000"/>
                <w:sz w:val="18"/>
                <w:szCs w:val="18"/>
              </w:rPr>
              <w:t>15</w:t>
            </w:r>
          </w:p>
        </w:tc>
        <w:tc>
          <w:tcPr>
            <w:tcW w:w="644" w:type="dxa"/>
            <w:vAlign w:val="center"/>
          </w:tcPr>
          <w:p w:rsidR="000D04EB" w:rsidRPr="004E5018" w:rsidRDefault="000D04EB" w:rsidP="003F4DFD">
            <w:pPr>
              <w:jc w:val="center"/>
              <w:rPr>
                <w:color w:val="000000"/>
                <w:sz w:val="18"/>
                <w:szCs w:val="18"/>
              </w:rPr>
            </w:pPr>
            <w:r w:rsidRPr="004E5018">
              <w:rPr>
                <w:color w:val="000000"/>
                <w:sz w:val="18"/>
                <w:szCs w:val="18"/>
              </w:rPr>
              <w:t>0%</w:t>
            </w:r>
          </w:p>
        </w:tc>
        <w:tc>
          <w:tcPr>
            <w:tcW w:w="1155" w:type="dxa"/>
            <w:vAlign w:val="center"/>
          </w:tcPr>
          <w:p w:rsidR="000D04EB" w:rsidRPr="004E5018" w:rsidRDefault="000D04EB" w:rsidP="003F4DFD">
            <w:pPr>
              <w:jc w:val="center"/>
              <w:rPr>
                <w:color w:val="000000"/>
                <w:sz w:val="18"/>
                <w:szCs w:val="18"/>
              </w:rPr>
            </w:pPr>
            <w:r w:rsidRPr="004E5018">
              <w:rPr>
                <w:color w:val="000000"/>
                <w:sz w:val="18"/>
                <w:szCs w:val="18"/>
              </w:rPr>
              <w:t>30.260</w:t>
            </w:r>
          </w:p>
        </w:tc>
        <w:tc>
          <w:tcPr>
            <w:tcW w:w="0" w:type="auto"/>
            <w:tcBorders>
              <w:right w:val="single" w:sz="18" w:space="0" w:color="auto"/>
            </w:tcBorders>
            <w:vAlign w:val="center"/>
          </w:tcPr>
          <w:p w:rsidR="000D04EB" w:rsidRPr="004E5018" w:rsidRDefault="000D04EB" w:rsidP="003F4DFD">
            <w:pPr>
              <w:jc w:val="center"/>
              <w:rPr>
                <w:color w:val="000000"/>
                <w:sz w:val="18"/>
                <w:szCs w:val="18"/>
              </w:rPr>
            </w:pPr>
            <w:r w:rsidRPr="004E5018">
              <w:rPr>
                <w:color w:val="000000"/>
                <w:sz w:val="18"/>
                <w:szCs w:val="18"/>
              </w:rPr>
              <w:t>0%</w:t>
            </w:r>
          </w:p>
        </w:tc>
        <w:tc>
          <w:tcPr>
            <w:tcW w:w="943" w:type="dxa"/>
            <w:tcBorders>
              <w:left w:val="single" w:sz="18" w:space="0" w:color="auto"/>
            </w:tcBorders>
            <w:vAlign w:val="center"/>
          </w:tcPr>
          <w:p w:rsidR="000D04EB" w:rsidRPr="004E5018" w:rsidRDefault="000D04EB" w:rsidP="003F4DFD">
            <w:pPr>
              <w:jc w:val="center"/>
              <w:rPr>
                <w:rFonts w:ascii="Calibri" w:hAnsi="Calibri" w:cs="Calibri"/>
                <w:color w:val="000000"/>
                <w:sz w:val="18"/>
                <w:szCs w:val="18"/>
              </w:rPr>
            </w:pPr>
            <w:r>
              <w:rPr>
                <w:rFonts w:ascii="Calibri" w:hAnsi="Calibri" w:cs="Calibri"/>
                <w:color w:val="000000"/>
                <w:sz w:val="18"/>
                <w:szCs w:val="18"/>
              </w:rPr>
              <w:t>9</w:t>
            </w:r>
          </w:p>
        </w:tc>
        <w:tc>
          <w:tcPr>
            <w:tcW w:w="711" w:type="dxa"/>
            <w:vAlign w:val="center"/>
          </w:tcPr>
          <w:p w:rsidR="000D04EB" w:rsidRPr="004E5018" w:rsidRDefault="000D04EB" w:rsidP="003F4DFD">
            <w:pPr>
              <w:jc w:val="center"/>
              <w:rPr>
                <w:rFonts w:ascii="Calibri" w:hAnsi="Calibri" w:cs="Calibri"/>
                <w:color w:val="000000"/>
                <w:sz w:val="18"/>
                <w:szCs w:val="18"/>
              </w:rPr>
            </w:pPr>
            <w:r>
              <w:rPr>
                <w:rFonts w:ascii="Calibri" w:hAnsi="Calibri" w:cs="Calibri"/>
                <w:color w:val="000000"/>
                <w:sz w:val="18"/>
                <w:szCs w:val="18"/>
              </w:rPr>
              <w:t>1%</w:t>
            </w:r>
          </w:p>
        </w:tc>
        <w:tc>
          <w:tcPr>
            <w:tcW w:w="1209" w:type="dxa"/>
            <w:vAlign w:val="center"/>
          </w:tcPr>
          <w:p w:rsidR="000D04EB" w:rsidRPr="004E5018" w:rsidRDefault="000D04EB" w:rsidP="003F4DFD">
            <w:pPr>
              <w:jc w:val="center"/>
              <w:rPr>
                <w:rFonts w:ascii="Calibri" w:hAnsi="Calibri" w:cs="Calibri"/>
                <w:color w:val="000000"/>
                <w:sz w:val="18"/>
                <w:szCs w:val="18"/>
              </w:rPr>
            </w:pPr>
            <w:r>
              <w:rPr>
                <w:rFonts w:ascii="Calibri" w:hAnsi="Calibri" w:cs="Calibri"/>
                <w:color w:val="000000"/>
                <w:sz w:val="18"/>
                <w:szCs w:val="18"/>
              </w:rPr>
              <w:t>6.277</w:t>
            </w:r>
          </w:p>
        </w:tc>
        <w:tc>
          <w:tcPr>
            <w:tcW w:w="1454" w:type="dxa"/>
            <w:tcBorders>
              <w:right w:val="single" w:sz="18" w:space="0" w:color="auto"/>
            </w:tcBorders>
            <w:vAlign w:val="center"/>
          </w:tcPr>
          <w:p w:rsidR="000D04EB" w:rsidRPr="004E5018" w:rsidRDefault="000D04EB" w:rsidP="003F4DFD">
            <w:pPr>
              <w:jc w:val="center"/>
              <w:rPr>
                <w:rFonts w:ascii="Calibri" w:hAnsi="Calibri" w:cs="Calibri"/>
                <w:color w:val="000000"/>
                <w:sz w:val="18"/>
                <w:szCs w:val="18"/>
              </w:rPr>
            </w:pPr>
            <w:r>
              <w:rPr>
                <w:rFonts w:ascii="Calibri" w:hAnsi="Calibri" w:cs="Calibri"/>
                <w:color w:val="000000"/>
                <w:sz w:val="18"/>
                <w:szCs w:val="18"/>
              </w:rPr>
              <w:t>0%</w:t>
            </w:r>
          </w:p>
        </w:tc>
      </w:tr>
      <w:tr w:rsidR="000D04EB" w:rsidRPr="004E5018" w:rsidTr="003F4DFD">
        <w:tblPrEx>
          <w:tblLook w:val="04A0" w:firstRow="1" w:lastRow="0" w:firstColumn="1" w:lastColumn="0" w:noHBand="0" w:noVBand="1"/>
        </w:tblPrEx>
        <w:trPr>
          <w:jc w:val="center"/>
        </w:trPr>
        <w:tc>
          <w:tcPr>
            <w:tcW w:w="1347" w:type="dxa"/>
            <w:tcBorders>
              <w:left w:val="single" w:sz="18" w:space="0" w:color="auto"/>
              <w:right w:val="single" w:sz="18" w:space="0" w:color="auto"/>
            </w:tcBorders>
            <w:vAlign w:val="center"/>
          </w:tcPr>
          <w:p w:rsidR="000D04EB" w:rsidRPr="004E5018" w:rsidRDefault="000D04EB" w:rsidP="003F4DFD">
            <w:pPr>
              <w:jc w:val="center"/>
              <w:rPr>
                <w:rFonts w:ascii="Times New Roman" w:hAnsi="Times New Roman" w:cs="Times New Roman"/>
                <w:b/>
                <w:sz w:val="18"/>
                <w:szCs w:val="18"/>
              </w:rPr>
            </w:pPr>
            <w:r w:rsidRPr="004E5018">
              <w:rPr>
                <w:rFonts w:ascii="Times New Roman" w:hAnsi="Times New Roman" w:cs="Times New Roman"/>
                <w:b/>
                <w:sz w:val="18"/>
                <w:szCs w:val="18"/>
              </w:rPr>
              <w:t>Здравство и социјална заштита</w:t>
            </w:r>
          </w:p>
        </w:tc>
        <w:tc>
          <w:tcPr>
            <w:tcW w:w="943" w:type="dxa"/>
            <w:tcBorders>
              <w:left w:val="single" w:sz="18" w:space="0" w:color="auto"/>
            </w:tcBorders>
            <w:vAlign w:val="center"/>
          </w:tcPr>
          <w:p w:rsidR="000D04EB" w:rsidRPr="004E5018" w:rsidRDefault="000D04EB" w:rsidP="003F4DFD">
            <w:pPr>
              <w:jc w:val="center"/>
              <w:rPr>
                <w:color w:val="000000"/>
                <w:sz w:val="18"/>
                <w:szCs w:val="18"/>
              </w:rPr>
            </w:pPr>
            <w:r w:rsidRPr="004E5018">
              <w:rPr>
                <w:color w:val="000000"/>
                <w:sz w:val="18"/>
                <w:szCs w:val="18"/>
              </w:rPr>
              <w:t>3.122</w:t>
            </w:r>
          </w:p>
        </w:tc>
        <w:tc>
          <w:tcPr>
            <w:tcW w:w="644" w:type="dxa"/>
            <w:vAlign w:val="center"/>
          </w:tcPr>
          <w:p w:rsidR="000D04EB" w:rsidRPr="004E5018" w:rsidRDefault="000D04EB" w:rsidP="003F4DFD">
            <w:pPr>
              <w:jc w:val="center"/>
              <w:rPr>
                <w:color w:val="000000"/>
                <w:sz w:val="18"/>
                <w:szCs w:val="18"/>
              </w:rPr>
            </w:pPr>
            <w:r w:rsidRPr="004E5018">
              <w:rPr>
                <w:color w:val="000000"/>
                <w:sz w:val="18"/>
                <w:szCs w:val="18"/>
              </w:rPr>
              <w:t>46%</w:t>
            </w:r>
          </w:p>
        </w:tc>
        <w:tc>
          <w:tcPr>
            <w:tcW w:w="1155" w:type="dxa"/>
            <w:vAlign w:val="center"/>
          </w:tcPr>
          <w:p w:rsidR="000D04EB" w:rsidRPr="004E5018" w:rsidRDefault="000D04EB" w:rsidP="003F4DFD">
            <w:pPr>
              <w:jc w:val="center"/>
              <w:rPr>
                <w:color w:val="000000"/>
                <w:sz w:val="18"/>
                <w:szCs w:val="18"/>
              </w:rPr>
            </w:pPr>
            <w:r w:rsidRPr="004E5018">
              <w:rPr>
                <w:color w:val="000000"/>
                <w:sz w:val="18"/>
                <w:szCs w:val="18"/>
              </w:rPr>
              <w:t>12.600.782</w:t>
            </w:r>
          </w:p>
        </w:tc>
        <w:tc>
          <w:tcPr>
            <w:tcW w:w="0" w:type="auto"/>
            <w:tcBorders>
              <w:right w:val="single" w:sz="18" w:space="0" w:color="auto"/>
            </w:tcBorders>
            <w:vAlign w:val="center"/>
          </w:tcPr>
          <w:p w:rsidR="000D04EB" w:rsidRPr="004E5018" w:rsidRDefault="000D04EB" w:rsidP="003F4DFD">
            <w:pPr>
              <w:jc w:val="center"/>
              <w:rPr>
                <w:color w:val="000000"/>
                <w:sz w:val="18"/>
                <w:szCs w:val="18"/>
              </w:rPr>
            </w:pPr>
            <w:r w:rsidRPr="004E5018">
              <w:rPr>
                <w:color w:val="000000"/>
                <w:sz w:val="18"/>
                <w:szCs w:val="18"/>
              </w:rPr>
              <w:t>17%</w:t>
            </w:r>
          </w:p>
        </w:tc>
        <w:tc>
          <w:tcPr>
            <w:tcW w:w="943" w:type="dxa"/>
            <w:tcBorders>
              <w:left w:val="single" w:sz="18" w:space="0" w:color="auto"/>
            </w:tcBorders>
            <w:vAlign w:val="center"/>
          </w:tcPr>
          <w:p w:rsidR="000D04EB" w:rsidRPr="004E5018" w:rsidRDefault="000D04EB" w:rsidP="003F4DFD">
            <w:pPr>
              <w:jc w:val="center"/>
              <w:rPr>
                <w:rFonts w:ascii="Calibri" w:hAnsi="Calibri" w:cs="Calibri"/>
                <w:color w:val="000000"/>
                <w:sz w:val="18"/>
                <w:szCs w:val="18"/>
              </w:rPr>
            </w:pPr>
            <w:r>
              <w:rPr>
                <w:rFonts w:ascii="Calibri" w:hAnsi="Calibri" w:cs="Calibri"/>
                <w:color w:val="000000"/>
                <w:sz w:val="18"/>
                <w:szCs w:val="18"/>
              </w:rPr>
              <w:t>396</w:t>
            </w:r>
          </w:p>
        </w:tc>
        <w:tc>
          <w:tcPr>
            <w:tcW w:w="711" w:type="dxa"/>
            <w:vAlign w:val="center"/>
          </w:tcPr>
          <w:p w:rsidR="000D04EB" w:rsidRPr="004E5018" w:rsidRDefault="000D04EB" w:rsidP="003F4DFD">
            <w:pPr>
              <w:jc w:val="center"/>
              <w:rPr>
                <w:rFonts w:ascii="Calibri" w:hAnsi="Calibri" w:cs="Calibri"/>
                <w:color w:val="000000"/>
                <w:sz w:val="18"/>
                <w:szCs w:val="18"/>
              </w:rPr>
            </w:pPr>
            <w:r>
              <w:rPr>
                <w:rFonts w:ascii="Calibri" w:hAnsi="Calibri" w:cs="Calibri"/>
                <w:color w:val="000000"/>
                <w:sz w:val="18"/>
                <w:szCs w:val="18"/>
              </w:rPr>
              <w:t>46%</w:t>
            </w:r>
          </w:p>
        </w:tc>
        <w:tc>
          <w:tcPr>
            <w:tcW w:w="1209" w:type="dxa"/>
            <w:vAlign w:val="center"/>
          </w:tcPr>
          <w:p w:rsidR="000D04EB" w:rsidRPr="004E5018" w:rsidRDefault="000D04EB" w:rsidP="003F4DFD">
            <w:pPr>
              <w:jc w:val="center"/>
              <w:rPr>
                <w:rFonts w:ascii="Calibri" w:hAnsi="Calibri" w:cs="Calibri"/>
                <w:color w:val="000000"/>
                <w:sz w:val="18"/>
                <w:szCs w:val="18"/>
              </w:rPr>
            </w:pPr>
            <w:r>
              <w:rPr>
                <w:rFonts w:ascii="Calibri" w:hAnsi="Calibri" w:cs="Calibri"/>
                <w:color w:val="000000"/>
                <w:sz w:val="18"/>
                <w:szCs w:val="18"/>
              </w:rPr>
              <w:t>1.508.187</w:t>
            </w:r>
          </w:p>
        </w:tc>
        <w:tc>
          <w:tcPr>
            <w:tcW w:w="1454" w:type="dxa"/>
            <w:tcBorders>
              <w:right w:val="single" w:sz="18" w:space="0" w:color="auto"/>
            </w:tcBorders>
            <w:vAlign w:val="center"/>
          </w:tcPr>
          <w:p w:rsidR="000D04EB" w:rsidRPr="004E5018" w:rsidRDefault="000D04EB" w:rsidP="003F4DFD">
            <w:pPr>
              <w:jc w:val="center"/>
              <w:rPr>
                <w:rFonts w:ascii="Calibri" w:hAnsi="Calibri" w:cs="Calibri"/>
                <w:color w:val="000000"/>
                <w:sz w:val="18"/>
                <w:szCs w:val="18"/>
              </w:rPr>
            </w:pPr>
            <w:r>
              <w:rPr>
                <w:rFonts w:ascii="Calibri" w:hAnsi="Calibri" w:cs="Calibri"/>
                <w:color w:val="000000"/>
                <w:sz w:val="18"/>
                <w:szCs w:val="18"/>
              </w:rPr>
              <w:t>27%</w:t>
            </w:r>
          </w:p>
        </w:tc>
      </w:tr>
      <w:tr w:rsidR="000D04EB" w:rsidRPr="004E5018" w:rsidTr="003F4DFD">
        <w:tblPrEx>
          <w:tblLook w:val="04A0" w:firstRow="1" w:lastRow="0" w:firstColumn="1" w:lastColumn="0" w:noHBand="0" w:noVBand="1"/>
        </w:tblPrEx>
        <w:trPr>
          <w:jc w:val="center"/>
        </w:trPr>
        <w:tc>
          <w:tcPr>
            <w:tcW w:w="1347" w:type="dxa"/>
            <w:tcBorders>
              <w:left w:val="single" w:sz="18" w:space="0" w:color="auto"/>
              <w:right w:val="single" w:sz="18" w:space="0" w:color="auto"/>
            </w:tcBorders>
            <w:vAlign w:val="center"/>
          </w:tcPr>
          <w:p w:rsidR="000D04EB" w:rsidRPr="004E5018" w:rsidRDefault="000D04EB" w:rsidP="003F4DFD">
            <w:pPr>
              <w:jc w:val="center"/>
              <w:rPr>
                <w:rFonts w:ascii="Times New Roman" w:hAnsi="Times New Roman" w:cs="Times New Roman"/>
                <w:b/>
                <w:sz w:val="18"/>
                <w:szCs w:val="18"/>
              </w:rPr>
            </w:pPr>
            <w:r w:rsidRPr="004E5018">
              <w:rPr>
                <w:rFonts w:ascii="Times New Roman" w:hAnsi="Times New Roman" w:cs="Times New Roman"/>
                <w:b/>
                <w:sz w:val="18"/>
                <w:szCs w:val="18"/>
              </w:rPr>
              <w:t>Култура</w:t>
            </w:r>
          </w:p>
        </w:tc>
        <w:tc>
          <w:tcPr>
            <w:tcW w:w="943" w:type="dxa"/>
            <w:tcBorders>
              <w:left w:val="single" w:sz="18" w:space="0" w:color="auto"/>
            </w:tcBorders>
            <w:vAlign w:val="center"/>
          </w:tcPr>
          <w:p w:rsidR="000D04EB" w:rsidRPr="004E5018" w:rsidRDefault="000D04EB" w:rsidP="003F4DFD">
            <w:pPr>
              <w:jc w:val="center"/>
              <w:rPr>
                <w:color w:val="000000"/>
                <w:sz w:val="18"/>
                <w:szCs w:val="18"/>
              </w:rPr>
            </w:pPr>
            <w:r w:rsidRPr="004E5018">
              <w:rPr>
                <w:color w:val="000000"/>
                <w:sz w:val="18"/>
                <w:szCs w:val="18"/>
              </w:rPr>
              <w:t>124</w:t>
            </w:r>
          </w:p>
        </w:tc>
        <w:tc>
          <w:tcPr>
            <w:tcW w:w="644" w:type="dxa"/>
            <w:vAlign w:val="center"/>
          </w:tcPr>
          <w:p w:rsidR="000D04EB" w:rsidRPr="004E5018" w:rsidRDefault="000D04EB" w:rsidP="003F4DFD">
            <w:pPr>
              <w:jc w:val="center"/>
              <w:rPr>
                <w:color w:val="000000"/>
                <w:sz w:val="18"/>
                <w:szCs w:val="18"/>
              </w:rPr>
            </w:pPr>
            <w:r w:rsidRPr="004E5018">
              <w:rPr>
                <w:color w:val="000000"/>
                <w:sz w:val="18"/>
                <w:szCs w:val="18"/>
              </w:rPr>
              <w:t>2%</w:t>
            </w:r>
          </w:p>
        </w:tc>
        <w:tc>
          <w:tcPr>
            <w:tcW w:w="1155" w:type="dxa"/>
            <w:vAlign w:val="center"/>
          </w:tcPr>
          <w:p w:rsidR="000D04EB" w:rsidRPr="004E5018" w:rsidRDefault="000D04EB" w:rsidP="003F4DFD">
            <w:pPr>
              <w:jc w:val="center"/>
              <w:rPr>
                <w:color w:val="000000"/>
                <w:sz w:val="18"/>
                <w:szCs w:val="18"/>
              </w:rPr>
            </w:pPr>
            <w:r w:rsidRPr="004E5018">
              <w:rPr>
                <w:color w:val="000000"/>
                <w:sz w:val="18"/>
                <w:szCs w:val="18"/>
              </w:rPr>
              <w:t>146.536</w:t>
            </w:r>
          </w:p>
        </w:tc>
        <w:tc>
          <w:tcPr>
            <w:tcW w:w="0" w:type="auto"/>
            <w:tcBorders>
              <w:right w:val="single" w:sz="18" w:space="0" w:color="auto"/>
            </w:tcBorders>
            <w:vAlign w:val="center"/>
          </w:tcPr>
          <w:p w:rsidR="000D04EB" w:rsidRPr="004E5018" w:rsidRDefault="000D04EB" w:rsidP="003F4DFD">
            <w:pPr>
              <w:jc w:val="center"/>
              <w:rPr>
                <w:color w:val="000000"/>
                <w:sz w:val="18"/>
                <w:szCs w:val="18"/>
              </w:rPr>
            </w:pPr>
            <w:r w:rsidRPr="004E5018">
              <w:rPr>
                <w:color w:val="000000"/>
                <w:sz w:val="18"/>
                <w:szCs w:val="18"/>
              </w:rPr>
              <w:t>0%</w:t>
            </w:r>
          </w:p>
        </w:tc>
        <w:tc>
          <w:tcPr>
            <w:tcW w:w="943" w:type="dxa"/>
            <w:tcBorders>
              <w:left w:val="single" w:sz="18" w:space="0" w:color="auto"/>
            </w:tcBorders>
            <w:vAlign w:val="center"/>
          </w:tcPr>
          <w:p w:rsidR="000D04EB" w:rsidRPr="004E5018" w:rsidRDefault="000D04EB" w:rsidP="003F4DFD">
            <w:pPr>
              <w:jc w:val="center"/>
              <w:rPr>
                <w:rFonts w:ascii="Calibri" w:hAnsi="Calibri" w:cs="Calibri"/>
                <w:color w:val="000000"/>
                <w:sz w:val="18"/>
                <w:szCs w:val="18"/>
              </w:rPr>
            </w:pPr>
            <w:r>
              <w:rPr>
                <w:rFonts w:ascii="Calibri" w:hAnsi="Calibri" w:cs="Calibri"/>
                <w:color w:val="000000"/>
                <w:sz w:val="18"/>
                <w:szCs w:val="18"/>
              </w:rPr>
              <w:t>180</w:t>
            </w:r>
          </w:p>
        </w:tc>
        <w:tc>
          <w:tcPr>
            <w:tcW w:w="711" w:type="dxa"/>
            <w:vAlign w:val="center"/>
          </w:tcPr>
          <w:p w:rsidR="000D04EB" w:rsidRPr="004E5018" w:rsidRDefault="000D04EB" w:rsidP="003F4DFD">
            <w:pPr>
              <w:jc w:val="center"/>
              <w:rPr>
                <w:rFonts w:ascii="Calibri" w:hAnsi="Calibri" w:cs="Calibri"/>
                <w:color w:val="000000"/>
                <w:sz w:val="18"/>
                <w:szCs w:val="18"/>
              </w:rPr>
            </w:pPr>
            <w:r>
              <w:rPr>
                <w:rFonts w:ascii="Calibri" w:hAnsi="Calibri" w:cs="Calibri"/>
                <w:color w:val="000000"/>
                <w:sz w:val="18"/>
                <w:szCs w:val="18"/>
              </w:rPr>
              <w:t>21%</w:t>
            </w:r>
          </w:p>
        </w:tc>
        <w:tc>
          <w:tcPr>
            <w:tcW w:w="1209" w:type="dxa"/>
            <w:vAlign w:val="center"/>
          </w:tcPr>
          <w:p w:rsidR="000D04EB" w:rsidRPr="004E5018" w:rsidRDefault="000D04EB" w:rsidP="003F4DFD">
            <w:pPr>
              <w:jc w:val="center"/>
              <w:rPr>
                <w:rFonts w:ascii="Calibri" w:hAnsi="Calibri" w:cs="Calibri"/>
                <w:color w:val="000000"/>
                <w:sz w:val="18"/>
                <w:szCs w:val="18"/>
              </w:rPr>
            </w:pPr>
            <w:r>
              <w:rPr>
                <w:rFonts w:ascii="Calibri" w:hAnsi="Calibri" w:cs="Calibri"/>
                <w:color w:val="000000"/>
                <w:sz w:val="18"/>
                <w:szCs w:val="18"/>
              </w:rPr>
              <w:t>286.501</w:t>
            </w:r>
          </w:p>
        </w:tc>
        <w:tc>
          <w:tcPr>
            <w:tcW w:w="1454" w:type="dxa"/>
            <w:tcBorders>
              <w:right w:val="single" w:sz="18" w:space="0" w:color="auto"/>
            </w:tcBorders>
            <w:vAlign w:val="center"/>
          </w:tcPr>
          <w:p w:rsidR="000D04EB" w:rsidRPr="004E5018" w:rsidRDefault="000D04EB" w:rsidP="003F4DFD">
            <w:pPr>
              <w:jc w:val="center"/>
              <w:rPr>
                <w:rFonts w:ascii="Calibri" w:hAnsi="Calibri" w:cs="Calibri"/>
                <w:color w:val="000000"/>
                <w:sz w:val="18"/>
                <w:szCs w:val="18"/>
              </w:rPr>
            </w:pPr>
            <w:r>
              <w:rPr>
                <w:rFonts w:ascii="Calibri" w:hAnsi="Calibri" w:cs="Calibri"/>
                <w:color w:val="000000"/>
                <w:sz w:val="18"/>
                <w:szCs w:val="18"/>
              </w:rPr>
              <w:t>5%</w:t>
            </w:r>
          </w:p>
        </w:tc>
      </w:tr>
      <w:tr w:rsidR="000D04EB" w:rsidRPr="004E5018" w:rsidTr="003F4DFD">
        <w:tblPrEx>
          <w:tblLook w:val="04A0" w:firstRow="1" w:lastRow="0" w:firstColumn="1" w:lastColumn="0" w:noHBand="0" w:noVBand="1"/>
        </w:tblPrEx>
        <w:trPr>
          <w:jc w:val="center"/>
        </w:trPr>
        <w:tc>
          <w:tcPr>
            <w:tcW w:w="1347" w:type="dxa"/>
            <w:tcBorders>
              <w:left w:val="single" w:sz="18" w:space="0" w:color="auto"/>
              <w:right w:val="single" w:sz="18" w:space="0" w:color="auto"/>
            </w:tcBorders>
            <w:vAlign w:val="center"/>
          </w:tcPr>
          <w:p w:rsidR="000D04EB" w:rsidRPr="004E5018" w:rsidRDefault="000D04EB" w:rsidP="003F4DFD">
            <w:pPr>
              <w:jc w:val="center"/>
              <w:rPr>
                <w:rFonts w:ascii="Times New Roman" w:hAnsi="Times New Roman" w:cs="Times New Roman"/>
                <w:b/>
                <w:sz w:val="18"/>
                <w:szCs w:val="18"/>
              </w:rPr>
            </w:pPr>
            <w:r w:rsidRPr="004E5018">
              <w:rPr>
                <w:rFonts w:ascii="Times New Roman" w:hAnsi="Times New Roman" w:cs="Times New Roman"/>
                <w:b/>
                <w:sz w:val="18"/>
                <w:szCs w:val="18"/>
              </w:rPr>
              <w:t>Просвета, наука и спорт</w:t>
            </w:r>
          </w:p>
        </w:tc>
        <w:tc>
          <w:tcPr>
            <w:tcW w:w="943" w:type="dxa"/>
            <w:tcBorders>
              <w:left w:val="single" w:sz="18" w:space="0" w:color="auto"/>
            </w:tcBorders>
            <w:vAlign w:val="center"/>
          </w:tcPr>
          <w:p w:rsidR="000D04EB" w:rsidRPr="004E5018" w:rsidRDefault="000D04EB" w:rsidP="003F4DFD">
            <w:pPr>
              <w:jc w:val="center"/>
              <w:rPr>
                <w:color w:val="000000"/>
                <w:sz w:val="18"/>
                <w:szCs w:val="18"/>
              </w:rPr>
            </w:pPr>
            <w:r w:rsidRPr="004E5018">
              <w:rPr>
                <w:color w:val="000000"/>
                <w:sz w:val="18"/>
                <w:szCs w:val="18"/>
              </w:rPr>
              <w:t>173</w:t>
            </w:r>
          </w:p>
        </w:tc>
        <w:tc>
          <w:tcPr>
            <w:tcW w:w="644" w:type="dxa"/>
            <w:vAlign w:val="center"/>
          </w:tcPr>
          <w:p w:rsidR="000D04EB" w:rsidRPr="004E5018" w:rsidRDefault="000D04EB" w:rsidP="003F4DFD">
            <w:pPr>
              <w:jc w:val="center"/>
              <w:rPr>
                <w:color w:val="000000"/>
                <w:sz w:val="18"/>
                <w:szCs w:val="18"/>
              </w:rPr>
            </w:pPr>
            <w:r w:rsidRPr="004E5018">
              <w:rPr>
                <w:color w:val="000000"/>
                <w:sz w:val="18"/>
                <w:szCs w:val="18"/>
              </w:rPr>
              <w:t>3%</w:t>
            </w:r>
          </w:p>
        </w:tc>
        <w:tc>
          <w:tcPr>
            <w:tcW w:w="1155" w:type="dxa"/>
            <w:vAlign w:val="center"/>
          </w:tcPr>
          <w:p w:rsidR="000D04EB" w:rsidRPr="004E5018" w:rsidRDefault="000D04EB" w:rsidP="003F4DFD">
            <w:pPr>
              <w:jc w:val="center"/>
              <w:rPr>
                <w:color w:val="000000"/>
                <w:sz w:val="18"/>
                <w:szCs w:val="18"/>
              </w:rPr>
            </w:pPr>
            <w:r w:rsidRPr="004E5018">
              <w:rPr>
                <w:color w:val="000000"/>
                <w:sz w:val="18"/>
                <w:szCs w:val="18"/>
              </w:rPr>
              <w:t>318.732</w:t>
            </w:r>
          </w:p>
        </w:tc>
        <w:tc>
          <w:tcPr>
            <w:tcW w:w="0" w:type="auto"/>
            <w:tcBorders>
              <w:right w:val="single" w:sz="18" w:space="0" w:color="auto"/>
            </w:tcBorders>
            <w:vAlign w:val="center"/>
          </w:tcPr>
          <w:p w:rsidR="000D04EB" w:rsidRPr="004E5018" w:rsidRDefault="000D04EB" w:rsidP="003F4DFD">
            <w:pPr>
              <w:jc w:val="center"/>
              <w:rPr>
                <w:color w:val="000000"/>
                <w:sz w:val="18"/>
                <w:szCs w:val="18"/>
              </w:rPr>
            </w:pPr>
            <w:r w:rsidRPr="004E5018">
              <w:rPr>
                <w:color w:val="000000"/>
                <w:sz w:val="18"/>
                <w:szCs w:val="18"/>
              </w:rPr>
              <w:t>0%</w:t>
            </w:r>
          </w:p>
        </w:tc>
        <w:tc>
          <w:tcPr>
            <w:tcW w:w="943" w:type="dxa"/>
            <w:tcBorders>
              <w:left w:val="single" w:sz="18" w:space="0" w:color="auto"/>
            </w:tcBorders>
            <w:vAlign w:val="center"/>
          </w:tcPr>
          <w:p w:rsidR="000D04EB" w:rsidRPr="004E5018" w:rsidRDefault="000D04EB" w:rsidP="003F4DFD">
            <w:pPr>
              <w:jc w:val="center"/>
              <w:rPr>
                <w:rFonts w:ascii="Calibri" w:hAnsi="Calibri" w:cs="Calibri"/>
                <w:color w:val="000000"/>
                <w:sz w:val="18"/>
                <w:szCs w:val="18"/>
              </w:rPr>
            </w:pPr>
            <w:r>
              <w:rPr>
                <w:rFonts w:ascii="Calibri" w:hAnsi="Calibri" w:cs="Calibri"/>
                <w:color w:val="000000"/>
                <w:sz w:val="18"/>
                <w:szCs w:val="18"/>
              </w:rPr>
              <w:t>26</w:t>
            </w:r>
          </w:p>
        </w:tc>
        <w:tc>
          <w:tcPr>
            <w:tcW w:w="711" w:type="dxa"/>
            <w:vAlign w:val="center"/>
          </w:tcPr>
          <w:p w:rsidR="000D04EB" w:rsidRPr="004E5018" w:rsidRDefault="000D04EB" w:rsidP="003F4DFD">
            <w:pPr>
              <w:jc w:val="center"/>
              <w:rPr>
                <w:rFonts w:ascii="Calibri" w:hAnsi="Calibri" w:cs="Calibri"/>
                <w:color w:val="000000"/>
                <w:sz w:val="18"/>
                <w:szCs w:val="18"/>
              </w:rPr>
            </w:pPr>
            <w:r>
              <w:rPr>
                <w:rFonts w:ascii="Calibri" w:hAnsi="Calibri" w:cs="Calibri"/>
                <w:color w:val="000000"/>
                <w:sz w:val="18"/>
                <w:szCs w:val="18"/>
              </w:rPr>
              <w:t>3%</w:t>
            </w:r>
          </w:p>
        </w:tc>
        <w:tc>
          <w:tcPr>
            <w:tcW w:w="1209" w:type="dxa"/>
            <w:vAlign w:val="center"/>
          </w:tcPr>
          <w:p w:rsidR="000D04EB" w:rsidRPr="004E5018" w:rsidRDefault="000D04EB" w:rsidP="003F4DFD">
            <w:pPr>
              <w:jc w:val="center"/>
              <w:rPr>
                <w:rFonts w:ascii="Calibri" w:hAnsi="Calibri" w:cs="Calibri"/>
                <w:color w:val="000000"/>
                <w:sz w:val="18"/>
                <w:szCs w:val="18"/>
              </w:rPr>
            </w:pPr>
            <w:r>
              <w:rPr>
                <w:rFonts w:ascii="Calibri" w:hAnsi="Calibri" w:cs="Calibri"/>
                <w:color w:val="000000"/>
                <w:sz w:val="18"/>
                <w:szCs w:val="18"/>
              </w:rPr>
              <w:t>34.417</w:t>
            </w:r>
          </w:p>
        </w:tc>
        <w:tc>
          <w:tcPr>
            <w:tcW w:w="1454" w:type="dxa"/>
            <w:tcBorders>
              <w:right w:val="single" w:sz="18" w:space="0" w:color="auto"/>
            </w:tcBorders>
            <w:vAlign w:val="center"/>
          </w:tcPr>
          <w:p w:rsidR="000D04EB" w:rsidRPr="004E5018" w:rsidRDefault="000D04EB" w:rsidP="003F4DFD">
            <w:pPr>
              <w:jc w:val="center"/>
              <w:rPr>
                <w:rFonts w:ascii="Calibri" w:hAnsi="Calibri" w:cs="Calibri"/>
                <w:color w:val="000000"/>
                <w:sz w:val="18"/>
                <w:szCs w:val="18"/>
              </w:rPr>
            </w:pPr>
            <w:r>
              <w:rPr>
                <w:rFonts w:ascii="Calibri" w:hAnsi="Calibri" w:cs="Calibri"/>
                <w:color w:val="000000"/>
                <w:sz w:val="18"/>
                <w:szCs w:val="18"/>
              </w:rPr>
              <w:t>1%</w:t>
            </w:r>
          </w:p>
        </w:tc>
      </w:tr>
      <w:tr w:rsidR="000D04EB" w:rsidRPr="004E5018" w:rsidTr="003F4DFD">
        <w:tblPrEx>
          <w:tblLook w:val="04A0" w:firstRow="1" w:lastRow="0" w:firstColumn="1" w:lastColumn="0" w:noHBand="0" w:noVBand="1"/>
        </w:tblPrEx>
        <w:trPr>
          <w:jc w:val="center"/>
        </w:trPr>
        <w:tc>
          <w:tcPr>
            <w:tcW w:w="1347" w:type="dxa"/>
            <w:tcBorders>
              <w:left w:val="single" w:sz="18" w:space="0" w:color="auto"/>
              <w:right w:val="single" w:sz="18" w:space="0" w:color="auto"/>
            </w:tcBorders>
            <w:vAlign w:val="center"/>
          </w:tcPr>
          <w:p w:rsidR="000D04EB" w:rsidRPr="004E5018" w:rsidRDefault="000D04EB" w:rsidP="003F4DFD">
            <w:pPr>
              <w:jc w:val="center"/>
              <w:rPr>
                <w:rFonts w:ascii="Times New Roman" w:hAnsi="Times New Roman" w:cs="Times New Roman"/>
                <w:b/>
                <w:sz w:val="18"/>
                <w:szCs w:val="18"/>
              </w:rPr>
            </w:pPr>
            <w:r w:rsidRPr="004E5018">
              <w:rPr>
                <w:rFonts w:ascii="Times New Roman" w:hAnsi="Times New Roman" w:cs="Times New Roman"/>
                <w:b/>
                <w:sz w:val="18"/>
                <w:szCs w:val="18"/>
              </w:rPr>
              <w:t>Државна јавна предузећа</w:t>
            </w:r>
          </w:p>
        </w:tc>
        <w:tc>
          <w:tcPr>
            <w:tcW w:w="943" w:type="dxa"/>
            <w:tcBorders>
              <w:left w:val="single" w:sz="18" w:space="0" w:color="auto"/>
            </w:tcBorders>
            <w:vAlign w:val="center"/>
          </w:tcPr>
          <w:p w:rsidR="000D04EB" w:rsidRPr="004E5018" w:rsidRDefault="000D04EB" w:rsidP="003F4DFD">
            <w:pPr>
              <w:jc w:val="center"/>
              <w:rPr>
                <w:color w:val="000000"/>
                <w:sz w:val="18"/>
                <w:szCs w:val="18"/>
              </w:rPr>
            </w:pPr>
            <w:r w:rsidRPr="004E5018">
              <w:rPr>
                <w:color w:val="000000"/>
                <w:sz w:val="18"/>
                <w:szCs w:val="18"/>
              </w:rPr>
              <w:t>1.428</w:t>
            </w:r>
          </w:p>
        </w:tc>
        <w:tc>
          <w:tcPr>
            <w:tcW w:w="644" w:type="dxa"/>
            <w:vAlign w:val="center"/>
          </w:tcPr>
          <w:p w:rsidR="000D04EB" w:rsidRPr="004E5018" w:rsidRDefault="000D04EB" w:rsidP="003F4DFD">
            <w:pPr>
              <w:jc w:val="center"/>
              <w:rPr>
                <w:color w:val="000000"/>
                <w:sz w:val="18"/>
                <w:szCs w:val="18"/>
              </w:rPr>
            </w:pPr>
            <w:r w:rsidRPr="004E5018">
              <w:rPr>
                <w:color w:val="000000"/>
                <w:sz w:val="18"/>
                <w:szCs w:val="18"/>
              </w:rPr>
              <w:t>21%</w:t>
            </w:r>
          </w:p>
        </w:tc>
        <w:tc>
          <w:tcPr>
            <w:tcW w:w="1155" w:type="dxa"/>
            <w:vAlign w:val="center"/>
          </w:tcPr>
          <w:p w:rsidR="000D04EB" w:rsidRPr="004E5018" w:rsidRDefault="000D04EB" w:rsidP="003F4DFD">
            <w:pPr>
              <w:jc w:val="center"/>
              <w:rPr>
                <w:color w:val="000000"/>
                <w:sz w:val="18"/>
                <w:szCs w:val="18"/>
              </w:rPr>
            </w:pPr>
            <w:r w:rsidRPr="004E5018">
              <w:rPr>
                <w:color w:val="000000"/>
                <w:sz w:val="18"/>
                <w:szCs w:val="18"/>
              </w:rPr>
              <w:t>45.873.838</w:t>
            </w:r>
          </w:p>
        </w:tc>
        <w:tc>
          <w:tcPr>
            <w:tcW w:w="0" w:type="auto"/>
            <w:tcBorders>
              <w:right w:val="single" w:sz="18" w:space="0" w:color="auto"/>
            </w:tcBorders>
            <w:vAlign w:val="center"/>
          </w:tcPr>
          <w:p w:rsidR="000D04EB" w:rsidRPr="004E5018" w:rsidRDefault="000D04EB" w:rsidP="003F4DFD">
            <w:pPr>
              <w:jc w:val="center"/>
              <w:rPr>
                <w:color w:val="000000"/>
                <w:sz w:val="18"/>
                <w:szCs w:val="18"/>
              </w:rPr>
            </w:pPr>
            <w:r w:rsidRPr="004E5018">
              <w:rPr>
                <w:color w:val="000000"/>
                <w:sz w:val="18"/>
                <w:szCs w:val="18"/>
              </w:rPr>
              <w:t>63%</w:t>
            </w:r>
          </w:p>
        </w:tc>
        <w:tc>
          <w:tcPr>
            <w:tcW w:w="943" w:type="dxa"/>
            <w:tcBorders>
              <w:left w:val="single" w:sz="18" w:space="0" w:color="auto"/>
            </w:tcBorders>
            <w:vAlign w:val="center"/>
          </w:tcPr>
          <w:p w:rsidR="000D04EB" w:rsidRPr="004E5018" w:rsidRDefault="000D04EB" w:rsidP="003F4DFD">
            <w:pPr>
              <w:jc w:val="center"/>
              <w:rPr>
                <w:rFonts w:ascii="Calibri" w:hAnsi="Calibri" w:cs="Calibri"/>
                <w:color w:val="000000"/>
                <w:sz w:val="18"/>
                <w:szCs w:val="18"/>
              </w:rPr>
            </w:pPr>
            <w:r>
              <w:rPr>
                <w:rFonts w:ascii="Calibri" w:hAnsi="Calibri" w:cs="Calibri"/>
                <w:color w:val="000000"/>
                <w:sz w:val="18"/>
                <w:szCs w:val="18"/>
              </w:rPr>
              <w:t>90</w:t>
            </w:r>
          </w:p>
        </w:tc>
        <w:tc>
          <w:tcPr>
            <w:tcW w:w="711" w:type="dxa"/>
            <w:vAlign w:val="center"/>
          </w:tcPr>
          <w:p w:rsidR="000D04EB" w:rsidRPr="004E5018" w:rsidRDefault="000D04EB" w:rsidP="003F4DFD">
            <w:pPr>
              <w:jc w:val="center"/>
              <w:rPr>
                <w:rFonts w:ascii="Calibri" w:hAnsi="Calibri" w:cs="Calibri"/>
                <w:color w:val="000000"/>
                <w:sz w:val="18"/>
                <w:szCs w:val="18"/>
              </w:rPr>
            </w:pPr>
            <w:r>
              <w:rPr>
                <w:rFonts w:ascii="Calibri" w:hAnsi="Calibri" w:cs="Calibri"/>
                <w:color w:val="000000"/>
                <w:sz w:val="18"/>
                <w:szCs w:val="18"/>
              </w:rPr>
              <w:t>11%</w:t>
            </w:r>
          </w:p>
        </w:tc>
        <w:tc>
          <w:tcPr>
            <w:tcW w:w="1209" w:type="dxa"/>
            <w:vAlign w:val="center"/>
          </w:tcPr>
          <w:p w:rsidR="000D04EB" w:rsidRPr="004E5018" w:rsidRDefault="000D04EB" w:rsidP="003F4DFD">
            <w:pPr>
              <w:jc w:val="center"/>
              <w:rPr>
                <w:rFonts w:ascii="Calibri" w:hAnsi="Calibri" w:cs="Calibri"/>
                <w:color w:val="000000"/>
                <w:sz w:val="18"/>
                <w:szCs w:val="18"/>
              </w:rPr>
            </w:pPr>
            <w:r>
              <w:rPr>
                <w:rFonts w:ascii="Calibri" w:hAnsi="Calibri" w:cs="Calibri"/>
                <w:color w:val="000000"/>
                <w:sz w:val="18"/>
                <w:szCs w:val="18"/>
              </w:rPr>
              <w:t>2.516.867</w:t>
            </w:r>
          </w:p>
        </w:tc>
        <w:tc>
          <w:tcPr>
            <w:tcW w:w="1454" w:type="dxa"/>
            <w:tcBorders>
              <w:right w:val="single" w:sz="18" w:space="0" w:color="auto"/>
            </w:tcBorders>
            <w:vAlign w:val="center"/>
          </w:tcPr>
          <w:p w:rsidR="000D04EB" w:rsidRPr="004E5018" w:rsidRDefault="000D04EB" w:rsidP="003F4DFD">
            <w:pPr>
              <w:jc w:val="center"/>
              <w:rPr>
                <w:rFonts w:ascii="Calibri" w:hAnsi="Calibri" w:cs="Calibri"/>
                <w:color w:val="000000"/>
                <w:sz w:val="18"/>
                <w:szCs w:val="18"/>
              </w:rPr>
            </w:pPr>
            <w:r>
              <w:rPr>
                <w:rFonts w:ascii="Calibri" w:hAnsi="Calibri" w:cs="Calibri"/>
                <w:color w:val="000000"/>
                <w:sz w:val="18"/>
                <w:szCs w:val="18"/>
              </w:rPr>
              <w:t>44%</w:t>
            </w:r>
          </w:p>
        </w:tc>
      </w:tr>
      <w:tr w:rsidR="000D04EB" w:rsidRPr="004E5018" w:rsidTr="003F4DFD">
        <w:tblPrEx>
          <w:tblLook w:val="04A0" w:firstRow="1" w:lastRow="0" w:firstColumn="1" w:lastColumn="0" w:noHBand="0" w:noVBand="1"/>
        </w:tblPrEx>
        <w:trPr>
          <w:jc w:val="center"/>
        </w:trPr>
        <w:tc>
          <w:tcPr>
            <w:tcW w:w="1347" w:type="dxa"/>
            <w:tcBorders>
              <w:left w:val="single" w:sz="18" w:space="0" w:color="auto"/>
              <w:right w:val="single" w:sz="18" w:space="0" w:color="auto"/>
            </w:tcBorders>
            <w:vAlign w:val="center"/>
          </w:tcPr>
          <w:p w:rsidR="000D04EB" w:rsidRPr="004E5018" w:rsidRDefault="000D04EB" w:rsidP="003F4DFD">
            <w:pPr>
              <w:jc w:val="center"/>
              <w:rPr>
                <w:rFonts w:ascii="Times New Roman" w:hAnsi="Times New Roman" w:cs="Times New Roman"/>
                <w:b/>
                <w:sz w:val="18"/>
                <w:szCs w:val="18"/>
              </w:rPr>
            </w:pPr>
            <w:r w:rsidRPr="004E5018">
              <w:rPr>
                <w:rFonts w:ascii="Times New Roman" w:hAnsi="Times New Roman" w:cs="Times New Roman"/>
                <w:b/>
                <w:sz w:val="18"/>
                <w:szCs w:val="18"/>
              </w:rPr>
              <w:t>Јавна предузећа-локална самоуправа</w:t>
            </w:r>
          </w:p>
        </w:tc>
        <w:tc>
          <w:tcPr>
            <w:tcW w:w="943" w:type="dxa"/>
            <w:tcBorders>
              <w:left w:val="single" w:sz="18" w:space="0" w:color="auto"/>
            </w:tcBorders>
            <w:vAlign w:val="center"/>
          </w:tcPr>
          <w:p w:rsidR="000D04EB" w:rsidRPr="004E5018" w:rsidRDefault="000D04EB" w:rsidP="003F4DFD">
            <w:pPr>
              <w:jc w:val="center"/>
              <w:rPr>
                <w:color w:val="000000"/>
                <w:sz w:val="18"/>
                <w:szCs w:val="18"/>
              </w:rPr>
            </w:pPr>
            <w:r w:rsidRPr="004E5018">
              <w:rPr>
                <w:color w:val="000000"/>
                <w:sz w:val="18"/>
                <w:szCs w:val="18"/>
              </w:rPr>
              <w:t>880</w:t>
            </w:r>
          </w:p>
        </w:tc>
        <w:tc>
          <w:tcPr>
            <w:tcW w:w="644" w:type="dxa"/>
            <w:vAlign w:val="center"/>
          </w:tcPr>
          <w:p w:rsidR="000D04EB" w:rsidRPr="004E5018" w:rsidRDefault="000D04EB" w:rsidP="003F4DFD">
            <w:pPr>
              <w:jc w:val="center"/>
              <w:rPr>
                <w:color w:val="000000"/>
                <w:sz w:val="18"/>
                <w:szCs w:val="18"/>
              </w:rPr>
            </w:pPr>
            <w:r w:rsidRPr="004E5018">
              <w:rPr>
                <w:color w:val="000000"/>
                <w:sz w:val="18"/>
                <w:szCs w:val="18"/>
              </w:rPr>
              <w:t>13%</w:t>
            </w:r>
          </w:p>
        </w:tc>
        <w:tc>
          <w:tcPr>
            <w:tcW w:w="1155" w:type="dxa"/>
            <w:vAlign w:val="center"/>
          </w:tcPr>
          <w:p w:rsidR="000D04EB" w:rsidRPr="004E5018" w:rsidRDefault="000D04EB" w:rsidP="003F4DFD">
            <w:pPr>
              <w:jc w:val="center"/>
              <w:rPr>
                <w:color w:val="000000"/>
                <w:sz w:val="18"/>
                <w:szCs w:val="18"/>
              </w:rPr>
            </w:pPr>
            <w:r w:rsidRPr="004E5018">
              <w:rPr>
                <w:color w:val="000000"/>
                <w:sz w:val="18"/>
                <w:szCs w:val="18"/>
              </w:rPr>
              <w:t>6.541.000</w:t>
            </w:r>
          </w:p>
        </w:tc>
        <w:tc>
          <w:tcPr>
            <w:tcW w:w="0" w:type="auto"/>
            <w:tcBorders>
              <w:right w:val="single" w:sz="18" w:space="0" w:color="auto"/>
            </w:tcBorders>
            <w:vAlign w:val="center"/>
          </w:tcPr>
          <w:p w:rsidR="000D04EB" w:rsidRPr="004E5018" w:rsidRDefault="000D04EB" w:rsidP="003F4DFD">
            <w:pPr>
              <w:jc w:val="center"/>
              <w:rPr>
                <w:color w:val="000000"/>
                <w:sz w:val="18"/>
                <w:szCs w:val="18"/>
              </w:rPr>
            </w:pPr>
            <w:r w:rsidRPr="004E5018">
              <w:rPr>
                <w:color w:val="000000"/>
                <w:sz w:val="18"/>
                <w:szCs w:val="18"/>
              </w:rPr>
              <w:t>9%</w:t>
            </w:r>
          </w:p>
        </w:tc>
        <w:tc>
          <w:tcPr>
            <w:tcW w:w="943" w:type="dxa"/>
            <w:tcBorders>
              <w:left w:val="single" w:sz="18" w:space="0" w:color="auto"/>
            </w:tcBorders>
            <w:vAlign w:val="center"/>
          </w:tcPr>
          <w:p w:rsidR="000D04EB" w:rsidRPr="004E5018" w:rsidRDefault="000D04EB" w:rsidP="003F4DFD">
            <w:pPr>
              <w:jc w:val="center"/>
              <w:rPr>
                <w:rFonts w:ascii="Calibri" w:hAnsi="Calibri" w:cs="Calibri"/>
                <w:color w:val="000000"/>
                <w:sz w:val="18"/>
                <w:szCs w:val="18"/>
              </w:rPr>
            </w:pPr>
            <w:r>
              <w:rPr>
                <w:rFonts w:ascii="Calibri" w:hAnsi="Calibri" w:cs="Calibri"/>
                <w:color w:val="000000"/>
                <w:sz w:val="18"/>
                <w:szCs w:val="18"/>
              </w:rPr>
              <w:t>60</w:t>
            </w:r>
          </w:p>
        </w:tc>
        <w:tc>
          <w:tcPr>
            <w:tcW w:w="711" w:type="dxa"/>
            <w:vAlign w:val="center"/>
          </w:tcPr>
          <w:p w:rsidR="000D04EB" w:rsidRPr="004E5018" w:rsidRDefault="000D04EB" w:rsidP="003F4DFD">
            <w:pPr>
              <w:jc w:val="center"/>
              <w:rPr>
                <w:rFonts w:ascii="Calibri" w:hAnsi="Calibri" w:cs="Calibri"/>
                <w:color w:val="000000"/>
                <w:sz w:val="18"/>
                <w:szCs w:val="18"/>
              </w:rPr>
            </w:pPr>
            <w:r>
              <w:rPr>
                <w:rFonts w:ascii="Calibri" w:hAnsi="Calibri" w:cs="Calibri"/>
                <w:color w:val="000000"/>
                <w:sz w:val="18"/>
                <w:szCs w:val="18"/>
              </w:rPr>
              <w:t>7%</w:t>
            </w:r>
          </w:p>
        </w:tc>
        <w:tc>
          <w:tcPr>
            <w:tcW w:w="1209" w:type="dxa"/>
            <w:vAlign w:val="center"/>
          </w:tcPr>
          <w:p w:rsidR="000D04EB" w:rsidRPr="004E5018" w:rsidRDefault="000D04EB" w:rsidP="003F4DFD">
            <w:pPr>
              <w:jc w:val="center"/>
              <w:rPr>
                <w:rFonts w:ascii="Calibri" w:hAnsi="Calibri" w:cs="Calibri"/>
                <w:color w:val="000000"/>
                <w:sz w:val="18"/>
                <w:szCs w:val="18"/>
              </w:rPr>
            </w:pPr>
            <w:r>
              <w:rPr>
                <w:rFonts w:ascii="Calibri" w:hAnsi="Calibri" w:cs="Calibri"/>
                <w:color w:val="000000"/>
                <w:sz w:val="18"/>
                <w:szCs w:val="18"/>
              </w:rPr>
              <w:t>656.874</w:t>
            </w:r>
          </w:p>
        </w:tc>
        <w:tc>
          <w:tcPr>
            <w:tcW w:w="1454" w:type="dxa"/>
            <w:tcBorders>
              <w:right w:val="single" w:sz="18" w:space="0" w:color="auto"/>
            </w:tcBorders>
            <w:vAlign w:val="center"/>
          </w:tcPr>
          <w:p w:rsidR="000D04EB" w:rsidRPr="004E5018" w:rsidRDefault="000D04EB" w:rsidP="003F4DFD">
            <w:pPr>
              <w:jc w:val="center"/>
              <w:rPr>
                <w:rFonts w:ascii="Calibri" w:hAnsi="Calibri" w:cs="Calibri"/>
                <w:color w:val="000000"/>
                <w:sz w:val="18"/>
                <w:szCs w:val="18"/>
              </w:rPr>
            </w:pPr>
            <w:r>
              <w:rPr>
                <w:rFonts w:ascii="Calibri" w:hAnsi="Calibri" w:cs="Calibri"/>
                <w:color w:val="000000"/>
                <w:sz w:val="18"/>
                <w:szCs w:val="18"/>
              </w:rPr>
              <w:t>12%</w:t>
            </w:r>
          </w:p>
        </w:tc>
      </w:tr>
      <w:tr w:rsidR="000D04EB" w:rsidRPr="004E5018" w:rsidTr="003F4DFD">
        <w:tblPrEx>
          <w:tblLook w:val="04A0" w:firstRow="1" w:lastRow="0" w:firstColumn="1" w:lastColumn="0" w:noHBand="0" w:noVBand="1"/>
        </w:tblPrEx>
        <w:trPr>
          <w:jc w:val="center"/>
        </w:trPr>
        <w:tc>
          <w:tcPr>
            <w:tcW w:w="1347" w:type="dxa"/>
            <w:tcBorders>
              <w:left w:val="single" w:sz="18" w:space="0" w:color="auto"/>
              <w:bottom w:val="single" w:sz="18" w:space="0" w:color="auto"/>
              <w:right w:val="single" w:sz="18" w:space="0" w:color="auto"/>
            </w:tcBorders>
            <w:vAlign w:val="center"/>
          </w:tcPr>
          <w:p w:rsidR="000D04EB" w:rsidRPr="004E5018" w:rsidRDefault="000D04EB" w:rsidP="003F4DFD">
            <w:pPr>
              <w:jc w:val="center"/>
              <w:rPr>
                <w:rFonts w:ascii="Times New Roman" w:hAnsi="Times New Roman" w:cs="Times New Roman"/>
                <w:b/>
                <w:sz w:val="18"/>
                <w:szCs w:val="18"/>
              </w:rPr>
            </w:pPr>
            <w:r w:rsidRPr="004E5018">
              <w:rPr>
                <w:rFonts w:ascii="Times New Roman" w:hAnsi="Times New Roman" w:cs="Times New Roman"/>
                <w:b/>
                <w:sz w:val="18"/>
                <w:szCs w:val="18"/>
              </w:rPr>
              <w:t>Градска и општинска управа</w:t>
            </w:r>
          </w:p>
        </w:tc>
        <w:tc>
          <w:tcPr>
            <w:tcW w:w="943" w:type="dxa"/>
            <w:tcBorders>
              <w:left w:val="single" w:sz="18" w:space="0" w:color="auto"/>
              <w:bottom w:val="single" w:sz="18" w:space="0" w:color="auto"/>
            </w:tcBorders>
            <w:vAlign w:val="center"/>
          </w:tcPr>
          <w:p w:rsidR="000D04EB" w:rsidRPr="004E5018" w:rsidRDefault="000D04EB" w:rsidP="003F4DFD">
            <w:pPr>
              <w:jc w:val="center"/>
              <w:rPr>
                <w:color w:val="000000"/>
                <w:sz w:val="18"/>
                <w:szCs w:val="18"/>
              </w:rPr>
            </w:pPr>
            <w:r w:rsidRPr="004E5018">
              <w:rPr>
                <w:color w:val="000000"/>
                <w:sz w:val="18"/>
                <w:szCs w:val="18"/>
              </w:rPr>
              <w:t>422</w:t>
            </w:r>
          </w:p>
        </w:tc>
        <w:tc>
          <w:tcPr>
            <w:tcW w:w="644" w:type="dxa"/>
            <w:tcBorders>
              <w:bottom w:val="single" w:sz="18" w:space="0" w:color="auto"/>
            </w:tcBorders>
            <w:vAlign w:val="center"/>
          </w:tcPr>
          <w:p w:rsidR="000D04EB" w:rsidRPr="004E5018" w:rsidRDefault="000D04EB" w:rsidP="003F4DFD">
            <w:pPr>
              <w:jc w:val="center"/>
              <w:rPr>
                <w:color w:val="000000"/>
                <w:sz w:val="18"/>
                <w:szCs w:val="18"/>
              </w:rPr>
            </w:pPr>
            <w:r w:rsidRPr="004E5018">
              <w:rPr>
                <w:color w:val="000000"/>
                <w:sz w:val="18"/>
                <w:szCs w:val="18"/>
              </w:rPr>
              <w:t>6%</w:t>
            </w:r>
          </w:p>
        </w:tc>
        <w:tc>
          <w:tcPr>
            <w:tcW w:w="1155" w:type="dxa"/>
            <w:tcBorders>
              <w:bottom w:val="single" w:sz="18" w:space="0" w:color="auto"/>
            </w:tcBorders>
            <w:vAlign w:val="center"/>
          </w:tcPr>
          <w:p w:rsidR="000D04EB" w:rsidRPr="004E5018" w:rsidRDefault="000D04EB" w:rsidP="003F4DFD">
            <w:pPr>
              <w:jc w:val="center"/>
              <w:rPr>
                <w:color w:val="000000"/>
                <w:sz w:val="18"/>
                <w:szCs w:val="18"/>
              </w:rPr>
            </w:pPr>
            <w:r w:rsidRPr="004E5018">
              <w:rPr>
                <w:color w:val="000000"/>
                <w:sz w:val="18"/>
                <w:szCs w:val="18"/>
              </w:rPr>
              <w:t>3.713.120</w:t>
            </w:r>
          </w:p>
        </w:tc>
        <w:tc>
          <w:tcPr>
            <w:tcW w:w="0" w:type="auto"/>
            <w:tcBorders>
              <w:bottom w:val="single" w:sz="18" w:space="0" w:color="auto"/>
              <w:right w:val="single" w:sz="18" w:space="0" w:color="auto"/>
            </w:tcBorders>
            <w:vAlign w:val="center"/>
          </w:tcPr>
          <w:p w:rsidR="000D04EB" w:rsidRPr="004E5018" w:rsidRDefault="000D04EB" w:rsidP="003F4DFD">
            <w:pPr>
              <w:jc w:val="center"/>
              <w:rPr>
                <w:color w:val="000000"/>
                <w:sz w:val="18"/>
                <w:szCs w:val="18"/>
              </w:rPr>
            </w:pPr>
            <w:r w:rsidRPr="004E5018">
              <w:rPr>
                <w:color w:val="000000"/>
                <w:sz w:val="18"/>
                <w:szCs w:val="18"/>
              </w:rPr>
              <w:t>5%</w:t>
            </w:r>
          </w:p>
        </w:tc>
        <w:tc>
          <w:tcPr>
            <w:tcW w:w="943" w:type="dxa"/>
            <w:tcBorders>
              <w:left w:val="single" w:sz="18" w:space="0" w:color="auto"/>
              <w:bottom w:val="single" w:sz="18" w:space="0" w:color="auto"/>
            </w:tcBorders>
            <w:vAlign w:val="center"/>
          </w:tcPr>
          <w:p w:rsidR="000D04EB" w:rsidRPr="004E5018" w:rsidRDefault="000D04EB" w:rsidP="003F4DFD">
            <w:pPr>
              <w:jc w:val="center"/>
              <w:rPr>
                <w:rFonts w:ascii="Calibri" w:hAnsi="Calibri" w:cs="Calibri"/>
                <w:color w:val="000000"/>
                <w:sz w:val="18"/>
                <w:szCs w:val="18"/>
              </w:rPr>
            </w:pPr>
            <w:r>
              <w:rPr>
                <w:rFonts w:ascii="Calibri" w:hAnsi="Calibri" w:cs="Calibri"/>
                <w:color w:val="000000"/>
                <w:sz w:val="18"/>
                <w:szCs w:val="18"/>
              </w:rPr>
              <w:t>22</w:t>
            </w:r>
          </w:p>
        </w:tc>
        <w:tc>
          <w:tcPr>
            <w:tcW w:w="711" w:type="dxa"/>
            <w:tcBorders>
              <w:bottom w:val="single" w:sz="18" w:space="0" w:color="auto"/>
            </w:tcBorders>
            <w:vAlign w:val="center"/>
          </w:tcPr>
          <w:p w:rsidR="000D04EB" w:rsidRPr="004E5018" w:rsidRDefault="000D04EB" w:rsidP="003F4DFD">
            <w:pPr>
              <w:jc w:val="center"/>
              <w:rPr>
                <w:rFonts w:ascii="Calibri" w:hAnsi="Calibri" w:cs="Calibri"/>
                <w:color w:val="000000"/>
                <w:sz w:val="18"/>
                <w:szCs w:val="18"/>
              </w:rPr>
            </w:pPr>
            <w:r>
              <w:rPr>
                <w:rFonts w:ascii="Calibri" w:hAnsi="Calibri" w:cs="Calibri"/>
                <w:color w:val="000000"/>
                <w:sz w:val="18"/>
                <w:szCs w:val="18"/>
              </w:rPr>
              <w:t>3%</w:t>
            </w:r>
          </w:p>
        </w:tc>
        <w:tc>
          <w:tcPr>
            <w:tcW w:w="1209" w:type="dxa"/>
            <w:tcBorders>
              <w:bottom w:val="single" w:sz="18" w:space="0" w:color="auto"/>
            </w:tcBorders>
            <w:vAlign w:val="center"/>
          </w:tcPr>
          <w:p w:rsidR="000D04EB" w:rsidRPr="004E5018" w:rsidRDefault="000D04EB" w:rsidP="003F4DFD">
            <w:pPr>
              <w:jc w:val="center"/>
              <w:rPr>
                <w:rFonts w:ascii="Calibri" w:hAnsi="Calibri" w:cs="Calibri"/>
                <w:color w:val="000000"/>
                <w:sz w:val="18"/>
                <w:szCs w:val="18"/>
              </w:rPr>
            </w:pPr>
            <w:r>
              <w:rPr>
                <w:rFonts w:ascii="Calibri" w:hAnsi="Calibri" w:cs="Calibri"/>
                <w:color w:val="000000"/>
                <w:sz w:val="18"/>
                <w:szCs w:val="18"/>
              </w:rPr>
              <w:t>104.409</w:t>
            </w:r>
          </w:p>
        </w:tc>
        <w:tc>
          <w:tcPr>
            <w:tcW w:w="1454" w:type="dxa"/>
            <w:tcBorders>
              <w:bottom w:val="single" w:sz="18" w:space="0" w:color="auto"/>
              <w:right w:val="single" w:sz="18" w:space="0" w:color="auto"/>
            </w:tcBorders>
            <w:vAlign w:val="center"/>
          </w:tcPr>
          <w:p w:rsidR="000D04EB" w:rsidRPr="004E5018" w:rsidRDefault="000D04EB" w:rsidP="003F4DFD">
            <w:pPr>
              <w:jc w:val="center"/>
              <w:rPr>
                <w:rFonts w:ascii="Calibri" w:hAnsi="Calibri" w:cs="Calibri"/>
                <w:color w:val="000000"/>
                <w:sz w:val="18"/>
                <w:szCs w:val="18"/>
              </w:rPr>
            </w:pPr>
            <w:r>
              <w:rPr>
                <w:rFonts w:ascii="Calibri" w:hAnsi="Calibri" w:cs="Calibri"/>
                <w:color w:val="000000"/>
                <w:sz w:val="18"/>
                <w:szCs w:val="18"/>
              </w:rPr>
              <w:t>2%</w:t>
            </w:r>
          </w:p>
        </w:tc>
      </w:tr>
      <w:tr w:rsidR="000D04EB" w:rsidRPr="004E5018" w:rsidTr="003F4DFD">
        <w:tblPrEx>
          <w:tblLook w:val="04A0" w:firstRow="1" w:lastRow="0" w:firstColumn="1" w:lastColumn="0" w:noHBand="0" w:noVBand="1"/>
        </w:tblPrEx>
        <w:trPr>
          <w:jc w:val="center"/>
        </w:trPr>
        <w:tc>
          <w:tcPr>
            <w:tcW w:w="1347" w:type="dxa"/>
            <w:tcBorders>
              <w:top w:val="single" w:sz="18" w:space="0" w:color="auto"/>
              <w:left w:val="single" w:sz="18" w:space="0" w:color="auto"/>
              <w:bottom w:val="single" w:sz="18" w:space="0" w:color="auto"/>
              <w:right w:val="single" w:sz="18" w:space="0" w:color="auto"/>
            </w:tcBorders>
            <w:vAlign w:val="center"/>
          </w:tcPr>
          <w:p w:rsidR="000D04EB" w:rsidRPr="004E5018" w:rsidRDefault="000D04EB" w:rsidP="003F4DFD">
            <w:pPr>
              <w:jc w:val="center"/>
              <w:rPr>
                <w:rFonts w:ascii="Times New Roman" w:hAnsi="Times New Roman" w:cs="Times New Roman"/>
                <w:b/>
                <w:sz w:val="18"/>
                <w:szCs w:val="18"/>
              </w:rPr>
            </w:pPr>
            <w:r w:rsidRPr="004E5018">
              <w:rPr>
                <w:rFonts w:ascii="Times New Roman" w:hAnsi="Times New Roman" w:cs="Times New Roman"/>
                <w:b/>
                <w:sz w:val="18"/>
                <w:szCs w:val="18"/>
              </w:rPr>
              <w:t>Укупно</w:t>
            </w:r>
          </w:p>
        </w:tc>
        <w:tc>
          <w:tcPr>
            <w:tcW w:w="943" w:type="dxa"/>
            <w:tcBorders>
              <w:top w:val="single" w:sz="18" w:space="0" w:color="auto"/>
              <w:left w:val="single" w:sz="18" w:space="0" w:color="auto"/>
              <w:bottom w:val="single" w:sz="18" w:space="0" w:color="auto"/>
            </w:tcBorders>
            <w:vAlign w:val="center"/>
          </w:tcPr>
          <w:p w:rsidR="000D04EB" w:rsidRPr="004E5018" w:rsidRDefault="000D04EB" w:rsidP="003F4DFD">
            <w:pPr>
              <w:jc w:val="center"/>
              <w:rPr>
                <w:b/>
                <w:bCs/>
                <w:color w:val="000000"/>
                <w:sz w:val="18"/>
                <w:szCs w:val="18"/>
              </w:rPr>
            </w:pPr>
            <w:r w:rsidRPr="004E5018">
              <w:rPr>
                <w:b/>
                <w:bCs/>
                <w:color w:val="000000"/>
                <w:sz w:val="18"/>
                <w:szCs w:val="18"/>
              </w:rPr>
              <w:t>6.735</w:t>
            </w:r>
          </w:p>
        </w:tc>
        <w:tc>
          <w:tcPr>
            <w:tcW w:w="644" w:type="dxa"/>
            <w:tcBorders>
              <w:top w:val="single" w:sz="18" w:space="0" w:color="auto"/>
              <w:bottom w:val="single" w:sz="18" w:space="0" w:color="auto"/>
            </w:tcBorders>
            <w:vAlign w:val="center"/>
          </w:tcPr>
          <w:p w:rsidR="000D04EB" w:rsidRPr="004E5018" w:rsidRDefault="000D04EB" w:rsidP="003F4DFD">
            <w:pPr>
              <w:jc w:val="center"/>
              <w:rPr>
                <w:b/>
                <w:color w:val="000000"/>
                <w:sz w:val="18"/>
                <w:szCs w:val="18"/>
              </w:rPr>
            </w:pPr>
            <w:r w:rsidRPr="004E5018">
              <w:rPr>
                <w:b/>
                <w:color w:val="000000"/>
                <w:sz w:val="18"/>
                <w:szCs w:val="18"/>
              </w:rPr>
              <w:t>100%</w:t>
            </w:r>
          </w:p>
        </w:tc>
        <w:tc>
          <w:tcPr>
            <w:tcW w:w="1155" w:type="dxa"/>
            <w:tcBorders>
              <w:top w:val="single" w:sz="18" w:space="0" w:color="auto"/>
              <w:bottom w:val="single" w:sz="18" w:space="0" w:color="auto"/>
            </w:tcBorders>
            <w:vAlign w:val="center"/>
          </w:tcPr>
          <w:p w:rsidR="000D04EB" w:rsidRPr="004E5018" w:rsidRDefault="000D04EB" w:rsidP="003F4DFD">
            <w:pPr>
              <w:jc w:val="center"/>
              <w:rPr>
                <w:b/>
                <w:bCs/>
                <w:color w:val="000000"/>
                <w:sz w:val="18"/>
                <w:szCs w:val="18"/>
              </w:rPr>
            </w:pPr>
            <w:r w:rsidRPr="004E5018">
              <w:rPr>
                <w:b/>
                <w:bCs/>
                <w:color w:val="000000"/>
                <w:sz w:val="18"/>
                <w:szCs w:val="18"/>
              </w:rPr>
              <w:t>73.131.350</w:t>
            </w:r>
          </w:p>
        </w:tc>
        <w:tc>
          <w:tcPr>
            <w:tcW w:w="0" w:type="auto"/>
            <w:tcBorders>
              <w:top w:val="single" w:sz="18" w:space="0" w:color="auto"/>
              <w:bottom w:val="single" w:sz="18" w:space="0" w:color="auto"/>
              <w:right w:val="single" w:sz="18" w:space="0" w:color="auto"/>
            </w:tcBorders>
            <w:vAlign w:val="center"/>
          </w:tcPr>
          <w:p w:rsidR="000D04EB" w:rsidRPr="004E5018" w:rsidRDefault="000D04EB" w:rsidP="003F4DFD">
            <w:pPr>
              <w:jc w:val="center"/>
              <w:rPr>
                <w:b/>
                <w:color w:val="000000"/>
                <w:sz w:val="18"/>
                <w:szCs w:val="18"/>
              </w:rPr>
            </w:pPr>
            <w:r w:rsidRPr="004E5018">
              <w:rPr>
                <w:b/>
                <w:color w:val="000000"/>
                <w:sz w:val="18"/>
                <w:szCs w:val="18"/>
              </w:rPr>
              <w:t>100%</w:t>
            </w:r>
          </w:p>
        </w:tc>
        <w:tc>
          <w:tcPr>
            <w:tcW w:w="943" w:type="dxa"/>
            <w:tcBorders>
              <w:top w:val="single" w:sz="18" w:space="0" w:color="auto"/>
              <w:left w:val="single" w:sz="18" w:space="0" w:color="auto"/>
              <w:bottom w:val="single" w:sz="18" w:space="0" w:color="auto"/>
            </w:tcBorders>
            <w:vAlign w:val="center"/>
          </w:tcPr>
          <w:p w:rsidR="000D04EB" w:rsidRPr="004E5018" w:rsidRDefault="000D04EB" w:rsidP="003F4DFD">
            <w:pPr>
              <w:jc w:val="center"/>
              <w:rPr>
                <w:rFonts w:ascii="Calibri" w:hAnsi="Calibri" w:cs="Calibri"/>
                <w:b/>
                <w:bCs/>
                <w:color w:val="000000"/>
                <w:sz w:val="18"/>
                <w:szCs w:val="18"/>
              </w:rPr>
            </w:pPr>
            <w:r>
              <w:rPr>
                <w:rFonts w:ascii="Calibri" w:hAnsi="Calibri" w:cs="Calibri"/>
                <w:b/>
                <w:bCs/>
                <w:color w:val="000000"/>
                <w:sz w:val="18"/>
                <w:szCs w:val="18"/>
              </w:rPr>
              <w:t>853</w:t>
            </w:r>
          </w:p>
        </w:tc>
        <w:tc>
          <w:tcPr>
            <w:tcW w:w="711" w:type="dxa"/>
            <w:tcBorders>
              <w:top w:val="single" w:sz="18" w:space="0" w:color="auto"/>
              <w:bottom w:val="single" w:sz="18" w:space="0" w:color="auto"/>
            </w:tcBorders>
            <w:vAlign w:val="center"/>
          </w:tcPr>
          <w:p w:rsidR="000D04EB" w:rsidRPr="004E5018" w:rsidRDefault="000D04EB" w:rsidP="003F4DFD">
            <w:pPr>
              <w:jc w:val="center"/>
              <w:rPr>
                <w:rFonts w:ascii="Calibri" w:hAnsi="Calibri" w:cs="Calibri"/>
                <w:b/>
                <w:bCs/>
                <w:color w:val="000000"/>
                <w:sz w:val="18"/>
                <w:szCs w:val="18"/>
              </w:rPr>
            </w:pPr>
            <w:r>
              <w:rPr>
                <w:rFonts w:ascii="Calibri" w:hAnsi="Calibri" w:cs="Calibri"/>
                <w:b/>
                <w:bCs/>
                <w:color w:val="000000"/>
                <w:sz w:val="18"/>
                <w:szCs w:val="18"/>
              </w:rPr>
              <w:t>100%</w:t>
            </w:r>
          </w:p>
        </w:tc>
        <w:tc>
          <w:tcPr>
            <w:tcW w:w="1209" w:type="dxa"/>
            <w:tcBorders>
              <w:top w:val="single" w:sz="18" w:space="0" w:color="auto"/>
              <w:bottom w:val="single" w:sz="18" w:space="0" w:color="auto"/>
            </w:tcBorders>
            <w:vAlign w:val="center"/>
          </w:tcPr>
          <w:p w:rsidR="000D04EB" w:rsidRPr="004E5018" w:rsidRDefault="000D04EB" w:rsidP="003F4DFD">
            <w:pPr>
              <w:jc w:val="center"/>
              <w:rPr>
                <w:rFonts w:ascii="Calibri" w:hAnsi="Calibri" w:cs="Calibri"/>
                <w:b/>
                <w:bCs/>
                <w:color w:val="000000"/>
                <w:sz w:val="18"/>
                <w:szCs w:val="18"/>
              </w:rPr>
            </w:pPr>
            <w:r>
              <w:rPr>
                <w:rFonts w:ascii="Calibri" w:hAnsi="Calibri" w:cs="Calibri"/>
                <w:b/>
                <w:bCs/>
                <w:color w:val="000000"/>
                <w:sz w:val="18"/>
                <w:szCs w:val="18"/>
              </w:rPr>
              <w:t>5.689.271</w:t>
            </w:r>
          </w:p>
        </w:tc>
        <w:tc>
          <w:tcPr>
            <w:tcW w:w="1454" w:type="dxa"/>
            <w:tcBorders>
              <w:top w:val="single" w:sz="18" w:space="0" w:color="auto"/>
              <w:bottom w:val="single" w:sz="18" w:space="0" w:color="auto"/>
              <w:right w:val="single" w:sz="18" w:space="0" w:color="auto"/>
            </w:tcBorders>
            <w:vAlign w:val="center"/>
          </w:tcPr>
          <w:p w:rsidR="000D04EB" w:rsidRPr="004E5018" w:rsidRDefault="000D04EB" w:rsidP="003F4DFD">
            <w:pPr>
              <w:jc w:val="center"/>
              <w:rPr>
                <w:rFonts w:ascii="Calibri" w:hAnsi="Calibri" w:cs="Calibri"/>
                <w:b/>
                <w:color w:val="000000"/>
                <w:sz w:val="18"/>
                <w:szCs w:val="18"/>
              </w:rPr>
            </w:pPr>
            <w:r>
              <w:rPr>
                <w:rFonts w:ascii="Calibri" w:hAnsi="Calibri" w:cs="Calibri"/>
                <w:b/>
                <w:color w:val="000000"/>
                <w:sz w:val="18"/>
                <w:szCs w:val="18"/>
              </w:rPr>
              <w:t>100%</w:t>
            </w:r>
          </w:p>
        </w:tc>
      </w:tr>
    </w:tbl>
    <w:p w:rsidR="00FC3DDD" w:rsidRPr="00BE14E5" w:rsidRDefault="004E5018" w:rsidP="004E5018">
      <w:pPr>
        <w:rPr>
          <w:rFonts w:ascii="Times New Roman" w:hAnsi="Times New Roman" w:cs="Times New Roman"/>
        </w:rPr>
      </w:pPr>
      <w:r w:rsidRPr="00BE14E5">
        <w:rPr>
          <w:rFonts w:ascii="Times New Roman" w:hAnsi="Times New Roman" w:cs="Times New Roman"/>
        </w:rPr>
        <w:t>*вреднос</w:t>
      </w:r>
      <w:r w:rsidR="00C922D1" w:rsidRPr="00BE14E5">
        <w:rPr>
          <w:rFonts w:ascii="Times New Roman" w:hAnsi="Times New Roman" w:cs="Times New Roman"/>
        </w:rPr>
        <w:t>ти су изражене</w:t>
      </w:r>
      <w:r w:rsidR="00FC3DDD" w:rsidRPr="00BE14E5">
        <w:rPr>
          <w:rFonts w:ascii="Times New Roman" w:hAnsi="Times New Roman" w:cs="Times New Roman"/>
        </w:rPr>
        <w:t xml:space="preserve"> у хиљадама динар</w:t>
      </w:r>
      <w:r w:rsidR="00C922D1" w:rsidRPr="00BE14E5">
        <w:rPr>
          <w:rFonts w:ascii="Times New Roman" w:hAnsi="Times New Roman" w:cs="Times New Roman"/>
        </w:rPr>
        <w:t>а</w:t>
      </w:r>
    </w:p>
    <w:p w:rsidR="00FE45ED" w:rsidRDefault="00D56073" w:rsidP="00FE45ED">
      <w:pPr>
        <w:jc w:val="both"/>
        <w:rPr>
          <w:rFonts w:ascii="Times New Roman" w:hAnsi="Times New Roman" w:cs="Times New Roman"/>
          <w:sz w:val="24"/>
          <w:szCs w:val="24"/>
        </w:rPr>
      </w:pPr>
      <w:r>
        <w:rPr>
          <w:rFonts w:ascii="Times New Roman" w:hAnsi="Times New Roman" w:cs="Times New Roman"/>
          <w:sz w:val="24"/>
          <w:szCs w:val="24"/>
        </w:rPr>
        <w:t>Преговарачки поступ</w:t>
      </w:r>
      <w:r w:rsidR="00FE45ED">
        <w:rPr>
          <w:rFonts w:ascii="Times New Roman" w:hAnsi="Times New Roman" w:cs="Times New Roman"/>
          <w:sz w:val="24"/>
          <w:szCs w:val="24"/>
        </w:rPr>
        <w:t xml:space="preserve">ак </w:t>
      </w:r>
      <w:r>
        <w:rPr>
          <w:rFonts w:ascii="Times New Roman" w:hAnsi="Times New Roman" w:cs="Times New Roman"/>
          <w:sz w:val="24"/>
          <w:szCs w:val="24"/>
        </w:rPr>
        <w:t>без објављивања би</w:t>
      </w:r>
      <w:r w:rsidR="00FE45ED">
        <w:rPr>
          <w:rFonts w:ascii="Times New Roman" w:hAnsi="Times New Roman" w:cs="Times New Roman"/>
          <w:sz w:val="24"/>
          <w:szCs w:val="24"/>
        </w:rPr>
        <w:t>о</w:t>
      </w:r>
      <w:r w:rsidR="00B43E94">
        <w:rPr>
          <w:rFonts w:ascii="Times New Roman" w:hAnsi="Times New Roman" w:cs="Times New Roman"/>
          <w:sz w:val="24"/>
          <w:szCs w:val="24"/>
        </w:rPr>
        <w:t xml:space="preserve"> </w:t>
      </w:r>
      <w:r w:rsidR="00FE45ED">
        <w:rPr>
          <w:rFonts w:ascii="Times New Roman" w:hAnsi="Times New Roman" w:cs="Times New Roman"/>
          <w:sz w:val="24"/>
          <w:szCs w:val="24"/>
        </w:rPr>
        <w:t>је</w:t>
      </w:r>
      <w:r>
        <w:rPr>
          <w:rFonts w:ascii="Times New Roman" w:hAnsi="Times New Roman" w:cs="Times New Roman"/>
          <w:sz w:val="24"/>
          <w:szCs w:val="24"/>
        </w:rPr>
        <w:t xml:space="preserve"> најзаступљенији код категорије јавних предузећа (44%) и здравства (27%) тако да су </w:t>
      </w:r>
      <w:r w:rsidR="00CA10A3">
        <w:rPr>
          <w:rFonts w:ascii="Times New Roman" w:hAnsi="Times New Roman" w:cs="Times New Roman"/>
          <w:sz w:val="24"/>
          <w:szCs w:val="24"/>
        </w:rPr>
        <w:t>наручиоци из ове две категорије реализовали готово ¾ укупне вредности преговарачк</w:t>
      </w:r>
      <w:r w:rsidR="00FE45ED">
        <w:rPr>
          <w:rFonts w:ascii="Times New Roman" w:hAnsi="Times New Roman" w:cs="Times New Roman"/>
          <w:sz w:val="24"/>
          <w:szCs w:val="24"/>
        </w:rPr>
        <w:t>ог</w:t>
      </w:r>
      <w:r w:rsidR="00CA10A3">
        <w:rPr>
          <w:rFonts w:ascii="Times New Roman" w:hAnsi="Times New Roman" w:cs="Times New Roman"/>
          <w:sz w:val="24"/>
          <w:szCs w:val="24"/>
        </w:rPr>
        <w:t xml:space="preserve"> поступка. За разлику од јавних предузећа код којих је дошло до значајног смањивања учешћа преговарачк</w:t>
      </w:r>
      <w:r w:rsidR="00FE45ED">
        <w:rPr>
          <w:rFonts w:ascii="Times New Roman" w:hAnsi="Times New Roman" w:cs="Times New Roman"/>
          <w:sz w:val="24"/>
          <w:szCs w:val="24"/>
        </w:rPr>
        <w:t>ог</w:t>
      </w:r>
      <w:r w:rsidR="00CA10A3">
        <w:rPr>
          <w:rFonts w:ascii="Times New Roman" w:hAnsi="Times New Roman" w:cs="Times New Roman"/>
          <w:sz w:val="24"/>
          <w:szCs w:val="24"/>
        </w:rPr>
        <w:t xml:space="preserve"> поступка без објављивања са 63% у 2012. години  на 44% у 2013. години, код здравства је регистрован осетан пораст са 17% у 2012. години на 27% у 2013. години.</w:t>
      </w:r>
    </w:p>
    <w:p w:rsidR="00FE45ED" w:rsidRDefault="00FE45ED" w:rsidP="00FE45ED">
      <w:pPr>
        <w:jc w:val="both"/>
        <w:rPr>
          <w:rFonts w:ascii="Times New Roman" w:hAnsi="Times New Roman" w:cs="Times New Roman"/>
          <w:sz w:val="24"/>
          <w:szCs w:val="24"/>
        </w:rPr>
      </w:pPr>
      <w:r>
        <w:rPr>
          <w:rFonts w:ascii="Times New Roman" w:hAnsi="Times New Roman" w:cs="Times New Roman"/>
          <w:sz w:val="24"/>
          <w:szCs w:val="24"/>
        </w:rPr>
        <w:t xml:space="preserve">Полазећи од тога да је смањивање учешћа преговарачког </w:t>
      </w:r>
      <w:r w:rsidR="0090117B">
        <w:rPr>
          <w:rFonts w:ascii="Times New Roman" w:hAnsi="Times New Roman" w:cs="Times New Roman"/>
          <w:sz w:val="24"/>
          <w:szCs w:val="24"/>
        </w:rPr>
        <w:t>поступка без објављивања, као н</w:t>
      </w:r>
      <w:r w:rsidR="0090117B">
        <w:rPr>
          <w:rFonts w:ascii="Times New Roman" w:hAnsi="Times New Roman" w:cs="Times New Roman"/>
          <w:sz w:val="24"/>
          <w:szCs w:val="24"/>
          <w:lang w:val="sr-Cyrl-RS"/>
        </w:rPr>
        <w:t>е</w:t>
      </w:r>
      <w:r>
        <w:rPr>
          <w:rFonts w:ascii="Times New Roman" w:hAnsi="Times New Roman" w:cs="Times New Roman"/>
          <w:sz w:val="24"/>
          <w:szCs w:val="24"/>
        </w:rPr>
        <w:t xml:space="preserve">транспарентног и неконкурентног поступка, постављен као циљ у Програму рада Владе и као обавеза у спровођењу Акционог плана за испуњавање препорука из Годишњег извештаја о напретку Европске комисије, важно је сагледати како се његова вредност, изражена у апсолутном, новчаном износу, кретала. Другим речима, </w:t>
      </w:r>
      <w:r w:rsidR="0044645B">
        <w:rPr>
          <w:rFonts w:ascii="Times New Roman" w:hAnsi="Times New Roman" w:cs="Times New Roman"/>
          <w:sz w:val="24"/>
          <w:szCs w:val="24"/>
          <w:lang w:val="sr-Cyrl-RS"/>
        </w:rPr>
        <w:t xml:space="preserve">потребно је </w:t>
      </w:r>
      <w:r>
        <w:rPr>
          <w:rFonts w:ascii="Times New Roman" w:hAnsi="Times New Roman" w:cs="Times New Roman"/>
          <w:sz w:val="24"/>
          <w:szCs w:val="24"/>
        </w:rPr>
        <w:t xml:space="preserve">да се види колико је новца потрошено кроз преговарачки поступак у четвртом кварталу 2013. године и да се упореди са вредношћу из истог периода претходне године (Слика </w:t>
      </w:r>
      <w:r w:rsidR="0090117B">
        <w:rPr>
          <w:rFonts w:ascii="Times New Roman" w:hAnsi="Times New Roman" w:cs="Times New Roman"/>
          <w:sz w:val="24"/>
          <w:szCs w:val="24"/>
          <w:lang w:val="sr-Cyrl-RS"/>
        </w:rPr>
        <w:t>8</w:t>
      </w:r>
      <w:r>
        <w:rPr>
          <w:rFonts w:ascii="Times New Roman" w:hAnsi="Times New Roman" w:cs="Times New Roman"/>
          <w:sz w:val="24"/>
          <w:szCs w:val="24"/>
        </w:rPr>
        <w:t xml:space="preserve">). </w:t>
      </w:r>
    </w:p>
    <w:p w:rsidR="00D56073" w:rsidRPr="00D56073" w:rsidRDefault="00D56073" w:rsidP="004E5018">
      <w:pPr>
        <w:rPr>
          <w:rFonts w:ascii="Times New Roman" w:hAnsi="Times New Roman" w:cs="Times New Roman"/>
          <w:sz w:val="24"/>
          <w:szCs w:val="24"/>
        </w:rPr>
        <w:sectPr w:rsidR="00D56073" w:rsidRPr="00D56073" w:rsidSect="00707351">
          <w:pgSz w:w="12240" w:h="15840"/>
          <w:pgMar w:top="720" w:right="720" w:bottom="720" w:left="720" w:header="708" w:footer="708" w:gutter="0"/>
          <w:cols w:space="708"/>
          <w:docGrid w:linePitch="360"/>
        </w:sectPr>
      </w:pPr>
    </w:p>
    <w:p w:rsidR="00216C8E" w:rsidRPr="00FC3DDD" w:rsidRDefault="003837F0" w:rsidP="003B365F">
      <w:pPr>
        <w:jc w:val="center"/>
        <w:rPr>
          <w:rFonts w:ascii="Times New Roman" w:hAnsi="Times New Roman" w:cs="Times New Roman"/>
          <w:sz w:val="24"/>
          <w:szCs w:val="24"/>
        </w:rPr>
      </w:pPr>
      <w:r w:rsidRPr="009B3038">
        <w:rPr>
          <w:rFonts w:ascii="Times New Roman" w:hAnsi="Times New Roman" w:cs="Times New Roman"/>
          <w:b/>
          <w:sz w:val="24"/>
          <w:szCs w:val="24"/>
        </w:rPr>
        <w:lastRenderedPageBreak/>
        <w:t xml:space="preserve">Слика </w:t>
      </w:r>
      <w:r w:rsidR="0090117B">
        <w:rPr>
          <w:rFonts w:ascii="Times New Roman" w:hAnsi="Times New Roman" w:cs="Times New Roman"/>
          <w:b/>
          <w:sz w:val="24"/>
          <w:szCs w:val="24"/>
          <w:lang w:val="sr-Cyrl-RS"/>
        </w:rPr>
        <w:t>8</w:t>
      </w:r>
      <w:r w:rsidR="00FC3DDD" w:rsidRPr="009B3038">
        <w:rPr>
          <w:rFonts w:ascii="Times New Roman" w:hAnsi="Times New Roman" w:cs="Times New Roman"/>
          <w:b/>
          <w:sz w:val="24"/>
          <w:szCs w:val="24"/>
        </w:rPr>
        <w:br/>
      </w:r>
      <w:r w:rsidR="000D04EB" w:rsidRPr="00561134">
        <w:rPr>
          <w:rFonts w:ascii="Times New Roman" w:hAnsi="Times New Roman" w:cs="Times New Roman"/>
          <w:sz w:val="24"/>
          <w:szCs w:val="24"/>
        </w:rPr>
        <w:object w:dxaOrig="7776" w:dyaOrig="5111">
          <v:shape id="_x0000_i1033" type="#_x0000_t75" style="width:388.5pt;height:255pt" o:ole="">
            <v:imagedata r:id="rId29" o:title=""/>
          </v:shape>
          <o:OLEObject Type="Embed" ProgID="Excel.Sheet.12" ShapeID="_x0000_i1033" DrawAspect="Content" ObjectID="_1456551367" r:id="rId30"/>
        </w:object>
      </w:r>
    </w:p>
    <w:p w:rsidR="00BF0CEA" w:rsidRDefault="00BF0CEA" w:rsidP="00385201">
      <w:pPr>
        <w:rPr>
          <w:rFonts w:ascii="Times New Roman" w:hAnsi="Times New Roman" w:cs="Times New Roman"/>
          <w:sz w:val="24"/>
          <w:szCs w:val="24"/>
        </w:rPr>
      </w:pPr>
    </w:p>
    <w:p w:rsidR="00BF0CEA" w:rsidRPr="00BF0CEA" w:rsidRDefault="00BF0CEA" w:rsidP="007B4B66">
      <w:pPr>
        <w:jc w:val="both"/>
        <w:rPr>
          <w:rFonts w:ascii="Times New Roman" w:hAnsi="Times New Roman" w:cs="Times New Roman"/>
          <w:sz w:val="24"/>
          <w:szCs w:val="24"/>
        </w:rPr>
      </w:pPr>
      <w:r>
        <w:rPr>
          <w:rFonts w:ascii="Times New Roman" w:hAnsi="Times New Roman" w:cs="Times New Roman"/>
          <w:sz w:val="24"/>
          <w:szCs w:val="24"/>
        </w:rPr>
        <w:t xml:space="preserve">Као што се на Слици 7 може видети, вредност преговарачког поступка без објављивања јавног позива смањена је са </w:t>
      </w:r>
      <w:r w:rsidR="00FE45ED">
        <w:rPr>
          <w:rFonts w:ascii="Times New Roman" w:hAnsi="Times New Roman" w:cs="Times New Roman"/>
          <w:sz w:val="24"/>
          <w:szCs w:val="24"/>
        </w:rPr>
        <w:t>17</w:t>
      </w:r>
      <w:r>
        <w:rPr>
          <w:rFonts w:ascii="Times New Roman" w:hAnsi="Times New Roman" w:cs="Times New Roman"/>
          <w:sz w:val="24"/>
          <w:szCs w:val="24"/>
        </w:rPr>
        <w:t>,</w:t>
      </w:r>
      <w:r w:rsidR="00FE45ED">
        <w:rPr>
          <w:rFonts w:ascii="Times New Roman" w:hAnsi="Times New Roman" w:cs="Times New Roman"/>
          <w:sz w:val="24"/>
          <w:szCs w:val="24"/>
        </w:rPr>
        <w:t>5</w:t>
      </w:r>
      <w:r>
        <w:rPr>
          <w:rFonts w:ascii="Times New Roman" w:hAnsi="Times New Roman" w:cs="Times New Roman"/>
          <w:sz w:val="24"/>
          <w:szCs w:val="24"/>
        </w:rPr>
        <w:t xml:space="preserve"> на </w:t>
      </w:r>
      <w:r w:rsidR="00FE45ED">
        <w:rPr>
          <w:rFonts w:ascii="Times New Roman" w:hAnsi="Times New Roman" w:cs="Times New Roman"/>
          <w:sz w:val="24"/>
          <w:szCs w:val="24"/>
        </w:rPr>
        <w:t>5</w:t>
      </w:r>
      <w:r>
        <w:rPr>
          <w:rFonts w:ascii="Times New Roman" w:hAnsi="Times New Roman" w:cs="Times New Roman"/>
          <w:sz w:val="24"/>
          <w:szCs w:val="24"/>
        </w:rPr>
        <w:t>,</w:t>
      </w:r>
      <w:r w:rsidR="00FE45ED">
        <w:rPr>
          <w:rFonts w:ascii="Times New Roman" w:hAnsi="Times New Roman" w:cs="Times New Roman"/>
          <w:sz w:val="24"/>
          <w:szCs w:val="24"/>
        </w:rPr>
        <w:t>7</w:t>
      </w:r>
      <w:r>
        <w:rPr>
          <w:rFonts w:ascii="Times New Roman" w:hAnsi="Times New Roman" w:cs="Times New Roman"/>
          <w:sz w:val="24"/>
          <w:szCs w:val="24"/>
        </w:rPr>
        <w:t xml:space="preserve"> милијарди динара или </w:t>
      </w:r>
      <w:r w:rsidR="00FE45ED">
        <w:rPr>
          <w:rFonts w:ascii="Times New Roman" w:hAnsi="Times New Roman" w:cs="Times New Roman"/>
          <w:sz w:val="24"/>
          <w:szCs w:val="24"/>
        </w:rPr>
        <w:t xml:space="preserve">три пута. </w:t>
      </w:r>
      <w:r w:rsidR="00EF15C0">
        <w:rPr>
          <w:rFonts w:ascii="Times New Roman" w:hAnsi="Times New Roman" w:cs="Times New Roman"/>
          <w:sz w:val="24"/>
          <w:szCs w:val="24"/>
        </w:rPr>
        <w:t xml:space="preserve">Произлази да </w:t>
      </w:r>
      <w:r w:rsidR="003624D9">
        <w:rPr>
          <w:rFonts w:ascii="Times New Roman" w:hAnsi="Times New Roman" w:cs="Times New Roman"/>
          <w:sz w:val="24"/>
          <w:szCs w:val="24"/>
        </w:rPr>
        <w:t xml:space="preserve">је ново законско решење по коме Управа за јавне набавке даје претходно мишљење о основаности примене преговарачког поступка без објављивања јавног позива </w:t>
      </w:r>
      <w:r w:rsidR="006C7810">
        <w:rPr>
          <w:rFonts w:ascii="Times New Roman" w:hAnsi="Times New Roman" w:cs="Times New Roman"/>
          <w:sz w:val="24"/>
          <w:szCs w:val="24"/>
        </w:rPr>
        <w:t>дал</w:t>
      </w:r>
      <w:r w:rsidR="003624D9">
        <w:rPr>
          <w:rFonts w:ascii="Times New Roman" w:hAnsi="Times New Roman" w:cs="Times New Roman"/>
          <w:sz w:val="24"/>
          <w:szCs w:val="24"/>
        </w:rPr>
        <w:t>о</w:t>
      </w:r>
      <w:r w:rsidR="006C7810">
        <w:rPr>
          <w:rFonts w:ascii="Times New Roman" w:hAnsi="Times New Roman" w:cs="Times New Roman"/>
          <w:sz w:val="24"/>
          <w:szCs w:val="24"/>
        </w:rPr>
        <w:t xml:space="preserve"> значајне резултате</w:t>
      </w:r>
      <w:r w:rsidR="003624D9">
        <w:rPr>
          <w:rFonts w:ascii="Times New Roman" w:hAnsi="Times New Roman" w:cs="Times New Roman"/>
          <w:sz w:val="24"/>
          <w:szCs w:val="24"/>
        </w:rPr>
        <w:t xml:space="preserve">. Стога би </w:t>
      </w:r>
      <w:r w:rsidR="006C7810">
        <w:rPr>
          <w:rFonts w:ascii="Times New Roman" w:hAnsi="Times New Roman" w:cs="Times New Roman"/>
          <w:sz w:val="24"/>
          <w:szCs w:val="24"/>
        </w:rPr>
        <w:t>било важно укратко истаћи у чему се састојала ова промена</w:t>
      </w:r>
      <w:r w:rsidR="003624D9">
        <w:rPr>
          <w:rFonts w:ascii="Times New Roman" w:hAnsi="Times New Roman" w:cs="Times New Roman"/>
          <w:sz w:val="24"/>
          <w:szCs w:val="24"/>
        </w:rPr>
        <w:t xml:space="preserve"> у односу на решење садржано у претходном закону</w:t>
      </w:r>
      <w:r w:rsidR="006C7810">
        <w:rPr>
          <w:rFonts w:ascii="Times New Roman" w:hAnsi="Times New Roman" w:cs="Times New Roman"/>
          <w:sz w:val="24"/>
          <w:szCs w:val="24"/>
        </w:rPr>
        <w:t xml:space="preserve">.  </w:t>
      </w:r>
    </w:p>
    <w:p w:rsidR="00EA0849" w:rsidRDefault="00FB793F" w:rsidP="007B4B66">
      <w:pPr>
        <w:jc w:val="both"/>
        <w:rPr>
          <w:rFonts w:ascii="Times New Roman" w:hAnsi="Times New Roman" w:cs="Times New Roman"/>
          <w:sz w:val="24"/>
          <w:szCs w:val="24"/>
        </w:rPr>
      </w:pPr>
      <w:r>
        <w:rPr>
          <w:rFonts w:ascii="Times New Roman" w:hAnsi="Times New Roman" w:cs="Times New Roman"/>
          <w:sz w:val="24"/>
          <w:szCs w:val="24"/>
        </w:rPr>
        <w:t xml:space="preserve">У периоду јануар 2009 – април 2013. година, </w:t>
      </w:r>
      <w:r w:rsidR="00385201">
        <w:rPr>
          <w:rFonts w:ascii="Times New Roman" w:hAnsi="Times New Roman" w:cs="Times New Roman"/>
          <w:sz w:val="24"/>
          <w:szCs w:val="24"/>
        </w:rPr>
        <w:t xml:space="preserve">за покретање преговарачких поступака без објављивања јавног позива </w:t>
      </w:r>
      <w:r w:rsidR="00EA0849">
        <w:rPr>
          <w:rFonts w:ascii="Times New Roman" w:hAnsi="Times New Roman" w:cs="Times New Roman"/>
          <w:sz w:val="24"/>
          <w:szCs w:val="24"/>
        </w:rPr>
        <w:t xml:space="preserve">није било предвиђено давање претходног мишљења од стране Управе за јавне набавке. У посматраном периоду посебно је био заступљен преговарачки поступак са само једним понуђачем који „због техничких или уметничких разлога“ једини може да задовољи дату потребу наручиоца. Овај основ је, у 2012. години, чинио чак половину укупне вредности преговарачког поступка без претходног објављивања. </w:t>
      </w:r>
    </w:p>
    <w:p w:rsidR="00BE3BC3" w:rsidRDefault="00EA0849" w:rsidP="007B4B66">
      <w:pPr>
        <w:jc w:val="both"/>
        <w:rPr>
          <w:rFonts w:ascii="Times New Roman" w:hAnsi="Times New Roman" w:cs="Times New Roman"/>
          <w:sz w:val="24"/>
          <w:szCs w:val="24"/>
        </w:rPr>
      </w:pPr>
      <w:r>
        <w:rPr>
          <w:rFonts w:ascii="Times New Roman" w:hAnsi="Times New Roman" w:cs="Times New Roman"/>
          <w:sz w:val="24"/>
          <w:szCs w:val="24"/>
        </w:rPr>
        <w:t xml:space="preserve">Према тада важећем </w:t>
      </w:r>
      <w:r w:rsidR="0044349B">
        <w:rPr>
          <w:rFonts w:ascii="Times New Roman" w:hAnsi="Times New Roman" w:cs="Times New Roman"/>
          <w:sz w:val="24"/>
          <w:szCs w:val="24"/>
        </w:rPr>
        <w:t>З</w:t>
      </w:r>
      <w:r>
        <w:rPr>
          <w:rFonts w:ascii="Times New Roman" w:hAnsi="Times New Roman" w:cs="Times New Roman"/>
          <w:sz w:val="24"/>
          <w:szCs w:val="24"/>
        </w:rPr>
        <w:t>акону, наручилац је био у обавези да</w:t>
      </w:r>
      <w:r w:rsidR="006C7810">
        <w:rPr>
          <w:rFonts w:ascii="Times New Roman" w:hAnsi="Times New Roman" w:cs="Times New Roman"/>
          <w:sz w:val="24"/>
          <w:szCs w:val="24"/>
        </w:rPr>
        <w:t>, на Порталу јавних набавки, об</w:t>
      </w:r>
      <w:r>
        <w:rPr>
          <w:rFonts w:ascii="Times New Roman" w:hAnsi="Times New Roman" w:cs="Times New Roman"/>
          <w:sz w:val="24"/>
          <w:szCs w:val="24"/>
        </w:rPr>
        <w:t>ј</w:t>
      </w:r>
      <w:r w:rsidR="006C7810">
        <w:rPr>
          <w:rFonts w:ascii="Times New Roman" w:hAnsi="Times New Roman" w:cs="Times New Roman"/>
          <w:sz w:val="24"/>
          <w:szCs w:val="24"/>
        </w:rPr>
        <w:t>а</w:t>
      </w:r>
      <w:r>
        <w:rPr>
          <w:rFonts w:ascii="Times New Roman" w:hAnsi="Times New Roman" w:cs="Times New Roman"/>
          <w:sz w:val="24"/>
          <w:szCs w:val="24"/>
        </w:rPr>
        <w:t xml:space="preserve">ви своју одлуку да закључи уговор са тачно одређеним понуђачем као јединим у Србији који може да задовољи његову потребу. </w:t>
      </w:r>
      <w:r w:rsidR="00342D08">
        <w:rPr>
          <w:rFonts w:ascii="Times New Roman" w:hAnsi="Times New Roman" w:cs="Times New Roman"/>
          <w:sz w:val="24"/>
          <w:szCs w:val="24"/>
        </w:rPr>
        <w:t>Објављивање одлуке на Порталу давало је могућности осталим понуђачима, потенцијалним конкурентима из те области, да добију информацију на време и да улагањем захтева за заштиту права спрече закључивање уговора, уколико сматрају да и он</w:t>
      </w:r>
      <w:r w:rsidR="006C7810">
        <w:rPr>
          <w:rFonts w:ascii="Times New Roman" w:hAnsi="Times New Roman" w:cs="Times New Roman"/>
          <w:sz w:val="24"/>
          <w:szCs w:val="24"/>
        </w:rPr>
        <w:t>и могу да задовоље дату потребу</w:t>
      </w:r>
      <w:r w:rsidR="00342D08">
        <w:rPr>
          <w:rFonts w:ascii="Times New Roman" w:hAnsi="Times New Roman" w:cs="Times New Roman"/>
          <w:sz w:val="24"/>
          <w:szCs w:val="24"/>
        </w:rPr>
        <w:t xml:space="preserve">, те да су на овај начин </w:t>
      </w:r>
      <w:r w:rsidR="00025C3A">
        <w:rPr>
          <w:rFonts w:ascii="Times New Roman" w:hAnsi="Times New Roman" w:cs="Times New Roman"/>
          <w:sz w:val="24"/>
          <w:szCs w:val="24"/>
        </w:rPr>
        <w:t xml:space="preserve">били </w:t>
      </w:r>
      <w:r w:rsidR="00342D08">
        <w:rPr>
          <w:rFonts w:ascii="Times New Roman" w:hAnsi="Times New Roman" w:cs="Times New Roman"/>
          <w:sz w:val="24"/>
          <w:szCs w:val="24"/>
        </w:rPr>
        <w:t xml:space="preserve">неоправдано искључени из поступка. </w:t>
      </w:r>
      <w:r w:rsidR="00BE3BC3">
        <w:rPr>
          <w:rFonts w:ascii="Times New Roman" w:hAnsi="Times New Roman" w:cs="Times New Roman"/>
          <w:sz w:val="24"/>
          <w:szCs w:val="24"/>
        </w:rPr>
        <w:t>Овакво решење је било преузето из хрватског закона о јавним набавкама где се показало делотворним.</w:t>
      </w:r>
    </w:p>
    <w:p w:rsidR="00374908" w:rsidRDefault="00BE3BC3" w:rsidP="007B4B66">
      <w:pPr>
        <w:jc w:val="both"/>
        <w:rPr>
          <w:rFonts w:ascii="Times New Roman" w:hAnsi="Times New Roman" w:cs="Times New Roman"/>
          <w:sz w:val="24"/>
          <w:szCs w:val="24"/>
        </w:rPr>
      </w:pPr>
      <w:r>
        <w:rPr>
          <w:rFonts w:ascii="Times New Roman" w:hAnsi="Times New Roman" w:cs="Times New Roman"/>
          <w:sz w:val="24"/>
          <w:szCs w:val="24"/>
        </w:rPr>
        <w:t>Други основ по заступљености у преговарачком поступку без објављивања биле су „ван</w:t>
      </w:r>
      <w:r w:rsidR="00C37142">
        <w:rPr>
          <w:rFonts w:ascii="Times New Roman" w:hAnsi="Times New Roman" w:cs="Times New Roman"/>
          <w:sz w:val="24"/>
          <w:szCs w:val="24"/>
        </w:rPr>
        <w:t xml:space="preserve">редне и непредвиђене околности“ </w:t>
      </w:r>
      <w:r>
        <w:rPr>
          <w:rFonts w:ascii="Times New Roman" w:hAnsi="Times New Roman" w:cs="Times New Roman"/>
          <w:sz w:val="24"/>
          <w:szCs w:val="24"/>
        </w:rPr>
        <w:t>(тзв.</w:t>
      </w:r>
      <w:r w:rsidR="00B43E94">
        <w:rPr>
          <w:rFonts w:ascii="Times New Roman" w:hAnsi="Times New Roman" w:cs="Times New Roman"/>
          <w:sz w:val="24"/>
          <w:szCs w:val="24"/>
        </w:rPr>
        <w:t xml:space="preserve"> </w:t>
      </w:r>
      <w:r>
        <w:rPr>
          <w:rFonts w:ascii="Times New Roman" w:hAnsi="Times New Roman" w:cs="Times New Roman"/>
          <w:sz w:val="24"/>
          <w:szCs w:val="24"/>
        </w:rPr>
        <w:t xml:space="preserve">„хитност“). </w:t>
      </w:r>
      <w:r w:rsidR="00374908">
        <w:rPr>
          <w:rFonts w:ascii="Times New Roman" w:hAnsi="Times New Roman" w:cs="Times New Roman"/>
          <w:sz w:val="24"/>
          <w:szCs w:val="24"/>
        </w:rPr>
        <w:t xml:space="preserve">Ни овде Управа није давала претходно мишљење о основаности примене преговарачког поступка, већ је само добијала накнадни извештај да је поступак </w:t>
      </w:r>
      <w:r w:rsidR="00374908">
        <w:rPr>
          <w:rFonts w:ascii="Times New Roman" w:hAnsi="Times New Roman" w:cs="Times New Roman"/>
          <w:sz w:val="24"/>
          <w:szCs w:val="24"/>
        </w:rPr>
        <w:lastRenderedPageBreak/>
        <w:t>спроведен</w:t>
      </w:r>
      <w:r w:rsidR="00025C3A">
        <w:rPr>
          <w:rFonts w:ascii="Times New Roman" w:hAnsi="Times New Roman" w:cs="Times New Roman"/>
          <w:sz w:val="24"/>
          <w:szCs w:val="24"/>
        </w:rPr>
        <w:t xml:space="preserve"> и услед којих околности</w:t>
      </w:r>
      <w:r w:rsidR="00374908">
        <w:rPr>
          <w:rFonts w:ascii="Times New Roman" w:hAnsi="Times New Roman" w:cs="Times New Roman"/>
          <w:sz w:val="24"/>
          <w:szCs w:val="24"/>
        </w:rPr>
        <w:t xml:space="preserve">. Трећи основ </w:t>
      </w:r>
      <w:r w:rsidR="00025C3A">
        <w:rPr>
          <w:rFonts w:ascii="Times New Roman" w:hAnsi="Times New Roman" w:cs="Times New Roman"/>
          <w:sz w:val="24"/>
          <w:szCs w:val="24"/>
        </w:rPr>
        <w:t>за преговарање били су додатни радови и услуге где је постојао висок ризик за злоупотребе</w:t>
      </w:r>
      <w:r w:rsidR="00374908">
        <w:rPr>
          <w:rFonts w:ascii="Times New Roman" w:hAnsi="Times New Roman" w:cs="Times New Roman"/>
          <w:sz w:val="24"/>
          <w:szCs w:val="24"/>
        </w:rPr>
        <w:t>.</w:t>
      </w:r>
    </w:p>
    <w:p w:rsidR="00FD7ED2" w:rsidRPr="00025C3A" w:rsidRDefault="00374908" w:rsidP="007B4B66">
      <w:pPr>
        <w:jc w:val="both"/>
        <w:rPr>
          <w:rFonts w:ascii="Times New Roman" w:hAnsi="Times New Roman" w:cs="Times New Roman"/>
          <w:sz w:val="24"/>
          <w:szCs w:val="24"/>
        </w:rPr>
      </w:pPr>
      <w:r>
        <w:rPr>
          <w:rFonts w:ascii="Times New Roman" w:hAnsi="Times New Roman" w:cs="Times New Roman"/>
          <w:sz w:val="24"/>
          <w:szCs w:val="24"/>
        </w:rPr>
        <w:t>Нови</w:t>
      </w:r>
      <w:r w:rsidR="00025C3A">
        <w:rPr>
          <w:rFonts w:ascii="Times New Roman" w:hAnsi="Times New Roman" w:cs="Times New Roman"/>
          <w:sz w:val="24"/>
          <w:szCs w:val="24"/>
        </w:rPr>
        <w:t>м</w:t>
      </w:r>
      <w:r>
        <w:rPr>
          <w:rFonts w:ascii="Times New Roman" w:hAnsi="Times New Roman" w:cs="Times New Roman"/>
          <w:sz w:val="24"/>
          <w:szCs w:val="24"/>
        </w:rPr>
        <w:t xml:space="preserve"> ЗЈН</w:t>
      </w:r>
      <w:r w:rsidR="00025C3A">
        <w:rPr>
          <w:rFonts w:ascii="Times New Roman" w:hAnsi="Times New Roman" w:cs="Times New Roman"/>
          <w:sz w:val="24"/>
          <w:szCs w:val="24"/>
        </w:rPr>
        <w:t>,</w:t>
      </w:r>
      <w:r>
        <w:rPr>
          <w:rFonts w:ascii="Times New Roman" w:hAnsi="Times New Roman" w:cs="Times New Roman"/>
          <w:sz w:val="24"/>
          <w:szCs w:val="24"/>
        </w:rPr>
        <w:t xml:space="preserve"> који је почео са применом од 1.</w:t>
      </w:r>
      <w:r w:rsidR="0044645B">
        <w:rPr>
          <w:rFonts w:ascii="Times New Roman" w:hAnsi="Times New Roman" w:cs="Times New Roman"/>
          <w:sz w:val="24"/>
          <w:szCs w:val="24"/>
          <w:lang w:val="sr-Cyrl-RS"/>
        </w:rPr>
        <w:t xml:space="preserve"> </w:t>
      </w:r>
      <w:r>
        <w:rPr>
          <w:rFonts w:ascii="Times New Roman" w:hAnsi="Times New Roman" w:cs="Times New Roman"/>
          <w:sz w:val="24"/>
          <w:szCs w:val="24"/>
        </w:rPr>
        <w:t xml:space="preserve">априла 2013. </w:t>
      </w:r>
      <w:r w:rsidR="00025C3A">
        <w:rPr>
          <w:rFonts w:ascii="Times New Roman" w:hAnsi="Times New Roman" w:cs="Times New Roman"/>
          <w:sz w:val="24"/>
          <w:szCs w:val="24"/>
        </w:rPr>
        <w:t>г</w:t>
      </w:r>
      <w:r>
        <w:rPr>
          <w:rFonts w:ascii="Times New Roman" w:hAnsi="Times New Roman" w:cs="Times New Roman"/>
          <w:sz w:val="24"/>
          <w:szCs w:val="24"/>
        </w:rPr>
        <w:t>одине</w:t>
      </w:r>
      <w:r w:rsidR="00025C3A">
        <w:rPr>
          <w:rFonts w:ascii="Times New Roman" w:hAnsi="Times New Roman" w:cs="Times New Roman"/>
          <w:sz w:val="24"/>
          <w:szCs w:val="24"/>
        </w:rPr>
        <w:t>,</w:t>
      </w:r>
      <w:r>
        <w:rPr>
          <w:rFonts w:ascii="Times New Roman" w:hAnsi="Times New Roman" w:cs="Times New Roman"/>
          <w:sz w:val="24"/>
          <w:szCs w:val="24"/>
        </w:rPr>
        <w:t xml:space="preserve"> уведено је решење по коме се за преговарачке поступке по сва три поменута основа наручилац мора претх</w:t>
      </w:r>
      <w:r w:rsidR="0044349B">
        <w:rPr>
          <w:rFonts w:ascii="Times New Roman" w:hAnsi="Times New Roman" w:cs="Times New Roman"/>
          <w:sz w:val="24"/>
          <w:szCs w:val="24"/>
        </w:rPr>
        <w:t>одно обратити Управи за јавне н</w:t>
      </w:r>
      <w:r>
        <w:rPr>
          <w:rFonts w:ascii="Times New Roman" w:hAnsi="Times New Roman" w:cs="Times New Roman"/>
          <w:sz w:val="24"/>
          <w:szCs w:val="24"/>
        </w:rPr>
        <w:t xml:space="preserve">абвке за мишљење. Управа цени основаност примене преговарачког поступка и на основу тога је у могућности да делује превентивно </w:t>
      </w:r>
      <w:r w:rsidRPr="00374908">
        <w:rPr>
          <w:rFonts w:ascii="Times New Roman" w:hAnsi="Times New Roman" w:cs="Times New Roman"/>
          <w:i/>
          <w:sz w:val="24"/>
          <w:szCs w:val="24"/>
        </w:rPr>
        <w:t>(„ex ante”</w:t>
      </w:r>
      <w:r w:rsidR="00025C3A">
        <w:rPr>
          <w:rFonts w:ascii="Times New Roman" w:hAnsi="Times New Roman" w:cs="Times New Roman"/>
          <w:sz w:val="24"/>
          <w:szCs w:val="24"/>
        </w:rPr>
        <w:t xml:space="preserve">) давањем негативног мишљења. </w:t>
      </w:r>
    </w:p>
    <w:p w:rsidR="00374908" w:rsidRPr="00696FC9" w:rsidRDefault="00726F0B" w:rsidP="007B4B66">
      <w:pPr>
        <w:jc w:val="both"/>
        <w:rPr>
          <w:rFonts w:ascii="Times New Roman" w:hAnsi="Times New Roman" w:cs="Times New Roman"/>
          <w:sz w:val="24"/>
          <w:szCs w:val="24"/>
        </w:rPr>
      </w:pPr>
      <w:r>
        <w:rPr>
          <w:rFonts w:ascii="Times New Roman" w:hAnsi="Times New Roman" w:cs="Times New Roman"/>
          <w:sz w:val="24"/>
          <w:szCs w:val="24"/>
        </w:rPr>
        <w:t>Имајући ово у виду, од зн</w:t>
      </w:r>
      <w:r w:rsidR="00696FC9">
        <w:rPr>
          <w:rFonts w:ascii="Times New Roman" w:hAnsi="Times New Roman" w:cs="Times New Roman"/>
          <w:sz w:val="24"/>
          <w:szCs w:val="24"/>
        </w:rPr>
        <w:t>ачаја је да се сагледа до каквих промена је дошло у примени сваког од три поменута основа за покретање преговарачког поступка, након што је почела примена нових законских решења. Структура</w:t>
      </w:r>
      <w:r w:rsidR="000A1E11">
        <w:rPr>
          <w:rFonts w:ascii="Times New Roman" w:hAnsi="Times New Roman" w:cs="Times New Roman"/>
          <w:sz w:val="24"/>
          <w:szCs w:val="24"/>
        </w:rPr>
        <w:t xml:space="preserve"> преговарачког поступка без објављивања, по три најзаступљенија основа</w:t>
      </w:r>
      <w:r w:rsidR="00696FC9">
        <w:rPr>
          <w:rFonts w:ascii="Times New Roman" w:hAnsi="Times New Roman" w:cs="Times New Roman"/>
          <w:sz w:val="24"/>
          <w:szCs w:val="24"/>
        </w:rPr>
        <w:t>,</w:t>
      </w:r>
      <w:r w:rsidR="000A1E11">
        <w:rPr>
          <w:rFonts w:ascii="Times New Roman" w:hAnsi="Times New Roman" w:cs="Times New Roman"/>
          <w:sz w:val="24"/>
          <w:szCs w:val="24"/>
        </w:rPr>
        <w:t xml:space="preserve"> </w:t>
      </w:r>
      <w:r w:rsidR="00F35245">
        <w:rPr>
          <w:rFonts w:ascii="Times New Roman" w:hAnsi="Times New Roman" w:cs="Times New Roman"/>
          <w:sz w:val="24"/>
          <w:szCs w:val="24"/>
        </w:rPr>
        <w:t xml:space="preserve">по старом и новом контролном механизму у четвртом кварталу 2012 и четвртом кварталу 2013. године, </w:t>
      </w:r>
      <w:r w:rsidR="000A1E11">
        <w:rPr>
          <w:rFonts w:ascii="Times New Roman" w:hAnsi="Times New Roman" w:cs="Times New Roman"/>
          <w:sz w:val="24"/>
          <w:szCs w:val="24"/>
        </w:rPr>
        <w:t xml:space="preserve">приказана је на Слици </w:t>
      </w:r>
      <w:r w:rsidR="00E677C6">
        <w:rPr>
          <w:rFonts w:ascii="Times New Roman" w:hAnsi="Times New Roman" w:cs="Times New Roman"/>
          <w:sz w:val="24"/>
          <w:szCs w:val="24"/>
          <w:lang w:val="sr-Cyrl-RS"/>
        </w:rPr>
        <w:t>9</w:t>
      </w:r>
      <w:r w:rsidR="000A1E11">
        <w:rPr>
          <w:rFonts w:ascii="Times New Roman" w:hAnsi="Times New Roman" w:cs="Times New Roman"/>
          <w:sz w:val="24"/>
          <w:szCs w:val="24"/>
        </w:rPr>
        <w:t>.</w:t>
      </w:r>
    </w:p>
    <w:p w:rsidR="00871FE8" w:rsidRPr="00E677C6" w:rsidRDefault="001C39F2" w:rsidP="00E677C6">
      <w:pPr>
        <w:jc w:val="center"/>
        <w:rPr>
          <w:rFonts w:ascii="Times New Roman" w:hAnsi="Times New Roman" w:cs="Times New Roman"/>
          <w:b/>
          <w:sz w:val="24"/>
          <w:szCs w:val="24"/>
          <w:lang w:val="sr-Cyrl-RS"/>
        </w:rPr>
      </w:pPr>
      <w:r w:rsidRPr="009B3038">
        <w:rPr>
          <w:rFonts w:ascii="Times New Roman" w:hAnsi="Times New Roman" w:cs="Times New Roman"/>
          <w:b/>
          <w:sz w:val="24"/>
          <w:szCs w:val="24"/>
        </w:rPr>
        <w:t xml:space="preserve">Слика </w:t>
      </w:r>
      <w:r w:rsidR="00E677C6">
        <w:rPr>
          <w:rFonts w:ascii="Times New Roman" w:hAnsi="Times New Roman" w:cs="Times New Roman"/>
          <w:b/>
          <w:sz w:val="24"/>
          <w:szCs w:val="24"/>
          <w:lang w:val="sr-Cyrl-RS"/>
        </w:rPr>
        <w:t>9</w:t>
      </w:r>
    </w:p>
    <w:bookmarkStart w:id="4" w:name="_MON_1452182720"/>
    <w:bookmarkStart w:id="5" w:name="_MON_1452182741"/>
    <w:bookmarkEnd w:id="4"/>
    <w:bookmarkEnd w:id="5"/>
    <w:bookmarkStart w:id="6" w:name="_MON_1452182645"/>
    <w:bookmarkEnd w:id="6"/>
    <w:p w:rsidR="00063307" w:rsidRPr="00063307" w:rsidRDefault="00F5794F" w:rsidP="00063307">
      <w:pPr>
        <w:jc w:val="center"/>
        <w:rPr>
          <w:rFonts w:ascii="Times New Roman" w:hAnsi="Times New Roman" w:cs="Times New Roman"/>
          <w:sz w:val="24"/>
          <w:szCs w:val="24"/>
        </w:rPr>
      </w:pPr>
      <w:r w:rsidRPr="00561134">
        <w:rPr>
          <w:rFonts w:ascii="Times New Roman" w:hAnsi="Times New Roman" w:cs="Times New Roman"/>
          <w:sz w:val="24"/>
          <w:szCs w:val="24"/>
        </w:rPr>
        <w:object w:dxaOrig="8554" w:dyaOrig="5411">
          <v:shape id="_x0000_i1034" type="#_x0000_t75" style="width:427.5pt;height:270pt" o:ole="">
            <v:imagedata r:id="rId31" o:title=""/>
          </v:shape>
          <o:OLEObject Type="Embed" ProgID="Excel.Sheet.12" ShapeID="_x0000_i1034" DrawAspect="Content" ObjectID="_1456551368" r:id="rId32"/>
        </w:object>
      </w:r>
    </w:p>
    <w:p w:rsidR="0039379B" w:rsidRDefault="00696FC9" w:rsidP="007B4B66">
      <w:pPr>
        <w:jc w:val="both"/>
        <w:rPr>
          <w:rFonts w:ascii="Times New Roman" w:hAnsi="Times New Roman" w:cs="Times New Roman"/>
          <w:sz w:val="24"/>
          <w:szCs w:val="24"/>
        </w:rPr>
      </w:pPr>
      <w:r>
        <w:rPr>
          <w:rFonts w:ascii="Times New Roman" w:hAnsi="Times New Roman" w:cs="Times New Roman"/>
          <w:sz w:val="24"/>
          <w:szCs w:val="24"/>
        </w:rPr>
        <w:t xml:space="preserve">Као што се на Слици </w:t>
      </w:r>
      <w:r w:rsidR="00E677C6">
        <w:rPr>
          <w:rFonts w:ascii="Times New Roman" w:hAnsi="Times New Roman" w:cs="Times New Roman"/>
          <w:sz w:val="24"/>
          <w:szCs w:val="24"/>
          <w:lang w:val="sr-Cyrl-RS"/>
        </w:rPr>
        <w:t>9</w:t>
      </w:r>
      <w:r>
        <w:rPr>
          <w:rFonts w:ascii="Times New Roman" w:hAnsi="Times New Roman" w:cs="Times New Roman"/>
          <w:sz w:val="24"/>
          <w:szCs w:val="24"/>
        </w:rPr>
        <w:t xml:space="preserve"> може видети, н</w:t>
      </w:r>
      <w:r w:rsidR="000A1E11">
        <w:rPr>
          <w:rFonts w:ascii="Times New Roman" w:hAnsi="Times New Roman" w:cs="Times New Roman"/>
          <w:sz w:val="24"/>
          <w:szCs w:val="24"/>
        </w:rPr>
        <w:t>ајвише су смањени преговарачки пос</w:t>
      </w:r>
      <w:r w:rsidR="0039379B">
        <w:rPr>
          <w:rFonts w:ascii="Times New Roman" w:hAnsi="Times New Roman" w:cs="Times New Roman"/>
          <w:sz w:val="24"/>
          <w:szCs w:val="24"/>
        </w:rPr>
        <w:t xml:space="preserve">тупци са само једним понуђачем </w:t>
      </w:r>
      <w:r w:rsidR="000A1E11">
        <w:rPr>
          <w:rFonts w:ascii="Times New Roman" w:hAnsi="Times New Roman" w:cs="Times New Roman"/>
          <w:sz w:val="24"/>
          <w:szCs w:val="24"/>
        </w:rPr>
        <w:t xml:space="preserve">који због </w:t>
      </w:r>
      <w:r w:rsidR="0039379B">
        <w:rPr>
          <w:rFonts w:ascii="Times New Roman" w:hAnsi="Times New Roman" w:cs="Times New Roman"/>
          <w:sz w:val="24"/>
          <w:szCs w:val="24"/>
        </w:rPr>
        <w:t>„</w:t>
      </w:r>
      <w:r w:rsidR="000A1E11">
        <w:rPr>
          <w:rFonts w:ascii="Times New Roman" w:hAnsi="Times New Roman" w:cs="Times New Roman"/>
          <w:sz w:val="24"/>
          <w:szCs w:val="24"/>
        </w:rPr>
        <w:t>техничких и уметничких разлога</w:t>
      </w:r>
      <w:r w:rsidR="0039379B">
        <w:rPr>
          <w:rFonts w:ascii="Times New Roman" w:hAnsi="Times New Roman" w:cs="Times New Roman"/>
          <w:sz w:val="24"/>
          <w:szCs w:val="24"/>
        </w:rPr>
        <w:t>“</w:t>
      </w:r>
      <w:r w:rsidR="000A1E11">
        <w:rPr>
          <w:rFonts w:ascii="Times New Roman" w:hAnsi="Times New Roman" w:cs="Times New Roman"/>
          <w:sz w:val="24"/>
          <w:szCs w:val="24"/>
        </w:rPr>
        <w:t xml:space="preserve"> једини мож</w:t>
      </w:r>
      <w:r w:rsidR="0039379B">
        <w:rPr>
          <w:rFonts w:ascii="Times New Roman" w:hAnsi="Times New Roman" w:cs="Times New Roman"/>
          <w:sz w:val="24"/>
          <w:szCs w:val="24"/>
        </w:rPr>
        <w:t>е да задовољи потребе наручиоца</w:t>
      </w:r>
      <w:r w:rsidR="000A1E11">
        <w:rPr>
          <w:rFonts w:ascii="Times New Roman" w:hAnsi="Times New Roman" w:cs="Times New Roman"/>
          <w:sz w:val="24"/>
          <w:szCs w:val="24"/>
        </w:rPr>
        <w:t xml:space="preserve">.  </w:t>
      </w:r>
      <w:r w:rsidR="0039379B">
        <w:rPr>
          <w:rFonts w:ascii="Times New Roman" w:hAnsi="Times New Roman" w:cs="Times New Roman"/>
          <w:sz w:val="24"/>
          <w:szCs w:val="24"/>
        </w:rPr>
        <w:t>То је поступак код кога је конкуренција у потпуности искључена и стога најнеповољнији за државу као купца, а уједно и најризичнији са аспекта могућих злоупотреба.  Ово је добар пример који показује да транспарентност, сама по себи, није довољна да обезбеди конкуренцију</w:t>
      </w:r>
      <w:r>
        <w:rPr>
          <w:rStyle w:val="FootnoteReference"/>
          <w:rFonts w:ascii="Times New Roman" w:hAnsi="Times New Roman" w:cs="Times New Roman"/>
          <w:sz w:val="24"/>
          <w:szCs w:val="24"/>
        </w:rPr>
        <w:footnoteReference w:id="5"/>
      </w:r>
      <w:r w:rsidR="0039379B">
        <w:rPr>
          <w:rFonts w:ascii="Times New Roman" w:hAnsi="Times New Roman" w:cs="Times New Roman"/>
          <w:sz w:val="24"/>
          <w:szCs w:val="24"/>
        </w:rPr>
        <w:t>, те да</w:t>
      </w:r>
      <w:r>
        <w:rPr>
          <w:rFonts w:ascii="Times New Roman" w:hAnsi="Times New Roman" w:cs="Times New Roman"/>
          <w:sz w:val="24"/>
          <w:szCs w:val="24"/>
        </w:rPr>
        <w:t>,</w:t>
      </w:r>
      <w:r w:rsidR="0039379B">
        <w:rPr>
          <w:rFonts w:ascii="Times New Roman" w:hAnsi="Times New Roman" w:cs="Times New Roman"/>
          <w:sz w:val="24"/>
          <w:szCs w:val="24"/>
        </w:rPr>
        <w:t xml:space="preserve"> уколико се покаже да тржиште (тј. понуђачи) не реагује према очекивањима у смислу заштите својих права и конкуренције, тада држава, односно регулаторна </w:t>
      </w:r>
      <w:r>
        <w:rPr>
          <w:rFonts w:ascii="Times New Roman" w:hAnsi="Times New Roman" w:cs="Times New Roman"/>
          <w:sz w:val="24"/>
          <w:szCs w:val="24"/>
        </w:rPr>
        <w:t>тела треба да преузму т</w:t>
      </w:r>
      <w:r w:rsidR="0039379B">
        <w:rPr>
          <w:rFonts w:ascii="Times New Roman" w:hAnsi="Times New Roman" w:cs="Times New Roman"/>
          <w:sz w:val="24"/>
          <w:szCs w:val="24"/>
        </w:rPr>
        <w:t xml:space="preserve">у функцију.   </w:t>
      </w:r>
    </w:p>
    <w:p w:rsidR="00C330AE" w:rsidRPr="003624D9" w:rsidRDefault="005D0B49" w:rsidP="003624D9">
      <w:pPr>
        <w:jc w:val="both"/>
        <w:rPr>
          <w:rFonts w:ascii="Times New Roman" w:hAnsi="Times New Roman" w:cs="Times New Roman"/>
          <w:sz w:val="24"/>
          <w:szCs w:val="24"/>
        </w:rPr>
      </w:pPr>
      <w:r>
        <w:rPr>
          <w:rFonts w:ascii="Times New Roman" w:hAnsi="Times New Roman" w:cs="Times New Roman"/>
          <w:sz w:val="24"/>
          <w:szCs w:val="24"/>
        </w:rPr>
        <w:lastRenderedPageBreak/>
        <w:t xml:space="preserve">Слика </w:t>
      </w:r>
      <w:r w:rsidR="00E677C6">
        <w:rPr>
          <w:rFonts w:ascii="Times New Roman" w:hAnsi="Times New Roman" w:cs="Times New Roman"/>
          <w:sz w:val="24"/>
          <w:szCs w:val="24"/>
          <w:lang w:val="sr-Cyrl-RS"/>
        </w:rPr>
        <w:t>9</w:t>
      </w:r>
      <w:r>
        <w:rPr>
          <w:rFonts w:ascii="Times New Roman" w:hAnsi="Times New Roman" w:cs="Times New Roman"/>
          <w:sz w:val="24"/>
          <w:szCs w:val="24"/>
        </w:rPr>
        <w:t xml:space="preserve"> показује </w:t>
      </w:r>
      <w:r w:rsidR="00696FC9">
        <w:rPr>
          <w:rFonts w:ascii="Times New Roman" w:hAnsi="Times New Roman" w:cs="Times New Roman"/>
          <w:sz w:val="24"/>
          <w:szCs w:val="24"/>
        </w:rPr>
        <w:t>да је</w:t>
      </w:r>
      <w:r w:rsidR="00F35245">
        <w:rPr>
          <w:rFonts w:ascii="Times New Roman" w:hAnsi="Times New Roman" w:cs="Times New Roman"/>
          <w:sz w:val="24"/>
          <w:szCs w:val="24"/>
        </w:rPr>
        <w:t xml:space="preserve"> за</w:t>
      </w:r>
      <w:r w:rsidR="00696FC9">
        <w:rPr>
          <w:rFonts w:ascii="Times New Roman" w:hAnsi="Times New Roman" w:cs="Times New Roman"/>
          <w:sz w:val="24"/>
          <w:szCs w:val="24"/>
        </w:rPr>
        <w:t xml:space="preserve"> </w:t>
      </w:r>
      <w:r w:rsidR="004F2D0E">
        <w:rPr>
          <w:rFonts w:ascii="Times New Roman" w:hAnsi="Times New Roman" w:cs="Times New Roman"/>
          <w:sz w:val="24"/>
          <w:szCs w:val="24"/>
        </w:rPr>
        <w:t xml:space="preserve">1/3 смањена вредност преговарачког поступка по „хитности“, док је </w:t>
      </w:r>
      <w:r>
        <w:rPr>
          <w:rFonts w:ascii="Times New Roman" w:hAnsi="Times New Roman" w:cs="Times New Roman"/>
          <w:sz w:val="24"/>
          <w:szCs w:val="24"/>
        </w:rPr>
        <w:t xml:space="preserve">вредност додатних радова и услуга на које Управа, такође, даје претходно мишљење </w:t>
      </w:r>
      <w:r w:rsidR="004F2D0E">
        <w:rPr>
          <w:rFonts w:ascii="Times New Roman" w:hAnsi="Times New Roman" w:cs="Times New Roman"/>
          <w:sz w:val="24"/>
          <w:szCs w:val="24"/>
        </w:rPr>
        <w:t>смањена чак седам пута.</w:t>
      </w:r>
      <w:r w:rsidR="00BE041F">
        <w:rPr>
          <w:rFonts w:ascii="Times New Roman" w:hAnsi="Times New Roman" w:cs="Times New Roman"/>
          <w:b/>
          <w:sz w:val="24"/>
          <w:szCs w:val="24"/>
        </w:rPr>
        <w:br/>
      </w:r>
    </w:p>
    <w:p w:rsidR="00423371" w:rsidRPr="00B52C7D" w:rsidRDefault="00423371" w:rsidP="00B52C7D">
      <w:pPr>
        <w:pStyle w:val="ListParagraph"/>
        <w:numPr>
          <w:ilvl w:val="0"/>
          <w:numId w:val="2"/>
        </w:numPr>
        <w:rPr>
          <w:rFonts w:ascii="Times New Roman" w:hAnsi="Times New Roman" w:cs="Times New Roman"/>
          <w:b/>
          <w:sz w:val="24"/>
          <w:szCs w:val="24"/>
        </w:rPr>
      </w:pPr>
      <w:r w:rsidRPr="00B52C7D">
        <w:rPr>
          <w:rFonts w:ascii="Times New Roman" w:hAnsi="Times New Roman" w:cs="Times New Roman"/>
          <w:b/>
          <w:sz w:val="24"/>
          <w:szCs w:val="24"/>
        </w:rPr>
        <w:t>КОНКУРЕН</w:t>
      </w:r>
      <w:r w:rsidR="00607EFC">
        <w:rPr>
          <w:rFonts w:ascii="Times New Roman" w:hAnsi="Times New Roman" w:cs="Times New Roman"/>
          <w:b/>
          <w:sz w:val="24"/>
          <w:szCs w:val="24"/>
        </w:rPr>
        <w:t>ЦИЈА</w:t>
      </w:r>
    </w:p>
    <w:p w:rsidR="00172360" w:rsidRDefault="002B428A" w:rsidP="007B4B66">
      <w:pPr>
        <w:jc w:val="both"/>
        <w:rPr>
          <w:rFonts w:ascii="Times New Roman" w:hAnsi="Times New Roman" w:cs="Times New Roman"/>
          <w:sz w:val="24"/>
          <w:szCs w:val="24"/>
        </w:rPr>
      </w:pPr>
      <w:r>
        <w:rPr>
          <w:rFonts w:ascii="Times New Roman" w:hAnsi="Times New Roman" w:cs="Times New Roman"/>
          <w:sz w:val="24"/>
          <w:szCs w:val="24"/>
        </w:rPr>
        <w:t xml:space="preserve">Слободно деловање конкуренције је једно од најважнијих обележја </w:t>
      </w:r>
      <w:r w:rsidR="00607EFC">
        <w:rPr>
          <w:rFonts w:ascii="Times New Roman" w:hAnsi="Times New Roman" w:cs="Times New Roman"/>
          <w:sz w:val="24"/>
          <w:szCs w:val="24"/>
        </w:rPr>
        <w:t>развијено</w:t>
      </w:r>
      <w:r>
        <w:rPr>
          <w:rFonts w:ascii="Times New Roman" w:hAnsi="Times New Roman" w:cs="Times New Roman"/>
          <w:sz w:val="24"/>
          <w:szCs w:val="24"/>
        </w:rPr>
        <w:t xml:space="preserve">г и ефикасног </w:t>
      </w:r>
      <w:r w:rsidR="00607EFC">
        <w:rPr>
          <w:rFonts w:ascii="Times New Roman" w:hAnsi="Times New Roman" w:cs="Times New Roman"/>
          <w:sz w:val="24"/>
          <w:szCs w:val="24"/>
        </w:rPr>
        <w:t xml:space="preserve">система јавних набавки. </w:t>
      </w:r>
      <w:r>
        <w:rPr>
          <w:rFonts w:ascii="Times New Roman" w:hAnsi="Times New Roman" w:cs="Times New Roman"/>
          <w:sz w:val="24"/>
          <w:szCs w:val="24"/>
        </w:rPr>
        <w:t>Разлог је што слободна конкуренција међу понуђачима омогућава купцу, у овом случају држави</w:t>
      </w:r>
      <w:r w:rsidR="00C162DC">
        <w:rPr>
          <w:rFonts w:ascii="Times New Roman" w:hAnsi="Times New Roman" w:cs="Times New Roman"/>
          <w:sz w:val="24"/>
          <w:szCs w:val="24"/>
        </w:rPr>
        <w:t>,</w:t>
      </w:r>
      <w:r>
        <w:rPr>
          <w:rFonts w:ascii="Times New Roman" w:hAnsi="Times New Roman" w:cs="Times New Roman"/>
          <w:sz w:val="24"/>
          <w:szCs w:val="24"/>
        </w:rPr>
        <w:t xml:space="preserve"> најповољније услове набавке. Стога су к</w:t>
      </w:r>
      <w:r w:rsidR="00607EFC">
        <w:rPr>
          <w:rFonts w:ascii="Times New Roman" w:hAnsi="Times New Roman" w:cs="Times New Roman"/>
          <w:sz w:val="24"/>
          <w:szCs w:val="24"/>
        </w:rPr>
        <w:t>ључна начела јавних набавки, попут трансп</w:t>
      </w:r>
      <w:r w:rsidR="006A7E33">
        <w:rPr>
          <w:rFonts w:ascii="Times New Roman" w:hAnsi="Times New Roman" w:cs="Times New Roman"/>
          <w:sz w:val="24"/>
          <w:szCs w:val="24"/>
          <w:lang w:val="sr-Cyrl-RS"/>
        </w:rPr>
        <w:t>а</w:t>
      </w:r>
      <w:r w:rsidR="00607EFC">
        <w:rPr>
          <w:rFonts w:ascii="Times New Roman" w:hAnsi="Times New Roman" w:cs="Times New Roman"/>
          <w:sz w:val="24"/>
          <w:szCs w:val="24"/>
        </w:rPr>
        <w:t>рентности и недискриминације, односно обезбеђивања једнаких услова за све учеснике у по</w:t>
      </w:r>
      <w:r>
        <w:rPr>
          <w:rFonts w:ascii="Times New Roman" w:hAnsi="Times New Roman" w:cs="Times New Roman"/>
          <w:sz w:val="24"/>
          <w:szCs w:val="24"/>
        </w:rPr>
        <w:t>с</w:t>
      </w:r>
      <w:r w:rsidR="00607EFC">
        <w:rPr>
          <w:rFonts w:ascii="Times New Roman" w:hAnsi="Times New Roman" w:cs="Times New Roman"/>
          <w:sz w:val="24"/>
          <w:szCs w:val="24"/>
        </w:rPr>
        <w:t xml:space="preserve">тупку </w:t>
      </w:r>
      <w:r w:rsidR="003F24BD">
        <w:rPr>
          <w:rFonts w:ascii="Times New Roman" w:hAnsi="Times New Roman" w:cs="Times New Roman"/>
          <w:sz w:val="24"/>
          <w:szCs w:val="24"/>
          <w:lang w:val="sr-Cyrl-RS"/>
        </w:rPr>
        <w:t>заправо</w:t>
      </w:r>
      <w:r>
        <w:rPr>
          <w:rFonts w:ascii="Times New Roman" w:hAnsi="Times New Roman" w:cs="Times New Roman"/>
          <w:sz w:val="24"/>
          <w:szCs w:val="24"/>
        </w:rPr>
        <w:t xml:space="preserve"> у функцији остваривања једног ширег циља, а то је </w:t>
      </w:r>
      <w:r w:rsidR="00607EFC">
        <w:rPr>
          <w:rFonts w:ascii="Times New Roman" w:hAnsi="Times New Roman" w:cs="Times New Roman"/>
          <w:sz w:val="24"/>
          <w:szCs w:val="24"/>
        </w:rPr>
        <w:t>обезбе</w:t>
      </w:r>
      <w:r>
        <w:rPr>
          <w:rFonts w:ascii="Times New Roman" w:hAnsi="Times New Roman" w:cs="Times New Roman"/>
          <w:sz w:val="24"/>
          <w:szCs w:val="24"/>
        </w:rPr>
        <w:t>ђивање</w:t>
      </w:r>
      <w:r w:rsidR="00607EFC">
        <w:rPr>
          <w:rFonts w:ascii="Times New Roman" w:hAnsi="Times New Roman" w:cs="Times New Roman"/>
          <w:sz w:val="24"/>
          <w:szCs w:val="24"/>
        </w:rPr>
        <w:t xml:space="preserve"> пун</w:t>
      </w:r>
      <w:r>
        <w:rPr>
          <w:rFonts w:ascii="Times New Roman" w:hAnsi="Times New Roman" w:cs="Times New Roman"/>
          <w:sz w:val="24"/>
          <w:szCs w:val="24"/>
        </w:rPr>
        <w:t>е конкуренције</w:t>
      </w:r>
      <w:r w:rsidR="00607EFC">
        <w:rPr>
          <w:rFonts w:ascii="Times New Roman" w:hAnsi="Times New Roman" w:cs="Times New Roman"/>
          <w:sz w:val="24"/>
          <w:szCs w:val="24"/>
        </w:rPr>
        <w:t xml:space="preserve"> у поступцима јавних </w:t>
      </w:r>
      <w:r w:rsidR="00740B7E">
        <w:rPr>
          <w:rFonts w:ascii="Times New Roman" w:hAnsi="Times New Roman" w:cs="Times New Roman"/>
          <w:sz w:val="24"/>
          <w:szCs w:val="24"/>
        </w:rPr>
        <w:t xml:space="preserve">набавки. </w:t>
      </w:r>
      <w:r>
        <w:rPr>
          <w:rFonts w:ascii="Times New Roman" w:hAnsi="Times New Roman" w:cs="Times New Roman"/>
          <w:sz w:val="24"/>
          <w:szCs w:val="24"/>
        </w:rPr>
        <w:t xml:space="preserve">Зато се успешност </w:t>
      </w:r>
      <w:r w:rsidR="00FF2D0F">
        <w:rPr>
          <w:rFonts w:ascii="Times New Roman" w:hAnsi="Times New Roman" w:cs="Times New Roman"/>
          <w:sz w:val="24"/>
          <w:szCs w:val="24"/>
        </w:rPr>
        <w:t xml:space="preserve">(ефекти) </w:t>
      </w:r>
      <w:r>
        <w:rPr>
          <w:rFonts w:ascii="Times New Roman" w:hAnsi="Times New Roman" w:cs="Times New Roman"/>
          <w:sz w:val="24"/>
          <w:szCs w:val="24"/>
        </w:rPr>
        <w:t xml:space="preserve">примене транспарентности и обезбеђивања једнаких услова у поступцима јавних набавки </w:t>
      </w:r>
      <w:r w:rsidR="00FF2D0F">
        <w:rPr>
          <w:rFonts w:ascii="Times New Roman" w:hAnsi="Times New Roman" w:cs="Times New Roman"/>
          <w:sz w:val="24"/>
          <w:szCs w:val="24"/>
        </w:rPr>
        <w:t xml:space="preserve">у пракси </w:t>
      </w:r>
      <w:r>
        <w:rPr>
          <w:rFonts w:ascii="Times New Roman" w:hAnsi="Times New Roman" w:cs="Times New Roman"/>
          <w:sz w:val="24"/>
          <w:szCs w:val="24"/>
        </w:rPr>
        <w:t xml:space="preserve">могу оцењивати и пратити преко интензитета конкуренције међу понуђачима. </w:t>
      </w:r>
      <w:r w:rsidR="006D79F5">
        <w:rPr>
          <w:rFonts w:ascii="Times New Roman" w:hAnsi="Times New Roman" w:cs="Times New Roman"/>
          <w:sz w:val="24"/>
          <w:szCs w:val="24"/>
        </w:rPr>
        <w:t>Другим речима, ако су транспарентност и једн</w:t>
      </w:r>
      <w:r w:rsidR="006463F1">
        <w:rPr>
          <w:rFonts w:ascii="Times New Roman" w:hAnsi="Times New Roman" w:cs="Times New Roman"/>
          <w:sz w:val="24"/>
          <w:szCs w:val="24"/>
        </w:rPr>
        <w:t>а</w:t>
      </w:r>
      <w:r w:rsidR="006D79F5">
        <w:rPr>
          <w:rFonts w:ascii="Times New Roman" w:hAnsi="Times New Roman" w:cs="Times New Roman"/>
          <w:sz w:val="24"/>
          <w:szCs w:val="24"/>
        </w:rPr>
        <w:t>к третман понуђача обезбеђени у пракси, конкуренција ће бити интензивна. И обрнуто, ако су начела присутна само у ЗЈН, а постоје слабости у њиховој примени, понуђачи ће одустајати од учешћа у поступцима јавних набавки.</w:t>
      </w:r>
      <w:r w:rsidR="006463F1">
        <w:rPr>
          <w:rFonts w:ascii="Times New Roman" w:hAnsi="Times New Roman" w:cs="Times New Roman"/>
          <w:sz w:val="24"/>
          <w:szCs w:val="24"/>
        </w:rPr>
        <w:t xml:space="preserve"> Разлог је што њихова одлука о учешћу у поступку јавне набавке зависи пре свега од процене да ли је поступак </w:t>
      </w:r>
      <w:r w:rsidR="00172360">
        <w:rPr>
          <w:rFonts w:ascii="Times New Roman" w:hAnsi="Times New Roman" w:cs="Times New Roman"/>
          <w:sz w:val="24"/>
          <w:szCs w:val="24"/>
        </w:rPr>
        <w:t>„</w:t>
      </w:r>
      <w:r w:rsidR="006463F1">
        <w:rPr>
          <w:rFonts w:ascii="Times New Roman" w:hAnsi="Times New Roman" w:cs="Times New Roman"/>
          <w:sz w:val="24"/>
          <w:szCs w:val="24"/>
        </w:rPr>
        <w:t>намештен</w:t>
      </w:r>
      <w:r w:rsidR="00172360">
        <w:rPr>
          <w:rFonts w:ascii="Times New Roman" w:hAnsi="Times New Roman" w:cs="Times New Roman"/>
          <w:sz w:val="24"/>
          <w:szCs w:val="24"/>
        </w:rPr>
        <w:t>“</w:t>
      </w:r>
      <w:r w:rsidR="006463F1">
        <w:rPr>
          <w:rFonts w:ascii="Times New Roman" w:hAnsi="Times New Roman" w:cs="Times New Roman"/>
          <w:sz w:val="24"/>
          <w:szCs w:val="24"/>
        </w:rPr>
        <w:t xml:space="preserve"> или не за одређеног понуђача. </w:t>
      </w:r>
      <w:r w:rsidR="00172360">
        <w:rPr>
          <w:rFonts w:ascii="Times New Roman" w:hAnsi="Times New Roman" w:cs="Times New Roman"/>
          <w:sz w:val="24"/>
          <w:szCs w:val="24"/>
        </w:rPr>
        <w:t>Уколико процене да јесте или да њихова права у поступку не могу бити ефикасно заштићена, понуђачи неће уопште ни учествовати у поступку. Самим тим ће и број поднетих понуда бити нижи.</w:t>
      </w:r>
    </w:p>
    <w:p w:rsidR="00B52C7D" w:rsidRPr="00740B7E" w:rsidRDefault="00172360" w:rsidP="00740B7E">
      <w:pPr>
        <w:jc w:val="both"/>
        <w:rPr>
          <w:rFonts w:ascii="Times New Roman" w:hAnsi="Times New Roman" w:cs="Times New Roman"/>
          <w:sz w:val="24"/>
          <w:szCs w:val="24"/>
        </w:rPr>
      </w:pPr>
      <w:r>
        <w:rPr>
          <w:rFonts w:ascii="Times New Roman" w:hAnsi="Times New Roman" w:cs="Times New Roman"/>
          <w:sz w:val="24"/>
          <w:szCs w:val="24"/>
        </w:rPr>
        <w:t>Просечан број понуда по закљученом уговору, као с</w:t>
      </w:r>
      <w:r w:rsidR="00607EFC">
        <w:rPr>
          <w:rFonts w:ascii="Times New Roman" w:hAnsi="Times New Roman" w:cs="Times New Roman"/>
          <w:sz w:val="24"/>
          <w:szCs w:val="24"/>
        </w:rPr>
        <w:t>тандардан показатељ интензитета конкуренције у јавним набавкама</w:t>
      </w:r>
      <w:r>
        <w:rPr>
          <w:rFonts w:ascii="Times New Roman" w:hAnsi="Times New Roman" w:cs="Times New Roman"/>
          <w:sz w:val="24"/>
          <w:szCs w:val="24"/>
        </w:rPr>
        <w:t>,</w:t>
      </w:r>
      <w:r w:rsidR="005F59A4">
        <w:rPr>
          <w:rFonts w:ascii="Times New Roman" w:hAnsi="Times New Roman" w:cs="Times New Roman"/>
          <w:sz w:val="24"/>
          <w:szCs w:val="24"/>
        </w:rPr>
        <w:t xml:space="preserve"> </w:t>
      </w:r>
      <w:r>
        <w:rPr>
          <w:rFonts w:ascii="Times New Roman" w:hAnsi="Times New Roman" w:cs="Times New Roman"/>
          <w:sz w:val="24"/>
          <w:szCs w:val="24"/>
        </w:rPr>
        <w:t xml:space="preserve">приказан је у </w:t>
      </w:r>
      <w:r w:rsidR="00FF2D0F">
        <w:rPr>
          <w:rFonts w:ascii="Times New Roman" w:hAnsi="Times New Roman" w:cs="Times New Roman"/>
          <w:sz w:val="24"/>
          <w:szCs w:val="24"/>
        </w:rPr>
        <w:t>Табел</w:t>
      </w:r>
      <w:r>
        <w:rPr>
          <w:rFonts w:ascii="Times New Roman" w:hAnsi="Times New Roman" w:cs="Times New Roman"/>
          <w:sz w:val="24"/>
          <w:szCs w:val="24"/>
        </w:rPr>
        <w:t>и</w:t>
      </w:r>
      <w:r w:rsidR="00FF2D0F">
        <w:rPr>
          <w:rFonts w:ascii="Times New Roman" w:hAnsi="Times New Roman" w:cs="Times New Roman"/>
          <w:sz w:val="24"/>
          <w:szCs w:val="24"/>
        </w:rPr>
        <w:t xml:space="preserve"> 5</w:t>
      </w:r>
      <w:r w:rsidR="00607EFC">
        <w:rPr>
          <w:rFonts w:ascii="Times New Roman" w:hAnsi="Times New Roman" w:cs="Times New Roman"/>
          <w:sz w:val="24"/>
          <w:szCs w:val="24"/>
        </w:rPr>
        <w:t xml:space="preserve">. </w:t>
      </w:r>
    </w:p>
    <w:p w:rsidR="00B52C7D" w:rsidRPr="009B3038" w:rsidRDefault="00F32666" w:rsidP="00482BC8">
      <w:pPr>
        <w:rPr>
          <w:rFonts w:ascii="Times New Roman" w:hAnsi="Times New Roman" w:cs="Times New Roman"/>
          <w:b/>
          <w:sz w:val="24"/>
          <w:szCs w:val="24"/>
        </w:rPr>
      </w:pPr>
      <w:r w:rsidRPr="009B3038">
        <w:rPr>
          <w:rFonts w:ascii="Times New Roman" w:hAnsi="Times New Roman" w:cs="Times New Roman"/>
          <w:b/>
          <w:sz w:val="24"/>
          <w:szCs w:val="24"/>
        </w:rPr>
        <w:t>Табела 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3"/>
        <w:gridCol w:w="1895"/>
        <w:gridCol w:w="1796"/>
        <w:gridCol w:w="1843"/>
        <w:gridCol w:w="1843"/>
      </w:tblGrid>
      <w:tr w:rsidR="00383777" w:rsidRPr="00383777" w:rsidTr="003F4DFD">
        <w:trPr>
          <w:trHeight w:val="713"/>
          <w:jc w:val="center"/>
        </w:trPr>
        <w:tc>
          <w:tcPr>
            <w:tcW w:w="8340" w:type="dxa"/>
            <w:gridSpan w:val="5"/>
          </w:tcPr>
          <w:p w:rsidR="00383777" w:rsidRPr="00383777" w:rsidRDefault="00383777" w:rsidP="00E677C6">
            <w:pPr>
              <w:tabs>
                <w:tab w:val="left" w:pos="1885"/>
              </w:tabs>
              <w:spacing w:after="0" w:line="240" w:lineRule="auto"/>
              <w:jc w:val="center"/>
              <w:rPr>
                <w:rFonts w:ascii="Times New Roman" w:eastAsia="Times New Roman" w:hAnsi="Times New Roman" w:cs="Times New Roman"/>
                <w:b/>
                <w:sz w:val="24"/>
                <w:szCs w:val="24"/>
              </w:rPr>
            </w:pPr>
            <w:r w:rsidRPr="00383777">
              <w:rPr>
                <w:rFonts w:ascii="Times New Roman" w:eastAsia="Times New Roman" w:hAnsi="Times New Roman" w:cs="Times New Roman"/>
                <w:b/>
                <w:sz w:val="24"/>
                <w:szCs w:val="24"/>
              </w:rPr>
              <w:t>Просечан број понуда по закљученом уговору у поступцима</w:t>
            </w:r>
            <w:r w:rsidR="00E677C6">
              <w:rPr>
                <w:rFonts w:ascii="Times New Roman" w:eastAsia="Times New Roman" w:hAnsi="Times New Roman" w:cs="Times New Roman"/>
                <w:b/>
                <w:sz w:val="24"/>
                <w:szCs w:val="24"/>
              </w:rPr>
              <w:t xml:space="preserve"> јавних набавки у 2012. години </w:t>
            </w:r>
            <w:r w:rsidRPr="00383777">
              <w:rPr>
                <w:rFonts w:ascii="Times New Roman" w:eastAsia="Times New Roman" w:hAnsi="Times New Roman" w:cs="Times New Roman"/>
                <w:b/>
                <w:sz w:val="24"/>
                <w:szCs w:val="24"/>
              </w:rPr>
              <w:t>и прва три квартала 2013. године</w:t>
            </w:r>
          </w:p>
        </w:tc>
      </w:tr>
      <w:tr w:rsidR="00383777" w:rsidRPr="00383777" w:rsidTr="003F4DFD">
        <w:tblPrEx>
          <w:tblLook w:val="04A0" w:firstRow="1" w:lastRow="0" w:firstColumn="1" w:lastColumn="0" w:noHBand="0" w:noVBand="1"/>
        </w:tblPrEx>
        <w:trPr>
          <w:trHeight w:val="425"/>
          <w:jc w:val="center"/>
        </w:trPr>
        <w:tc>
          <w:tcPr>
            <w:tcW w:w="963" w:type="dxa"/>
            <w:shd w:val="clear" w:color="auto" w:fill="auto"/>
            <w:vAlign w:val="center"/>
          </w:tcPr>
          <w:p w:rsidR="00383777" w:rsidRPr="00383777" w:rsidRDefault="00383777" w:rsidP="00383777">
            <w:pPr>
              <w:tabs>
                <w:tab w:val="left" w:pos="1885"/>
              </w:tabs>
              <w:spacing w:after="0" w:line="240" w:lineRule="auto"/>
              <w:jc w:val="center"/>
              <w:rPr>
                <w:rFonts w:ascii="Times New Roman" w:eastAsia="Times New Roman" w:hAnsi="Times New Roman" w:cs="Times New Roman"/>
                <w:b/>
              </w:rPr>
            </w:pPr>
            <w:r w:rsidRPr="00383777">
              <w:rPr>
                <w:rFonts w:ascii="Times New Roman" w:eastAsia="Times New Roman" w:hAnsi="Times New Roman" w:cs="Times New Roman"/>
                <w:b/>
              </w:rPr>
              <w:t>2012. година</w:t>
            </w:r>
          </w:p>
        </w:tc>
        <w:tc>
          <w:tcPr>
            <w:tcW w:w="1895" w:type="dxa"/>
            <w:shd w:val="clear" w:color="auto" w:fill="auto"/>
            <w:vAlign w:val="center"/>
          </w:tcPr>
          <w:p w:rsidR="00383777" w:rsidRPr="00383777" w:rsidRDefault="00383777" w:rsidP="00383777">
            <w:pPr>
              <w:tabs>
                <w:tab w:val="left" w:pos="1885"/>
              </w:tabs>
              <w:spacing w:after="0" w:line="240" w:lineRule="auto"/>
              <w:jc w:val="center"/>
              <w:rPr>
                <w:rFonts w:ascii="Times New Roman" w:eastAsia="Times New Roman" w:hAnsi="Times New Roman" w:cs="Times New Roman"/>
                <w:b/>
              </w:rPr>
            </w:pPr>
            <w:r w:rsidRPr="00383777">
              <w:rPr>
                <w:rFonts w:ascii="Times New Roman" w:eastAsia="Times New Roman" w:hAnsi="Times New Roman" w:cs="Times New Roman"/>
                <w:b/>
              </w:rPr>
              <w:t xml:space="preserve">2013. </w:t>
            </w:r>
          </w:p>
          <w:p w:rsidR="00383777" w:rsidRPr="00383777" w:rsidRDefault="00383777" w:rsidP="00383777">
            <w:pPr>
              <w:tabs>
                <w:tab w:val="left" w:pos="1885"/>
              </w:tabs>
              <w:spacing w:after="0" w:line="240" w:lineRule="auto"/>
              <w:jc w:val="center"/>
              <w:rPr>
                <w:rFonts w:ascii="Times New Roman" w:eastAsia="Times New Roman" w:hAnsi="Times New Roman" w:cs="Times New Roman"/>
                <w:b/>
              </w:rPr>
            </w:pPr>
            <w:r w:rsidRPr="00383777">
              <w:rPr>
                <w:rFonts w:ascii="Times New Roman" w:eastAsia="Times New Roman" w:hAnsi="Times New Roman" w:cs="Times New Roman"/>
                <w:b/>
              </w:rPr>
              <w:t>први</w:t>
            </w:r>
          </w:p>
          <w:p w:rsidR="00383777" w:rsidRPr="00383777" w:rsidRDefault="00383777" w:rsidP="00383777">
            <w:pPr>
              <w:tabs>
                <w:tab w:val="left" w:pos="1885"/>
              </w:tabs>
              <w:spacing w:after="0" w:line="240" w:lineRule="auto"/>
              <w:jc w:val="center"/>
              <w:rPr>
                <w:rFonts w:ascii="Times New Roman" w:eastAsia="Times New Roman" w:hAnsi="Times New Roman" w:cs="Times New Roman"/>
                <w:b/>
              </w:rPr>
            </w:pPr>
            <w:r w:rsidRPr="00383777">
              <w:rPr>
                <w:rFonts w:ascii="Times New Roman" w:eastAsia="Times New Roman" w:hAnsi="Times New Roman" w:cs="Times New Roman"/>
                <w:b/>
              </w:rPr>
              <w:t>квартал</w:t>
            </w:r>
          </w:p>
        </w:tc>
        <w:tc>
          <w:tcPr>
            <w:tcW w:w="1796" w:type="dxa"/>
            <w:shd w:val="clear" w:color="auto" w:fill="auto"/>
          </w:tcPr>
          <w:p w:rsidR="00383777" w:rsidRPr="00383777" w:rsidRDefault="00383777" w:rsidP="00383777">
            <w:pPr>
              <w:tabs>
                <w:tab w:val="left" w:pos="1885"/>
              </w:tabs>
              <w:spacing w:after="0" w:line="240" w:lineRule="auto"/>
              <w:jc w:val="center"/>
              <w:rPr>
                <w:rFonts w:ascii="Times New Roman" w:eastAsia="Times New Roman" w:hAnsi="Times New Roman" w:cs="Times New Roman"/>
                <w:b/>
              </w:rPr>
            </w:pPr>
            <w:r w:rsidRPr="00383777">
              <w:rPr>
                <w:rFonts w:ascii="Times New Roman" w:eastAsia="Times New Roman" w:hAnsi="Times New Roman" w:cs="Times New Roman"/>
                <w:b/>
              </w:rPr>
              <w:t xml:space="preserve">2013. </w:t>
            </w:r>
          </w:p>
          <w:p w:rsidR="00383777" w:rsidRPr="00383777" w:rsidRDefault="00383777" w:rsidP="00383777">
            <w:pPr>
              <w:tabs>
                <w:tab w:val="left" w:pos="1885"/>
              </w:tabs>
              <w:spacing w:after="0" w:line="240" w:lineRule="auto"/>
              <w:jc w:val="center"/>
              <w:rPr>
                <w:rFonts w:ascii="Times New Roman" w:eastAsia="Times New Roman" w:hAnsi="Times New Roman" w:cs="Times New Roman"/>
                <w:b/>
              </w:rPr>
            </w:pPr>
            <w:r w:rsidRPr="00383777">
              <w:rPr>
                <w:rFonts w:ascii="Times New Roman" w:eastAsia="Times New Roman" w:hAnsi="Times New Roman" w:cs="Times New Roman"/>
                <w:b/>
              </w:rPr>
              <w:t>други</w:t>
            </w:r>
          </w:p>
          <w:p w:rsidR="00383777" w:rsidRPr="00383777" w:rsidRDefault="00383777" w:rsidP="00383777">
            <w:pPr>
              <w:tabs>
                <w:tab w:val="left" w:pos="1885"/>
              </w:tabs>
              <w:spacing w:after="0" w:line="240" w:lineRule="auto"/>
              <w:jc w:val="center"/>
              <w:rPr>
                <w:rFonts w:ascii="Times New Roman" w:eastAsia="Times New Roman" w:hAnsi="Times New Roman" w:cs="Times New Roman"/>
                <w:b/>
              </w:rPr>
            </w:pPr>
            <w:r w:rsidRPr="00383777">
              <w:rPr>
                <w:rFonts w:ascii="Times New Roman" w:eastAsia="Times New Roman" w:hAnsi="Times New Roman" w:cs="Times New Roman"/>
                <w:b/>
              </w:rPr>
              <w:t xml:space="preserve"> квартал</w:t>
            </w:r>
          </w:p>
        </w:tc>
        <w:tc>
          <w:tcPr>
            <w:tcW w:w="1843" w:type="dxa"/>
            <w:shd w:val="clear" w:color="auto" w:fill="auto"/>
          </w:tcPr>
          <w:p w:rsidR="00383777" w:rsidRPr="00383777" w:rsidRDefault="00383777" w:rsidP="00383777">
            <w:pPr>
              <w:tabs>
                <w:tab w:val="left" w:pos="1885"/>
              </w:tabs>
              <w:spacing w:after="0" w:line="240" w:lineRule="auto"/>
              <w:jc w:val="center"/>
              <w:rPr>
                <w:rFonts w:ascii="Times New Roman" w:eastAsia="Times New Roman" w:hAnsi="Times New Roman" w:cs="Times New Roman"/>
                <w:b/>
              </w:rPr>
            </w:pPr>
            <w:r w:rsidRPr="00383777">
              <w:rPr>
                <w:rFonts w:ascii="Times New Roman" w:eastAsia="Times New Roman" w:hAnsi="Times New Roman" w:cs="Times New Roman"/>
                <w:b/>
              </w:rPr>
              <w:t xml:space="preserve">2013. </w:t>
            </w:r>
          </w:p>
          <w:p w:rsidR="00383777" w:rsidRPr="00383777" w:rsidRDefault="00383777" w:rsidP="00383777">
            <w:pPr>
              <w:tabs>
                <w:tab w:val="left" w:pos="1885"/>
              </w:tabs>
              <w:spacing w:after="0" w:line="240" w:lineRule="auto"/>
              <w:jc w:val="center"/>
              <w:rPr>
                <w:rFonts w:ascii="Times New Roman" w:eastAsia="Times New Roman" w:hAnsi="Times New Roman" w:cs="Times New Roman"/>
                <w:b/>
              </w:rPr>
            </w:pPr>
            <w:r w:rsidRPr="00383777">
              <w:rPr>
                <w:rFonts w:ascii="Times New Roman" w:eastAsia="Times New Roman" w:hAnsi="Times New Roman" w:cs="Times New Roman"/>
                <w:b/>
              </w:rPr>
              <w:t>трећи</w:t>
            </w:r>
          </w:p>
          <w:p w:rsidR="00383777" w:rsidRPr="00383777" w:rsidRDefault="00383777" w:rsidP="00383777">
            <w:pPr>
              <w:tabs>
                <w:tab w:val="left" w:pos="1885"/>
              </w:tabs>
              <w:spacing w:after="0" w:line="240" w:lineRule="auto"/>
              <w:jc w:val="center"/>
              <w:rPr>
                <w:rFonts w:ascii="Times New Roman" w:eastAsia="Times New Roman" w:hAnsi="Times New Roman" w:cs="Times New Roman"/>
                <w:b/>
              </w:rPr>
            </w:pPr>
            <w:r w:rsidRPr="00383777">
              <w:rPr>
                <w:rFonts w:ascii="Times New Roman" w:eastAsia="Times New Roman" w:hAnsi="Times New Roman" w:cs="Times New Roman"/>
                <w:b/>
              </w:rPr>
              <w:t>квартал</w:t>
            </w:r>
          </w:p>
        </w:tc>
        <w:tc>
          <w:tcPr>
            <w:tcW w:w="1843" w:type="dxa"/>
          </w:tcPr>
          <w:p w:rsidR="00383777" w:rsidRPr="00383777" w:rsidRDefault="00383777" w:rsidP="00383777">
            <w:pPr>
              <w:tabs>
                <w:tab w:val="left" w:pos="1885"/>
              </w:tabs>
              <w:spacing w:after="0" w:line="240" w:lineRule="auto"/>
              <w:jc w:val="center"/>
              <w:rPr>
                <w:rFonts w:ascii="Times New Roman" w:eastAsia="Times New Roman" w:hAnsi="Times New Roman" w:cs="Times New Roman"/>
                <w:b/>
              </w:rPr>
            </w:pPr>
            <w:r w:rsidRPr="00383777">
              <w:rPr>
                <w:rFonts w:ascii="Times New Roman" w:eastAsia="Times New Roman" w:hAnsi="Times New Roman" w:cs="Times New Roman"/>
                <w:b/>
              </w:rPr>
              <w:t>2013.</w:t>
            </w:r>
          </w:p>
          <w:p w:rsidR="00383777" w:rsidRPr="00383777" w:rsidRDefault="00383777" w:rsidP="00383777">
            <w:pPr>
              <w:tabs>
                <w:tab w:val="left" w:pos="1885"/>
              </w:tabs>
              <w:spacing w:after="0" w:line="240" w:lineRule="auto"/>
              <w:jc w:val="center"/>
              <w:rPr>
                <w:rFonts w:ascii="Times New Roman" w:eastAsia="Times New Roman" w:hAnsi="Times New Roman" w:cs="Times New Roman"/>
                <w:b/>
              </w:rPr>
            </w:pPr>
            <w:r w:rsidRPr="00383777">
              <w:rPr>
                <w:rFonts w:ascii="Times New Roman" w:eastAsia="Times New Roman" w:hAnsi="Times New Roman" w:cs="Times New Roman"/>
                <w:b/>
              </w:rPr>
              <w:t>четврти</w:t>
            </w:r>
          </w:p>
          <w:p w:rsidR="00383777" w:rsidRPr="00383777" w:rsidRDefault="00383777" w:rsidP="00383777">
            <w:pPr>
              <w:tabs>
                <w:tab w:val="left" w:pos="1885"/>
              </w:tabs>
              <w:spacing w:after="0" w:line="240" w:lineRule="auto"/>
              <w:jc w:val="center"/>
              <w:rPr>
                <w:rFonts w:ascii="Times New Roman" w:eastAsia="Times New Roman" w:hAnsi="Times New Roman" w:cs="Times New Roman"/>
                <w:b/>
              </w:rPr>
            </w:pPr>
            <w:r w:rsidRPr="00383777">
              <w:rPr>
                <w:rFonts w:ascii="Times New Roman" w:eastAsia="Times New Roman" w:hAnsi="Times New Roman" w:cs="Times New Roman"/>
                <w:b/>
              </w:rPr>
              <w:t>квартал</w:t>
            </w:r>
          </w:p>
        </w:tc>
      </w:tr>
      <w:tr w:rsidR="00383777" w:rsidRPr="00383777" w:rsidTr="003F4DFD">
        <w:tblPrEx>
          <w:tblLook w:val="04A0" w:firstRow="1" w:lastRow="0" w:firstColumn="1" w:lastColumn="0" w:noHBand="0" w:noVBand="1"/>
        </w:tblPrEx>
        <w:trPr>
          <w:jc w:val="center"/>
        </w:trPr>
        <w:tc>
          <w:tcPr>
            <w:tcW w:w="963" w:type="dxa"/>
            <w:shd w:val="clear" w:color="auto" w:fill="auto"/>
            <w:vAlign w:val="center"/>
          </w:tcPr>
          <w:p w:rsidR="00383777" w:rsidRPr="00383777" w:rsidRDefault="00383777" w:rsidP="00383777">
            <w:pPr>
              <w:tabs>
                <w:tab w:val="left" w:pos="1885"/>
              </w:tabs>
              <w:spacing w:after="0" w:line="240" w:lineRule="auto"/>
              <w:jc w:val="center"/>
              <w:rPr>
                <w:rFonts w:ascii="Times New Roman" w:eastAsia="Times New Roman" w:hAnsi="Times New Roman" w:cs="Times New Roman"/>
                <w:sz w:val="24"/>
                <w:szCs w:val="24"/>
              </w:rPr>
            </w:pPr>
            <w:r w:rsidRPr="00383777">
              <w:rPr>
                <w:rFonts w:ascii="Times New Roman" w:eastAsia="Times New Roman" w:hAnsi="Times New Roman" w:cs="Times New Roman"/>
                <w:sz w:val="24"/>
                <w:szCs w:val="24"/>
              </w:rPr>
              <w:t>2,6</w:t>
            </w:r>
          </w:p>
        </w:tc>
        <w:tc>
          <w:tcPr>
            <w:tcW w:w="1895" w:type="dxa"/>
            <w:shd w:val="clear" w:color="auto" w:fill="auto"/>
            <w:vAlign w:val="center"/>
          </w:tcPr>
          <w:p w:rsidR="00383777" w:rsidRPr="00383777" w:rsidRDefault="00383777" w:rsidP="00383777">
            <w:pPr>
              <w:tabs>
                <w:tab w:val="left" w:pos="1885"/>
              </w:tabs>
              <w:spacing w:after="0" w:line="240" w:lineRule="auto"/>
              <w:jc w:val="center"/>
              <w:rPr>
                <w:rFonts w:ascii="Times New Roman" w:eastAsia="Times New Roman" w:hAnsi="Times New Roman" w:cs="Times New Roman"/>
                <w:sz w:val="24"/>
                <w:szCs w:val="24"/>
              </w:rPr>
            </w:pPr>
            <w:r w:rsidRPr="00383777">
              <w:rPr>
                <w:rFonts w:ascii="Times New Roman" w:eastAsia="Times New Roman" w:hAnsi="Times New Roman" w:cs="Times New Roman"/>
                <w:sz w:val="24"/>
                <w:szCs w:val="24"/>
              </w:rPr>
              <w:t>2,8</w:t>
            </w:r>
          </w:p>
        </w:tc>
        <w:tc>
          <w:tcPr>
            <w:tcW w:w="1796" w:type="dxa"/>
            <w:shd w:val="clear" w:color="auto" w:fill="auto"/>
            <w:vAlign w:val="center"/>
          </w:tcPr>
          <w:p w:rsidR="00383777" w:rsidRPr="00383777" w:rsidRDefault="00383777" w:rsidP="00383777">
            <w:pPr>
              <w:tabs>
                <w:tab w:val="left" w:pos="1885"/>
              </w:tabs>
              <w:spacing w:after="0" w:line="240" w:lineRule="auto"/>
              <w:jc w:val="center"/>
              <w:rPr>
                <w:rFonts w:ascii="Times New Roman" w:eastAsia="Times New Roman" w:hAnsi="Times New Roman" w:cs="Times New Roman"/>
                <w:sz w:val="24"/>
                <w:szCs w:val="24"/>
              </w:rPr>
            </w:pPr>
            <w:r w:rsidRPr="00383777">
              <w:rPr>
                <w:rFonts w:ascii="Times New Roman" w:eastAsia="Times New Roman" w:hAnsi="Times New Roman" w:cs="Times New Roman"/>
                <w:sz w:val="24"/>
                <w:szCs w:val="24"/>
              </w:rPr>
              <w:t>2,7</w:t>
            </w:r>
          </w:p>
        </w:tc>
        <w:tc>
          <w:tcPr>
            <w:tcW w:w="1843" w:type="dxa"/>
            <w:shd w:val="clear" w:color="auto" w:fill="auto"/>
            <w:vAlign w:val="center"/>
          </w:tcPr>
          <w:p w:rsidR="00383777" w:rsidRPr="00383777" w:rsidRDefault="00383777" w:rsidP="00383777">
            <w:pPr>
              <w:tabs>
                <w:tab w:val="left" w:pos="1885"/>
              </w:tabs>
              <w:spacing w:after="0" w:line="240" w:lineRule="auto"/>
              <w:jc w:val="center"/>
              <w:rPr>
                <w:rFonts w:ascii="Times New Roman" w:eastAsia="Times New Roman" w:hAnsi="Times New Roman" w:cs="Times New Roman"/>
                <w:sz w:val="24"/>
                <w:szCs w:val="24"/>
              </w:rPr>
            </w:pPr>
            <w:r w:rsidRPr="00383777">
              <w:rPr>
                <w:rFonts w:ascii="Times New Roman" w:eastAsia="Times New Roman" w:hAnsi="Times New Roman" w:cs="Times New Roman"/>
                <w:sz w:val="24"/>
                <w:szCs w:val="24"/>
              </w:rPr>
              <w:t>2,9</w:t>
            </w:r>
          </w:p>
        </w:tc>
        <w:tc>
          <w:tcPr>
            <w:tcW w:w="1843" w:type="dxa"/>
          </w:tcPr>
          <w:p w:rsidR="00383777" w:rsidRPr="00383777" w:rsidRDefault="00383777" w:rsidP="00383777">
            <w:pPr>
              <w:tabs>
                <w:tab w:val="left" w:pos="1885"/>
              </w:tabs>
              <w:spacing w:after="0" w:line="240" w:lineRule="auto"/>
              <w:jc w:val="center"/>
              <w:rPr>
                <w:rFonts w:ascii="Times New Roman" w:eastAsia="Times New Roman" w:hAnsi="Times New Roman" w:cs="Times New Roman"/>
                <w:sz w:val="24"/>
                <w:szCs w:val="24"/>
              </w:rPr>
            </w:pPr>
            <w:r w:rsidRPr="00383777">
              <w:rPr>
                <w:rFonts w:ascii="Times New Roman" w:eastAsia="Times New Roman" w:hAnsi="Times New Roman" w:cs="Times New Roman"/>
                <w:sz w:val="24"/>
                <w:szCs w:val="24"/>
              </w:rPr>
              <w:t>2,7</w:t>
            </w:r>
          </w:p>
        </w:tc>
      </w:tr>
    </w:tbl>
    <w:p w:rsidR="00FF2D0F" w:rsidRPr="00740B7E" w:rsidRDefault="00FF2D0F" w:rsidP="00FF2D0F">
      <w:pPr>
        <w:rPr>
          <w:rFonts w:ascii="Times New Roman" w:hAnsi="Times New Roman" w:cs="Times New Roman"/>
          <w:sz w:val="24"/>
          <w:szCs w:val="24"/>
        </w:rPr>
      </w:pPr>
    </w:p>
    <w:p w:rsidR="00FF2D0F" w:rsidRPr="00FF2D0F" w:rsidRDefault="00FF2D0F" w:rsidP="007B4B66">
      <w:pPr>
        <w:jc w:val="both"/>
        <w:rPr>
          <w:rFonts w:ascii="Times New Roman" w:hAnsi="Times New Roman" w:cs="Times New Roman"/>
          <w:sz w:val="24"/>
          <w:szCs w:val="24"/>
        </w:rPr>
      </w:pPr>
      <w:r>
        <w:rPr>
          <w:rFonts w:ascii="Times New Roman" w:hAnsi="Times New Roman" w:cs="Times New Roman"/>
          <w:sz w:val="24"/>
          <w:szCs w:val="24"/>
        </w:rPr>
        <w:t xml:space="preserve">Као што се из Табеле 5 може видети, интензитет конкуренције </w:t>
      </w:r>
      <w:r w:rsidR="00F53080">
        <w:rPr>
          <w:rFonts w:ascii="Times New Roman" w:hAnsi="Times New Roman" w:cs="Times New Roman"/>
          <w:sz w:val="24"/>
          <w:szCs w:val="24"/>
        </w:rPr>
        <w:t>ј</w:t>
      </w:r>
      <w:r>
        <w:rPr>
          <w:rFonts w:ascii="Times New Roman" w:hAnsi="Times New Roman" w:cs="Times New Roman"/>
          <w:sz w:val="24"/>
          <w:szCs w:val="24"/>
        </w:rPr>
        <w:t xml:space="preserve">е, у </w:t>
      </w:r>
      <w:r w:rsidR="00F53080">
        <w:rPr>
          <w:rFonts w:ascii="Times New Roman" w:hAnsi="Times New Roman" w:cs="Times New Roman"/>
          <w:sz w:val="24"/>
          <w:szCs w:val="24"/>
        </w:rPr>
        <w:t xml:space="preserve">четвртом </w:t>
      </w:r>
      <w:r w:rsidR="00F35FCC">
        <w:rPr>
          <w:rFonts w:ascii="Times New Roman" w:hAnsi="Times New Roman" w:cs="Times New Roman"/>
          <w:sz w:val="24"/>
          <w:szCs w:val="24"/>
        </w:rPr>
        <w:t>кварталу 2013. године</w:t>
      </w:r>
      <w:r>
        <w:rPr>
          <w:rFonts w:ascii="Times New Roman" w:hAnsi="Times New Roman" w:cs="Times New Roman"/>
          <w:sz w:val="24"/>
          <w:szCs w:val="24"/>
        </w:rPr>
        <w:t xml:space="preserve"> </w:t>
      </w:r>
      <w:r w:rsidR="00F53080">
        <w:rPr>
          <w:rFonts w:ascii="Times New Roman" w:hAnsi="Times New Roman" w:cs="Times New Roman"/>
          <w:sz w:val="24"/>
          <w:szCs w:val="24"/>
        </w:rPr>
        <w:t>био 2,7</w:t>
      </w:r>
      <w:r w:rsidR="005F59A4">
        <w:rPr>
          <w:rFonts w:ascii="Times New Roman" w:hAnsi="Times New Roman" w:cs="Times New Roman"/>
          <w:sz w:val="24"/>
          <w:szCs w:val="24"/>
        </w:rPr>
        <w:t xml:space="preserve"> </w:t>
      </w:r>
      <w:r w:rsidR="00F53080">
        <w:rPr>
          <w:rFonts w:ascii="Times New Roman" w:hAnsi="Times New Roman" w:cs="Times New Roman"/>
          <w:sz w:val="24"/>
          <w:szCs w:val="24"/>
        </w:rPr>
        <w:t>колико је износио</w:t>
      </w:r>
      <w:r w:rsidR="00F35FCC">
        <w:rPr>
          <w:rFonts w:ascii="Times New Roman" w:hAnsi="Times New Roman" w:cs="Times New Roman"/>
          <w:sz w:val="24"/>
          <w:szCs w:val="24"/>
          <w:lang w:val="sr-Cyrl-RS"/>
        </w:rPr>
        <w:t xml:space="preserve"> и</w:t>
      </w:r>
      <w:r w:rsidR="00F53080">
        <w:rPr>
          <w:rFonts w:ascii="Times New Roman" w:hAnsi="Times New Roman" w:cs="Times New Roman"/>
          <w:sz w:val="24"/>
          <w:szCs w:val="24"/>
        </w:rPr>
        <w:t xml:space="preserve"> просек за протекле две године. </w:t>
      </w:r>
    </w:p>
    <w:p w:rsidR="004169ED" w:rsidRDefault="006325A7" w:rsidP="007B4B66">
      <w:pPr>
        <w:jc w:val="both"/>
        <w:rPr>
          <w:rFonts w:ascii="Times New Roman" w:hAnsi="Times New Roman" w:cs="Times New Roman"/>
          <w:sz w:val="24"/>
          <w:szCs w:val="24"/>
        </w:rPr>
      </w:pPr>
      <w:r>
        <w:rPr>
          <w:rFonts w:ascii="Times New Roman" w:hAnsi="Times New Roman" w:cs="Times New Roman"/>
          <w:sz w:val="24"/>
          <w:szCs w:val="24"/>
        </w:rPr>
        <w:t>У циљу објективн</w:t>
      </w:r>
      <w:r w:rsidR="004169ED">
        <w:rPr>
          <w:rFonts w:ascii="Times New Roman" w:hAnsi="Times New Roman" w:cs="Times New Roman"/>
          <w:sz w:val="24"/>
          <w:szCs w:val="24"/>
        </w:rPr>
        <w:t>о</w:t>
      </w:r>
      <w:r>
        <w:rPr>
          <w:rFonts w:ascii="Times New Roman" w:hAnsi="Times New Roman" w:cs="Times New Roman"/>
          <w:sz w:val="24"/>
          <w:szCs w:val="24"/>
        </w:rPr>
        <w:t xml:space="preserve">г вредновања оствареног интензитета конкуренције, </w:t>
      </w:r>
      <w:r w:rsidR="004169ED">
        <w:rPr>
          <w:rFonts w:ascii="Times New Roman" w:hAnsi="Times New Roman" w:cs="Times New Roman"/>
          <w:sz w:val="24"/>
          <w:szCs w:val="24"/>
        </w:rPr>
        <w:t xml:space="preserve">корисно је извршити поређење са земљама из региона које имају упоредиве системе јавних набавки и које су оствариле европске стандарде у овој области </w:t>
      </w:r>
      <w:r w:rsidR="00172360">
        <w:rPr>
          <w:rFonts w:ascii="Times New Roman" w:hAnsi="Times New Roman" w:cs="Times New Roman"/>
          <w:sz w:val="24"/>
          <w:szCs w:val="24"/>
        </w:rPr>
        <w:t xml:space="preserve">како би </w:t>
      </w:r>
      <w:r w:rsidR="004169ED">
        <w:rPr>
          <w:rFonts w:ascii="Times New Roman" w:hAnsi="Times New Roman" w:cs="Times New Roman"/>
          <w:sz w:val="24"/>
          <w:szCs w:val="24"/>
        </w:rPr>
        <w:t>поста</w:t>
      </w:r>
      <w:r w:rsidR="00172360">
        <w:rPr>
          <w:rFonts w:ascii="Times New Roman" w:hAnsi="Times New Roman" w:cs="Times New Roman"/>
          <w:sz w:val="24"/>
          <w:szCs w:val="24"/>
        </w:rPr>
        <w:t xml:space="preserve">ле </w:t>
      </w:r>
      <w:r w:rsidR="004169ED">
        <w:rPr>
          <w:rFonts w:ascii="Times New Roman" w:hAnsi="Times New Roman" w:cs="Times New Roman"/>
          <w:sz w:val="24"/>
          <w:szCs w:val="24"/>
        </w:rPr>
        <w:t xml:space="preserve">чланице ЕУ. </w:t>
      </w:r>
      <w:r w:rsidR="00884CB7">
        <w:rPr>
          <w:rFonts w:ascii="Times New Roman" w:hAnsi="Times New Roman" w:cs="Times New Roman"/>
          <w:sz w:val="24"/>
          <w:szCs w:val="24"/>
        </w:rPr>
        <w:t xml:space="preserve">У Табели </w:t>
      </w:r>
      <w:r w:rsidR="00B52C7D">
        <w:rPr>
          <w:rFonts w:ascii="Times New Roman" w:hAnsi="Times New Roman" w:cs="Times New Roman"/>
          <w:sz w:val="24"/>
          <w:szCs w:val="24"/>
        </w:rPr>
        <w:t xml:space="preserve">6 упоредно је </w:t>
      </w:r>
      <w:r w:rsidR="00884CB7">
        <w:rPr>
          <w:rFonts w:ascii="Times New Roman" w:hAnsi="Times New Roman" w:cs="Times New Roman"/>
          <w:sz w:val="24"/>
          <w:szCs w:val="24"/>
        </w:rPr>
        <w:t xml:space="preserve">приказан просечан број понуда по закљученом уговору у Словенији, Хрватској и Србији.  </w:t>
      </w:r>
    </w:p>
    <w:p w:rsidR="009B3038" w:rsidRDefault="009B3038" w:rsidP="00884CB7">
      <w:pPr>
        <w:rPr>
          <w:rFonts w:ascii="Times New Roman" w:hAnsi="Times New Roman" w:cs="Times New Roman"/>
          <w:b/>
          <w:sz w:val="24"/>
          <w:szCs w:val="24"/>
          <w:lang w:val="sr-Cyrl-RS"/>
        </w:rPr>
      </w:pPr>
    </w:p>
    <w:p w:rsidR="009B3038" w:rsidRDefault="009B3038" w:rsidP="00884CB7">
      <w:pPr>
        <w:rPr>
          <w:rFonts w:ascii="Times New Roman" w:hAnsi="Times New Roman" w:cs="Times New Roman"/>
          <w:b/>
          <w:sz w:val="24"/>
          <w:szCs w:val="24"/>
          <w:lang w:val="sr-Cyrl-RS"/>
        </w:rPr>
      </w:pPr>
    </w:p>
    <w:p w:rsidR="009B3038" w:rsidRDefault="009B3038" w:rsidP="00884CB7">
      <w:pPr>
        <w:rPr>
          <w:rFonts w:ascii="Times New Roman" w:hAnsi="Times New Roman" w:cs="Times New Roman"/>
          <w:b/>
          <w:sz w:val="24"/>
          <w:szCs w:val="24"/>
          <w:lang w:val="sr-Cyrl-RS"/>
        </w:rPr>
      </w:pPr>
    </w:p>
    <w:p w:rsidR="00884CB7" w:rsidRPr="00B52C7D" w:rsidRDefault="00884CB7" w:rsidP="00884CB7">
      <w:pPr>
        <w:rPr>
          <w:rFonts w:ascii="Times New Roman" w:hAnsi="Times New Roman" w:cs="Times New Roman"/>
          <w:b/>
          <w:sz w:val="24"/>
          <w:szCs w:val="24"/>
        </w:rPr>
      </w:pPr>
      <w:r w:rsidRPr="00B52C7D">
        <w:rPr>
          <w:rFonts w:ascii="Times New Roman" w:hAnsi="Times New Roman" w:cs="Times New Roman"/>
          <w:b/>
          <w:sz w:val="24"/>
          <w:szCs w:val="24"/>
        </w:rPr>
        <w:lastRenderedPageBreak/>
        <w:t>Табела</w:t>
      </w:r>
      <w:r w:rsidR="005F59A4">
        <w:rPr>
          <w:rFonts w:ascii="Times New Roman" w:hAnsi="Times New Roman" w:cs="Times New Roman"/>
          <w:b/>
          <w:sz w:val="24"/>
          <w:szCs w:val="24"/>
        </w:rPr>
        <w:t xml:space="preserve"> </w:t>
      </w:r>
      <w:r w:rsidR="00B52C7D" w:rsidRPr="00B52C7D">
        <w:rPr>
          <w:rFonts w:ascii="Times New Roman" w:hAnsi="Times New Roman" w:cs="Times New Roman"/>
          <w:b/>
          <w:sz w:val="24"/>
          <w:szCs w:val="24"/>
        </w:rPr>
        <w:t>6</w:t>
      </w:r>
    </w:p>
    <w:tbl>
      <w:tblPr>
        <w:tblStyle w:val="TableGrid"/>
        <w:tblW w:w="0" w:type="auto"/>
        <w:tblInd w:w="675" w:type="dxa"/>
        <w:tblLook w:val="04A0" w:firstRow="1" w:lastRow="0" w:firstColumn="1" w:lastColumn="0" w:noHBand="0" w:noVBand="1"/>
      </w:tblPr>
      <w:tblGrid>
        <w:gridCol w:w="2983"/>
        <w:gridCol w:w="3674"/>
        <w:gridCol w:w="2557"/>
      </w:tblGrid>
      <w:tr w:rsidR="00884CB7" w:rsidTr="00740B7E">
        <w:tc>
          <w:tcPr>
            <w:tcW w:w="9214" w:type="dxa"/>
            <w:gridSpan w:val="3"/>
            <w:vAlign w:val="center"/>
          </w:tcPr>
          <w:p w:rsidR="00884CB7" w:rsidRPr="00B52C7D" w:rsidRDefault="00884CB7" w:rsidP="00A65EEE">
            <w:pPr>
              <w:widowControl w:val="0"/>
              <w:tabs>
                <w:tab w:val="left" w:pos="90"/>
                <w:tab w:val="center" w:pos="7596"/>
                <w:tab w:val="center" w:pos="9501"/>
              </w:tabs>
              <w:autoSpaceDE w:val="0"/>
              <w:autoSpaceDN w:val="0"/>
              <w:adjustRightInd w:val="0"/>
              <w:spacing w:before="97"/>
              <w:jc w:val="center"/>
              <w:rPr>
                <w:rFonts w:ascii="Times New Roman CYR" w:hAnsi="Times New Roman CYR" w:cs="Times New Roman CYR"/>
                <w:b/>
                <w:color w:val="000000"/>
                <w:sz w:val="24"/>
                <w:szCs w:val="24"/>
              </w:rPr>
            </w:pPr>
            <w:r w:rsidRPr="00B52C7D">
              <w:rPr>
                <w:rFonts w:ascii="Times New Roman CYR" w:hAnsi="Times New Roman CYR" w:cs="Times New Roman CYR"/>
                <w:b/>
                <w:color w:val="000000"/>
                <w:sz w:val="24"/>
                <w:szCs w:val="24"/>
              </w:rPr>
              <w:t xml:space="preserve">Просечан број понуда по закљученом уговору </w:t>
            </w:r>
          </w:p>
        </w:tc>
      </w:tr>
      <w:tr w:rsidR="00884CB7" w:rsidTr="00740B7E">
        <w:tc>
          <w:tcPr>
            <w:tcW w:w="2983" w:type="dxa"/>
            <w:vAlign w:val="center"/>
          </w:tcPr>
          <w:p w:rsidR="00884CB7" w:rsidRPr="00B52C7D" w:rsidRDefault="00884CB7" w:rsidP="00A65EEE">
            <w:pPr>
              <w:widowControl w:val="0"/>
              <w:tabs>
                <w:tab w:val="left" w:pos="90"/>
                <w:tab w:val="center" w:pos="7596"/>
                <w:tab w:val="center" w:pos="9501"/>
              </w:tabs>
              <w:autoSpaceDE w:val="0"/>
              <w:autoSpaceDN w:val="0"/>
              <w:adjustRightInd w:val="0"/>
              <w:spacing w:before="97"/>
              <w:jc w:val="center"/>
              <w:rPr>
                <w:rFonts w:ascii="Times New Roman CYR" w:hAnsi="Times New Roman CYR" w:cs="Times New Roman CYR"/>
                <w:b/>
                <w:color w:val="000000"/>
                <w:sz w:val="24"/>
                <w:szCs w:val="24"/>
              </w:rPr>
            </w:pPr>
            <w:r w:rsidRPr="00B52C7D">
              <w:rPr>
                <w:rFonts w:ascii="Times New Roman CYR" w:hAnsi="Times New Roman CYR" w:cs="Times New Roman CYR"/>
                <w:b/>
                <w:color w:val="000000"/>
                <w:sz w:val="24"/>
                <w:szCs w:val="24"/>
              </w:rPr>
              <w:t>Србија</w:t>
            </w:r>
          </w:p>
        </w:tc>
        <w:tc>
          <w:tcPr>
            <w:tcW w:w="3674" w:type="dxa"/>
            <w:vAlign w:val="center"/>
          </w:tcPr>
          <w:p w:rsidR="00884CB7" w:rsidRPr="00B52C7D" w:rsidRDefault="00884CB7" w:rsidP="00A65EEE">
            <w:pPr>
              <w:widowControl w:val="0"/>
              <w:tabs>
                <w:tab w:val="left" w:pos="90"/>
                <w:tab w:val="center" w:pos="7596"/>
                <w:tab w:val="center" w:pos="9501"/>
              </w:tabs>
              <w:autoSpaceDE w:val="0"/>
              <w:autoSpaceDN w:val="0"/>
              <w:adjustRightInd w:val="0"/>
              <w:spacing w:before="97"/>
              <w:jc w:val="center"/>
              <w:rPr>
                <w:rFonts w:ascii="Times New Roman CYR" w:hAnsi="Times New Roman CYR" w:cs="Times New Roman CYR"/>
                <w:b/>
                <w:color w:val="000000"/>
                <w:sz w:val="24"/>
                <w:szCs w:val="24"/>
              </w:rPr>
            </w:pPr>
            <w:r w:rsidRPr="00B52C7D">
              <w:rPr>
                <w:rFonts w:ascii="Times New Roman CYR" w:hAnsi="Times New Roman CYR" w:cs="Times New Roman CYR"/>
                <w:b/>
                <w:color w:val="000000"/>
                <w:sz w:val="24"/>
                <w:szCs w:val="24"/>
              </w:rPr>
              <w:t>Хрватска*</w:t>
            </w:r>
          </w:p>
        </w:tc>
        <w:tc>
          <w:tcPr>
            <w:tcW w:w="2557" w:type="dxa"/>
            <w:vAlign w:val="center"/>
          </w:tcPr>
          <w:p w:rsidR="00884CB7" w:rsidRPr="00B52C7D" w:rsidRDefault="00884CB7" w:rsidP="00A65EEE">
            <w:pPr>
              <w:widowControl w:val="0"/>
              <w:tabs>
                <w:tab w:val="left" w:pos="90"/>
                <w:tab w:val="center" w:pos="7596"/>
                <w:tab w:val="center" w:pos="9501"/>
              </w:tabs>
              <w:autoSpaceDE w:val="0"/>
              <w:autoSpaceDN w:val="0"/>
              <w:adjustRightInd w:val="0"/>
              <w:spacing w:before="97"/>
              <w:jc w:val="center"/>
              <w:rPr>
                <w:rFonts w:ascii="Times New Roman CYR" w:hAnsi="Times New Roman CYR" w:cs="Times New Roman CYR"/>
                <w:b/>
                <w:color w:val="000000"/>
                <w:sz w:val="24"/>
                <w:szCs w:val="24"/>
              </w:rPr>
            </w:pPr>
            <w:r w:rsidRPr="00B52C7D">
              <w:rPr>
                <w:rFonts w:ascii="Times New Roman CYR" w:hAnsi="Times New Roman CYR" w:cs="Times New Roman CYR"/>
                <w:b/>
                <w:color w:val="000000"/>
                <w:sz w:val="24"/>
                <w:szCs w:val="24"/>
              </w:rPr>
              <w:t>Словенија**</w:t>
            </w:r>
          </w:p>
        </w:tc>
      </w:tr>
      <w:tr w:rsidR="00884CB7" w:rsidTr="00740B7E">
        <w:tc>
          <w:tcPr>
            <w:tcW w:w="2983" w:type="dxa"/>
            <w:vAlign w:val="center"/>
          </w:tcPr>
          <w:p w:rsidR="00884CB7" w:rsidRPr="00F53080" w:rsidRDefault="00884CB7" w:rsidP="00A65EEE">
            <w:pPr>
              <w:widowControl w:val="0"/>
              <w:tabs>
                <w:tab w:val="left" w:pos="90"/>
                <w:tab w:val="center" w:pos="7596"/>
                <w:tab w:val="center" w:pos="9501"/>
              </w:tabs>
              <w:autoSpaceDE w:val="0"/>
              <w:autoSpaceDN w:val="0"/>
              <w:adjustRightInd w:val="0"/>
              <w:spacing w:before="97"/>
              <w:jc w:val="center"/>
              <w:rPr>
                <w:rFonts w:ascii="Times New Roman CYR" w:hAnsi="Times New Roman CYR" w:cs="Times New Roman CYR"/>
                <w:color w:val="000000"/>
                <w:sz w:val="24"/>
                <w:szCs w:val="24"/>
              </w:rPr>
            </w:pPr>
            <w:r w:rsidRPr="00AB3BCC">
              <w:rPr>
                <w:rFonts w:ascii="Times New Roman CYR" w:hAnsi="Times New Roman CYR" w:cs="Times New Roman CYR"/>
                <w:color w:val="000000"/>
                <w:sz w:val="24"/>
                <w:szCs w:val="24"/>
              </w:rPr>
              <w:t>2,</w:t>
            </w:r>
            <w:r w:rsidR="00F53080">
              <w:rPr>
                <w:rFonts w:ascii="Times New Roman CYR" w:hAnsi="Times New Roman CYR" w:cs="Times New Roman CYR"/>
                <w:color w:val="000000"/>
                <w:sz w:val="24"/>
                <w:szCs w:val="24"/>
              </w:rPr>
              <w:t>7</w:t>
            </w:r>
          </w:p>
        </w:tc>
        <w:tc>
          <w:tcPr>
            <w:tcW w:w="3674" w:type="dxa"/>
            <w:vAlign w:val="center"/>
          </w:tcPr>
          <w:p w:rsidR="00884CB7" w:rsidRPr="00AB3BCC" w:rsidRDefault="00884CB7" w:rsidP="00A65EEE">
            <w:pPr>
              <w:widowControl w:val="0"/>
              <w:tabs>
                <w:tab w:val="left" w:pos="90"/>
                <w:tab w:val="center" w:pos="7596"/>
                <w:tab w:val="center" w:pos="9501"/>
              </w:tabs>
              <w:autoSpaceDE w:val="0"/>
              <w:autoSpaceDN w:val="0"/>
              <w:adjustRightInd w:val="0"/>
              <w:spacing w:before="97"/>
              <w:jc w:val="center"/>
              <w:rPr>
                <w:rFonts w:ascii="Times New Roman CYR" w:hAnsi="Times New Roman CYR" w:cs="Times New Roman CYR"/>
                <w:color w:val="000000"/>
                <w:sz w:val="24"/>
                <w:szCs w:val="24"/>
              </w:rPr>
            </w:pPr>
            <w:r w:rsidRPr="00AB3BCC">
              <w:rPr>
                <w:rFonts w:ascii="Times New Roman CYR" w:hAnsi="Times New Roman CYR" w:cs="Times New Roman CYR"/>
                <w:color w:val="000000"/>
                <w:sz w:val="24"/>
                <w:szCs w:val="24"/>
              </w:rPr>
              <w:t>3,3</w:t>
            </w:r>
          </w:p>
        </w:tc>
        <w:tc>
          <w:tcPr>
            <w:tcW w:w="2557" w:type="dxa"/>
            <w:vAlign w:val="center"/>
          </w:tcPr>
          <w:p w:rsidR="00884CB7" w:rsidRPr="00AB3BCC" w:rsidRDefault="00884CB7" w:rsidP="00A65EEE">
            <w:pPr>
              <w:widowControl w:val="0"/>
              <w:tabs>
                <w:tab w:val="left" w:pos="90"/>
                <w:tab w:val="center" w:pos="7596"/>
                <w:tab w:val="center" w:pos="9501"/>
              </w:tabs>
              <w:autoSpaceDE w:val="0"/>
              <w:autoSpaceDN w:val="0"/>
              <w:adjustRightInd w:val="0"/>
              <w:spacing w:before="97"/>
              <w:jc w:val="center"/>
              <w:rPr>
                <w:rFonts w:ascii="Times New Roman CYR" w:hAnsi="Times New Roman CYR" w:cs="Times New Roman CYR"/>
                <w:color w:val="000000"/>
                <w:sz w:val="24"/>
                <w:szCs w:val="24"/>
              </w:rPr>
            </w:pPr>
            <w:r w:rsidRPr="00AB3BCC">
              <w:rPr>
                <w:rFonts w:ascii="Times New Roman CYR" w:hAnsi="Times New Roman CYR" w:cs="Times New Roman CYR"/>
                <w:color w:val="000000"/>
                <w:sz w:val="24"/>
                <w:szCs w:val="24"/>
              </w:rPr>
              <w:t>3,6</w:t>
            </w:r>
          </w:p>
        </w:tc>
      </w:tr>
    </w:tbl>
    <w:p w:rsidR="00740B7E" w:rsidRDefault="00740B7E" w:rsidP="00884CB7">
      <w:pPr>
        <w:rPr>
          <w:rFonts w:ascii="Times New Roman" w:hAnsi="Times New Roman" w:cs="Times New Roman"/>
        </w:rPr>
      </w:pPr>
    </w:p>
    <w:p w:rsidR="00884CB7" w:rsidRPr="00740B7E" w:rsidRDefault="00884CB7" w:rsidP="00884CB7">
      <w:pPr>
        <w:rPr>
          <w:rFonts w:ascii="Times New Roman" w:hAnsi="Times New Roman" w:cs="Times New Roman"/>
        </w:rPr>
      </w:pPr>
      <w:r w:rsidRPr="007E1FAD">
        <w:rPr>
          <w:rFonts w:ascii="Times New Roman" w:hAnsi="Times New Roman" w:cs="Times New Roman"/>
        </w:rPr>
        <w:t>* 2011</w:t>
      </w:r>
      <w:r w:rsidR="002415F4" w:rsidRPr="007E1FAD">
        <w:rPr>
          <w:rFonts w:ascii="Times New Roman" w:hAnsi="Times New Roman" w:cs="Times New Roman"/>
        </w:rPr>
        <w:t>.</w:t>
      </w:r>
      <w:r w:rsidRPr="007E1FAD">
        <w:rPr>
          <w:rFonts w:ascii="Times New Roman" w:hAnsi="Times New Roman" w:cs="Times New Roman"/>
        </w:rPr>
        <w:t xml:space="preserve"> година, Извор: Статистички годишњи извештај о јавним набавкама за 2011. годину, Портал јавних</w:t>
      </w:r>
      <w:r w:rsidR="0044645B">
        <w:rPr>
          <w:rFonts w:ascii="Times New Roman" w:hAnsi="Times New Roman" w:cs="Times New Roman"/>
          <w:lang w:val="sr-Cyrl-RS"/>
        </w:rPr>
        <w:t xml:space="preserve"> </w:t>
      </w:r>
      <w:r w:rsidRPr="007E1FAD">
        <w:rPr>
          <w:rFonts w:ascii="Times New Roman" w:hAnsi="Times New Roman" w:cs="Times New Roman"/>
        </w:rPr>
        <w:t>набавки, Република Хрватска</w:t>
      </w:r>
      <w:r w:rsidR="007E1FAD" w:rsidRPr="007E1FAD">
        <w:rPr>
          <w:rFonts w:ascii="Times New Roman" w:hAnsi="Times New Roman" w:cs="Times New Roman"/>
        </w:rPr>
        <w:t xml:space="preserve">, </w:t>
      </w:r>
      <w:r w:rsidR="009F3C49">
        <w:rPr>
          <w:rFonts w:ascii="Times New Roman" w:hAnsi="Times New Roman" w:cs="Times New Roman"/>
        </w:rPr>
        <w:t xml:space="preserve">страна 45, </w:t>
      </w:r>
      <w:r w:rsidR="007E1FAD" w:rsidRPr="007E1FAD">
        <w:rPr>
          <w:rFonts w:ascii="Times New Roman" w:hAnsi="Times New Roman" w:cs="Times New Roman"/>
        </w:rPr>
        <w:t xml:space="preserve">линк: </w:t>
      </w:r>
      <w:hyperlink r:id="rId33" w:history="1">
        <w:r w:rsidR="007E1FAD" w:rsidRPr="007E1FAD">
          <w:rPr>
            <w:rStyle w:val="Hyperlink"/>
            <w:rFonts w:ascii="Times New Roman" w:hAnsi="Times New Roman" w:cs="Times New Roman"/>
          </w:rPr>
          <w:t>http://www.javnanabava.hr/userdocsimages/userfiles/file/Statistička%20izvješća/Godišnja/Statisticko_izvjesce_JN-2011.pdf</w:t>
        </w:r>
      </w:hyperlink>
    </w:p>
    <w:p w:rsidR="007E1FAD" w:rsidRPr="007E1FAD" w:rsidRDefault="00C922D1" w:rsidP="007E1FAD">
      <w:pPr>
        <w:spacing w:after="240"/>
        <w:rPr>
          <w:rFonts w:ascii="Times New Roman" w:hAnsi="Times New Roman" w:cs="Times New Roman"/>
        </w:rPr>
      </w:pPr>
      <w:r w:rsidRPr="007E1FAD">
        <w:rPr>
          <w:rFonts w:ascii="Times New Roman" w:hAnsi="Times New Roman" w:cs="Times New Roman"/>
        </w:rPr>
        <w:t>**</w:t>
      </w:r>
      <w:r w:rsidR="00884CB7" w:rsidRPr="007E1FAD">
        <w:rPr>
          <w:rFonts w:ascii="Times New Roman" w:hAnsi="Times New Roman" w:cs="Times New Roman"/>
        </w:rPr>
        <w:t>2012</w:t>
      </w:r>
      <w:r w:rsidR="002415F4" w:rsidRPr="007E1FAD">
        <w:rPr>
          <w:rFonts w:ascii="Times New Roman" w:hAnsi="Times New Roman" w:cs="Times New Roman"/>
        </w:rPr>
        <w:t>. година</w:t>
      </w:r>
      <w:r w:rsidR="00884CB7" w:rsidRPr="007E1FAD">
        <w:rPr>
          <w:rFonts w:ascii="Times New Roman" w:hAnsi="Times New Roman" w:cs="Times New Roman"/>
        </w:rPr>
        <w:t xml:space="preserve">, </w:t>
      </w:r>
      <w:r w:rsidR="002415F4" w:rsidRPr="007E1FAD">
        <w:rPr>
          <w:rFonts w:ascii="Times New Roman" w:hAnsi="Times New Roman" w:cs="Times New Roman"/>
        </w:rPr>
        <w:t>Извор</w:t>
      </w:r>
      <w:r w:rsidR="00884CB7" w:rsidRPr="007E1FAD">
        <w:rPr>
          <w:rFonts w:ascii="Times New Roman" w:hAnsi="Times New Roman" w:cs="Times New Roman"/>
        </w:rPr>
        <w:t xml:space="preserve">: </w:t>
      </w:r>
      <w:r w:rsidR="002415F4" w:rsidRPr="007E1FAD">
        <w:rPr>
          <w:rFonts w:ascii="Times New Roman" w:hAnsi="Times New Roman" w:cs="Times New Roman"/>
        </w:rPr>
        <w:t xml:space="preserve">Статистички извештај о јавним набавкама реализованим у </w:t>
      </w:r>
      <w:r w:rsidR="00884CB7" w:rsidRPr="007E1FAD">
        <w:rPr>
          <w:rFonts w:ascii="Times New Roman" w:hAnsi="Times New Roman" w:cs="Times New Roman"/>
        </w:rPr>
        <w:t xml:space="preserve">2012. </w:t>
      </w:r>
      <w:r w:rsidR="002415F4" w:rsidRPr="007E1FAD">
        <w:rPr>
          <w:rFonts w:ascii="Times New Roman" w:hAnsi="Times New Roman" w:cs="Times New Roman"/>
        </w:rPr>
        <w:t>години, Директорат за јавне набавке, Република Словенија</w:t>
      </w:r>
      <w:r w:rsidR="007E1FAD" w:rsidRPr="007E1FAD">
        <w:rPr>
          <w:rFonts w:ascii="Times New Roman" w:hAnsi="Times New Roman" w:cs="Times New Roman"/>
        </w:rPr>
        <w:t xml:space="preserve">, линк: </w:t>
      </w:r>
      <w:hyperlink r:id="rId34" w:tgtFrame="_blank" w:history="1">
        <w:r w:rsidR="007E1FAD" w:rsidRPr="007E1FAD">
          <w:rPr>
            <w:rStyle w:val="Hyperlink"/>
            <w:rFonts w:ascii="Times New Roman" w:hAnsi="Times New Roman" w:cs="Times New Roman"/>
          </w:rPr>
          <w:t>http://www.djn.mf.gov.si/resources/files/Sistem_javnega_narocanja/Stat_por_JN2012_IN.pdf</w:t>
        </w:r>
      </w:hyperlink>
    </w:p>
    <w:p w:rsidR="004169ED" w:rsidRDefault="004169ED" w:rsidP="007B4B66">
      <w:pPr>
        <w:jc w:val="both"/>
        <w:rPr>
          <w:rFonts w:ascii="Times New Roman" w:hAnsi="Times New Roman" w:cs="Times New Roman"/>
          <w:sz w:val="24"/>
          <w:szCs w:val="24"/>
        </w:rPr>
      </w:pPr>
      <w:r>
        <w:rPr>
          <w:rFonts w:ascii="Times New Roman" w:hAnsi="Times New Roman" w:cs="Times New Roman"/>
          <w:sz w:val="24"/>
          <w:szCs w:val="24"/>
        </w:rPr>
        <w:t xml:space="preserve">Као извор података за Словенију и Хрватску коришћени су последњи доступни статистички извештаји о јавним набавкама који садрже податак о просечном броју понуда по закљученом уговору. </w:t>
      </w:r>
    </w:p>
    <w:p w:rsidR="00C469B9" w:rsidRDefault="00BB0B53" w:rsidP="007B4B66">
      <w:pPr>
        <w:jc w:val="both"/>
        <w:rPr>
          <w:rFonts w:ascii="Times New Roman" w:hAnsi="Times New Roman" w:cs="Times New Roman"/>
          <w:sz w:val="24"/>
          <w:szCs w:val="24"/>
          <w:lang w:val="sr-Cyrl-RS"/>
        </w:rPr>
      </w:pPr>
      <w:r>
        <w:rPr>
          <w:rFonts w:ascii="Times New Roman" w:hAnsi="Times New Roman" w:cs="Times New Roman"/>
          <w:sz w:val="24"/>
          <w:szCs w:val="24"/>
        </w:rPr>
        <w:t>Као што се из Табеле</w:t>
      </w:r>
      <w:r w:rsidR="00B52C7D">
        <w:rPr>
          <w:rFonts w:ascii="Times New Roman" w:hAnsi="Times New Roman" w:cs="Times New Roman"/>
          <w:sz w:val="24"/>
          <w:szCs w:val="24"/>
        </w:rPr>
        <w:t xml:space="preserve"> 6</w:t>
      </w:r>
      <w:r>
        <w:rPr>
          <w:rFonts w:ascii="Times New Roman" w:hAnsi="Times New Roman" w:cs="Times New Roman"/>
          <w:sz w:val="24"/>
          <w:szCs w:val="24"/>
        </w:rPr>
        <w:t xml:space="preserve"> може видети, интензитет конкуренције у </w:t>
      </w:r>
      <w:r w:rsidR="000D5EF5">
        <w:rPr>
          <w:rFonts w:ascii="Times New Roman" w:hAnsi="Times New Roman" w:cs="Times New Roman"/>
          <w:sz w:val="24"/>
          <w:szCs w:val="24"/>
        </w:rPr>
        <w:t xml:space="preserve">јавним набавкама у </w:t>
      </w:r>
      <w:r w:rsidR="00F53080">
        <w:rPr>
          <w:rFonts w:ascii="Times New Roman" w:hAnsi="Times New Roman" w:cs="Times New Roman"/>
          <w:sz w:val="24"/>
          <w:szCs w:val="24"/>
        </w:rPr>
        <w:t xml:space="preserve">Србији био је </w:t>
      </w:r>
      <w:r>
        <w:rPr>
          <w:rFonts w:ascii="Times New Roman" w:hAnsi="Times New Roman" w:cs="Times New Roman"/>
          <w:sz w:val="24"/>
          <w:szCs w:val="24"/>
        </w:rPr>
        <w:t>слабији него у Хрватској и Словенији</w:t>
      </w:r>
      <w:r w:rsidR="003F5451">
        <w:rPr>
          <w:rFonts w:ascii="Times New Roman" w:hAnsi="Times New Roman" w:cs="Times New Roman"/>
          <w:sz w:val="24"/>
          <w:szCs w:val="24"/>
        </w:rPr>
        <w:t xml:space="preserve">. </w:t>
      </w:r>
      <w:r w:rsidR="000305FA">
        <w:rPr>
          <w:rFonts w:ascii="Times New Roman" w:hAnsi="Times New Roman" w:cs="Times New Roman"/>
          <w:sz w:val="24"/>
          <w:szCs w:val="24"/>
        </w:rPr>
        <w:t xml:space="preserve">Свакако да ће </w:t>
      </w:r>
      <w:r w:rsidR="000D5EF5">
        <w:rPr>
          <w:rFonts w:ascii="Times New Roman" w:hAnsi="Times New Roman" w:cs="Times New Roman"/>
          <w:sz w:val="24"/>
          <w:szCs w:val="24"/>
        </w:rPr>
        <w:t xml:space="preserve">даљи </w:t>
      </w:r>
      <w:r w:rsidR="000305FA">
        <w:rPr>
          <w:rFonts w:ascii="Times New Roman" w:hAnsi="Times New Roman" w:cs="Times New Roman"/>
          <w:sz w:val="24"/>
          <w:szCs w:val="24"/>
        </w:rPr>
        <w:t>напори на су</w:t>
      </w:r>
      <w:r w:rsidR="00E7451F">
        <w:rPr>
          <w:rFonts w:ascii="Times New Roman" w:hAnsi="Times New Roman" w:cs="Times New Roman"/>
          <w:sz w:val="24"/>
          <w:szCs w:val="24"/>
        </w:rPr>
        <w:t>збијању преговарачких поступака, а посебно оног са само једним понуђачем</w:t>
      </w:r>
      <w:r w:rsidR="005F59A4">
        <w:rPr>
          <w:rFonts w:ascii="Times New Roman" w:hAnsi="Times New Roman" w:cs="Times New Roman"/>
          <w:sz w:val="24"/>
          <w:szCs w:val="24"/>
        </w:rPr>
        <w:t xml:space="preserve"> </w:t>
      </w:r>
      <w:r w:rsidR="000D5EF5">
        <w:rPr>
          <w:rFonts w:ascii="Times New Roman" w:hAnsi="Times New Roman" w:cs="Times New Roman"/>
          <w:sz w:val="24"/>
          <w:szCs w:val="24"/>
        </w:rPr>
        <w:t xml:space="preserve">и њихово свођење на ниво који је у земљама ЕУ </w:t>
      </w:r>
      <w:r w:rsidR="000305FA">
        <w:rPr>
          <w:rFonts w:ascii="Times New Roman" w:hAnsi="Times New Roman" w:cs="Times New Roman"/>
          <w:sz w:val="24"/>
          <w:szCs w:val="24"/>
        </w:rPr>
        <w:t>допринети и побољ</w:t>
      </w:r>
      <w:r w:rsidR="000D5EF5">
        <w:rPr>
          <w:rFonts w:ascii="Times New Roman" w:hAnsi="Times New Roman" w:cs="Times New Roman"/>
          <w:sz w:val="24"/>
          <w:szCs w:val="24"/>
        </w:rPr>
        <w:t>шању показатеља интензитета конкуренције у јавним набавкама</w:t>
      </w:r>
      <w:r w:rsidR="003F5451">
        <w:rPr>
          <w:rFonts w:ascii="Times New Roman" w:hAnsi="Times New Roman" w:cs="Times New Roman"/>
          <w:sz w:val="24"/>
          <w:szCs w:val="24"/>
        </w:rPr>
        <w:t xml:space="preserve"> у Србији</w:t>
      </w:r>
      <w:r w:rsidR="000D5EF5">
        <w:rPr>
          <w:rFonts w:ascii="Times New Roman" w:hAnsi="Times New Roman" w:cs="Times New Roman"/>
          <w:sz w:val="24"/>
          <w:szCs w:val="24"/>
        </w:rPr>
        <w:t xml:space="preserve">. </w:t>
      </w:r>
    </w:p>
    <w:p w:rsidR="00C469B9" w:rsidRPr="00C469B9" w:rsidRDefault="00C469B9" w:rsidP="007B4B66">
      <w:pPr>
        <w:jc w:val="both"/>
        <w:rPr>
          <w:rFonts w:ascii="Times New Roman" w:hAnsi="Times New Roman" w:cs="Times New Roman"/>
          <w:sz w:val="24"/>
          <w:szCs w:val="24"/>
          <w:lang w:val="sr-Cyrl-RS"/>
        </w:rPr>
      </w:pPr>
    </w:p>
    <w:p w:rsidR="001453FB" w:rsidRPr="00CC5D30" w:rsidRDefault="001453FB" w:rsidP="00CC5D30">
      <w:pPr>
        <w:pStyle w:val="ListParagraph"/>
        <w:numPr>
          <w:ilvl w:val="0"/>
          <w:numId w:val="2"/>
        </w:numPr>
        <w:rPr>
          <w:rFonts w:ascii="Times New Roman" w:hAnsi="Times New Roman" w:cs="Times New Roman"/>
          <w:b/>
          <w:sz w:val="24"/>
          <w:szCs w:val="24"/>
        </w:rPr>
      </w:pPr>
      <w:r w:rsidRPr="00CC5D30">
        <w:rPr>
          <w:rFonts w:ascii="Times New Roman" w:hAnsi="Times New Roman" w:cs="Times New Roman"/>
          <w:b/>
          <w:sz w:val="24"/>
          <w:szCs w:val="24"/>
        </w:rPr>
        <w:t>РЕГИСТАР ПОНУЂАЧА</w:t>
      </w:r>
    </w:p>
    <w:p w:rsidR="000E4D09" w:rsidRDefault="000E4D09" w:rsidP="007B4B66">
      <w:pPr>
        <w:jc w:val="both"/>
        <w:rPr>
          <w:rFonts w:ascii="Times New Roman" w:hAnsi="Times New Roman" w:cs="Times New Roman"/>
          <w:sz w:val="24"/>
          <w:szCs w:val="24"/>
        </w:rPr>
      </w:pPr>
      <w:r>
        <w:rPr>
          <w:rFonts w:ascii="Times New Roman" w:hAnsi="Times New Roman" w:cs="Times New Roman"/>
          <w:sz w:val="24"/>
          <w:szCs w:val="24"/>
        </w:rPr>
        <w:t xml:space="preserve">Један од значајних фактора који олакшавају учешће понуђачима у поступцима јавних набавки јесте смањивање административног терета и трошка (како времена тако и новца) приликом учешћа у поступку. Смањивање овог оптерећења делује подстицајно на учешће понуђача у поступцима и тиме јача конкуренцију. </w:t>
      </w:r>
    </w:p>
    <w:p w:rsidR="00830FC5" w:rsidRDefault="00326D82" w:rsidP="007B4B66">
      <w:pPr>
        <w:jc w:val="both"/>
        <w:rPr>
          <w:rFonts w:ascii="Times New Roman" w:hAnsi="Times New Roman" w:cs="Times New Roman"/>
          <w:sz w:val="24"/>
          <w:szCs w:val="24"/>
        </w:rPr>
      </w:pPr>
      <w:r>
        <w:rPr>
          <w:rFonts w:ascii="Times New Roman" w:hAnsi="Times New Roman" w:cs="Times New Roman"/>
          <w:sz w:val="24"/>
          <w:szCs w:val="24"/>
        </w:rPr>
        <w:t>Важећим Законом о јавним набавкама превиђено је да понуђачи могу да доставе доказе о испуњености обавезних услова из члана 75, став, тачке 1-4</w:t>
      </w:r>
      <w:r w:rsidR="00D2757B">
        <w:rPr>
          <w:rFonts w:ascii="Times New Roman" w:hAnsi="Times New Roman" w:cs="Times New Roman"/>
          <w:sz w:val="24"/>
          <w:szCs w:val="24"/>
        </w:rPr>
        <w:t>,</w:t>
      </w:r>
      <w:r>
        <w:rPr>
          <w:rFonts w:ascii="Times New Roman" w:hAnsi="Times New Roman" w:cs="Times New Roman"/>
          <w:sz w:val="24"/>
          <w:szCs w:val="24"/>
        </w:rPr>
        <w:t xml:space="preserve"> Агенцији за привредне регистре (АПР) на основу којих их </w:t>
      </w:r>
      <w:r w:rsidR="00D2757B">
        <w:rPr>
          <w:rFonts w:ascii="Times New Roman" w:hAnsi="Times New Roman" w:cs="Times New Roman"/>
          <w:sz w:val="24"/>
          <w:szCs w:val="24"/>
        </w:rPr>
        <w:t>АПР уписује у Р</w:t>
      </w:r>
      <w:r>
        <w:rPr>
          <w:rFonts w:ascii="Times New Roman" w:hAnsi="Times New Roman" w:cs="Times New Roman"/>
          <w:sz w:val="24"/>
          <w:szCs w:val="24"/>
        </w:rPr>
        <w:t xml:space="preserve">егистар понуђача. Понуђачи који су уписани у Регистар, уместо да за сваки поступак јавне набавке прибављају доказе о испуњености ова четири </w:t>
      </w:r>
      <w:r w:rsidR="00830FC5">
        <w:rPr>
          <w:rFonts w:ascii="Times New Roman" w:hAnsi="Times New Roman" w:cs="Times New Roman"/>
          <w:sz w:val="24"/>
          <w:szCs w:val="24"/>
        </w:rPr>
        <w:t xml:space="preserve">обавезна </w:t>
      </w:r>
      <w:r>
        <w:rPr>
          <w:rFonts w:ascii="Times New Roman" w:hAnsi="Times New Roman" w:cs="Times New Roman"/>
          <w:sz w:val="24"/>
          <w:szCs w:val="24"/>
        </w:rPr>
        <w:t xml:space="preserve">услова, </w:t>
      </w:r>
      <w:r w:rsidR="00830FC5">
        <w:rPr>
          <w:rFonts w:ascii="Times New Roman" w:hAnsi="Times New Roman" w:cs="Times New Roman"/>
          <w:sz w:val="24"/>
          <w:szCs w:val="24"/>
        </w:rPr>
        <w:t xml:space="preserve">треба само да у поднесеној понуди наведу </w:t>
      </w:r>
      <w:r>
        <w:rPr>
          <w:rFonts w:ascii="Times New Roman" w:hAnsi="Times New Roman" w:cs="Times New Roman"/>
          <w:sz w:val="24"/>
          <w:szCs w:val="24"/>
        </w:rPr>
        <w:t xml:space="preserve">да су уписани у Регистар, како би наручилац могао да провери. </w:t>
      </w:r>
      <w:r w:rsidR="00830FC5">
        <w:rPr>
          <w:rFonts w:ascii="Times New Roman" w:hAnsi="Times New Roman" w:cs="Times New Roman"/>
          <w:sz w:val="24"/>
          <w:szCs w:val="24"/>
        </w:rPr>
        <w:t xml:space="preserve">На тај начин се понуђачи ослобађају обавезе да за сваки поступак </w:t>
      </w:r>
      <w:r w:rsidR="00D2757B">
        <w:rPr>
          <w:rFonts w:ascii="Times New Roman" w:hAnsi="Times New Roman" w:cs="Times New Roman"/>
          <w:sz w:val="24"/>
          <w:szCs w:val="24"/>
        </w:rPr>
        <w:t xml:space="preserve">јавне набавке </w:t>
      </w:r>
      <w:r w:rsidR="00830FC5">
        <w:rPr>
          <w:rFonts w:ascii="Times New Roman" w:hAnsi="Times New Roman" w:cs="Times New Roman"/>
          <w:sz w:val="24"/>
          <w:szCs w:val="24"/>
        </w:rPr>
        <w:t xml:space="preserve">прибављају доказе </w:t>
      </w:r>
      <w:r w:rsidR="00D2757B">
        <w:rPr>
          <w:rFonts w:ascii="Times New Roman" w:hAnsi="Times New Roman" w:cs="Times New Roman"/>
          <w:sz w:val="24"/>
          <w:szCs w:val="24"/>
        </w:rPr>
        <w:t xml:space="preserve">о испуњености поменута четири обавезна услова, </w:t>
      </w:r>
      <w:r w:rsidR="00830FC5">
        <w:rPr>
          <w:rFonts w:ascii="Times New Roman" w:hAnsi="Times New Roman" w:cs="Times New Roman"/>
          <w:sz w:val="24"/>
          <w:szCs w:val="24"/>
        </w:rPr>
        <w:t>што је посебно корисно за наручиоце</w:t>
      </w:r>
      <w:r w:rsidR="00151C94">
        <w:rPr>
          <w:rFonts w:ascii="Times New Roman" w:hAnsi="Times New Roman" w:cs="Times New Roman"/>
          <w:sz w:val="24"/>
          <w:szCs w:val="24"/>
        </w:rPr>
        <w:t xml:space="preserve"> и понуђаче</w:t>
      </w:r>
      <w:r w:rsidR="00830FC5">
        <w:rPr>
          <w:rFonts w:ascii="Times New Roman" w:hAnsi="Times New Roman" w:cs="Times New Roman"/>
          <w:sz w:val="24"/>
          <w:szCs w:val="24"/>
        </w:rPr>
        <w:t xml:space="preserve"> који учествују у већем броју поступака</w:t>
      </w:r>
      <w:r w:rsidR="00D2757B">
        <w:rPr>
          <w:rFonts w:ascii="Times New Roman" w:hAnsi="Times New Roman" w:cs="Times New Roman"/>
          <w:sz w:val="24"/>
          <w:szCs w:val="24"/>
        </w:rPr>
        <w:t xml:space="preserve"> и којима се, на овај начин, штеди доста времена и новца. </w:t>
      </w:r>
    </w:p>
    <w:p w:rsidR="00707351" w:rsidRPr="00C469B9" w:rsidRDefault="00E9515B" w:rsidP="00C469B9">
      <w:pPr>
        <w:jc w:val="both"/>
        <w:rPr>
          <w:rFonts w:ascii="Times New Roman" w:hAnsi="Times New Roman" w:cs="Times New Roman"/>
          <w:sz w:val="24"/>
          <w:szCs w:val="24"/>
          <w:lang w:val="sr-Cyrl-RS"/>
        </w:rPr>
      </w:pPr>
      <w:r w:rsidRPr="00AD1811">
        <w:rPr>
          <w:rFonts w:ascii="Times New Roman" w:hAnsi="Times New Roman" w:cs="Times New Roman"/>
          <w:sz w:val="24"/>
          <w:szCs w:val="24"/>
        </w:rPr>
        <w:t xml:space="preserve">Регистар понуђача почео је са радом 1. </w:t>
      </w:r>
      <w:r>
        <w:rPr>
          <w:rFonts w:ascii="Times New Roman" w:hAnsi="Times New Roman" w:cs="Times New Roman"/>
          <w:sz w:val="24"/>
          <w:szCs w:val="24"/>
        </w:rPr>
        <w:t>с</w:t>
      </w:r>
      <w:r w:rsidRPr="00AD1811">
        <w:rPr>
          <w:rFonts w:ascii="Times New Roman" w:hAnsi="Times New Roman" w:cs="Times New Roman"/>
          <w:sz w:val="24"/>
          <w:szCs w:val="24"/>
        </w:rPr>
        <w:t>ептембра</w:t>
      </w:r>
      <w:r>
        <w:rPr>
          <w:rFonts w:ascii="Times New Roman" w:hAnsi="Times New Roman" w:cs="Times New Roman"/>
          <w:sz w:val="24"/>
          <w:szCs w:val="24"/>
        </w:rPr>
        <w:t xml:space="preserve"> 2013. године </w:t>
      </w:r>
      <w:r w:rsidRPr="00AD1811">
        <w:rPr>
          <w:rFonts w:ascii="Times New Roman" w:hAnsi="Times New Roman" w:cs="Times New Roman"/>
          <w:sz w:val="24"/>
          <w:szCs w:val="24"/>
        </w:rPr>
        <w:t>и</w:t>
      </w:r>
      <w:r>
        <w:rPr>
          <w:rFonts w:ascii="Times New Roman" w:hAnsi="Times New Roman" w:cs="Times New Roman"/>
          <w:sz w:val="24"/>
          <w:szCs w:val="24"/>
        </w:rPr>
        <w:t xml:space="preserve"> води га </w:t>
      </w:r>
      <w:r w:rsidRPr="00AD1811">
        <w:rPr>
          <w:rFonts w:ascii="Times New Roman" w:hAnsi="Times New Roman" w:cs="Times New Roman"/>
          <w:sz w:val="24"/>
          <w:szCs w:val="24"/>
        </w:rPr>
        <w:t>Агенција за привредне регистре.</w:t>
      </w:r>
      <w:r>
        <w:rPr>
          <w:rFonts w:ascii="Times New Roman" w:hAnsi="Times New Roman" w:cs="Times New Roman"/>
          <w:sz w:val="24"/>
          <w:szCs w:val="24"/>
        </w:rPr>
        <w:t xml:space="preserve"> </w:t>
      </w:r>
      <w:r w:rsidRPr="00AD1811">
        <w:rPr>
          <w:rFonts w:ascii="Times New Roman" w:hAnsi="Times New Roman" w:cs="Times New Roman"/>
          <w:sz w:val="24"/>
          <w:szCs w:val="24"/>
        </w:rPr>
        <w:t xml:space="preserve">О томе колико је Регистар користан понуђачима сведочи њихово велико интересовање да буду уписани у Регистар. Како се кретао број регистрованих понуђача, од 1. септембра до 31. </w:t>
      </w:r>
      <w:r>
        <w:rPr>
          <w:rFonts w:ascii="Times New Roman" w:hAnsi="Times New Roman" w:cs="Times New Roman"/>
          <w:sz w:val="24"/>
          <w:szCs w:val="24"/>
        </w:rPr>
        <w:t xml:space="preserve">децембра </w:t>
      </w:r>
      <w:r w:rsidRPr="00AD1811">
        <w:rPr>
          <w:rFonts w:ascii="Times New Roman" w:hAnsi="Times New Roman" w:cs="Times New Roman"/>
          <w:sz w:val="24"/>
          <w:szCs w:val="24"/>
        </w:rPr>
        <w:t>201</w:t>
      </w:r>
      <w:r>
        <w:rPr>
          <w:rFonts w:ascii="Times New Roman" w:hAnsi="Times New Roman" w:cs="Times New Roman"/>
          <w:sz w:val="24"/>
          <w:szCs w:val="24"/>
        </w:rPr>
        <w:t>3</w:t>
      </w:r>
      <w:r w:rsidRPr="00AD1811">
        <w:rPr>
          <w:rFonts w:ascii="Times New Roman" w:hAnsi="Times New Roman" w:cs="Times New Roman"/>
          <w:sz w:val="24"/>
          <w:szCs w:val="24"/>
        </w:rPr>
        <w:t xml:space="preserve">. године може се видети на Слици </w:t>
      </w:r>
      <w:r w:rsidR="00D2757B" w:rsidRPr="006D796B">
        <w:rPr>
          <w:rFonts w:ascii="Times New Roman" w:hAnsi="Times New Roman" w:cs="Times New Roman"/>
          <w:sz w:val="24"/>
          <w:szCs w:val="24"/>
        </w:rPr>
        <w:t xml:space="preserve">10.          </w:t>
      </w:r>
    </w:p>
    <w:p w:rsidR="00D2757B" w:rsidRPr="009B3038" w:rsidRDefault="00D2757B" w:rsidP="009B3038">
      <w:pPr>
        <w:jc w:val="center"/>
        <w:rPr>
          <w:rFonts w:ascii="Times New Roman" w:hAnsi="Times New Roman" w:cs="Times New Roman"/>
          <w:b/>
          <w:sz w:val="24"/>
          <w:szCs w:val="24"/>
        </w:rPr>
      </w:pPr>
      <w:r w:rsidRPr="009B3038">
        <w:rPr>
          <w:rFonts w:ascii="Times New Roman" w:hAnsi="Times New Roman" w:cs="Times New Roman"/>
          <w:b/>
          <w:sz w:val="24"/>
          <w:szCs w:val="24"/>
        </w:rPr>
        <w:lastRenderedPageBreak/>
        <w:t>Слика 10</w:t>
      </w:r>
    </w:p>
    <w:p w:rsidR="008460C7" w:rsidRPr="00C469B9" w:rsidRDefault="00C469B9" w:rsidP="00C469B9">
      <w:pPr>
        <w:jc w:val="center"/>
        <w:rPr>
          <w:lang w:val="sr-Cyrl-RS"/>
        </w:rPr>
      </w:pPr>
      <w:r>
        <w:object w:dxaOrig="8794" w:dyaOrig="6034">
          <v:shape id="_x0000_i1035" type="#_x0000_t75" style="width:439.5pt;height:279pt" o:ole="">
            <v:imagedata r:id="rId35" o:title=""/>
          </v:shape>
          <o:OLEObject Type="Embed" ProgID="Excel.Sheet.12" ShapeID="_x0000_i1035" DrawAspect="Content" ObjectID="_1456551369" r:id="rId36"/>
        </w:object>
      </w:r>
    </w:p>
    <w:p w:rsidR="00D2757B" w:rsidRDefault="008460C7" w:rsidP="007B4B66">
      <w:pPr>
        <w:jc w:val="both"/>
        <w:rPr>
          <w:rFonts w:ascii="Times New Roman" w:hAnsi="Times New Roman" w:cs="Times New Roman"/>
          <w:sz w:val="24"/>
          <w:szCs w:val="24"/>
          <w:lang w:val="sr-Cyrl-RS"/>
        </w:rPr>
      </w:pPr>
      <w:r>
        <w:rPr>
          <w:rFonts w:ascii="Times New Roman" w:hAnsi="Times New Roman" w:cs="Times New Roman"/>
          <w:sz w:val="24"/>
          <w:szCs w:val="24"/>
        </w:rPr>
        <w:t>У посматраном периоду регистровано је укупно 1.</w:t>
      </w:r>
      <w:r w:rsidR="00D5059D">
        <w:rPr>
          <w:rFonts w:ascii="Times New Roman" w:hAnsi="Times New Roman" w:cs="Times New Roman"/>
          <w:sz w:val="24"/>
          <w:szCs w:val="24"/>
        </w:rPr>
        <w:t>610</w:t>
      </w:r>
      <w:r>
        <w:rPr>
          <w:rFonts w:ascii="Times New Roman" w:hAnsi="Times New Roman" w:cs="Times New Roman"/>
          <w:sz w:val="24"/>
          <w:szCs w:val="24"/>
        </w:rPr>
        <w:t xml:space="preserve"> понуђача, с тим да је из месеца у месец број регистрованих </w:t>
      </w:r>
      <w:r w:rsidR="00D5059D">
        <w:rPr>
          <w:rFonts w:ascii="Times New Roman" w:hAnsi="Times New Roman" w:cs="Times New Roman"/>
          <w:sz w:val="24"/>
          <w:szCs w:val="24"/>
        </w:rPr>
        <w:t xml:space="preserve">понуђача </w:t>
      </w:r>
      <w:r>
        <w:rPr>
          <w:rFonts w:ascii="Times New Roman" w:hAnsi="Times New Roman" w:cs="Times New Roman"/>
          <w:sz w:val="24"/>
          <w:szCs w:val="24"/>
        </w:rPr>
        <w:t>растао</w:t>
      </w:r>
      <w:r w:rsidR="00D5059D">
        <w:rPr>
          <w:rFonts w:ascii="Times New Roman" w:hAnsi="Times New Roman" w:cs="Times New Roman"/>
          <w:sz w:val="24"/>
          <w:szCs w:val="24"/>
        </w:rPr>
        <w:t xml:space="preserve"> што јасно показује како понуђачи оцењују његову корисност, имајући у виду да упис у Регистар није обавезан.  </w:t>
      </w:r>
    </w:p>
    <w:p w:rsidR="00C469B9" w:rsidRPr="00C469B9" w:rsidRDefault="00C469B9" w:rsidP="007B4B66">
      <w:pPr>
        <w:jc w:val="both"/>
        <w:rPr>
          <w:rFonts w:ascii="Times New Roman" w:hAnsi="Times New Roman" w:cs="Times New Roman"/>
          <w:sz w:val="24"/>
          <w:szCs w:val="24"/>
          <w:lang w:val="sr-Cyrl-RS"/>
        </w:rPr>
      </w:pPr>
    </w:p>
    <w:p w:rsidR="0090382C" w:rsidRPr="00CC5D30" w:rsidRDefault="0090382C" w:rsidP="00CC5D30">
      <w:pPr>
        <w:pStyle w:val="ListParagraph"/>
        <w:numPr>
          <w:ilvl w:val="0"/>
          <w:numId w:val="2"/>
        </w:numPr>
        <w:rPr>
          <w:rFonts w:ascii="Times New Roman" w:hAnsi="Times New Roman" w:cs="Times New Roman"/>
          <w:b/>
          <w:sz w:val="24"/>
          <w:szCs w:val="24"/>
        </w:rPr>
      </w:pPr>
      <w:r w:rsidRPr="00CC5D30">
        <w:rPr>
          <w:rFonts w:ascii="Times New Roman" w:hAnsi="Times New Roman" w:cs="Times New Roman"/>
          <w:b/>
          <w:sz w:val="24"/>
          <w:szCs w:val="24"/>
        </w:rPr>
        <w:t>ПОРТАЛ ЈАВНИХ НАБАВКИ</w:t>
      </w:r>
    </w:p>
    <w:p w:rsidR="006E087E" w:rsidRPr="002C5D8C" w:rsidRDefault="006E087E" w:rsidP="006E087E">
      <w:pPr>
        <w:jc w:val="both"/>
        <w:rPr>
          <w:rFonts w:ascii="Times New Roman" w:hAnsi="Times New Roman" w:cs="Times New Roman"/>
          <w:sz w:val="24"/>
          <w:szCs w:val="24"/>
        </w:rPr>
      </w:pPr>
      <w:r w:rsidRPr="002C5D8C">
        <w:rPr>
          <w:rFonts w:ascii="Times New Roman" w:hAnsi="Times New Roman" w:cs="Times New Roman"/>
          <w:sz w:val="24"/>
          <w:szCs w:val="24"/>
        </w:rPr>
        <w:t xml:space="preserve">Новим Законом </w:t>
      </w:r>
      <w:r w:rsidR="00CC5D30">
        <w:rPr>
          <w:rFonts w:ascii="Times New Roman" w:hAnsi="Times New Roman" w:cs="Times New Roman"/>
          <w:sz w:val="24"/>
          <w:szCs w:val="24"/>
        </w:rPr>
        <w:t xml:space="preserve">о јавним набавкама </w:t>
      </w:r>
      <w:r w:rsidRPr="002C5D8C">
        <w:rPr>
          <w:rFonts w:ascii="Times New Roman" w:hAnsi="Times New Roman" w:cs="Times New Roman"/>
          <w:sz w:val="24"/>
          <w:szCs w:val="24"/>
        </w:rPr>
        <w:t xml:space="preserve">уведене су значајне измене на Порталу јавних набавки. Пре свега, прописана је обавезна објава конкурсне документације коју понуђачи, али и остали заинтересовани могу преузети без накнаде. Увођењем обавезне објаве јавних набавки мале вредности, </w:t>
      </w:r>
      <w:r w:rsidR="00C469B9">
        <w:rPr>
          <w:rFonts w:ascii="Times New Roman" w:hAnsi="Times New Roman" w:cs="Times New Roman"/>
          <w:sz w:val="24"/>
          <w:szCs w:val="24"/>
          <w:lang w:val="sr-Cyrl-RS"/>
        </w:rPr>
        <w:t>знатно</w:t>
      </w:r>
      <w:r w:rsidRPr="002C5D8C">
        <w:rPr>
          <w:rFonts w:ascii="Times New Roman" w:hAnsi="Times New Roman" w:cs="Times New Roman"/>
          <w:sz w:val="24"/>
          <w:szCs w:val="24"/>
        </w:rPr>
        <w:t xml:space="preserve"> се унапредила транспарентност поступака. Такође, изузетно је значајно и прописивање објављивања обавештења о покретању преговарачког поступка без објаве, како би се јавност што више информисала о овим најмање транспарентним поступцима, где се уобичајено крије и највећи број нерегуларности.</w:t>
      </w:r>
    </w:p>
    <w:p w:rsidR="006E087E" w:rsidRPr="002C5D8C" w:rsidRDefault="006E087E" w:rsidP="006E087E">
      <w:pPr>
        <w:jc w:val="both"/>
        <w:rPr>
          <w:rFonts w:ascii="Times New Roman" w:hAnsi="Times New Roman" w:cs="Times New Roman"/>
          <w:sz w:val="24"/>
          <w:szCs w:val="24"/>
        </w:rPr>
      </w:pPr>
      <w:r w:rsidRPr="002C5D8C">
        <w:rPr>
          <w:rFonts w:ascii="Times New Roman" w:hAnsi="Times New Roman" w:cs="Times New Roman"/>
          <w:sz w:val="24"/>
          <w:szCs w:val="24"/>
        </w:rPr>
        <w:t>Посебно су значајне новине по питању унапређења система претраге објављених набавки на Порталу, чиме се знатно олакшава понуђачима да пронађу набавку за коју су заинтересовани. У том смислу, уведена је п</w:t>
      </w:r>
      <w:r w:rsidR="008844FD">
        <w:rPr>
          <w:rFonts w:ascii="Times New Roman" w:hAnsi="Times New Roman" w:cs="Times New Roman"/>
          <w:sz w:val="24"/>
          <w:szCs w:val="24"/>
        </w:rPr>
        <w:t>ретрага „последњих 100 набавки“</w:t>
      </w:r>
      <w:r w:rsidRPr="002C5D8C">
        <w:rPr>
          <w:rFonts w:ascii="Times New Roman" w:hAnsi="Times New Roman" w:cs="Times New Roman"/>
          <w:sz w:val="24"/>
          <w:szCs w:val="24"/>
        </w:rPr>
        <w:t xml:space="preserve"> </w:t>
      </w:r>
      <w:r w:rsidR="008844FD">
        <w:rPr>
          <w:rFonts w:ascii="Times New Roman" w:hAnsi="Times New Roman" w:cs="Times New Roman"/>
          <w:sz w:val="24"/>
          <w:szCs w:val="24"/>
          <w:lang w:val="sr-Cyrl-RS"/>
        </w:rPr>
        <w:t>захвљујући којој</w:t>
      </w:r>
      <w:r w:rsidRPr="002C5D8C">
        <w:rPr>
          <w:rFonts w:ascii="Times New Roman" w:hAnsi="Times New Roman" w:cs="Times New Roman"/>
          <w:sz w:val="24"/>
          <w:szCs w:val="24"/>
        </w:rPr>
        <w:t xml:space="preserve"> се повећала  ажурност у праћењу дневно  објављених тендера, а поготово је значајна обавеза наручилаца да своје набавке оглашавају преко шифара из општег речника набавки, чиме се на јединствен и препознатљив  начин дефинишу предмети уговора о јавној набавци.</w:t>
      </w:r>
    </w:p>
    <w:p w:rsidR="006E087E" w:rsidRPr="002C5D8C" w:rsidRDefault="006E087E" w:rsidP="006E087E">
      <w:pPr>
        <w:jc w:val="both"/>
        <w:rPr>
          <w:rFonts w:ascii="Times New Roman" w:hAnsi="Times New Roman" w:cs="Times New Roman"/>
          <w:sz w:val="24"/>
          <w:szCs w:val="24"/>
        </w:rPr>
      </w:pPr>
      <w:r w:rsidRPr="002C5D8C">
        <w:rPr>
          <w:rFonts w:ascii="Times New Roman" w:hAnsi="Times New Roman" w:cs="Times New Roman"/>
          <w:sz w:val="24"/>
          <w:szCs w:val="24"/>
        </w:rPr>
        <w:t xml:space="preserve">Када је реч о претрази закључених уговора из кварталних извештаја наручилаца које Управа објављује на Порталу јавних набавки, значајна је предност што се сада по сваком податку из уговора може вршити </w:t>
      </w:r>
      <w:r w:rsidRPr="002C5D8C">
        <w:rPr>
          <w:rFonts w:ascii="Times New Roman" w:hAnsi="Times New Roman" w:cs="Times New Roman"/>
          <w:sz w:val="24"/>
          <w:szCs w:val="24"/>
        </w:rPr>
        <w:lastRenderedPageBreak/>
        <w:t>претрага од стране заинтересованих лица (наручилац, понуђач, датум, шифра из општег речника набавки, вредност уговора....).</w:t>
      </w:r>
    </w:p>
    <w:p w:rsidR="007345E3" w:rsidRDefault="006E087E" w:rsidP="007345E3">
      <w:pPr>
        <w:jc w:val="both"/>
        <w:rPr>
          <w:rFonts w:ascii="Times New Roman" w:hAnsi="Times New Roman" w:cs="Times New Roman"/>
          <w:sz w:val="24"/>
          <w:szCs w:val="24"/>
        </w:rPr>
      </w:pPr>
      <w:r w:rsidRPr="002C5D8C">
        <w:rPr>
          <w:rFonts w:ascii="Times New Roman" w:hAnsi="Times New Roman" w:cs="Times New Roman"/>
          <w:sz w:val="24"/>
          <w:szCs w:val="24"/>
        </w:rPr>
        <w:t>Број јавни</w:t>
      </w:r>
      <w:r w:rsidR="00345AA6">
        <w:rPr>
          <w:rFonts w:ascii="Times New Roman" w:hAnsi="Times New Roman" w:cs="Times New Roman"/>
          <w:sz w:val="24"/>
          <w:szCs w:val="24"/>
        </w:rPr>
        <w:t xml:space="preserve">х набавки оглашених на Порталу </w:t>
      </w:r>
      <w:r w:rsidR="00CF1F3D">
        <w:rPr>
          <w:rFonts w:ascii="Times New Roman" w:hAnsi="Times New Roman" w:cs="Times New Roman"/>
          <w:sz w:val="24"/>
          <w:szCs w:val="24"/>
          <w:lang w:val="sr-Cyrl-RS"/>
        </w:rPr>
        <w:t>знатно</w:t>
      </w:r>
      <w:r w:rsidR="00345AA6">
        <w:rPr>
          <w:rFonts w:ascii="Times New Roman" w:hAnsi="Times New Roman" w:cs="Times New Roman"/>
          <w:sz w:val="24"/>
          <w:szCs w:val="24"/>
        </w:rPr>
        <w:t xml:space="preserve"> се </w:t>
      </w:r>
      <w:r w:rsidRPr="002C5D8C">
        <w:rPr>
          <w:rFonts w:ascii="Times New Roman" w:hAnsi="Times New Roman" w:cs="Times New Roman"/>
          <w:sz w:val="24"/>
          <w:szCs w:val="24"/>
        </w:rPr>
        <w:t>повећавао од почетка његовог рада чиме је значајно порасла транспарентност јавних набавки у Србији, с обзиром да се на једном месту могу наћи све релевантне информације везане за поступак јавне набавке и да се до тих информација долази лако и без накнаде</w:t>
      </w:r>
      <w:r w:rsidR="005F59A4">
        <w:rPr>
          <w:rFonts w:ascii="Times New Roman" w:hAnsi="Times New Roman" w:cs="Times New Roman"/>
          <w:sz w:val="24"/>
          <w:szCs w:val="24"/>
        </w:rPr>
        <w:t xml:space="preserve"> </w:t>
      </w:r>
      <w:r w:rsidR="00345AA6" w:rsidRPr="002C5D8C">
        <w:rPr>
          <w:rFonts w:ascii="Times New Roman" w:hAnsi="Times New Roman" w:cs="Times New Roman"/>
          <w:sz w:val="24"/>
          <w:szCs w:val="24"/>
        </w:rPr>
        <w:t>(Слика</w:t>
      </w:r>
      <w:r w:rsidR="00D5059D">
        <w:rPr>
          <w:rFonts w:ascii="Times New Roman" w:hAnsi="Times New Roman" w:cs="Times New Roman"/>
          <w:sz w:val="24"/>
          <w:szCs w:val="24"/>
        </w:rPr>
        <w:t xml:space="preserve"> 11</w:t>
      </w:r>
      <w:r w:rsidR="00345AA6">
        <w:rPr>
          <w:rFonts w:ascii="Times New Roman" w:hAnsi="Times New Roman" w:cs="Times New Roman"/>
          <w:sz w:val="24"/>
          <w:szCs w:val="24"/>
        </w:rPr>
        <w:t>).</w:t>
      </w:r>
    </w:p>
    <w:p w:rsidR="00F32666" w:rsidRPr="00D5059D" w:rsidRDefault="00F32666" w:rsidP="00C469B9">
      <w:pPr>
        <w:jc w:val="center"/>
        <w:rPr>
          <w:rFonts w:ascii="Times New Roman" w:hAnsi="Times New Roman" w:cs="Times New Roman"/>
          <w:sz w:val="24"/>
          <w:szCs w:val="24"/>
        </w:rPr>
      </w:pPr>
      <w:r w:rsidRPr="00345AA6">
        <w:rPr>
          <w:rFonts w:ascii="Times New Roman" w:hAnsi="Times New Roman" w:cs="Times New Roman"/>
          <w:b/>
          <w:sz w:val="24"/>
          <w:szCs w:val="24"/>
        </w:rPr>
        <w:t>Слика 1</w:t>
      </w:r>
      <w:r w:rsidR="00D5059D">
        <w:rPr>
          <w:rFonts w:ascii="Times New Roman" w:hAnsi="Times New Roman" w:cs="Times New Roman"/>
          <w:b/>
          <w:sz w:val="24"/>
          <w:szCs w:val="24"/>
        </w:rPr>
        <w:t>1</w:t>
      </w:r>
    </w:p>
    <w:bookmarkStart w:id="7" w:name="_MON_1452681884"/>
    <w:bookmarkEnd w:id="7"/>
    <w:p w:rsidR="006E087E" w:rsidRPr="002C5D8C" w:rsidRDefault="007345E3" w:rsidP="006E087E">
      <w:pPr>
        <w:jc w:val="center"/>
        <w:rPr>
          <w:rFonts w:ascii="Times New Roman" w:hAnsi="Times New Roman" w:cs="Times New Roman"/>
          <w:sz w:val="24"/>
          <w:szCs w:val="24"/>
        </w:rPr>
      </w:pPr>
      <w:r w:rsidRPr="002C5D8C">
        <w:rPr>
          <w:rFonts w:ascii="Times New Roman" w:hAnsi="Times New Roman" w:cs="Times New Roman"/>
          <w:sz w:val="24"/>
          <w:szCs w:val="24"/>
        </w:rPr>
        <w:object w:dxaOrig="10806" w:dyaOrig="4514">
          <v:shape id="_x0000_i1036" type="#_x0000_t75" style="width:425.25pt;height:214.5pt" o:ole="">
            <v:imagedata r:id="rId37" o:title=""/>
            <o:lock v:ext="edit" aspectratio="f"/>
          </v:shape>
          <o:OLEObject Type="Embed" ProgID="Excel.Sheet.12" ShapeID="_x0000_i1036" DrawAspect="Content" ObjectID="_1456551370" r:id="rId38"/>
        </w:object>
      </w:r>
    </w:p>
    <w:p w:rsidR="00055CB3" w:rsidRDefault="006E087E" w:rsidP="007B4B66">
      <w:pPr>
        <w:jc w:val="both"/>
        <w:rPr>
          <w:rFonts w:ascii="Times New Roman" w:hAnsi="Times New Roman" w:cs="Times New Roman"/>
          <w:sz w:val="24"/>
          <w:szCs w:val="24"/>
        </w:rPr>
      </w:pPr>
      <w:r w:rsidRPr="002C5D8C">
        <w:rPr>
          <w:rFonts w:ascii="Times New Roman" w:hAnsi="Times New Roman" w:cs="Times New Roman"/>
          <w:sz w:val="24"/>
          <w:szCs w:val="24"/>
        </w:rPr>
        <w:t xml:space="preserve">Број објављених јавних набавки нарочито </w:t>
      </w:r>
      <w:r w:rsidR="0007674F" w:rsidRPr="002C5D8C">
        <w:rPr>
          <w:rFonts w:ascii="Times New Roman" w:hAnsi="Times New Roman" w:cs="Times New Roman"/>
          <w:sz w:val="24"/>
          <w:szCs w:val="24"/>
        </w:rPr>
        <w:t xml:space="preserve">је </w:t>
      </w:r>
      <w:r w:rsidR="0007674F">
        <w:rPr>
          <w:rFonts w:ascii="Times New Roman" w:hAnsi="Times New Roman" w:cs="Times New Roman"/>
          <w:sz w:val="24"/>
          <w:szCs w:val="24"/>
        </w:rPr>
        <w:t xml:space="preserve">порастао </w:t>
      </w:r>
      <w:r w:rsidRPr="002C5D8C">
        <w:rPr>
          <w:rFonts w:ascii="Times New Roman" w:hAnsi="Times New Roman" w:cs="Times New Roman"/>
          <w:sz w:val="24"/>
          <w:szCs w:val="24"/>
        </w:rPr>
        <w:t>у другом кварталу 2013. године (Слика</w:t>
      </w:r>
      <w:r w:rsidR="00F32666">
        <w:rPr>
          <w:rFonts w:ascii="Times New Roman" w:hAnsi="Times New Roman" w:cs="Times New Roman"/>
          <w:sz w:val="24"/>
          <w:szCs w:val="24"/>
        </w:rPr>
        <w:t xml:space="preserve"> 1</w:t>
      </w:r>
      <w:r w:rsidR="00D5059D">
        <w:rPr>
          <w:rFonts w:ascii="Times New Roman" w:hAnsi="Times New Roman" w:cs="Times New Roman"/>
          <w:sz w:val="24"/>
          <w:szCs w:val="24"/>
        </w:rPr>
        <w:t>2</w:t>
      </w:r>
      <w:r w:rsidRPr="002C5D8C">
        <w:rPr>
          <w:rFonts w:ascii="Times New Roman" w:hAnsi="Times New Roman" w:cs="Times New Roman"/>
          <w:sz w:val="24"/>
          <w:szCs w:val="24"/>
        </w:rPr>
        <w:t>), захваљујући почетку примене новог Закона који је предвидео обавезу објављивања јавних набавки мале вредности и тиме значајно допринео повећању транспарентности јавних набавки.</w:t>
      </w:r>
    </w:p>
    <w:p w:rsidR="006E087E" w:rsidRPr="00C469B9" w:rsidRDefault="00D5059D" w:rsidP="00C469B9">
      <w:pPr>
        <w:jc w:val="center"/>
        <w:rPr>
          <w:rFonts w:ascii="Times New Roman" w:hAnsi="Times New Roman" w:cs="Times New Roman"/>
          <w:b/>
          <w:sz w:val="24"/>
          <w:szCs w:val="24"/>
        </w:rPr>
      </w:pPr>
      <w:r>
        <w:rPr>
          <w:rFonts w:ascii="Times New Roman" w:hAnsi="Times New Roman" w:cs="Times New Roman"/>
          <w:b/>
          <w:sz w:val="24"/>
          <w:szCs w:val="24"/>
        </w:rPr>
        <w:t>Слика 12</w:t>
      </w:r>
      <w:r w:rsidR="00055CB3">
        <w:rPr>
          <w:rFonts w:ascii="Times New Roman" w:hAnsi="Times New Roman" w:cs="Times New Roman"/>
          <w:sz w:val="24"/>
          <w:szCs w:val="24"/>
        </w:rPr>
        <w:br/>
      </w:r>
      <w:bookmarkStart w:id="8" w:name="_MON_1452680301"/>
      <w:bookmarkEnd w:id="8"/>
      <w:r w:rsidR="00C469B9" w:rsidRPr="002C5D8C">
        <w:rPr>
          <w:rFonts w:ascii="Times New Roman" w:hAnsi="Times New Roman" w:cs="Times New Roman"/>
          <w:sz w:val="24"/>
          <w:szCs w:val="24"/>
        </w:rPr>
        <w:object w:dxaOrig="10748" w:dyaOrig="5058">
          <v:shape id="_x0000_i1037" type="#_x0000_t75" style="width:427.5pt;height:223.5pt" o:ole="">
            <v:imagedata r:id="rId39" o:title=""/>
            <o:lock v:ext="edit" aspectratio="f"/>
          </v:shape>
          <o:OLEObject Type="Embed" ProgID="Excel.Sheet.12" ShapeID="_x0000_i1037" DrawAspect="Content" ObjectID="_1456551371" r:id="rId40"/>
        </w:object>
      </w:r>
    </w:p>
    <w:p w:rsidR="006E087E" w:rsidRDefault="006E087E" w:rsidP="006E087E">
      <w:pPr>
        <w:jc w:val="both"/>
        <w:rPr>
          <w:rFonts w:ascii="Times New Roman" w:hAnsi="Times New Roman" w:cs="Times New Roman"/>
          <w:sz w:val="24"/>
          <w:szCs w:val="24"/>
        </w:rPr>
      </w:pPr>
      <w:r w:rsidRPr="002C5D8C">
        <w:rPr>
          <w:rFonts w:ascii="Times New Roman" w:hAnsi="Times New Roman" w:cs="Times New Roman"/>
          <w:sz w:val="24"/>
          <w:szCs w:val="24"/>
        </w:rPr>
        <w:lastRenderedPageBreak/>
        <w:t>Број посета Порталу значајно је порастао од 1. априла 2013. године захваљујући</w:t>
      </w:r>
      <w:r w:rsidR="007655FB">
        <w:rPr>
          <w:rFonts w:ascii="Times New Roman" w:hAnsi="Times New Roman" w:cs="Times New Roman"/>
          <w:sz w:val="24"/>
          <w:szCs w:val="24"/>
          <w:lang w:val="sr-Cyrl-RS"/>
        </w:rPr>
        <w:t>,</w:t>
      </w:r>
      <w:r w:rsidRPr="002C5D8C">
        <w:rPr>
          <w:rFonts w:ascii="Times New Roman" w:hAnsi="Times New Roman" w:cs="Times New Roman"/>
          <w:sz w:val="24"/>
          <w:szCs w:val="24"/>
        </w:rPr>
        <w:t xml:space="preserve"> не само укључивању набавки мале вредности, већ и објављивању читавог низа </w:t>
      </w:r>
      <w:r w:rsidR="007655FB">
        <w:rPr>
          <w:rFonts w:ascii="Times New Roman" w:hAnsi="Times New Roman" w:cs="Times New Roman"/>
          <w:sz w:val="24"/>
          <w:szCs w:val="24"/>
          <w:lang w:val="sr-Cyrl-RS"/>
        </w:rPr>
        <w:t xml:space="preserve">нових </w:t>
      </w:r>
      <w:r w:rsidRPr="002C5D8C">
        <w:rPr>
          <w:rFonts w:ascii="Times New Roman" w:hAnsi="Times New Roman" w:cs="Times New Roman"/>
          <w:sz w:val="24"/>
          <w:szCs w:val="24"/>
        </w:rPr>
        <w:t xml:space="preserve">докумената битних у поступку јавне набавке, као што су: конкурсне документације, мишљења Управе за јавне набавке за преговарачке поступке, измене уговора и сл. Значајан раст броја посета </w:t>
      </w:r>
      <w:r w:rsidR="005F59A4">
        <w:rPr>
          <w:rFonts w:ascii="Times New Roman" w:hAnsi="Times New Roman" w:cs="Times New Roman"/>
          <w:sz w:val="24"/>
          <w:szCs w:val="24"/>
        </w:rPr>
        <w:t xml:space="preserve">јасно указује на корисност </w:t>
      </w:r>
      <w:r w:rsidRPr="002C5D8C">
        <w:rPr>
          <w:rFonts w:ascii="Times New Roman" w:hAnsi="Times New Roman" w:cs="Times New Roman"/>
          <w:sz w:val="24"/>
          <w:szCs w:val="24"/>
        </w:rPr>
        <w:t xml:space="preserve">Портала </w:t>
      </w:r>
      <w:r w:rsidR="005F59A4">
        <w:rPr>
          <w:rFonts w:ascii="Times New Roman" w:hAnsi="Times New Roman" w:cs="Times New Roman"/>
          <w:sz w:val="24"/>
          <w:szCs w:val="24"/>
        </w:rPr>
        <w:t xml:space="preserve">за </w:t>
      </w:r>
      <w:r w:rsidR="00E21485">
        <w:rPr>
          <w:rFonts w:ascii="Times New Roman" w:hAnsi="Times New Roman" w:cs="Times New Roman"/>
          <w:sz w:val="24"/>
          <w:szCs w:val="24"/>
        </w:rPr>
        <w:t>широк круг заинтересованих лица</w:t>
      </w:r>
      <w:r w:rsidRPr="002C5D8C">
        <w:rPr>
          <w:rFonts w:ascii="Times New Roman" w:hAnsi="Times New Roman" w:cs="Times New Roman"/>
          <w:sz w:val="24"/>
          <w:szCs w:val="24"/>
        </w:rPr>
        <w:t xml:space="preserve"> (Слика </w:t>
      </w:r>
      <w:r w:rsidR="00F32666">
        <w:rPr>
          <w:rFonts w:ascii="Times New Roman" w:hAnsi="Times New Roman" w:cs="Times New Roman"/>
          <w:sz w:val="24"/>
          <w:szCs w:val="24"/>
        </w:rPr>
        <w:t>1</w:t>
      </w:r>
      <w:r w:rsidR="00D5059D">
        <w:rPr>
          <w:rFonts w:ascii="Times New Roman" w:hAnsi="Times New Roman" w:cs="Times New Roman"/>
          <w:sz w:val="24"/>
          <w:szCs w:val="24"/>
        </w:rPr>
        <w:t>3</w:t>
      </w:r>
      <w:r w:rsidRPr="002C5D8C">
        <w:rPr>
          <w:rFonts w:ascii="Times New Roman" w:hAnsi="Times New Roman" w:cs="Times New Roman"/>
          <w:sz w:val="24"/>
          <w:szCs w:val="24"/>
        </w:rPr>
        <w:t>).</w:t>
      </w:r>
    </w:p>
    <w:p w:rsidR="00F32666" w:rsidRPr="00D5059D" w:rsidRDefault="00D5059D" w:rsidP="007655FB">
      <w:pPr>
        <w:jc w:val="center"/>
        <w:rPr>
          <w:rFonts w:ascii="Times New Roman" w:hAnsi="Times New Roman" w:cs="Times New Roman"/>
          <w:b/>
          <w:sz w:val="24"/>
          <w:szCs w:val="24"/>
        </w:rPr>
      </w:pPr>
      <w:r>
        <w:rPr>
          <w:rFonts w:ascii="Times New Roman" w:hAnsi="Times New Roman" w:cs="Times New Roman"/>
          <w:b/>
          <w:sz w:val="24"/>
          <w:szCs w:val="24"/>
        </w:rPr>
        <w:t>Слика 13</w:t>
      </w:r>
    </w:p>
    <w:p w:rsidR="00C469B9" w:rsidRPr="008844FD" w:rsidRDefault="000E090E" w:rsidP="008844FD">
      <w:pPr>
        <w:jc w:val="center"/>
        <w:rPr>
          <w:rFonts w:ascii="Times New Roman" w:hAnsi="Times New Roman" w:cs="Times New Roman"/>
          <w:sz w:val="24"/>
          <w:szCs w:val="24"/>
          <w:lang w:val="sr-Cyrl-RS"/>
        </w:rPr>
      </w:pPr>
      <w:r>
        <w:rPr>
          <w:rFonts w:ascii="Times New Roman" w:hAnsi="Times New Roman" w:cs="Times New Roman"/>
          <w:noProof/>
          <w:sz w:val="24"/>
          <w:szCs w:val="24"/>
        </w:rPr>
        <w:drawing>
          <wp:inline distT="0" distB="0" distL="0" distR="0">
            <wp:extent cx="5503653" cy="2467154"/>
            <wp:effectExtent l="0" t="0" r="0" b="0"/>
            <wp:docPr id="1" name="Picture 1" descr="C:\Users\bokanda.UJN\Desktop\!cid_ii_1449c2427d6a79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bokanda.UJN\Desktop\!cid_ii_1449c2427d6a7906.png"/>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503653" cy="2467154"/>
                    </a:xfrm>
                    <a:prstGeom prst="rect">
                      <a:avLst/>
                    </a:prstGeom>
                    <a:noFill/>
                    <a:ln>
                      <a:noFill/>
                    </a:ln>
                  </pic:spPr>
                </pic:pic>
              </a:graphicData>
            </a:graphic>
          </wp:inline>
        </w:drawing>
      </w:r>
    </w:p>
    <w:p w:rsidR="008844FD" w:rsidRPr="008844FD" w:rsidRDefault="008844FD" w:rsidP="008844FD">
      <w:pPr>
        <w:pStyle w:val="ListParagraph"/>
        <w:rPr>
          <w:rFonts w:ascii="Times New Roman" w:hAnsi="Times New Roman" w:cs="Times New Roman"/>
          <w:b/>
          <w:sz w:val="24"/>
          <w:szCs w:val="24"/>
        </w:rPr>
      </w:pPr>
    </w:p>
    <w:p w:rsidR="00A734C3" w:rsidRPr="00107999" w:rsidRDefault="00753F20" w:rsidP="00107999">
      <w:pPr>
        <w:pStyle w:val="ListParagraph"/>
        <w:numPr>
          <w:ilvl w:val="0"/>
          <w:numId w:val="2"/>
        </w:numPr>
        <w:rPr>
          <w:rFonts w:ascii="Times New Roman" w:hAnsi="Times New Roman" w:cs="Times New Roman"/>
          <w:b/>
          <w:sz w:val="24"/>
          <w:szCs w:val="24"/>
        </w:rPr>
      </w:pPr>
      <w:r w:rsidRPr="00107999">
        <w:rPr>
          <w:rFonts w:ascii="Times New Roman" w:hAnsi="Times New Roman" w:cs="Times New Roman"/>
          <w:b/>
          <w:sz w:val="24"/>
          <w:szCs w:val="24"/>
        </w:rPr>
        <w:t>УЧЕШЋЕ ДОМАЋИХ И СТРАНИХ ПОНУЂАЧА</w:t>
      </w:r>
    </w:p>
    <w:p w:rsidR="008844FD" w:rsidRDefault="00753F20" w:rsidP="008844FD">
      <w:pPr>
        <w:jc w:val="both"/>
        <w:rPr>
          <w:rFonts w:ascii="Times New Roman" w:hAnsi="Times New Roman" w:cs="Times New Roman"/>
          <w:sz w:val="24"/>
          <w:szCs w:val="24"/>
          <w:lang w:val="sr-Cyrl-RS"/>
        </w:rPr>
      </w:pPr>
      <w:r>
        <w:rPr>
          <w:rFonts w:ascii="Times New Roman" w:hAnsi="Times New Roman" w:cs="Times New Roman"/>
          <w:sz w:val="24"/>
          <w:szCs w:val="24"/>
        </w:rPr>
        <w:t xml:space="preserve">Учешће страних понуђача </w:t>
      </w:r>
      <w:r w:rsidR="00D5059D">
        <w:rPr>
          <w:rFonts w:ascii="Times New Roman" w:hAnsi="Times New Roman" w:cs="Times New Roman"/>
          <w:sz w:val="24"/>
          <w:szCs w:val="24"/>
        </w:rPr>
        <w:t xml:space="preserve">се, </w:t>
      </w:r>
      <w:r>
        <w:rPr>
          <w:rFonts w:ascii="Times New Roman" w:hAnsi="Times New Roman" w:cs="Times New Roman"/>
          <w:sz w:val="24"/>
          <w:szCs w:val="24"/>
        </w:rPr>
        <w:t xml:space="preserve">у </w:t>
      </w:r>
      <w:r w:rsidR="00D5059D">
        <w:rPr>
          <w:rFonts w:ascii="Times New Roman" w:hAnsi="Times New Roman" w:cs="Times New Roman"/>
          <w:sz w:val="24"/>
          <w:szCs w:val="24"/>
        </w:rPr>
        <w:t xml:space="preserve">четвртом </w:t>
      </w:r>
      <w:r>
        <w:rPr>
          <w:rFonts w:ascii="Times New Roman" w:hAnsi="Times New Roman" w:cs="Times New Roman"/>
          <w:sz w:val="24"/>
          <w:szCs w:val="24"/>
        </w:rPr>
        <w:t xml:space="preserve">кварталу 2013. </w:t>
      </w:r>
      <w:r w:rsidR="00D5059D">
        <w:rPr>
          <w:rFonts w:ascii="Times New Roman" w:hAnsi="Times New Roman" w:cs="Times New Roman"/>
          <w:sz w:val="24"/>
          <w:szCs w:val="24"/>
        </w:rPr>
        <w:t>г</w:t>
      </w:r>
      <w:r>
        <w:rPr>
          <w:rFonts w:ascii="Times New Roman" w:hAnsi="Times New Roman" w:cs="Times New Roman"/>
          <w:sz w:val="24"/>
          <w:szCs w:val="24"/>
        </w:rPr>
        <w:t>одине</w:t>
      </w:r>
      <w:r w:rsidR="00D5059D">
        <w:rPr>
          <w:rFonts w:ascii="Times New Roman" w:hAnsi="Times New Roman" w:cs="Times New Roman"/>
          <w:sz w:val="24"/>
          <w:szCs w:val="24"/>
        </w:rPr>
        <w:t xml:space="preserve">,смањило у односу на прво </w:t>
      </w:r>
      <w:r>
        <w:rPr>
          <w:rFonts w:ascii="Times New Roman" w:hAnsi="Times New Roman" w:cs="Times New Roman"/>
          <w:sz w:val="24"/>
          <w:szCs w:val="24"/>
        </w:rPr>
        <w:t xml:space="preserve">полугође 2013. </w:t>
      </w:r>
      <w:r w:rsidR="00D5059D">
        <w:rPr>
          <w:rFonts w:ascii="Times New Roman" w:hAnsi="Times New Roman" w:cs="Times New Roman"/>
          <w:sz w:val="24"/>
          <w:szCs w:val="24"/>
        </w:rPr>
        <w:t>г</w:t>
      </w:r>
      <w:r>
        <w:rPr>
          <w:rFonts w:ascii="Times New Roman" w:hAnsi="Times New Roman" w:cs="Times New Roman"/>
          <w:sz w:val="24"/>
          <w:szCs w:val="24"/>
        </w:rPr>
        <w:t>одине</w:t>
      </w:r>
      <w:r w:rsidR="00D5059D">
        <w:rPr>
          <w:rFonts w:ascii="Times New Roman" w:hAnsi="Times New Roman" w:cs="Times New Roman"/>
          <w:sz w:val="24"/>
          <w:szCs w:val="24"/>
        </w:rPr>
        <w:t xml:space="preserve"> када је износило 5%, а нарочито </w:t>
      </w:r>
      <w:r>
        <w:rPr>
          <w:rFonts w:ascii="Times New Roman" w:hAnsi="Times New Roman" w:cs="Times New Roman"/>
          <w:sz w:val="24"/>
          <w:szCs w:val="24"/>
        </w:rPr>
        <w:t xml:space="preserve">у односу на претходну годину </w:t>
      </w:r>
      <w:r w:rsidR="00D5059D">
        <w:rPr>
          <w:rFonts w:ascii="Times New Roman" w:hAnsi="Times New Roman" w:cs="Times New Roman"/>
          <w:sz w:val="24"/>
          <w:szCs w:val="24"/>
        </w:rPr>
        <w:t xml:space="preserve">када је било </w:t>
      </w:r>
      <w:r>
        <w:rPr>
          <w:rFonts w:ascii="Times New Roman" w:hAnsi="Times New Roman" w:cs="Times New Roman"/>
          <w:sz w:val="24"/>
          <w:szCs w:val="24"/>
        </w:rPr>
        <w:t>12</w:t>
      </w:r>
      <w:r w:rsidR="00D5059D">
        <w:rPr>
          <w:rFonts w:ascii="Times New Roman" w:hAnsi="Times New Roman" w:cs="Times New Roman"/>
          <w:sz w:val="24"/>
          <w:szCs w:val="24"/>
        </w:rPr>
        <w:t>%</w:t>
      </w:r>
      <w:r w:rsidR="00A01819">
        <w:rPr>
          <w:rFonts w:ascii="Times New Roman" w:hAnsi="Times New Roman" w:cs="Times New Roman"/>
          <w:sz w:val="24"/>
          <w:szCs w:val="24"/>
        </w:rPr>
        <w:t xml:space="preserve"> </w:t>
      </w:r>
      <w:r>
        <w:rPr>
          <w:rFonts w:ascii="Times New Roman" w:hAnsi="Times New Roman" w:cs="Times New Roman"/>
          <w:sz w:val="24"/>
          <w:szCs w:val="24"/>
        </w:rPr>
        <w:t>(Слика 1</w:t>
      </w:r>
      <w:r w:rsidR="00D5059D">
        <w:rPr>
          <w:rFonts w:ascii="Times New Roman" w:hAnsi="Times New Roman" w:cs="Times New Roman"/>
          <w:sz w:val="24"/>
          <w:szCs w:val="24"/>
        </w:rPr>
        <w:t>4</w:t>
      </w:r>
      <w:r>
        <w:rPr>
          <w:rFonts w:ascii="Times New Roman" w:hAnsi="Times New Roman" w:cs="Times New Roman"/>
          <w:sz w:val="24"/>
          <w:szCs w:val="24"/>
        </w:rPr>
        <w:t>, Табела 7)</w:t>
      </w:r>
      <w:r w:rsidR="00F40367">
        <w:rPr>
          <w:rFonts w:ascii="Times New Roman" w:hAnsi="Times New Roman" w:cs="Times New Roman"/>
          <w:sz w:val="24"/>
          <w:szCs w:val="24"/>
        </w:rPr>
        <w:t>.</w:t>
      </w:r>
    </w:p>
    <w:p w:rsidR="00753F20" w:rsidRPr="008844FD" w:rsidRDefault="00D5059D" w:rsidP="008844FD">
      <w:pPr>
        <w:jc w:val="center"/>
        <w:rPr>
          <w:rFonts w:ascii="Times New Roman" w:hAnsi="Times New Roman" w:cs="Times New Roman"/>
          <w:sz w:val="24"/>
          <w:szCs w:val="24"/>
          <w:lang w:val="sr-Cyrl-RS"/>
        </w:rPr>
      </w:pPr>
      <w:r w:rsidRPr="009B3038">
        <w:rPr>
          <w:rFonts w:ascii="Times New Roman" w:hAnsi="Times New Roman" w:cs="Times New Roman"/>
          <w:b/>
          <w:sz w:val="24"/>
          <w:szCs w:val="24"/>
        </w:rPr>
        <w:t>Слика 14</w:t>
      </w:r>
    </w:p>
    <w:bookmarkStart w:id="9" w:name="_MON_1455019107"/>
    <w:bookmarkEnd w:id="9"/>
    <w:p w:rsidR="00753F20" w:rsidRDefault="006A7E33" w:rsidP="00753F20">
      <w:pPr>
        <w:jc w:val="center"/>
        <w:rPr>
          <w:rFonts w:ascii="Times New Roman" w:hAnsi="Times New Roman" w:cs="Times New Roman"/>
          <w:sz w:val="24"/>
          <w:szCs w:val="24"/>
        </w:rPr>
      </w:pPr>
      <w:r w:rsidRPr="001B03AA">
        <w:rPr>
          <w:rFonts w:ascii="Times New Roman" w:hAnsi="Times New Roman" w:cs="Times New Roman"/>
          <w:sz w:val="24"/>
          <w:szCs w:val="24"/>
        </w:rPr>
        <w:object w:dxaOrig="7860" w:dyaOrig="6368">
          <v:shape id="_x0000_i1038" type="#_x0000_t75" style="width:389.25pt;height:231pt" o:ole="">
            <v:imagedata r:id="rId42" o:title=""/>
          </v:shape>
          <o:OLEObject Type="Embed" ProgID="Excel.Sheet.12" ShapeID="_x0000_i1038" DrawAspect="Content" ObjectID="_1456551372" r:id="rId43"/>
        </w:object>
      </w:r>
    </w:p>
    <w:p w:rsidR="00753F20" w:rsidRPr="00753F20" w:rsidRDefault="00753F20">
      <w:pPr>
        <w:rPr>
          <w:rFonts w:ascii="Times New Roman" w:hAnsi="Times New Roman" w:cs="Times New Roman"/>
          <w:sz w:val="24"/>
          <w:szCs w:val="24"/>
        </w:rPr>
      </w:pPr>
    </w:p>
    <w:p w:rsidR="00837EA8" w:rsidRPr="009B3038" w:rsidRDefault="00753F20">
      <w:pPr>
        <w:rPr>
          <w:rFonts w:ascii="Times New Roman" w:hAnsi="Times New Roman" w:cs="Times New Roman"/>
          <w:b/>
          <w:sz w:val="24"/>
          <w:szCs w:val="24"/>
        </w:rPr>
      </w:pPr>
      <w:r w:rsidRPr="009B3038">
        <w:rPr>
          <w:rFonts w:ascii="Times New Roman" w:hAnsi="Times New Roman" w:cs="Times New Roman"/>
          <w:b/>
          <w:sz w:val="24"/>
          <w:szCs w:val="24"/>
        </w:rPr>
        <w:t>Табела 7</w:t>
      </w:r>
    </w:p>
    <w:tbl>
      <w:tblPr>
        <w:tblW w:w="10724" w:type="dxa"/>
        <w:jc w:val="center"/>
        <w:tblInd w:w="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2"/>
        <w:gridCol w:w="614"/>
        <w:gridCol w:w="615"/>
        <w:gridCol w:w="615"/>
        <w:gridCol w:w="616"/>
        <w:gridCol w:w="616"/>
        <w:gridCol w:w="616"/>
        <w:gridCol w:w="616"/>
        <w:gridCol w:w="616"/>
        <w:gridCol w:w="616"/>
        <w:gridCol w:w="616"/>
        <w:gridCol w:w="616"/>
        <w:gridCol w:w="940"/>
        <w:gridCol w:w="878"/>
        <w:gridCol w:w="830"/>
        <w:gridCol w:w="222"/>
      </w:tblGrid>
      <w:tr w:rsidR="00DD52BC" w:rsidRPr="00DD52BC" w:rsidTr="003F4DFD">
        <w:trPr>
          <w:jc w:val="center"/>
        </w:trPr>
        <w:tc>
          <w:tcPr>
            <w:tcW w:w="10502" w:type="dxa"/>
            <w:gridSpan w:val="15"/>
            <w:shd w:val="clear" w:color="auto" w:fill="auto"/>
            <w:vAlign w:val="center"/>
          </w:tcPr>
          <w:p w:rsidR="00DD52BC" w:rsidRPr="0069262C" w:rsidRDefault="00DD52BC" w:rsidP="0069262C">
            <w:pPr>
              <w:jc w:val="center"/>
              <w:rPr>
                <w:rFonts w:ascii="Times New Roman" w:eastAsia="Times New Roman" w:hAnsi="Times New Roman" w:cs="Times New Roman"/>
                <w:b/>
                <w:sz w:val="24"/>
                <w:szCs w:val="24"/>
                <w:lang w:val="sr-Cyrl-RS"/>
              </w:rPr>
            </w:pPr>
            <w:r w:rsidRPr="00DD52BC">
              <w:rPr>
                <w:rFonts w:ascii="Times New Roman" w:eastAsia="Times New Roman" w:hAnsi="Times New Roman" w:cs="Times New Roman"/>
                <w:b/>
                <w:sz w:val="24"/>
                <w:szCs w:val="24"/>
              </w:rPr>
              <w:t>Упоредни преглед набавки пр</w:t>
            </w:r>
            <w:r w:rsidR="0069262C">
              <w:rPr>
                <w:rFonts w:ascii="Times New Roman" w:eastAsia="Times New Roman" w:hAnsi="Times New Roman" w:cs="Times New Roman"/>
                <w:b/>
                <w:sz w:val="24"/>
                <w:szCs w:val="24"/>
              </w:rPr>
              <w:t>ема вредности уговора додељених</w:t>
            </w:r>
            <w:r w:rsidR="0069262C">
              <w:rPr>
                <w:rFonts w:ascii="Times New Roman" w:eastAsia="Times New Roman" w:hAnsi="Times New Roman" w:cs="Times New Roman"/>
                <w:b/>
                <w:sz w:val="24"/>
                <w:szCs w:val="24"/>
                <w:lang w:val="sr-Cyrl-RS"/>
              </w:rPr>
              <w:t xml:space="preserve"> </w:t>
            </w:r>
            <w:r w:rsidRPr="00DD52BC">
              <w:rPr>
                <w:rFonts w:ascii="Times New Roman" w:eastAsia="Times New Roman" w:hAnsi="Times New Roman" w:cs="Times New Roman"/>
                <w:b/>
                <w:sz w:val="24"/>
                <w:szCs w:val="24"/>
              </w:rPr>
              <w:t>страним и домаћим понуђачима (у %)</w:t>
            </w:r>
          </w:p>
        </w:tc>
        <w:tc>
          <w:tcPr>
            <w:tcW w:w="222" w:type="dxa"/>
            <w:tcBorders>
              <w:top w:val="nil"/>
              <w:bottom w:val="nil"/>
              <w:right w:val="nil"/>
            </w:tcBorders>
            <w:shd w:val="clear" w:color="auto" w:fill="auto"/>
            <w:vAlign w:val="center"/>
          </w:tcPr>
          <w:p w:rsidR="00DD52BC" w:rsidRPr="00DD52BC" w:rsidRDefault="00DD52BC" w:rsidP="00DD52BC">
            <w:pPr>
              <w:rPr>
                <w:rFonts w:ascii="Times New Roman" w:eastAsia="Times New Roman" w:hAnsi="Times New Roman" w:cs="Times New Roman"/>
                <w:b/>
                <w:sz w:val="24"/>
                <w:szCs w:val="24"/>
              </w:rPr>
            </w:pPr>
          </w:p>
          <w:p w:rsidR="00DD52BC" w:rsidRPr="00DD52BC" w:rsidRDefault="00DD52BC" w:rsidP="00DD52BC">
            <w:pPr>
              <w:tabs>
                <w:tab w:val="left" w:pos="1885"/>
              </w:tabs>
              <w:spacing w:after="0" w:line="240" w:lineRule="auto"/>
              <w:jc w:val="center"/>
              <w:rPr>
                <w:rFonts w:ascii="Times New Roman" w:eastAsia="Times New Roman" w:hAnsi="Times New Roman" w:cs="Times New Roman"/>
                <w:b/>
                <w:sz w:val="24"/>
                <w:szCs w:val="24"/>
              </w:rPr>
            </w:pPr>
          </w:p>
        </w:tc>
      </w:tr>
      <w:tr w:rsidR="00DD52BC" w:rsidRPr="00DD52BC" w:rsidTr="003F4DFD">
        <w:trPr>
          <w:jc w:val="center"/>
        </w:trPr>
        <w:tc>
          <w:tcPr>
            <w:tcW w:w="1082" w:type="dxa"/>
            <w:shd w:val="clear" w:color="auto" w:fill="auto"/>
            <w:vAlign w:val="center"/>
          </w:tcPr>
          <w:p w:rsidR="00DD52BC" w:rsidRPr="00DD52BC" w:rsidRDefault="00DD52BC" w:rsidP="00DD52BC">
            <w:pPr>
              <w:tabs>
                <w:tab w:val="left" w:pos="1885"/>
              </w:tabs>
              <w:spacing w:after="0" w:line="240" w:lineRule="auto"/>
              <w:rPr>
                <w:rFonts w:ascii="Times New Roman" w:eastAsia="Times New Roman" w:hAnsi="Times New Roman" w:cs="Times New Roman"/>
                <w:b/>
                <w:sz w:val="20"/>
                <w:szCs w:val="20"/>
              </w:rPr>
            </w:pPr>
            <w:r w:rsidRPr="00DD52BC">
              <w:rPr>
                <w:rFonts w:ascii="Times New Roman" w:eastAsia="Times New Roman" w:hAnsi="Times New Roman" w:cs="Times New Roman"/>
                <w:b/>
                <w:sz w:val="20"/>
                <w:szCs w:val="20"/>
              </w:rPr>
              <w:t>Година</w:t>
            </w:r>
          </w:p>
        </w:tc>
        <w:tc>
          <w:tcPr>
            <w:tcW w:w="614" w:type="dxa"/>
            <w:shd w:val="clear" w:color="auto" w:fill="auto"/>
            <w:vAlign w:val="center"/>
          </w:tcPr>
          <w:p w:rsidR="00DD52BC" w:rsidRPr="00DD52BC" w:rsidRDefault="00DD52BC" w:rsidP="00DD52BC">
            <w:pPr>
              <w:tabs>
                <w:tab w:val="left" w:pos="1885"/>
              </w:tabs>
              <w:spacing w:after="0" w:line="240" w:lineRule="auto"/>
              <w:jc w:val="center"/>
              <w:rPr>
                <w:rFonts w:ascii="Times New Roman" w:eastAsia="Times New Roman" w:hAnsi="Times New Roman" w:cs="Times New Roman"/>
                <w:b/>
                <w:sz w:val="16"/>
                <w:szCs w:val="16"/>
              </w:rPr>
            </w:pPr>
            <w:r w:rsidRPr="00DD52BC">
              <w:rPr>
                <w:rFonts w:ascii="Times New Roman" w:eastAsia="Times New Roman" w:hAnsi="Times New Roman" w:cs="Times New Roman"/>
                <w:b/>
                <w:sz w:val="16"/>
                <w:szCs w:val="16"/>
              </w:rPr>
              <w:t>2002.</w:t>
            </w:r>
          </w:p>
        </w:tc>
        <w:tc>
          <w:tcPr>
            <w:tcW w:w="615" w:type="dxa"/>
            <w:shd w:val="clear" w:color="auto" w:fill="auto"/>
            <w:vAlign w:val="center"/>
          </w:tcPr>
          <w:p w:rsidR="00DD52BC" w:rsidRPr="00DD52BC" w:rsidRDefault="00DD52BC" w:rsidP="00DD52BC">
            <w:pPr>
              <w:tabs>
                <w:tab w:val="left" w:pos="1885"/>
              </w:tabs>
              <w:spacing w:after="0" w:line="240" w:lineRule="auto"/>
              <w:jc w:val="center"/>
              <w:rPr>
                <w:rFonts w:ascii="Times New Roman" w:eastAsia="Times New Roman" w:hAnsi="Times New Roman" w:cs="Times New Roman"/>
                <w:b/>
                <w:sz w:val="16"/>
                <w:szCs w:val="16"/>
              </w:rPr>
            </w:pPr>
            <w:r w:rsidRPr="00DD52BC">
              <w:rPr>
                <w:rFonts w:ascii="Times New Roman" w:eastAsia="Times New Roman" w:hAnsi="Times New Roman" w:cs="Times New Roman"/>
                <w:b/>
                <w:sz w:val="16"/>
                <w:szCs w:val="16"/>
              </w:rPr>
              <w:t>2003.</w:t>
            </w:r>
          </w:p>
        </w:tc>
        <w:tc>
          <w:tcPr>
            <w:tcW w:w="615" w:type="dxa"/>
            <w:shd w:val="clear" w:color="auto" w:fill="auto"/>
            <w:vAlign w:val="center"/>
          </w:tcPr>
          <w:p w:rsidR="00DD52BC" w:rsidRPr="00DD52BC" w:rsidRDefault="00DD52BC" w:rsidP="00DD52BC">
            <w:pPr>
              <w:tabs>
                <w:tab w:val="left" w:pos="1885"/>
              </w:tabs>
              <w:spacing w:after="0" w:line="240" w:lineRule="auto"/>
              <w:jc w:val="center"/>
              <w:rPr>
                <w:rFonts w:ascii="Times New Roman" w:eastAsia="Times New Roman" w:hAnsi="Times New Roman" w:cs="Times New Roman"/>
                <w:b/>
                <w:sz w:val="16"/>
                <w:szCs w:val="16"/>
              </w:rPr>
            </w:pPr>
            <w:r w:rsidRPr="00DD52BC">
              <w:rPr>
                <w:rFonts w:ascii="Times New Roman" w:eastAsia="Times New Roman" w:hAnsi="Times New Roman" w:cs="Times New Roman"/>
                <w:b/>
                <w:sz w:val="16"/>
                <w:szCs w:val="16"/>
              </w:rPr>
              <w:t>2004.</w:t>
            </w:r>
          </w:p>
        </w:tc>
        <w:tc>
          <w:tcPr>
            <w:tcW w:w="616" w:type="dxa"/>
            <w:shd w:val="clear" w:color="auto" w:fill="auto"/>
            <w:vAlign w:val="center"/>
          </w:tcPr>
          <w:p w:rsidR="00DD52BC" w:rsidRPr="00DD52BC" w:rsidRDefault="00DD52BC" w:rsidP="00DD52BC">
            <w:pPr>
              <w:tabs>
                <w:tab w:val="left" w:pos="1885"/>
              </w:tabs>
              <w:spacing w:after="0" w:line="240" w:lineRule="auto"/>
              <w:jc w:val="center"/>
              <w:rPr>
                <w:rFonts w:ascii="Times New Roman" w:eastAsia="Times New Roman" w:hAnsi="Times New Roman" w:cs="Times New Roman"/>
                <w:b/>
                <w:sz w:val="16"/>
                <w:szCs w:val="16"/>
              </w:rPr>
            </w:pPr>
            <w:r w:rsidRPr="00DD52BC">
              <w:rPr>
                <w:rFonts w:ascii="Times New Roman" w:eastAsia="Times New Roman" w:hAnsi="Times New Roman" w:cs="Times New Roman"/>
                <w:b/>
                <w:sz w:val="16"/>
                <w:szCs w:val="16"/>
              </w:rPr>
              <w:t>2005.</w:t>
            </w:r>
          </w:p>
        </w:tc>
        <w:tc>
          <w:tcPr>
            <w:tcW w:w="616" w:type="dxa"/>
            <w:shd w:val="clear" w:color="auto" w:fill="auto"/>
            <w:vAlign w:val="center"/>
          </w:tcPr>
          <w:p w:rsidR="00DD52BC" w:rsidRPr="00DD52BC" w:rsidRDefault="00DD52BC" w:rsidP="00DD52BC">
            <w:pPr>
              <w:tabs>
                <w:tab w:val="left" w:pos="1885"/>
              </w:tabs>
              <w:spacing w:after="0" w:line="240" w:lineRule="auto"/>
              <w:jc w:val="center"/>
              <w:rPr>
                <w:rFonts w:ascii="Times New Roman" w:eastAsia="Times New Roman" w:hAnsi="Times New Roman" w:cs="Times New Roman"/>
                <w:b/>
                <w:sz w:val="16"/>
                <w:szCs w:val="16"/>
              </w:rPr>
            </w:pPr>
            <w:r w:rsidRPr="00DD52BC">
              <w:rPr>
                <w:rFonts w:ascii="Times New Roman" w:eastAsia="Times New Roman" w:hAnsi="Times New Roman" w:cs="Times New Roman"/>
                <w:b/>
                <w:sz w:val="16"/>
                <w:szCs w:val="16"/>
              </w:rPr>
              <w:t>2006.</w:t>
            </w:r>
          </w:p>
        </w:tc>
        <w:tc>
          <w:tcPr>
            <w:tcW w:w="616" w:type="dxa"/>
            <w:shd w:val="clear" w:color="auto" w:fill="auto"/>
            <w:vAlign w:val="center"/>
          </w:tcPr>
          <w:p w:rsidR="00DD52BC" w:rsidRPr="00DD52BC" w:rsidRDefault="00DD52BC" w:rsidP="00DD52BC">
            <w:pPr>
              <w:tabs>
                <w:tab w:val="left" w:pos="1885"/>
              </w:tabs>
              <w:spacing w:after="0" w:line="240" w:lineRule="auto"/>
              <w:jc w:val="center"/>
              <w:rPr>
                <w:rFonts w:ascii="Times New Roman" w:eastAsia="Times New Roman" w:hAnsi="Times New Roman" w:cs="Times New Roman"/>
                <w:b/>
                <w:sz w:val="16"/>
                <w:szCs w:val="16"/>
              </w:rPr>
            </w:pPr>
            <w:r w:rsidRPr="00DD52BC">
              <w:rPr>
                <w:rFonts w:ascii="Times New Roman" w:eastAsia="Times New Roman" w:hAnsi="Times New Roman" w:cs="Times New Roman"/>
                <w:b/>
                <w:sz w:val="16"/>
                <w:szCs w:val="16"/>
              </w:rPr>
              <w:t>2007.</w:t>
            </w:r>
          </w:p>
        </w:tc>
        <w:tc>
          <w:tcPr>
            <w:tcW w:w="616" w:type="dxa"/>
            <w:shd w:val="clear" w:color="auto" w:fill="auto"/>
            <w:vAlign w:val="center"/>
          </w:tcPr>
          <w:p w:rsidR="00DD52BC" w:rsidRPr="00DD52BC" w:rsidRDefault="00DD52BC" w:rsidP="00DD52BC">
            <w:pPr>
              <w:tabs>
                <w:tab w:val="left" w:pos="1885"/>
              </w:tabs>
              <w:spacing w:after="0" w:line="240" w:lineRule="auto"/>
              <w:jc w:val="center"/>
              <w:rPr>
                <w:rFonts w:ascii="Times New Roman" w:eastAsia="Times New Roman" w:hAnsi="Times New Roman" w:cs="Times New Roman"/>
                <w:b/>
                <w:sz w:val="16"/>
                <w:szCs w:val="16"/>
              </w:rPr>
            </w:pPr>
            <w:r w:rsidRPr="00DD52BC">
              <w:rPr>
                <w:rFonts w:ascii="Times New Roman" w:eastAsia="Times New Roman" w:hAnsi="Times New Roman" w:cs="Times New Roman"/>
                <w:b/>
                <w:sz w:val="16"/>
                <w:szCs w:val="16"/>
              </w:rPr>
              <w:t>2008.</w:t>
            </w:r>
          </w:p>
        </w:tc>
        <w:tc>
          <w:tcPr>
            <w:tcW w:w="616" w:type="dxa"/>
            <w:shd w:val="clear" w:color="auto" w:fill="auto"/>
            <w:vAlign w:val="center"/>
          </w:tcPr>
          <w:p w:rsidR="00DD52BC" w:rsidRPr="00DD52BC" w:rsidRDefault="00DD52BC" w:rsidP="00DD52BC">
            <w:pPr>
              <w:tabs>
                <w:tab w:val="left" w:pos="1885"/>
              </w:tabs>
              <w:spacing w:after="0" w:line="240" w:lineRule="auto"/>
              <w:jc w:val="center"/>
              <w:rPr>
                <w:rFonts w:ascii="Times New Roman" w:eastAsia="Times New Roman" w:hAnsi="Times New Roman" w:cs="Times New Roman"/>
                <w:b/>
                <w:sz w:val="16"/>
                <w:szCs w:val="16"/>
              </w:rPr>
            </w:pPr>
            <w:r w:rsidRPr="00DD52BC">
              <w:rPr>
                <w:rFonts w:ascii="Times New Roman" w:eastAsia="Times New Roman" w:hAnsi="Times New Roman" w:cs="Times New Roman"/>
                <w:b/>
                <w:sz w:val="16"/>
                <w:szCs w:val="16"/>
              </w:rPr>
              <w:t>2009.</w:t>
            </w:r>
          </w:p>
        </w:tc>
        <w:tc>
          <w:tcPr>
            <w:tcW w:w="616" w:type="dxa"/>
            <w:shd w:val="clear" w:color="auto" w:fill="auto"/>
            <w:vAlign w:val="center"/>
          </w:tcPr>
          <w:p w:rsidR="00DD52BC" w:rsidRPr="00DD52BC" w:rsidRDefault="00DD52BC" w:rsidP="00DD52BC">
            <w:pPr>
              <w:tabs>
                <w:tab w:val="left" w:pos="1885"/>
              </w:tabs>
              <w:spacing w:after="0" w:line="240" w:lineRule="auto"/>
              <w:jc w:val="center"/>
              <w:rPr>
                <w:rFonts w:ascii="Times New Roman" w:eastAsia="Times New Roman" w:hAnsi="Times New Roman" w:cs="Times New Roman"/>
                <w:b/>
                <w:sz w:val="16"/>
                <w:szCs w:val="16"/>
              </w:rPr>
            </w:pPr>
            <w:r w:rsidRPr="00DD52BC">
              <w:rPr>
                <w:rFonts w:ascii="Times New Roman" w:eastAsia="Times New Roman" w:hAnsi="Times New Roman" w:cs="Times New Roman"/>
                <w:b/>
                <w:sz w:val="16"/>
                <w:szCs w:val="16"/>
              </w:rPr>
              <w:t>2010.</w:t>
            </w:r>
          </w:p>
        </w:tc>
        <w:tc>
          <w:tcPr>
            <w:tcW w:w="616" w:type="dxa"/>
            <w:shd w:val="clear" w:color="auto" w:fill="auto"/>
            <w:vAlign w:val="center"/>
          </w:tcPr>
          <w:p w:rsidR="00DD52BC" w:rsidRPr="00DD52BC" w:rsidRDefault="00DD52BC" w:rsidP="00DD52BC">
            <w:pPr>
              <w:tabs>
                <w:tab w:val="left" w:pos="1885"/>
              </w:tabs>
              <w:spacing w:after="0" w:line="240" w:lineRule="auto"/>
              <w:jc w:val="center"/>
              <w:rPr>
                <w:rFonts w:ascii="Times New Roman" w:eastAsia="Times New Roman" w:hAnsi="Times New Roman" w:cs="Times New Roman"/>
                <w:b/>
                <w:sz w:val="16"/>
                <w:szCs w:val="16"/>
              </w:rPr>
            </w:pPr>
            <w:r w:rsidRPr="00DD52BC">
              <w:rPr>
                <w:rFonts w:ascii="Times New Roman" w:eastAsia="Times New Roman" w:hAnsi="Times New Roman" w:cs="Times New Roman"/>
                <w:b/>
                <w:sz w:val="16"/>
                <w:szCs w:val="16"/>
              </w:rPr>
              <w:t>2011.</w:t>
            </w:r>
          </w:p>
        </w:tc>
        <w:tc>
          <w:tcPr>
            <w:tcW w:w="616" w:type="dxa"/>
            <w:shd w:val="clear" w:color="auto" w:fill="auto"/>
            <w:vAlign w:val="center"/>
          </w:tcPr>
          <w:p w:rsidR="00DD52BC" w:rsidRPr="00DD52BC" w:rsidRDefault="00DD52BC" w:rsidP="00DD52BC">
            <w:pPr>
              <w:tabs>
                <w:tab w:val="left" w:pos="1885"/>
              </w:tabs>
              <w:spacing w:after="0" w:line="240" w:lineRule="auto"/>
              <w:jc w:val="center"/>
              <w:rPr>
                <w:rFonts w:ascii="Times New Roman" w:eastAsia="Times New Roman" w:hAnsi="Times New Roman" w:cs="Times New Roman"/>
                <w:b/>
                <w:sz w:val="16"/>
                <w:szCs w:val="16"/>
              </w:rPr>
            </w:pPr>
            <w:r w:rsidRPr="00DD52BC">
              <w:rPr>
                <w:rFonts w:ascii="Times New Roman" w:eastAsia="Times New Roman" w:hAnsi="Times New Roman" w:cs="Times New Roman"/>
                <w:b/>
                <w:sz w:val="16"/>
                <w:szCs w:val="16"/>
              </w:rPr>
              <w:t>2012.</w:t>
            </w:r>
          </w:p>
        </w:tc>
        <w:tc>
          <w:tcPr>
            <w:tcW w:w="940" w:type="dxa"/>
            <w:shd w:val="clear" w:color="auto" w:fill="auto"/>
            <w:vAlign w:val="center"/>
          </w:tcPr>
          <w:p w:rsidR="00DD52BC" w:rsidRPr="00DD52BC" w:rsidRDefault="00DD52BC" w:rsidP="00DD52BC">
            <w:pPr>
              <w:tabs>
                <w:tab w:val="left" w:pos="1885"/>
              </w:tabs>
              <w:spacing w:after="0" w:line="240" w:lineRule="auto"/>
              <w:jc w:val="center"/>
              <w:rPr>
                <w:rFonts w:ascii="Times New Roman" w:eastAsia="Times New Roman" w:hAnsi="Times New Roman" w:cs="Times New Roman"/>
                <w:b/>
                <w:sz w:val="16"/>
                <w:szCs w:val="16"/>
              </w:rPr>
            </w:pPr>
            <w:r w:rsidRPr="00DD52BC">
              <w:rPr>
                <w:rFonts w:ascii="Times New Roman" w:eastAsia="Times New Roman" w:hAnsi="Times New Roman" w:cs="Times New Roman"/>
                <w:b/>
                <w:sz w:val="16"/>
                <w:szCs w:val="16"/>
              </w:rPr>
              <w:t>2013.</w:t>
            </w:r>
          </w:p>
          <w:p w:rsidR="00DD52BC" w:rsidRPr="00DD52BC" w:rsidRDefault="00DD52BC" w:rsidP="00DD52BC">
            <w:pPr>
              <w:tabs>
                <w:tab w:val="left" w:pos="1885"/>
              </w:tabs>
              <w:spacing w:after="0" w:line="240" w:lineRule="auto"/>
              <w:jc w:val="center"/>
              <w:rPr>
                <w:rFonts w:ascii="Times New Roman" w:eastAsia="Times New Roman" w:hAnsi="Times New Roman" w:cs="Times New Roman"/>
                <w:b/>
                <w:sz w:val="16"/>
                <w:szCs w:val="16"/>
              </w:rPr>
            </w:pPr>
            <w:r w:rsidRPr="00DD52BC">
              <w:rPr>
                <w:rFonts w:ascii="Times New Roman" w:eastAsia="Times New Roman" w:hAnsi="Times New Roman" w:cs="Times New Roman"/>
                <w:b/>
                <w:sz w:val="16"/>
                <w:szCs w:val="16"/>
              </w:rPr>
              <w:t>прво полугође</w:t>
            </w:r>
          </w:p>
        </w:tc>
        <w:tc>
          <w:tcPr>
            <w:tcW w:w="878" w:type="dxa"/>
          </w:tcPr>
          <w:p w:rsidR="00DD52BC" w:rsidRPr="00DD52BC" w:rsidRDefault="00DD52BC" w:rsidP="00DD52BC">
            <w:pPr>
              <w:tabs>
                <w:tab w:val="left" w:pos="1885"/>
              </w:tabs>
              <w:spacing w:after="0" w:line="240" w:lineRule="auto"/>
              <w:jc w:val="center"/>
              <w:rPr>
                <w:rFonts w:ascii="Times New Roman" w:eastAsia="Times New Roman" w:hAnsi="Times New Roman" w:cs="Times New Roman"/>
                <w:b/>
                <w:sz w:val="16"/>
                <w:szCs w:val="16"/>
              </w:rPr>
            </w:pPr>
            <w:r w:rsidRPr="00DD52BC">
              <w:rPr>
                <w:rFonts w:ascii="Times New Roman" w:eastAsia="Times New Roman" w:hAnsi="Times New Roman" w:cs="Times New Roman"/>
                <w:b/>
                <w:sz w:val="16"/>
                <w:szCs w:val="16"/>
              </w:rPr>
              <w:t>2013.</w:t>
            </w:r>
          </w:p>
          <w:p w:rsidR="00DD52BC" w:rsidRPr="00DD52BC" w:rsidRDefault="00DD52BC" w:rsidP="00DD52BC">
            <w:pPr>
              <w:tabs>
                <w:tab w:val="left" w:pos="1885"/>
              </w:tabs>
              <w:spacing w:after="0" w:line="240" w:lineRule="auto"/>
              <w:jc w:val="center"/>
              <w:rPr>
                <w:rFonts w:ascii="Times New Roman" w:eastAsia="Times New Roman" w:hAnsi="Times New Roman" w:cs="Times New Roman"/>
                <w:b/>
                <w:sz w:val="16"/>
                <w:szCs w:val="16"/>
              </w:rPr>
            </w:pPr>
            <w:r w:rsidRPr="00DD52BC">
              <w:rPr>
                <w:rFonts w:ascii="Times New Roman" w:eastAsia="Times New Roman" w:hAnsi="Times New Roman" w:cs="Times New Roman"/>
                <w:b/>
                <w:sz w:val="16"/>
                <w:szCs w:val="16"/>
              </w:rPr>
              <w:t>трећи</w:t>
            </w:r>
          </w:p>
          <w:p w:rsidR="00DD52BC" w:rsidRPr="00DD52BC" w:rsidRDefault="00DD52BC" w:rsidP="00DD52BC">
            <w:pPr>
              <w:tabs>
                <w:tab w:val="left" w:pos="1885"/>
              </w:tabs>
              <w:spacing w:after="0" w:line="240" w:lineRule="auto"/>
              <w:jc w:val="center"/>
              <w:rPr>
                <w:rFonts w:ascii="Times New Roman" w:eastAsia="Times New Roman" w:hAnsi="Times New Roman" w:cs="Times New Roman"/>
                <w:b/>
                <w:sz w:val="16"/>
                <w:szCs w:val="16"/>
              </w:rPr>
            </w:pPr>
            <w:r w:rsidRPr="00DD52BC">
              <w:rPr>
                <w:rFonts w:ascii="Times New Roman" w:eastAsia="Times New Roman" w:hAnsi="Times New Roman" w:cs="Times New Roman"/>
                <w:b/>
                <w:sz w:val="16"/>
                <w:szCs w:val="16"/>
              </w:rPr>
              <w:t>квартал</w:t>
            </w:r>
          </w:p>
        </w:tc>
        <w:tc>
          <w:tcPr>
            <w:tcW w:w="830" w:type="dxa"/>
          </w:tcPr>
          <w:p w:rsidR="00DD52BC" w:rsidRPr="00DD52BC" w:rsidRDefault="00DD52BC" w:rsidP="00DD52BC">
            <w:pPr>
              <w:tabs>
                <w:tab w:val="left" w:pos="1885"/>
              </w:tabs>
              <w:spacing w:after="0" w:line="240" w:lineRule="auto"/>
              <w:jc w:val="center"/>
              <w:rPr>
                <w:rFonts w:ascii="Times New Roman" w:eastAsia="Times New Roman" w:hAnsi="Times New Roman" w:cs="Times New Roman"/>
                <w:b/>
                <w:sz w:val="16"/>
                <w:szCs w:val="16"/>
              </w:rPr>
            </w:pPr>
            <w:r w:rsidRPr="00DD52BC">
              <w:rPr>
                <w:rFonts w:ascii="Times New Roman" w:eastAsia="Times New Roman" w:hAnsi="Times New Roman" w:cs="Times New Roman"/>
                <w:b/>
                <w:sz w:val="16"/>
                <w:szCs w:val="16"/>
              </w:rPr>
              <w:t>2013.</w:t>
            </w:r>
          </w:p>
          <w:p w:rsidR="00DD52BC" w:rsidRPr="00DD52BC" w:rsidRDefault="00DD52BC" w:rsidP="00DD52BC">
            <w:pPr>
              <w:tabs>
                <w:tab w:val="left" w:pos="1885"/>
              </w:tabs>
              <w:spacing w:after="0" w:line="240" w:lineRule="auto"/>
              <w:rPr>
                <w:rFonts w:ascii="Times New Roman" w:eastAsia="Times New Roman" w:hAnsi="Times New Roman" w:cs="Times New Roman"/>
                <w:b/>
                <w:sz w:val="16"/>
                <w:szCs w:val="16"/>
              </w:rPr>
            </w:pPr>
            <w:r w:rsidRPr="00DD52BC">
              <w:rPr>
                <w:rFonts w:ascii="Times New Roman" w:eastAsia="Times New Roman" w:hAnsi="Times New Roman" w:cs="Times New Roman"/>
                <w:b/>
                <w:sz w:val="16"/>
                <w:szCs w:val="16"/>
              </w:rPr>
              <w:t>Четврти квартал</w:t>
            </w:r>
          </w:p>
        </w:tc>
        <w:tc>
          <w:tcPr>
            <w:tcW w:w="222" w:type="dxa"/>
            <w:tcBorders>
              <w:top w:val="nil"/>
              <w:bottom w:val="nil"/>
              <w:right w:val="nil"/>
            </w:tcBorders>
            <w:shd w:val="clear" w:color="auto" w:fill="auto"/>
            <w:vAlign w:val="center"/>
          </w:tcPr>
          <w:p w:rsidR="00DD52BC" w:rsidRPr="00DD52BC" w:rsidRDefault="00DD52BC" w:rsidP="00DD52BC">
            <w:pPr>
              <w:tabs>
                <w:tab w:val="left" w:pos="1885"/>
              </w:tabs>
              <w:spacing w:after="0" w:line="240" w:lineRule="auto"/>
              <w:jc w:val="center"/>
              <w:rPr>
                <w:rFonts w:ascii="Times New Roman" w:eastAsia="Times New Roman" w:hAnsi="Times New Roman" w:cs="Times New Roman"/>
                <w:b/>
                <w:sz w:val="24"/>
                <w:szCs w:val="24"/>
              </w:rPr>
            </w:pPr>
          </w:p>
        </w:tc>
      </w:tr>
      <w:tr w:rsidR="00DD52BC" w:rsidRPr="00DD52BC" w:rsidTr="003F4DFD">
        <w:trPr>
          <w:gridAfter w:val="1"/>
          <w:wAfter w:w="222" w:type="dxa"/>
          <w:jc w:val="center"/>
        </w:trPr>
        <w:tc>
          <w:tcPr>
            <w:tcW w:w="1082" w:type="dxa"/>
            <w:shd w:val="clear" w:color="auto" w:fill="auto"/>
            <w:vAlign w:val="center"/>
          </w:tcPr>
          <w:p w:rsidR="00DD52BC" w:rsidRPr="00DD52BC" w:rsidRDefault="00DD52BC" w:rsidP="00DD52BC">
            <w:pPr>
              <w:tabs>
                <w:tab w:val="left" w:pos="1885"/>
              </w:tabs>
              <w:spacing w:after="0" w:line="240" w:lineRule="auto"/>
              <w:rPr>
                <w:rFonts w:ascii="Times New Roman" w:eastAsia="Times New Roman" w:hAnsi="Times New Roman" w:cs="Times New Roman"/>
                <w:b/>
                <w:sz w:val="20"/>
                <w:szCs w:val="20"/>
              </w:rPr>
            </w:pPr>
            <w:r w:rsidRPr="00DD52BC">
              <w:rPr>
                <w:rFonts w:ascii="Times New Roman" w:eastAsia="Times New Roman" w:hAnsi="Times New Roman" w:cs="Times New Roman"/>
                <w:b/>
                <w:sz w:val="20"/>
                <w:szCs w:val="20"/>
              </w:rPr>
              <w:t>Домаћи понуђачи</w:t>
            </w:r>
          </w:p>
        </w:tc>
        <w:tc>
          <w:tcPr>
            <w:tcW w:w="614" w:type="dxa"/>
            <w:shd w:val="clear" w:color="auto" w:fill="auto"/>
            <w:vAlign w:val="center"/>
          </w:tcPr>
          <w:p w:rsidR="00DD52BC" w:rsidRPr="00DD52BC" w:rsidRDefault="00DD52BC" w:rsidP="00DD52BC">
            <w:pPr>
              <w:tabs>
                <w:tab w:val="left" w:pos="1885"/>
              </w:tabs>
              <w:spacing w:after="0" w:line="240" w:lineRule="auto"/>
              <w:jc w:val="center"/>
              <w:rPr>
                <w:rFonts w:ascii="Times New Roman" w:eastAsia="Times New Roman" w:hAnsi="Times New Roman" w:cs="Times New Roman"/>
                <w:sz w:val="20"/>
                <w:szCs w:val="20"/>
              </w:rPr>
            </w:pPr>
            <w:r w:rsidRPr="00DD52BC">
              <w:rPr>
                <w:rFonts w:ascii="Times New Roman" w:eastAsia="Times New Roman" w:hAnsi="Times New Roman" w:cs="Times New Roman"/>
                <w:sz w:val="20"/>
                <w:szCs w:val="20"/>
              </w:rPr>
              <w:t>80</w:t>
            </w:r>
          </w:p>
        </w:tc>
        <w:tc>
          <w:tcPr>
            <w:tcW w:w="615" w:type="dxa"/>
            <w:shd w:val="clear" w:color="auto" w:fill="auto"/>
            <w:vAlign w:val="center"/>
          </w:tcPr>
          <w:p w:rsidR="00DD52BC" w:rsidRPr="00DD52BC" w:rsidRDefault="00DD52BC" w:rsidP="00DD52BC">
            <w:pPr>
              <w:tabs>
                <w:tab w:val="left" w:pos="1885"/>
              </w:tabs>
              <w:spacing w:after="0" w:line="240" w:lineRule="auto"/>
              <w:jc w:val="center"/>
              <w:rPr>
                <w:rFonts w:ascii="Times New Roman" w:eastAsia="Times New Roman" w:hAnsi="Times New Roman" w:cs="Times New Roman"/>
                <w:sz w:val="20"/>
                <w:szCs w:val="20"/>
              </w:rPr>
            </w:pPr>
            <w:r w:rsidRPr="00DD52BC">
              <w:rPr>
                <w:rFonts w:ascii="Times New Roman" w:eastAsia="Times New Roman" w:hAnsi="Times New Roman" w:cs="Times New Roman"/>
                <w:sz w:val="20"/>
                <w:szCs w:val="20"/>
              </w:rPr>
              <w:t>84</w:t>
            </w:r>
          </w:p>
        </w:tc>
        <w:tc>
          <w:tcPr>
            <w:tcW w:w="615" w:type="dxa"/>
            <w:shd w:val="clear" w:color="auto" w:fill="auto"/>
            <w:vAlign w:val="center"/>
          </w:tcPr>
          <w:p w:rsidR="00DD52BC" w:rsidRPr="00DD52BC" w:rsidRDefault="00DD52BC" w:rsidP="00DD52BC">
            <w:pPr>
              <w:tabs>
                <w:tab w:val="left" w:pos="1885"/>
              </w:tabs>
              <w:spacing w:after="0" w:line="240" w:lineRule="auto"/>
              <w:jc w:val="center"/>
              <w:rPr>
                <w:rFonts w:ascii="Times New Roman" w:eastAsia="Times New Roman" w:hAnsi="Times New Roman" w:cs="Times New Roman"/>
                <w:sz w:val="20"/>
                <w:szCs w:val="20"/>
              </w:rPr>
            </w:pPr>
            <w:r w:rsidRPr="00DD52BC">
              <w:rPr>
                <w:rFonts w:ascii="Times New Roman" w:eastAsia="Times New Roman" w:hAnsi="Times New Roman" w:cs="Times New Roman"/>
                <w:sz w:val="20"/>
                <w:szCs w:val="20"/>
              </w:rPr>
              <w:t>91</w:t>
            </w:r>
          </w:p>
        </w:tc>
        <w:tc>
          <w:tcPr>
            <w:tcW w:w="616" w:type="dxa"/>
            <w:shd w:val="clear" w:color="auto" w:fill="auto"/>
            <w:vAlign w:val="center"/>
          </w:tcPr>
          <w:p w:rsidR="00DD52BC" w:rsidRPr="00DD52BC" w:rsidRDefault="00DD52BC" w:rsidP="00DD52BC">
            <w:pPr>
              <w:tabs>
                <w:tab w:val="left" w:pos="1885"/>
              </w:tabs>
              <w:spacing w:after="0" w:line="240" w:lineRule="auto"/>
              <w:jc w:val="center"/>
              <w:rPr>
                <w:rFonts w:ascii="Times New Roman" w:eastAsia="Times New Roman" w:hAnsi="Times New Roman" w:cs="Times New Roman"/>
                <w:sz w:val="20"/>
                <w:szCs w:val="20"/>
              </w:rPr>
            </w:pPr>
            <w:r w:rsidRPr="00DD52BC">
              <w:rPr>
                <w:rFonts w:ascii="Times New Roman" w:eastAsia="Times New Roman" w:hAnsi="Times New Roman" w:cs="Times New Roman"/>
                <w:sz w:val="20"/>
                <w:szCs w:val="20"/>
              </w:rPr>
              <w:t>91</w:t>
            </w:r>
          </w:p>
        </w:tc>
        <w:tc>
          <w:tcPr>
            <w:tcW w:w="616" w:type="dxa"/>
            <w:shd w:val="clear" w:color="auto" w:fill="auto"/>
            <w:vAlign w:val="center"/>
          </w:tcPr>
          <w:p w:rsidR="00DD52BC" w:rsidRPr="00DD52BC" w:rsidRDefault="00DD52BC" w:rsidP="00DD52BC">
            <w:pPr>
              <w:tabs>
                <w:tab w:val="left" w:pos="1885"/>
              </w:tabs>
              <w:spacing w:after="0" w:line="240" w:lineRule="auto"/>
              <w:jc w:val="center"/>
              <w:rPr>
                <w:rFonts w:ascii="Times New Roman" w:eastAsia="Times New Roman" w:hAnsi="Times New Roman" w:cs="Times New Roman"/>
                <w:sz w:val="20"/>
                <w:szCs w:val="20"/>
              </w:rPr>
            </w:pPr>
            <w:r w:rsidRPr="00DD52BC">
              <w:rPr>
                <w:rFonts w:ascii="Times New Roman" w:eastAsia="Times New Roman" w:hAnsi="Times New Roman" w:cs="Times New Roman"/>
                <w:sz w:val="20"/>
                <w:szCs w:val="20"/>
              </w:rPr>
              <w:t>90</w:t>
            </w:r>
          </w:p>
        </w:tc>
        <w:tc>
          <w:tcPr>
            <w:tcW w:w="616" w:type="dxa"/>
            <w:shd w:val="clear" w:color="auto" w:fill="auto"/>
            <w:vAlign w:val="center"/>
          </w:tcPr>
          <w:p w:rsidR="00DD52BC" w:rsidRPr="00DD52BC" w:rsidRDefault="00DD52BC" w:rsidP="00DD52BC">
            <w:pPr>
              <w:tabs>
                <w:tab w:val="left" w:pos="1885"/>
              </w:tabs>
              <w:spacing w:after="0" w:line="240" w:lineRule="auto"/>
              <w:jc w:val="center"/>
              <w:rPr>
                <w:rFonts w:ascii="Times New Roman" w:eastAsia="Times New Roman" w:hAnsi="Times New Roman" w:cs="Times New Roman"/>
                <w:sz w:val="20"/>
                <w:szCs w:val="20"/>
              </w:rPr>
            </w:pPr>
            <w:r w:rsidRPr="00DD52BC">
              <w:rPr>
                <w:rFonts w:ascii="Times New Roman" w:eastAsia="Times New Roman" w:hAnsi="Times New Roman" w:cs="Times New Roman"/>
                <w:sz w:val="20"/>
                <w:szCs w:val="20"/>
              </w:rPr>
              <w:t>96</w:t>
            </w:r>
          </w:p>
        </w:tc>
        <w:tc>
          <w:tcPr>
            <w:tcW w:w="616" w:type="dxa"/>
            <w:shd w:val="clear" w:color="auto" w:fill="auto"/>
            <w:vAlign w:val="center"/>
          </w:tcPr>
          <w:p w:rsidR="00DD52BC" w:rsidRPr="00DD52BC" w:rsidRDefault="00DD52BC" w:rsidP="00DD52BC">
            <w:pPr>
              <w:tabs>
                <w:tab w:val="left" w:pos="1885"/>
              </w:tabs>
              <w:spacing w:after="0" w:line="240" w:lineRule="auto"/>
              <w:jc w:val="center"/>
              <w:rPr>
                <w:rFonts w:ascii="Times New Roman" w:eastAsia="Times New Roman" w:hAnsi="Times New Roman" w:cs="Times New Roman"/>
                <w:sz w:val="20"/>
                <w:szCs w:val="20"/>
              </w:rPr>
            </w:pPr>
            <w:r w:rsidRPr="00DD52BC">
              <w:rPr>
                <w:rFonts w:ascii="Times New Roman" w:eastAsia="Times New Roman" w:hAnsi="Times New Roman" w:cs="Times New Roman"/>
                <w:sz w:val="20"/>
                <w:szCs w:val="20"/>
              </w:rPr>
              <w:t>93</w:t>
            </w:r>
          </w:p>
        </w:tc>
        <w:tc>
          <w:tcPr>
            <w:tcW w:w="616" w:type="dxa"/>
            <w:shd w:val="clear" w:color="auto" w:fill="auto"/>
            <w:vAlign w:val="center"/>
          </w:tcPr>
          <w:p w:rsidR="00DD52BC" w:rsidRPr="00DD52BC" w:rsidRDefault="00DD52BC" w:rsidP="00DD52BC">
            <w:pPr>
              <w:tabs>
                <w:tab w:val="left" w:pos="1885"/>
              </w:tabs>
              <w:spacing w:after="0" w:line="240" w:lineRule="auto"/>
              <w:jc w:val="center"/>
              <w:rPr>
                <w:rFonts w:ascii="Times New Roman" w:eastAsia="Times New Roman" w:hAnsi="Times New Roman" w:cs="Times New Roman"/>
                <w:sz w:val="20"/>
                <w:szCs w:val="20"/>
              </w:rPr>
            </w:pPr>
            <w:r w:rsidRPr="00DD52BC">
              <w:rPr>
                <w:rFonts w:ascii="Times New Roman" w:eastAsia="Times New Roman" w:hAnsi="Times New Roman" w:cs="Times New Roman"/>
                <w:sz w:val="20"/>
                <w:szCs w:val="20"/>
              </w:rPr>
              <w:t>96</w:t>
            </w:r>
          </w:p>
        </w:tc>
        <w:tc>
          <w:tcPr>
            <w:tcW w:w="616" w:type="dxa"/>
            <w:shd w:val="clear" w:color="auto" w:fill="auto"/>
            <w:vAlign w:val="center"/>
          </w:tcPr>
          <w:p w:rsidR="00DD52BC" w:rsidRPr="00DD52BC" w:rsidRDefault="00DD52BC" w:rsidP="00DD52BC">
            <w:pPr>
              <w:tabs>
                <w:tab w:val="left" w:pos="1885"/>
              </w:tabs>
              <w:spacing w:after="0" w:line="240" w:lineRule="auto"/>
              <w:jc w:val="center"/>
              <w:rPr>
                <w:rFonts w:ascii="Times New Roman" w:eastAsia="Times New Roman" w:hAnsi="Times New Roman" w:cs="Times New Roman"/>
                <w:sz w:val="20"/>
                <w:szCs w:val="20"/>
              </w:rPr>
            </w:pPr>
            <w:r w:rsidRPr="00DD52BC">
              <w:rPr>
                <w:rFonts w:ascii="Times New Roman" w:eastAsia="Times New Roman" w:hAnsi="Times New Roman" w:cs="Times New Roman"/>
                <w:sz w:val="20"/>
                <w:szCs w:val="20"/>
              </w:rPr>
              <w:t>97</w:t>
            </w:r>
          </w:p>
        </w:tc>
        <w:tc>
          <w:tcPr>
            <w:tcW w:w="616" w:type="dxa"/>
            <w:shd w:val="clear" w:color="auto" w:fill="auto"/>
            <w:vAlign w:val="center"/>
          </w:tcPr>
          <w:p w:rsidR="00DD52BC" w:rsidRPr="00DD52BC" w:rsidRDefault="00DD52BC" w:rsidP="00DD52BC">
            <w:pPr>
              <w:tabs>
                <w:tab w:val="left" w:pos="1885"/>
              </w:tabs>
              <w:spacing w:after="0" w:line="240" w:lineRule="auto"/>
              <w:jc w:val="center"/>
              <w:rPr>
                <w:rFonts w:ascii="Times New Roman" w:eastAsia="Times New Roman" w:hAnsi="Times New Roman" w:cs="Times New Roman"/>
                <w:sz w:val="20"/>
                <w:szCs w:val="20"/>
              </w:rPr>
            </w:pPr>
            <w:r w:rsidRPr="00DD52BC">
              <w:rPr>
                <w:rFonts w:ascii="Times New Roman" w:eastAsia="Times New Roman" w:hAnsi="Times New Roman" w:cs="Times New Roman"/>
                <w:sz w:val="20"/>
                <w:szCs w:val="20"/>
              </w:rPr>
              <w:t>98</w:t>
            </w:r>
          </w:p>
        </w:tc>
        <w:tc>
          <w:tcPr>
            <w:tcW w:w="616" w:type="dxa"/>
            <w:shd w:val="clear" w:color="auto" w:fill="auto"/>
            <w:vAlign w:val="center"/>
          </w:tcPr>
          <w:p w:rsidR="00DD52BC" w:rsidRPr="00DD52BC" w:rsidRDefault="00DD52BC" w:rsidP="00DD52BC">
            <w:pPr>
              <w:tabs>
                <w:tab w:val="left" w:pos="1885"/>
              </w:tabs>
              <w:spacing w:after="0" w:line="240" w:lineRule="auto"/>
              <w:jc w:val="center"/>
              <w:rPr>
                <w:rFonts w:ascii="Times New Roman" w:eastAsia="Times New Roman" w:hAnsi="Times New Roman" w:cs="Times New Roman"/>
                <w:sz w:val="20"/>
                <w:szCs w:val="20"/>
              </w:rPr>
            </w:pPr>
            <w:r w:rsidRPr="00DD52BC">
              <w:rPr>
                <w:rFonts w:ascii="Times New Roman" w:eastAsia="Times New Roman" w:hAnsi="Times New Roman" w:cs="Times New Roman"/>
                <w:sz w:val="20"/>
                <w:szCs w:val="20"/>
              </w:rPr>
              <w:t>88</w:t>
            </w:r>
          </w:p>
        </w:tc>
        <w:tc>
          <w:tcPr>
            <w:tcW w:w="940" w:type="dxa"/>
            <w:shd w:val="clear" w:color="auto" w:fill="auto"/>
            <w:vAlign w:val="center"/>
          </w:tcPr>
          <w:p w:rsidR="00DD52BC" w:rsidRPr="00DD52BC" w:rsidRDefault="00DD52BC" w:rsidP="00DD52BC">
            <w:pPr>
              <w:tabs>
                <w:tab w:val="left" w:pos="1885"/>
              </w:tabs>
              <w:spacing w:after="0" w:line="240" w:lineRule="auto"/>
              <w:jc w:val="center"/>
              <w:rPr>
                <w:rFonts w:ascii="Times New Roman" w:eastAsia="Times New Roman" w:hAnsi="Times New Roman" w:cs="Times New Roman"/>
                <w:sz w:val="20"/>
                <w:szCs w:val="20"/>
              </w:rPr>
            </w:pPr>
            <w:r w:rsidRPr="00DD52BC">
              <w:rPr>
                <w:rFonts w:ascii="Times New Roman" w:eastAsia="Times New Roman" w:hAnsi="Times New Roman" w:cs="Times New Roman"/>
                <w:sz w:val="20"/>
                <w:szCs w:val="20"/>
              </w:rPr>
              <w:t>95</w:t>
            </w:r>
          </w:p>
        </w:tc>
        <w:tc>
          <w:tcPr>
            <w:tcW w:w="878" w:type="dxa"/>
            <w:vAlign w:val="center"/>
          </w:tcPr>
          <w:p w:rsidR="00DD52BC" w:rsidRPr="00DD52BC" w:rsidRDefault="00DD52BC" w:rsidP="00DD52BC">
            <w:pPr>
              <w:tabs>
                <w:tab w:val="left" w:pos="1885"/>
              </w:tabs>
              <w:spacing w:after="0" w:line="240" w:lineRule="auto"/>
              <w:jc w:val="center"/>
              <w:rPr>
                <w:rFonts w:ascii="Times New Roman" w:eastAsia="Times New Roman" w:hAnsi="Times New Roman" w:cs="Times New Roman"/>
                <w:sz w:val="20"/>
                <w:szCs w:val="20"/>
              </w:rPr>
            </w:pPr>
            <w:r w:rsidRPr="00DD52BC">
              <w:rPr>
                <w:rFonts w:ascii="Times New Roman" w:eastAsia="Times New Roman" w:hAnsi="Times New Roman" w:cs="Times New Roman"/>
                <w:sz w:val="20"/>
                <w:szCs w:val="20"/>
              </w:rPr>
              <w:t>95</w:t>
            </w:r>
          </w:p>
        </w:tc>
        <w:tc>
          <w:tcPr>
            <w:tcW w:w="830" w:type="dxa"/>
            <w:vAlign w:val="center"/>
          </w:tcPr>
          <w:p w:rsidR="00DD52BC" w:rsidRPr="00DD52BC" w:rsidRDefault="00DD52BC" w:rsidP="00DD52BC">
            <w:pPr>
              <w:tabs>
                <w:tab w:val="left" w:pos="1885"/>
              </w:tabs>
              <w:spacing w:after="0" w:line="240" w:lineRule="auto"/>
              <w:jc w:val="center"/>
              <w:rPr>
                <w:rFonts w:ascii="Times New Roman" w:eastAsia="Times New Roman" w:hAnsi="Times New Roman" w:cs="Times New Roman"/>
                <w:sz w:val="20"/>
                <w:szCs w:val="20"/>
              </w:rPr>
            </w:pPr>
            <w:r w:rsidRPr="00DD52BC">
              <w:rPr>
                <w:rFonts w:ascii="Times New Roman" w:eastAsia="Times New Roman" w:hAnsi="Times New Roman" w:cs="Times New Roman"/>
                <w:sz w:val="20"/>
                <w:szCs w:val="20"/>
              </w:rPr>
              <w:t>97</w:t>
            </w:r>
          </w:p>
        </w:tc>
      </w:tr>
      <w:tr w:rsidR="00DD52BC" w:rsidRPr="00DD52BC" w:rsidTr="003F4DFD">
        <w:trPr>
          <w:gridAfter w:val="1"/>
          <w:wAfter w:w="222" w:type="dxa"/>
          <w:jc w:val="center"/>
        </w:trPr>
        <w:tc>
          <w:tcPr>
            <w:tcW w:w="1082" w:type="dxa"/>
            <w:shd w:val="clear" w:color="auto" w:fill="auto"/>
            <w:vAlign w:val="center"/>
          </w:tcPr>
          <w:p w:rsidR="00DD52BC" w:rsidRPr="00DD52BC" w:rsidRDefault="00DD52BC" w:rsidP="00DD52BC">
            <w:pPr>
              <w:tabs>
                <w:tab w:val="left" w:pos="1885"/>
              </w:tabs>
              <w:spacing w:after="0" w:line="240" w:lineRule="auto"/>
              <w:rPr>
                <w:rFonts w:ascii="Times New Roman" w:eastAsia="Times New Roman" w:hAnsi="Times New Roman" w:cs="Times New Roman"/>
                <w:b/>
                <w:sz w:val="20"/>
                <w:szCs w:val="20"/>
              </w:rPr>
            </w:pPr>
            <w:r w:rsidRPr="00DD52BC">
              <w:rPr>
                <w:rFonts w:ascii="Times New Roman" w:eastAsia="Times New Roman" w:hAnsi="Times New Roman" w:cs="Times New Roman"/>
                <w:b/>
                <w:sz w:val="20"/>
                <w:szCs w:val="20"/>
              </w:rPr>
              <w:t>Страни понуђачи</w:t>
            </w:r>
          </w:p>
        </w:tc>
        <w:tc>
          <w:tcPr>
            <w:tcW w:w="614" w:type="dxa"/>
            <w:shd w:val="clear" w:color="auto" w:fill="auto"/>
            <w:vAlign w:val="center"/>
          </w:tcPr>
          <w:p w:rsidR="00DD52BC" w:rsidRPr="00DD52BC" w:rsidRDefault="00DD52BC" w:rsidP="00DD52BC">
            <w:pPr>
              <w:tabs>
                <w:tab w:val="left" w:pos="1885"/>
              </w:tabs>
              <w:spacing w:after="0" w:line="240" w:lineRule="auto"/>
              <w:jc w:val="center"/>
              <w:rPr>
                <w:rFonts w:ascii="Times New Roman" w:eastAsia="Times New Roman" w:hAnsi="Times New Roman" w:cs="Times New Roman"/>
                <w:sz w:val="20"/>
                <w:szCs w:val="20"/>
              </w:rPr>
            </w:pPr>
            <w:r w:rsidRPr="00DD52BC">
              <w:rPr>
                <w:rFonts w:ascii="Times New Roman" w:eastAsia="Times New Roman" w:hAnsi="Times New Roman" w:cs="Times New Roman"/>
                <w:sz w:val="20"/>
                <w:szCs w:val="20"/>
              </w:rPr>
              <w:t>20</w:t>
            </w:r>
          </w:p>
        </w:tc>
        <w:tc>
          <w:tcPr>
            <w:tcW w:w="615" w:type="dxa"/>
            <w:shd w:val="clear" w:color="auto" w:fill="auto"/>
            <w:vAlign w:val="center"/>
          </w:tcPr>
          <w:p w:rsidR="00DD52BC" w:rsidRPr="00DD52BC" w:rsidRDefault="00DD52BC" w:rsidP="00DD52BC">
            <w:pPr>
              <w:tabs>
                <w:tab w:val="left" w:pos="1885"/>
              </w:tabs>
              <w:spacing w:after="0" w:line="240" w:lineRule="auto"/>
              <w:jc w:val="center"/>
              <w:rPr>
                <w:rFonts w:ascii="Times New Roman" w:eastAsia="Times New Roman" w:hAnsi="Times New Roman" w:cs="Times New Roman"/>
                <w:sz w:val="20"/>
                <w:szCs w:val="20"/>
              </w:rPr>
            </w:pPr>
            <w:r w:rsidRPr="00DD52BC">
              <w:rPr>
                <w:rFonts w:ascii="Times New Roman" w:eastAsia="Times New Roman" w:hAnsi="Times New Roman" w:cs="Times New Roman"/>
                <w:sz w:val="20"/>
                <w:szCs w:val="20"/>
              </w:rPr>
              <w:t>16</w:t>
            </w:r>
          </w:p>
        </w:tc>
        <w:tc>
          <w:tcPr>
            <w:tcW w:w="615" w:type="dxa"/>
            <w:shd w:val="clear" w:color="auto" w:fill="auto"/>
            <w:vAlign w:val="center"/>
          </w:tcPr>
          <w:p w:rsidR="00DD52BC" w:rsidRPr="00DD52BC" w:rsidRDefault="00DD52BC" w:rsidP="00DD52BC">
            <w:pPr>
              <w:tabs>
                <w:tab w:val="left" w:pos="1885"/>
              </w:tabs>
              <w:spacing w:after="0" w:line="240" w:lineRule="auto"/>
              <w:jc w:val="center"/>
              <w:rPr>
                <w:rFonts w:ascii="Times New Roman" w:eastAsia="Times New Roman" w:hAnsi="Times New Roman" w:cs="Times New Roman"/>
                <w:sz w:val="20"/>
                <w:szCs w:val="20"/>
              </w:rPr>
            </w:pPr>
            <w:r w:rsidRPr="00DD52BC">
              <w:rPr>
                <w:rFonts w:ascii="Times New Roman" w:eastAsia="Times New Roman" w:hAnsi="Times New Roman" w:cs="Times New Roman"/>
                <w:sz w:val="20"/>
                <w:szCs w:val="20"/>
              </w:rPr>
              <w:t>9</w:t>
            </w:r>
          </w:p>
        </w:tc>
        <w:tc>
          <w:tcPr>
            <w:tcW w:w="616" w:type="dxa"/>
            <w:shd w:val="clear" w:color="auto" w:fill="auto"/>
            <w:vAlign w:val="center"/>
          </w:tcPr>
          <w:p w:rsidR="00DD52BC" w:rsidRPr="00DD52BC" w:rsidRDefault="00DD52BC" w:rsidP="00DD52BC">
            <w:pPr>
              <w:tabs>
                <w:tab w:val="left" w:pos="1885"/>
              </w:tabs>
              <w:spacing w:after="0" w:line="240" w:lineRule="auto"/>
              <w:jc w:val="center"/>
              <w:rPr>
                <w:rFonts w:ascii="Times New Roman" w:eastAsia="Times New Roman" w:hAnsi="Times New Roman" w:cs="Times New Roman"/>
                <w:sz w:val="20"/>
                <w:szCs w:val="20"/>
              </w:rPr>
            </w:pPr>
            <w:r w:rsidRPr="00DD52BC">
              <w:rPr>
                <w:rFonts w:ascii="Times New Roman" w:eastAsia="Times New Roman" w:hAnsi="Times New Roman" w:cs="Times New Roman"/>
                <w:sz w:val="20"/>
                <w:szCs w:val="20"/>
              </w:rPr>
              <w:t>9</w:t>
            </w:r>
          </w:p>
        </w:tc>
        <w:tc>
          <w:tcPr>
            <w:tcW w:w="616" w:type="dxa"/>
            <w:shd w:val="clear" w:color="auto" w:fill="auto"/>
            <w:vAlign w:val="center"/>
          </w:tcPr>
          <w:p w:rsidR="00DD52BC" w:rsidRPr="00DD52BC" w:rsidRDefault="00DD52BC" w:rsidP="00DD52BC">
            <w:pPr>
              <w:tabs>
                <w:tab w:val="left" w:pos="1885"/>
              </w:tabs>
              <w:spacing w:after="0" w:line="240" w:lineRule="auto"/>
              <w:jc w:val="center"/>
              <w:rPr>
                <w:rFonts w:ascii="Times New Roman" w:eastAsia="Times New Roman" w:hAnsi="Times New Roman" w:cs="Times New Roman"/>
                <w:sz w:val="20"/>
                <w:szCs w:val="20"/>
              </w:rPr>
            </w:pPr>
            <w:r w:rsidRPr="00DD52BC">
              <w:rPr>
                <w:rFonts w:ascii="Times New Roman" w:eastAsia="Times New Roman" w:hAnsi="Times New Roman" w:cs="Times New Roman"/>
                <w:sz w:val="20"/>
                <w:szCs w:val="20"/>
              </w:rPr>
              <w:t>10</w:t>
            </w:r>
          </w:p>
        </w:tc>
        <w:tc>
          <w:tcPr>
            <w:tcW w:w="616" w:type="dxa"/>
            <w:shd w:val="clear" w:color="auto" w:fill="auto"/>
            <w:vAlign w:val="center"/>
          </w:tcPr>
          <w:p w:rsidR="00DD52BC" w:rsidRPr="00DD52BC" w:rsidRDefault="00DD52BC" w:rsidP="00DD52BC">
            <w:pPr>
              <w:tabs>
                <w:tab w:val="left" w:pos="1885"/>
              </w:tabs>
              <w:spacing w:after="0" w:line="240" w:lineRule="auto"/>
              <w:jc w:val="center"/>
              <w:rPr>
                <w:rFonts w:ascii="Times New Roman" w:eastAsia="Times New Roman" w:hAnsi="Times New Roman" w:cs="Times New Roman"/>
                <w:sz w:val="20"/>
                <w:szCs w:val="20"/>
              </w:rPr>
            </w:pPr>
            <w:r w:rsidRPr="00DD52BC">
              <w:rPr>
                <w:rFonts w:ascii="Times New Roman" w:eastAsia="Times New Roman" w:hAnsi="Times New Roman" w:cs="Times New Roman"/>
                <w:sz w:val="20"/>
                <w:szCs w:val="20"/>
              </w:rPr>
              <w:t>4</w:t>
            </w:r>
          </w:p>
        </w:tc>
        <w:tc>
          <w:tcPr>
            <w:tcW w:w="616" w:type="dxa"/>
            <w:shd w:val="clear" w:color="auto" w:fill="auto"/>
            <w:vAlign w:val="center"/>
          </w:tcPr>
          <w:p w:rsidR="00DD52BC" w:rsidRPr="00DD52BC" w:rsidRDefault="00DD52BC" w:rsidP="00DD52BC">
            <w:pPr>
              <w:tabs>
                <w:tab w:val="left" w:pos="1885"/>
              </w:tabs>
              <w:spacing w:after="0" w:line="240" w:lineRule="auto"/>
              <w:jc w:val="center"/>
              <w:rPr>
                <w:rFonts w:ascii="Times New Roman" w:eastAsia="Times New Roman" w:hAnsi="Times New Roman" w:cs="Times New Roman"/>
                <w:sz w:val="20"/>
                <w:szCs w:val="20"/>
              </w:rPr>
            </w:pPr>
            <w:r w:rsidRPr="00DD52BC">
              <w:rPr>
                <w:rFonts w:ascii="Times New Roman" w:eastAsia="Times New Roman" w:hAnsi="Times New Roman" w:cs="Times New Roman"/>
                <w:sz w:val="20"/>
                <w:szCs w:val="20"/>
              </w:rPr>
              <w:t>7</w:t>
            </w:r>
          </w:p>
        </w:tc>
        <w:tc>
          <w:tcPr>
            <w:tcW w:w="616" w:type="dxa"/>
            <w:shd w:val="clear" w:color="auto" w:fill="auto"/>
            <w:vAlign w:val="center"/>
          </w:tcPr>
          <w:p w:rsidR="00DD52BC" w:rsidRPr="00DD52BC" w:rsidRDefault="00DD52BC" w:rsidP="00DD52BC">
            <w:pPr>
              <w:tabs>
                <w:tab w:val="left" w:pos="1885"/>
              </w:tabs>
              <w:spacing w:after="0" w:line="240" w:lineRule="auto"/>
              <w:jc w:val="center"/>
              <w:rPr>
                <w:rFonts w:ascii="Times New Roman" w:eastAsia="Times New Roman" w:hAnsi="Times New Roman" w:cs="Times New Roman"/>
                <w:sz w:val="20"/>
                <w:szCs w:val="20"/>
              </w:rPr>
            </w:pPr>
            <w:r w:rsidRPr="00DD52BC">
              <w:rPr>
                <w:rFonts w:ascii="Times New Roman" w:eastAsia="Times New Roman" w:hAnsi="Times New Roman" w:cs="Times New Roman"/>
                <w:sz w:val="20"/>
                <w:szCs w:val="20"/>
              </w:rPr>
              <w:t>4</w:t>
            </w:r>
          </w:p>
        </w:tc>
        <w:tc>
          <w:tcPr>
            <w:tcW w:w="616" w:type="dxa"/>
            <w:shd w:val="clear" w:color="auto" w:fill="auto"/>
            <w:vAlign w:val="center"/>
          </w:tcPr>
          <w:p w:rsidR="00DD52BC" w:rsidRPr="00DD52BC" w:rsidRDefault="00DD52BC" w:rsidP="00DD52BC">
            <w:pPr>
              <w:tabs>
                <w:tab w:val="left" w:pos="1885"/>
              </w:tabs>
              <w:spacing w:after="0" w:line="240" w:lineRule="auto"/>
              <w:jc w:val="center"/>
              <w:rPr>
                <w:rFonts w:ascii="Times New Roman" w:eastAsia="Times New Roman" w:hAnsi="Times New Roman" w:cs="Times New Roman"/>
                <w:sz w:val="20"/>
                <w:szCs w:val="20"/>
              </w:rPr>
            </w:pPr>
            <w:r w:rsidRPr="00DD52BC">
              <w:rPr>
                <w:rFonts w:ascii="Times New Roman" w:eastAsia="Times New Roman" w:hAnsi="Times New Roman" w:cs="Times New Roman"/>
                <w:sz w:val="20"/>
                <w:szCs w:val="20"/>
              </w:rPr>
              <w:t>3</w:t>
            </w:r>
          </w:p>
        </w:tc>
        <w:tc>
          <w:tcPr>
            <w:tcW w:w="616" w:type="dxa"/>
            <w:shd w:val="clear" w:color="auto" w:fill="auto"/>
            <w:vAlign w:val="center"/>
          </w:tcPr>
          <w:p w:rsidR="00DD52BC" w:rsidRPr="00DD52BC" w:rsidRDefault="00DD52BC" w:rsidP="00DD52BC">
            <w:pPr>
              <w:tabs>
                <w:tab w:val="left" w:pos="1885"/>
              </w:tabs>
              <w:spacing w:after="0" w:line="240" w:lineRule="auto"/>
              <w:jc w:val="center"/>
              <w:rPr>
                <w:rFonts w:ascii="Times New Roman" w:eastAsia="Times New Roman" w:hAnsi="Times New Roman" w:cs="Times New Roman"/>
                <w:sz w:val="20"/>
                <w:szCs w:val="20"/>
              </w:rPr>
            </w:pPr>
            <w:r w:rsidRPr="00DD52BC">
              <w:rPr>
                <w:rFonts w:ascii="Times New Roman" w:eastAsia="Times New Roman" w:hAnsi="Times New Roman" w:cs="Times New Roman"/>
                <w:sz w:val="20"/>
                <w:szCs w:val="20"/>
              </w:rPr>
              <w:t>2</w:t>
            </w:r>
          </w:p>
        </w:tc>
        <w:tc>
          <w:tcPr>
            <w:tcW w:w="616" w:type="dxa"/>
            <w:shd w:val="clear" w:color="auto" w:fill="auto"/>
            <w:vAlign w:val="center"/>
          </w:tcPr>
          <w:p w:rsidR="00DD52BC" w:rsidRPr="00DD52BC" w:rsidRDefault="00DD52BC" w:rsidP="00DD52BC">
            <w:pPr>
              <w:tabs>
                <w:tab w:val="left" w:pos="1885"/>
              </w:tabs>
              <w:spacing w:after="0" w:line="240" w:lineRule="auto"/>
              <w:jc w:val="center"/>
              <w:rPr>
                <w:rFonts w:ascii="Times New Roman" w:eastAsia="Times New Roman" w:hAnsi="Times New Roman" w:cs="Times New Roman"/>
                <w:sz w:val="20"/>
                <w:szCs w:val="20"/>
              </w:rPr>
            </w:pPr>
            <w:r w:rsidRPr="00DD52BC">
              <w:rPr>
                <w:rFonts w:ascii="Times New Roman" w:eastAsia="Times New Roman" w:hAnsi="Times New Roman" w:cs="Times New Roman"/>
                <w:sz w:val="20"/>
                <w:szCs w:val="20"/>
              </w:rPr>
              <w:t>12</w:t>
            </w:r>
          </w:p>
        </w:tc>
        <w:tc>
          <w:tcPr>
            <w:tcW w:w="940" w:type="dxa"/>
            <w:shd w:val="clear" w:color="auto" w:fill="auto"/>
            <w:vAlign w:val="center"/>
          </w:tcPr>
          <w:p w:rsidR="00DD52BC" w:rsidRPr="00DD52BC" w:rsidRDefault="00DD52BC" w:rsidP="00DD52BC">
            <w:pPr>
              <w:tabs>
                <w:tab w:val="left" w:pos="1885"/>
              </w:tabs>
              <w:spacing w:after="0" w:line="240" w:lineRule="auto"/>
              <w:jc w:val="center"/>
              <w:rPr>
                <w:rFonts w:ascii="Times New Roman" w:eastAsia="Times New Roman" w:hAnsi="Times New Roman" w:cs="Times New Roman"/>
                <w:sz w:val="20"/>
                <w:szCs w:val="20"/>
              </w:rPr>
            </w:pPr>
            <w:r w:rsidRPr="00DD52BC">
              <w:rPr>
                <w:rFonts w:ascii="Times New Roman" w:eastAsia="Times New Roman" w:hAnsi="Times New Roman" w:cs="Times New Roman"/>
                <w:sz w:val="20"/>
                <w:szCs w:val="20"/>
              </w:rPr>
              <w:t>5</w:t>
            </w:r>
          </w:p>
        </w:tc>
        <w:tc>
          <w:tcPr>
            <w:tcW w:w="878" w:type="dxa"/>
            <w:vAlign w:val="center"/>
          </w:tcPr>
          <w:p w:rsidR="00DD52BC" w:rsidRPr="00DD52BC" w:rsidRDefault="00DD52BC" w:rsidP="00DD52BC">
            <w:pPr>
              <w:tabs>
                <w:tab w:val="left" w:pos="1885"/>
              </w:tabs>
              <w:spacing w:after="0" w:line="240" w:lineRule="auto"/>
              <w:jc w:val="center"/>
              <w:rPr>
                <w:rFonts w:ascii="Times New Roman" w:eastAsia="Times New Roman" w:hAnsi="Times New Roman" w:cs="Times New Roman"/>
                <w:sz w:val="20"/>
                <w:szCs w:val="20"/>
              </w:rPr>
            </w:pPr>
            <w:r w:rsidRPr="00DD52BC">
              <w:rPr>
                <w:rFonts w:ascii="Times New Roman" w:eastAsia="Times New Roman" w:hAnsi="Times New Roman" w:cs="Times New Roman"/>
                <w:sz w:val="20"/>
                <w:szCs w:val="20"/>
              </w:rPr>
              <w:t>5</w:t>
            </w:r>
          </w:p>
        </w:tc>
        <w:tc>
          <w:tcPr>
            <w:tcW w:w="830" w:type="dxa"/>
            <w:vAlign w:val="center"/>
          </w:tcPr>
          <w:p w:rsidR="00DD52BC" w:rsidRPr="00DD52BC" w:rsidRDefault="00DD52BC" w:rsidP="00DD52BC">
            <w:pPr>
              <w:tabs>
                <w:tab w:val="left" w:pos="1885"/>
              </w:tabs>
              <w:spacing w:after="0" w:line="240" w:lineRule="auto"/>
              <w:jc w:val="center"/>
              <w:rPr>
                <w:rFonts w:ascii="Times New Roman" w:eastAsia="Times New Roman" w:hAnsi="Times New Roman" w:cs="Times New Roman"/>
                <w:sz w:val="20"/>
                <w:szCs w:val="20"/>
              </w:rPr>
            </w:pPr>
            <w:r w:rsidRPr="00DD52BC">
              <w:rPr>
                <w:rFonts w:ascii="Times New Roman" w:eastAsia="Times New Roman" w:hAnsi="Times New Roman" w:cs="Times New Roman"/>
                <w:sz w:val="20"/>
                <w:szCs w:val="20"/>
              </w:rPr>
              <w:t>3</w:t>
            </w:r>
          </w:p>
        </w:tc>
      </w:tr>
    </w:tbl>
    <w:p w:rsidR="007655FB" w:rsidRDefault="007655FB" w:rsidP="008844FD">
      <w:pPr>
        <w:jc w:val="both"/>
        <w:rPr>
          <w:rFonts w:ascii="Times New Roman" w:hAnsi="Times New Roman" w:cs="Times New Roman"/>
          <w:sz w:val="24"/>
          <w:szCs w:val="24"/>
          <w:lang w:val="sr-Cyrl-RS"/>
        </w:rPr>
      </w:pPr>
    </w:p>
    <w:p w:rsidR="008844FD" w:rsidRPr="008844FD" w:rsidRDefault="00B55F55" w:rsidP="008844FD">
      <w:pPr>
        <w:jc w:val="both"/>
        <w:rPr>
          <w:rFonts w:ascii="Times New Roman" w:hAnsi="Times New Roman" w:cs="Times New Roman"/>
          <w:sz w:val="24"/>
          <w:szCs w:val="24"/>
          <w:lang w:val="sr-Cyrl-RS"/>
        </w:rPr>
      </w:pPr>
      <w:r w:rsidRPr="00B55F55">
        <w:rPr>
          <w:rFonts w:ascii="Times New Roman" w:hAnsi="Times New Roman" w:cs="Times New Roman"/>
          <w:sz w:val="24"/>
          <w:szCs w:val="24"/>
        </w:rPr>
        <w:t xml:space="preserve">Удео понуђача из ЕУ у укупној вредности закључених уговора износио је </w:t>
      </w:r>
      <w:r w:rsidR="00D5059D">
        <w:rPr>
          <w:rFonts w:ascii="Times New Roman" w:hAnsi="Times New Roman" w:cs="Times New Roman"/>
          <w:sz w:val="24"/>
          <w:szCs w:val="24"/>
        </w:rPr>
        <w:t>2</w:t>
      </w:r>
      <w:r w:rsidRPr="00B55F55">
        <w:rPr>
          <w:rFonts w:ascii="Times New Roman" w:hAnsi="Times New Roman" w:cs="Times New Roman"/>
          <w:sz w:val="24"/>
          <w:szCs w:val="24"/>
        </w:rPr>
        <w:t xml:space="preserve">%, </w:t>
      </w:r>
      <w:r w:rsidR="00D5059D">
        <w:rPr>
          <w:rFonts w:ascii="Times New Roman" w:hAnsi="Times New Roman" w:cs="Times New Roman"/>
          <w:sz w:val="24"/>
          <w:szCs w:val="24"/>
        </w:rPr>
        <w:t xml:space="preserve">што значи да је смањење удела страних понуђача било на рачун оних из ЕУ, док је </w:t>
      </w:r>
      <w:r w:rsidRPr="00B55F55">
        <w:rPr>
          <w:rFonts w:ascii="Times New Roman" w:hAnsi="Times New Roman" w:cs="Times New Roman"/>
          <w:sz w:val="24"/>
          <w:szCs w:val="24"/>
        </w:rPr>
        <w:t xml:space="preserve">удео понуђача ван ЕУ </w:t>
      </w:r>
      <w:r w:rsidR="00D5059D">
        <w:rPr>
          <w:rFonts w:ascii="Times New Roman" w:hAnsi="Times New Roman" w:cs="Times New Roman"/>
          <w:sz w:val="24"/>
          <w:szCs w:val="24"/>
        </w:rPr>
        <w:t xml:space="preserve">остао непромењен </w:t>
      </w:r>
      <w:r w:rsidRPr="00B55F55">
        <w:rPr>
          <w:rFonts w:ascii="Times New Roman" w:hAnsi="Times New Roman" w:cs="Times New Roman"/>
          <w:sz w:val="24"/>
          <w:szCs w:val="24"/>
        </w:rPr>
        <w:t>1%</w:t>
      </w:r>
      <w:r w:rsidR="00F40367">
        <w:rPr>
          <w:rFonts w:ascii="Times New Roman" w:hAnsi="Times New Roman" w:cs="Times New Roman"/>
          <w:sz w:val="24"/>
          <w:szCs w:val="24"/>
        </w:rPr>
        <w:t xml:space="preserve"> (С</w:t>
      </w:r>
      <w:r w:rsidR="00263B08">
        <w:rPr>
          <w:rFonts w:ascii="Times New Roman" w:hAnsi="Times New Roman" w:cs="Times New Roman"/>
          <w:sz w:val="24"/>
          <w:szCs w:val="24"/>
        </w:rPr>
        <w:t>лика 15</w:t>
      </w:r>
      <w:r>
        <w:rPr>
          <w:rFonts w:ascii="Times New Roman" w:hAnsi="Times New Roman" w:cs="Times New Roman"/>
          <w:sz w:val="24"/>
          <w:szCs w:val="24"/>
        </w:rPr>
        <w:t>)</w:t>
      </w:r>
    </w:p>
    <w:p w:rsidR="00637BC6" w:rsidRPr="009B3038" w:rsidRDefault="00FD42B3" w:rsidP="009B3038">
      <w:pPr>
        <w:jc w:val="center"/>
        <w:rPr>
          <w:rFonts w:ascii="Times New Roman" w:hAnsi="Times New Roman" w:cs="Times New Roman"/>
          <w:sz w:val="24"/>
          <w:szCs w:val="24"/>
        </w:rPr>
      </w:pPr>
      <w:r w:rsidRPr="009B3038">
        <w:rPr>
          <w:rFonts w:ascii="Times New Roman" w:hAnsi="Times New Roman" w:cs="Times New Roman"/>
          <w:b/>
          <w:sz w:val="24"/>
          <w:szCs w:val="24"/>
        </w:rPr>
        <w:t>Слика 1</w:t>
      </w:r>
      <w:r w:rsidR="00263B08" w:rsidRPr="009B3038">
        <w:rPr>
          <w:rFonts w:ascii="Times New Roman" w:hAnsi="Times New Roman" w:cs="Times New Roman"/>
          <w:b/>
          <w:sz w:val="24"/>
          <w:szCs w:val="24"/>
        </w:rPr>
        <w:t>5</w:t>
      </w:r>
    </w:p>
    <w:bookmarkStart w:id="10" w:name="_MON_1455019723"/>
    <w:bookmarkEnd w:id="10"/>
    <w:p w:rsidR="00B55F55" w:rsidRDefault="009B3038" w:rsidP="00206CEF">
      <w:pPr>
        <w:jc w:val="center"/>
        <w:rPr>
          <w:rFonts w:ascii="Times New Roman" w:hAnsi="Times New Roman" w:cs="Times New Roman"/>
          <w:sz w:val="24"/>
          <w:szCs w:val="24"/>
        </w:rPr>
      </w:pPr>
      <w:r w:rsidRPr="001B03AA">
        <w:rPr>
          <w:rFonts w:ascii="Times New Roman" w:hAnsi="Times New Roman" w:cs="Times New Roman"/>
          <w:sz w:val="24"/>
          <w:szCs w:val="24"/>
        </w:rPr>
        <w:object w:dxaOrig="7817" w:dyaOrig="6310">
          <v:shape id="_x0000_i1039" type="#_x0000_t75" style="width:390.75pt;height:281.25pt" o:ole="">
            <v:imagedata r:id="rId44" o:title=""/>
          </v:shape>
          <o:OLEObject Type="Embed" ProgID="Excel.Sheet.12" ShapeID="_x0000_i1039" DrawAspect="Content" ObjectID="_1456551373" r:id="rId45"/>
        </w:object>
      </w:r>
    </w:p>
    <w:p w:rsidR="00467D58" w:rsidRDefault="00467D58" w:rsidP="00467D58">
      <w:pPr>
        <w:rPr>
          <w:rFonts w:ascii="Times New Roman" w:hAnsi="Times New Roman" w:cs="Times New Roman"/>
          <w:sz w:val="24"/>
          <w:szCs w:val="24"/>
          <w:lang w:val="sr-Cyrl-RS"/>
        </w:rPr>
      </w:pPr>
    </w:p>
    <w:p w:rsidR="00D14DA3" w:rsidRDefault="00D14DA3" w:rsidP="00467D58">
      <w:pPr>
        <w:rPr>
          <w:rFonts w:ascii="Times New Roman" w:hAnsi="Times New Roman" w:cs="Times New Roman"/>
          <w:sz w:val="24"/>
          <w:szCs w:val="24"/>
          <w:lang w:val="sr-Cyrl-RS"/>
        </w:rPr>
      </w:pPr>
    </w:p>
    <w:p w:rsidR="00D14DA3" w:rsidRDefault="00D14DA3" w:rsidP="00467D58">
      <w:pPr>
        <w:rPr>
          <w:rFonts w:ascii="Times New Roman" w:hAnsi="Times New Roman" w:cs="Times New Roman"/>
          <w:sz w:val="24"/>
          <w:szCs w:val="24"/>
          <w:lang w:val="sr-Cyrl-RS"/>
        </w:rPr>
      </w:pPr>
    </w:p>
    <w:p w:rsidR="008727EF" w:rsidRDefault="008727EF" w:rsidP="00467D58">
      <w:pPr>
        <w:rPr>
          <w:rFonts w:ascii="Times New Roman" w:hAnsi="Times New Roman" w:cs="Times New Roman"/>
          <w:sz w:val="24"/>
          <w:szCs w:val="24"/>
          <w:lang w:val="sr-Cyrl-RS"/>
        </w:rPr>
      </w:pPr>
    </w:p>
    <w:p w:rsidR="00D14DA3" w:rsidRPr="00D14DA3" w:rsidRDefault="00D14DA3" w:rsidP="00467D58">
      <w:pPr>
        <w:rPr>
          <w:rFonts w:ascii="Times New Roman" w:hAnsi="Times New Roman" w:cs="Times New Roman"/>
          <w:sz w:val="24"/>
          <w:szCs w:val="24"/>
          <w:lang w:val="sr-Cyrl-RS"/>
        </w:rPr>
      </w:pPr>
    </w:p>
    <w:p w:rsidR="00023ACB" w:rsidRPr="007B4B66" w:rsidRDefault="00786C64" w:rsidP="007B4B66">
      <w:pPr>
        <w:pStyle w:val="ListParagraph"/>
        <w:numPr>
          <w:ilvl w:val="0"/>
          <w:numId w:val="2"/>
        </w:numPr>
        <w:rPr>
          <w:rFonts w:ascii="Times New Roman" w:hAnsi="Times New Roman" w:cs="Times New Roman"/>
          <w:b/>
          <w:sz w:val="24"/>
          <w:szCs w:val="24"/>
        </w:rPr>
      </w:pPr>
      <w:r>
        <w:rPr>
          <w:rFonts w:ascii="Times New Roman" w:hAnsi="Times New Roman" w:cs="Times New Roman"/>
          <w:b/>
          <w:sz w:val="24"/>
          <w:szCs w:val="24"/>
        </w:rPr>
        <w:lastRenderedPageBreak/>
        <w:t>ИЗВРШЕЊЕ И ИЗМЕНЕ УГОВОРА</w:t>
      </w:r>
    </w:p>
    <w:p w:rsidR="007B4B66" w:rsidRDefault="007B4B66" w:rsidP="003C3BC0">
      <w:pPr>
        <w:jc w:val="both"/>
        <w:rPr>
          <w:rFonts w:ascii="Times New Roman" w:hAnsi="Times New Roman" w:cs="Times New Roman"/>
          <w:sz w:val="24"/>
          <w:szCs w:val="24"/>
        </w:rPr>
      </w:pPr>
      <w:r w:rsidRPr="007B4B66">
        <w:rPr>
          <w:rFonts w:ascii="Times New Roman" w:hAnsi="Times New Roman" w:cs="Times New Roman"/>
          <w:sz w:val="24"/>
          <w:szCs w:val="24"/>
        </w:rPr>
        <w:t>Нови Закон о јавним набавкама предвидео је механизам праћења и контроле извршења уговора, што је била велика слабост у претходном периоду и што је стварало простор за бројне злоупотребе. Решење је да је наручилац у обавези да Одлуку о измени уговора објави на Порталу јавних набавки, уз истовремено достављање извештаја о измени уговора У</w:t>
      </w:r>
      <w:r w:rsidR="003D0488">
        <w:rPr>
          <w:rFonts w:ascii="Times New Roman" w:hAnsi="Times New Roman" w:cs="Times New Roman"/>
          <w:sz w:val="24"/>
          <w:szCs w:val="24"/>
          <w:lang w:val="sr-Cyrl-RS"/>
        </w:rPr>
        <w:t>п</w:t>
      </w:r>
      <w:r w:rsidRPr="007B4B66">
        <w:rPr>
          <w:rFonts w:ascii="Times New Roman" w:hAnsi="Times New Roman" w:cs="Times New Roman"/>
          <w:sz w:val="24"/>
          <w:szCs w:val="24"/>
        </w:rPr>
        <w:t>рави за јавне набавке и Државној ревизорској институцији (ДРИ). На тај начин се значајно повећала транспарентност финалне фазе јавне набавке (реализације уговора) и омогућило реаговање на накнадна одступања од услова из конкурсне документације и уговора која су раније често била присутна, управо услед одсуства праћења и контроле. Уколико Управа или ДРИ утврде да је дошло до недозвољене промене уговора, Закон предвиђа да подносе прекршајне пријаве против наручиоца.</w:t>
      </w:r>
    </w:p>
    <w:p w:rsidR="009B3038" w:rsidRPr="00D14DA3" w:rsidRDefault="00DD7D04" w:rsidP="007655FB">
      <w:pPr>
        <w:jc w:val="both"/>
        <w:rPr>
          <w:rFonts w:ascii="Times New Roman" w:hAnsi="Times New Roman" w:cs="Times New Roman"/>
          <w:b/>
          <w:sz w:val="24"/>
          <w:szCs w:val="24"/>
          <w:lang w:val="sr-Cyrl-RS"/>
        </w:rPr>
      </w:pPr>
      <w:r w:rsidRPr="00DD7D04">
        <w:rPr>
          <w:rFonts w:ascii="Times New Roman" w:hAnsi="Times New Roman" w:cs="Times New Roman"/>
          <w:sz w:val="24"/>
          <w:szCs w:val="24"/>
        </w:rPr>
        <w:t>У Табели</w:t>
      </w:r>
      <w:r w:rsidR="00A01819">
        <w:rPr>
          <w:rFonts w:ascii="Times New Roman" w:hAnsi="Times New Roman" w:cs="Times New Roman"/>
          <w:sz w:val="24"/>
          <w:szCs w:val="24"/>
        </w:rPr>
        <w:t xml:space="preserve"> </w:t>
      </w:r>
      <w:r w:rsidRPr="00DD7D04">
        <w:rPr>
          <w:rFonts w:ascii="Times New Roman" w:hAnsi="Times New Roman" w:cs="Times New Roman"/>
          <w:sz w:val="24"/>
          <w:szCs w:val="24"/>
        </w:rPr>
        <w:t>8</w:t>
      </w:r>
      <w:r w:rsidR="00A01819">
        <w:rPr>
          <w:rFonts w:ascii="Times New Roman" w:hAnsi="Times New Roman" w:cs="Times New Roman"/>
          <w:sz w:val="24"/>
          <w:szCs w:val="24"/>
        </w:rPr>
        <w:t xml:space="preserve"> </w:t>
      </w:r>
      <w:r>
        <w:rPr>
          <w:rFonts w:ascii="Times New Roman" w:hAnsi="Times New Roman" w:cs="Times New Roman"/>
          <w:sz w:val="24"/>
          <w:szCs w:val="24"/>
        </w:rPr>
        <w:t xml:space="preserve">дати су подаци о броју реализованих уговора у </w:t>
      </w:r>
      <w:r w:rsidR="00120C2B">
        <w:rPr>
          <w:rFonts w:ascii="Times New Roman" w:hAnsi="Times New Roman" w:cs="Times New Roman"/>
          <w:sz w:val="24"/>
          <w:szCs w:val="24"/>
        </w:rPr>
        <w:t xml:space="preserve">четвртом </w:t>
      </w:r>
      <w:r>
        <w:rPr>
          <w:rFonts w:ascii="Times New Roman" w:hAnsi="Times New Roman" w:cs="Times New Roman"/>
          <w:sz w:val="24"/>
          <w:szCs w:val="24"/>
        </w:rPr>
        <w:t>кварталу 2013. године, при чему се под реализованим уговором подр</w:t>
      </w:r>
      <w:r w:rsidR="002F4C79">
        <w:rPr>
          <w:rFonts w:ascii="Times New Roman" w:hAnsi="Times New Roman" w:cs="Times New Roman"/>
          <w:sz w:val="24"/>
          <w:szCs w:val="24"/>
        </w:rPr>
        <w:t>а</w:t>
      </w:r>
      <w:r>
        <w:rPr>
          <w:rFonts w:ascii="Times New Roman" w:hAnsi="Times New Roman" w:cs="Times New Roman"/>
          <w:sz w:val="24"/>
          <w:szCs w:val="24"/>
        </w:rPr>
        <w:t xml:space="preserve">зумева да је извршена исплата у целини (колона 2 </w:t>
      </w:r>
      <w:r w:rsidR="00A01819">
        <w:rPr>
          <w:rFonts w:ascii="Times New Roman" w:hAnsi="Times New Roman" w:cs="Times New Roman"/>
          <w:sz w:val="24"/>
          <w:szCs w:val="24"/>
        </w:rPr>
        <w:t>у Табели 8). Табела 8 такође са</w:t>
      </w:r>
      <w:r>
        <w:rPr>
          <w:rFonts w:ascii="Times New Roman" w:hAnsi="Times New Roman" w:cs="Times New Roman"/>
          <w:sz w:val="24"/>
          <w:szCs w:val="24"/>
        </w:rPr>
        <w:t xml:space="preserve">држи и податке о броју извршених измена уговора (колона 3). </w:t>
      </w:r>
      <w:r w:rsidR="002F4C79">
        <w:rPr>
          <w:rFonts w:ascii="Times New Roman" w:hAnsi="Times New Roman" w:cs="Times New Roman"/>
          <w:sz w:val="24"/>
          <w:szCs w:val="24"/>
        </w:rPr>
        <w:t xml:space="preserve">Произлази да је број измена уговора чинио свега 3% од укупног броја реализованих уговора у четвртом кварталу 2013. године </w:t>
      </w:r>
      <w:r>
        <w:rPr>
          <w:rFonts w:ascii="Times New Roman" w:hAnsi="Times New Roman" w:cs="Times New Roman"/>
          <w:sz w:val="24"/>
          <w:szCs w:val="24"/>
        </w:rPr>
        <w:t>(колона 4</w:t>
      </w:r>
      <w:r w:rsidR="002F4C79">
        <w:rPr>
          <w:rFonts w:ascii="Times New Roman" w:hAnsi="Times New Roman" w:cs="Times New Roman"/>
          <w:sz w:val="24"/>
          <w:szCs w:val="24"/>
        </w:rPr>
        <w:t>, Табела 8</w:t>
      </w:r>
      <w:r>
        <w:rPr>
          <w:rFonts w:ascii="Times New Roman" w:hAnsi="Times New Roman" w:cs="Times New Roman"/>
          <w:sz w:val="24"/>
          <w:szCs w:val="24"/>
        </w:rPr>
        <w:t xml:space="preserve">).  </w:t>
      </w:r>
    </w:p>
    <w:p w:rsidR="00DD7D04" w:rsidRPr="009B3038" w:rsidRDefault="00DD7D04" w:rsidP="00023ACB">
      <w:pPr>
        <w:rPr>
          <w:rFonts w:ascii="Times New Roman" w:hAnsi="Times New Roman" w:cs="Times New Roman"/>
          <w:b/>
          <w:sz w:val="24"/>
          <w:szCs w:val="24"/>
        </w:rPr>
      </w:pPr>
      <w:r w:rsidRPr="009B3038">
        <w:rPr>
          <w:rFonts w:ascii="Times New Roman" w:hAnsi="Times New Roman" w:cs="Times New Roman"/>
          <w:b/>
          <w:sz w:val="24"/>
          <w:szCs w:val="24"/>
        </w:rPr>
        <w:t>Табела 8</w:t>
      </w:r>
    </w:p>
    <w:tbl>
      <w:tblPr>
        <w:tblpPr w:leftFromText="141" w:rightFromText="141" w:vertAnchor="text" w:horzAnchor="margin" w:tblpX="108" w:tblpY="17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2393"/>
        <w:gridCol w:w="2129"/>
        <w:gridCol w:w="2984"/>
      </w:tblGrid>
      <w:tr w:rsidR="008B2D94" w:rsidRPr="008B2D94" w:rsidTr="00651F8D">
        <w:trPr>
          <w:trHeight w:val="724"/>
        </w:trPr>
        <w:tc>
          <w:tcPr>
            <w:tcW w:w="11016" w:type="dxa"/>
            <w:gridSpan w:val="4"/>
            <w:shd w:val="clear" w:color="auto" w:fill="auto"/>
            <w:vAlign w:val="center"/>
          </w:tcPr>
          <w:p w:rsidR="008B2D94" w:rsidRPr="008B2D94" w:rsidRDefault="008B2D94" w:rsidP="007655FB">
            <w:pPr>
              <w:tabs>
                <w:tab w:val="left" w:pos="1885"/>
              </w:tabs>
              <w:spacing w:after="0" w:line="240" w:lineRule="auto"/>
              <w:jc w:val="center"/>
              <w:rPr>
                <w:rFonts w:ascii="Times New Roman" w:eastAsia="Times New Roman" w:hAnsi="Times New Roman" w:cs="Times New Roman"/>
                <w:b/>
                <w:color w:val="000000"/>
                <w:sz w:val="28"/>
                <w:szCs w:val="28"/>
              </w:rPr>
            </w:pPr>
            <w:r w:rsidRPr="008B2D94">
              <w:rPr>
                <w:rFonts w:ascii="Times New Roman" w:eastAsia="Times New Roman" w:hAnsi="Times New Roman" w:cs="Times New Roman"/>
                <w:b/>
                <w:color w:val="000000"/>
                <w:sz w:val="28"/>
                <w:szCs w:val="28"/>
              </w:rPr>
              <w:t xml:space="preserve">Преглед измена извршених уговора по категоријама наручилаца </w:t>
            </w:r>
          </w:p>
          <w:p w:rsidR="008B2D94" w:rsidRPr="008B2D94" w:rsidRDefault="008B2D94" w:rsidP="007655FB">
            <w:pPr>
              <w:tabs>
                <w:tab w:val="left" w:pos="1885"/>
              </w:tabs>
              <w:spacing w:after="0" w:line="240" w:lineRule="auto"/>
              <w:jc w:val="center"/>
              <w:rPr>
                <w:rFonts w:ascii="Times New Roman" w:eastAsia="Times New Roman" w:hAnsi="Times New Roman" w:cs="Times New Roman"/>
                <w:b/>
                <w:color w:val="000000"/>
                <w:sz w:val="28"/>
                <w:szCs w:val="28"/>
              </w:rPr>
            </w:pPr>
            <w:r w:rsidRPr="008B2D94">
              <w:rPr>
                <w:rFonts w:ascii="Times New Roman" w:eastAsia="Times New Roman" w:hAnsi="Times New Roman" w:cs="Times New Roman"/>
                <w:b/>
                <w:color w:val="000000"/>
                <w:sz w:val="28"/>
                <w:szCs w:val="28"/>
              </w:rPr>
              <w:t>у четвртом кварталу 2013. године</w:t>
            </w:r>
          </w:p>
        </w:tc>
      </w:tr>
      <w:tr w:rsidR="008B2D94" w:rsidRPr="008B2D94" w:rsidTr="00651F8D">
        <w:tc>
          <w:tcPr>
            <w:tcW w:w="3510" w:type="dxa"/>
            <w:shd w:val="clear" w:color="auto" w:fill="auto"/>
            <w:vAlign w:val="center"/>
          </w:tcPr>
          <w:p w:rsidR="008B2D94" w:rsidRPr="008B2D94" w:rsidRDefault="008B2D94" w:rsidP="007655FB">
            <w:pPr>
              <w:tabs>
                <w:tab w:val="left" w:pos="1885"/>
              </w:tabs>
              <w:spacing w:after="0" w:line="240" w:lineRule="auto"/>
              <w:rPr>
                <w:rFonts w:ascii="Times New Roman" w:eastAsia="Times New Roman" w:hAnsi="Times New Roman" w:cs="Times New Roman"/>
                <w:b/>
                <w:sz w:val="24"/>
                <w:szCs w:val="20"/>
              </w:rPr>
            </w:pPr>
            <w:r w:rsidRPr="008B2D94">
              <w:rPr>
                <w:rFonts w:ascii="Times New Roman" w:eastAsia="Times New Roman" w:hAnsi="Times New Roman" w:cs="Times New Roman"/>
                <w:b/>
                <w:sz w:val="24"/>
                <w:szCs w:val="20"/>
              </w:rPr>
              <w:t>Категорија</w:t>
            </w:r>
          </w:p>
        </w:tc>
        <w:tc>
          <w:tcPr>
            <w:tcW w:w="2393" w:type="dxa"/>
            <w:shd w:val="clear" w:color="auto" w:fill="auto"/>
            <w:vAlign w:val="center"/>
          </w:tcPr>
          <w:p w:rsidR="008B2D94" w:rsidRPr="008B2D94" w:rsidRDefault="008B2D94" w:rsidP="007655FB">
            <w:pPr>
              <w:tabs>
                <w:tab w:val="left" w:pos="1885"/>
              </w:tabs>
              <w:spacing w:after="0" w:line="240" w:lineRule="auto"/>
              <w:jc w:val="center"/>
              <w:rPr>
                <w:rFonts w:ascii="Times New Roman" w:eastAsia="Times New Roman" w:hAnsi="Times New Roman" w:cs="Times New Roman"/>
                <w:b/>
                <w:color w:val="000000"/>
                <w:sz w:val="24"/>
                <w:szCs w:val="20"/>
              </w:rPr>
            </w:pPr>
            <w:r w:rsidRPr="008B2D94">
              <w:rPr>
                <w:rFonts w:ascii="Times New Roman" w:eastAsia="Times New Roman" w:hAnsi="Times New Roman" w:cs="Times New Roman"/>
                <w:b/>
                <w:color w:val="000000"/>
                <w:sz w:val="24"/>
                <w:szCs w:val="20"/>
              </w:rPr>
              <w:t>Број извршених уговора</w:t>
            </w:r>
          </w:p>
        </w:tc>
        <w:tc>
          <w:tcPr>
            <w:tcW w:w="0" w:type="auto"/>
            <w:shd w:val="clear" w:color="auto" w:fill="auto"/>
            <w:vAlign w:val="center"/>
          </w:tcPr>
          <w:p w:rsidR="008B2D94" w:rsidRPr="008B2D94" w:rsidRDefault="008B2D94" w:rsidP="007655FB">
            <w:pPr>
              <w:tabs>
                <w:tab w:val="left" w:pos="1885"/>
              </w:tabs>
              <w:spacing w:after="0" w:line="240" w:lineRule="auto"/>
              <w:jc w:val="center"/>
              <w:rPr>
                <w:rFonts w:ascii="Times New Roman" w:eastAsia="Times New Roman" w:hAnsi="Times New Roman" w:cs="Times New Roman"/>
                <w:b/>
                <w:color w:val="000000"/>
                <w:sz w:val="24"/>
                <w:szCs w:val="20"/>
              </w:rPr>
            </w:pPr>
            <w:r w:rsidRPr="008B2D94">
              <w:rPr>
                <w:rFonts w:ascii="Times New Roman" w:eastAsia="Times New Roman" w:hAnsi="Times New Roman" w:cs="Times New Roman"/>
                <w:b/>
                <w:color w:val="000000"/>
                <w:sz w:val="24"/>
                <w:szCs w:val="20"/>
              </w:rPr>
              <w:t>Број измена уговора</w:t>
            </w:r>
          </w:p>
        </w:tc>
        <w:tc>
          <w:tcPr>
            <w:tcW w:w="2984" w:type="dxa"/>
            <w:shd w:val="clear" w:color="auto" w:fill="auto"/>
            <w:vAlign w:val="center"/>
          </w:tcPr>
          <w:p w:rsidR="000145AE" w:rsidRDefault="008B2D94" w:rsidP="007655FB">
            <w:pPr>
              <w:tabs>
                <w:tab w:val="left" w:pos="1885"/>
              </w:tabs>
              <w:spacing w:after="0" w:line="240" w:lineRule="auto"/>
              <w:jc w:val="center"/>
              <w:rPr>
                <w:rFonts w:ascii="Times New Roman" w:eastAsia="Times New Roman" w:hAnsi="Times New Roman" w:cs="Times New Roman"/>
                <w:b/>
                <w:color w:val="000000"/>
                <w:sz w:val="24"/>
                <w:szCs w:val="20"/>
              </w:rPr>
            </w:pPr>
            <w:r w:rsidRPr="008B2D94">
              <w:rPr>
                <w:rFonts w:ascii="Times New Roman" w:eastAsia="Times New Roman" w:hAnsi="Times New Roman" w:cs="Times New Roman"/>
                <w:b/>
                <w:color w:val="000000"/>
                <w:sz w:val="24"/>
                <w:szCs w:val="20"/>
              </w:rPr>
              <w:t xml:space="preserve">Просечан број измена </w:t>
            </w:r>
          </w:p>
          <w:p w:rsidR="008B2D94" w:rsidRPr="008B2D94" w:rsidRDefault="008B2D94" w:rsidP="007655FB">
            <w:pPr>
              <w:tabs>
                <w:tab w:val="left" w:pos="1885"/>
              </w:tabs>
              <w:spacing w:after="0" w:line="240" w:lineRule="auto"/>
              <w:jc w:val="center"/>
              <w:rPr>
                <w:rFonts w:ascii="Times New Roman" w:eastAsia="Times New Roman" w:hAnsi="Times New Roman" w:cs="Times New Roman"/>
                <w:b/>
                <w:color w:val="000000"/>
                <w:sz w:val="24"/>
                <w:szCs w:val="20"/>
              </w:rPr>
            </w:pPr>
            <w:r w:rsidRPr="008B2D94">
              <w:rPr>
                <w:rFonts w:ascii="Times New Roman" w:eastAsia="Times New Roman" w:hAnsi="Times New Roman" w:cs="Times New Roman"/>
                <w:b/>
                <w:color w:val="000000"/>
                <w:sz w:val="24"/>
                <w:szCs w:val="20"/>
              </w:rPr>
              <w:t>по уговору</w:t>
            </w:r>
          </w:p>
        </w:tc>
      </w:tr>
      <w:tr w:rsidR="008B2D94" w:rsidRPr="008B2D94" w:rsidTr="00651F8D">
        <w:tc>
          <w:tcPr>
            <w:tcW w:w="3510" w:type="dxa"/>
            <w:shd w:val="clear" w:color="auto" w:fill="auto"/>
            <w:vAlign w:val="center"/>
          </w:tcPr>
          <w:p w:rsidR="008B2D94" w:rsidRPr="008B2D94" w:rsidRDefault="008B2D94" w:rsidP="007655FB">
            <w:pPr>
              <w:tabs>
                <w:tab w:val="left" w:pos="1885"/>
              </w:tabs>
              <w:spacing w:after="0" w:line="240" w:lineRule="auto"/>
              <w:rPr>
                <w:rFonts w:ascii="Times New Roman" w:eastAsia="Times New Roman" w:hAnsi="Times New Roman" w:cs="Times New Roman"/>
                <w:b/>
                <w:sz w:val="24"/>
                <w:szCs w:val="20"/>
              </w:rPr>
            </w:pPr>
            <w:r w:rsidRPr="008B2D94">
              <w:rPr>
                <w:rFonts w:ascii="Times New Roman" w:eastAsia="Times New Roman" w:hAnsi="Times New Roman" w:cs="Times New Roman"/>
                <w:b/>
                <w:sz w:val="24"/>
                <w:szCs w:val="20"/>
              </w:rPr>
              <w:t>Органи државне управе</w:t>
            </w:r>
          </w:p>
        </w:tc>
        <w:tc>
          <w:tcPr>
            <w:tcW w:w="2393" w:type="dxa"/>
            <w:shd w:val="clear" w:color="auto" w:fill="auto"/>
            <w:vAlign w:val="center"/>
          </w:tcPr>
          <w:p w:rsidR="008B2D94" w:rsidRPr="008B2D94" w:rsidRDefault="008B2D94" w:rsidP="007655FB">
            <w:pPr>
              <w:tabs>
                <w:tab w:val="left" w:pos="1885"/>
              </w:tabs>
              <w:spacing w:after="0" w:line="240" w:lineRule="auto"/>
              <w:jc w:val="center"/>
              <w:rPr>
                <w:rFonts w:ascii="Times New Roman" w:eastAsia="Times New Roman" w:hAnsi="Times New Roman" w:cs="Times New Roman"/>
                <w:color w:val="000000"/>
                <w:sz w:val="24"/>
                <w:szCs w:val="20"/>
              </w:rPr>
            </w:pPr>
            <w:r w:rsidRPr="008B2D94">
              <w:rPr>
                <w:rFonts w:ascii="Times New Roman" w:eastAsia="Times New Roman" w:hAnsi="Times New Roman" w:cs="Times New Roman"/>
                <w:color w:val="000000"/>
                <w:sz w:val="24"/>
                <w:szCs w:val="20"/>
              </w:rPr>
              <w:t>341</w:t>
            </w:r>
          </w:p>
        </w:tc>
        <w:tc>
          <w:tcPr>
            <w:tcW w:w="0" w:type="auto"/>
            <w:shd w:val="clear" w:color="auto" w:fill="auto"/>
            <w:vAlign w:val="center"/>
          </w:tcPr>
          <w:p w:rsidR="008B2D94" w:rsidRPr="008B2D94" w:rsidRDefault="008B2D94" w:rsidP="007655FB">
            <w:pPr>
              <w:tabs>
                <w:tab w:val="left" w:pos="1885"/>
              </w:tabs>
              <w:spacing w:after="0" w:line="240" w:lineRule="auto"/>
              <w:jc w:val="center"/>
              <w:rPr>
                <w:rFonts w:ascii="Times New Roman" w:eastAsia="Times New Roman" w:hAnsi="Times New Roman" w:cs="Times New Roman"/>
                <w:color w:val="000000"/>
                <w:sz w:val="24"/>
                <w:szCs w:val="20"/>
              </w:rPr>
            </w:pPr>
            <w:r w:rsidRPr="008B2D94">
              <w:rPr>
                <w:rFonts w:ascii="Times New Roman" w:eastAsia="Times New Roman" w:hAnsi="Times New Roman" w:cs="Times New Roman"/>
                <w:color w:val="000000"/>
                <w:sz w:val="24"/>
                <w:szCs w:val="20"/>
              </w:rPr>
              <w:t>15</w:t>
            </w:r>
          </w:p>
        </w:tc>
        <w:tc>
          <w:tcPr>
            <w:tcW w:w="2984" w:type="dxa"/>
            <w:shd w:val="clear" w:color="auto" w:fill="auto"/>
            <w:vAlign w:val="center"/>
          </w:tcPr>
          <w:p w:rsidR="008B2D94" w:rsidRPr="008B2D94" w:rsidRDefault="008B2D94" w:rsidP="007655FB">
            <w:pPr>
              <w:tabs>
                <w:tab w:val="left" w:pos="1885"/>
              </w:tabs>
              <w:spacing w:after="0" w:line="240" w:lineRule="auto"/>
              <w:jc w:val="center"/>
              <w:rPr>
                <w:rFonts w:ascii="Times New Roman" w:eastAsia="Times New Roman" w:hAnsi="Times New Roman" w:cs="Times New Roman"/>
                <w:color w:val="000000"/>
                <w:sz w:val="24"/>
                <w:szCs w:val="20"/>
              </w:rPr>
            </w:pPr>
            <w:r w:rsidRPr="008B2D94">
              <w:rPr>
                <w:rFonts w:ascii="Times New Roman" w:eastAsia="Times New Roman" w:hAnsi="Times New Roman" w:cs="Times New Roman"/>
                <w:color w:val="000000"/>
                <w:sz w:val="24"/>
                <w:szCs w:val="20"/>
              </w:rPr>
              <w:t>0,044</w:t>
            </w:r>
          </w:p>
        </w:tc>
      </w:tr>
      <w:tr w:rsidR="008B2D94" w:rsidRPr="008B2D94" w:rsidTr="00651F8D">
        <w:tc>
          <w:tcPr>
            <w:tcW w:w="3510" w:type="dxa"/>
            <w:shd w:val="clear" w:color="auto" w:fill="auto"/>
            <w:vAlign w:val="center"/>
          </w:tcPr>
          <w:p w:rsidR="008B2D94" w:rsidRPr="008B2D94" w:rsidRDefault="008B2D94" w:rsidP="007655FB">
            <w:pPr>
              <w:tabs>
                <w:tab w:val="left" w:pos="1885"/>
              </w:tabs>
              <w:spacing w:after="0" w:line="240" w:lineRule="auto"/>
              <w:rPr>
                <w:rFonts w:ascii="Times New Roman" w:eastAsia="Times New Roman" w:hAnsi="Times New Roman" w:cs="Times New Roman"/>
                <w:b/>
                <w:sz w:val="24"/>
                <w:szCs w:val="20"/>
              </w:rPr>
            </w:pPr>
            <w:r w:rsidRPr="008B2D94">
              <w:rPr>
                <w:rFonts w:ascii="Times New Roman" w:eastAsia="Times New Roman" w:hAnsi="Times New Roman" w:cs="Times New Roman"/>
                <w:b/>
                <w:sz w:val="24"/>
                <w:szCs w:val="20"/>
              </w:rPr>
              <w:t>Правосуђе</w:t>
            </w:r>
          </w:p>
        </w:tc>
        <w:tc>
          <w:tcPr>
            <w:tcW w:w="2393" w:type="dxa"/>
            <w:shd w:val="clear" w:color="auto" w:fill="auto"/>
            <w:vAlign w:val="center"/>
          </w:tcPr>
          <w:p w:rsidR="008B2D94" w:rsidRPr="008B2D94" w:rsidRDefault="008B2D94" w:rsidP="007655FB">
            <w:pPr>
              <w:tabs>
                <w:tab w:val="left" w:pos="1885"/>
              </w:tabs>
              <w:spacing w:after="0" w:line="240" w:lineRule="auto"/>
              <w:jc w:val="center"/>
              <w:rPr>
                <w:rFonts w:ascii="Times New Roman" w:eastAsia="Times New Roman" w:hAnsi="Times New Roman" w:cs="Times New Roman"/>
                <w:color w:val="000000"/>
                <w:sz w:val="24"/>
                <w:szCs w:val="20"/>
              </w:rPr>
            </w:pPr>
            <w:r w:rsidRPr="008B2D94">
              <w:rPr>
                <w:rFonts w:ascii="Times New Roman" w:eastAsia="Times New Roman" w:hAnsi="Times New Roman" w:cs="Times New Roman"/>
                <w:color w:val="000000"/>
                <w:sz w:val="24"/>
                <w:szCs w:val="20"/>
              </w:rPr>
              <w:t>33</w:t>
            </w:r>
          </w:p>
        </w:tc>
        <w:tc>
          <w:tcPr>
            <w:tcW w:w="0" w:type="auto"/>
            <w:shd w:val="clear" w:color="auto" w:fill="auto"/>
            <w:vAlign w:val="center"/>
          </w:tcPr>
          <w:p w:rsidR="008B2D94" w:rsidRPr="008B2D94" w:rsidRDefault="008B2D94" w:rsidP="007655FB">
            <w:pPr>
              <w:tabs>
                <w:tab w:val="left" w:pos="1885"/>
              </w:tabs>
              <w:spacing w:after="0" w:line="240" w:lineRule="auto"/>
              <w:jc w:val="center"/>
              <w:rPr>
                <w:rFonts w:ascii="Times New Roman" w:eastAsia="Times New Roman" w:hAnsi="Times New Roman" w:cs="Times New Roman"/>
                <w:color w:val="000000"/>
                <w:sz w:val="24"/>
                <w:szCs w:val="20"/>
              </w:rPr>
            </w:pPr>
            <w:r w:rsidRPr="008B2D94">
              <w:rPr>
                <w:rFonts w:ascii="Times New Roman" w:eastAsia="Times New Roman" w:hAnsi="Times New Roman" w:cs="Times New Roman"/>
                <w:color w:val="000000"/>
                <w:sz w:val="24"/>
                <w:szCs w:val="20"/>
              </w:rPr>
              <w:t>0</w:t>
            </w:r>
          </w:p>
        </w:tc>
        <w:tc>
          <w:tcPr>
            <w:tcW w:w="2984" w:type="dxa"/>
            <w:shd w:val="clear" w:color="auto" w:fill="auto"/>
            <w:vAlign w:val="center"/>
          </w:tcPr>
          <w:p w:rsidR="008B2D94" w:rsidRPr="008B2D94" w:rsidRDefault="008B2D94" w:rsidP="007655FB">
            <w:pPr>
              <w:tabs>
                <w:tab w:val="left" w:pos="1885"/>
              </w:tabs>
              <w:spacing w:after="0" w:line="240" w:lineRule="auto"/>
              <w:jc w:val="center"/>
              <w:rPr>
                <w:rFonts w:ascii="Times New Roman" w:eastAsia="Times New Roman" w:hAnsi="Times New Roman" w:cs="Times New Roman"/>
                <w:color w:val="000000"/>
                <w:sz w:val="24"/>
                <w:szCs w:val="20"/>
              </w:rPr>
            </w:pPr>
            <w:r w:rsidRPr="008B2D94">
              <w:rPr>
                <w:rFonts w:ascii="Times New Roman" w:eastAsia="Times New Roman" w:hAnsi="Times New Roman" w:cs="Times New Roman"/>
                <w:color w:val="000000"/>
                <w:sz w:val="24"/>
                <w:szCs w:val="20"/>
              </w:rPr>
              <w:t>0</w:t>
            </w:r>
          </w:p>
        </w:tc>
      </w:tr>
      <w:tr w:rsidR="008B2D94" w:rsidRPr="008B2D94" w:rsidTr="00651F8D">
        <w:tc>
          <w:tcPr>
            <w:tcW w:w="3510" w:type="dxa"/>
            <w:shd w:val="clear" w:color="auto" w:fill="auto"/>
            <w:vAlign w:val="center"/>
          </w:tcPr>
          <w:p w:rsidR="008B2D94" w:rsidRPr="008B2D94" w:rsidRDefault="008B2D94" w:rsidP="007655FB">
            <w:pPr>
              <w:tabs>
                <w:tab w:val="left" w:pos="1885"/>
              </w:tabs>
              <w:spacing w:after="0" w:line="240" w:lineRule="auto"/>
              <w:rPr>
                <w:rFonts w:ascii="Times New Roman" w:eastAsia="Times New Roman" w:hAnsi="Times New Roman" w:cs="Times New Roman"/>
                <w:b/>
                <w:sz w:val="24"/>
                <w:szCs w:val="20"/>
              </w:rPr>
            </w:pPr>
            <w:r w:rsidRPr="008B2D94">
              <w:rPr>
                <w:rFonts w:ascii="Times New Roman" w:eastAsia="Times New Roman" w:hAnsi="Times New Roman" w:cs="Times New Roman"/>
                <w:b/>
                <w:sz w:val="24"/>
                <w:szCs w:val="20"/>
              </w:rPr>
              <w:t>Здравство и социјална заштита</w:t>
            </w:r>
          </w:p>
        </w:tc>
        <w:tc>
          <w:tcPr>
            <w:tcW w:w="2393" w:type="dxa"/>
            <w:shd w:val="clear" w:color="auto" w:fill="auto"/>
            <w:vAlign w:val="center"/>
          </w:tcPr>
          <w:p w:rsidR="008B2D94" w:rsidRPr="008B2D94" w:rsidRDefault="008B2D94" w:rsidP="007655FB">
            <w:pPr>
              <w:tabs>
                <w:tab w:val="left" w:pos="1885"/>
              </w:tabs>
              <w:spacing w:after="0" w:line="240" w:lineRule="auto"/>
              <w:jc w:val="center"/>
              <w:rPr>
                <w:rFonts w:ascii="Times New Roman" w:eastAsia="Times New Roman" w:hAnsi="Times New Roman" w:cs="Times New Roman"/>
                <w:color w:val="000000"/>
                <w:sz w:val="24"/>
                <w:szCs w:val="20"/>
              </w:rPr>
            </w:pPr>
            <w:r w:rsidRPr="008B2D94">
              <w:rPr>
                <w:rFonts w:ascii="Times New Roman" w:eastAsia="Times New Roman" w:hAnsi="Times New Roman" w:cs="Times New Roman"/>
                <w:color w:val="000000"/>
                <w:sz w:val="24"/>
                <w:szCs w:val="20"/>
              </w:rPr>
              <w:t>1397</w:t>
            </w:r>
          </w:p>
        </w:tc>
        <w:tc>
          <w:tcPr>
            <w:tcW w:w="0" w:type="auto"/>
            <w:shd w:val="clear" w:color="auto" w:fill="auto"/>
            <w:vAlign w:val="center"/>
          </w:tcPr>
          <w:p w:rsidR="008B2D94" w:rsidRPr="008B2D94" w:rsidRDefault="008B2D94" w:rsidP="007655FB">
            <w:pPr>
              <w:tabs>
                <w:tab w:val="left" w:pos="1885"/>
              </w:tabs>
              <w:spacing w:after="0" w:line="240" w:lineRule="auto"/>
              <w:jc w:val="center"/>
              <w:rPr>
                <w:rFonts w:ascii="Times New Roman" w:eastAsia="Times New Roman" w:hAnsi="Times New Roman" w:cs="Times New Roman"/>
                <w:color w:val="000000"/>
                <w:sz w:val="24"/>
                <w:szCs w:val="20"/>
              </w:rPr>
            </w:pPr>
            <w:r w:rsidRPr="008B2D94">
              <w:rPr>
                <w:rFonts w:ascii="Times New Roman" w:eastAsia="Times New Roman" w:hAnsi="Times New Roman" w:cs="Times New Roman"/>
                <w:color w:val="000000"/>
                <w:sz w:val="24"/>
                <w:szCs w:val="20"/>
              </w:rPr>
              <w:t>51</w:t>
            </w:r>
          </w:p>
        </w:tc>
        <w:tc>
          <w:tcPr>
            <w:tcW w:w="2984" w:type="dxa"/>
            <w:shd w:val="clear" w:color="auto" w:fill="auto"/>
            <w:vAlign w:val="center"/>
          </w:tcPr>
          <w:p w:rsidR="008B2D94" w:rsidRPr="008B2D94" w:rsidRDefault="008B2D94" w:rsidP="007655FB">
            <w:pPr>
              <w:tabs>
                <w:tab w:val="left" w:pos="1885"/>
              </w:tabs>
              <w:spacing w:after="0" w:line="240" w:lineRule="auto"/>
              <w:jc w:val="center"/>
              <w:rPr>
                <w:rFonts w:ascii="Times New Roman" w:eastAsia="Times New Roman" w:hAnsi="Times New Roman" w:cs="Times New Roman"/>
                <w:color w:val="000000"/>
                <w:sz w:val="24"/>
                <w:szCs w:val="20"/>
              </w:rPr>
            </w:pPr>
            <w:r w:rsidRPr="008B2D94">
              <w:rPr>
                <w:rFonts w:ascii="Times New Roman" w:eastAsia="Times New Roman" w:hAnsi="Times New Roman" w:cs="Times New Roman"/>
                <w:color w:val="000000"/>
                <w:sz w:val="24"/>
                <w:szCs w:val="20"/>
              </w:rPr>
              <w:t>0,037</w:t>
            </w:r>
          </w:p>
        </w:tc>
      </w:tr>
      <w:tr w:rsidR="008B2D94" w:rsidRPr="008B2D94" w:rsidTr="00651F8D">
        <w:tc>
          <w:tcPr>
            <w:tcW w:w="3510" w:type="dxa"/>
            <w:shd w:val="clear" w:color="auto" w:fill="auto"/>
            <w:vAlign w:val="center"/>
          </w:tcPr>
          <w:p w:rsidR="008B2D94" w:rsidRPr="008B2D94" w:rsidRDefault="008B2D94" w:rsidP="007655FB">
            <w:pPr>
              <w:tabs>
                <w:tab w:val="left" w:pos="1885"/>
              </w:tabs>
              <w:spacing w:after="0" w:line="240" w:lineRule="auto"/>
              <w:rPr>
                <w:rFonts w:ascii="Times New Roman" w:eastAsia="Times New Roman" w:hAnsi="Times New Roman" w:cs="Times New Roman"/>
                <w:b/>
                <w:sz w:val="24"/>
                <w:szCs w:val="20"/>
              </w:rPr>
            </w:pPr>
            <w:r w:rsidRPr="008B2D94">
              <w:rPr>
                <w:rFonts w:ascii="Times New Roman" w:eastAsia="Times New Roman" w:hAnsi="Times New Roman" w:cs="Times New Roman"/>
                <w:b/>
                <w:sz w:val="24"/>
                <w:szCs w:val="20"/>
              </w:rPr>
              <w:t>Култура</w:t>
            </w:r>
          </w:p>
        </w:tc>
        <w:tc>
          <w:tcPr>
            <w:tcW w:w="2393" w:type="dxa"/>
            <w:shd w:val="clear" w:color="auto" w:fill="auto"/>
            <w:vAlign w:val="center"/>
          </w:tcPr>
          <w:p w:rsidR="008B2D94" w:rsidRPr="008B2D94" w:rsidRDefault="008B2D94" w:rsidP="007655FB">
            <w:pPr>
              <w:tabs>
                <w:tab w:val="left" w:pos="1885"/>
              </w:tabs>
              <w:spacing w:after="0" w:line="240" w:lineRule="auto"/>
              <w:jc w:val="center"/>
              <w:rPr>
                <w:rFonts w:ascii="Times New Roman" w:eastAsia="Times New Roman" w:hAnsi="Times New Roman" w:cs="Times New Roman"/>
                <w:color w:val="000000"/>
                <w:sz w:val="24"/>
                <w:szCs w:val="20"/>
              </w:rPr>
            </w:pPr>
            <w:r w:rsidRPr="008B2D94">
              <w:rPr>
                <w:rFonts w:ascii="Times New Roman" w:eastAsia="Times New Roman" w:hAnsi="Times New Roman" w:cs="Times New Roman"/>
                <w:color w:val="000000"/>
                <w:sz w:val="24"/>
                <w:szCs w:val="20"/>
              </w:rPr>
              <w:t>153</w:t>
            </w:r>
          </w:p>
        </w:tc>
        <w:tc>
          <w:tcPr>
            <w:tcW w:w="0" w:type="auto"/>
            <w:shd w:val="clear" w:color="auto" w:fill="auto"/>
            <w:vAlign w:val="center"/>
          </w:tcPr>
          <w:p w:rsidR="008B2D94" w:rsidRPr="008B2D94" w:rsidRDefault="008B2D94" w:rsidP="007655FB">
            <w:pPr>
              <w:tabs>
                <w:tab w:val="left" w:pos="1885"/>
              </w:tabs>
              <w:spacing w:after="0" w:line="240" w:lineRule="auto"/>
              <w:jc w:val="center"/>
              <w:rPr>
                <w:rFonts w:ascii="Times New Roman" w:eastAsia="Times New Roman" w:hAnsi="Times New Roman" w:cs="Times New Roman"/>
                <w:color w:val="000000"/>
                <w:sz w:val="24"/>
                <w:szCs w:val="20"/>
              </w:rPr>
            </w:pPr>
            <w:r w:rsidRPr="008B2D94">
              <w:rPr>
                <w:rFonts w:ascii="Times New Roman" w:eastAsia="Times New Roman" w:hAnsi="Times New Roman" w:cs="Times New Roman"/>
                <w:color w:val="000000"/>
                <w:sz w:val="24"/>
                <w:szCs w:val="20"/>
              </w:rPr>
              <w:t>0</w:t>
            </w:r>
          </w:p>
        </w:tc>
        <w:tc>
          <w:tcPr>
            <w:tcW w:w="2984" w:type="dxa"/>
            <w:shd w:val="clear" w:color="auto" w:fill="auto"/>
            <w:vAlign w:val="center"/>
          </w:tcPr>
          <w:p w:rsidR="008B2D94" w:rsidRPr="008B2D94" w:rsidRDefault="008B2D94" w:rsidP="007655FB">
            <w:pPr>
              <w:tabs>
                <w:tab w:val="left" w:pos="1885"/>
              </w:tabs>
              <w:spacing w:after="0" w:line="240" w:lineRule="auto"/>
              <w:jc w:val="center"/>
              <w:rPr>
                <w:rFonts w:ascii="Times New Roman" w:eastAsia="Times New Roman" w:hAnsi="Times New Roman" w:cs="Times New Roman"/>
                <w:color w:val="000000"/>
                <w:sz w:val="24"/>
                <w:szCs w:val="20"/>
              </w:rPr>
            </w:pPr>
            <w:r w:rsidRPr="008B2D94">
              <w:rPr>
                <w:rFonts w:ascii="Times New Roman" w:eastAsia="Times New Roman" w:hAnsi="Times New Roman" w:cs="Times New Roman"/>
                <w:color w:val="000000"/>
                <w:sz w:val="24"/>
                <w:szCs w:val="20"/>
              </w:rPr>
              <w:t>0</w:t>
            </w:r>
          </w:p>
        </w:tc>
      </w:tr>
      <w:tr w:rsidR="008B2D94" w:rsidRPr="008B2D94" w:rsidTr="00651F8D">
        <w:tc>
          <w:tcPr>
            <w:tcW w:w="3510" w:type="dxa"/>
            <w:shd w:val="clear" w:color="auto" w:fill="auto"/>
            <w:vAlign w:val="center"/>
          </w:tcPr>
          <w:p w:rsidR="008B2D94" w:rsidRPr="008B2D94" w:rsidRDefault="008B2D94" w:rsidP="007655FB">
            <w:pPr>
              <w:tabs>
                <w:tab w:val="left" w:pos="1885"/>
              </w:tabs>
              <w:spacing w:after="0" w:line="240" w:lineRule="auto"/>
              <w:rPr>
                <w:rFonts w:ascii="Times New Roman" w:eastAsia="Times New Roman" w:hAnsi="Times New Roman" w:cs="Times New Roman"/>
                <w:b/>
                <w:sz w:val="24"/>
                <w:szCs w:val="20"/>
              </w:rPr>
            </w:pPr>
            <w:r w:rsidRPr="008B2D94">
              <w:rPr>
                <w:rFonts w:ascii="Times New Roman" w:eastAsia="Times New Roman" w:hAnsi="Times New Roman" w:cs="Times New Roman"/>
                <w:b/>
                <w:sz w:val="24"/>
                <w:szCs w:val="20"/>
              </w:rPr>
              <w:t>Просвета, наука и спорт</w:t>
            </w:r>
          </w:p>
        </w:tc>
        <w:tc>
          <w:tcPr>
            <w:tcW w:w="2393" w:type="dxa"/>
            <w:shd w:val="clear" w:color="auto" w:fill="auto"/>
            <w:vAlign w:val="center"/>
          </w:tcPr>
          <w:p w:rsidR="008B2D94" w:rsidRPr="008B2D94" w:rsidRDefault="008B2D94" w:rsidP="007655FB">
            <w:pPr>
              <w:tabs>
                <w:tab w:val="left" w:pos="1885"/>
              </w:tabs>
              <w:spacing w:after="0" w:line="240" w:lineRule="auto"/>
              <w:jc w:val="center"/>
              <w:rPr>
                <w:rFonts w:ascii="Times New Roman" w:eastAsia="Times New Roman" w:hAnsi="Times New Roman" w:cs="Times New Roman"/>
                <w:color w:val="000000"/>
                <w:sz w:val="24"/>
                <w:szCs w:val="20"/>
              </w:rPr>
            </w:pPr>
            <w:r w:rsidRPr="008B2D94">
              <w:rPr>
                <w:rFonts w:ascii="Times New Roman" w:eastAsia="Times New Roman" w:hAnsi="Times New Roman" w:cs="Times New Roman"/>
                <w:color w:val="000000"/>
                <w:sz w:val="24"/>
                <w:szCs w:val="20"/>
              </w:rPr>
              <w:t>111</w:t>
            </w:r>
          </w:p>
        </w:tc>
        <w:tc>
          <w:tcPr>
            <w:tcW w:w="0" w:type="auto"/>
            <w:shd w:val="clear" w:color="auto" w:fill="auto"/>
            <w:vAlign w:val="center"/>
          </w:tcPr>
          <w:p w:rsidR="008B2D94" w:rsidRPr="008B2D94" w:rsidRDefault="008B2D94" w:rsidP="007655FB">
            <w:pPr>
              <w:tabs>
                <w:tab w:val="left" w:pos="1885"/>
              </w:tabs>
              <w:spacing w:after="0" w:line="240" w:lineRule="auto"/>
              <w:jc w:val="center"/>
              <w:rPr>
                <w:rFonts w:ascii="Times New Roman" w:eastAsia="Times New Roman" w:hAnsi="Times New Roman" w:cs="Times New Roman"/>
                <w:color w:val="000000"/>
                <w:sz w:val="24"/>
                <w:szCs w:val="20"/>
              </w:rPr>
            </w:pPr>
            <w:r w:rsidRPr="008B2D94">
              <w:rPr>
                <w:rFonts w:ascii="Times New Roman" w:eastAsia="Times New Roman" w:hAnsi="Times New Roman" w:cs="Times New Roman"/>
                <w:color w:val="000000"/>
                <w:sz w:val="24"/>
                <w:szCs w:val="20"/>
              </w:rPr>
              <w:t>8</w:t>
            </w:r>
          </w:p>
        </w:tc>
        <w:tc>
          <w:tcPr>
            <w:tcW w:w="2984" w:type="dxa"/>
            <w:shd w:val="clear" w:color="auto" w:fill="auto"/>
            <w:vAlign w:val="center"/>
          </w:tcPr>
          <w:p w:rsidR="008B2D94" w:rsidRPr="008B2D94" w:rsidRDefault="008B2D94" w:rsidP="007655FB">
            <w:pPr>
              <w:tabs>
                <w:tab w:val="left" w:pos="1885"/>
              </w:tabs>
              <w:spacing w:after="0" w:line="240" w:lineRule="auto"/>
              <w:jc w:val="center"/>
              <w:rPr>
                <w:rFonts w:ascii="Times New Roman" w:eastAsia="Times New Roman" w:hAnsi="Times New Roman" w:cs="Times New Roman"/>
                <w:color w:val="000000"/>
                <w:sz w:val="24"/>
                <w:szCs w:val="20"/>
              </w:rPr>
            </w:pPr>
            <w:r w:rsidRPr="008B2D94">
              <w:rPr>
                <w:rFonts w:ascii="Times New Roman" w:eastAsia="Times New Roman" w:hAnsi="Times New Roman" w:cs="Times New Roman"/>
                <w:color w:val="000000"/>
                <w:sz w:val="24"/>
                <w:szCs w:val="20"/>
              </w:rPr>
              <w:t>0,072</w:t>
            </w:r>
          </w:p>
        </w:tc>
      </w:tr>
      <w:tr w:rsidR="008B2D94" w:rsidRPr="008B2D94" w:rsidTr="00651F8D">
        <w:tc>
          <w:tcPr>
            <w:tcW w:w="3510" w:type="dxa"/>
            <w:shd w:val="clear" w:color="auto" w:fill="auto"/>
            <w:vAlign w:val="center"/>
          </w:tcPr>
          <w:p w:rsidR="008B2D94" w:rsidRPr="008B2D94" w:rsidRDefault="008B2D94" w:rsidP="007655FB">
            <w:pPr>
              <w:tabs>
                <w:tab w:val="left" w:pos="1885"/>
              </w:tabs>
              <w:spacing w:after="0" w:line="240" w:lineRule="auto"/>
              <w:rPr>
                <w:rFonts w:ascii="Times New Roman" w:eastAsia="Times New Roman" w:hAnsi="Times New Roman" w:cs="Times New Roman"/>
                <w:b/>
                <w:sz w:val="24"/>
                <w:szCs w:val="20"/>
              </w:rPr>
            </w:pPr>
            <w:r w:rsidRPr="008B2D94">
              <w:rPr>
                <w:rFonts w:ascii="Times New Roman" w:eastAsia="Times New Roman" w:hAnsi="Times New Roman" w:cs="Times New Roman"/>
                <w:b/>
                <w:sz w:val="24"/>
                <w:szCs w:val="20"/>
              </w:rPr>
              <w:t>Државна јавна предузећа</w:t>
            </w:r>
          </w:p>
        </w:tc>
        <w:tc>
          <w:tcPr>
            <w:tcW w:w="2393" w:type="dxa"/>
            <w:shd w:val="clear" w:color="auto" w:fill="auto"/>
            <w:vAlign w:val="center"/>
          </w:tcPr>
          <w:p w:rsidR="008B2D94" w:rsidRPr="008B2D94" w:rsidRDefault="008B2D94" w:rsidP="007655FB">
            <w:pPr>
              <w:tabs>
                <w:tab w:val="left" w:pos="1885"/>
              </w:tabs>
              <w:spacing w:after="0" w:line="240" w:lineRule="auto"/>
              <w:jc w:val="center"/>
              <w:rPr>
                <w:rFonts w:ascii="Times New Roman" w:eastAsia="Times New Roman" w:hAnsi="Times New Roman" w:cs="Times New Roman"/>
                <w:color w:val="000000"/>
                <w:sz w:val="24"/>
                <w:szCs w:val="20"/>
              </w:rPr>
            </w:pPr>
            <w:r w:rsidRPr="008B2D94">
              <w:rPr>
                <w:rFonts w:ascii="Times New Roman" w:eastAsia="Times New Roman" w:hAnsi="Times New Roman" w:cs="Times New Roman"/>
                <w:color w:val="000000"/>
                <w:sz w:val="24"/>
                <w:szCs w:val="20"/>
              </w:rPr>
              <w:t>714</w:t>
            </w:r>
          </w:p>
        </w:tc>
        <w:tc>
          <w:tcPr>
            <w:tcW w:w="0" w:type="auto"/>
            <w:shd w:val="clear" w:color="auto" w:fill="auto"/>
            <w:vAlign w:val="center"/>
          </w:tcPr>
          <w:p w:rsidR="008B2D94" w:rsidRPr="008B2D94" w:rsidRDefault="008B2D94" w:rsidP="007655FB">
            <w:pPr>
              <w:tabs>
                <w:tab w:val="left" w:pos="1885"/>
              </w:tabs>
              <w:spacing w:after="0" w:line="240" w:lineRule="auto"/>
              <w:jc w:val="center"/>
              <w:rPr>
                <w:rFonts w:ascii="Times New Roman" w:eastAsia="Times New Roman" w:hAnsi="Times New Roman" w:cs="Times New Roman"/>
                <w:color w:val="000000"/>
                <w:sz w:val="24"/>
                <w:szCs w:val="20"/>
              </w:rPr>
            </w:pPr>
            <w:r w:rsidRPr="008B2D94">
              <w:rPr>
                <w:rFonts w:ascii="Times New Roman" w:eastAsia="Times New Roman" w:hAnsi="Times New Roman" w:cs="Times New Roman"/>
                <w:color w:val="000000"/>
                <w:sz w:val="24"/>
                <w:szCs w:val="20"/>
              </w:rPr>
              <w:t>7</w:t>
            </w:r>
          </w:p>
        </w:tc>
        <w:tc>
          <w:tcPr>
            <w:tcW w:w="2984" w:type="dxa"/>
            <w:shd w:val="clear" w:color="auto" w:fill="auto"/>
            <w:vAlign w:val="center"/>
          </w:tcPr>
          <w:p w:rsidR="008B2D94" w:rsidRPr="008B2D94" w:rsidRDefault="008B2D94" w:rsidP="007655FB">
            <w:pPr>
              <w:tabs>
                <w:tab w:val="left" w:pos="1885"/>
              </w:tabs>
              <w:spacing w:after="0" w:line="240" w:lineRule="auto"/>
              <w:jc w:val="center"/>
              <w:rPr>
                <w:rFonts w:ascii="Times New Roman" w:eastAsia="Times New Roman" w:hAnsi="Times New Roman" w:cs="Times New Roman"/>
                <w:color w:val="000000"/>
                <w:sz w:val="24"/>
                <w:szCs w:val="20"/>
              </w:rPr>
            </w:pPr>
            <w:r w:rsidRPr="008B2D94">
              <w:rPr>
                <w:rFonts w:ascii="Times New Roman" w:eastAsia="Times New Roman" w:hAnsi="Times New Roman" w:cs="Times New Roman"/>
                <w:color w:val="000000"/>
                <w:sz w:val="24"/>
                <w:szCs w:val="20"/>
              </w:rPr>
              <w:t>0,01</w:t>
            </w:r>
          </w:p>
        </w:tc>
      </w:tr>
      <w:tr w:rsidR="008B2D94" w:rsidRPr="008B2D94" w:rsidTr="00651F8D">
        <w:tc>
          <w:tcPr>
            <w:tcW w:w="3510" w:type="dxa"/>
            <w:shd w:val="clear" w:color="auto" w:fill="auto"/>
            <w:vAlign w:val="center"/>
          </w:tcPr>
          <w:p w:rsidR="008B2D94" w:rsidRPr="008B2D94" w:rsidRDefault="008B2D94" w:rsidP="007655FB">
            <w:pPr>
              <w:tabs>
                <w:tab w:val="left" w:pos="1885"/>
              </w:tabs>
              <w:spacing w:after="0" w:line="240" w:lineRule="auto"/>
              <w:rPr>
                <w:rFonts w:ascii="Times New Roman" w:eastAsia="Times New Roman" w:hAnsi="Times New Roman" w:cs="Times New Roman"/>
                <w:b/>
                <w:sz w:val="24"/>
                <w:szCs w:val="20"/>
              </w:rPr>
            </w:pPr>
            <w:r w:rsidRPr="008B2D94">
              <w:rPr>
                <w:rFonts w:ascii="Times New Roman" w:eastAsia="Times New Roman" w:hAnsi="Times New Roman" w:cs="Times New Roman"/>
                <w:b/>
                <w:sz w:val="24"/>
                <w:szCs w:val="20"/>
              </w:rPr>
              <w:t>Јавна предузећа-локална самоуправа</w:t>
            </w:r>
          </w:p>
        </w:tc>
        <w:tc>
          <w:tcPr>
            <w:tcW w:w="2393" w:type="dxa"/>
            <w:shd w:val="clear" w:color="auto" w:fill="auto"/>
            <w:vAlign w:val="center"/>
          </w:tcPr>
          <w:p w:rsidR="008B2D94" w:rsidRPr="008B2D94" w:rsidRDefault="008B2D94" w:rsidP="007655FB">
            <w:pPr>
              <w:tabs>
                <w:tab w:val="left" w:pos="1885"/>
              </w:tabs>
              <w:spacing w:after="0" w:line="240" w:lineRule="auto"/>
              <w:jc w:val="center"/>
              <w:rPr>
                <w:rFonts w:ascii="Times New Roman" w:eastAsia="Times New Roman" w:hAnsi="Times New Roman" w:cs="Times New Roman"/>
                <w:color w:val="000000"/>
                <w:sz w:val="24"/>
                <w:szCs w:val="20"/>
              </w:rPr>
            </w:pPr>
            <w:r w:rsidRPr="008B2D94">
              <w:rPr>
                <w:rFonts w:ascii="Times New Roman" w:eastAsia="Times New Roman" w:hAnsi="Times New Roman" w:cs="Times New Roman"/>
                <w:color w:val="000000"/>
                <w:sz w:val="24"/>
                <w:szCs w:val="20"/>
              </w:rPr>
              <w:t>841</w:t>
            </w:r>
          </w:p>
        </w:tc>
        <w:tc>
          <w:tcPr>
            <w:tcW w:w="0" w:type="auto"/>
            <w:shd w:val="clear" w:color="auto" w:fill="auto"/>
            <w:vAlign w:val="center"/>
          </w:tcPr>
          <w:p w:rsidR="008B2D94" w:rsidRPr="008B2D94" w:rsidRDefault="008B2D94" w:rsidP="007655FB">
            <w:pPr>
              <w:tabs>
                <w:tab w:val="left" w:pos="1885"/>
              </w:tabs>
              <w:spacing w:after="0" w:line="240" w:lineRule="auto"/>
              <w:jc w:val="center"/>
              <w:rPr>
                <w:rFonts w:ascii="Times New Roman" w:eastAsia="Times New Roman" w:hAnsi="Times New Roman" w:cs="Times New Roman"/>
                <w:color w:val="000000"/>
                <w:sz w:val="24"/>
                <w:szCs w:val="20"/>
              </w:rPr>
            </w:pPr>
            <w:r w:rsidRPr="008B2D94">
              <w:rPr>
                <w:rFonts w:ascii="Times New Roman" w:eastAsia="Times New Roman" w:hAnsi="Times New Roman" w:cs="Times New Roman"/>
                <w:color w:val="000000"/>
                <w:sz w:val="24"/>
                <w:szCs w:val="20"/>
              </w:rPr>
              <w:t>30</w:t>
            </w:r>
          </w:p>
        </w:tc>
        <w:tc>
          <w:tcPr>
            <w:tcW w:w="2984" w:type="dxa"/>
            <w:shd w:val="clear" w:color="auto" w:fill="auto"/>
            <w:vAlign w:val="center"/>
          </w:tcPr>
          <w:p w:rsidR="008B2D94" w:rsidRPr="008B2D94" w:rsidRDefault="008B2D94" w:rsidP="007655FB">
            <w:pPr>
              <w:tabs>
                <w:tab w:val="left" w:pos="1885"/>
              </w:tabs>
              <w:spacing w:after="0" w:line="240" w:lineRule="auto"/>
              <w:jc w:val="center"/>
              <w:rPr>
                <w:rFonts w:ascii="Times New Roman" w:eastAsia="Times New Roman" w:hAnsi="Times New Roman" w:cs="Times New Roman"/>
                <w:color w:val="000000"/>
                <w:sz w:val="24"/>
                <w:szCs w:val="20"/>
              </w:rPr>
            </w:pPr>
            <w:r w:rsidRPr="008B2D94">
              <w:rPr>
                <w:rFonts w:ascii="Times New Roman" w:eastAsia="Times New Roman" w:hAnsi="Times New Roman" w:cs="Times New Roman"/>
                <w:color w:val="000000"/>
                <w:sz w:val="24"/>
                <w:szCs w:val="20"/>
              </w:rPr>
              <w:t>0,04</w:t>
            </w:r>
          </w:p>
        </w:tc>
      </w:tr>
      <w:tr w:rsidR="008B2D94" w:rsidRPr="008B2D94" w:rsidTr="00651F8D">
        <w:tc>
          <w:tcPr>
            <w:tcW w:w="3510" w:type="dxa"/>
            <w:shd w:val="clear" w:color="auto" w:fill="auto"/>
            <w:vAlign w:val="center"/>
          </w:tcPr>
          <w:p w:rsidR="008B2D94" w:rsidRPr="008B2D94" w:rsidRDefault="008B2D94" w:rsidP="007655FB">
            <w:pPr>
              <w:tabs>
                <w:tab w:val="left" w:pos="1885"/>
              </w:tabs>
              <w:spacing w:after="0" w:line="240" w:lineRule="auto"/>
              <w:rPr>
                <w:rFonts w:ascii="Times New Roman" w:eastAsia="Times New Roman" w:hAnsi="Times New Roman" w:cs="Times New Roman"/>
                <w:b/>
                <w:sz w:val="24"/>
                <w:szCs w:val="20"/>
              </w:rPr>
            </w:pPr>
            <w:r w:rsidRPr="008B2D94">
              <w:rPr>
                <w:rFonts w:ascii="Times New Roman" w:eastAsia="Times New Roman" w:hAnsi="Times New Roman" w:cs="Times New Roman"/>
                <w:b/>
                <w:sz w:val="24"/>
                <w:szCs w:val="20"/>
              </w:rPr>
              <w:t>Градска и општинс</w:t>
            </w:r>
            <w:r w:rsidR="00651F8D">
              <w:rPr>
                <w:rFonts w:ascii="Times New Roman" w:eastAsia="Times New Roman" w:hAnsi="Times New Roman" w:cs="Times New Roman"/>
                <w:b/>
                <w:sz w:val="24"/>
                <w:szCs w:val="20"/>
                <w:lang w:val="sr-Cyrl-RS"/>
              </w:rPr>
              <w:t>к</w:t>
            </w:r>
            <w:r w:rsidRPr="008B2D94">
              <w:rPr>
                <w:rFonts w:ascii="Times New Roman" w:eastAsia="Times New Roman" w:hAnsi="Times New Roman" w:cs="Times New Roman"/>
                <w:b/>
                <w:sz w:val="24"/>
                <w:szCs w:val="20"/>
              </w:rPr>
              <w:t>а управа</w:t>
            </w:r>
          </w:p>
        </w:tc>
        <w:tc>
          <w:tcPr>
            <w:tcW w:w="2393" w:type="dxa"/>
            <w:shd w:val="clear" w:color="auto" w:fill="auto"/>
            <w:vAlign w:val="center"/>
          </w:tcPr>
          <w:p w:rsidR="008B2D94" w:rsidRPr="008B2D94" w:rsidRDefault="008B2D94" w:rsidP="007655FB">
            <w:pPr>
              <w:tabs>
                <w:tab w:val="left" w:pos="1885"/>
              </w:tabs>
              <w:spacing w:after="0" w:line="240" w:lineRule="auto"/>
              <w:jc w:val="center"/>
              <w:rPr>
                <w:rFonts w:ascii="Times New Roman" w:eastAsia="Times New Roman" w:hAnsi="Times New Roman" w:cs="Times New Roman"/>
                <w:color w:val="000000"/>
                <w:sz w:val="24"/>
                <w:szCs w:val="20"/>
              </w:rPr>
            </w:pPr>
            <w:r w:rsidRPr="008B2D94">
              <w:rPr>
                <w:rFonts w:ascii="Times New Roman" w:eastAsia="Times New Roman" w:hAnsi="Times New Roman" w:cs="Times New Roman"/>
                <w:color w:val="000000"/>
                <w:sz w:val="24"/>
                <w:szCs w:val="20"/>
              </w:rPr>
              <w:t>144</w:t>
            </w:r>
          </w:p>
        </w:tc>
        <w:tc>
          <w:tcPr>
            <w:tcW w:w="0" w:type="auto"/>
            <w:shd w:val="clear" w:color="auto" w:fill="auto"/>
            <w:vAlign w:val="center"/>
          </w:tcPr>
          <w:p w:rsidR="008B2D94" w:rsidRPr="008B2D94" w:rsidRDefault="008B2D94" w:rsidP="007655FB">
            <w:pPr>
              <w:tabs>
                <w:tab w:val="left" w:pos="1885"/>
              </w:tabs>
              <w:spacing w:after="0" w:line="240" w:lineRule="auto"/>
              <w:jc w:val="center"/>
              <w:rPr>
                <w:rFonts w:ascii="Times New Roman" w:eastAsia="Times New Roman" w:hAnsi="Times New Roman" w:cs="Times New Roman"/>
                <w:color w:val="000000"/>
                <w:sz w:val="24"/>
                <w:szCs w:val="20"/>
              </w:rPr>
            </w:pPr>
            <w:r w:rsidRPr="008B2D94">
              <w:rPr>
                <w:rFonts w:ascii="Times New Roman" w:eastAsia="Times New Roman" w:hAnsi="Times New Roman" w:cs="Times New Roman"/>
                <w:color w:val="000000"/>
                <w:sz w:val="24"/>
                <w:szCs w:val="20"/>
              </w:rPr>
              <w:t>8</w:t>
            </w:r>
          </w:p>
        </w:tc>
        <w:tc>
          <w:tcPr>
            <w:tcW w:w="2984" w:type="dxa"/>
            <w:shd w:val="clear" w:color="auto" w:fill="auto"/>
            <w:vAlign w:val="center"/>
          </w:tcPr>
          <w:p w:rsidR="008B2D94" w:rsidRPr="008B2D94" w:rsidRDefault="008B2D94" w:rsidP="007655FB">
            <w:pPr>
              <w:tabs>
                <w:tab w:val="left" w:pos="1885"/>
              </w:tabs>
              <w:spacing w:after="0" w:line="240" w:lineRule="auto"/>
              <w:jc w:val="center"/>
              <w:rPr>
                <w:rFonts w:ascii="Times New Roman" w:eastAsia="Times New Roman" w:hAnsi="Times New Roman" w:cs="Times New Roman"/>
                <w:color w:val="000000"/>
                <w:sz w:val="24"/>
                <w:szCs w:val="20"/>
              </w:rPr>
            </w:pPr>
            <w:r w:rsidRPr="008B2D94">
              <w:rPr>
                <w:rFonts w:ascii="Times New Roman" w:eastAsia="Times New Roman" w:hAnsi="Times New Roman" w:cs="Times New Roman"/>
                <w:color w:val="000000"/>
                <w:sz w:val="24"/>
                <w:szCs w:val="20"/>
              </w:rPr>
              <w:t>0,06</w:t>
            </w:r>
          </w:p>
        </w:tc>
      </w:tr>
      <w:tr w:rsidR="008B2D94" w:rsidRPr="008B2D94" w:rsidTr="00651F8D">
        <w:tc>
          <w:tcPr>
            <w:tcW w:w="3510" w:type="dxa"/>
            <w:shd w:val="clear" w:color="auto" w:fill="auto"/>
            <w:vAlign w:val="center"/>
          </w:tcPr>
          <w:p w:rsidR="008B2D94" w:rsidRPr="008B2D94" w:rsidRDefault="008B2D94" w:rsidP="007655FB">
            <w:pPr>
              <w:tabs>
                <w:tab w:val="left" w:pos="1885"/>
              </w:tabs>
              <w:spacing w:after="0" w:line="240" w:lineRule="auto"/>
              <w:rPr>
                <w:rFonts w:ascii="Times New Roman" w:eastAsia="Times New Roman" w:hAnsi="Times New Roman" w:cs="Times New Roman"/>
                <w:b/>
                <w:sz w:val="24"/>
                <w:szCs w:val="20"/>
              </w:rPr>
            </w:pPr>
            <w:r w:rsidRPr="008B2D94">
              <w:rPr>
                <w:rFonts w:ascii="Times New Roman" w:eastAsia="Times New Roman" w:hAnsi="Times New Roman" w:cs="Times New Roman"/>
                <w:b/>
                <w:sz w:val="24"/>
                <w:szCs w:val="20"/>
              </w:rPr>
              <w:t>Укупно</w:t>
            </w:r>
          </w:p>
        </w:tc>
        <w:tc>
          <w:tcPr>
            <w:tcW w:w="2393" w:type="dxa"/>
            <w:shd w:val="clear" w:color="auto" w:fill="auto"/>
            <w:vAlign w:val="center"/>
          </w:tcPr>
          <w:p w:rsidR="008B2D94" w:rsidRPr="008B2D94" w:rsidRDefault="008B2D94" w:rsidP="007655FB">
            <w:pPr>
              <w:tabs>
                <w:tab w:val="left" w:pos="1885"/>
              </w:tabs>
              <w:spacing w:after="0" w:line="240" w:lineRule="auto"/>
              <w:jc w:val="center"/>
              <w:rPr>
                <w:rFonts w:ascii="Times New Roman" w:eastAsia="Times New Roman" w:hAnsi="Times New Roman" w:cs="Times New Roman"/>
                <w:color w:val="000000"/>
                <w:sz w:val="24"/>
                <w:szCs w:val="20"/>
              </w:rPr>
            </w:pPr>
            <w:r w:rsidRPr="008B2D94">
              <w:rPr>
                <w:rFonts w:ascii="Times New Roman" w:eastAsia="Times New Roman" w:hAnsi="Times New Roman" w:cs="Times New Roman"/>
                <w:color w:val="000000"/>
                <w:sz w:val="24"/>
                <w:szCs w:val="20"/>
              </w:rPr>
              <w:t>3.734</w:t>
            </w:r>
          </w:p>
        </w:tc>
        <w:tc>
          <w:tcPr>
            <w:tcW w:w="0" w:type="auto"/>
            <w:shd w:val="clear" w:color="auto" w:fill="auto"/>
            <w:vAlign w:val="center"/>
          </w:tcPr>
          <w:p w:rsidR="008B2D94" w:rsidRPr="008B2D94" w:rsidRDefault="008B2D94" w:rsidP="007655FB">
            <w:pPr>
              <w:tabs>
                <w:tab w:val="left" w:pos="1885"/>
              </w:tabs>
              <w:spacing w:after="0" w:line="240" w:lineRule="auto"/>
              <w:jc w:val="center"/>
              <w:rPr>
                <w:rFonts w:ascii="Times New Roman" w:eastAsia="Times New Roman" w:hAnsi="Times New Roman" w:cs="Times New Roman"/>
                <w:color w:val="000000"/>
                <w:sz w:val="24"/>
                <w:szCs w:val="20"/>
              </w:rPr>
            </w:pPr>
            <w:r w:rsidRPr="008B2D94">
              <w:rPr>
                <w:rFonts w:ascii="Times New Roman" w:eastAsia="Times New Roman" w:hAnsi="Times New Roman" w:cs="Times New Roman"/>
                <w:color w:val="000000"/>
                <w:sz w:val="24"/>
                <w:szCs w:val="20"/>
              </w:rPr>
              <w:t>119</w:t>
            </w:r>
          </w:p>
        </w:tc>
        <w:tc>
          <w:tcPr>
            <w:tcW w:w="2984" w:type="dxa"/>
            <w:shd w:val="clear" w:color="auto" w:fill="auto"/>
            <w:vAlign w:val="center"/>
          </w:tcPr>
          <w:p w:rsidR="008B2D94" w:rsidRPr="008B2D94" w:rsidRDefault="008B2D94" w:rsidP="007655FB">
            <w:pPr>
              <w:tabs>
                <w:tab w:val="left" w:pos="1885"/>
              </w:tabs>
              <w:spacing w:after="0" w:line="240" w:lineRule="auto"/>
              <w:jc w:val="center"/>
              <w:rPr>
                <w:rFonts w:ascii="Times New Roman" w:eastAsia="Times New Roman" w:hAnsi="Times New Roman" w:cs="Times New Roman"/>
                <w:color w:val="000000"/>
                <w:sz w:val="24"/>
                <w:szCs w:val="20"/>
              </w:rPr>
            </w:pPr>
            <w:r w:rsidRPr="008B2D94">
              <w:rPr>
                <w:rFonts w:ascii="Times New Roman" w:eastAsia="Times New Roman" w:hAnsi="Times New Roman" w:cs="Times New Roman"/>
                <w:color w:val="000000"/>
                <w:sz w:val="24"/>
                <w:szCs w:val="20"/>
              </w:rPr>
              <w:t>0,03</w:t>
            </w:r>
          </w:p>
        </w:tc>
      </w:tr>
    </w:tbl>
    <w:p w:rsidR="007B4B66" w:rsidRPr="008B1816" w:rsidRDefault="007B4B66" w:rsidP="008B1816">
      <w:pPr>
        <w:rPr>
          <w:rFonts w:ascii="Times New Roman" w:hAnsi="Times New Roman" w:cs="Times New Roman"/>
          <w:b/>
          <w:sz w:val="24"/>
          <w:szCs w:val="24"/>
        </w:rPr>
      </w:pPr>
    </w:p>
    <w:p w:rsidR="00637BC6" w:rsidRPr="003C3BC0" w:rsidRDefault="00637BC6" w:rsidP="003C3BC0">
      <w:pPr>
        <w:pStyle w:val="ListParagraph"/>
        <w:numPr>
          <w:ilvl w:val="0"/>
          <w:numId w:val="2"/>
        </w:numPr>
        <w:rPr>
          <w:rFonts w:ascii="Times New Roman" w:hAnsi="Times New Roman" w:cs="Times New Roman"/>
          <w:b/>
          <w:sz w:val="24"/>
          <w:szCs w:val="24"/>
        </w:rPr>
      </w:pPr>
      <w:r w:rsidRPr="003C3BC0">
        <w:rPr>
          <w:rFonts w:ascii="Times New Roman" w:hAnsi="Times New Roman" w:cs="Times New Roman"/>
          <w:b/>
          <w:sz w:val="24"/>
          <w:szCs w:val="24"/>
        </w:rPr>
        <w:t>ИСХОДИ ПОСТУПАКА</w:t>
      </w:r>
    </w:p>
    <w:p w:rsidR="00A92087" w:rsidRDefault="00637BC6" w:rsidP="007B4B66">
      <w:pPr>
        <w:jc w:val="both"/>
        <w:rPr>
          <w:rFonts w:ascii="Times New Roman" w:hAnsi="Times New Roman" w:cs="Times New Roman"/>
          <w:sz w:val="24"/>
          <w:szCs w:val="24"/>
        </w:rPr>
      </w:pPr>
      <w:r>
        <w:rPr>
          <w:rFonts w:ascii="Times New Roman" w:hAnsi="Times New Roman" w:cs="Times New Roman"/>
          <w:sz w:val="24"/>
          <w:szCs w:val="24"/>
        </w:rPr>
        <w:t xml:space="preserve">Преглед исхода поступака јавних набавки у </w:t>
      </w:r>
      <w:r w:rsidR="00120C2B">
        <w:rPr>
          <w:rFonts w:ascii="Times New Roman" w:hAnsi="Times New Roman" w:cs="Times New Roman"/>
          <w:sz w:val="24"/>
          <w:szCs w:val="24"/>
        </w:rPr>
        <w:t xml:space="preserve">четвртом </w:t>
      </w:r>
      <w:r>
        <w:rPr>
          <w:rFonts w:ascii="Times New Roman" w:hAnsi="Times New Roman" w:cs="Times New Roman"/>
          <w:sz w:val="24"/>
          <w:szCs w:val="24"/>
        </w:rPr>
        <w:t xml:space="preserve">кварталу 2013. године (Табела </w:t>
      </w:r>
      <w:r w:rsidR="008B1816">
        <w:rPr>
          <w:rFonts w:ascii="Times New Roman" w:hAnsi="Times New Roman" w:cs="Times New Roman"/>
          <w:sz w:val="24"/>
          <w:szCs w:val="24"/>
        </w:rPr>
        <w:t>9</w:t>
      </w:r>
      <w:r w:rsidR="00A92087">
        <w:rPr>
          <w:rFonts w:ascii="Times New Roman" w:hAnsi="Times New Roman" w:cs="Times New Roman"/>
          <w:sz w:val="24"/>
          <w:szCs w:val="24"/>
        </w:rPr>
        <w:t>, С</w:t>
      </w:r>
      <w:r w:rsidR="00120C2B">
        <w:rPr>
          <w:rFonts w:ascii="Times New Roman" w:hAnsi="Times New Roman" w:cs="Times New Roman"/>
          <w:sz w:val="24"/>
          <w:szCs w:val="24"/>
        </w:rPr>
        <w:t>лика 16</w:t>
      </w:r>
      <w:r>
        <w:rPr>
          <w:rFonts w:ascii="Times New Roman" w:hAnsi="Times New Roman" w:cs="Times New Roman"/>
          <w:sz w:val="24"/>
          <w:szCs w:val="24"/>
        </w:rPr>
        <w:t xml:space="preserve">) показује да је </w:t>
      </w:r>
      <w:r w:rsidR="00E9515B">
        <w:rPr>
          <w:rFonts w:ascii="Times New Roman" w:hAnsi="Times New Roman" w:cs="Times New Roman"/>
          <w:sz w:val="24"/>
          <w:szCs w:val="24"/>
        </w:rPr>
        <w:t xml:space="preserve">86% </w:t>
      </w:r>
      <w:r>
        <w:rPr>
          <w:rFonts w:ascii="Times New Roman" w:hAnsi="Times New Roman" w:cs="Times New Roman"/>
          <w:sz w:val="24"/>
          <w:szCs w:val="24"/>
        </w:rPr>
        <w:t>запо</w:t>
      </w:r>
      <w:r w:rsidR="005F5974">
        <w:rPr>
          <w:rFonts w:ascii="Times New Roman" w:hAnsi="Times New Roman" w:cs="Times New Roman"/>
          <w:sz w:val="24"/>
          <w:szCs w:val="24"/>
        </w:rPr>
        <w:t>четих поступака успешно окончано</w:t>
      </w:r>
      <w:r>
        <w:rPr>
          <w:rFonts w:ascii="Times New Roman" w:hAnsi="Times New Roman" w:cs="Times New Roman"/>
          <w:sz w:val="24"/>
          <w:szCs w:val="24"/>
        </w:rPr>
        <w:t xml:space="preserve">. </w:t>
      </w:r>
      <w:r w:rsidR="007A00D3">
        <w:rPr>
          <w:rFonts w:ascii="Times New Roman" w:hAnsi="Times New Roman" w:cs="Times New Roman"/>
          <w:sz w:val="24"/>
          <w:szCs w:val="24"/>
        </w:rPr>
        <w:t xml:space="preserve">Уколико је набавка подељена по партијама, успешно спроведеном набавком се сматра уколико је </w:t>
      </w:r>
      <w:r w:rsidR="00B26AAA">
        <w:rPr>
          <w:rFonts w:ascii="Times New Roman" w:hAnsi="Times New Roman" w:cs="Times New Roman"/>
          <w:sz w:val="24"/>
          <w:szCs w:val="24"/>
        </w:rPr>
        <w:t xml:space="preserve">за </w:t>
      </w:r>
      <w:r w:rsidR="007A00D3">
        <w:rPr>
          <w:rFonts w:ascii="Times New Roman" w:hAnsi="Times New Roman" w:cs="Times New Roman"/>
          <w:sz w:val="24"/>
          <w:szCs w:val="24"/>
        </w:rPr>
        <w:t xml:space="preserve">најмање 50% партија успешно спроведен поступак. </w:t>
      </w:r>
    </w:p>
    <w:p w:rsidR="00D14DA3" w:rsidRDefault="00D14DA3" w:rsidP="00637BC6">
      <w:pPr>
        <w:rPr>
          <w:rFonts w:ascii="Times New Roman" w:hAnsi="Times New Roman" w:cs="Times New Roman"/>
          <w:b/>
          <w:sz w:val="24"/>
          <w:szCs w:val="24"/>
          <w:lang w:val="sr-Cyrl-RS"/>
        </w:rPr>
      </w:pPr>
    </w:p>
    <w:p w:rsidR="00D14DA3" w:rsidRDefault="00D14DA3" w:rsidP="00637BC6">
      <w:pPr>
        <w:rPr>
          <w:rFonts w:ascii="Times New Roman" w:hAnsi="Times New Roman" w:cs="Times New Roman"/>
          <w:b/>
          <w:sz w:val="24"/>
          <w:szCs w:val="24"/>
          <w:lang w:val="sr-Cyrl-RS"/>
        </w:rPr>
      </w:pPr>
    </w:p>
    <w:p w:rsidR="00637BC6" w:rsidRPr="009B3038" w:rsidRDefault="00637BC6" w:rsidP="00645020">
      <w:pPr>
        <w:rPr>
          <w:rFonts w:ascii="Times New Roman" w:hAnsi="Times New Roman" w:cs="Times New Roman"/>
          <w:b/>
          <w:sz w:val="24"/>
          <w:szCs w:val="24"/>
        </w:rPr>
      </w:pPr>
      <w:r w:rsidRPr="009B3038">
        <w:rPr>
          <w:rFonts w:ascii="Times New Roman" w:hAnsi="Times New Roman" w:cs="Times New Roman"/>
          <w:b/>
          <w:sz w:val="24"/>
          <w:szCs w:val="24"/>
        </w:rPr>
        <w:lastRenderedPageBreak/>
        <w:t xml:space="preserve">Табела </w:t>
      </w:r>
      <w:r w:rsidR="008B1816" w:rsidRPr="009B3038">
        <w:rPr>
          <w:rFonts w:ascii="Times New Roman" w:hAnsi="Times New Roman" w:cs="Times New Roman"/>
          <w:b/>
          <w:sz w:val="24"/>
          <w:szCs w:val="24"/>
        </w:rPr>
        <w:t>9</w:t>
      </w:r>
    </w:p>
    <w:tbl>
      <w:tblPr>
        <w:tblW w:w="0" w:type="auto"/>
        <w:jc w:val="center"/>
        <w:tblInd w:w="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8"/>
        <w:gridCol w:w="1336"/>
        <w:gridCol w:w="1015"/>
        <w:gridCol w:w="1336"/>
        <w:gridCol w:w="1015"/>
        <w:gridCol w:w="1047"/>
        <w:gridCol w:w="966"/>
      </w:tblGrid>
      <w:tr w:rsidR="00426199" w:rsidRPr="00426199" w:rsidTr="002F2F7D">
        <w:trPr>
          <w:trHeight w:val="615"/>
          <w:jc w:val="center"/>
        </w:trPr>
        <w:tc>
          <w:tcPr>
            <w:tcW w:w="8403" w:type="dxa"/>
            <w:gridSpan w:val="7"/>
            <w:shd w:val="clear" w:color="auto" w:fill="auto"/>
            <w:vAlign w:val="center"/>
          </w:tcPr>
          <w:p w:rsidR="00426199" w:rsidRPr="00426199" w:rsidRDefault="00426199" w:rsidP="007655FB">
            <w:pPr>
              <w:tabs>
                <w:tab w:val="left" w:pos="1885"/>
              </w:tabs>
              <w:jc w:val="center"/>
              <w:rPr>
                <w:rFonts w:ascii="Times New Roman" w:hAnsi="Times New Roman" w:cs="Times New Roman"/>
                <w:b/>
                <w:sz w:val="24"/>
                <w:szCs w:val="24"/>
              </w:rPr>
            </w:pPr>
            <w:r w:rsidRPr="00426199">
              <w:rPr>
                <w:rFonts w:ascii="Times New Roman" w:hAnsi="Times New Roman" w:cs="Times New Roman"/>
                <w:b/>
                <w:sz w:val="24"/>
                <w:szCs w:val="24"/>
              </w:rPr>
              <w:t>Преглед исхода поступака у четвртом кварталу 2013. године</w:t>
            </w:r>
          </w:p>
        </w:tc>
      </w:tr>
      <w:tr w:rsidR="00426199" w:rsidRPr="00426199" w:rsidTr="007655FB">
        <w:trPr>
          <w:trHeight w:val="981"/>
          <w:jc w:val="center"/>
        </w:trPr>
        <w:tc>
          <w:tcPr>
            <w:tcW w:w="1688" w:type="dxa"/>
            <w:shd w:val="clear" w:color="auto" w:fill="auto"/>
            <w:vAlign w:val="center"/>
          </w:tcPr>
          <w:p w:rsidR="00426199" w:rsidRPr="00426199" w:rsidRDefault="00426199" w:rsidP="007655FB">
            <w:pPr>
              <w:tabs>
                <w:tab w:val="left" w:pos="1885"/>
              </w:tabs>
              <w:jc w:val="center"/>
              <w:rPr>
                <w:rFonts w:ascii="Times New Roman" w:hAnsi="Times New Roman" w:cs="Times New Roman"/>
                <w:b/>
              </w:rPr>
            </w:pPr>
            <w:r w:rsidRPr="00426199">
              <w:rPr>
                <w:rFonts w:ascii="Times New Roman" w:hAnsi="Times New Roman" w:cs="Times New Roman"/>
                <w:b/>
              </w:rPr>
              <w:t>Исход поступка</w:t>
            </w:r>
          </w:p>
        </w:tc>
        <w:tc>
          <w:tcPr>
            <w:tcW w:w="1336" w:type="dxa"/>
            <w:shd w:val="clear" w:color="auto" w:fill="auto"/>
            <w:vAlign w:val="center"/>
          </w:tcPr>
          <w:p w:rsidR="00426199" w:rsidRPr="00426199" w:rsidRDefault="00426199" w:rsidP="007655FB">
            <w:pPr>
              <w:tabs>
                <w:tab w:val="left" w:pos="1885"/>
              </w:tabs>
              <w:jc w:val="center"/>
              <w:rPr>
                <w:rFonts w:ascii="Times New Roman" w:hAnsi="Times New Roman" w:cs="Times New Roman"/>
                <w:b/>
              </w:rPr>
            </w:pPr>
            <w:r w:rsidRPr="00426199">
              <w:rPr>
                <w:rFonts w:ascii="Times New Roman" w:hAnsi="Times New Roman" w:cs="Times New Roman"/>
                <w:b/>
              </w:rPr>
              <w:t>Број поступака велике вредности</w:t>
            </w:r>
          </w:p>
        </w:tc>
        <w:tc>
          <w:tcPr>
            <w:tcW w:w="1015" w:type="dxa"/>
            <w:shd w:val="clear" w:color="auto" w:fill="auto"/>
            <w:vAlign w:val="center"/>
          </w:tcPr>
          <w:p w:rsidR="00426199" w:rsidRPr="00426199" w:rsidRDefault="00426199" w:rsidP="007655FB">
            <w:pPr>
              <w:tabs>
                <w:tab w:val="left" w:pos="1885"/>
              </w:tabs>
              <w:jc w:val="center"/>
              <w:rPr>
                <w:rFonts w:ascii="Times New Roman" w:hAnsi="Times New Roman" w:cs="Times New Roman"/>
                <w:b/>
              </w:rPr>
            </w:pPr>
            <w:r w:rsidRPr="00426199">
              <w:rPr>
                <w:rFonts w:ascii="Times New Roman" w:hAnsi="Times New Roman" w:cs="Times New Roman"/>
                <w:b/>
              </w:rPr>
              <w:t>%</w:t>
            </w:r>
          </w:p>
        </w:tc>
        <w:tc>
          <w:tcPr>
            <w:tcW w:w="1336" w:type="dxa"/>
            <w:shd w:val="clear" w:color="auto" w:fill="auto"/>
            <w:vAlign w:val="center"/>
          </w:tcPr>
          <w:p w:rsidR="00426199" w:rsidRPr="00426199" w:rsidRDefault="00426199" w:rsidP="007655FB">
            <w:pPr>
              <w:tabs>
                <w:tab w:val="left" w:pos="1885"/>
              </w:tabs>
              <w:jc w:val="center"/>
              <w:rPr>
                <w:rFonts w:ascii="Times New Roman" w:hAnsi="Times New Roman" w:cs="Times New Roman"/>
                <w:b/>
              </w:rPr>
            </w:pPr>
            <w:r w:rsidRPr="00426199">
              <w:rPr>
                <w:rFonts w:ascii="Times New Roman" w:hAnsi="Times New Roman" w:cs="Times New Roman"/>
                <w:b/>
              </w:rPr>
              <w:t>Број поступака мале вредности</w:t>
            </w:r>
          </w:p>
        </w:tc>
        <w:tc>
          <w:tcPr>
            <w:tcW w:w="1015" w:type="dxa"/>
            <w:shd w:val="clear" w:color="auto" w:fill="auto"/>
            <w:vAlign w:val="center"/>
          </w:tcPr>
          <w:p w:rsidR="00426199" w:rsidRPr="00426199" w:rsidRDefault="00426199" w:rsidP="007655FB">
            <w:pPr>
              <w:tabs>
                <w:tab w:val="left" w:pos="1885"/>
              </w:tabs>
              <w:jc w:val="center"/>
              <w:rPr>
                <w:rFonts w:ascii="Times New Roman" w:hAnsi="Times New Roman" w:cs="Times New Roman"/>
                <w:b/>
              </w:rPr>
            </w:pPr>
            <w:r w:rsidRPr="00426199">
              <w:rPr>
                <w:rFonts w:ascii="Times New Roman" w:hAnsi="Times New Roman" w:cs="Times New Roman"/>
                <w:b/>
              </w:rPr>
              <w:t>%</w:t>
            </w:r>
          </w:p>
        </w:tc>
        <w:tc>
          <w:tcPr>
            <w:tcW w:w="1047" w:type="dxa"/>
            <w:shd w:val="clear" w:color="auto" w:fill="auto"/>
            <w:vAlign w:val="center"/>
          </w:tcPr>
          <w:p w:rsidR="00426199" w:rsidRPr="00426199" w:rsidRDefault="00426199" w:rsidP="007655FB">
            <w:pPr>
              <w:tabs>
                <w:tab w:val="left" w:pos="1885"/>
              </w:tabs>
              <w:jc w:val="center"/>
              <w:rPr>
                <w:rFonts w:ascii="Times New Roman" w:hAnsi="Times New Roman" w:cs="Times New Roman"/>
                <w:b/>
              </w:rPr>
            </w:pPr>
            <w:r w:rsidRPr="00426199">
              <w:rPr>
                <w:rFonts w:ascii="Times New Roman" w:hAnsi="Times New Roman" w:cs="Times New Roman"/>
                <w:b/>
              </w:rPr>
              <w:t>Укупно</w:t>
            </w:r>
          </w:p>
        </w:tc>
        <w:tc>
          <w:tcPr>
            <w:tcW w:w="966" w:type="dxa"/>
            <w:shd w:val="clear" w:color="auto" w:fill="auto"/>
            <w:vAlign w:val="center"/>
          </w:tcPr>
          <w:p w:rsidR="00426199" w:rsidRPr="00426199" w:rsidRDefault="00426199" w:rsidP="007655FB">
            <w:pPr>
              <w:tabs>
                <w:tab w:val="left" w:pos="1885"/>
              </w:tabs>
              <w:jc w:val="center"/>
              <w:rPr>
                <w:rFonts w:ascii="Times New Roman" w:hAnsi="Times New Roman" w:cs="Times New Roman"/>
                <w:b/>
              </w:rPr>
            </w:pPr>
            <w:r w:rsidRPr="00426199">
              <w:rPr>
                <w:rFonts w:ascii="Times New Roman" w:hAnsi="Times New Roman" w:cs="Times New Roman"/>
                <w:b/>
              </w:rPr>
              <w:t>%</w:t>
            </w:r>
          </w:p>
        </w:tc>
      </w:tr>
      <w:tr w:rsidR="00426199" w:rsidRPr="00426199" w:rsidTr="007655FB">
        <w:trPr>
          <w:trHeight w:val="699"/>
          <w:jc w:val="center"/>
        </w:trPr>
        <w:tc>
          <w:tcPr>
            <w:tcW w:w="1688" w:type="dxa"/>
            <w:shd w:val="clear" w:color="auto" w:fill="auto"/>
            <w:vAlign w:val="center"/>
          </w:tcPr>
          <w:p w:rsidR="00426199" w:rsidRPr="00426199" w:rsidRDefault="00426199" w:rsidP="007655FB">
            <w:pPr>
              <w:tabs>
                <w:tab w:val="left" w:pos="1885"/>
              </w:tabs>
              <w:jc w:val="center"/>
              <w:rPr>
                <w:rFonts w:ascii="Times New Roman" w:hAnsi="Times New Roman" w:cs="Times New Roman"/>
                <w:b/>
              </w:rPr>
            </w:pPr>
            <w:r w:rsidRPr="00426199">
              <w:rPr>
                <w:rFonts w:ascii="Times New Roman" w:hAnsi="Times New Roman" w:cs="Times New Roman"/>
                <w:b/>
              </w:rPr>
              <w:t>Успешно спроведени</w:t>
            </w:r>
          </w:p>
        </w:tc>
        <w:tc>
          <w:tcPr>
            <w:tcW w:w="1336" w:type="dxa"/>
            <w:shd w:val="clear" w:color="auto" w:fill="auto"/>
            <w:vAlign w:val="center"/>
          </w:tcPr>
          <w:p w:rsidR="00426199" w:rsidRPr="00426199" w:rsidRDefault="00426199" w:rsidP="007655FB">
            <w:pPr>
              <w:tabs>
                <w:tab w:val="left" w:pos="1885"/>
              </w:tabs>
              <w:jc w:val="center"/>
              <w:rPr>
                <w:rFonts w:ascii="Times New Roman" w:hAnsi="Times New Roman" w:cs="Times New Roman"/>
              </w:rPr>
            </w:pPr>
            <w:r w:rsidRPr="00426199">
              <w:rPr>
                <w:rFonts w:ascii="Times New Roman" w:hAnsi="Times New Roman" w:cs="Times New Roman"/>
              </w:rPr>
              <w:t>4.724</w:t>
            </w:r>
          </w:p>
        </w:tc>
        <w:tc>
          <w:tcPr>
            <w:tcW w:w="1015" w:type="dxa"/>
            <w:shd w:val="clear" w:color="auto" w:fill="auto"/>
            <w:vAlign w:val="center"/>
          </w:tcPr>
          <w:p w:rsidR="00426199" w:rsidRPr="00426199" w:rsidRDefault="00426199" w:rsidP="007655FB">
            <w:pPr>
              <w:tabs>
                <w:tab w:val="left" w:pos="1885"/>
              </w:tabs>
              <w:jc w:val="center"/>
              <w:rPr>
                <w:rFonts w:ascii="Times New Roman" w:hAnsi="Times New Roman" w:cs="Times New Roman"/>
              </w:rPr>
            </w:pPr>
            <w:r w:rsidRPr="00426199">
              <w:rPr>
                <w:rFonts w:ascii="Times New Roman" w:hAnsi="Times New Roman" w:cs="Times New Roman"/>
              </w:rPr>
              <w:t>81</w:t>
            </w:r>
          </w:p>
        </w:tc>
        <w:tc>
          <w:tcPr>
            <w:tcW w:w="1336" w:type="dxa"/>
            <w:shd w:val="clear" w:color="auto" w:fill="auto"/>
            <w:vAlign w:val="center"/>
          </w:tcPr>
          <w:p w:rsidR="00426199" w:rsidRPr="00426199" w:rsidRDefault="00426199" w:rsidP="007655FB">
            <w:pPr>
              <w:tabs>
                <w:tab w:val="left" w:pos="1885"/>
              </w:tabs>
              <w:jc w:val="center"/>
              <w:rPr>
                <w:rFonts w:ascii="Times New Roman" w:hAnsi="Times New Roman" w:cs="Times New Roman"/>
              </w:rPr>
            </w:pPr>
            <w:r w:rsidRPr="00426199">
              <w:rPr>
                <w:rFonts w:ascii="Times New Roman" w:hAnsi="Times New Roman" w:cs="Times New Roman"/>
              </w:rPr>
              <w:t>7.235</w:t>
            </w:r>
          </w:p>
        </w:tc>
        <w:tc>
          <w:tcPr>
            <w:tcW w:w="1015" w:type="dxa"/>
            <w:shd w:val="clear" w:color="auto" w:fill="auto"/>
            <w:vAlign w:val="center"/>
          </w:tcPr>
          <w:p w:rsidR="00426199" w:rsidRPr="00426199" w:rsidRDefault="00426199" w:rsidP="007655FB">
            <w:pPr>
              <w:tabs>
                <w:tab w:val="left" w:pos="1885"/>
              </w:tabs>
              <w:jc w:val="center"/>
              <w:rPr>
                <w:rFonts w:ascii="Times New Roman" w:hAnsi="Times New Roman" w:cs="Times New Roman"/>
              </w:rPr>
            </w:pPr>
            <w:r w:rsidRPr="00426199">
              <w:rPr>
                <w:rFonts w:ascii="Times New Roman" w:hAnsi="Times New Roman" w:cs="Times New Roman"/>
              </w:rPr>
              <w:t>89</w:t>
            </w:r>
          </w:p>
        </w:tc>
        <w:tc>
          <w:tcPr>
            <w:tcW w:w="1047" w:type="dxa"/>
            <w:shd w:val="clear" w:color="auto" w:fill="auto"/>
            <w:vAlign w:val="center"/>
          </w:tcPr>
          <w:p w:rsidR="00426199" w:rsidRPr="00426199" w:rsidRDefault="00426199" w:rsidP="007655FB">
            <w:pPr>
              <w:tabs>
                <w:tab w:val="left" w:pos="1885"/>
              </w:tabs>
              <w:jc w:val="center"/>
              <w:rPr>
                <w:rFonts w:ascii="Times New Roman" w:hAnsi="Times New Roman" w:cs="Times New Roman"/>
              </w:rPr>
            </w:pPr>
            <w:r w:rsidRPr="00426199">
              <w:rPr>
                <w:rFonts w:ascii="Times New Roman" w:hAnsi="Times New Roman" w:cs="Times New Roman"/>
              </w:rPr>
              <w:t>11.959</w:t>
            </w:r>
          </w:p>
        </w:tc>
        <w:tc>
          <w:tcPr>
            <w:tcW w:w="966" w:type="dxa"/>
            <w:shd w:val="clear" w:color="auto" w:fill="auto"/>
            <w:vAlign w:val="center"/>
          </w:tcPr>
          <w:p w:rsidR="00426199" w:rsidRPr="00426199" w:rsidRDefault="00426199" w:rsidP="007655FB">
            <w:pPr>
              <w:tabs>
                <w:tab w:val="left" w:pos="1885"/>
              </w:tabs>
              <w:jc w:val="center"/>
              <w:rPr>
                <w:rFonts w:ascii="Times New Roman" w:hAnsi="Times New Roman" w:cs="Times New Roman"/>
              </w:rPr>
            </w:pPr>
            <w:r w:rsidRPr="00426199">
              <w:rPr>
                <w:rFonts w:ascii="Times New Roman" w:hAnsi="Times New Roman" w:cs="Times New Roman"/>
              </w:rPr>
              <w:t>86</w:t>
            </w:r>
          </w:p>
        </w:tc>
      </w:tr>
      <w:tr w:rsidR="00426199" w:rsidRPr="00426199" w:rsidTr="007655FB">
        <w:trPr>
          <w:trHeight w:val="486"/>
          <w:jc w:val="center"/>
        </w:trPr>
        <w:tc>
          <w:tcPr>
            <w:tcW w:w="1688" w:type="dxa"/>
            <w:shd w:val="clear" w:color="auto" w:fill="auto"/>
            <w:vAlign w:val="center"/>
          </w:tcPr>
          <w:p w:rsidR="00426199" w:rsidRPr="00426199" w:rsidRDefault="00426199" w:rsidP="007655FB">
            <w:pPr>
              <w:tabs>
                <w:tab w:val="left" w:pos="1885"/>
              </w:tabs>
              <w:jc w:val="center"/>
              <w:rPr>
                <w:rFonts w:ascii="Times New Roman" w:hAnsi="Times New Roman" w:cs="Times New Roman"/>
                <w:b/>
              </w:rPr>
            </w:pPr>
            <w:r w:rsidRPr="00426199">
              <w:rPr>
                <w:rFonts w:ascii="Times New Roman" w:hAnsi="Times New Roman" w:cs="Times New Roman"/>
                <w:b/>
              </w:rPr>
              <w:t>Обустављени</w:t>
            </w:r>
          </w:p>
        </w:tc>
        <w:tc>
          <w:tcPr>
            <w:tcW w:w="1336" w:type="dxa"/>
            <w:shd w:val="clear" w:color="auto" w:fill="auto"/>
            <w:vAlign w:val="center"/>
          </w:tcPr>
          <w:p w:rsidR="00426199" w:rsidRPr="00426199" w:rsidRDefault="00426199" w:rsidP="007655FB">
            <w:pPr>
              <w:tabs>
                <w:tab w:val="left" w:pos="1885"/>
              </w:tabs>
              <w:jc w:val="center"/>
              <w:rPr>
                <w:rFonts w:ascii="Times New Roman" w:hAnsi="Times New Roman" w:cs="Times New Roman"/>
              </w:rPr>
            </w:pPr>
            <w:r w:rsidRPr="00426199">
              <w:rPr>
                <w:rFonts w:ascii="Times New Roman" w:hAnsi="Times New Roman" w:cs="Times New Roman"/>
              </w:rPr>
              <w:t>976</w:t>
            </w:r>
          </w:p>
        </w:tc>
        <w:tc>
          <w:tcPr>
            <w:tcW w:w="1015" w:type="dxa"/>
            <w:shd w:val="clear" w:color="auto" w:fill="auto"/>
            <w:vAlign w:val="center"/>
          </w:tcPr>
          <w:p w:rsidR="00426199" w:rsidRPr="00426199" w:rsidRDefault="00426199" w:rsidP="007655FB">
            <w:pPr>
              <w:tabs>
                <w:tab w:val="left" w:pos="1885"/>
              </w:tabs>
              <w:jc w:val="center"/>
              <w:rPr>
                <w:rFonts w:ascii="Times New Roman" w:hAnsi="Times New Roman" w:cs="Times New Roman"/>
              </w:rPr>
            </w:pPr>
            <w:r w:rsidRPr="00426199">
              <w:rPr>
                <w:rFonts w:ascii="Times New Roman" w:hAnsi="Times New Roman" w:cs="Times New Roman"/>
              </w:rPr>
              <w:t>17</w:t>
            </w:r>
          </w:p>
        </w:tc>
        <w:tc>
          <w:tcPr>
            <w:tcW w:w="1336" w:type="dxa"/>
            <w:shd w:val="clear" w:color="auto" w:fill="auto"/>
            <w:vAlign w:val="center"/>
          </w:tcPr>
          <w:p w:rsidR="00426199" w:rsidRPr="00426199" w:rsidRDefault="00426199" w:rsidP="007655FB">
            <w:pPr>
              <w:tabs>
                <w:tab w:val="left" w:pos="1885"/>
              </w:tabs>
              <w:jc w:val="center"/>
              <w:rPr>
                <w:rFonts w:ascii="Times New Roman" w:hAnsi="Times New Roman" w:cs="Times New Roman"/>
              </w:rPr>
            </w:pPr>
            <w:r w:rsidRPr="00426199">
              <w:rPr>
                <w:rFonts w:ascii="Times New Roman" w:hAnsi="Times New Roman" w:cs="Times New Roman"/>
              </w:rPr>
              <w:t>797</w:t>
            </w:r>
          </w:p>
        </w:tc>
        <w:tc>
          <w:tcPr>
            <w:tcW w:w="1015" w:type="dxa"/>
            <w:shd w:val="clear" w:color="auto" w:fill="auto"/>
            <w:vAlign w:val="center"/>
          </w:tcPr>
          <w:p w:rsidR="00426199" w:rsidRPr="00426199" w:rsidRDefault="00426199" w:rsidP="007655FB">
            <w:pPr>
              <w:tabs>
                <w:tab w:val="left" w:pos="1885"/>
              </w:tabs>
              <w:jc w:val="center"/>
              <w:rPr>
                <w:rFonts w:ascii="Times New Roman" w:hAnsi="Times New Roman" w:cs="Times New Roman"/>
              </w:rPr>
            </w:pPr>
            <w:r w:rsidRPr="00426199">
              <w:rPr>
                <w:rFonts w:ascii="Times New Roman" w:hAnsi="Times New Roman" w:cs="Times New Roman"/>
              </w:rPr>
              <w:t>10</w:t>
            </w:r>
          </w:p>
        </w:tc>
        <w:tc>
          <w:tcPr>
            <w:tcW w:w="1047" w:type="dxa"/>
            <w:shd w:val="clear" w:color="auto" w:fill="auto"/>
            <w:vAlign w:val="center"/>
          </w:tcPr>
          <w:p w:rsidR="00426199" w:rsidRPr="00426199" w:rsidRDefault="00426199" w:rsidP="007655FB">
            <w:pPr>
              <w:tabs>
                <w:tab w:val="left" w:pos="1885"/>
              </w:tabs>
              <w:jc w:val="center"/>
              <w:rPr>
                <w:rFonts w:ascii="Times New Roman" w:hAnsi="Times New Roman" w:cs="Times New Roman"/>
              </w:rPr>
            </w:pPr>
            <w:r w:rsidRPr="00426199">
              <w:rPr>
                <w:rFonts w:ascii="Times New Roman" w:hAnsi="Times New Roman" w:cs="Times New Roman"/>
              </w:rPr>
              <w:t>1.773</w:t>
            </w:r>
          </w:p>
        </w:tc>
        <w:tc>
          <w:tcPr>
            <w:tcW w:w="966" w:type="dxa"/>
            <w:shd w:val="clear" w:color="auto" w:fill="auto"/>
            <w:vAlign w:val="center"/>
          </w:tcPr>
          <w:p w:rsidR="00426199" w:rsidRPr="00426199" w:rsidRDefault="00426199" w:rsidP="007655FB">
            <w:pPr>
              <w:tabs>
                <w:tab w:val="left" w:pos="1885"/>
              </w:tabs>
              <w:jc w:val="center"/>
              <w:rPr>
                <w:rFonts w:ascii="Times New Roman" w:hAnsi="Times New Roman" w:cs="Times New Roman"/>
              </w:rPr>
            </w:pPr>
            <w:r w:rsidRPr="00426199">
              <w:rPr>
                <w:rFonts w:ascii="Times New Roman" w:hAnsi="Times New Roman" w:cs="Times New Roman"/>
              </w:rPr>
              <w:t>13</w:t>
            </w:r>
          </w:p>
        </w:tc>
      </w:tr>
      <w:tr w:rsidR="00426199" w:rsidRPr="00426199" w:rsidTr="007655FB">
        <w:trPr>
          <w:trHeight w:val="776"/>
          <w:jc w:val="center"/>
        </w:trPr>
        <w:tc>
          <w:tcPr>
            <w:tcW w:w="1688" w:type="dxa"/>
            <w:shd w:val="clear" w:color="auto" w:fill="auto"/>
            <w:vAlign w:val="center"/>
          </w:tcPr>
          <w:p w:rsidR="00426199" w:rsidRPr="00426199" w:rsidRDefault="00426199" w:rsidP="007655FB">
            <w:pPr>
              <w:tabs>
                <w:tab w:val="left" w:pos="1885"/>
              </w:tabs>
              <w:jc w:val="center"/>
              <w:rPr>
                <w:rFonts w:ascii="Times New Roman" w:hAnsi="Times New Roman" w:cs="Times New Roman"/>
                <w:b/>
              </w:rPr>
            </w:pPr>
            <w:r w:rsidRPr="00426199">
              <w:rPr>
                <w:rFonts w:ascii="Times New Roman" w:hAnsi="Times New Roman" w:cs="Times New Roman"/>
                <w:b/>
              </w:rPr>
              <w:t>Поништени делимично</w:t>
            </w:r>
          </w:p>
        </w:tc>
        <w:tc>
          <w:tcPr>
            <w:tcW w:w="1336" w:type="dxa"/>
            <w:shd w:val="clear" w:color="auto" w:fill="auto"/>
            <w:vAlign w:val="center"/>
          </w:tcPr>
          <w:p w:rsidR="00426199" w:rsidRPr="00426199" w:rsidRDefault="00426199" w:rsidP="007655FB">
            <w:pPr>
              <w:tabs>
                <w:tab w:val="left" w:pos="1885"/>
              </w:tabs>
              <w:jc w:val="center"/>
              <w:rPr>
                <w:rFonts w:ascii="Times New Roman" w:hAnsi="Times New Roman" w:cs="Times New Roman"/>
              </w:rPr>
            </w:pPr>
            <w:r w:rsidRPr="00426199">
              <w:rPr>
                <w:rFonts w:ascii="Times New Roman" w:hAnsi="Times New Roman" w:cs="Times New Roman"/>
              </w:rPr>
              <w:t>64</w:t>
            </w:r>
          </w:p>
        </w:tc>
        <w:tc>
          <w:tcPr>
            <w:tcW w:w="1015" w:type="dxa"/>
            <w:shd w:val="clear" w:color="auto" w:fill="auto"/>
            <w:vAlign w:val="center"/>
          </w:tcPr>
          <w:p w:rsidR="00426199" w:rsidRPr="00426199" w:rsidRDefault="00426199" w:rsidP="007655FB">
            <w:pPr>
              <w:tabs>
                <w:tab w:val="left" w:pos="1885"/>
              </w:tabs>
              <w:jc w:val="center"/>
              <w:rPr>
                <w:rFonts w:ascii="Times New Roman" w:hAnsi="Times New Roman" w:cs="Times New Roman"/>
              </w:rPr>
            </w:pPr>
            <w:r w:rsidRPr="00426199">
              <w:rPr>
                <w:rFonts w:ascii="Times New Roman" w:hAnsi="Times New Roman" w:cs="Times New Roman"/>
              </w:rPr>
              <w:t>1</w:t>
            </w:r>
          </w:p>
        </w:tc>
        <w:tc>
          <w:tcPr>
            <w:tcW w:w="1336" w:type="dxa"/>
            <w:shd w:val="clear" w:color="auto" w:fill="auto"/>
            <w:vAlign w:val="center"/>
          </w:tcPr>
          <w:p w:rsidR="00426199" w:rsidRPr="00426199" w:rsidRDefault="00426199" w:rsidP="007655FB">
            <w:pPr>
              <w:tabs>
                <w:tab w:val="left" w:pos="1885"/>
              </w:tabs>
              <w:jc w:val="center"/>
              <w:rPr>
                <w:rFonts w:ascii="Times New Roman" w:hAnsi="Times New Roman" w:cs="Times New Roman"/>
              </w:rPr>
            </w:pPr>
            <w:r w:rsidRPr="00426199">
              <w:rPr>
                <w:rFonts w:ascii="Times New Roman" w:hAnsi="Times New Roman" w:cs="Times New Roman"/>
              </w:rPr>
              <w:t>33</w:t>
            </w:r>
          </w:p>
        </w:tc>
        <w:tc>
          <w:tcPr>
            <w:tcW w:w="1015" w:type="dxa"/>
            <w:shd w:val="clear" w:color="auto" w:fill="auto"/>
            <w:vAlign w:val="center"/>
          </w:tcPr>
          <w:p w:rsidR="00426199" w:rsidRPr="00426199" w:rsidRDefault="00426199" w:rsidP="007655FB">
            <w:pPr>
              <w:tabs>
                <w:tab w:val="left" w:pos="1885"/>
              </w:tabs>
              <w:jc w:val="center"/>
              <w:rPr>
                <w:rFonts w:ascii="Times New Roman" w:hAnsi="Times New Roman" w:cs="Times New Roman"/>
              </w:rPr>
            </w:pPr>
            <w:r w:rsidRPr="00426199">
              <w:rPr>
                <w:rFonts w:ascii="Times New Roman" w:hAnsi="Times New Roman" w:cs="Times New Roman"/>
              </w:rPr>
              <w:t>0</w:t>
            </w:r>
          </w:p>
        </w:tc>
        <w:tc>
          <w:tcPr>
            <w:tcW w:w="1047" w:type="dxa"/>
            <w:shd w:val="clear" w:color="auto" w:fill="auto"/>
            <w:vAlign w:val="center"/>
          </w:tcPr>
          <w:p w:rsidR="00426199" w:rsidRPr="00426199" w:rsidRDefault="00426199" w:rsidP="007655FB">
            <w:pPr>
              <w:tabs>
                <w:tab w:val="left" w:pos="1885"/>
              </w:tabs>
              <w:jc w:val="center"/>
              <w:rPr>
                <w:rFonts w:ascii="Times New Roman" w:hAnsi="Times New Roman" w:cs="Times New Roman"/>
              </w:rPr>
            </w:pPr>
            <w:r w:rsidRPr="00426199">
              <w:rPr>
                <w:rFonts w:ascii="Times New Roman" w:hAnsi="Times New Roman" w:cs="Times New Roman"/>
              </w:rPr>
              <w:t>97</w:t>
            </w:r>
          </w:p>
        </w:tc>
        <w:tc>
          <w:tcPr>
            <w:tcW w:w="966" w:type="dxa"/>
            <w:shd w:val="clear" w:color="auto" w:fill="auto"/>
            <w:vAlign w:val="center"/>
          </w:tcPr>
          <w:p w:rsidR="00426199" w:rsidRPr="00426199" w:rsidRDefault="00426199" w:rsidP="007655FB">
            <w:pPr>
              <w:tabs>
                <w:tab w:val="left" w:pos="1885"/>
              </w:tabs>
              <w:jc w:val="center"/>
              <w:rPr>
                <w:rFonts w:ascii="Times New Roman" w:hAnsi="Times New Roman" w:cs="Times New Roman"/>
              </w:rPr>
            </w:pPr>
            <w:r w:rsidRPr="00426199">
              <w:rPr>
                <w:rFonts w:ascii="Times New Roman" w:hAnsi="Times New Roman" w:cs="Times New Roman"/>
              </w:rPr>
              <w:t>0</w:t>
            </w:r>
          </w:p>
        </w:tc>
      </w:tr>
      <w:tr w:rsidR="00426199" w:rsidRPr="00426199" w:rsidTr="007655FB">
        <w:trPr>
          <w:trHeight w:val="762"/>
          <w:jc w:val="center"/>
        </w:trPr>
        <w:tc>
          <w:tcPr>
            <w:tcW w:w="1688" w:type="dxa"/>
            <w:shd w:val="clear" w:color="auto" w:fill="auto"/>
            <w:vAlign w:val="center"/>
          </w:tcPr>
          <w:p w:rsidR="00426199" w:rsidRPr="00426199" w:rsidRDefault="00426199" w:rsidP="007655FB">
            <w:pPr>
              <w:tabs>
                <w:tab w:val="left" w:pos="1885"/>
              </w:tabs>
              <w:jc w:val="center"/>
              <w:rPr>
                <w:rFonts w:ascii="Times New Roman" w:hAnsi="Times New Roman" w:cs="Times New Roman"/>
                <w:b/>
              </w:rPr>
            </w:pPr>
            <w:r w:rsidRPr="00426199">
              <w:rPr>
                <w:rFonts w:ascii="Times New Roman" w:hAnsi="Times New Roman" w:cs="Times New Roman"/>
                <w:b/>
              </w:rPr>
              <w:t>Поништени у целини</w:t>
            </w:r>
          </w:p>
        </w:tc>
        <w:tc>
          <w:tcPr>
            <w:tcW w:w="1336" w:type="dxa"/>
            <w:shd w:val="clear" w:color="auto" w:fill="auto"/>
            <w:vAlign w:val="center"/>
          </w:tcPr>
          <w:p w:rsidR="00426199" w:rsidRPr="00426199" w:rsidRDefault="00426199" w:rsidP="007655FB">
            <w:pPr>
              <w:tabs>
                <w:tab w:val="left" w:pos="1885"/>
              </w:tabs>
              <w:jc w:val="center"/>
              <w:rPr>
                <w:rFonts w:ascii="Times New Roman" w:hAnsi="Times New Roman" w:cs="Times New Roman"/>
              </w:rPr>
            </w:pPr>
            <w:r w:rsidRPr="00426199">
              <w:rPr>
                <w:rFonts w:ascii="Times New Roman" w:hAnsi="Times New Roman" w:cs="Times New Roman"/>
              </w:rPr>
              <w:t>57</w:t>
            </w:r>
          </w:p>
        </w:tc>
        <w:tc>
          <w:tcPr>
            <w:tcW w:w="1015" w:type="dxa"/>
            <w:shd w:val="clear" w:color="auto" w:fill="auto"/>
            <w:vAlign w:val="center"/>
          </w:tcPr>
          <w:p w:rsidR="00426199" w:rsidRPr="00426199" w:rsidRDefault="00426199" w:rsidP="007655FB">
            <w:pPr>
              <w:tabs>
                <w:tab w:val="left" w:pos="1885"/>
              </w:tabs>
              <w:jc w:val="center"/>
              <w:rPr>
                <w:rFonts w:ascii="Times New Roman" w:hAnsi="Times New Roman" w:cs="Times New Roman"/>
              </w:rPr>
            </w:pPr>
            <w:r w:rsidRPr="00426199">
              <w:rPr>
                <w:rFonts w:ascii="Times New Roman" w:hAnsi="Times New Roman" w:cs="Times New Roman"/>
              </w:rPr>
              <w:t>1</w:t>
            </w:r>
          </w:p>
        </w:tc>
        <w:tc>
          <w:tcPr>
            <w:tcW w:w="1336" w:type="dxa"/>
            <w:shd w:val="clear" w:color="auto" w:fill="auto"/>
            <w:vAlign w:val="center"/>
          </w:tcPr>
          <w:p w:rsidR="00426199" w:rsidRPr="00426199" w:rsidRDefault="00426199" w:rsidP="007655FB">
            <w:pPr>
              <w:tabs>
                <w:tab w:val="left" w:pos="1885"/>
              </w:tabs>
              <w:jc w:val="center"/>
              <w:rPr>
                <w:rFonts w:ascii="Times New Roman" w:hAnsi="Times New Roman" w:cs="Times New Roman"/>
              </w:rPr>
            </w:pPr>
            <w:r w:rsidRPr="00426199">
              <w:rPr>
                <w:rFonts w:ascii="Times New Roman" w:hAnsi="Times New Roman" w:cs="Times New Roman"/>
              </w:rPr>
              <w:t>46</w:t>
            </w:r>
          </w:p>
        </w:tc>
        <w:tc>
          <w:tcPr>
            <w:tcW w:w="1015" w:type="dxa"/>
            <w:shd w:val="clear" w:color="auto" w:fill="auto"/>
            <w:vAlign w:val="center"/>
          </w:tcPr>
          <w:p w:rsidR="00426199" w:rsidRPr="00426199" w:rsidRDefault="00426199" w:rsidP="007655FB">
            <w:pPr>
              <w:tabs>
                <w:tab w:val="left" w:pos="1885"/>
              </w:tabs>
              <w:jc w:val="center"/>
              <w:rPr>
                <w:rFonts w:ascii="Times New Roman" w:hAnsi="Times New Roman" w:cs="Times New Roman"/>
              </w:rPr>
            </w:pPr>
            <w:r w:rsidRPr="00426199">
              <w:rPr>
                <w:rFonts w:ascii="Times New Roman" w:hAnsi="Times New Roman" w:cs="Times New Roman"/>
              </w:rPr>
              <w:t>1</w:t>
            </w:r>
          </w:p>
        </w:tc>
        <w:tc>
          <w:tcPr>
            <w:tcW w:w="1047" w:type="dxa"/>
            <w:shd w:val="clear" w:color="auto" w:fill="auto"/>
            <w:vAlign w:val="center"/>
          </w:tcPr>
          <w:p w:rsidR="00426199" w:rsidRPr="00426199" w:rsidRDefault="00426199" w:rsidP="007655FB">
            <w:pPr>
              <w:tabs>
                <w:tab w:val="left" w:pos="1885"/>
              </w:tabs>
              <w:jc w:val="center"/>
              <w:rPr>
                <w:rFonts w:ascii="Times New Roman" w:hAnsi="Times New Roman" w:cs="Times New Roman"/>
              </w:rPr>
            </w:pPr>
            <w:r w:rsidRPr="00426199">
              <w:rPr>
                <w:rFonts w:ascii="Times New Roman" w:hAnsi="Times New Roman" w:cs="Times New Roman"/>
              </w:rPr>
              <w:t>103</w:t>
            </w:r>
          </w:p>
        </w:tc>
        <w:tc>
          <w:tcPr>
            <w:tcW w:w="966" w:type="dxa"/>
            <w:shd w:val="clear" w:color="auto" w:fill="auto"/>
            <w:vAlign w:val="center"/>
          </w:tcPr>
          <w:p w:rsidR="00426199" w:rsidRPr="00426199" w:rsidRDefault="00426199" w:rsidP="007655FB">
            <w:pPr>
              <w:tabs>
                <w:tab w:val="left" w:pos="1885"/>
              </w:tabs>
              <w:jc w:val="center"/>
              <w:rPr>
                <w:rFonts w:ascii="Times New Roman" w:hAnsi="Times New Roman" w:cs="Times New Roman"/>
              </w:rPr>
            </w:pPr>
            <w:r w:rsidRPr="00426199">
              <w:rPr>
                <w:rFonts w:ascii="Times New Roman" w:hAnsi="Times New Roman" w:cs="Times New Roman"/>
              </w:rPr>
              <w:t>1</w:t>
            </w:r>
          </w:p>
        </w:tc>
      </w:tr>
      <w:tr w:rsidR="00426199" w:rsidRPr="00426199" w:rsidTr="002F2F7D">
        <w:trPr>
          <w:trHeight w:val="262"/>
          <w:jc w:val="center"/>
        </w:trPr>
        <w:tc>
          <w:tcPr>
            <w:tcW w:w="1688" w:type="dxa"/>
            <w:shd w:val="clear" w:color="auto" w:fill="auto"/>
            <w:vAlign w:val="center"/>
          </w:tcPr>
          <w:p w:rsidR="00426199" w:rsidRPr="00426199" w:rsidRDefault="00426199" w:rsidP="007655FB">
            <w:pPr>
              <w:tabs>
                <w:tab w:val="left" w:pos="1885"/>
              </w:tabs>
              <w:jc w:val="center"/>
              <w:rPr>
                <w:rFonts w:ascii="Times New Roman" w:hAnsi="Times New Roman" w:cs="Times New Roman"/>
                <w:b/>
              </w:rPr>
            </w:pPr>
            <w:r w:rsidRPr="00426199">
              <w:rPr>
                <w:rFonts w:ascii="Times New Roman" w:hAnsi="Times New Roman" w:cs="Times New Roman"/>
                <w:b/>
              </w:rPr>
              <w:t>Укупно</w:t>
            </w:r>
          </w:p>
        </w:tc>
        <w:tc>
          <w:tcPr>
            <w:tcW w:w="1336" w:type="dxa"/>
            <w:shd w:val="clear" w:color="auto" w:fill="auto"/>
            <w:vAlign w:val="center"/>
          </w:tcPr>
          <w:p w:rsidR="00426199" w:rsidRPr="00426199" w:rsidRDefault="00426199" w:rsidP="007655FB">
            <w:pPr>
              <w:tabs>
                <w:tab w:val="left" w:pos="1885"/>
              </w:tabs>
              <w:jc w:val="center"/>
              <w:rPr>
                <w:rFonts w:ascii="Times New Roman" w:hAnsi="Times New Roman" w:cs="Times New Roman"/>
                <w:b/>
              </w:rPr>
            </w:pPr>
            <w:r w:rsidRPr="00426199">
              <w:rPr>
                <w:rFonts w:ascii="Times New Roman" w:hAnsi="Times New Roman" w:cs="Times New Roman"/>
                <w:b/>
              </w:rPr>
              <w:t>5.821</w:t>
            </w:r>
          </w:p>
        </w:tc>
        <w:tc>
          <w:tcPr>
            <w:tcW w:w="1015" w:type="dxa"/>
            <w:shd w:val="clear" w:color="auto" w:fill="auto"/>
            <w:vAlign w:val="center"/>
          </w:tcPr>
          <w:p w:rsidR="00426199" w:rsidRPr="00426199" w:rsidRDefault="00426199" w:rsidP="007655FB">
            <w:pPr>
              <w:tabs>
                <w:tab w:val="left" w:pos="1885"/>
              </w:tabs>
              <w:jc w:val="center"/>
              <w:rPr>
                <w:rFonts w:ascii="Times New Roman" w:hAnsi="Times New Roman" w:cs="Times New Roman"/>
                <w:b/>
              </w:rPr>
            </w:pPr>
            <w:r w:rsidRPr="00426199">
              <w:rPr>
                <w:rFonts w:ascii="Times New Roman" w:hAnsi="Times New Roman" w:cs="Times New Roman"/>
                <w:b/>
              </w:rPr>
              <w:t>100</w:t>
            </w:r>
          </w:p>
        </w:tc>
        <w:tc>
          <w:tcPr>
            <w:tcW w:w="1336" w:type="dxa"/>
            <w:shd w:val="clear" w:color="auto" w:fill="auto"/>
            <w:vAlign w:val="center"/>
          </w:tcPr>
          <w:p w:rsidR="00426199" w:rsidRPr="00426199" w:rsidRDefault="00426199" w:rsidP="007655FB">
            <w:pPr>
              <w:tabs>
                <w:tab w:val="left" w:pos="1885"/>
              </w:tabs>
              <w:jc w:val="center"/>
              <w:rPr>
                <w:rFonts w:ascii="Times New Roman" w:hAnsi="Times New Roman" w:cs="Times New Roman"/>
                <w:b/>
              </w:rPr>
            </w:pPr>
            <w:r w:rsidRPr="00426199">
              <w:rPr>
                <w:rFonts w:ascii="Times New Roman" w:hAnsi="Times New Roman" w:cs="Times New Roman"/>
                <w:b/>
              </w:rPr>
              <w:t>8.111</w:t>
            </w:r>
          </w:p>
        </w:tc>
        <w:tc>
          <w:tcPr>
            <w:tcW w:w="1015" w:type="dxa"/>
            <w:shd w:val="clear" w:color="auto" w:fill="auto"/>
            <w:vAlign w:val="center"/>
          </w:tcPr>
          <w:p w:rsidR="00426199" w:rsidRPr="00426199" w:rsidRDefault="00426199" w:rsidP="007655FB">
            <w:pPr>
              <w:tabs>
                <w:tab w:val="left" w:pos="1885"/>
              </w:tabs>
              <w:jc w:val="center"/>
              <w:rPr>
                <w:rFonts w:ascii="Times New Roman" w:hAnsi="Times New Roman" w:cs="Times New Roman"/>
                <w:b/>
              </w:rPr>
            </w:pPr>
            <w:r w:rsidRPr="00426199">
              <w:rPr>
                <w:rFonts w:ascii="Times New Roman" w:hAnsi="Times New Roman" w:cs="Times New Roman"/>
                <w:b/>
              </w:rPr>
              <w:t>100</w:t>
            </w:r>
          </w:p>
        </w:tc>
        <w:tc>
          <w:tcPr>
            <w:tcW w:w="1047" w:type="dxa"/>
            <w:shd w:val="clear" w:color="auto" w:fill="auto"/>
            <w:vAlign w:val="center"/>
          </w:tcPr>
          <w:p w:rsidR="00426199" w:rsidRPr="00426199" w:rsidRDefault="00426199" w:rsidP="007655FB">
            <w:pPr>
              <w:tabs>
                <w:tab w:val="left" w:pos="1885"/>
              </w:tabs>
              <w:jc w:val="center"/>
              <w:rPr>
                <w:rFonts w:ascii="Times New Roman" w:hAnsi="Times New Roman" w:cs="Times New Roman"/>
                <w:b/>
              </w:rPr>
            </w:pPr>
            <w:r w:rsidRPr="00426199">
              <w:rPr>
                <w:rFonts w:ascii="Times New Roman" w:hAnsi="Times New Roman" w:cs="Times New Roman"/>
                <w:b/>
              </w:rPr>
              <w:t>13.932</w:t>
            </w:r>
          </w:p>
        </w:tc>
        <w:tc>
          <w:tcPr>
            <w:tcW w:w="966" w:type="dxa"/>
            <w:shd w:val="clear" w:color="auto" w:fill="auto"/>
            <w:vAlign w:val="center"/>
          </w:tcPr>
          <w:p w:rsidR="00426199" w:rsidRPr="00426199" w:rsidRDefault="00426199" w:rsidP="007655FB">
            <w:pPr>
              <w:tabs>
                <w:tab w:val="left" w:pos="1885"/>
              </w:tabs>
              <w:jc w:val="center"/>
              <w:rPr>
                <w:rFonts w:ascii="Times New Roman" w:hAnsi="Times New Roman" w:cs="Times New Roman"/>
                <w:b/>
              </w:rPr>
            </w:pPr>
            <w:r w:rsidRPr="00426199">
              <w:rPr>
                <w:rFonts w:ascii="Times New Roman" w:hAnsi="Times New Roman" w:cs="Times New Roman"/>
                <w:b/>
              </w:rPr>
              <w:t>100</w:t>
            </w:r>
          </w:p>
        </w:tc>
      </w:tr>
    </w:tbl>
    <w:p w:rsidR="00D14DA3" w:rsidRDefault="00D14DA3" w:rsidP="009B3038">
      <w:pPr>
        <w:jc w:val="center"/>
        <w:rPr>
          <w:rFonts w:ascii="Times New Roman" w:hAnsi="Times New Roman" w:cs="Times New Roman"/>
          <w:b/>
          <w:sz w:val="24"/>
          <w:szCs w:val="24"/>
          <w:lang w:val="sr-Cyrl-RS"/>
        </w:rPr>
      </w:pPr>
    </w:p>
    <w:p w:rsidR="008B1816" w:rsidRPr="009B3038" w:rsidRDefault="008B1816" w:rsidP="009B3038">
      <w:pPr>
        <w:jc w:val="center"/>
        <w:rPr>
          <w:rFonts w:ascii="Times New Roman" w:hAnsi="Times New Roman" w:cs="Times New Roman"/>
          <w:b/>
          <w:sz w:val="24"/>
          <w:szCs w:val="24"/>
        </w:rPr>
      </w:pPr>
      <w:r w:rsidRPr="009B3038">
        <w:rPr>
          <w:rFonts w:ascii="Times New Roman" w:hAnsi="Times New Roman" w:cs="Times New Roman"/>
          <w:b/>
          <w:sz w:val="24"/>
          <w:szCs w:val="24"/>
        </w:rPr>
        <w:t>С</w:t>
      </w:r>
      <w:r w:rsidR="005F5974" w:rsidRPr="009B3038">
        <w:rPr>
          <w:rFonts w:ascii="Times New Roman" w:hAnsi="Times New Roman" w:cs="Times New Roman"/>
          <w:b/>
          <w:sz w:val="24"/>
          <w:szCs w:val="24"/>
        </w:rPr>
        <w:t xml:space="preserve">лика </w:t>
      </w:r>
      <w:r w:rsidR="00120C2B" w:rsidRPr="009B3038">
        <w:rPr>
          <w:rFonts w:ascii="Times New Roman" w:hAnsi="Times New Roman" w:cs="Times New Roman"/>
          <w:b/>
          <w:sz w:val="24"/>
          <w:szCs w:val="24"/>
        </w:rPr>
        <w:t>16</w:t>
      </w:r>
    </w:p>
    <w:bookmarkStart w:id="11" w:name="_MON_1455086811"/>
    <w:bookmarkEnd w:id="11"/>
    <w:p w:rsidR="00637BC6" w:rsidRDefault="0015266C" w:rsidP="008B1816">
      <w:pPr>
        <w:jc w:val="center"/>
      </w:pPr>
      <w:r w:rsidRPr="00A94CAE">
        <w:object w:dxaOrig="7457" w:dyaOrig="6298">
          <v:shape id="_x0000_i1040" type="#_x0000_t75" style="width:391.5pt;height:285pt" o:ole="">
            <v:imagedata r:id="rId46" o:title=""/>
            <o:lock v:ext="edit" aspectratio="f"/>
          </v:shape>
          <o:OLEObject Type="Embed" ProgID="Excel.Sheet.12" ShapeID="_x0000_i1040" DrawAspect="Content" ObjectID="_1456551374" r:id="rId47"/>
        </w:object>
      </w:r>
    </w:p>
    <w:p w:rsidR="00367F37" w:rsidRPr="00D14DA3" w:rsidRDefault="007A00D3" w:rsidP="008B1816">
      <w:pPr>
        <w:jc w:val="both"/>
        <w:rPr>
          <w:rFonts w:ascii="Times New Roman" w:hAnsi="Times New Roman" w:cs="Times New Roman"/>
          <w:sz w:val="24"/>
          <w:szCs w:val="24"/>
          <w:lang w:val="sr-Cyrl-RS"/>
        </w:rPr>
      </w:pPr>
      <w:r>
        <w:rPr>
          <w:rFonts w:ascii="Times New Roman" w:hAnsi="Times New Roman" w:cs="Times New Roman"/>
          <w:sz w:val="24"/>
          <w:szCs w:val="24"/>
        </w:rPr>
        <w:t>Наручиоци су сами обуставили 1</w:t>
      </w:r>
      <w:r w:rsidR="00AA7DBD">
        <w:rPr>
          <w:rFonts w:ascii="Times New Roman" w:hAnsi="Times New Roman" w:cs="Times New Roman"/>
          <w:sz w:val="24"/>
          <w:szCs w:val="24"/>
        </w:rPr>
        <w:t>3</w:t>
      </w:r>
      <w:r>
        <w:rPr>
          <w:rFonts w:ascii="Times New Roman" w:hAnsi="Times New Roman" w:cs="Times New Roman"/>
          <w:sz w:val="24"/>
          <w:szCs w:val="24"/>
        </w:rPr>
        <w:t xml:space="preserve">% поступака, најчешће </w:t>
      </w:r>
      <w:r w:rsidR="00A92087">
        <w:rPr>
          <w:rFonts w:ascii="Times New Roman" w:hAnsi="Times New Roman" w:cs="Times New Roman"/>
          <w:sz w:val="24"/>
          <w:szCs w:val="24"/>
        </w:rPr>
        <w:t>зато што су доби</w:t>
      </w:r>
      <w:r w:rsidR="00B26AAA">
        <w:rPr>
          <w:rFonts w:ascii="Times New Roman" w:hAnsi="Times New Roman" w:cs="Times New Roman"/>
          <w:sz w:val="24"/>
          <w:szCs w:val="24"/>
        </w:rPr>
        <w:t>ја</w:t>
      </w:r>
      <w:r w:rsidR="00A92087">
        <w:rPr>
          <w:rFonts w:ascii="Times New Roman" w:hAnsi="Times New Roman" w:cs="Times New Roman"/>
          <w:sz w:val="24"/>
          <w:szCs w:val="24"/>
        </w:rPr>
        <w:t>ли неисправне, неодговарајуће и неприхватљиве понуде (Слика 1</w:t>
      </w:r>
      <w:r w:rsidR="00AA7DBD">
        <w:rPr>
          <w:rFonts w:ascii="Times New Roman" w:hAnsi="Times New Roman" w:cs="Times New Roman"/>
          <w:sz w:val="24"/>
          <w:szCs w:val="24"/>
        </w:rPr>
        <w:t>7</w:t>
      </w:r>
      <w:r w:rsidR="00A92087">
        <w:rPr>
          <w:rFonts w:ascii="Times New Roman" w:hAnsi="Times New Roman" w:cs="Times New Roman"/>
          <w:sz w:val="24"/>
          <w:szCs w:val="24"/>
        </w:rPr>
        <w:t>).</w:t>
      </w:r>
    </w:p>
    <w:p w:rsidR="008B1816" w:rsidRPr="00BE14E5" w:rsidRDefault="008B1816" w:rsidP="00D14DA3">
      <w:pPr>
        <w:jc w:val="center"/>
        <w:rPr>
          <w:rFonts w:ascii="Times New Roman" w:hAnsi="Times New Roman" w:cs="Times New Roman"/>
          <w:b/>
          <w:sz w:val="24"/>
          <w:szCs w:val="24"/>
        </w:rPr>
      </w:pPr>
      <w:r w:rsidRPr="00BE14E5">
        <w:rPr>
          <w:rFonts w:ascii="Times New Roman" w:hAnsi="Times New Roman" w:cs="Times New Roman"/>
          <w:b/>
          <w:sz w:val="24"/>
          <w:szCs w:val="24"/>
        </w:rPr>
        <w:lastRenderedPageBreak/>
        <w:t>Слика</w:t>
      </w:r>
      <w:r w:rsidR="00AA7DBD" w:rsidRPr="00BE14E5">
        <w:rPr>
          <w:rFonts w:ascii="Times New Roman" w:hAnsi="Times New Roman" w:cs="Times New Roman"/>
          <w:b/>
          <w:sz w:val="24"/>
          <w:szCs w:val="24"/>
        </w:rPr>
        <w:t xml:space="preserve"> 17</w:t>
      </w:r>
    </w:p>
    <w:p w:rsidR="00A92087" w:rsidRPr="008B1816" w:rsidRDefault="009B3038" w:rsidP="008B1816">
      <w:pPr>
        <w:jc w:val="center"/>
        <w:rPr>
          <w:rFonts w:ascii="Times New Roman" w:hAnsi="Times New Roman" w:cs="Times New Roman"/>
          <w:b/>
          <w:sz w:val="24"/>
          <w:szCs w:val="24"/>
        </w:rPr>
      </w:pPr>
      <w:r w:rsidRPr="00561134">
        <w:rPr>
          <w:rFonts w:ascii="Times New Roman" w:hAnsi="Times New Roman" w:cs="Times New Roman"/>
          <w:noProof/>
          <w:sz w:val="24"/>
          <w:szCs w:val="24"/>
        </w:rPr>
        <w:object w:dxaOrig="8523" w:dyaOrig="7000">
          <v:shape id="_x0000_i1041" type="#_x0000_t75" style="width:426pt;height:329.25pt" o:ole="">
            <v:imagedata r:id="rId48" o:title=""/>
          </v:shape>
          <o:OLEObject Type="Embed" ProgID="Excel.Sheet.12" ShapeID="_x0000_i1041" DrawAspect="Content" ObjectID="_1456551375" r:id="rId49"/>
        </w:object>
      </w:r>
    </w:p>
    <w:p w:rsidR="00AA7DBD" w:rsidRDefault="00AA7DBD" w:rsidP="00BB64E7">
      <w:pPr>
        <w:jc w:val="both"/>
        <w:rPr>
          <w:rFonts w:ascii="Times New Roman" w:hAnsi="Times New Roman" w:cs="Times New Roman"/>
          <w:sz w:val="24"/>
          <w:szCs w:val="24"/>
        </w:rPr>
      </w:pPr>
      <w:r>
        <w:rPr>
          <w:rFonts w:ascii="Times New Roman" w:hAnsi="Times New Roman" w:cs="Times New Roman"/>
          <w:sz w:val="24"/>
          <w:szCs w:val="24"/>
        </w:rPr>
        <w:t xml:space="preserve">Осталих основа за обуставу поступка, који у збиру чине 38%, има укупно 20 од којих највећи има учешће од 1,3%, па због ниског релативног значаја нису </w:t>
      </w:r>
      <w:r w:rsidR="00A01819">
        <w:rPr>
          <w:rFonts w:ascii="Times New Roman" w:hAnsi="Times New Roman" w:cs="Times New Roman"/>
          <w:sz w:val="24"/>
          <w:szCs w:val="24"/>
        </w:rPr>
        <w:t xml:space="preserve">појединачно </w:t>
      </w:r>
      <w:r>
        <w:rPr>
          <w:rFonts w:ascii="Times New Roman" w:hAnsi="Times New Roman" w:cs="Times New Roman"/>
          <w:sz w:val="24"/>
          <w:szCs w:val="24"/>
        </w:rPr>
        <w:t>нав</w:t>
      </w:r>
      <w:r w:rsidR="00A01819">
        <w:rPr>
          <w:rFonts w:ascii="Times New Roman" w:hAnsi="Times New Roman" w:cs="Times New Roman"/>
          <w:sz w:val="24"/>
          <w:szCs w:val="24"/>
        </w:rPr>
        <w:t xml:space="preserve">ођени. </w:t>
      </w:r>
      <w:r>
        <w:rPr>
          <w:rFonts w:ascii="Times New Roman" w:hAnsi="Times New Roman" w:cs="Times New Roman"/>
          <w:sz w:val="24"/>
          <w:szCs w:val="24"/>
        </w:rPr>
        <w:t xml:space="preserve">   </w:t>
      </w:r>
    </w:p>
    <w:p w:rsidR="00A92087" w:rsidRDefault="00AA7DBD" w:rsidP="00BB64E7">
      <w:pPr>
        <w:jc w:val="both"/>
        <w:rPr>
          <w:rFonts w:ascii="Times New Roman" w:hAnsi="Times New Roman" w:cs="Times New Roman"/>
          <w:sz w:val="24"/>
          <w:szCs w:val="24"/>
        </w:rPr>
      </w:pPr>
      <w:r>
        <w:rPr>
          <w:rFonts w:ascii="Times New Roman" w:hAnsi="Times New Roman" w:cs="Times New Roman"/>
          <w:sz w:val="24"/>
          <w:szCs w:val="24"/>
        </w:rPr>
        <w:t>Као што подаци у Табели 9, Слика 16 показују, с</w:t>
      </w:r>
      <w:r w:rsidR="00A92087">
        <w:rPr>
          <w:rFonts w:ascii="Times New Roman" w:hAnsi="Times New Roman" w:cs="Times New Roman"/>
          <w:sz w:val="24"/>
          <w:szCs w:val="24"/>
        </w:rPr>
        <w:t xml:space="preserve">вега 1% поступака је поништено (делимично или у целини) од стране Републичке комисије за заштиту права. </w:t>
      </w:r>
    </w:p>
    <w:p w:rsidR="00637BC6" w:rsidRPr="00D954B5" w:rsidRDefault="00CA1F8B" w:rsidP="00BB64E7">
      <w:pPr>
        <w:jc w:val="both"/>
        <w:rPr>
          <w:rFonts w:ascii="Times New Roman" w:hAnsi="Times New Roman" w:cs="Times New Roman"/>
          <w:sz w:val="24"/>
          <w:szCs w:val="24"/>
        </w:rPr>
      </w:pPr>
      <w:r>
        <w:rPr>
          <w:rFonts w:ascii="Times New Roman" w:hAnsi="Times New Roman" w:cs="Times New Roman"/>
          <w:sz w:val="24"/>
          <w:szCs w:val="24"/>
        </w:rPr>
        <w:t>Може се закључити да је</w:t>
      </w:r>
      <w:r w:rsidR="00A01819">
        <w:rPr>
          <w:rFonts w:ascii="Times New Roman" w:hAnsi="Times New Roman" w:cs="Times New Roman"/>
          <w:sz w:val="24"/>
          <w:szCs w:val="24"/>
        </w:rPr>
        <w:t xml:space="preserve">, у четвртом кварталу, </w:t>
      </w:r>
      <w:r>
        <w:rPr>
          <w:rFonts w:ascii="Times New Roman" w:hAnsi="Times New Roman" w:cs="Times New Roman"/>
          <w:sz w:val="24"/>
          <w:szCs w:val="24"/>
        </w:rPr>
        <w:t>постојао висок степен успешности поступака</w:t>
      </w:r>
      <w:r w:rsidR="00A01819">
        <w:rPr>
          <w:rFonts w:ascii="Times New Roman" w:hAnsi="Times New Roman" w:cs="Times New Roman"/>
          <w:sz w:val="24"/>
          <w:szCs w:val="24"/>
        </w:rPr>
        <w:t xml:space="preserve"> </w:t>
      </w:r>
      <w:r w:rsidR="00CC5D30">
        <w:rPr>
          <w:rFonts w:ascii="Times New Roman" w:hAnsi="Times New Roman" w:cs="Times New Roman"/>
          <w:sz w:val="24"/>
          <w:szCs w:val="24"/>
        </w:rPr>
        <w:t xml:space="preserve">јавних набавки </w:t>
      </w:r>
      <w:r w:rsidR="00324462">
        <w:rPr>
          <w:rFonts w:ascii="Times New Roman" w:hAnsi="Times New Roman" w:cs="Times New Roman"/>
          <w:sz w:val="24"/>
          <w:szCs w:val="24"/>
        </w:rPr>
        <w:t xml:space="preserve">што сведочи о </w:t>
      </w:r>
      <w:r w:rsidR="00A92087">
        <w:rPr>
          <w:rFonts w:ascii="Times New Roman" w:hAnsi="Times New Roman" w:cs="Times New Roman"/>
          <w:sz w:val="24"/>
          <w:szCs w:val="24"/>
        </w:rPr>
        <w:t xml:space="preserve">завидној </w:t>
      </w:r>
      <w:r w:rsidR="00324462">
        <w:rPr>
          <w:rFonts w:ascii="Times New Roman" w:hAnsi="Times New Roman" w:cs="Times New Roman"/>
          <w:sz w:val="24"/>
          <w:szCs w:val="24"/>
        </w:rPr>
        <w:t xml:space="preserve">ефикасности система </w:t>
      </w:r>
      <w:r w:rsidR="00CC5D30">
        <w:rPr>
          <w:rFonts w:ascii="Times New Roman" w:hAnsi="Times New Roman" w:cs="Times New Roman"/>
          <w:sz w:val="24"/>
          <w:szCs w:val="24"/>
        </w:rPr>
        <w:t xml:space="preserve">у целини. </w:t>
      </w:r>
      <w:r w:rsidR="00324462">
        <w:rPr>
          <w:rFonts w:ascii="Times New Roman" w:hAnsi="Times New Roman" w:cs="Times New Roman"/>
          <w:sz w:val="24"/>
          <w:szCs w:val="24"/>
        </w:rPr>
        <w:t>Друг</w:t>
      </w:r>
      <w:r w:rsidR="00A92087">
        <w:rPr>
          <w:rFonts w:ascii="Times New Roman" w:hAnsi="Times New Roman" w:cs="Times New Roman"/>
          <w:sz w:val="24"/>
          <w:szCs w:val="24"/>
        </w:rPr>
        <w:t xml:space="preserve">о запажање је низак степен поништавања поступака јавних набавки: </w:t>
      </w:r>
      <w:r>
        <w:rPr>
          <w:rFonts w:ascii="Times New Roman" w:hAnsi="Times New Roman" w:cs="Times New Roman"/>
          <w:sz w:val="24"/>
          <w:szCs w:val="24"/>
        </w:rPr>
        <w:t xml:space="preserve">тек сваки стоти поступак </w:t>
      </w:r>
      <w:r w:rsidR="00A92087">
        <w:rPr>
          <w:rFonts w:ascii="Times New Roman" w:hAnsi="Times New Roman" w:cs="Times New Roman"/>
          <w:sz w:val="24"/>
          <w:szCs w:val="24"/>
        </w:rPr>
        <w:t xml:space="preserve">је </w:t>
      </w:r>
      <w:r>
        <w:rPr>
          <w:rFonts w:ascii="Times New Roman" w:hAnsi="Times New Roman" w:cs="Times New Roman"/>
          <w:sz w:val="24"/>
          <w:szCs w:val="24"/>
        </w:rPr>
        <w:t>пониш</w:t>
      </w:r>
      <w:r w:rsidR="00A92087">
        <w:rPr>
          <w:rFonts w:ascii="Times New Roman" w:hAnsi="Times New Roman" w:cs="Times New Roman"/>
          <w:sz w:val="24"/>
          <w:szCs w:val="24"/>
        </w:rPr>
        <w:t>е</w:t>
      </w:r>
      <w:r>
        <w:rPr>
          <w:rFonts w:ascii="Times New Roman" w:hAnsi="Times New Roman" w:cs="Times New Roman"/>
          <w:sz w:val="24"/>
          <w:szCs w:val="24"/>
        </w:rPr>
        <w:t>н пред Комисијом</w:t>
      </w:r>
      <w:r w:rsidR="00A92087">
        <w:rPr>
          <w:rFonts w:ascii="Times New Roman" w:hAnsi="Times New Roman" w:cs="Times New Roman"/>
          <w:sz w:val="24"/>
          <w:szCs w:val="24"/>
        </w:rPr>
        <w:t xml:space="preserve"> за заштиту права у поступцима јавних набавки. </w:t>
      </w:r>
      <w:r w:rsidR="00D954B5">
        <w:rPr>
          <w:rFonts w:ascii="Times New Roman" w:hAnsi="Times New Roman" w:cs="Times New Roman"/>
          <w:sz w:val="24"/>
          <w:szCs w:val="24"/>
        </w:rPr>
        <w:t>Поређења ради, у Републици Словенији је, у 2012. години, било 4% поништених поступака</w:t>
      </w:r>
      <w:r w:rsidR="00D954B5">
        <w:rPr>
          <w:rStyle w:val="FootnoteReference"/>
          <w:rFonts w:ascii="Times New Roman" w:hAnsi="Times New Roman" w:cs="Times New Roman"/>
          <w:sz w:val="24"/>
          <w:szCs w:val="24"/>
        </w:rPr>
        <w:footnoteReference w:id="6"/>
      </w:r>
      <w:r w:rsidR="00A92087">
        <w:rPr>
          <w:rFonts w:ascii="Times New Roman" w:hAnsi="Times New Roman" w:cs="Times New Roman"/>
          <w:sz w:val="24"/>
          <w:szCs w:val="24"/>
        </w:rPr>
        <w:t>, дакле, четири пута више.</w:t>
      </w:r>
      <w:r w:rsidR="00267139">
        <w:rPr>
          <w:rFonts w:ascii="Times New Roman" w:hAnsi="Times New Roman" w:cs="Times New Roman"/>
          <w:sz w:val="24"/>
          <w:szCs w:val="24"/>
        </w:rPr>
        <w:t xml:space="preserve"> С обзиром да поништавања поступка повлачи за собом додатно улагање времена и новца, а може да представља и сметњу редовном функционисању наручиоца, произлази да је систем јавних набавки у Србији</w:t>
      </w:r>
      <w:r w:rsidR="00B55E4A">
        <w:rPr>
          <w:rFonts w:ascii="Times New Roman" w:hAnsi="Times New Roman" w:cs="Times New Roman"/>
          <w:sz w:val="24"/>
          <w:szCs w:val="24"/>
        </w:rPr>
        <w:t xml:space="preserve">, са 1% поништених поступака, </w:t>
      </w:r>
      <w:r w:rsidR="00267139">
        <w:rPr>
          <w:rFonts w:ascii="Times New Roman" w:hAnsi="Times New Roman" w:cs="Times New Roman"/>
          <w:sz w:val="24"/>
          <w:szCs w:val="24"/>
        </w:rPr>
        <w:t>успешан</w:t>
      </w:r>
      <w:r w:rsidR="00A01819">
        <w:rPr>
          <w:rFonts w:ascii="Times New Roman" w:hAnsi="Times New Roman" w:cs="Times New Roman"/>
          <w:sz w:val="24"/>
          <w:szCs w:val="24"/>
        </w:rPr>
        <w:t xml:space="preserve"> </w:t>
      </w:r>
      <w:r w:rsidR="00267139">
        <w:rPr>
          <w:rFonts w:ascii="Times New Roman" w:hAnsi="Times New Roman" w:cs="Times New Roman"/>
          <w:sz w:val="24"/>
          <w:szCs w:val="24"/>
        </w:rPr>
        <w:t>посматра</w:t>
      </w:r>
      <w:r w:rsidR="00A92087">
        <w:rPr>
          <w:rFonts w:ascii="Times New Roman" w:hAnsi="Times New Roman" w:cs="Times New Roman"/>
          <w:sz w:val="24"/>
          <w:szCs w:val="24"/>
        </w:rPr>
        <w:t>но</w:t>
      </w:r>
      <w:r w:rsidR="00267139">
        <w:rPr>
          <w:rFonts w:ascii="Times New Roman" w:hAnsi="Times New Roman" w:cs="Times New Roman"/>
          <w:sz w:val="24"/>
          <w:szCs w:val="24"/>
        </w:rPr>
        <w:t xml:space="preserve"> са аспекта економичности постпупака.  </w:t>
      </w:r>
    </w:p>
    <w:p w:rsidR="009B3038" w:rsidRDefault="009B3038" w:rsidP="00BB0B9A">
      <w:pPr>
        <w:rPr>
          <w:rFonts w:ascii="Times New Roman" w:hAnsi="Times New Roman" w:cs="Times New Roman"/>
          <w:b/>
          <w:sz w:val="24"/>
          <w:szCs w:val="24"/>
          <w:lang w:val="sr-Cyrl-RS"/>
        </w:rPr>
      </w:pPr>
    </w:p>
    <w:p w:rsidR="009B3038" w:rsidRDefault="009B3038" w:rsidP="00BB0B9A">
      <w:pPr>
        <w:rPr>
          <w:rFonts w:ascii="Times New Roman" w:hAnsi="Times New Roman" w:cs="Times New Roman"/>
          <w:b/>
          <w:sz w:val="24"/>
          <w:szCs w:val="24"/>
          <w:lang w:val="sr-Cyrl-RS"/>
        </w:rPr>
      </w:pPr>
    </w:p>
    <w:p w:rsidR="007655FB" w:rsidRPr="007655FB" w:rsidRDefault="007655FB" w:rsidP="007655FB">
      <w:pPr>
        <w:pStyle w:val="ListParagraph"/>
        <w:rPr>
          <w:rFonts w:ascii="Times New Roman" w:hAnsi="Times New Roman" w:cs="Times New Roman"/>
          <w:b/>
          <w:sz w:val="24"/>
          <w:szCs w:val="24"/>
        </w:rPr>
      </w:pPr>
    </w:p>
    <w:p w:rsidR="00BB0B9A" w:rsidRPr="00D14DA3" w:rsidRDefault="00BB0B9A" w:rsidP="00D14DA3">
      <w:pPr>
        <w:pStyle w:val="ListParagraph"/>
        <w:numPr>
          <w:ilvl w:val="0"/>
          <w:numId w:val="2"/>
        </w:numPr>
        <w:rPr>
          <w:rFonts w:ascii="Times New Roman" w:hAnsi="Times New Roman" w:cs="Times New Roman"/>
          <w:b/>
          <w:sz w:val="24"/>
          <w:szCs w:val="24"/>
        </w:rPr>
      </w:pPr>
      <w:r w:rsidRPr="00D14DA3">
        <w:rPr>
          <w:rFonts w:ascii="Times New Roman" w:hAnsi="Times New Roman" w:cs="Times New Roman"/>
          <w:b/>
          <w:sz w:val="24"/>
          <w:szCs w:val="24"/>
        </w:rPr>
        <w:t>НАБАВКЕ ИЗУЗЕТЕ ОД ПРИМЕНЕ ЗАКОНА</w:t>
      </w:r>
    </w:p>
    <w:p w:rsidR="00BB0B9A" w:rsidRDefault="00BB0B9A" w:rsidP="00F07CC7">
      <w:pPr>
        <w:jc w:val="both"/>
        <w:rPr>
          <w:rFonts w:ascii="Times New Roman" w:hAnsi="Times New Roman" w:cs="Times New Roman"/>
          <w:sz w:val="24"/>
          <w:szCs w:val="24"/>
        </w:rPr>
      </w:pPr>
      <w:r>
        <w:rPr>
          <w:rFonts w:ascii="Times New Roman" w:hAnsi="Times New Roman" w:cs="Times New Roman"/>
          <w:sz w:val="24"/>
          <w:szCs w:val="24"/>
        </w:rPr>
        <w:t>Набавке на које се није примењивао Закон о јавним набавкама учествовале су са 2</w:t>
      </w:r>
      <w:r w:rsidR="00651B5A">
        <w:rPr>
          <w:rFonts w:ascii="Times New Roman" w:hAnsi="Times New Roman" w:cs="Times New Roman"/>
          <w:sz w:val="24"/>
          <w:szCs w:val="24"/>
        </w:rPr>
        <w:t>7</w:t>
      </w:r>
      <w:r>
        <w:rPr>
          <w:rFonts w:ascii="Times New Roman" w:hAnsi="Times New Roman" w:cs="Times New Roman"/>
          <w:sz w:val="24"/>
          <w:szCs w:val="24"/>
        </w:rPr>
        <w:t xml:space="preserve">% у укупној уговореној вредности у </w:t>
      </w:r>
      <w:r w:rsidR="00651B5A">
        <w:rPr>
          <w:rFonts w:ascii="Times New Roman" w:hAnsi="Times New Roman" w:cs="Times New Roman"/>
          <w:sz w:val="24"/>
          <w:szCs w:val="24"/>
        </w:rPr>
        <w:t xml:space="preserve">четвртом </w:t>
      </w:r>
      <w:r>
        <w:rPr>
          <w:rFonts w:ascii="Times New Roman" w:hAnsi="Times New Roman" w:cs="Times New Roman"/>
          <w:sz w:val="24"/>
          <w:szCs w:val="24"/>
        </w:rPr>
        <w:t xml:space="preserve">кварталу 2013. године (Табела </w:t>
      </w:r>
      <w:r w:rsidR="0094612A">
        <w:rPr>
          <w:rFonts w:ascii="Times New Roman" w:hAnsi="Times New Roman" w:cs="Times New Roman"/>
          <w:sz w:val="24"/>
          <w:szCs w:val="24"/>
        </w:rPr>
        <w:t>10</w:t>
      </w:r>
      <w:r>
        <w:rPr>
          <w:rFonts w:ascii="Times New Roman" w:hAnsi="Times New Roman" w:cs="Times New Roman"/>
          <w:sz w:val="24"/>
          <w:szCs w:val="24"/>
        </w:rPr>
        <w:t>).</w:t>
      </w:r>
    </w:p>
    <w:p w:rsidR="00BB0B9A" w:rsidRPr="009B3038" w:rsidRDefault="00BB0B9A" w:rsidP="00BB0B9A">
      <w:pPr>
        <w:rPr>
          <w:rFonts w:ascii="Times New Roman" w:hAnsi="Times New Roman" w:cs="Times New Roman"/>
          <w:b/>
          <w:sz w:val="24"/>
          <w:szCs w:val="24"/>
        </w:rPr>
      </w:pPr>
      <w:r w:rsidRPr="009B3038">
        <w:rPr>
          <w:rFonts w:ascii="Times New Roman" w:hAnsi="Times New Roman" w:cs="Times New Roman"/>
          <w:b/>
          <w:sz w:val="24"/>
          <w:szCs w:val="24"/>
        </w:rPr>
        <w:t xml:space="preserve">Табела </w:t>
      </w:r>
      <w:r w:rsidR="0094612A" w:rsidRPr="009B3038">
        <w:rPr>
          <w:rFonts w:ascii="Times New Roman" w:hAnsi="Times New Roman" w:cs="Times New Roman"/>
          <w:b/>
          <w:sz w:val="24"/>
          <w:szCs w:val="24"/>
        </w:rPr>
        <w:t>10</w:t>
      </w:r>
    </w:p>
    <w:tbl>
      <w:tblPr>
        <w:tblStyle w:val="TableGrid"/>
        <w:tblW w:w="0" w:type="auto"/>
        <w:tblInd w:w="108" w:type="dxa"/>
        <w:tblLook w:val="0000" w:firstRow="0" w:lastRow="0" w:firstColumn="0" w:lastColumn="0" w:noHBand="0" w:noVBand="0"/>
      </w:tblPr>
      <w:tblGrid>
        <w:gridCol w:w="2096"/>
        <w:gridCol w:w="2196"/>
        <w:gridCol w:w="2228"/>
        <w:gridCol w:w="2158"/>
        <w:gridCol w:w="2095"/>
      </w:tblGrid>
      <w:tr w:rsidR="00A92087" w:rsidTr="008F6182">
        <w:trPr>
          <w:trHeight w:val="638"/>
        </w:trPr>
        <w:tc>
          <w:tcPr>
            <w:tcW w:w="10773" w:type="dxa"/>
            <w:gridSpan w:val="5"/>
          </w:tcPr>
          <w:p w:rsidR="00BB0B9A" w:rsidRPr="006C3C7D" w:rsidRDefault="00BB0B9A" w:rsidP="00651B5A">
            <w:pPr>
              <w:jc w:val="center"/>
              <w:rPr>
                <w:b/>
              </w:rPr>
            </w:pPr>
            <w:r w:rsidRPr="006C3C7D">
              <w:rPr>
                <w:rFonts w:ascii="Times New Roman" w:hAnsi="Times New Roman" w:cs="Times New Roman"/>
                <w:b/>
                <w:sz w:val="28"/>
                <w:szCs w:val="28"/>
              </w:rPr>
              <w:t>Преглед јав</w:t>
            </w:r>
            <w:r w:rsidR="0094612A">
              <w:rPr>
                <w:rFonts w:ascii="Times New Roman" w:hAnsi="Times New Roman" w:cs="Times New Roman"/>
                <w:b/>
                <w:sz w:val="28"/>
                <w:szCs w:val="28"/>
              </w:rPr>
              <w:t>них набавки у Републици Србији</w:t>
            </w:r>
            <w:r w:rsidRPr="006C3C7D">
              <w:rPr>
                <w:rFonts w:ascii="Times New Roman" w:hAnsi="Times New Roman" w:cs="Times New Roman"/>
                <w:b/>
                <w:sz w:val="28"/>
                <w:szCs w:val="28"/>
              </w:rPr>
              <w:t xml:space="preserve">у </w:t>
            </w:r>
            <w:r w:rsidR="00651B5A">
              <w:rPr>
                <w:rFonts w:ascii="Times New Roman" w:hAnsi="Times New Roman" w:cs="Times New Roman"/>
                <w:b/>
                <w:sz w:val="28"/>
                <w:szCs w:val="28"/>
              </w:rPr>
              <w:t xml:space="preserve">четвртом </w:t>
            </w:r>
            <w:r w:rsidRPr="006C3C7D">
              <w:rPr>
                <w:rFonts w:ascii="Times New Roman" w:hAnsi="Times New Roman" w:cs="Times New Roman"/>
                <w:b/>
                <w:sz w:val="28"/>
                <w:szCs w:val="28"/>
              </w:rPr>
              <w:t>кварталу 2013. године</w:t>
            </w:r>
          </w:p>
        </w:tc>
      </w:tr>
      <w:tr w:rsidR="00A92087" w:rsidTr="008F6182">
        <w:tblPrEx>
          <w:tblLook w:val="04A0" w:firstRow="1" w:lastRow="0" w:firstColumn="1" w:lastColumn="0" w:noHBand="0" w:noVBand="1"/>
        </w:tblPrEx>
        <w:tc>
          <w:tcPr>
            <w:tcW w:w="2096" w:type="dxa"/>
            <w:vMerge w:val="restart"/>
            <w:vAlign w:val="center"/>
          </w:tcPr>
          <w:p w:rsidR="00BB0B9A" w:rsidRPr="006C3C7D" w:rsidRDefault="00BB0B9A" w:rsidP="00055CB3">
            <w:pPr>
              <w:jc w:val="center"/>
              <w:rPr>
                <w:rFonts w:ascii="Times New Roman" w:hAnsi="Times New Roman" w:cs="Times New Roman"/>
                <w:b/>
                <w:sz w:val="24"/>
                <w:szCs w:val="24"/>
              </w:rPr>
            </w:pPr>
            <w:r w:rsidRPr="006C3C7D">
              <w:rPr>
                <w:rFonts w:ascii="Times New Roman" w:hAnsi="Times New Roman" w:cs="Times New Roman"/>
                <w:b/>
                <w:sz w:val="24"/>
                <w:szCs w:val="24"/>
              </w:rPr>
              <w:t>Врста набавки</w:t>
            </w:r>
          </w:p>
        </w:tc>
        <w:tc>
          <w:tcPr>
            <w:tcW w:w="2196" w:type="dxa"/>
            <w:vMerge w:val="restart"/>
            <w:vAlign w:val="center"/>
          </w:tcPr>
          <w:p w:rsidR="00BB0B9A" w:rsidRPr="006C3C7D" w:rsidRDefault="00BB0B9A" w:rsidP="00055CB3">
            <w:pPr>
              <w:jc w:val="center"/>
              <w:rPr>
                <w:rFonts w:ascii="Times New Roman" w:hAnsi="Times New Roman" w:cs="Times New Roman"/>
                <w:b/>
                <w:sz w:val="24"/>
                <w:szCs w:val="24"/>
              </w:rPr>
            </w:pPr>
            <w:r w:rsidRPr="006C3C7D">
              <w:rPr>
                <w:rFonts w:ascii="Times New Roman" w:hAnsi="Times New Roman" w:cs="Times New Roman"/>
                <w:b/>
                <w:sz w:val="24"/>
                <w:szCs w:val="24"/>
              </w:rPr>
              <w:t>Укупан број уговора</w:t>
            </w:r>
          </w:p>
        </w:tc>
        <w:tc>
          <w:tcPr>
            <w:tcW w:w="2228" w:type="dxa"/>
            <w:vMerge w:val="restart"/>
            <w:vAlign w:val="center"/>
          </w:tcPr>
          <w:p w:rsidR="00BB0B9A" w:rsidRPr="008F6182" w:rsidRDefault="00BB0B9A" w:rsidP="00055CB3">
            <w:pPr>
              <w:jc w:val="center"/>
              <w:rPr>
                <w:rFonts w:ascii="Times New Roman" w:hAnsi="Times New Roman" w:cs="Times New Roman"/>
                <w:b/>
                <w:sz w:val="24"/>
                <w:szCs w:val="24"/>
                <w:lang w:val="sr-Cyrl-RS"/>
              </w:rPr>
            </w:pPr>
            <w:r w:rsidRPr="006C3C7D">
              <w:rPr>
                <w:rFonts w:ascii="Times New Roman" w:hAnsi="Times New Roman" w:cs="Times New Roman"/>
                <w:b/>
                <w:sz w:val="24"/>
                <w:szCs w:val="24"/>
              </w:rPr>
              <w:t>Укупна уговорена вредност</w:t>
            </w:r>
            <w:r w:rsidR="008F6182">
              <w:rPr>
                <w:rFonts w:ascii="Times New Roman" w:hAnsi="Times New Roman" w:cs="Times New Roman"/>
                <w:b/>
                <w:sz w:val="24"/>
                <w:szCs w:val="24"/>
                <w:lang w:val="sr-Cyrl-RS"/>
              </w:rPr>
              <w:t>*</w:t>
            </w:r>
          </w:p>
        </w:tc>
        <w:tc>
          <w:tcPr>
            <w:tcW w:w="4253" w:type="dxa"/>
            <w:gridSpan w:val="2"/>
            <w:vAlign w:val="center"/>
          </w:tcPr>
          <w:p w:rsidR="00BB0B9A" w:rsidRPr="006C3C7D" w:rsidRDefault="00BB0B9A" w:rsidP="00055CB3">
            <w:pPr>
              <w:jc w:val="center"/>
              <w:rPr>
                <w:rFonts w:ascii="Times New Roman" w:hAnsi="Times New Roman" w:cs="Times New Roman"/>
                <w:b/>
                <w:sz w:val="24"/>
                <w:szCs w:val="24"/>
              </w:rPr>
            </w:pPr>
            <w:r w:rsidRPr="006C3C7D">
              <w:rPr>
                <w:rFonts w:ascii="Times New Roman" w:hAnsi="Times New Roman" w:cs="Times New Roman"/>
                <w:b/>
                <w:sz w:val="24"/>
                <w:szCs w:val="24"/>
              </w:rPr>
              <w:t>Заступљеност у свим набавкама</w:t>
            </w:r>
          </w:p>
        </w:tc>
      </w:tr>
      <w:tr w:rsidR="00A92087" w:rsidTr="008F6182">
        <w:tblPrEx>
          <w:tblLook w:val="04A0" w:firstRow="1" w:lastRow="0" w:firstColumn="1" w:lastColumn="0" w:noHBand="0" w:noVBand="1"/>
        </w:tblPrEx>
        <w:tc>
          <w:tcPr>
            <w:tcW w:w="2096" w:type="dxa"/>
            <w:vMerge/>
            <w:vAlign w:val="center"/>
          </w:tcPr>
          <w:p w:rsidR="00BB0B9A" w:rsidRPr="006C3C7D" w:rsidRDefault="00BB0B9A" w:rsidP="00055CB3">
            <w:pPr>
              <w:jc w:val="center"/>
              <w:rPr>
                <w:rFonts w:ascii="Times New Roman" w:hAnsi="Times New Roman" w:cs="Times New Roman"/>
                <w:b/>
                <w:sz w:val="24"/>
                <w:szCs w:val="24"/>
              </w:rPr>
            </w:pPr>
          </w:p>
        </w:tc>
        <w:tc>
          <w:tcPr>
            <w:tcW w:w="2196" w:type="dxa"/>
            <w:vMerge/>
            <w:vAlign w:val="center"/>
          </w:tcPr>
          <w:p w:rsidR="00BB0B9A" w:rsidRPr="006C3C7D" w:rsidRDefault="00BB0B9A" w:rsidP="00055CB3">
            <w:pPr>
              <w:jc w:val="center"/>
              <w:rPr>
                <w:rFonts w:ascii="Times New Roman" w:hAnsi="Times New Roman" w:cs="Times New Roman"/>
                <w:b/>
                <w:sz w:val="24"/>
                <w:szCs w:val="24"/>
              </w:rPr>
            </w:pPr>
          </w:p>
        </w:tc>
        <w:tc>
          <w:tcPr>
            <w:tcW w:w="2228" w:type="dxa"/>
            <w:vMerge/>
            <w:vAlign w:val="center"/>
          </w:tcPr>
          <w:p w:rsidR="00BB0B9A" w:rsidRPr="006C3C7D" w:rsidRDefault="00BB0B9A" w:rsidP="00055CB3">
            <w:pPr>
              <w:jc w:val="center"/>
              <w:rPr>
                <w:rFonts w:ascii="Times New Roman" w:hAnsi="Times New Roman" w:cs="Times New Roman"/>
                <w:b/>
                <w:sz w:val="24"/>
                <w:szCs w:val="24"/>
              </w:rPr>
            </w:pPr>
          </w:p>
        </w:tc>
        <w:tc>
          <w:tcPr>
            <w:tcW w:w="2158" w:type="dxa"/>
            <w:vAlign w:val="center"/>
          </w:tcPr>
          <w:p w:rsidR="00BB0B9A" w:rsidRPr="006C3C7D" w:rsidRDefault="00BB0B9A" w:rsidP="00055CB3">
            <w:pPr>
              <w:jc w:val="center"/>
              <w:rPr>
                <w:rFonts w:ascii="Times New Roman" w:hAnsi="Times New Roman" w:cs="Times New Roman"/>
                <w:b/>
                <w:sz w:val="24"/>
                <w:szCs w:val="24"/>
              </w:rPr>
            </w:pPr>
            <w:r w:rsidRPr="006C3C7D">
              <w:rPr>
                <w:rFonts w:ascii="Times New Roman" w:hAnsi="Times New Roman" w:cs="Times New Roman"/>
                <w:b/>
                <w:sz w:val="24"/>
                <w:szCs w:val="24"/>
              </w:rPr>
              <w:t>По броју у %</w:t>
            </w:r>
          </w:p>
        </w:tc>
        <w:tc>
          <w:tcPr>
            <w:tcW w:w="2095" w:type="dxa"/>
            <w:vAlign w:val="center"/>
          </w:tcPr>
          <w:p w:rsidR="00BB0B9A" w:rsidRPr="006C3C7D" w:rsidRDefault="00BB0B9A" w:rsidP="00055CB3">
            <w:pPr>
              <w:jc w:val="center"/>
              <w:rPr>
                <w:rFonts w:ascii="Times New Roman" w:hAnsi="Times New Roman" w:cs="Times New Roman"/>
                <w:b/>
                <w:sz w:val="24"/>
                <w:szCs w:val="24"/>
              </w:rPr>
            </w:pPr>
            <w:r w:rsidRPr="006C3C7D">
              <w:rPr>
                <w:rFonts w:ascii="Times New Roman" w:hAnsi="Times New Roman" w:cs="Times New Roman"/>
                <w:b/>
                <w:sz w:val="24"/>
                <w:szCs w:val="24"/>
              </w:rPr>
              <w:t>По вредности у %</w:t>
            </w:r>
          </w:p>
        </w:tc>
      </w:tr>
      <w:tr w:rsidR="00A92087" w:rsidTr="008F6182">
        <w:tblPrEx>
          <w:tblLook w:val="04A0" w:firstRow="1" w:lastRow="0" w:firstColumn="1" w:lastColumn="0" w:noHBand="0" w:noVBand="1"/>
        </w:tblPrEx>
        <w:tc>
          <w:tcPr>
            <w:tcW w:w="2096" w:type="dxa"/>
            <w:vAlign w:val="center"/>
          </w:tcPr>
          <w:p w:rsidR="00BB0B9A" w:rsidRPr="006C3C7D" w:rsidRDefault="00BB0B9A" w:rsidP="00055CB3">
            <w:pPr>
              <w:jc w:val="center"/>
              <w:rPr>
                <w:rFonts w:ascii="Times New Roman" w:hAnsi="Times New Roman" w:cs="Times New Roman"/>
                <w:b/>
                <w:sz w:val="24"/>
                <w:szCs w:val="24"/>
              </w:rPr>
            </w:pPr>
            <w:r w:rsidRPr="006C3C7D">
              <w:rPr>
                <w:rFonts w:ascii="Times New Roman" w:hAnsi="Times New Roman" w:cs="Times New Roman"/>
                <w:b/>
                <w:sz w:val="24"/>
                <w:szCs w:val="24"/>
              </w:rPr>
              <w:t>Велике набавке</w:t>
            </w:r>
          </w:p>
        </w:tc>
        <w:tc>
          <w:tcPr>
            <w:tcW w:w="2196" w:type="dxa"/>
            <w:vAlign w:val="center"/>
          </w:tcPr>
          <w:p w:rsidR="00BB0B9A" w:rsidRPr="002F61C4" w:rsidRDefault="00580221" w:rsidP="00055CB3">
            <w:pPr>
              <w:jc w:val="center"/>
              <w:rPr>
                <w:rFonts w:ascii="Times New Roman" w:hAnsi="Times New Roman" w:cs="Times New Roman"/>
                <w:sz w:val="24"/>
                <w:szCs w:val="24"/>
              </w:rPr>
            </w:pPr>
            <w:r>
              <w:rPr>
                <w:rFonts w:ascii="Times New Roman" w:hAnsi="Times New Roman" w:cs="Times New Roman"/>
                <w:sz w:val="24"/>
                <w:szCs w:val="24"/>
              </w:rPr>
              <w:t>9.364</w:t>
            </w:r>
          </w:p>
        </w:tc>
        <w:tc>
          <w:tcPr>
            <w:tcW w:w="2228" w:type="dxa"/>
            <w:vAlign w:val="center"/>
          </w:tcPr>
          <w:p w:rsidR="00BB0B9A" w:rsidRPr="002F61C4" w:rsidRDefault="00580221" w:rsidP="00055CB3">
            <w:pPr>
              <w:jc w:val="center"/>
              <w:rPr>
                <w:rFonts w:ascii="Times New Roman" w:hAnsi="Times New Roman" w:cs="Times New Roman"/>
                <w:sz w:val="24"/>
                <w:szCs w:val="24"/>
              </w:rPr>
            </w:pPr>
            <w:r>
              <w:rPr>
                <w:rFonts w:ascii="Times New Roman" w:hAnsi="Times New Roman" w:cs="Times New Roman"/>
                <w:sz w:val="24"/>
                <w:szCs w:val="24"/>
              </w:rPr>
              <w:t>47.474.778</w:t>
            </w:r>
          </w:p>
        </w:tc>
        <w:tc>
          <w:tcPr>
            <w:tcW w:w="2158" w:type="dxa"/>
            <w:vAlign w:val="center"/>
          </w:tcPr>
          <w:p w:rsidR="00BB0B9A" w:rsidRPr="002F61C4" w:rsidRDefault="00580221" w:rsidP="00055CB3">
            <w:pPr>
              <w:jc w:val="center"/>
              <w:rPr>
                <w:rFonts w:ascii="Times New Roman" w:hAnsi="Times New Roman" w:cs="Times New Roman"/>
                <w:sz w:val="24"/>
                <w:szCs w:val="24"/>
              </w:rPr>
            </w:pPr>
            <w:r>
              <w:rPr>
                <w:rFonts w:ascii="Times New Roman" w:hAnsi="Times New Roman" w:cs="Times New Roman"/>
                <w:sz w:val="24"/>
                <w:szCs w:val="24"/>
              </w:rPr>
              <w:t>17</w:t>
            </w:r>
          </w:p>
        </w:tc>
        <w:tc>
          <w:tcPr>
            <w:tcW w:w="2095" w:type="dxa"/>
            <w:vAlign w:val="center"/>
          </w:tcPr>
          <w:p w:rsidR="00BB0B9A" w:rsidRPr="002F61C4" w:rsidRDefault="00580221" w:rsidP="00055CB3">
            <w:pPr>
              <w:jc w:val="center"/>
              <w:rPr>
                <w:rFonts w:ascii="Times New Roman" w:hAnsi="Times New Roman" w:cs="Times New Roman"/>
                <w:sz w:val="24"/>
                <w:szCs w:val="24"/>
              </w:rPr>
            </w:pPr>
            <w:r>
              <w:rPr>
                <w:rFonts w:ascii="Times New Roman" w:hAnsi="Times New Roman" w:cs="Times New Roman"/>
                <w:sz w:val="24"/>
                <w:szCs w:val="24"/>
              </w:rPr>
              <w:t>66</w:t>
            </w:r>
          </w:p>
        </w:tc>
      </w:tr>
      <w:tr w:rsidR="00A92087" w:rsidTr="008F6182">
        <w:tblPrEx>
          <w:tblLook w:val="04A0" w:firstRow="1" w:lastRow="0" w:firstColumn="1" w:lastColumn="0" w:noHBand="0" w:noVBand="1"/>
        </w:tblPrEx>
        <w:tc>
          <w:tcPr>
            <w:tcW w:w="2096" w:type="dxa"/>
            <w:vAlign w:val="center"/>
          </w:tcPr>
          <w:p w:rsidR="00BB0B9A" w:rsidRPr="006C3C7D" w:rsidRDefault="00BB0B9A" w:rsidP="00055CB3">
            <w:pPr>
              <w:jc w:val="center"/>
              <w:rPr>
                <w:rFonts w:ascii="Times New Roman" w:hAnsi="Times New Roman" w:cs="Times New Roman"/>
                <w:b/>
                <w:sz w:val="24"/>
                <w:szCs w:val="24"/>
              </w:rPr>
            </w:pPr>
            <w:r w:rsidRPr="006C3C7D">
              <w:rPr>
                <w:rFonts w:ascii="Times New Roman" w:hAnsi="Times New Roman" w:cs="Times New Roman"/>
                <w:b/>
                <w:sz w:val="24"/>
                <w:szCs w:val="24"/>
              </w:rPr>
              <w:t>Мале набавке</w:t>
            </w:r>
          </w:p>
        </w:tc>
        <w:tc>
          <w:tcPr>
            <w:tcW w:w="2196" w:type="dxa"/>
            <w:vAlign w:val="center"/>
          </w:tcPr>
          <w:p w:rsidR="00BB0B9A" w:rsidRPr="002F61C4" w:rsidRDefault="00580221" w:rsidP="00055CB3">
            <w:pPr>
              <w:jc w:val="center"/>
              <w:rPr>
                <w:rFonts w:ascii="Times New Roman" w:hAnsi="Times New Roman" w:cs="Times New Roman"/>
                <w:sz w:val="24"/>
                <w:szCs w:val="24"/>
              </w:rPr>
            </w:pPr>
            <w:r>
              <w:rPr>
                <w:rFonts w:ascii="Times New Roman" w:hAnsi="Times New Roman" w:cs="Times New Roman"/>
                <w:sz w:val="24"/>
                <w:szCs w:val="24"/>
              </w:rPr>
              <w:t>9.881</w:t>
            </w:r>
          </w:p>
        </w:tc>
        <w:tc>
          <w:tcPr>
            <w:tcW w:w="2228" w:type="dxa"/>
            <w:vAlign w:val="center"/>
          </w:tcPr>
          <w:p w:rsidR="00BB0B9A" w:rsidRPr="002F61C4" w:rsidRDefault="00580221" w:rsidP="00055CB3">
            <w:pPr>
              <w:jc w:val="center"/>
              <w:rPr>
                <w:rFonts w:ascii="Times New Roman" w:hAnsi="Times New Roman" w:cs="Times New Roman"/>
                <w:sz w:val="24"/>
                <w:szCs w:val="24"/>
              </w:rPr>
            </w:pPr>
            <w:r>
              <w:rPr>
                <w:rFonts w:ascii="Times New Roman" w:hAnsi="Times New Roman" w:cs="Times New Roman"/>
                <w:sz w:val="24"/>
                <w:szCs w:val="24"/>
              </w:rPr>
              <w:t>4.820.829</w:t>
            </w:r>
          </w:p>
        </w:tc>
        <w:tc>
          <w:tcPr>
            <w:tcW w:w="2158" w:type="dxa"/>
            <w:vAlign w:val="center"/>
          </w:tcPr>
          <w:p w:rsidR="00BB0B9A" w:rsidRPr="002F61C4" w:rsidRDefault="00580221" w:rsidP="00055CB3">
            <w:pPr>
              <w:jc w:val="center"/>
              <w:rPr>
                <w:rFonts w:ascii="Times New Roman" w:hAnsi="Times New Roman" w:cs="Times New Roman"/>
                <w:sz w:val="24"/>
                <w:szCs w:val="24"/>
              </w:rPr>
            </w:pPr>
            <w:r>
              <w:rPr>
                <w:rFonts w:ascii="Times New Roman" w:hAnsi="Times New Roman" w:cs="Times New Roman"/>
                <w:sz w:val="24"/>
                <w:szCs w:val="24"/>
              </w:rPr>
              <w:t>18</w:t>
            </w:r>
          </w:p>
        </w:tc>
        <w:tc>
          <w:tcPr>
            <w:tcW w:w="2095" w:type="dxa"/>
            <w:vAlign w:val="center"/>
          </w:tcPr>
          <w:p w:rsidR="00BB0B9A" w:rsidRPr="002F61C4" w:rsidRDefault="00580221" w:rsidP="00055CB3">
            <w:pPr>
              <w:jc w:val="center"/>
              <w:rPr>
                <w:rFonts w:ascii="Times New Roman" w:hAnsi="Times New Roman" w:cs="Times New Roman"/>
                <w:sz w:val="24"/>
                <w:szCs w:val="24"/>
              </w:rPr>
            </w:pPr>
            <w:r>
              <w:rPr>
                <w:rFonts w:ascii="Times New Roman" w:hAnsi="Times New Roman" w:cs="Times New Roman"/>
                <w:sz w:val="24"/>
                <w:szCs w:val="24"/>
              </w:rPr>
              <w:t>7</w:t>
            </w:r>
          </w:p>
        </w:tc>
      </w:tr>
      <w:tr w:rsidR="00A92087" w:rsidTr="008F6182">
        <w:tblPrEx>
          <w:tblLook w:val="04A0" w:firstRow="1" w:lastRow="0" w:firstColumn="1" w:lastColumn="0" w:noHBand="0" w:noVBand="1"/>
        </w:tblPrEx>
        <w:tc>
          <w:tcPr>
            <w:tcW w:w="2096" w:type="dxa"/>
            <w:vAlign w:val="center"/>
          </w:tcPr>
          <w:p w:rsidR="00BB0B9A" w:rsidRPr="006C3C7D" w:rsidRDefault="00BB0B9A" w:rsidP="00055CB3">
            <w:pPr>
              <w:jc w:val="center"/>
              <w:rPr>
                <w:rFonts w:ascii="Times New Roman" w:hAnsi="Times New Roman" w:cs="Times New Roman"/>
                <w:b/>
                <w:sz w:val="24"/>
                <w:szCs w:val="24"/>
              </w:rPr>
            </w:pPr>
            <w:r w:rsidRPr="006C3C7D">
              <w:rPr>
                <w:rFonts w:ascii="Times New Roman" w:hAnsi="Times New Roman" w:cs="Times New Roman"/>
                <w:b/>
                <w:sz w:val="24"/>
                <w:szCs w:val="24"/>
              </w:rPr>
              <w:t>Изузете набавке</w:t>
            </w:r>
          </w:p>
        </w:tc>
        <w:tc>
          <w:tcPr>
            <w:tcW w:w="2196" w:type="dxa"/>
            <w:vAlign w:val="center"/>
          </w:tcPr>
          <w:p w:rsidR="00BB0B9A" w:rsidRPr="002F61C4" w:rsidRDefault="00580221" w:rsidP="00055CB3">
            <w:pPr>
              <w:jc w:val="center"/>
              <w:rPr>
                <w:rFonts w:ascii="Times New Roman" w:hAnsi="Times New Roman" w:cs="Times New Roman"/>
                <w:sz w:val="24"/>
                <w:szCs w:val="24"/>
              </w:rPr>
            </w:pPr>
            <w:r>
              <w:rPr>
                <w:rFonts w:ascii="Times New Roman" w:hAnsi="Times New Roman" w:cs="Times New Roman"/>
                <w:sz w:val="24"/>
                <w:szCs w:val="24"/>
              </w:rPr>
              <w:t>36.654</w:t>
            </w:r>
          </w:p>
        </w:tc>
        <w:tc>
          <w:tcPr>
            <w:tcW w:w="2228" w:type="dxa"/>
            <w:vAlign w:val="center"/>
          </w:tcPr>
          <w:p w:rsidR="00BB0B9A" w:rsidRPr="002F61C4" w:rsidRDefault="00580221" w:rsidP="00055CB3">
            <w:pPr>
              <w:jc w:val="center"/>
              <w:rPr>
                <w:rFonts w:ascii="Times New Roman" w:hAnsi="Times New Roman" w:cs="Times New Roman"/>
                <w:sz w:val="24"/>
                <w:szCs w:val="24"/>
              </w:rPr>
            </w:pPr>
            <w:r>
              <w:rPr>
                <w:rFonts w:ascii="Times New Roman" w:hAnsi="Times New Roman" w:cs="Times New Roman"/>
                <w:sz w:val="24"/>
                <w:szCs w:val="24"/>
              </w:rPr>
              <w:t>19.259.350</w:t>
            </w:r>
          </w:p>
        </w:tc>
        <w:tc>
          <w:tcPr>
            <w:tcW w:w="2158" w:type="dxa"/>
            <w:vAlign w:val="center"/>
          </w:tcPr>
          <w:p w:rsidR="00BB0B9A" w:rsidRPr="002F61C4" w:rsidRDefault="00580221" w:rsidP="00055CB3">
            <w:pPr>
              <w:jc w:val="center"/>
              <w:rPr>
                <w:rFonts w:ascii="Times New Roman" w:hAnsi="Times New Roman" w:cs="Times New Roman"/>
                <w:sz w:val="24"/>
                <w:szCs w:val="24"/>
              </w:rPr>
            </w:pPr>
            <w:r>
              <w:rPr>
                <w:rFonts w:ascii="Times New Roman" w:hAnsi="Times New Roman" w:cs="Times New Roman"/>
                <w:sz w:val="24"/>
                <w:szCs w:val="24"/>
              </w:rPr>
              <w:t>65</w:t>
            </w:r>
          </w:p>
        </w:tc>
        <w:tc>
          <w:tcPr>
            <w:tcW w:w="2095" w:type="dxa"/>
            <w:vAlign w:val="center"/>
          </w:tcPr>
          <w:p w:rsidR="00BB0B9A" w:rsidRPr="002F61C4" w:rsidRDefault="00580221" w:rsidP="00055CB3">
            <w:pPr>
              <w:jc w:val="center"/>
              <w:rPr>
                <w:rFonts w:ascii="Times New Roman" w:hAnsi="Times New Roman" w:cs="Times New Roman"/>
                <w:sz w:val="24"/>
                <w:szCs w:val="24"/>
              </w:rPr>
            </w:pPr>
            <w:r>
              <w:rPr>
                <w:rFonts w:ascii="Times New Roman" w:hAnsi="Times New Roman" w:cs="Times New Roman"/>
                <w:sz w:val="24"/>
                <w:szCs w:val="24"/>
              </w:rPr>
              <w:t>27</w:t>
            </w:r>
          </w:p>
        </w:tc>
      </w:tr>
      <w:tr w:rsidR="00A92087" w:rsidTr="008F6182">
        <w:tblPrEx>
          <w:tblLook w:val="04A0" w:firstRow="1" w:lastRow="0" w:firstColumn="1" w:lastColumn="0" w:noHBand="0" w:noVBand="1"/>
        </w:tblPrEx>
        <w:tc>
          <w:tcPr>
            <w:tcW w:w="2096" w:type="dxa"/>
            <w:vAlign w:val="center"/>
          </w:tcPr>
          <w:p w:rsidR="00BB0B9A" w:rsidRPr="006C3C7D" w:rsidRDefault="00BB0B9A" w:rsidP="00055CB3">
            <w:pPr>
              <w:jc w:val="center"/>
              <w:rPr>
                <w:rFonts w:ascii="Times New Roman" w:hAnsi="Times New Roman" w:cs="Times New Roman"/>
                <w:b/>
                <w:sz w:val="24"/>
                <w:szCs w:val="24"/>
              </w:rPr>
            </w:pPr>
            <w:r w:rsidRPr="006C3C7D">
              <w:rPr>
                <w:rFonts w:ascii="Times New Roman" w:hAnsi="Times New Roman" w:cs="Times New Roman"/>
                <w:b/>
                <w:sz w:val="24"/>
                <w:szCs w:val="24"/>
              </w:rPr>
              <w:t>Укупно</w:t>
            </w:r>
          </w:p>
        </w:tc>
        <w:tc>
          <w:tcPr>
            <w:tcW w:w="2196" w:type="dxa"/>
            <w:vAlign w:val="center"/>
          </w:tcPr>
          <w:p w:rsidR="00BB0B9A" w:rsidRPr="002F61C4" w:rsidRDefault="00580221" w:rsidP="00055CB3">
            <w:pPr>
              <w:jc w:val="center"/>
              <w:rPr>
                <w:rFonts w:ascii="Times New Roman" w:hAnsi="Times New Roman" w:cs="Times New Roman"/>
                <w:sz w:val="24"/>
                <w:szCs w:val="24"/>
              </w:rPr>
            </w:pPr>
            <w:r>
              <w:rPr>
                <w:rFonts w:ascii="Times New Roman" w:hAnsi="Times New Roman" w:cs="Times New Roman"/>
                <w:sz w:val="24"/>
                <w:szCs w:val="24"/>
              </w:rPr>
              <w:t>55.899</w:t>
            </w:r>
          </w:p>
        </w:tc>
        <w:tc>
          <w:tcPr>
            <w:tcW w:w="2228" w:type="dxa"/>
            <w:vAlign w:val="center"/>
          </w:tcPr>
          <w:p w:rsidR="00BB0B9A" w:rsidRPr="002F61C4" w:rsidRDefault="00580221" w:rsidP="00055CB3">
            <w:pPr>
              <w:jc w:val="center"/>
              <w:rPr>
                <w:rFonts w:ascii="Times New Roman" w:hAnsi="Times New Roman" w:cs="Times New Roman"/>
                <w:sz w:val="24"/>
                <w:szCs w:val="24"/>
              </w:rPr>
            </w:pPr>
            <w:r>
              <w:rPr>
                <w:rFonts w:ascii="Times New Roman" w:hAnsi="Times New Roman" w:cs="Times New Roman"/>
                <w:sz w:val="24"/>
                <w:szCs w:val="24"/>
              </w:rPr>
              <w:t>71.554.957</w:t>
            </w:r>
          </w:p>
        </w:tc>
        <w:tc>
          <w:tcPr>
            <w:tcW w:w="2158" w:type="dxa"/>
            <w:vAlign w:val="center"/>
          </w:tcPr>
          <w:p w:rsidR="00BB0B9A" w:rsidRPr="002F61C4" w:rsidRDefault="00BB0B9A" w:rsidP="00055CB3">
            <w:pPr>
              <w:jc w:val="center"/>
              <w:rPr>
                <w:rFonts w:ascii="Times New Roman" w:hAnsi="Times New Roman" w:cs="Times New Roman"/>
                <w:sz w:val="24"/>
                <w:szCs w:val="24"/>
              </w:rPr>
            </w:pPr>
            <w:r w:rsidRPr="002F61C4">
              <w:rPr>
                <w:rFonts w:ascii="Times New Roman" w:hAnsi="Times New Roman" w:cs="Times New Roman"/>
                <w:sz w:val="24"/>
                <w:szCs w:val="24"/>
              </w:rPr>
              <w:t>100</w:t>
            </w:r>
          </w:p>
        </w:tc>
        <w:tc>
          <w:tcPr>
            <w:tcW w:w="2095" w:type="dxa"/>
            <w:vAlign w:val="center"/>
          </w:tcPr>
          <w:p w:rsidR="00BB0B9A" w:rsidRPr="002F61C4" w:rsidRDefault="00BB0B9A" w:rsidP="00055CB3">
            <w:pPr>
              <w:jc w:val="center"/>
              <w:rPr>
                <w:rFonts w:ascii="Times New Roman" w:hAnsi="Times New Roman" w:cs="Times New Roman"/>
                <w:sz w:val="24"/>
                <w:szCs w:val="24"/>
              </w:rPr>
            </w:pPr>
            <w:r w:rsidRPr="002F61C4">
              <w:rPr>
                <w:rFonts w:ascii="Times New Roman" w:hAnsi="Times New Roman" w:cs="Times New Roman"/>
                <w:sz w:val="24"/>
                <w:szCs w:val="24"/>
              </w:rPr>
              <w:t>100</w:t>
            </w:r>
          </w:p>
        </w:tc>
      </w:tr>
    </w:tbl>
    <w:p w:rsidR="00BB0B9A" w:rsidRPr="008F6182" w:rsidRDefault="008F6182" w:rsidP="00BB0B9A">
      <w:pPr>
        <w:rPr>
          <w:rFonts w:ascii="Times New Roman" w:hAnsi="Times New Roman" w:cs="Times New Roman"/>
          <w:lang w:val="sr-Cyrl-RS"/>
        </w:rPr>
      </w:pPr>
      <w:r w:rsidRPr="00BE14E5">
        <w:rPr>
          <w:rFonts w:ascii="Times New Roman" w:hAnsi="Times New Roman" w:cs="Times New Roman"/>
        </w:rPr>
        <w:t>*вредности су изражене у хиљадама динара</w:t>
      </w:r>
    </w:p>
    <w:p w:rsidR="003C3BC0" w:rsidRPr="009B3038" w:rsidRDefault="00BB0B9A" w:rsidP="009B3038">
      <w:pPr>
        <w:jc w:val="both"/>
        <w:rPr>
          <w:rFonts w:ascii="Times New Roman" w:hAnsi="Times New Roman" w:cs="Times New Roman"/>
          <w:b/>
          <w:sz w:val="24"/>
          <w:szCs w:val="24"/>
          <w:lang w:val="sr-Cyrl-RS"/>
        </w:rPr>
      </w:pPr>
      <w:r>
        <w:rPr>
          <w:rFonts w:ascii="Times New Roman" w:hAnsi="Times New Roman" w:cs="Times New Roman"/>
          <w:sz w:val="24"/>
          <w:szCs w:val="24"/>
        </w:rPr>
        <w:t xml:space="preserve">Ове набавке биле су најзаступљеније код јавних </w:t>
      </w:r>
      <w:r w:rsidR="00651B5A">
        <w:rPr>
          <w:rFonts w:ascii="Times New Roman" w:hAnsi="Times New Roman" w:cs="Times New Roman"/>
          <w:sz w:val="24"/>
          <w:szCs w:val="24"/>
        </w:rPr>
        <w:t xml:space="preserve">и јавних комуналних </w:t>
      </w:r>
      <w:r>
        <w:rPr>
          <w:rFonts w:ascii="Times New Roman" w:hAnsi="Times New Roman" w:cs="Times New Roman"/>
          <w:sz w:val="24"/>
          <w:szCs w:val="24"/>
        </w:rPr>
        <w:t xml:space="preserve">предузећа која су </w:t>
      </w:r>
      <w:r w:rsidR="00651B5A">
        <w:rPr>
          <w:rFonts w:ascii="Times New Roman" w:hAnsi="Times New Roman" w:cs="Times New Roman"/>
          <w:sz w:val="24"/>
          <w:szCs w:val="24"/>
        </w:rPr>
        <w:t xml:space="preserve">збирно </w:t>
      </w:r>
      <w:r>
        <w:rPr>
          <w:rFonts w:ascii="Times New Roman" w:hAnsi="Times New Roman" w:cs="Times New Roman"/>
          <w:sz w:val="24"/>
          <w:szCs w:val="24"/>
        </w:rPr>
        <w:t>учествовала са 8</w:t>
      </w:r>
      <w:r w:rsidR="00651B5A">
        <w:rPr>
          <w:rFonts w:ascii="Times New Roman" w:hAnsi="Times New Roman" w:cs="Times New Roman"/>
          <w:sz w:val="24"/>
          <w:szCs w:val="24"/>
        </w:rPr>
        <w:t>1</w:t>
      </w:r>
      <w:r>
        <w:rPr>
          <w:rFonts w:ascii="Times New Roman" w:hAnsi="Times New Roman" w:cs="Times New Roman"/>
          <w:sz w:val="24"/>
          <w:szCs w:val="24"/>
        </w:rPr>
        <w:t xml:space="preserve">% у укупној вредности набавки изузетих од примене ЗЈН (Табела </w:t>
      </w:r>
      <w:r w:rsidR="0094612A">
        <w:rPr>
          <w:rFonts w:ascii="Times New Roman" w:hAnsi="Times New Roman" w:cs="Times New Roman"/>
          <w:sz w:val="24"/>
          <w:szCs w:val="24"/>
        </w:rPr>
        <w:t>11</w:t>
      </w:r>
      <w:r>
        <w:rPr>
          <w:rFonts w:ascii="Times New Roman" w:hAnsi="Times New Roman" w:cs="Times New Roman"/>
          <w:sz w:val="24"/>
          <w:szCs w:val="24"/>
        </w:rPr>
        <w:t>).</w:t>
      </w:r>
    </w:p>
    <w:p w:rsidR="00280F6B" w:rsidRPr="009B3038" w:rsidRDefault="00C013A0" w:rsidP="0094612A">
      <w:pPr>
        <w:rPr>
          <w:rFonts w:ascii="Times New Roman" w:hAnsi="Times New Roman" w:cs="Times New Roman"/>
          <w:sz w:val="24"/>
          <w:szCs w:val="24"/>
        </w:rPr>
      </w:pPr>
      <w:r w:rsidRPr="009B3038">
        <w:rPr>
          <w:rFonts w:ascii="Times New Roman" w:hAnsi="Times New Roman" w:cs="Times New Roman"/>
          <w:b/>
          <w:sz w:val="24"/>
          <w:szCs w:val="24"/>
        </w:rPr>
        <w:t xml:space="preserve">Табела </w:t>
      </w:r>
      <w:r w:rsidR="0094612A" w:rsidRPr="009B3038">
        <w:rPr>
          <w:rFonts w:ascii="Times New Roman" w:hAnsi="Times New Roman" w:cs="Times New Roman"/>
          <w:b/>
          <w:sz w:val="24"/>
          <w:szCs w:val="24"/>
        </w:rPr>
        <w:t>11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7"/>
        <w:gridCol w:w="1187"/>
        <w:gridCol w:w="2410"/>
        <w:gridCol w:w="1417"/>
        <w:gridCol w:w="1667"/>
      </w:tblGrid>
      <w:tr w:rsidR="00280F6B" w:rsidRPr="00280F6B" w:rsidTr="00280F6B">
        <w:trPr>
          <w:trHeight w:val="858"/>
          <w:jc w:val="center"/>
        </w:trPr>
        <w:tc>
          <w:tcPr>
            <w:tcW w:w="9288" w:type="dxa"/>
            <w:gridSpan w:val="5"/>
            <w:shd w:val="clear" w:color="auto" w:fill="auto"/>
            <w:vAlign w:val="center"/>
          </w:tcPr>
          <w:p w:rsidR="00280F6B" w:rsidRPr="00280F6B" w:rsidRDefault="00280F6B" w:rsidP="00280F6B">
            <w:pPr>
              <w:tabs>
                <w:tab w:val="left" w:pos="1885"/>
              </w:tabs>
              <w:spacing w:after="0" w:line="240" w:lineRule="auto"/>
              <w:jc w:val="center"/>
              <w:rPr>
                <w:rFonts w:ascii="Times New Roman" w:eastAsia="Times New Roman" w:hAnsi="Times New Roman" w:cs="Times New Roman"/>
                <w:b/>
                <w:sz w:val="26"/>
                <w:szCs w:val="26"/>
              </w:rPr>
            </w:pPr>
            <w:r w:rsidRPr="00280F6B">
              <w:rPr>
                <w:rFonts w:ascii="Times New Roman" w:eastAsia="Times New Roman" w:hAnsi="Times New Roman" w:cs="Times New Roman"/>
                <w:b/>
                <w:sz w:val="26"/>
                <w:szCs w:val="26"/>
              </w:rPr>
              <w:t>Преглед набавки изузетих од примене ЗЈН по категоријама наручилаца</w:t>
            </w:r>
          </w:p>
          <w:p w:rsidR="00280F6B" w:rsidRPr="00280F6B" w:rsidRDefault="0015266C" w:rsidP="00280F6B">
            <w:pPr>
              <w:tabs>
                <w:tab w:val="left" w:pos="1885"/>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6"/>
                <w:szCs w:val="26"/>
              </w:rPr>
              <w:t xml:space="preserve"> у четвртом</w:t>
            </w:r>
            <w:r w:rsidR="00280F6B" w:rsidRPr="00280F6B">
              <w:rPr>
                <w:rFonts w:ascii="Times New Roman" w:eastAsia="Times New Roman" w:hAnsi="Times New Roman" w:cs="Times New Roman"/>
                <w:b/>
                <w:sz w:val="26"/>
                <w:szCs w:val="26"/>
              </w:rPr>
              <w:t xml:space="preserve"> кварталу 2013. </w:t>
            </w:r>
            <w:r w:rsidR="008F6182">
              <w:rPr>
                <w:rFonts w:ascii="Times New Roman" w:eastAsia="Times New Roman" w:hAnsi="Times New Roman" w:cs="Times New Roman"/>
                <w:b/>
                <w:sz w:val="26"/>
                <w:szCs w:val="26"/>
                <w:lang w:val="sr-Cyrl-RS"/>
              </w:rPr>
              <w:t>г</w:t>
            </w:r>
            <w:r w:rsidR="00280F6B" w:rsidRPr="00280F6B">
              <w:rPr>
                <w:rFonts w:ascii="Times New Roman" w:eastAsia="Times New Roman" w:hAnsi="Times New Roman" w:cs="Times New Roman"/>
                <w:b/>
                <w:sz w:val="26"/>
                <w:szCs w:val="26"/>
              </w:rPr>
              <w:t>одине</w:t>
            </w:r>
          </w:p>
        </w:tc>
      </w:tr>
      <w:tr w:rsidR="00280F6B" w:rsidRPr="00280F6B" w:rsidTr="00280F6B">
        <w:trPr>
          <w:trHeight w:val="772"/>
          <w:jc w:val="center"/>
        </w:trPr>
        <w:tc>
          <w:tcPr>
            <w:tcW w:w="2607" w:type="dxa"/>
            <w:vMerge w:val="restart"/>
            <w:shd w:val="clear" w:color="auto" w:fill="auto"/>
            <w:vAlign w:val="center"/>
          </w:tcPr>
          <w:p w:rsidR="00280F6B" w:rsidRPr="00280F6B" w:rsidRDefault="00280F6B" w:rsidP="00280F6B">
            <w:pPr>
              <w:tabs>
                <w:tab w:val="left" w:pos="1885"/>
              </w:tabs>
              <w:spacing w:after="0" w:line="240" w:lineRule="auto"/>
              <w:jc w:val="center"/>
              <w:rPr>
                <w:rFonts w:ascii="Times New Roman" w:eastAsia="Times New Roman" w:hAnsi="Times New Roman" w:cs="Times New Roman"/>
                <w:b/>
                <w:sz w:val="24"/>
                <w:szCs w:val="24"/>
              </w:rPr>
            </w:pPr>
            <w:r w:rsidRPr="00280F6B">
              <w:rPr>
                <w:rFonts w:ascii="Times New Roman" w:eastAsia="Times New Roman" w:hAnsi="Times New Roman" w:cs="Times New Roman"/>
                <w:b/>
                <w:sz w:val="24"/>
                <w:szCs w:val="24"/>
              </w:rPr>
              <w:t>Категорија</w:t>
            </w:r>
          </w:p>
        </w:tc>
        <w:tc>
          <w:tcPr>
            <w:tcW w:w="1187" w:type="dxa"/>
            <w:vMerge w:val="restart"/>
            <w:shd w:val="clear" w:color="auto" w:fill="auto"/>
            <w:vAlign w:val="center"/>
          </w:tcPr>
          <w:p w:rsidR="00280F6B" w:rsidRPr="00280F6B" w:rsidRDefault="00280F6B" w:rsidP="00280F6B">
            <w:pPr>
              <w:tabs>
                <w:tab w:val="left" w:pos="1885"/>
              </w:tabs>
              <w:spacing w:after="0" w:line="240" w:lineRule="auto"/>
              <w:jc w:val="center"/>
              <w:rPr>
                <w:rFonts w:ascii="Times New Roman" w:eastAsia="Times New Roman" w:hAnsi="Times New Roman" w:cs="Times New Roman"/>
                <w:b/>
                <w:sz w:val="24"/>
                <w:szCs w:val="24"/>
              </w:rPr>
            </w:pPr>
            <w:r w:rsidRPr="00280F6B">
              <w:rPr>
                <w:rFonts w:ascii="Times New Roman" w:eastAsia="Times New Roman" w:hAnsi="Times New Roman" w:cs="Times New Roman"/>
                <w:b/>
                <w:sz w:val="24"/>
                <w:szCs w:val="24"/>
              </w:rPr>
              <w:t>Број уговора</w:t>
            </w:r>
          </w:p>
        </w:tc>
        <w:tc>
          <w:tcPr>
            <w:tcW w:w="2410" w:type="dxa"/>
            <w:vMerge w:val="restart"/>
            <w:shd w:val="clear" w:color="auto" w:fill="auto"/>
            <w:vAlign w:val="center"/>
          </w:tcPr>
          <w:p w:rsidR="00280F6B" w:rsidRPr="00280F6B" w:rsidRDefault="00280F6B" w:rsidP="00280F6B">
            <w:pPr>
              <w:tabs>
                <w:tab w:val="left" w:pos="1885"/>
              </w:tabs>
              <w:spacing w:after="0" w:line="240" w:lineRule="auto"/>
              <w:jc w:val="center"/>
              <w:rPr>
                <w:rFonts w:ascii="Times New Roman" w:eastAsia="Times New Roman" w:hAnsi="Times New Roman" w:cs="Times New Roman"/>
                <w:b/>
                <w:sz w:val="24"/>
                <w:szCs w:val="24"/>
              </w:rPr>
            </w:pPr>
            <w:r w:rsidRPr="00280F6B">
              <w:rPr>
                <w:rFonts w:ascii="Times New Roman" w:eastAsia="Times New Roman" w:hAnsi="Times New Roman" w:cs="Times New Roman"/>
                <w:b/>
                <w:sz w:val="24"/>
                <w:szCs w:val="24"/>
              </w:rPr>
              <w:t xml:space="preserve">Уговорена вредност без ПДВ-а </w:t>
            </w:r>
          </w:p>
          <w:p w:rsidR="00280F6B" w:rsidRPr="00280F6B" w:rsidRDefault="00280F6B" w:rsidP="00280F6B">
            <w:pPr>
              <w:tabs>
                <w:tab w:val="left" w:pos="1885"/>
              </w:tabs>
              <w:spacing w:after="0" w:line="240" w:lineRule="auto"/>
              <w:jc w:val="center"/>
              <w:rPr>
                <w:rFonts w:ascii="Times New Roman" w:eastAsia="Times New Roman" w:hAnsi="Times New Roman" w:cs="Times New Roman"/>
                <w:b/>
                <w:sz w:val="24"/>
                <w:szCs w:val="24"/>
              </w:rPr>
            </w:pPr>
            <w:r w:rsidRPr="00280F6B">
              <w:rPr>
                <w:rFonts w:ascii="Times New Roman" w:eastAsia="Times New Roman" w:hAnsi="Times New Roman" w:cs="Times New Roman"/>
                <w:b/>
                <w:sz w:val="24"/>
                <w:szCs w:val="24"/>
              </w:rPr>
              <w:t>(у хиљадама динара)</w:t>
            </w:r>
          </w:p>
        </w:tc>
        <w:tc>
          <w:tcPr>
            <w:tcW w:w="3084" w:type="dxa"/>
            <w:gridSpan w:val="2"/>
            <w:shd w:val="clear" w:color="auto" w:fill="auto"/>
            <w:vAlign w:val="center"/>
          </w:tcPr>
          <w:p w:rsidR="00280F6B" w:rsidRPr="00280F6B" w:rsidRDefault="00280F6B" w:rsidP="00280F6B">
            <w:pPr>
              <w:tabs>
                <w:tab w:val="left" w:pos="1885"/>
              </w:tabs>
              <w:spacing w:after="0" w:line="240" w:lineRule="auto"/>
              <w:jc w:val="center"/>
              <w:rPr>
                <w:rFonts w:ascii="Times New Roman" w:eastAsia="Times New Roman" w:hAnsi="Times New Roman" w:cs="Times New Roman"/>
                <w:b/>
                <w:sz w:val="24"/>
                <w:szCs w:val="24"/>
              </w:rPr>
            </w:pPr>
            <w:r w:rsidRPr="00280F6B">
              <w:rPr>
                <w:rFonts w:ascii="Times New Roman" w:eastAsia="Times New Roman" w:hAnsi="Times New Roman" w:cs="Times New Roman"/>
                <w:b/>
                <w:sz w:val="24"/>
                <w:szCs w:val="24"/>
              </w:rPr>
              <w:t xml:space="preserve">Заступљеност у укупном броју/вредности </w:t>
            </w:r>
          </w:p>
        </w:tc>
      </w:tr>
      <w:tr w:rsidR="00280F6B" w:rsidRPr="00280F6B" w:rsidTr="00280F6B">
        <w:trPr>
          <w:trHeight w:val="891"/>
          <w:jc w:val="center"/>
        </w:trPr>
        <w:tc>
          <w:tcPr>
            <w:tcW w:w="2607" w:type="dxa"/>
            <w:vMerge/>
            <w:shd w:val="clear" w:color="auto" w:fill="auto"/>
            <w:vAlign w:val="center"/>
          </w:tcPr>
          <w:p w:rsidR="00280F6B" w:rsidRPr="00280F6B" w:rsidRDefault="00280F6B" w:rsidP="00280F6B">
            <w:pPr>
              <w:tabs>
                <w:tab w:val="left" w:pos="1885"/>
              </w:tabs>
              <w:spacing w:after="0" w:line="240" w:lineRule="auto"/>
              <w:jc w:val="center"/>
              <w:rPr>
                <w:rFonts w:ascii="Times New Roman" w:eastAsia="Times New Roman" w:hAnsi="Times New Roman" w:cs="Times New Roman"/>
                <w:b/>
                <w:sz w:val="24"/>
                <w:szCs w:val="24"/>
              </w:rPr>
            </w:pPr>
          </w:p>
        </w:tc>
        <w:tc>
          <w:tcPr>
            <w:tcW w:w="1187" w:type="dxa"/>
            <w:vMerge/>
            <w:shd w:val="clear" w:color="auto" w:fill="auto"/>
            <w:vAlign w:val="center"/>
          </w:tcPr>
          <w:p w:rsidR="00280F6B" w:rsidRPr="00280F6B" w:rsidRDefault="00280F6B" w:rsidP="00280F6B">
            <w:pPr>
              <w:tabs>
                <w:tab w:val="left" w:pos="1885"/>
              </w:tabs>
              <w:spacing w:after="0" w:line="240" w:lineRule="auto"/>
              <w:jc w:val="center"/>
              <w:rPr>
                <w:rFonts w:ascii="Times New Roman" w:eastAsia="Times New Roman" w:hAnsi="Times New Roman" w:cs="Times New Roman"/>
                <w:b/>
                <w:sz w:val="24"/>
                <w:szCs w:val="24"/>
              </w:rPr>
            </w:pPr>
          </w:p>
        </w:tc>
        <w:tc>
          <w:tcPr>
            <w:tcW w:w="2410" w:type="dxa"/>
            <w:vMerge/>
            <w:shd w:val="clear" w:color="auto" w:fill="auto"/>
            <w:vAlign w:val="center"/>
          </w:tcPr>
          <w:p w:rsidR="00280F6B" w:rsidRPr="00280F6B" w:rsidRDefault="00280F6B" w:rsidP="00280F6B">
            <w:pPr>
              <w:tabs>
                <w:tab w:val="left" w:pos="1885"/>
              </w:tabs>
              <w:spacing w:after="0" w:line="240" w:lineRule="auto"/>
              <w:jc w:val="center"/>
              <w:rPr>
                <w:rFonts w:ascii="Times New Roman" w:eastAsia="Times New Roman" w:hAnsi="Times New Roman" w:cs="Times New Roman"/>
                <w:b/>
                <w:sz w:val="24"/>
                <w:szCs w:val="24"/>
              </w:rPr>
            </w:pPr>
          </w:p>
        </w:tc>
        <w:tc>
          <w:tcPr>
            <w:tcW w:w="1417" w:type="dxa"/>
            <w:shd w:val="clear" w:color="auto" w:fill="auto"/>
            <w:vAlign w:val="center"/>
          </w:tcPr>
          <w:p w:rsidR="00280F6B" w:rsidRPr="00280F6B" w:rsidRDefault="00280F6B" w:rsidP="00280F6B">
            <w:pPr>
              <w:tabs>
                <w:tab w:val="left" w:pos="1885"/>
              </w:tabs>
              <w:spacing w:after="0" w:line="240" w:lineRule="auto"/>
              <w:jc w:val="center"/>
              <w:rPr>
                <w:rFonts w:ascii="Times New Roman" w:eastAsia="Times New Roman" w:hAnsi="Times New Roman" w:cs="Times New Roman"/>
                <w:b/>
                <w:sz w:val="24"/>
                <w:szCs w:val="24"/>
              </w:rPr>
            </w:pPr>
            <w:r w:rsidRPr="00280F6B">
              <w:rPr>
                <w:rFonts w:ascii="Times New Roman" w:eastAsia="Times New Roman" w:hAnsi="Times New Roman" w:cs="Times New Roman"/>
                <w:b/>
                <w:sz w:val="24"/>
                <w:szCs w:val="24"/>
              </w:rPr>
              <w:t xml:space="preserve">по броју </w:t>
            </w:r>
          </w:p>
          <w:p w:rsidR="00280F6B" w:rsidRPr="00280F6B" w:rsidRDefault="00280F6B" w:rsidP="00280F6B">
            <w:pPr>
              <w:tabs>
                <w:tab w:val="left" w:pos="1885"/>
              </w:tabs>
              <w:spacing w:after="0" w:line="240" w:lineRule="auto"/>
              <w:jc w:val="center"/>
              <w:rPr>
                <w:rFonts w:ascii="Times New Roman" w:eastAsia="Times New Roman" w:hAnsi="Times New Roman" w:cs="Times New Roman"/>
                <w:b/>
                <w:sz w:val="24"/>
                <w:szCs w:val="24"/>
              </w:rPr>
            </w:pPr>
            <w:r w:rsidRPr="00280F6B">
              <w:rPr>
                <w:rFonts w:ascii="Times New Roman" w:eastAsia="Times New Roman" w:hAnsi="Times New Roman" w:cs="Times New Roman"/>
                <w:b/>
                <w:sz w:val="24"/>
                <w:szCs w:val="24"/>
              </w:rPr>
              <w:t>(у %)</w:t>
            </w:r>
          </w:p>
        </w:tc>
        <w:tc>
          <w:tcPr>
            <w:tcW w:w="1667" w:type="dxa"/>
            <w:shd w:val="clear" w:color="auto" w:fill="auto"/>
            <w:vAlign w:val="center"/>
          </w:tcPr>
          <w:p w:rsidR="00280F6B" w:rsidRPr="00280F6B" w:rsidRDefault="00280F6B" w:rsidP="00280F6B">
            <w:pPr>
              <w:tabs>
                <w:tab w:val="left" w:pos="1885"/>
              </w:tabs>
              <w:spacing w:after="0" w:line="240" w:lineRule="auto"/>
              <w:jc w:val="center"/>
              <w:rPr>
                <w:rFonts w:ascii="Times New Roman" w:eastAsia="Times New Roman" w:hAnsi="Times New Roman" w:cs="Times New Roman"/>
                <w:b/>
                <w:sz w:val="24"/>
                <w:szCs w:val="24"/>
              </w:rPr>
            </w:pPr>
            <w:r w:rsidRPr="00280F6B">
              <w:rPr>
                <w:rFonts w:ascii="Times New Roman" w:eastAsia="Times New Roman" w:hAnsi="Times New Roman" w:cs="Times New Roman"/>
                <w:b/>
                <w:sz w:val="24"/>
                <w:szCs w:val="24"/>
              </w:rPr>
              <w:t>по вредности (у %)</w:t>
            </w:r>
          </w:p>
        </w:tc>
      </w:tr>
      <w:tr w:rsidR="00464666" w:rsidRPr="00280F6B" w:rsidTr="00464666">
        <w:trPr>
          <w:jc w:val="center"/>
        </w:trPr>
        <w:tc>
          <w:tcPr>
            <w:tcW w:w="2607" w:type="dxa"/>
            <w:shd w:val="clear" w:color="auto" w:fill="auto"/>
            <w:vAlign w:val="center"/>
          </w:tcPr>
          <w:p w:rsidR="00464666" w:rsidRPr="00280F6B" w:rsidRDefault="00464666" w:rsidP="00280F6B">
            <w:pPr>
              <w:tabs>
                <w:tab w:val="left" w:pos="1885"/>
              </w:tabs>
              <w:spacing w:after="0" w:line="240" w:lineRule="auto"/>
              <w:jc w:val="center"/>
              <w:rPr>
                <w:rFonts w:ascii="Times New Roman" w:eastAsia="Times New Roman" w:hAnsi="Times New Roman" w:cs="Times New Roman"/>
                <w:b/>
                <w:sz w:val="24"/>
                <w:szCs w:val="24"/>
              </w:rPr>
            </w:pPr>
            <w:r w:rsidRPr="00280F6B">
              <w:rPr>
                <w:rFonts w:ascii="Times New Roman" w:eastAsia="Times New Roman" w:hAnsi="Times New Roman" w:cs="Times New Roman"/>
                <w:b/>
                <w:sz w:val="24"/>
                <w:szCs w:val="24"/>
              </w:rPr>
              <w:t>Органи државне управе</w:t>
            </w:r>
          </w:p>
        </w:tc>
        <w:tc>
          <w:tcPr>
            <w:tcW w:w="1187" w:type="dxa"/>
            <w:shd w:val="clear" w:color="auto" w:fill="auto"/>
            <w:vAlign w:val="center"/>
          </w:tcPr>
          <w:p w:rsidR="00464666" w:rsidRPr="00280F6B" w:rsidRDefault="00464666" w:rsidP="00464666">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5.910</w:t>
            </w:r>
          </w:p>
        </w:tc>
        <w:tc>
          <w:tcPr>
            <w:tcW w:w="2410" w:type="dxa"/>
            <w:shd w:val="clear" w:color="auto" w:fill="auto"/>
            <w:vAlign w:val="center"/>
          </w:tcPr>
          <w:p w:rsidR="00464666" w:rsidRPr="00280F6B" w:rsidRDefault="00464666" w:rsidP="00464666">
            <w:pPr>
              <w:tabs>
                <w:tab w:val="left" w:pos="1885"/>
              </w:tabs>
              <w:spacing w:after="0" w:line="240" w:lineRule="auto"/>
              <w:jc w:val="center"/>
              <w:rPr>
                <w:rFonts w:ascii="Times New Roman" w:eastAsia="Times New Roman" w:hAnsi="Times New Roman" w:cs="Times New Roman"/>
                <w:sz w:val="24"/>
                <w:szCs w:val="24"/>
              </w:rPr>
            </w:pPr>
            <w:r w:rsidRPr="007A5F17">
              <w:rPr>
                <w:rFonts w:ascii="Times New Roman" w:eastAsia="Times New Roman" w:hAnsi="Times New Roman" w:cs="Times New Roman"/>
                <w:sz w:val="24"/>
                <w:szCs w:val="24"/>
              </w:rPr>
              <w:t>1.555.588</w:t>
            </w:r>
          </w:p>
        </w:tc>
        <w:tc>
          <w:tcPr>
            <w:tcW w:w="1417" w:type="dxa"/>
            <w:shd w:val="clear" w:color="auto" w:fill="auto"/>
            <w:vAlign w:val="center"/>
          </w:tcPr>
          <w:p w:rsidR="00464666" w:rsidRPr="00280F6B" w:rsidRDefault="00464666" w:rsidP="001275D0">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1667" w:type="dxa"/>
            <w:shd w:val="clear" w:color="auto" w:fill="auto"/>
            <w:vAlign w:val="center"/>
          </w:tcPr>
          <w:p w:rsidR="00464666" w:rsidRPr="00280F6B" w:rsidRDefault="00464666" w:rsidP="001275D0">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r>
      <w:tr w:rsidR="00464666" w:rsidRPr="00280F6B" w:rsidTr="00464666">
        <w:trPr>
          <w:jc w:val="center"/>
        </w:trPr>
        <w:tc>
          <w:tcPr>
            <w:tcW w:w="2607" w:type="dxa"/>
            <w:shd w:val="clear" w:color="auto" w:fill="auto"/>
            <w:vAlign w:val="center"/>
          </w:tcPr>
          <w:p w:rsidR="00464666" w:rsidRPr="00280F6B" w:rsidRDefault="00464666" w:rsidP="00280F6B">
            <w:pPr>
              <w:tabs>
                <w:tab w:val="left" w:pos="1885"/>
              </w:tabs>
              <w:spacing w:after="0" w:line="240" w:lineRule="auto"/>
              <w:jc w:val="center"/>
              <w:rPr>
                <w:rFonts w:ascii="Times New Roman" w:eastAsia="Times New Roman" w:hAnsi="Times New Roman" w:cs="Times New Roman"/>
                <w:b/>
                <w:sz w:val="24"/>
                <w:szCs w:val="24"/>
              </w:rPr>
            </w:pPr>
            <w:r w:rsidRPr="00280F6B">
              <w:rPr>
                <w:rFonts w:ascii="Times New Roman" w:eastAsia="Times New Roman" w:hAnsi="Times New Roman" w:cs="Times New Roman"/>
                <w:b/>
                <w:sz w:val="24"/>
                <w:szCs w:val="24"/>
              </w:rPr>
              <w:t>Правосуђе</w:t>
            </w:r>
          </w:p>
        </w:tc>
        <w:tc>
          <w:tcPr>
            <w:tcW w:w="1187" w:type="dxa"/>
            <w:shd w:val="clear" w:color="auto" w:fill="auto"/>
            <w:vAlign w:val="center"/>
          </w:tcPr>
          <w:p w:rsidR="00464666" w:rsidRPr="00280F6B" w:rsidRDefault="00464666" w:rsidP="00464666">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92</w:t>
            </w:r>
          </w:p>
        </w:tc>
        <w:tc>
          <w:tcPr>
            <w:tcW w:w="2410" w:type="dxa"/>
            <w:shd w:val="clear" w:color="auto" w:fill="auto"/>
            <w:vAlign w:val="center"/>
          </w:tcPr>
          <w:p w:rsidR="00464666" w:rsidRPr="00280F6B" w:rsidRDefault="00464666" w:rsidP="00464666">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10.935</w:t>
            </w:r>
          </w:p>
        </w:tc>
        <w:tc>
          <w:tcPr>
            <w:tcW w:w="1417" w:type="dxa"/>
            <w:shd w:val="clear" w:color="auto" w:fill="auto"/>
            <w:vAlign w:val="center"/>
          </w:tcPr>
          <w:p w:rsidR="00464666" w:rsidRPr="00280F6B" w:rsidRDefault="00464666" w:rsidP="001275D0">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667" w:type="dxa"/>
            <w:shd w:val="clear" w:color="auto" w:fill="auto"/>
            <w:vAlign w:val="center"/>
          </w:tcPr>
          <w:p w:rsidR="00464666" w:rsidRPr="00280F6B" w:rsidRDefault="00464666" w:rsidP="001275D0">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464666" w:rsidRPr="00280F6B" w:rsidTr="00464666">
        <w:trPr>
          <w:jc w:val="center"/>
        </w:trPr>
        <w:tc>
          <w:tcPr>
            <w:tcW w:w="2607" w:type="dxa"/>
            <w:shd w:val="clear" w:color="auto" w:fill="auto"/>
            <w:vAlign w:val="center"/>
          </w:tcPr>
          <w:p w:rsidR="00464666" w:rsidRPr="00280F6B" w:rsidRDefault="00464666" w:rsidP="00280F6B">
            <w:pPr>
              <w:tabs>
                <w:tab w:val="left" w:pos="1885"/>
              </w:tabs>
              <w:spacing w:after="0" w:line="240" w:lineRule="auto"/>
              <w:jc w:val="center"/>
              <w:rPr>
                <w:rFonts w:ascii="Times New Roman" w:eastAsia="Times New Roman" w:hAnsi="Times New Roman" w:cs="Times New Roman"/>
                <w:b/>
                <w:sz w:val="24"/>
                <w:szCs w:val="24"/>
              </w:rPr>
            </w:pPr>
            <w:r w:rsidRPr="00280F6B">
              <w:rPr>
                <w:rFonts w:ascii="Times New Roman" w:eastAsia="Times New Roman" w:hAnsi="Times New Roman" w:cs="Times New Roman"/>
                <w:b/>
                <w:sz w:val="24"/>
                <w:szCs w:val="24"/>
              </w:rPr>
              <w:t>Здравство и социјална заштита</w:t>
            </w:r>
          </w:p>
        </w:tc>
        <w:tc>
          <w:tcPr>
            <w:tcW w:w="1187" w:type="dxa"/>
            <w:shd w:val="clear" w:color="auto" w:fill="auto"/>
            <w:vAlign w:val="center"/>
          </w:tcPr>
          <w:p w:rsidR="00464666" w:rsidRPr="00280F6B" w:rsidRDefault="00464666" w:rsidP="00464666">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3.273</w:t>
            </w:r>
          </w:p>
        </w:tc>
        <w:tc>
          <w:tcPr>
            <w:tcW w:w="2410" w:type="dxa"/>
            <w:shd w:val="clear" w:color="auto" w:fill="auto"/>
            <w:vAlign w:val="center"/>
          </w:tcPr>
          <w:p w:rsidR="00464666" w:rsidRPr="00280F6B" w:rsidRDefault="00464666" w:rsidP="00464666">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345.123</w:t>
            </w:r>
          </w:p>
        </w:tc>
        <w:tc>
          <w:tcPr>
            <w:tcW w:w="1417" w:type="dxa"/>
            <w:shd w:val="clear" w:color="auto" w:fill="auto"/>
            <w:vAlign w:val="center"/>
          </w:tcPr>
          <w:p w:rsidR="00464666" w:rsidRPr="00280F6B" w:rsidRDefault="00464666" w:rsidP="001275D0">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1667" w:type="dxa"/>
            <w:shd w:val="clear" w:color="auto" w:fill="auto"/>
            <w:vAlign w:val="center"/>
          </w:tcPr>
          <w:p w:rsidR="00464666" w:rsidRPr="00280F6B" w:rsidRDefault="00464666" w:rsidP="001275D0">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464666" w:rsidRPr="00280F6B" w:rsidTr="00464666">
        <w:trPr>
          <w:jc w:val="center"/>
        </w:trPr>
        <w:tc>
          <w:tcPr>
            <w:tcW w:w="2607" w:type="dxa"/>
            <w:shd w:val="clear" w:color="auto" w:fill="auto"/>
            <w:vAlign w:val="center"/>
          </w:tcPr>
          <w:p w:rsidR="00464666" w:rsidRPr="00280F6B" w:rsidRDefault="00464666" w:rsidP="00280F6B">
            <w:pPr>
              <w:tabs>
                <w:tab w:val="left" w:pos="1885"/>
              </w:tabs>
              <w:spacing w:after="0" w:line="240" w:lineRule="auto"/>
              <w:jc w:val="center"/>
              <w:rPr>
                <w:rFonts w:ascii="Times New Roman" w:eastAsia="Times New Roman" w:hAnsi="Times New Roman" w:cs="Times New Roman"/>
                <w:b/>
                <w:sz w:val="24"/>
                <w:szCs w:val="24"/>
              </w:rPr>
            </w:pPr>
            <w:r w:rsidRPr="00280F6B">
              <w:rPr>
                <w:rFonts w:ascii="Times New Roman" w:eastAsia="Times New Roman" w:hAnsi="Times New Roman" w:cs="Times New Roman"/>
                <w:b/>
                <w:sz w:val="24"/>
                <w:szCs w:val="24"/>
              </w:rPr>
              <w:t>Култура</w:t>
            </w:r>
          </w:p>
        </w:tc>
        <w:tc>
          <w:tcPr>
            <w:tcW w:w="1187" w:type="dxa"/>
            <w:shd w:val="clear" w:color="auto" w:fill="auto"/>
            <w:vAlign w:val="center"/>
          </w:tcPr>
          <w:p w:rsidR="00464666" w:rsidRPr="00280F6B" w:rsidRDefault="00464666" w:rsidP="00464666">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3.679</w:t>
            </w:r>
          </w:p>
        </w:tc>
        <w:tc>
          <w:tcPr>
            <w:tcW w:w="2410" w:type="dxa"/>
            <w:shd w:val="clear" w:color="auto" w:fill="auto"/>
            <w:vAlign w:val="center"/>
          </w:tcPr>
          <w:p w:rsidR="00464666" w:rsidRPr="00280F6B" w:rsidRDefault="00464666" w:rsidP="00464666">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139.886</w:t>
            </w:r>
          </w:p>
        </w:tc>
        <w:tc>
          <w:tcPr>
            <w:tcW w:w="1417" w:type="dxa"/>
            <w:shd w:val="clear" w:color="auto" w:fill="auto"/>
            <w:vAlign w:val="center"/>
          </w:tcPr>
          <w:p w:rsidR="00464666" w:rsidRPr="00280F6B" w:rsidRDefault="00464666" w:rsidP="001275D0">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1667" w:type="dxa"/>
            <w:shd w:val="clear" w:color="auto" w:fill="auto"/>
            <w:vAlign w:val="center"/>
          </w:tcPr>
          <w:p w:rsidR="00464666" w:rsidRPr="00280F6B" w:rsidRDefault="00464666" w:rsidP="001275D0">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464666" w:rsidRPr="00280F6B" w:rsidTr="00464666">
        <w:trPr>
          <w:jc w:val="center"/>
        </w:trPr>
        <w:tc>
          <w:tcPr>
            <w:tcW w:w="2607" w:type="dxa"/>
            <w:shd w:val="clear" w:color="auto" w:fill="auto"/>
            <w:vAlign w:val="center"/>
          </w:tcPr>
          <w:p w:rsidR="00464666" w:rsidRPr="00280F6B" w:rsidRDefault="00464666" w:rsidP="00280F6B">
            <w:pPr>
              <w:tabs>
                <w:tab w:val="left" w:pos="1885"/>
              </w:tabs>
              <w:spacing w:after="0" w:line="240" w:lineRule="auto"/>
              <w:jc w:val="center"/>
              <w:rPr>
                <w:rFonts w:ascii="Times New Roman" w:eastAsia="Times New Roman" w:hAnsi="Times New Roman" w:cs="Times New Roman"/>
                <w:b/>
                <w:sz w:val="24"/>
                <w:szCs w:val="24"/>
              </w:rPr>
            </w:pPr>
            <w:r w:rsidRPr="00280F6B">
              <w:rPr>
                <w:rFonts w:ascii="Times New Roman" w:eastAsia="Times New Roman" w:hAnsi="Times New Roman" w:cs="Times New Roman"/>
                <w:b/>
                <w:sz w:val="24"/>
                <w:szCs w:val="24"/>
              </w:rPr>
              <w:t>Просвета, наука и спорт</w:t>
            </w:r>
          </w:p>
        </w:tc>
        <w:tc>
          <w:tcPr>
            <w:tcW w:w="1187" w:type="dxa"/>
            <w:shd w:val="clear" w:color="auto" w:fill="auto"/>
            <w:vAlign w:val="center"/>
          </w:tcPr>
          <w:p w:rsidR="00464666" w:rsidRPr="00280F6B" w:rsidRDefault="00464666" w:rsidP="00464666">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8.879</w:t>
            </w:r>
          </w:p>
        </w:tc>
        <w:tc>
          <w:tcPr>
            <w:tcW w:w="2410" w:type="dxa"/>
            <w:shd w:val="clear" w:color="auto" w:fill="auto"/>
            <w:vAlign w:val="center"/>
          </w:tcPr>
          <w:p w:rsidR="00464666" w:rsidRPr="00280F6B" w:rsidRDefault="00464666" w:rsidP="00464666">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586.570</w:t>
            </w:r>
          </w:p>
        </w:tc>
        <w:tc>
          <w:tcPr>
            <w:tcW w:w="1417" w:type="dxa"/>
            <w:shd w:val="clear" w:color="auto" w:fill="auto"/>
            <w:vAlign w:val="center"/>
          </w:tcPr>
          <w:p w:rsidR="00464666" w:rsidRPr="00280F6B" w:rsidRDefault="00464666" w:rsidP="00464666">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1667" w:type="dxa"/>
            <w:shd w:val="clear" w:color="auto" w:fill="auto"/>
            <w:vAlign w:val="center"/>
          </w:tcPr>
          <w:p w:rsidR="00464666" w:rsidRPr="00280F6B" w:rsidRDefault="00464666" w:rsidP="001275D0">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r>
      <w:tr w:rsidR="00464666" w:rsidRPr="00280F6B" w:rsidTr="00464666">
        <w:trPr>
          <w:jc w:val="center"/>
        </w:trPr>
        <w:tc>
          <w:tcPr>
            <w:tcW w:w="2607" w:type="dxa"/>
            <w:shd w:val="clear" w:color="auto" w:fill="auto"/>
            <w:vAlign w:val="center"/>
          </w:tcPr>
          <w:p w:rsidR="00464666" w:rsidRPr="00280F6B" w:rsidRDefault="00464666" w:rsidP="00280F6B">
            <w:pPr>
              <w:tabs>
                <w:tab w:val="left" w:pos="1885"/>
              </w:tabs>
              <w:spacing w:after="0" w:line="240" w:lineRule="auto"/>
              <w:jc w:val="center"/>
              <w:rPr>
                <w:rFonts w:ascii="Times New Roman" w:eastAsia="Times New Roman" w:hAnsi="Times New Roman" w:cs="Times New Roman"/>
                <w:b/>
                <w:sz w:val="24"/>
                <w:szCs w:val="24"/>
              </w:rPr>
            </w:pPr>
            <w:r w:rsidRPr="00280F6B">
              <w:rPr>
                <w:rFonts w:ascii="Times New Roman" w:eastAsia="Times New Roman" w:hAnsi="Times New Roman" w:cs="Times New Roman"/>
                <w:b/>
                <w:sz w:val="24"/>
                <w:szCs w:val="24"/>
              </w:rPr>
              <w:t>Државна јавна предузећа</w:t>
            </w:r>
          </w:p>
        </w:tc>
        <w:tc>
          <w:tcPr>
            <w:tcW w:w="1187" w:type="dxa"/>
            <w:shd w:val="clear" w:color="auto" w:fill="auto"/>
            <w:vAlign w:val="center"/>
          </w:tcPr>
          <w:p w:rsidR="00464666" w:rsidRPr="00280F6B" w:rsidRDefault="00464666" w:rsidP="00464666">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4.587</w:t>
            </w:r>
          </w:p>
        </w:tc>
        <w:tc>
          <w:tcPr>
            <w:tcW w:w="2410" w:type="dxa"/>
            <w:shd w:val="clear" w:color="auto" w:fill="auto"/>
            <w:vAlign w:val="center"/>
          </w:tcPr>
          <w:p w:rsidR="00464666" w:rsidRPr="00280F6B" w:rsidRDefault="00464666" w:rsidP="00464666">
            <w:pPr>
              <w:tabs>
                <w:tab w:val="left" w:pos="1885"/>
              </w:tabs>
              <w:spacing w:after="0" w:line="240" w:lineRule="auto"/>
              <w:jc w:val="center"/>
              <w:rPr>
                <w:rFonts w:ascii="Times New Roman" w:eastAsia="Times New Roman" w:hAnsi="Times New Roman" w:cs="Times New Roman"/>
                <w:sz w:val="24"/>
                <w:szCs w:val="24"/>
              </w:rPr>
            </w:pPr>
            <w:r w:rsidRPr="00464666">
              <w:rPr>
                <w:rFonts w:ascii="Times New Roman" w:eastAsia="Times New Roman" w:hAnsi="Times New Roman" w:cs="Times New Roman"/>
                <w:sz w:val="24"/>
                <w:szCs w:val="24"/>
              </w:rPr>
              <w:t>11.531.898</w:t>
            </w:r>
          </w:p>
        </w:tc>
        <w:tc>
          <w:tcPr>
            <w:tcW w:w="1417" w:type="dxa"/>
            <w:shd w:val="clear" w:color="auto" w:fill="auto"/>
            <w:vAlign w:val="center"/>
          </w:tcPr>
          <w:p w:rsidR="00464666" w:rsidRPr="00280F6B" w:rsidRDefault="00464666" w:rsidP="001275D0">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1667" w:type="dxa"/>
            <w:shd w:val="clear" w:color="auto" w:fill="auto"/>
            <w:vAlign w:val="center"/>
          </w:tcPr>
          <w:p w:rsidR="00464666" w:rsidRPr="00280F6B" w:rsidRDefault="00464666" w:rsidP="001275D0">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60</w:t>
            </w:r>
          </w:p>
        </w:tc>
      </w:tr>
      <w:tr w:rsidR="00464666" w:rsidRPr="00280F6B" w:rsidTr="00464666">
        <w:trPr>
          <w:jc w:val="center"/>
        </w:trPr>
        <w:tc>
          <w:tcPr>
            <w:tcW w:w="2607" w:type="dxa"/>
            <w:shd w:val="clear" w:color="auto" w:fill="auto"/>
            <w:vAlign w:val="center"/>
          </w:tcPr>
          <w:p w:rsidR="00464666" w:rsidRPr="00280F6B" w:rsidRDefault="00464666" w:rsidP="00280F6B">
            <w:pPr>
              <w:tabs>
                <w:tab w:val="left" w:pos="1885"/>
              </w:tabs>
              <w:spacing w:after="0" w:line="240" w:lineRule="auto"/>
              <w:jc w:val="center"/>
              <w:rPr>
                <w:rFonts w:ascii="Times New Roman" w:eastAsia="Times New Roman" w:hAnsi="Times New Roman" w:cs="Times New Roman"/>
                <w:b/>
                <w:sz w:val="24"/>
                <w:szCs w:val="24"/>
              </w:rPr>
            </w:pPr>
            <w:r w:rsidRPr="00280F6B">
              <w:rPr>
                <w:rFonts w:ascii="Times New Roman" w:eastAsia="Times New Roman" w:hAnsi="Times New Roman" w:cs="Times New Roman"/>
                <w:b/>
                <w:sz w:val="24"/>
                <w:szCs w:val="24"/>
              </w:rPr>
              <w:t>Јавна предузећа-локална самоуправа</w:t>
            </w:r>
          </w:p>
        </w:tc>
        <w:tc>
          <w:tcPr>
            <w:tcW w:w="1187" w:type="dxa"/>
            <w:shd w:val="clear" w:color="auto" w:fill="auto"/>
            <w:vAlign w:val="center"/>
          </w:tcPr>
          <w:p w:rsidR="00464666" w:rsidRPr="00280F6B" w:rsidRDefault="00464666" w:rsidP="00464666">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7.428</w:t>
            </w:r>
          </w:p>
        </w:tc>
        <w:tc>
          <w:tcPr>
            <w:tcW w:w="2410" w:type="dxa"/>
            <w:shd w:val="clear" w:color="auto" w:fill="auto"/>
            <w:vAlign w:val="center"/>
          </w:tcPr>
          <w:p w:rsidR="00464666" w:rsidRPr="00280F6B" w:rsidRDefault="00464666" w:rsidP="00464666">
            <w:pPr>
              <w:tabs>
                <w:tab w:val="left" w:pos="1885"/>
              </w:tabs>
              <w:spacing w:after="0" w:line="240" w:lineRule="auto"/>
              <w:jc w:val="center"/>
              <w:rPr>
                <w:rFonts w:ascii="Times New Roman" w:eastAsia="Times New Roman" w:hAnsi="Times New Roman" w:cs="Times New Roman"/>
                <w:sz w:val="24"/>
                <w:szCs w:val="24"/>
              </w:rPr>
            </w:pPr>
            <w:r w:rsidRPr="00464666">
              <w:rPr>
                <w:rFonts w:ascii="Times New Roman" w:eastAsia="Times New Roman" w:hAnsi="Times New Roman" w:cs="Times New Roman"/>
                <w:sz w:val="24"/>
                <w:szCs w:val="24"/>
              </w:rPr>
              <w:t>4.142.179</w:t>
            </w:r>
          </w:p>
        </w:tc>
        <w:tc>
          <w:tcPr>
            <w:tcW w:w="1417" w:type="dxa"/>
            <w:shd w:val="clear" w:color="auto" w:fill="auto"/>
            <w:vAlign w:val="center"/>
          </w:tcPr>
          <w:p w:rsidR="00464666" w:rsidRPr="00280F6B" w:rsidRDefault="00464666" w:rsidP="001275D0">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1667" w:type="dxa"/>
            <w:shd w:val="clear" w:color="auto" w:fill="auto"/>
            <w:vAlign w:val="center"/>
          </w:tcPr>
          <w:p w:rsidR="00464666" w:rsidRPr="00280F6B" w:rsidRDefault="00464666" w:rsidP="001275D0">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r>
      <w:tr w:rsidR="00464666" w:rsidRPr="00280F6B" w:rsidTr="00464666">
        <w:trPr>
          <w:jc w:val="center"/>
        </w:trPr>
        <w:tc>
          <w:tcPr>
            <w:tcW w:w="2607" w:type="dxa"/>
            <w:shd w:val="clear" w:color="auto" w:fill="auto"/>
            <w:vAlign w:val="center"/>
          </w:tcPr>
          <w:p w:rsidR="00464666" w:rsidRPr="00280F6B" w:rsidRDefault="00464666" w:rsidP="00280F6B">
            <w:pPr>
              <w:tabs>
                <w:tab w:val="left" w:pos="1885"/>
              </w:tabs>
              <w:spacing w:after="0" w:line="240" w:lineRule="auto"/>
              <w:jc w:val="center"/>
              <w:rPr>
                <w:rFonts w:ascii="Times New Roman" w:eastAsia="Times New Roman" w:hAnsi="Times New Roman" w:cs="Times New Roman"/>
                <w:b/>
                <w:sz w:val="24"/>
                <w:szCs w:val="24"/>
              </w:rPr>
            </w:pPr>
            <w:r w:rsidRPr="00280F6B">
              <w:rPr>
                <w:rFonts w:ascii="Times New Roman" w:eastAsia="Times New Roman" w:hAnsi="Times New Roman" w:cs="Times New Roman"/>
                <w:b/>
                <w:sz w:val="24"/>
                <w:szCs w:val="24"/>
              </w:rPr>
              <w:t>Градска и општинс</w:t>
            </w:r>
            <w:r w:rsidR="00651F8D">
              <w:rPr>
                <w:rFonts w:ascii="Times New Roman" w:eastAsia="Times New Roman" w:hAnsi="Times New Roman" w:cs="Times New Roman"/>
                <w:b/>
                <w:sz w:val="24"/>
                <w:szCs w:val="24"/>
                <w:lang w:val="sr-Cyrl-RS"/>
              </w:rPr>
              <w:t>к</w:t>
            </w:r>
            <w:r w:rsidRPr="00280F6B">
              <w:rPr>
                <w:rFonts w:ascii="Times New Roman" w:eastAsia="Times New Roman" w:hAnsi="Times New Roman" w:cs="Times New Roman"/>
                <w:b/>
                <w:sz w:val="24"/>
                <w:szCs w:val="24"/>
              </w:rPr>
              <w:t>а управа</w:t>
            </w:r>
          </w:p>
        </w:tc>
        <w:tc>
          <w:tcPr>
            <w:tcW w:w="1187" w:type="dxa"/>
            <w:shd w:val="clear" w:color="auto" w:fill="auto"/>
            <w:vAlign w:val="center"/>
          </w:tcPr>
          <w:p w:rsidR="00464666" w:rsidRPr="00280F6B" w:rsidRDefault="00464666" w:rsidP="00464666">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2.787</w:t>
            </w:r>
          </w:p>
        </w:tc>
        <w:tc>
          <w:tcPr>
            <w:tcW w:w="2410" w:type="dxa"/>
            <w:shd w:val="clear" w:color="auto" w:fill="auto"/>
            <w:vAlign w:val="center"/>
          </w:tcPr>
          <w:p w:rsidR="00464666" w:rsidRPr="00280F6B" w:rsidRDefault="00464666" w:rsidP="00464666">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944.939</w:t>
            </w:r>
          </w:p>
        </w:tc>
        <w:tc>
          <w:tcPr>
            <w:tcW w:w="1417" w:type="dxa"/>
            <w:shd w:val="clear" w:color="auto" w:fill="auto"/>
            <w:vAlign w:val="center"/>
          </w:tcPr>
          <w:p w:rsidR="00464666" w:rsidRPr="00280F6B" w:rsidRDefault="00464666" w:rsidP="001275D0">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1667" w:type="dxa"/>
            <w:shd w:val="clear" w:color="auto" w:fill="auto"/>
            <w:vAlign w:val="center"/>
          </w:tcPr>
          <w:p w:rsidR="00464666" w:rsidRPr="00280F6B" w:rsidRDefault="00464666" w:rsidP="001275D0">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r>
      <w:tr w:rsidR="00464666" w:rsidRPr="00280F6B" w:rsidTr="00464666">
        <w:trPr>
          <w:jc w:val="center"/>
        </w:trPr>
        <w:tc>
          <w:tcPr>
            <w:tcW w:w="2607" w:type="dxa"/>
            <w:shd w:val="clear" w:color="auto" w:fill="auto"/>
            <w:vAlign w:val="center"/>
          </w:tcPr>
          <w:p w:rsidR="00464666" w:rsidRPr="00280F6B" w:rsidRDefault="00464666" w:rsidP="00280F6B">
            <w:pPr>
              <w:tabs>
                <w:tab w:val="left" w:pos="1885"/>
              </w:tabs>
              <w:spacing w:after="0" w:line="240" w:lineRule="auto"/>
              <w:jc w:val="center"/>
              <w:rPr>
                <w:rFonts w:ascii="Times New Roman" w:eastAsia="Times New Roman" w:hAnsi="Times New Roman" w:cs="Times New Roman"/>
                <w:b/>
                <w:sz w:val="24"/>
                <w:szCs w:val="24"/>
              </w:rPr>
            </w:pPr>
            <w:r w:rsidRPr="00280F6B">
              <w:rPr>
                <w:rFonts w:ascii="Times New Roman" w:eastAsia="Times New Roman" w:hAnsi="Times New Roman" w:cs="Times New Roman"/>
                <w:b/>
                <w:sz w:val="24"/>
                <w:szCs w:val="24"/>
              </w:rPr>
              <w:t>Укупно</w:t>
            </w:r>
          </w:p>
        </w:tc>
        <w:tc>
          <w:tcPr>
            <w:tcW w:w="1187" w:type="dxa"/>
            <w:shd w:val="clear" w:color="auto" w:fill="auto"/>
            <w:vAlign w:val="center"/>
          </w:tcPr>
          <w:p w:rsidR="00464666" w:rsidRPr="00280F6B" w:rsidRDefault="00464666" w:rsidP="00464666">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36.635</w:t>
            </w:r>
          </w:p>
        </w:tc>
        <w:tc>
          <w:tcPr>
            <w:tcW w:w="2410" w:type="dxa"/>
            <w:shd w:val="clear" w:color="auto" w:fill="auto"/>
            <w:vAlign w:val="center"/>
          </w:tcPr>
          <w:p w:rsidR="00464666" w:rsidRPr="00280F6B" w:rsidRDefault="00464666" w:rsidP="00464666">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19.257.118</w:t>
            </w:r>
          </w:p>
        </w:tc>
        <w:tc>
          <w:tcPr>
            <w:tcW w:w="1417" w:type="dxa"/>
            <w:shd w:val="clear" w:color="auto" w:fill="auto"/>
            <w:vAlign w:val="center"/>
          </w:tcPr>
          <w:p w:rsidR="00464666" w:rsidRPr="00280F6B" w:rsidRDefault="00464666" w:rsidP="001275D0">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1667" w:type="dxa"/>
            <w:shd w:val="clear" w:color="auto" w:fill="auto"/>
            <w:vAlign w:val="center"/>
          </w:tcPr>
          <w:p w:rsidR="00464666" w:rsidRPr="00280F6B" w:rsidRDefault="00464666" w:rsidP="00464666">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r>
    </w:tbl>
    <w:p w:rsidR="00BB0B9A" w:rsidRDefault="00BB0B9A" w:rsidP="00BB0B9A">
      <w:pPr>
        <w:rPr>
          <w:rFonts w:ascii="Times New Roman" w:hAnsi="Times New Roman" w:cs="Times New Roman"/>
          <w:b/>
          <w:sz w:val="24"/>
          <w:szCs w:val="24"/>
        </w:rPr>
      </w:pPr>
    </w:p>
    <w:p w:rsidR="00DA4317" w:rsidRPr="00A01819" w:rsidRDefault="00DA4317" w:rsidP="00DA4317">
      <w:pPr>
        <w:jc w:val="both"/>
        <w:rPr>
          <w:rFonts w:ascii="Times New Roman" w:hAnsi="Times New Roman" w:cs="Times New Roman"/>
          <w:sz w:val="24"/>
          <w:szCs w:val="24"/>
        </w:rPr>
      </w:pPr>
      <w:r w:rsidRPr="00A01819">
        <w:rPr>
          <w:rFonts w:ascii="Times New Roman" w:hAnsi="Times New Roman" w:cs="Times New Roman"/>
          <w:sz w:val="24"/>
          <w:szCs w:val="24"/>
        </w:rPr>
        <w:lastRenderedPageBreak/>
        <w:t xml:space="preserve">Јавна предузећа су 91% ових набавки спровела по три основа: </w:t>
      </w:r>
      <w:r w:rsidR="00221A36" w:rsidRPr="00A01819">
        <w:rPr>
          <w:rFonts w:ascii="Times New Roman" w:hAnsi="Times New Roman" w:cs="Times New Roman"/>
          <w:sz w:val="24"/>
          <w:szCs w:val="24"/>
        </w:rPr>
        <w:t>1</w:t>
      </w:r>
      <w:r w:rsidRPr="00A01819">
        <w:rPr>
          <w:rFonts w:ascii="Times New Roman" w:hAnsi="Times New Roman" w:cs="Times New Roman"/>
          <w:sz w:val="24"/>
          <w:szCs w:val="24"/>
        </w:rPr>
        <w:t xml:space="preserve">) код финансирања из средстава страних кредита (зајмова) добијених од међународних организација и међународних финансијских институција у складу са условима из међународног уговора, односно посебним поступцима међународних организација и финансијских институција (16%), </w:t>
      </w:r>
      <w:r w:rsidR="00221A36" w:rsidRPr="00A01819">
        <w:rPr>
          <w:rFonts w:ascii="Times New Roman" w:hAnsi="Times New Roman" w:cs="Times New Roman"/>
          <w:sz w:val="24"/>
          <w:szCs w:val="24"/>
        </w:rPr>
        <w:t>2</w:t>
      </w:r>
      <w:r w:rsidRPr="00A01819">
        <w:rPr>
          <w:rFonts w:ascii="Times New Roman" w:hAnsi="Times New Roman" w:cs="Times New Roman"/>
          <w:sz w:val="24"/>
          <w:szCs w:val="24"/>
        </w:rPr>
        <w:t xml:space="preserve">) где је искључива и непосредна намена обављање делатности електронских комуникација и продаја електронских комуникационих услуга у смислу закона којим се уређују електронске комуникације, под условом да други привредни субјекти пружају те услуге на релевантном тржишту (45%), и 3) када наручилац који се бави делатношћу из чл. 119 став 1. овог закона набавља енергију или гориво за производњу енергије (30%) . У другом случају конкретно </w:t>
      </w:r>
      <w:r w:rsidR="00CF1F3D">
        <w:rPr>
          <w:rFonts w:ascii="Times New Roman" w:hAnsi="Times New Roman" w:cs="Times New Roman"/>
          <w:sz w:val="24"/>
          <w:szCs w:val="24"/>
          <w:lang w:val="sr-Cyrl-RS"/>
        </w:rPr>
        <w:t>је реч</w:t>
      </w:r>
      <w:r w:rsidRPr="00A01819">
        <w:rPr>
          <w:rFonts w:ascii="Times New Roman" w:hAnsi="Times New Roman" w:cs="Times New Roman"/>
          <w:sz w:val="24"/>
          <w:szCs w:val="24"/>
        </w:rPr>
        <w:t xml:space="preserve"> о набавкама које је спроводио „Телеком“, а у циљу пружања комуникационих услуга на тржишту на коме постоји конкуренција.  </w:t>
      </w:r>
    </w:p>
    <w:p w:rsidR="00DA4317" w:rsidRDefault="00DA4317" w:rsidP="00DA4317">
      <w:pPr>
        <w:jc w:val="both"/>
        <w:rPr>
          <w:rFonts w:ascii="Times New Roman" w:hAnsi="Times New Roman" w:cs="Times New Roman"/>
          <w:sz w:val="24"/>
          <w:szCs w:val="24"/>
        </w:rPr>
      </w:pPr>
      <w:r w:rsidRPr="00BB0B9A">
        <w:rPr>
          <w:rFonts w:ascii="Times New Roman" w:hAnsi="Times New Roman" w:cs="Times New Roman"/>
          <w:sz w:val="24"/>
          <w:szCs w:val="24"/>
        </w:rPr>
        <w:t>Остали изузеци</w:t>
      </w:r>
      <w:r>
        <w:rPr>
          <w:rFonts w:ascii="Times New Roman" w:hAnsi="Times New Roman" w:cs="Times New Roman"/>
          <w:sz w:val="24"/>
          <w:szCs w:val="24"/>
        </w:rPr>
        <w:t xml:space="preserve"> од примене ЗЈН, појединачно узев, имали су минимално учешће.</w:t>
      </w:r>
    </w:p>
    <w:p w:rsidR="00280F6B" w:rsidRDefault="00280F6B" w:rsidP="00637BC6">
      <w:pPr>
        <w:rPr>
          <w:rFonts w:ascii="Times New Roman" w:hAnsi="Times New Roman" w:cs="Times New Roman"/>
          <w:sz w:val="24"/>
          <w:szCs w:val="24"/>
        </w:rPr>
      </w:pPr>
    </w:p>
    <w:p w:rsidR="00BB7407" w:rsidRPr="003C3BC0" w:rsidRDefault="00BB7407" w:rsidP="003C3BC0">
      <w:pPr>
        <w:pStyle w:val="ListParagraph"/>
        <w:numPr>
          <w:ilvl w:val="0"/>
          <w:numId w:val="4"/>
        </w:numPr>
        <w:rPr>
          <w:rFonts w:ascii="Times New Roman" w:hAnsi="Times New Roman" w:cs="Times New Roman"/>
          <w:b/>
          <w:sz w:val="24"/>
          <w:szCs w:val="24"/>
        </w:rPr>
      </w:pPr>
      <w:r w:rsidRPr="003C3BC0">
        <w:rPr>
          <w:rFonts w:ascii="Times New Roman" w:hAnsi="Times New Roman" w:cs="Times New Roman"/>
          <w:b/>
          <w:sz w:val="24"/>
          <w:szCs w:val="24"/>
        </w:rPr>
        <w:t>ЗАКЉУЧЦИ И ПРЕПОРУКЕ</w:t>
      </w:r>
    </w:p>
    <w:p w:rsidR="002D3646" w:rsidRPr="002D3646" w:rsidRDefault="002D3646" w:rsidP="00C469B9">
      <w:pPr>
        <w:jc w:val="both"/>
        <w:rPr>
          <w:rFonts w:ascii="Times New Roman" w:hAnsi="Times New Roman"/>
          <w:sz w:val="24"/>
          <w:szCs w:val="24"/>
          <w:lang w:val="ru-RU"/>
        </w:rPr>
      </w:pPr>
      <w:r w:rsidRPr="002D3646">
        <w:rPr>
          <w:rFonts w:ascii="Times New Roman" w:hAnsi="Times New Roman"/>
          <w:sz w:val="24"/>
          <w:szCs w:val="24"/>
          <w:lang w:val="ru-RU"/>
        </w:rPr>
        <w:t>Општи закључак на основу података садржаних у извештају за четврти квартал 2013. године је да су се у четвр</w:t>
      </w:r>
      <w:r w:rsidR="008E2E56">
        <w:rPr>
          <w:rFonts w:ascii="Times New Roman" w:hAnsi="Times New Roman"/>
          <w:sz w:val="24"/>
          <w:szCs w:val="24"/>
          <w:lang w:val="ru-RU"/>
        </w:rPr>
        <w:t>т</w:t>
      </w:r>
      <w:r w:rsidRPr="002D3646">
        <w:rPr>
          <w:rFonts w:ascii="Times New Roman" w:hAnsi="Times New Roman"/>
          <w:sz w:val="24"/>
          <w:szCs w:val="24"/>
          <w:lang w:val="ru-RU"/>
        </w:rPr>
        <w:t xml:space="preserve">ом кварталу наставиле позитивне промене које су започеле применом новог Закона о јавним набавкама и које су регистроване у трећем кварталу 2013. године.  </w:t>
      </w:r>
    </w:p>
    <w:p w:rsidR="002D3646" w:rsidRPr="002D3646" w:rsidRDefault="002D3646" w:rsidP="00C469B9">
      <w:pPr>
        <w:jc w:val="both"/>
        <w:rPr>
          <w:rFonts w:ascii="Times New Roman" w:hAnsi="Times New Roman"/>
          <w:sz w:val="24"/>
          <w:szCs w:val="24"/>
          <w:lang w:val="ru-RU"/>
        </w:rPr>
      </w:pPr>
      <w:r w:rsidRPr="002D3646">
        <w:rPr>
          <w:rFonts w:ascii="Times New Roman" w:hAnsi="Times New Roman"/>
          <w:sz w:val="24"/>
          <w:szCs w:val="24"/>
          <w:lang w:val="ru-RU"/>
        </w:rPr>
        <w:t>Најзначајније промене огледају се у јачању транспарентности и конкуренције кроз сузбијање нетранспарентног и неконкурентног преговарачког поступка без објављивања јавног позива. Током десетогодишњег периода примене ЗЈН, учешће преговарачког поступка без објављивања кретало се од 23 па све до чак 37%. Први позитивни ефекти од примене новог ЗЈН, по коме је Управа добила овлашћења да даје претходно мишљење о основаности покретања преговарачког поступка, регистровани су у трећем кварталу 2013. године, када је учешће овог поступка смањено на свега 10%. Удео у четвртом кварталу је износио 12%</w:t>
      </w:r>
      <w:r w:rsidR="00BC0F17">
        <w:rPr>
          <w:rFonts w:ascii="Times New Roman" w:hAnsi="Times New Roman"/>
          <w:sz w:val="24"/>
          <w:szCs w:val="24"/>
        </w:rPr>
        <w:t>,</w:t>
      </w:r>
      <w:r w:rsidRPr="002D3646">
        <w:rPr>
          <w:rFonts w:ascii="Times New Roman" w:hAnsi="Times New Roman"/>
          <w:sz w:val="24"/>
          <w:szCs w:val="24"/>
          <w:lang w:val="ru-RU"/>
        </w:rPr>
        <w:t xml:space="preserve"> што потврђује да је дошло до системске промене, односно да није реч о неком ванредном ефекту чије је дејство ограничено на један квартал. </w:t>
      </w:r>
    </w:p>
    <w:p w:rsidR="002D3646" w:rsidRPr="002D3646" w:rsidRDefault="002D3646" w:rsidP="00C469B9">
      <w:pPr>
        <w:jc w:val="both"/>
        <w:rPr>
          <w:rFonts w:ascii="Times New Roman" w:hAnsi="Times New Roman"/>
          <w:sz w:val="24"/>
          <w:szCs w:val="24"/>
          <w:lang w:val="ru-RU"/>
        </w:rPr>
      </w:pPr>
      <w:r w:rsidRPr="002D3646">
        <w:rPr>
          <w:rFonts w:ascii="Times New Roman" w:hAnsi="Times New Roman"/>
          <w:sz w:val="24"/>
          <w:szCs w:val="24"/>
          <w:lang w:val="ru-RU"/>
        </w:rPr>
        <w:t>Имајући у виду почетак преговора у оквиру Поглавља 5 – јавне набавке, неопходно је у планираним реформама јавних набавки узети у обзир и овај процес и препоруке Европске комисије (ЕК). У том смислу ће оцене и препоруке садржан</w:t>
      </w:r>
      <w:r w:rsidR="00BC0F17">
        <w:rPr>
          <w:rFonts w:ascii="Times New Roman" w:hAnsi="Times New Roman"/>
          <w:sz w:val="24"/>
          <w:szCs w:val="24"/>
          <w:lang w:val="ru-RU"/>
        </w:rPr>
        <w:t>е</w:t>
      </w:r>
      <w:r w:rsidRPr="002D3646">
        <w:rPr>
          <w:rFonts w:ascii="Times New Roman" w:hAnsi="Times New Roman"/>
          <w:sz w:val="24"/>
          <w:szCs w:val="24"/>
          <w:lang w:val="ru-RU"/>
        </w:rPr>
        <w:t xml:space="preserve"> у овом извештају у значајној мери одражавати препоруке ЕК и стандарде ЕУ којима Србија треба да тежи. </w:t>
      </w:r>
    </w:p>
    <w:p w:rsidR="002D3646" w:rsidRPr="002D3646" w:rsidRDefault="002D3646" w:rsidP="00C469B9">
      <w:pPr>
        <w:jc w:val="both"/>
        <w:rPr>
          <w:rFonts w:ascii="Times New Roman" w:hAnsi="Times New Roman"/>
          <w:sz w:val="24"/>
          <w:szCs w:val="24"/>
          <w:lang w:val="ru-RU"/>
        </w:rPr>
      </w:pPr>
      <w:r w:rsidRPr="002D3646">
        <w:rPr>
          <w:rFonts w:ascii="Times New Roman" w:hAnsi="Times New Roman"/>
          <w:sz w:val="24"/>
          <w:szCs w:val="24"/>
          <w:lang w:val="ru-RU"/>
        </w:rPr>
        <w:t xml:space="preserve">Конкретно, удео преговарачког поступка без објављивања у ЕУ креће се на нивоу од око 5%, што значи да је, у наредном периоду, потребно даље смањивање заступљености овог поступка. </w:t>
      </w:r>
    </w:p>
    <w:p w:rsidR="002D3646" w:rsidRPr="002D3646" w:rsidRDefault="002D3646" w:rsidP="00C469B9">
      <w:pPr>
        <w:jc w:val="both"/>
        <w:rPr>
          <w:rFonts w:ascii="Times New Roman" w:hAnsi="Times New Roman"/>
          <w:sz w:val="24"/>
          <w:szCs w:val="24"/>
          <w:lang w:val="ru-RU"/>
        </w:rPr>
      </w:pPr>
      <w:r w:rsidRPr="002D3646">
        <w:rPr>
          <w:rFonts w:ascii="Times New Roman" w:hAnsi="Times New Roman"/>
          <w:sz w:val="24"/>
          <w:szCs w:val="24"/>
          <w:lang w:val="ru-RU"/>
        </w:rPr>
        <w:t xml:space="preserve">Други кључан показатељ на који ће бити сконцентрисана пажња током преговора са ЕУ  јесу изузећа од примене ЗЈН. Управи за јавне набавке је, од 1. априла 2013. године, стигло преко 600 захтева за изузеће. Велики интерес за изузимањем од примене ЗЈН је у супротности са препоруком ЕК да се изузећа сведу на најмању могућу меру. </w:t>
      </w:r>
    </w:p>
    <w:p w:rsidR="002D3646" w:rsidRPr="002D3646" w:rsidRDefault="002D3646" w:rsidP="00C469B9">
      <w:pPr>
        <w:jc w:val="both"/>
        <w:rPr>
          <w:rFonts w:ascii="Times New Roman" w:hAnsi="Times New Roman"/>
          <w:sz w:val="24"/>
          <w:szCs w:val="24"/>
          <w:lang w:val="ru-RU"/>
        </w:rPr>
      </w:pPr>
      <w:r w:rsidRPr="002D3646">
        <w:rPr>
          <w:rFonts w:ascii="Times New Roman" w:hAnsi="Times New Roman"/>
          <w:sz w:val="24"/>
          <w:szCs w:val="24"/>
          <w:lang w:val="ru-RU"/>
        </w:rPr>
        <w:t xml:space="preserve">У том смислу је од посебног значаја </w:t>
      </w:r>
      <w:r w:rsidR="0067375D">
        <w:rPr>
          <w:rFonts w:ascii="Times New Roman" w:hAnsi="Times New Roman"/>
          <w:sz w:val="24"/>
          <w:szCs w:val="24"/>
          <w:lang w:val="ru-RU"/>
        </w:rPr>
        <w:t>да се ради</w:t>
      </w:r>
      <w:r w:rsidRPr="002D3646">
        <w:rPr>
          <w:rFonts w:ascii="Times New Roman" w:hAnsi="Times New Roman"/>
          <w:sz w:val="24"/>
          <w:szCs w:val="24"/>
          <w:lang w:val="ru-RU"/>
        </w:rPr>
        <w:t xml:space="preserve"> на промени свести наручилаца која је формирана током протеклих десет година. Наиме, као последица одсуства ефективног надзора над применом Закона у периоду од 2003. до 2013. године било је присутно непримењивање ЗЈН упркос јасној законској обавези, </w:t>
      </w:r>
      <w:r w:rsidRPr="002D3646">
        <w:rPr>
          <w:rFonts w:ascii="Times New Roman" w:hAnsi="Times New Roman"/>
          <w:sz w:val="24"/>
          <w:szCs w:val="24"/>
          <w:lang w:val="ru-RU"/>
        </w:rPr>
        <w:lastRenderedPageBreak/>
        <w:t xml:space="preserve">као што је то био случај са апотекарским установама широм Србије. Поред ових установа, и други бројни наручиоци су покушавали да се изузму од примене ЗЈН. </w:t>
      </w:r>
    </w:p>
    <w:p w:rsidR="002D3646" w:rsidRPr="002D3646" w:rsidRDefault="002D3646" w:rsidP="00C469B9">
      <w:pPr>
        <w:jc w:val="both"/>
        <w:rPr>
          <w:rFonts w:ascii="Times New Roman" w:hAnsi="Times New Roman"/>
          <w:sz w:val="24"/>
          <w:szCs w:val="24"/>
          <w:lang w:val="ru-RU"/>
        </w:rPr>
      </w:pPr>
      <w:r w:rsidRPr="002D3646">
        <w:rPr>
          <w:rFonts w:ascii="Times New Roman" w:hAnsi="Times New Roman"/>
          <w:sz w:val="24"/>
          <w:szCs w:val="24"/>
          <w:lang w:val="ru-RU"/>
        </w:rPr>
        <w:t xml:space="preserve">С обзиром на рестриктивно тумачење за изузећа од стране УЈН, други корак за бројне наручиоце био је да што више набавки реализују кроз преговарачки поступак без објављивања. Тек када би добили негативно мишљење од Управе за јавне набавке, приступали су отвореном поступку који је, иначе, предвиђен као редован поступак јавне набавке. </w:t>
      </w:r>
    </w:p>
    <w:p w:rsidR="002D3646" w:rsidRPr="002D3646" w:rsidRDefault="002D3646" w:rsidP="00C469B9">
      <w:pPr>
        <w:jc w:val="both"/>
        <w:rPr>
          <w:rFonts w:ascii="Times New Roman" w:hAnsi="Times New Roman"/>
          <w:sz w:val="24"/>
          <w:szCs w:val="24"/>
          <w:lang w:val="ru-RU"/>
        </w:rPr>
      </w:pPr>
      <w:r w:rsidRPr="002D3646">
        <w:rPr>
          <w:rFonts w:ascii="Times New Roman" w:hAnsi="Times New Roman"/>
          <w:sz w:val="24"/>
          <w:szCs w:val="24"/>
          <w:lang w:val="ru-RU"/>
        </w:rPr>
        <w:t xml:space="preserve">Промена свести која треба да се оствари у наредном периоду састојала би се у томе да се наручиоци превасходно окрену спровођењу отвореног поступка, а само у изузетним случајевима да се обраћају Управи за преговарачки </w:t>
      </w:r>
      <w:r w:rsidR="00E27300">
        <w:rPr>
          <w:rFonts w:ascii="Times New Roman" w:hAnsi="Times New Roman"/>
          <w:sz w:val="24"/>
          <w:szCs w:val="24"/>
          <w:lang w:val="ru-RU"/>
        </w:rPr>
        <w:t xml:space="preserve">поступак </w:t>
      </w:r>
      <w:r w:rsidRPr="002D3646">
        <w:rPr>
          <w:rFonts w:ascii="Times New Roman" w:hAnsi="Times New Roman"/>
          <w:sz w:val="24"/>
          <w:szCs w:val="24"/>
          <w:lang w:val="ru-RU"/>
        </w:rPr>
        <w:t xml:space="preserve">без објављивања. </w:t>
      </w:r>
    </w:p>
    <w:p w:rsidR="002D3646" w:rsidRPr="002D3646" w:rsidRDefault="002D3646" w:rsidP="00C469B9">
      <w:pPr>
        <w:jc w:val="both"/>
        <w:rPr>
          <w:rFonts w:ascii="Times New Roman" w:hAnsi="Times New Roman"/>
          <w:sz w:val="24"/>
          <w:szCs w:val="24"/>
          <w:lang w:val="ru-RU"/>
        </w:rPr>
      </w:pPr>
      <w:r w:rsidRPr="002D3646">
        <w:rPr>
          <w:rFonts w:ascii="Times New Roman" w:hAnsi="Times New Roman"/>
          <w:sz w:val="24"/>
          <w:szCs w:val="24"/>
          <w:lang w:val="ru-RU"/>
        </w:rPr>
        <w:t xml:space="preserve">У четвртом кварталу 2013. године учешће отвореног поступка у укупној вредности јавних набавки износило је 80%, што је знатно више него у истом периоду претходне године када је износило 59%, као и уделу који је био током претходних десет година и који се кретао у распону од 63 до свега 35%.  Процес даљег јачања транспарентности и конкуренције у јавним набавкама наћи ће свог одраза и у даљем повећању учешћа отвореног поступка у укупној вредности јавних набавки.  </w:t>
      </w:r>
    </w:p>
    <w:p w:rsidR="002D3646" w:rsidRPr="002D3646" w:rsidRDefault="002D3646" w:rsidP="00C469B9">
      <w:pPr>
        <w:jc w:val="both"/>
        <w:rPr>
          <w:rFonts w:ascii="Times New Roman" w:hAnsi="Times New Roman"/>
          <w:sz w:val="24"/>
          <w:szCs w:val="24"/>
        </w:rPr>
      </w:pPr>
      <w:r w:rsidRPr="002D3646">
        <w:rPr>
          <w:rFonts w:ascii="Times New Roman" w:hAnsi="Times New Roman"/>
          <w:sz w:val="24"/>
          <w:szCs w:val="24"/>
        </w:rPr>
        <w:t>Европска комисија је, у Извештају о напретку, дала препоруку да Србија ажурира Стратегију развоја јавних набавки и Акциони план за њено спровођење тако да се њима обухвате све неопходне реформе у погледу законодавног усклађивања и изградње институционалних капацитета.  Од Србије се очекује да, у складу са Стратегијом и Акционим планом, покаже да</w:t>
      </w:r>
      <w:r w:rsidRPr="002D3646">
        <w:rPr>
          <w:rFonts w:ascii="Times New Roman" w:hAnsi="Times New Roman"/>
          <w:sz w:val="24"/>
          <w:szCs w:val="24"/>
          <w:lang w:val="en-GB"/>
        </w:rPr>
        <w:t xml:space="preserve"> </w:t>
      </w:r>
      <w:r w:rsidRPr="002D3646">
        <w:rPr>
          <w:rFonts w:ascii="Times New Roman" w:hAnsi="Times New Roman"/>
          <w:sz w:val="24"/>
          <w:szCs w:val="24"/>
        </w:rPr>
        <w:t>државне институције надлежне за креирање</w:t>
      </w:r>
      <w:r w:rsidRPr="002D3646">
        <w:rPr>
          <w:rFonts w:ascii="Times New Roman" w:hAnsi="Times New Roman"/>
          <w:sz w:val="24"/>
          <w:szCs w:val="24"/>
          <w:lang w:val="en-GB"/>
        </w:rPr>
        <w:t xml:space="preserve">, </w:t>
      </w:r>
      <w:r w:rsidRPr="002D3646">
        <w:rPr>
          <w:rFonts w:ascii="Times New Roman" w:hAnsi="Times New Roman"/>
          <w:sz w:val="24"/>
          <w:szCs w:val="24"/>
        </w:rPr>
        <w:t>спровођење и примену политике јавних набавки могу адекватно да врше своје задатке, нарочито законодавне функције и функције праћења и контроле</w:t>
      </w:r>
      <w:r w:rsidRPr="002D3646">
        <w:rPr>
          <w:rFonts w:ascii="Times New Roman" w:hAnsi="Times New Roman"/>
          <w:sz w:val="24"/>
          <w:szCs w:val="24"/>
          <w:lang w:val="en-GB"/>
        </w:rPr>
        <w:t>,</w:t>
      </w:r>
      <w:r w:rsidRPr="002D3646">
        <w:rPr>
          <w:rFonts w:ascii="Times New Roman" w:hAnsi="Times New Roman"/>
          <w:sz w:val="24"/>
          <w:szCs w:val="24"/>
        </w:rPr>
        <w:t xml:space="preserve"> припрему инструмената за спровођење и пружање практичне и правне помоћи заинтересованим странама</w:t>
      </w:r>
      <w:r w:rsidRPr="002D3646">
        <w:rPr>
          <w:rFonts w:ascii="Times New Roman" w:hAnsi="Times New Roman"/>
          <w:sz w:val="24"/>
          <w:szCs w:val="24"/>
          <w:lang w:val="en-GB"/>
        </w:rPr>
        <w:t>.</w:t>
      </w:r>
    </w:p>
    <w:p w:rsidR="002D3646" w:rsidRPr="002D3646" w:rsidRDefault="002D3646" w:rsidP="00C469B9">
      <w:pPr>
        <w:jc w:val="both"/>
        <w:rPr>
          <w:rFonts w:ascii="Times New Roman" w:hAnsi="Times New Roman"/>
          <w:sz w:val="24"/>
          <w:szCs w:val="24"/>
          <w:lang w:val="ru-RU"/>
        </w:rPr>
      </w:pPr>
      <w:r w:rsidRPr="002D3646">
        <w:rPr>
          <w:rFonts w:ascii="Times New Roman" w:hAnsi="Times New Roman"/>
          <w:sz w:val="24"/>
          <w:szCs w:val="24"/>
          <w:lang w:val="ru-RU"/>
        </w:rPr>
        <w:t>С обзиром да све предстојеће активности на реформама јавних набавки треба да произађу из Стратегије развоја јавних набавки и Акционог плана за њено спровођење</w:t>
      </w:r>
      <w:r w:rsidR="00B646A4">
        <w:rPr>
          <w:rFonts w:ascii="Times New Roman" w:hAnsi="Times New Roman"/>
          <w:sz w:val="24"/>
          <w:szCs w:val="24"/>
          <w:lang w:val="ru-RU"/>
        </w:rPr>
        <w:t>,</w:t>
      </w:r>
      <w:r w:rsidRPr="002D3646">
        <w:rPr>
          <w:rFonts w:ascii="Times New Roman" w:hAnsi="Times New Roman"/>
          <w:sz w:val="24"/>
          <w:szCs w:val="24"/>
          <w:lang w:val="ru-RU"/>
        </w:rPr>
        <w:t xml:space="preserve"> неопходно је што пре ажурирати Стратегију у складу са новим институционалним оквиром по новом  ЗЈН и направити реалистичан Акциони план чији ће се ефекти у пракси прецизно мерити. Стратегија и Акциони план морају садржати јасно дефинисане надлежности не само за јавне набавке, већ и за повезане области као што су концесије и јавно приватно партнерство. Не сме се дозволити да промене закона у другим областима као што су на пример: енергетика, грађевина, одбрана, здравство дерогирају ЗЈН, већ се мора обезбедити пуна координација и усклађеност у доношењу прописа.</w:t>
      </w:r>
    </w:p>
    <w:p w:rsidR="002D3646" w:rsidRPr="002D3646" w:rsidRDefault="002D3646" w:rsidP="00C469B9">
      <w:pPr>
        <w:jc w:val="both"/>
        <w:rPr>
          <w:rFonts w:ascii="Times New Roman" w:hAnsi="Times New Roman"/>
          <w:sz w:val="24"/>
          <w:szCs w:val="24"/>
        </w:rPr>
      </w:pPr>
      <w:r w:rsidRPr="002D3646">
        <w:rPr>
          <w:rFonts w:ascii="Times New Roman" w:hAnsi="Times New Roman"/>
          <w:sz w:val="24"/>
          <w:szCs w:val="24"/>
        </w:rPr>
        <w:t>У предстојећем периоду, Србија ће морати да, у складу са Стратегијом и Акционим планом, представи кроз конкретне резултате</w:t>
      </w:r>
      <w:r w:rsidRPr="002D3646">
        <w:rPr>
          <w:rFonts w:ascii="Times New Roman" w:hAnsi="Times New Roman"/>
          <w:sz w:val="24"/>
          <w:szCs w:val="24"/>
          <w:lang w:val="en-GB"/>
        </w:rPr>
        <w:t xml:space="preserve">, </w:t>
      </w:r>
      <w:r w:rsidRPr="002D3646">
        <w:rPr>
          <w:rFonts w:ascii="Times New Roman" w:hAnsi="Times New Roman"/>
          <w:sz w:val="24"/>
          <w:szCs w:val="24"/>
        </w:rPr>
        <w:t>да је предузела одговарајуће мере за спровођење националног законодавства на свим нивоима</w:t>
      </w:r>
      <w:r w:rsidRPr="002D3646">
        <w:rPr>
          <w:rFonts w:ascii="Times New Roman" w:hAnsi="Times New Roman"/>
          <w:sz w:val="24"/>
          <w:szCs w:val="24"/>
          <w:lang w:val="en-GB"/>
        </w:rPr>
        <w:t xml:space="preserve"> (</w:t>
      </w:r>
      <w:r w:rsidRPr="002D3646">
        <w:rPr>
          <w:rFonts w:ascii="Times New Roman" w:hAnsi="Times New Roman"/>
          <w:sz w:val="24"/>
          <w:szCs w:val="24"/>
        </w:rPr>
        <w:t>националном, регионалном и локалном</w:t>
      </w:r>
      <w:r w:rsidR="00B646A4" w:rsidRPr="00B646A4">
        <w:rPr>
          <w:rFonts w:ascii="Times New Roman" w:hAnsi="Times New Roman"/>
          <w:sz w:val="24"/>
          <w:szCs w:val="24"/>
          <w:lang w:val="sr-Cyrl-RS"/>
        </w:rPr>
        <w:t>)</w:t>
      </w:r>
      <w:r w:rsidRPr="002D3646">
        <w:rPr>
          <w:rFonts w:ascii="Times New Roman" w:hAnsi="Times New Roman"/>
          <w:sz w:val="24"/>
          <w:szCs w:val="24"/>
          <w:lang w:val="en-GB"/>
        </w:rPr>
        <w:t xml:space="preserve"> </w:t>
      </w:r>
      <w:r w:rsidRPr="002D3646">
        <w:rPr>
          <w:rFonts w:ascii="Times New Roman" w:hAnsi="Times New Roman"/>
          <w:sz w:val="24"/>
          <w:szCs w:val="24"/>
        </w:rPr>
        <w:t>много пре приступања ЕУ</w:t>
      </w:r>
      <w:r w:rsidRPr="002D3646">
        <w:rPr>
          <w:rFonts w:ascii="Times New Roman" w:hAnsi="Times New Roman"/>
          <w:sz w:val="24"/>
          <w:szCs w:val="24"/>
          <w:lang w:val="en-GB"/>
        </w:rPr>
        <w:t xml:space="preserve">. </w:t>
      </w:r>
    </w:p>
    <w:p w:rsidR="002D3646" w:rsidRPr="002D3646" w:rsidRDefault="002D3646" w:rsidP="00C469B9">
      <w:pPr>
        <w:jc w:val="both"/>
        <w:rPr>
          <w:rFonts w:ascii="Times New Roman" w:hAnsi="Times New Roman"/>
          <w:sz w:val="24"/>
          <w:szCs w:val="24"/>
        </w:rPr>
      </w:pPr>
      <w:r w:rsidRPr="002D3646">
        <w:rPr>
          <w:rFonts w:ascii="Times New Roman" w:hAnsi="Times New Roman"/>
          <w:sz w:val="24"/>
          <w:szCs w:val="24"/>
        </w:rPr>
        <w:t>Посебна пажња биће посвећена утврђивању да ли постоје</w:t>
      </w:r>
      <w:r w:rsidRPr="002D3646">
        <w:rPr>
          <w:rFonts w:ascii="Times New Roman" w:hAnsi="Times New Roman"/>
          <w:sz w:val="24"/>
          <w:szCs w:val="24"/>
          <w:lang w:val="en-GB"/>
        </w:rPr>
        <w:t>:</w:t>
      </w:r>
    </w:p>
    <w:p w:rsidR="002D3646" w:rsidRPr="002D3646" w:rsidRDefault="00651F8D" w:rsidP="002D3646">
      <w:pPr>
        <w:pStyle w:val="ListParagraph"/>
        <w:jc w:val="both"/>
        <w:rPr>
          <w:rFonts w:ascii="Times New Roman" w:hAnsi="Times New Roman"/>
          <w:sz w:val="24"/>
          <w:szCs w:val="24"/>
        </w:rPr>
      </w:pPr>
      <w:r>
        <w:rPr>
          <w:rFonts w:ascii="Times New Roman" w:hAnsi="Times New Roman"/>
          <w:sz w:val="24"/>
          <w:szCs w:val="24"/>
          <w:lang w:val="en-GB"/>
        </w:rPr>
        <w:t>(a)</w:t>
      </w:r>
      <w:r>
        <w:rPr>
          <w:rFonts w:ascii="Times New Roman" w:hAnsi="Times New Roman"/>
          <w:sz w:val="24"/>
          <w:szCs w:val="24"/>
          <w:lang w:val="sr-Cyrl-RS"/>
        </w:rPr>
        <w:t xml:space="preserve"> </w:t>
      </w:r>
      <w:r w:rsidR="002D3646" w:rsidRPr="002D3646">
        <w:rPr>
          <w:rFonts w:ascii="Times New Roman" w:hAnsi="Times New Roman"/>
          <w:sz w:val="24"/>
          <w:szCs w:val="24"/>
          <w:lang w:val="sr-Cyrl-CS"/>
        </w:rPr>
        <w:t>о</w:t>
      </w:r>
      <w:r w:rsidR="002D3646" w:rsidRPr="002D3646">
        <w:rPr>
          <w:rFonts w:ascii="Times New Roman" w:hAnsi="Times New Roman"/>
          <w:sz w:val="24"/>
          <w:szCs w:val="24"/>
        </w:rPr>
        <w:t>дговарајући развој административних капацитета</w:t>
      </w:r>
      <w:r w:rsidR="002D3646" w:rsidRPr="002D3646">
        <w:rPr>
          <w:rFonts w:ascii="Times New Roman" w:hAnsi="Times New Roman"/>
          <w:sz w:val="24"/>
          <w:szCs w:val="24"/>
          <w:lang w:val="en-GB"/>
        </w:rPr>
        <w:t>;</w:t>
      </w:r>
    </w:p>
    <w:p w:rsidR="002D3646" w:rsidRPr="002D3646" w:rsidRDefault="002D3646" w:rsidP="002D3646">
      <w:pPr>
        <w:pStyle w:val="ListParagraph"/>
        <w:jc w:val="both"/>
        <w:rPr>
          <w:rFonts w:ascii="Times New Roman" w:hAnsi="Times New Roman"/>
          <w:sz w:val="24"/>
          <w:szCs w:val="24"/>
        </w:rPr>
      </w:pPr>
      <w:r w:rsidRPr="002D3646">
        <w:rPr>
          <w:rFonts w:ascii="Times New Roman" w:hAnsi="Times New Roman"/>
          <w:sz w:val="24"/>
          <w:szCs w:val="24"/>
          <w:lang w:val="en-GB"/>
        </w:rPr>
        <w:t>(</w:t>
      </w:r>
      <w:r w:rsidRPr="002D3646">
        <w:rPr>
          <w:rFonts w:ascii="Times New Roman" w:hAnsi="Times New Roman"/>
          <w:sz w:val="24"/>
          <w:szCs w:val="24"/>
        </w:rPr>
        <w:t>б</w:t>
      </w:r>
      <w:r w:rsidR="00651F8D">
        <w:rPr>
          <w:rFonts w:ascii="Times New Roman" w:hAnsi="Times New Roman"/>
          <w:sz w:val="24"/>
          <w:szCs w:val="24"/>
          <w:lang w:val="en-GB"/>
        </w:rPr>
        <w:t>)</w:t>
      </w:r>
      <w:r w:rsidRPr="002D3646">
        <w:rPr>
          <w:rFonts w:ascii="Times New Roman" w:hAnsi="Times New Roman"/>
          <w:sz w:val="24"/>
          <w:szCs w:val="24"/>
        </w:rPr>
        <w:t>припремљена практична оруђа за спровођење</w:t>
      </w:r>
      <w:r w:rsidRPr="002D3646">
        <w:rPr>
          <w:rFonts w:ascii="Times New Roman" w:hAnsi="Times New Roman"/>
          <w:sz w:val="24"/>
          <w:szCs w:val="24"/>
          <w:lang w:val="en-GB"/>
        </w:rPr>
        <w:t xml:space="preserve"> (</w:t>
      </w:r>
      <w:r w:rsidRPr="002D3646">
        <w:rPr>
          <w:rFonts w:ascii="Times New Roman" w:hAnsi="Times New Roman"/>
          <w:sz w:val="24"/>
          <w:szCs w:val="24"/>
        </w:rPr>
        <w:t>административна правила, упутства, приручници, стандардни документи за уговоре итд</w:t>
      </w:r>
      <w:r w:rsidRPr="002D3646">
        <w:rPr>
          <w:rFonts w:ascii="Times New Roman" w:hAnsi="Times New Roman"/>
          <w:sz w:val="24"/>
          <w:szCs w:val="24"/>
          <w:lang w:val="en-GB"/>
        </w:rPr>
        <w:t>.);</w:t>
      </w:r>
    </w:p>
    <w:p w:rsidR="002D3646" w:rsidRPr="002D3646" w:rsidRDefault="002D3646" w:rsidP="002D3646">
      <w:pPr>
        <w:pStyle w:val="ListParagraph"/>
        <w:jc w:val="both"/>
        <w:rPr>
          <w:rFonts w:ascii="Times New Roman" w:hAnsi="Times New Roman"/>
          <w:sz w:val="24"/>
          <w:szCs w:val="24"/>
        </w:rPr>
      </w:pPr>
      <w:r w:rsidRPr="002D3646">
        <w:rPr>
          <w:rFonts w:ascii="Times New Roman" w:hAnsi="Times New Roman"/>
          <w:sz w:val="24"/>
          <w:szCs w:val="24"/>
          <w:lang w:val="en-GB"/>
        </w:rPr>
        <w:t>(</w:t>
      </w:r>
      <w:r w:rsidRPr="002D3646">
        <w:rPr>
          <w:rFonts w:ascii="Times New Roman" w:hAnsi="Times New Roman"/>
          <w:sz w:val="24"/>
          <w:szCs w:val="24"/>
        </w:rPr>
        <w:t>в</w:t>
      </w:r>
      <w:r w:rsidRPr="002D3646">
        <w:rPr>
          <w:rFonts w:ascii="Times New Roman" w:hAnsi="Times New Roman"/>
          <w:sz w:val="24"/>
          <w:szCs w:val="24"/>
          <w:lang w:val="en-GB"/>
        </w:rPr>
        <w:t xml:space="preserve">) </w:t>
      </w:r>
      <w:r w:rsidRPr="002D3646">
        <w:rPr>
          <w:rFonts w:ascii="Times New Roman" w:hAnsi="Times New Roman"/>
          <w:sz w:val="24"/>
          <w:szCs w:val="24"/>
        </w:rPr>
        <w:t>усвојени контролни механизми</w:t>
      </w:r>
      <w:r w:rsidRPr="002D3646">
        <w:rPr>
          <w:rFonts w:ascii="Times New Roman" w:hAnsi="Times New Roman"/>
          <w:sz w:val="24"/>
          <w:szCs w:val="24"/>
          <w:lang w:val="en-GB"/>
        </w:rPr>
        <w:t>;</w:t>
      </w:r>
    </w:p>
    <w:p w:rsidR="002D3646" w:rsidRPr="002D3646" w:rsidRDefault="002D3646" w:rsidP="002D3646">
      <w:pPr>
        <w:pStyle w:val="ListParagraph"/>
        <w:jc w:val="both"/>
        <w:rPr>
          <w:rFonts w:ascii="Times New Roman" w:hAnsi="Times New Roman"/>
          <w:sz w:val="24"/>
          <w:szCs w:val="24"/>
        </w:rPr>
      </w:pPr>
      <w:r w:rsidRPr="002D3646">
        <w:rPr>
          <w:rFonts w:ascii="Times New Roman" w:hAnsi="Times New Roman"/>
          <w:sz w:val="24"/>
          <w:szCs w:val="24"/>
          <w:lang w:val="en-GB"/>
        </w:rPr>
        <w:t>(</w:t>
      </w:r>
      <w:r w:rsidRPr="002D3646">
        <w:rPr>
          <w:rFonts w:ascii="Times New Roman" w:hAnsi="Times New Roman"/>
          <w:sz w:val="24"/>
          <w:szCs w:val="24"/>
        </w:rPr>
        <w:t>г</w:t>
      </w:r>
      <w:r w:rsidRPr="002D3646">
        <w:rPr>
          <w:rFonts w:ascii="Times New Roman" w:hAnsi="Times New Roman"/>
          <w:sz w:val="24"/>
          <w:szCs w:val="24"/>
          <w:lang w:val="en-GB"/>
        </w:rPr>
        <w:t>) e</w:t>
      </w:r>
      <w:r w:rsidRPr="002D3646">
        <w:rPr>
          <w:rFonts w:ascii="Times New Roman" w:hAnsi="Times New Roman"/>
          <w:sz w:val="24"/>
          <w:szCs w:val="24"/>
        </w:rPr>
        <w:t>фикасно функционисање система заштите права у поступцима јавних набавки</w:t>
      </w:r>
      <w:r w:rsidRPr="002D3646">
        <w:rPr>
          <w:rFonts w:ascii="Times New Roman" w:hAnsi="Times New Roman"/>
          <w:sz w:val="24"/>
          <w:szCs w:val="24"/>
          <w:lang w:val="en-GB"/>
        </w:rPr>
        <w:t>;</w:t>
      </w:r>
    </w:p>
    <w:p w:rsidR="002D3646" w:rsidRPr="002D3646" w:rsidRDefault="002D3646" w:rsidP="002D3646">
      <w:pPr>
        <w:pStyle w:val="ListParagraph"/>
        <w:jc w:val="both"/>
        <w:rPr>
          <w:rFonts w:ascii="Times New Roman" w:hAnsi="Times New Roman"/>
          <w:sz w:val="24"/>
          <w:szCs w:val="24"/>
        </w:rPr>
      </w:pPr>
      <w:r w:rsidRPr="002D3646">
        <w:rPr>
          <w:rFonts w:ascii="Times New Roman" w:hAnsi="Times New Roman"/>
          <w:sz w:val="24"/>
          <w:szCs w:val="24"/>
          <w:lang w:val="en-GB"/>
        </w:rPr>
        <w:lastRenderedPageBreak/>
        <w:t>(</w:t>
      </w:r>
      <w:r w:rsidRPr="002D3646">
        <w:rPr>
          <w:rFonts w:ascii="Times New Roman" w:hAnsi="Times New Roman"/>
          <w:sz w:val="24"/>
          <w:szCs w:val="24"/>
        </w:rPr>
        <w:t>д</w:t>
      </w:r>
      <w:r w:rsidRPr="002D3646">
        <w:rPr>
          <w:rFonts w:ascii="Times New Roman" w:hAnsi="Times New Roman"/>
          <w:sz w:val="24"/>
          <w:szCs w:val="24"/>
          <w:lang w:val="en-GB"/>
        </w:rPr>
        <w:t xml:space="preserve">) </w:t>
      </w:r>
      <w:r w:rsidRPr="002D3646">
        <w:rPr>
          <w:rFonts w:ascii="Times New Roman" w:hAnsi="Times New Roman"/>
          <w:sz w:val="24"/>
          <w:szCs w:val="24"/>
        </w:rPr>
        <w:t>одговарајућа обука на свим нивоима за све заинтересоване стране</w:t>
      </w:r>
      <w:r w:rsidRPr="002D3646">
        <w:rPr>
          <w:rFonts w:ascii="Times New Roman" w:hAnsi="Times New Roman"/>
          <w:sz w:val="24"/>
          <w:szCs w:val="24"/>
          <w:lang w:val="en-GB"/>
        </w:rPr>
        <w:t>;</w:t>
      </w:r>
    </w:p>
    <w:p w:rsidR="002D3646" w:rsidRPr="002D3646" w:rsidRDefault="002D3646" w:rsidP="002D3646">
      <w:pPr>
        <w:pStyle w:val="ListParagraph"/>
        <w:jc w:val="both"/>
        <w:rPr>
          <w:rFonts w:ascii="Times New Roman" w:hAnsi="Times New Roman"/>
          <w:sz w:val="24"/>
          <w:szCs w:val="24"/>
        </w:rPr>
      </w:pPr>
      <w:r w:rsidRPr="002D3646">
        <w:rPr>
          <w:rFonts w:ascii="Times New Roman" w:hAnsi="Times New Roman"/>
          <w:sz w:val="24"/>
          <w:szCs w:val="24"/>
          <w:lang w:val="en-GB"/>
        </w:rPr>
        <w:t>(</w:t>
      </w:r>
      <w:r w:rsidRPr="002D3646">
        <w:rPr>
          <w:rFonts w:ascii="Times New Roman" w:hAnsi="Times New Roman"/>
          <w:sz w:val="24"/>
          <w:szCs w:val="24"/>
        </w:rPr>
        <w:t>ђ</w:t>
      </w:r>
      <w:r w:rsidRPr="002D3646">
        <w:rPr>
          <w:rFonts w:ascii="Times New Roman" w:hAnsi="Times New Roman"/>
          <w:sz w:val="24"/>
          <w:szCs w:val="24"/>
          <w:lang w:val="en-GB"/>
        </w:rPr>
        <w:t xml:space="preserve">) </w:t>
      </w:r>
      <w:r w:rsidRPr="002D3646">
        <w:rPr>
          <w:rFonts w:ascii="Times New Roman" w:hAnsi="Times New Roman"/>
          <w:sz w:val="24"/>
          <w:szCs w:val="24"/>
        </w:rPr>
        <w:t>мере које се односе на борбу против корупције у области јавних набавки, у областима које покривају Национална стратегија и</w:t>
      </w:r>
      <w:r w:rsidRPr="002D3646">
        <w:rPr>
          <w:rFonts w:ascii="Times New Roman" w:hAnsi="Times New Roman"/>
          <w:sz w:val="24"/>
          <w:szCs w:val="24"/>
          <w:lang w:val="en-GB"/>
        </w:rPr>
        <w:t xml:space="preserve"> </w:t>
      </w:r>
      <w:r w:rsidRPr="002D3646">
        <w:rPr>
          <w:rFonts w:ascii="Times New Roman" w:hAnsi="Times New Roman"/>
          <w:sz w:val="24"/>
          <w:szCs w:val="24"/>
        </w:rPr>
        <w:t>Акциони план</w:t>
      </w:r>
      <w:r w:rsidRPr="002D3646">
        <w:rPr>
          <w:rFonts w:ascii="Times New Roman" w:hAnsi="Times New Roman"/>
          <w:sz w:val="24"/>
          <w:szCs w:val="24"/>
          <w:lang w:val="en-GB"/>
        </w:rPr>
        <w:t>.</w:t>
      </w:r>
    </w:p>
    <w:p w:rsidR="002D3646" w:rsidRPr="00651F8D" w:rsidRDefault="002D3646" w:rsidP="00651F8D">
      <w:pPr>
        <w:jc w:val="both"/>
        <w:rPr>
          <w:rFonts w:ascii="Times New Roman" w:hAnsi="Times New Roman"/>
          <w:sz w:val="24"/>
          <w:szCs w:val="24"/>
          <w:lang w:val="ru-RU"/>
        </w:rPr>
      </w:pPr>
      <w:r w:rsidRPr="00651F8D">
        <w:rPr>
          <w:rFonts w:ascii="Times New Roman" w:hAnsi="Times New Roman"/>
          <w:sz w:val="24"/>
          <w:szCs w:val="24"/>
          <w:lang w:val="ru-RU"/>
        </w:rPr>
        <w:t xml:space="preserve">Такође је неопходно донети преостала подзаконска акта предвиђена ЗЈН: 1) План за борбу против корупције у јавним набавкама и 2) Правилник о начину и програму стручног оспособљавања и начину полагања стручног испита за службеника за јавне набавке. </w:t>
      </w:r>
    </w:p>
    <w:p w:rsidR="002D3646" w:rsidRPr="002D3646" w:rsidRDefault="002D3646" w:rsidP="002D3646">
      <w:pPr>
        <w:pStyle w:val="ListParagraph"/>
        <w:jc w:val="both"/>
        <w:rPr>
          <w:rFonts w:ascii="Times New Roman" w:hAnsi="Times New Roman"/>
          <w:sz w:val="24"/>
          <w:szCs w:val="24"/>
          <w:lang w:val="ru-RU"/>
        </w:rPr>
      </w:pPr>
    </w:p>
    <w:p w:rsidR="002D3646" w:rsidRPr="002D3646" w:rsidRDefault="002D3646" w:rsidP="002D3646">
      <w:pPr>
        <w:ind w:left="360"/>
        <w:jc w:val="both"/>
        <w:rPr>
          <w:rFonts w:ascii="Times New Roman" w:hAnsi="Times New Roman"/>
          <w:sz w:val="24"/>
          <w:szCs w:val="24"/>
          <w:lang w:val="ru-RU"/>
        </w:rPr>
      </w:pPr>
    </w:p>
    <w:p w:rsidR="002D3646" w:rsidRPr="002D3646" w:rsidRDefault="002D3646" w:rsidP="002D3646">
      <w:pPr>
        <w:pStyle w:val="ListParagraph"/>
        <w:jc w:val="both"/>
        <w:rPr>
          <w:rFonts w:ascii="Times New Roman" w:hAnsi="Times New Roman"/>
          <w:sz w:val="24"/>
          <w:szCs w:val="24"/>
        </w:rPr>
      </w:pPr>
    </w:p>
    <w:p w:rsidR="00CC5D30" w:rsidRPr="00CC5D30" w:rsidRDefault="00CC5D30" w:rsidP="002D3646">
      <w:pPr>
        <w:jc w:val="both"/>
        <w:rPr>
          <w:rFonts w:ascii="Times New Roman" w:hAnsi="Times New Roman" w:cs="Times New Roman"/>
          <w:sz w:val="24"/>
          <w:szCs w:val="24"/>
        </w:rPr>
      </w:pPr>
    </w:p>
    <w:sectPr w:rsidR="00CC5D30" w:rsidRPr="00CC5D30" w:rsidSect="00FC3DDD">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5F79" w:rsidRDefault="00DC5F79" w:rsidP="00AA1254">
      <w:pPr>
        <w:spacing w:after="0" w:line="240" w:lineRule="auto"/>
      </w:pPr>
      <w:r>
        <w:separator/>
      </w:r>
    </w:p>
  </w:endnote>
  <w:endnote w:type="continuationSeparator" w:id="0">
    <w:p w:rsidR="00DC5F79" w:rsidRDefault="00DC5F79" w:rsidP="00AA12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altName w:val="Times New Roman"/>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8576383"/>
      <w:docPartObj>
        <w:docPartGallery w:val="Page Numbers (Bottom of Page)"/>
        <w:docPartUnique/>
      </w:docPartObj>
    </w:sdtPr>
    <w:sdtEndPr>
      <w:rPr>
        <w:noProof/>
      </w:rPr>
    </w:sdtEndPr>
    <w:sdtContent>
      <w:p w:rsidR="000145AE" w:rsidRDefault="000145AE">
        <w:pPr>
          <w:pStyle w:val="Footer"/>
          <w:jc w:val="right"/>
        </w:pPr>
        <w:r>
          <w:fldChar w:fldCharType="begin"/>
        </w:r>
        <w:r>
          <w:instrText xml:space="preserve"> PAGE   \* MERGEFORMAT </w:instrText>
        </w:r>
        <w:r>
          <w:fldChar w:fldCharType="separate"/>
        </w:r>
        <w:r w:rsidR="00F5778D">
          <w:rPr>
            <w:noProof/>
          </w:rPr>
          <w:t>1</w:t>
        </w:r>
        <w:r>
          <w:rPr>
            <w:noProof/>
          </w:rPr>
          <w:fldChar w:fldCharType="end"/>
        </w:r>
      </w:p>
    </w:sdtContent>
  </w:sdt>
  <w:p w:rsidR="000145AE" w:rsidRDefault="000145A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5F79" w:rsidRDefault="00DC5F79" w:rsidP="00AA1254">
      <w:pPr>
        <w:spacing w:after="0" w:line="240" w:lineRule="auto"/>
      </w:pPr>
      <w:r>
        <w:separator/>
      </w:r>
    </w:p>
  </w:footnote>
  <w:footnote w:type="continuationSeparator" w:id="0">
    <w:p w:rsidR="00DC5F79" w:rsidRDefault="00DC5F79" w:rsidP="00AA1254">
      <w:pPr>
        <w:spacing w:after="0" w:line="240" w:lineRule="auto"/>
      </w:pPr>
      <w:r>
        <w:continuationSeparator/>
      </w:r>
    </w:p>
  </w:footnote>
  <w:footnote w:id="1">
    <w:p w:rsidR="000145AE" w:rsidRPr="00867110" w:rsidRDefault="000145AE">
      <w:pPr>
        <w:pStyle w:val="FootnoteText"/>
      </w:pPr>
      <w:r>
        <w:rPr>
          <w:rStyle w:val="FootnoteReference"/>
        </w:rPr>
        <w:footnoteRef/>
      </w:r>
      <w:r>
        <w:t xml:space="preserve"> </w:t>
      </w:r>
      <w:r w:rsidRPr="00B43E94">
        <w:rPr>
          <w:rFonts w:ascii="Times New Roman" w:hAnsi="Times New Roman" w:cs="Times New Roman"/>
          <w:sz w:val="22"/>
          <w:szCs w:val="22"/>
        </w:rPr>
        <w:t>Други кључни параметар су изузећа од примене закона.</w:t>
      </w:r>
      <w:r>
        <w:t xml:space="preserve"> </w:t>
      </w:r>
    </w:p>
  </w:footnote>
  <w:footnote w:id="2">
    <w:p w:rsidR="000145AE" w:rsidRPr="0098735A" w:rsidRDefault="000145AE" w:rsidP="00D56073">
      <w:pPr>
        <w:rPr>
          <w:rFonts w:ascii="Times New Roman" w:hAnsi="Times New Roman" w:cs="Times New Roman"/>
        </w:rPr>
      </w:pPr>
      <w:r>
        <w:rPr>
          <w:rStyle w:val="FootnoteReference"/>
        </w:rPr>
        <w:footnoteRef/>
      </w:r>
      <w:r w:rsidRPr="007E1FAD">
        <w:rPr>
          <w:rFonts w:ascii="Times New Roman" w:hAnsi="Times New Roman" w:cs="Times New Roman"/>
        </w:rPr>
        <w:t xml:space="preserve">Извор: Статистички годишњи извештај о јавним набавкама за 2011. годину, Портал јавних набавки, Република Хрватска, </w:t>
      </w:r>
      <w:r>
        <w:rPr>
          <w:rFonts w:ascii="Times New Roman" w:hAnsi="Times New Roman" w:cs="Times New Roman"/>
        </w:rPr>
        <w:t xml:space="preserve">страна 54, </w:t>
      </w:r>
      <w:r w:rsidRPr="007E1FAD">
        <w:rPr>
          <w:rFonts w:ascii="Times New Roman" w:hAnsi="Times New Roman" w:cs="Times New Roman"/>
        </w:rPr>
        <w:t xml:space="preserve">линк: </w:t>
      </w:r>
      <w:hyperlink r:id="rId1" w:history="1">
        <w:r w:rsidRPr="007E1FAD">
          <w:rPr>
            <w:rStyle w:val="Hyperlink"/>
            <w:rFonts w:ascii="Times New Roman" w:hAnsi="Times New Roman" w:cs="Times New Roman"/>
          </w:rPr>
          <w:t>http://www.javnanabava.hr/userdocsimages/userfiles/file/Statistička%20izvješća/Godišnja/Statisticko_izvjesce_JN-2011.pdf</w:t>
        </w:r>
      </w:hyperlink>
    </w:p>
  </w:footnote>
  <w:footnote w:id="3">
    <w:p w:rsidR="000145AE" w:rsidRPr="0098735A" w:rsidRDefault="000145AE">
      <w:pPr>
        <w:pStyle w:val="FootnoteText"/>
      </w:pPr>
      <w:r>
        <w:rPr>
          <w:rStyle w:val="FootnoteReference"/>
        </w:rPr>
        <w:footnoteRef/>
      </w:r>
      <w:r w:rsidRPr="007E1FAD">
        <w:rPr>
          <w:rFonts w:ascii="Times New Roman" w:hAnsi="Times New Roman" w:cs="Times New Roman"/>
          <w:sz w:val="22"/>
          <w:szCs w:val="22"/>
        </w:rPr>
        <w:t>Извор: Статистички годишњи извештај о јавним набавкама за 201</w:t>
      </w:r>
      <w:r>
        <w:rPr>
          <w:rFonts w:ascii="Times New Roman" w:hAnsi="Times New Roman" w:cs="Times New Roman"/>
          <w:sz w:val="22"/>
          <w:szCs w:val="22"/>
        </w:rPr>
        <w:t>2</w:t>
      </w:r>
      <w:r w:rsidRPr="007E1FAD">
        <w:rPr>
          <w:rFonts w:ascii="Times New Roman" w:hAnsi="Times New Roman" w:cs="Times New Roman"/>
          <w:sz w:val="22"/>
          <w:szCs w:val="22"/>
        </w:rPr>
        <w:t>. годину, Портал јавних набавки, Република Хрватска</w:t>
      </w:r>
      <w:r>
        <w:rPr>
          <w:rFonts w:ascii="Times New Roman" w:hAnsi="Times New Roman" w:cs="Times New Roman"/>
          <w:sz w:val="22"/>
          <w:szCs w:val="22"/>
        </w:rPr>
        <w:t>,страна 31, л</w:t>
      </w:r>
      <w:r w:rsidRPr="001453FB">
        <w:rPr>
          <w:rFonts w:ascii="Times New Roman" w:hAnsi="Times New Roman" w:cs="Times New Roman"/>
          <w:sz w:val="22"/>
          <w:szCs w:val="22"/>
        </w:rPr>
        <w:t>инк:</w:t>
      </w:r>
      <w:hyperlink r:id="rId2" w:history="1">
        <w:r w:rsidRPr="00E75767">
          <w:rPr>
            <w:rStyle w:val="Hyperlink"/>
            <w:rFonts w:ascii="Times New Roman" w:hAnsi="Times New Roman" w:cs="Times New Roman"/>
            <w:sz w:val="22"/>
            <w:szCs w:val="22"/>
          </w:rPr>
          <w:t>http://www.javnanabava.hr/userdocsimages/userfiles/file/Statistička%20izvješća/Godišnja/Statisticko_izvjesce_JN-2012.pdf</w:t>
        </w:r>
      </w:hyperlink>
    </w:p>
  </w:footnote>
  <w:footnote w:id="4">
    <w:p w:rsidR="000145AE" w:rsidRPr="0098735A" w:rsidRDefault="000145AE" w:rsidP="0098735A">
      <w:pPr>
        <w:pStyle w:val="FootnoteText"/>
        <w:rPr>
          <w:rFonts w:ascii="Times New Roman" w:hAnsi="Times New Roman" w:cs="Times New Roman"/>
          <w:sz w:val="22"/>
          <w:szCs w:val="22"/>
        </w:rPr>
      </w:pPr>
      <w:r w:rsidRPr="001453FB">
        <w:rPr>
          <w:rStyle w:val="FootnoteReference"/>
          <w:rFonts w:ascii="Times New Roman" w:hAnsi="Times New Roman" w:cs="Times New Roman"/>
          <w:sz w:val="22"/>
          <w:szCs w:val="22"/>
        </w:rPr>
        <w:footnoteRef/>
      </w:r>
      <w:r>
        <w:rPr>
          <w:rFonts w:ascii="Times New Roman" w:hAnsi="Times New Roman" w:cs="Times New Roman"/>
          <w:sz w:val="22"/>
          <w:szCs w:val="22"/>
        </w:rPr>
        <w:t xml:space="preserve"> Исто</w:t>
      </w:r>
    </w:p>
    <w:p w:rsidR="000145AE" w:rsidRPr="001453FB" w:rsidRDefault="000145AE" w:rsidP="0098735A">
      <w:pPr>
        <w:pStyle w:val="FootnoteText"/>
        <w:rPr>
          <w:rFonts w:ascii="Times New Roman" w:hAnsi="Times New Roman" w:cs="Times New Roman"/>
          <w:sz w:val="22"/>
          <w:szCs w:val="22"/>
        </w:rPr>
      </w:pPr>
    </w:p>
  </w:footnote>
  <w:footnote w:id="5">
    <w:p w:rsidR="000145AE" w:rsidRPr="00696FC9" w:rsidRDefault="000145AE" w:rsidP="0044645B">
      <w:pPr>
        <w:pStyle w:val="FootnoteText"/>
        <w:jc w:val="both"/>
        <w:rPr>
          <w:rFonts w:ascii="Times New Roman" w:hAnsi="Times New Roman" w:cs="Times New Roman"/>
          <w:sz w:val="22"/>
          <w:szCs w:val="22"/>
        </w:rPr>
      </w:pPr>
      <w:r>
        <w:rPr>
          <w:rStyle w:val="FootnoteReference"/>
        </w:rPr>
        <w:footnoteRef/>
      </w:r>
      <w:r w:rsidRPr="00696FC9">
        <w:rPr>
          <w:rFonts w:ascii="Times New Roman" w:hAnsi="Times New Roman" w:cs="Times New Roman"/>
          <w:sz w:val="22"/>
          <w:szCs w:val="22"/>
        </w:rPr>
        <w:t xml:space="preserve">Мисли се на решење из претходног </w:t>
      </w:r>
      <w:r>
        <w:rPr>
          <w:rFonts w:ascii="Times New Roman" w:hAnsi="Times New Roman" w:cs="Times New Roman"/>
          <w:sz w:val="22"/>
          <w:szCs w:val="22"/>
        </w:rPr>
        <w:t>З</w:t>
      </w:r>
      <w:r w:rsidRPr="00696FC9">
        <w:rPr>
          <w:rFonts w:ascii="Times New Roman" w:hAnsi="Times New Roman" w:cs="Times New Roman"/>
          <w:sz w:val="22"/>
          <w:szCs w:val="22"/>
        </w:rPr>
        <w:t xml:space="preserve">акона по коме се одлука објављивала на Порталу уз очекивање да ће понуђачи сами, на основу овако добијене информације, реаговати и спречавати неосноване </w:t>
      </w:r>
      <w:r>
        <w:rPr>
          <w:rFonts w:ascii="Times New Roman" w:hAnsi="Times New Roman" w:cs="Times New Roman"/>
          <w:sz w:val="22"/>
          <w:szCs w:val="22"/>
        </w:rPr>
        <w:t xml:space="preserve">преговарачке </w:t>
      </w:r>
      <w:r w:rsidRPr="00696FC9">
        <w:rPr>
          <w:rFonts w:ascii="Times New Roman" w:hAnsi="Times New Roman" w:cs="Times New Roman"/>
          <w:sz w:val="22"/>
          <w:szCs w:val="22"/>
        </w:rPr>
        <w:t xml:space="preserve">поступке. </w:t>
      </w:r>
    </w:p>
  </w:footnote>
  <w:footnote w:id="6">
    <w:p w:rsidR="000145AE" w:rsidRPr="00D954B5" w:rsidRDefault="000145AE" w:rsidP="007339A4">
      <w:pPr>
        <w:pStyle w:val="FootnoteText"/>
        <w:jc w:val="both"/>
        <w:rPr>
          <w:rFonts w:ascii="Times New Roman" w:hAnsi="Times New Roman" w:cs="Times New Roman"/>
          <w:sz w:val="22"/>
          <w:szCs w:val="22"/>
        </w:rPr>
      </w:pPr>
      <w:r>
        <w:rPr>
          <w:rStyle w:val="FootnoteReference"/>
        </w:rPr>
        <w:footnoteRef/>
      </w:r>
      <w:r w:rsidRPr="00D954B5">
        <w:rPr>
          <w:rFonts w:ascii="Times New Roman" w:hAnsi="Times New Roman" w:cs="Times New Roman"/>
          <w:sz w:val="22"/>
          <w:szCs w:val="22"/>
        </w:rPr>
        <w:t xml:space="preserve">Од 516 </w:t>
      </w:r>
      <w:r>
        <w:rPr>
          <w:rFonts w:ascii="Times New Roman" w:hAnsi="Times New Roman" w:cs="Times New Roman"/>
          <w:sz w:val="22"/>
          <w:szCs w:val="22"/>
        </w:rPr>
        <w:t xml:space="preserve">захтева за заштиту права </w:t>
      </w:r>
      <w:r w:rsidRPr="00D954B5">
        <w:rPr>
          <w:rFonts w:ascii="Times New Roman" w:hAnsi="Times New Roman" w:cs="Times New Roman"/>
          <w:sz w:val="22"/>
          <w:szCs w:val="22"/>
        </w:rPr>
        <w:t xml:space="preserve">приспелих словеначкој Републичкој комисији за заштиту права у 2012. години, усвојено је 210 </w:t>
      </w:r>
      <w:r>
        <w:rPr>
          <w:rFonts w:ascii="Times New Roman" w:hAnsi="Times New Roman" w:cs="Times New Roman"/>
          <w:sz w:val="22"/>
          <w:szCs w:val="22"/>
        </w:rPr>
        <w:t xml:space="preserve">захтева, </w:t>
      </w:r>
      <w:r w:rsidRPr="00D954B5">
        <w:rPr>
          <w:rFonts w:ascii="Times New Roman" w:hAnsi="Times New Roman" w:cs="Times New Roman"/>
          <w:sz w:val="22"/>
          <w:szCs w:val="22"/>
        </w:rPr>
        <w:t>што је 40%. С обзиром да је укупан број поступака био 4.850</w:t>
      </w:r>
      <w:r>
        <w:rPr>
          <w:rFonts w:ascii="Times New Roman" w:hAnsi="Times New Roman" w:cs="Times New Roman"/>
          <w:sz w:val="22"/>
          <w:szCs w:val="22"/>
        </w:rPr>
        <w:t>,</w:t>
      </w:r>
      <w:r w:rsidRPr="00D954B5">
        <w:rPr>
          <w:rFonts w:ascii="Times New Roman" w:hAnsi="Times New Roman" w:cs="Times New Roman"/>
          <w:sz w:val="22"/>
          <w:szCs w:val="22"/>
        </w:rPr>
        <w:t xml:space="preserve"> произлази да је било поништено 4% поступака.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30E0"/>
    <w:multiLevelType w:val="hybridMultilevel"/>
    <w:tmpl w:val="94BEC72E"/>
    <w:lvl w:ilvl="0" w:tplc="F93C04DA">
      <w:start w:val="69"/>
      <w:numFmt w:val="bullet"/>
      <w:lvlText w:val=""/>
      <w:lvlJc w:val="left"/>
      <w:pPr>
        <w:ind w:left="720" w:hanging="360"/>
      </w:pPr>
      <w:rPr>
        <w:rFonts w:ascii="Symbol" w:eastAsiaTheme="minorEastAsia" w:hAnsi="Symbol"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nsid w:val="53D13291"/>
    <w:multiLevelType w:val="hybridMultilevel"/>
    <w:tmpl w:val="48BCD8E0"/>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nsid w:val="65C8757E"/>
    <w:multiLevelType w:val="hybridMultilevel"/>
    <w:tmpl w:val="E31AF3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AF851B4"/>
    <w:multiLevelType w:val="hybridMultilevel"/>
    <w:tmpl w:val="D56081B0"/>
    <w:lvl w:ilvl="0" w:tplc="241A000F">
      <w:start w:val="10"/>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C16"/>
    <w:rsid w:val="000057F4"/>
    <w:rsid w:val="00006754"/>
    <w:rsid w:val="00010632"/>
    <w:rsid w:val="00011AB2"/>
    <w:rsid w:val="00011DFE"/>
    <w:rsid w:val="000145AE"/>
    <w:rsid w:val="00023ACB"/>
    <w:rsid w:val="00025C3A"/>
    <w:rsid w:val="000305FA"/>
    <w:rsid w:val="000322F9"/>
    <w:rsid w:val="000329EE"/>
    <w:rsid w:val="00043616"/>
    <w:rsid w:val="00043A99"/>
    <w:rsid w:val="0004715E"/>
    <w:rsid w:val="00051D27"/>
    <w:rsid w:val="000549B7"/>
    <w:rsid w:val="00055CB3"/>
    <w:rsid w:val="0005655C"/>
    <w:rsid w:val="00060772"/>
    <w:rsid w:val="00063103"/>
    <w:rsid w:val="00063307"/>
    <w:rsid w:val="0007674F"/>
    <w:rsid w:val="0009495F"/>
    <w:rsid w:val="000A0732"/>
    <w:rsid w:val="000A1E11"/>
    <w:rsid w:val="000A5330"/>
    <w:rsid w:val="000B0E15"/>
    <w:rsid w:val="000B3C80"/>
    <w:rsid w:val="000B4B53"/>
    <w:rsid w:val="000B7FC6"/>
    <w:rsid w:val="000C129C"/>
    <w:rsid w:val="000C6B34"/>
    <w:rsid w:val="000D04EB"/>
    <w:rsid w:val="000D2095"/>
    <w:rsid w:val="000D5EF5"/>
    <w:rsid w:val="000E090E"/>
    <w:rsid w:val="000E1864"/>
    <w:rsid w:val="000E22AD"/>
    <w:rsid w:val="000E4D09"/>
    <w:rsid w:val="000E763E"/>
    <w:rsid w:val="000F3249"/>
    <w:rsid w:val="0010541B"/>
    <w:rsid w:val="00106438"/>
    <w:rsid w:val="00107999"/>
    <w:rsid w:val="001208DC"/>
    <w:rsid w:val="00120C2B"/>
    <w:rsid w:val="00121ED9"/>
    <w:rsid w:val="001275D0"/>
    <w:rsid w:val="00131509"/>
    <w:rsid w:val="00134B57"/>
    <w:rsid w:val="00136E6C"/>
    <w:rsid w:val="001374B8"/>
    <w:rsid w:val="00142C48"/>
    <w:rsid w:val="001453FB"/>
    <w:rsid w:val="00151C94"/>
    <w:rsid w:val="0015266C"/>
    <w:rsid w:val="00153A40"/>
    <w:rsid w:val="00172360"/>
    <w:rsid w:val="00172DAB"/>
    <w:rsid w:val="00175132"/>
    <w:rsid w:val="00177B9E"/>
    <w:rsid w:val="00181494"/>
    <w:rsid w:val="00181940"/>
    <w:rsid w:val="00191758"/>
    <w:rsid w:val="00195172"/>
    <w:rsid w:val="001B03AA"/>
    <w:rsid w:val="001B11F7"/>
    <w:rsid w:val="001B1D08"/>
    <w:rsid w:val="001B245E"/>
    <w:rsid w:val="001B3B8E"/>
    <w:rsid w:val="001B454E"/>
    <w:rsid w:val="001B6A47"/>
    <w:rsid w:val="001C39F2"/>
    <w:rsid w:val="001C62AD"/>
    <w:rsid w:val="001D6E7A"/>
    <w:rsid w:val="001E77F9"/>
    <w:rsid w:val="001F32F4"/>
    <w:rsid w:val="002016A0"/>
    <w:rsid w:val="00206CEF"/>
    <w:rsid w:val="00213757"/>
    <w:rsid w:val="00213AEB"/>
    <w:rsid w:val="00216380"/>
    <w:rsid w:val="00216C8E"/>
    <w:rsid w:val="00221039"/>
    <w:rsid w:val="00221A36"/>
    <w:rsid w:val="00233A2E"/>
    <w:rsid w:val="002415F4"/>
    <w:rsid w:val="002437F1"/>
    <w:rsid w:val="0026092A"/>
    <w:rsid w:val="00261373"/>
    <w:rsid w:val="00263B08"/>
    <w:rsid w:val="00267139"/>
    <w:rsid w:val="0027449F"/>
    <w:rsid w:val="00277E96"/>
    <w:rsid w:val="00280F6B"/>
    <w:rsid w:val="00283EA7"/>
    <w:rsid w:val="00293586"/>
    <w:rsid w:val="00293B02"/>
    <w:rsid w:val="00294262"/>
    <w:rsid w:val="002A45BA"/>
    <w:rsid w:val="002B1273"/>
    <w:rsid w:val="002B428A"/>
    <w:rsid w:val="002D3646"/>
    <w:rsid w:val="002D7A88"/>
    <w:rsid w:val="002F2F7D"/>
    <w:rsid w:val="002F4C79"/>
    <w:rsid w:val="002F61C4"/>
    <w:rsid w:val="0032145B"/>
    <w:rsid w:val="00324462"/>
    <w:rsid w:val="00326D82"/>
    <w:rsid w:val="00332DC2"/>
    <w:rsid w:val="00342D08"/>
    <w:rsid w:val="0034536F"/>
    <w:rsid w:val="00345AA6"/>
    <w:rsid w:val="00351F82"/>
    <w:rsid w:val="003624D9"/>
    <w:rsid w:val="00367F37"/>
    <w:rsid w:val="00371803"/>
    <w:rsid w:val="00372F90"/>
    <w:rsid w:val="00374908"/>
    <w:rsid w:val="0038259F"/>
    <w:rsid w:val="00383777"/>
    <w:rsid w:val="003837F0"/>
    <w:rsid w:val="0038499A"/>
    <w:rsid w:val="00385201"/>
    <w:rsid w:val="0038728C"/>
    <w:rsid w:val="0039379B"/>
    <w:rsid w:val="00395D3C"/>
    <w:rsid w:val="003A26B8"/>
    <w:rsid w:val="003B365F"/>
    <w:rsid w:val="003B4846"/>
    <w:rsid w:val="003B768C"/>
    <w:rsid w:val="003C3288"/>
    <w:rsid w:val="003C3BC0"/>
    <w:rsid w:val="003D0488"/>
    <w:rsid w:val="003D2AA5"/>
    <w:rsid w:val="003E0F28"/>
    <w:rsid w:val="003E1839"/>
    <w:rsid w:val="003F24BD"/>
    <w:rsid w:val="003F4DFD"/>
    <w:rsid w:val="003F5451"/>
    <w:rsid w:val="003F79E8"/>
    <w:rsid w:val="00401E53"/>
    <w:rsid w:val="00404477"/>
    <w:rsid w:val="00407740"/>
    <w:rsid w:val="00412BE9"/>
    <w:rsid w:val="004169ED"/>
    <w:rsid w:val="00420FE0"/>
    <w:rsid w:val="0042231E"/>
    <w:rsid w:val="00423371"/>
    <w:rsid w:val="00426199"/>
    <w:rsid w:val="00440547"/>
    <w:rsid w:val="0044109F"/>
    <w:rsid w:val="00441219"/>
    <w:rsid w:val="0044200F"/>
    <w:rsid w:val="0044349B"/>
    <w:rsid w:val="0044645B"/>
    <w:rsid w:val="004465D3"/>
    <w:rsid w:val="0045067B"/>
    <w:rsid w:val="00464666"/>
    <w:rsid w:val="00467D58"/>
    <w:rsid w:val="00474096"/>
    <w:rsid w:val="004742B8"/>
    <w:rsid w:val="00482BC8"/>
    <w:rsid w:val="00490AC5"/>
    <w:rsid w:val="0049248C"/>
    <w:rsid w:val="004C059D"/>
    <w:rsid w:val="004E03E9"/>
    <w:rsid w:val="004E5018"/>
    <w:rsid w:val="004F2D0E"/>
    <w:rsid w:val="004F615A"/>
    <w:rsid w:val="00507231"/>
    <w:rsid w:val="00520BF5"/>
    <w:rsid w:val="00542F9A"/>
    <w:rsid w:val="005434D6"/>
    <w:rsid w:val="005440C4"/>
    <w:rsid w:val="005504EF"/>
    <w:rsid w:val="00552758"/>
    <w:rsid w:val="0055513A"/>
    <w:rsid w:val="00561099"/>
    <w:rsid w:val="00561134"/>
    <w:rsid w:val="00561F5E"/>
    <w:rsid w:val="00572540"/>
    <w:rsid w:val="005745B7"/>
    <w:rsid w:val="00576FA1"/>
    <w:rsid w:val="00580221"/>
    <w:rsid w:val="005843D1"/>
    <w:rsid w:val="00595FBA"/>
    <w:rsid w:val="005977B5"/>
    <w:rsid w:val="005B48DC"/>
    <w:rsid w:val="005C09B9"/>
    <w:rsid w:val="005C55CF"/>
    <w:rsid w:val="005D0B49"/>
    <w:rsid w:val="005E1BB2"/>
    <w:rsid w:val="005F2D4F"/>
    <w:rsid w:val="005F33D6"/>
    <w:rsid w:val="005F47AD"/>
    <w:rsid w:val="005F5974"/>
    <w:rsid w:val="005F59A4"/>
    <w:rsid w:val="00605717"/>
    <w:rsid w:val="00606825"/>
    <w:rsid w:val="00607EFC"/>
    <w:rsid w:val="00615C52"/>
    <w:rsid w:val="006201BC"/>
    <w:rsid w:val="00620992"/>
    <w:rsid w:val="00626C8F"/>
    <w:rsid w:val="006325A7"/>
    <w:rsid w:val="00635E82"/>
    <w:rsid w:val="00637BC6"/>
    <w:rsid w:val="006415C4"/>
    <w:rsid w:val="00645020"/>
    <w:rsid w:val="0064608D"/>
    <w:rsid w:val="006463F1"/>
    <w:rsid w:val="00651B5A"/>
    <w:rsid w:val="00651F8D"/>
    <w:rsid w:val="00651F91"/>
    <w:rsid w:val="00657FC1"/>
    <w:rsid w:val="006678EB"/>
    <w:rsid w:val="00671EA6"/>
    <w:rsid w:val="0067375D"/>
    <w:rsid w:val="00686B5D"/>
    <w:rsid w:val="0069262C"/>
    <w:rsid w:val="00696FC9"/>
    <w:rsid w:val="00697808"/>
    <w:rsid w:val="006A5E11"/>
    <w:rsid w:val="006A7D55"/>
    <w:rsid w:val="006A7E33"/>
    <w:rsid w:val="006A7E44"/>
    <w:rsid w:val="006B0D56"/>
    <w:rsid w:val="006C00BE"/>
    <w:rsid w:val="006C1DFE"/>
    <w:rsid w:val="006C3C7D"/>
    <w:rsid w:val="006C63FF"/>
    <w:rsid w:val="006C7810"/>
    <w:rsid w:val="006D796B"/>
    <w:rsid w:val="006D79F5"/>
    <w:rsid w:val="006E087E"/>
    <w:rsid w:val="006E44C5"/>
    <w:rsid w:val="006F0FE4"/>
    <w:rsid w:val="006F2A88"/>
    <w:rsid w:val="006F7F1A"/>
    <w:rsid w:val="00707351"/>
    <w:rsid w:val="00713FBA"/>
    <w:rsid w:val="007144DA"/>
    <w:rsid w:val="00720A1A"/>
    <w:rsid w:val="00725059"/>
    <w:rsid w:val="007259B7"/>
    <w:rsid w:val="00726490"/>
    <w:rsid w:val="00726F0B"/>
    <w:rsid w:val="007339A4"/>
    <w:rsid w:val="007345E3"/>
    <w:rsid w:val="007367CB"/>
    <w:rsid w:val="00740B7E"/>
    <w:rsid w:val="00744FF8"/>
    <w:rsid w:val="00753F20"/>
    <w:rsid w:val="007622B9"/>
    <w:rsid w:val="0076276D"/>
    <w:rsid w:val="00763F47"/>
    <w:rsid w:val="007655FB"/>
    <w:rsid w:val="00766964"/>
    <w:rsid w:val="007736FA"/>
    <w:rsid w:val="007811A8"/>
    <w:rsid w:val="007814C9"/>
    <w:rsid w:val="00782C66"/>
    <w:rsid w:val="007830F4"/>
    <w:rsid w:val="00783450"/>
    <w:rsid w:val="00786C64"/>
    <w:rsid w:val="007A00D3"/>
    <w:rsid w:val="007A39AD"/>
    <w:rsid w:val="007A5119"/>
    <w:rsid w:val="007A5F17"/>
    <w:rsid w:val="007B26D5"/>
    <w:rsid w:val="007B4B66"/>
    <w:rsid w:val="007B5DB7"/>
    <w:rsid w:val="007C26F3"/>
    <w:rsid w:val="007C2888"/>
    <w:rsid w:val="007D2412"/>
    <w:rsid w:val="007D6047"/>
    <w:rsid w:val="007E1FAD"/>
    <w:rsid w:val="007E4511"/>
    <w:rsid w:val="007F05C7"/>
    <w:rsid w:val="00816103"/>
    <w:rsid w:val="00830FC5"/>
    <w:rsid w:val="00837EA8"/>
    <w:rsid w:val="00837F22"/>
    <w:rsid w:val="00844E74"/>
    <w:rsid w:val="008460C7"/>
    <w:rsid w:val="008471E3"/>
    <w:rsid w:val="00862807"/>
    <w:rsid w:val="00863435"/>
    <w:rsid w:val="008666EB"/>
    <w:rsid w:val="00867110"/>
    <w:rsid w:val="00871FE8"/>
    <w:rsid w:val="008727EF"/>
    <w:rsid w:val="0087602C"/>
    <w:rsid w:val="00881559"/>
    <w:rsid w:val="00882CB3"/>
    <w:rsid w:val="008844FD"/>
    <w:rsid w:val="00884CB7"/>
    <w:rsid w:val="008B048C"/>
    <w:rsid w:val="008B0AC4"/>
    <w:rsid w:val="008B1816"/>
    <w:rsid w:val="008B2D94"/>
    <w:rsid w:val="008B3678"/>
    <w:rsid w:val="008B45A9"/>
    <w:rsid w:val="008B5716"/>
    <w:rsid w:val="008C0981"/>
    <w:rsid w:val="008D1F00"/>
    <w:rsid w:val="008E18A8"/>
    <w:rsid w:val="008E1974"/>
    <w:rsid w:val="008E2E56"/>
    <w:rsid w:val="008E719E"/>
    <w:rsid w:val="008F0573"/>
    <w:rsid w:val="008F4769"/>
    <w:rsid w:val="008F6182"/>
    <w:rsid w:val="009006D0"/>
    <w:rsid w:val="0090117B"/>
    <w:rsid w:val="00901E3A"/>
    <w:rsid w:val="0090382C"/>
    <w:rsid w:val="00904A10"/>
    <w:rsid w:val="00910B1E"/>
    <w:rsid w:val="00912C52"/>
    <w:rsid w:val="00921996"/>
    <w:rsid w:val="0092428A"/>
    <w:rsid w:val="00926E1C"/>
    <w:rsid w:val="00936542"/>
    <w:rsid w:val="009428AD"/>
    <w:rsid w:val="0094612A"/>
    <w:rsid w:val="00946D3E"/>
    <w:rsid w:val="0095389B"/>
    <w:rsid w:val="00964FB1"/>
    <w:rsid w:val="00974287"/>
    <w:rsid w:val="00986835"/>
    <w:rsid w:val="0098735A"/>
    <w:rsid w:val="0099228D"/>
    <w:rsid w:val="009965E9"/>
    <w:rsid w:val="00997EDF"/>
    <w:rsid w:val="009A4443"/>
    <w:rsid w:val="009A466C"/>
    <w:rsid w:val="009A5241"/>
    <w:rsid w:val="009A59B8"/>
    <w:rsid w:val="009A68A2"/>
    <w:rsid w:val="009A7B37"/>
    <w:rsid w:val="009B2CB0"/>
    <w:rsid w:val="009B3038"/>
    <w:rsid w:val="009B6761"/>
    <w:rsid w:val="009C34BC"/>
    <w:rsid w:val="009D3079"/>
    <w:rsid w:val="009D6781"/>
    <w:rsid w:val="009D7B2C"/>
    <w:rsid w:val="009E2C73"/>
    <w:rsid w:val="009E37C0"/>
    <w:rsid w:val="009E7177"/>
    <w:rsid w:val="009F3C49"/>
    <w:rsid w:val="00A01819"/>
    <w:rsid w:val="00A02879"/>
    <w:rsid w:val="00A07ECD"/>
    <w:rsid w:val="00A11C2B"/>
    <w:rsid w:val="00A2309F"/>
    <w:rsid w:val="00A236E8"/>
    <w:rsid w:val="00A3133D"/>
    <w:rsid w:val="00A330BA"/>
    <w:rsid w:val="00A65D58"/>
    <w:rsid w:val="00A65EEE"/>
    <w:rsid w:val="00A65F9E"/>
    <w:rsid w:val="00A71BD1"/>
    <w:rsid w:val="00A734C3"/>
    <w:rsid w:val="00A73C25"/>
    <w:rsid w:val="00A75FC0"/>
    <w:rsid w:val="00A84629"/>
    <w:rsid w:val="00A85B04"/>
    <w:rsid w:val="00A92087"/>
    <w:rsid w:val="00A9660E"/>
    <w:rsid w:val="00AA0304"/>
    <w:rsid w:val="00AA1254"/>
    <w:rsid w:val="00AA7DBD"/>
    <w:rsid w:val="00AB11ED"/>
    <w:rsid w:val="00AB464B"/>
    <w:rsid w:val="00AD2121"/>
    <w:rsid w:val="00AD3464"/>
    <w:rsid w:val="00B07DE5"/>
    <w:rsid w:val="00B1140C"/>
    <w:rsid w:val="00B12BAB"/>
    <w:rsid w:val="00B12E9D"/>
    <w:rsid w:val="00B136FE"/>
    <w:rsid w:val="00B152F5"/>
    <w:rsid w:val="00B15BAA"/>
    <w:rsid w:val="00B26AAA"/>
    <w:rsid w:val="00B27120"/>
    <w:rsid w:val="00B30C16"/>
    <w:rsid w:val="00B4214A"/>
    <w:rsid w:val="00B43E94"/>
    <w:rsid w:val="00B46DD9"/>
    <w:rsid w:val="00B52C7D"/>
    <w:rsid w:val="00B55269"/>
    <w:rsid w:val="00B55E4A"/>
    <w:rsid w:val="00B55F55"/>
    <w:rsid w:val="00B5717C"/>
    <w:rsid w:val="00B646A4"/>
    <w:rsid w:val="00B903C9"/>
    <w:rsid w:val="00B93598"/>
    <w:rsid w:val="00B944F4"/>
    <w:rsid w:val="00B96B3D"/>
    <w:rsid w:val="00BA3B82"/>
    <w:rsid w:val="00BB0B53"/>
    <w:rsid w:val="00BB0B9A"/>
    <w:rsid w:val="00BB64E7"/>
    <w:rsid w:val="00BB6EC6"/>
    <w:rsid w:val="00BB7407"/>
    <w:rsid w:val="00BC0F17"/>
    <w:rsid w:val="00BC5EEE"/>
    <w:rsid w:val="00BE041F"/>
    <w:rsid w:val="00BE14E5"/>
    <w:rsid w:val="00BE3BC3"/>
    <w:rsid w:val="00BE519C"/>
    <w:rsid w:val="00BE5B17"/>
    <w:rsid w:val="00BE6BA0"/>
    <w:rsid w:val="00BF0CEA"/>
    <w:rsid w:val="00BF2D32"/>
    <w:rsid w:val="00C013A0"/>
    <w:rsid w:val="00C0583A"/>
    <w:rsid w:val="00C0695D"/>
    <w:rsid w:val="00C06C5A"/>
    <w:rsid w:val="00C06F5E"/>
    <w:rsid w:val="00C162DC"/>
    <w:rsid w:val="00C23E95"/>
    <w:rsid w:val="00C330AE"/>
    <w:rsid w:val="00C33DBF"/>
    <w:rsid w:val="00C37142"/>
    <w:rsid w:val="00C40DD9"/>
    <w:rsid w:val="00C469B9"/>
    <w:rsid w:val="00C46C4D"/>
    <w:rsid w:val="00C46D31"/>
    <w:rsid w:val="00C5649B"/>
    <w:rsid w:val="00C57B4D"/>
    <w:rsid w:val="00C65A4C"/>
    <w:rsid w:val="00C84A54"/>
    <w:rsid w:val="00C922D1"/>
    <w:rsid w:val="00C92C4D"/>
    <w:rsid w:val="00C972BC"/>
    <w:rsid w:val="00CA10A3"/>
    <w:rsid w:val="00CA197A"/>
    <w:rsid w:val="00CA1F8B"/>
    <w:rsid w:val="00CA42B4"/>
    <w:rsid w:val="00CB0445"/>
    <w:rsid w:val="00CB4477"/>
    <w:rsid w:val="00CC3111"/>
    <w:rsid w:val="00CC5D30"/>
    <w:rsid w:val="00CC7909"/>
    <w:rsid w:val="00CD1FB0"/>
    <w:rsid w:val="00CE31B2"/>
    <w:rsid w:val="00CF11EC"/>
    <w:rsid w:val="00CF1F3D"/>
    <w:rsid w:val="00CF57CA"/>
    <w:rsid w:val="00D11CF7"/>
    <w:rsid w:val="00D12F10"/>
    <w:rsid w:val="00D1343F"/>
    <w:rsid w:val="00D14DA3"/>
    <w:rsid w:val="00D15DC9"/>
    <w:rsid w:val="00D240A5"/>
    <w:rsid w:val="00D2757B"/>
    <w:rsid w:val="00D440ED"/>
    <w:rsid w:val="00D50094"/>
    <w:rsid w:val="00D5059D"/>
    <w:rsid w:val="00D50FF9"/>
    <w:rsid w:val="00D56073"/>
    <w:rsid w:val="00D56604"/>
    <w:rsid w:val="00D6015D"/>
    <w:rsid w:val="00D676EC"/>
    <w:rsid w:val="00D72C91"/>
    <w:rsid w:val="00D737EA"/>
    <w:rsid w:val="00D7713C"/>
    <w:rsid w:val="00D844B0"/>
    <w:rsid w:val="00D86A19"/>
    <w:rsid w:val="00D908C4"/>
    <w:rsid w:val="00D935BD"/>
    <w:rsid w:val="00D93AD9"/>
    <w:rsid w:val="00D94FB5"/>
    <w:rsid w:val="00D954B5"/>
    <w:rsid w:val="00D95BDA"/>
    <w:rsid w:val="00DA15C7"/>
    <w:rsid w:val="00DA4317"/>
    <w:rsid w:val="00DA7BBA"/>
    <w:rsid w:val="00DB5E23"/>
    <w:rsid w:val="00DC5F79"/>
    <w:rsid w:val="00DD295E"/>
    <w:rsid w:val="00DD4423"/>
    <w:rsid w:val="00DD52BC"/>
    <w:rsid w:val="00DD7D04"/>
    <w:rsid w:val="00DE000C"/>
    <w:rsid w:val="00DF1799"/>
    <w:rsid w:val="00DF3616"/>
    <w:rsid w:val="00DF5D06"/>
    <w:rsid w:val="00DF7E05"/>
    <w:rsid w:val="00E00E7B"/>
    <w:rsid w:val="00E03C8D"/>
    <w:rsid w:val="00E17B13"/>
    <w:rsid w:val="00E21485"/>
    <w:rsid w:val="00E27300"/>
    <w:rsid w:val="00E32219"/>
    <w:rsid w:val="00E54959"/>
    <w:rsid w:val="00E633FD"/>
    <w:rsid w:val="00E677C6"/>
    <w:rsid w:val="00E70A37"/>
    <w:rsid w:val="00E7451F"/>
    <w:rsid w:val="00E77C49"/>
    <w:rsid w:val="00E86DD9"/>
    <w:rsid w:val="00E90209"/>
    <w:rsid w:val="00E9515B"/>
    <w:rsid w:val="00EA0849"/>
    <w:rsid w:val="00EA3515"/>
    <w:rsid w:val="00EA532F"/>
    <w:rsid w:val="00EA57E7"/>
    <w:rsid w:val="00EA7742"/>
    <w:rsid w:val="00EB3381"/>
    <w:rsid w:val="00EC0C75"/>
    <w:rsid w:val="00EC5796"/>
    <w:rsid w:val="00EC7A00"/>
    <w:rsid w:val="00ED0713"/>
    <w:rsid w:val="00ED22ED"/>
    <w:rsid w:val="00ED28B4"/>
    <w:rsid w:val="00ED777F"/>
    <w:rsid w:val="00EE0519"/>
    <w:rsid w:val="00EE31A5"/>
    <w:rsid w:val="00EF15C0"/>
    <w:rsid w:val="00EF35D1"/>
    <w:rsid w:val="00F07CC7"/>
    <w:rsid w:val="00F1269C"/>
    <w:rsid w:val="00F155EE"/>
    <w:rsid w:val="00F32666"/>
    <w:rsid w:val="00F34747"/>
    <w:rsid w:val="00F35245"/>
    <w:rsid w:val="00F35FCC"/>
    <w:rsid w:val="00F40367"/>
    <w:rsid w:val="00F4167F"/>
    <w:rsid w:val="00F42775"/>
    <w:rsid w:val="00F4561A"/>
    <w:rsid w:val="00F53080"/>
    <w:rsid w:val="00F56102"/>
    <w:rsid w:val="00F56CE2"/>
    <w:rsid w:val="00F5778D"/>
    <w:rsid w:val="00F5794F"/>
    <w:rsid w:val="00F63467"/>
    <w:rsid w:val="00F94235"/>
    <w:rsid w:val="00F94A35"/>
    <w:rsid w:val="00FB4ACA"/>
    <w:rsid w:val="00FB793F"/>
    <w:rsid w:val="00FC156C"/>
    <w:rsid w:val="00FC3DDD"/>
    <w:rsid w:val="00FD22B6"/>
    <w:rsid w:val="00FD3ACB"/>
    <w:rsid w:val="00FD42B3"/>
    <w:rsid w:val="00FD7ED2"/>
    <w:rsid w:val="00FE02F6"/>
    <w:rsid w:val="00FE45ED"/>
    <w:rsid w:val="00FE7102"/>
    <w:rsid w:val="00FE7727"/>
    <w:rsid w:val="00FF2D0F"/>
    <w:rsid w:val="00FF34D1"/>
    <w:rsid w:val="00FF7AD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r-Latn-RS" w:eastAsia="sr-Latn-R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965E9"/>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E5018"/>
    <w:pPr>
      <w:ind w:left="720"/>
      <w:contextualSpacing/>
    </w:pPr>
  </w:style>
  <w:style w:type="paragraph" w:styleId="FootnoteText">
    <w:name w:val="footnote text"/>
    <w:basedOn w:val="Normal"/>
    <w:link w:val="FootnoteTextChar"/>
    <w:semiHidden/>
    <w:unhideWhenUsed/>
    <w:rsid w:val="00AA125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A1254"/>
    <w:rPr>
      <w:sz w:val="20"/>
      <w:szCs w:val="20"/>
      <w:lang w:val="en-US" w:eastAsia="en-US"/>
    </w:rPr>
  </w:style>
  <w:style w:type="character" w:styleId="FootnoteReference">
    <w:name w:val="footnote reference"/>
    <w:basedOn w:val="DefaultParagraphFont"/>
    <w:semiHidden/>
    <w:unhideWhenUsed/>
    <w:rsid w:val="00AA1254"/>
    <w:rPr>
      <w:vertAlign w:val="superscript"/>
    </w:rPr>
  </w:style>
  <w:style w:type="character" w:styleId="Hyperlink">
    <w:name w:val="Hyperlink"/>
    <w:basedOn w:val="DefaultParagraphFont"/>
    <w:uiPriority w:val="99"/>
    <w:unhideWhenUsed/>
    <w:rsid w:val="007E1FAD"/>
    <w:rPr>
      <w:color w:val="0000FF"/>
      <w:u w:val="single"/>
    </w:rPr>
  </w:style>
  <w:style w:type="character" w:styleId="FollowedHyperlink">
    <w:name w:val="FollowedHyperlink"/>
    <w:basedOn w:val="DefaultParagraphFont"/>
    <w:uiPriority w:val="99"/>
    <w:semiHidden/>
    <w:unhideWhenUsed/>
    <w:rsid w:val="009F3C49"/>
    <w:rPr>
      <w:color w:val="800080" w:themeColor="followedHyperlink"/>
      <w:u w:val="single"/>
    </w:rPr>
  </w:style>
  <w:style w:type="paragraph" w:styleId="BalloonText">
    <w:name w:val="Balloon Text"/>
    <w:basedOn w:val="Normal"/>
    <w:link w:val="BalloonTextChar"/>
    <w:uiPriority w:val="99"/>
    <w:semiHidden/>
    <w:unhideWhenUsed/>
    <w:rsid w:val="00206C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6CEF"/>
    <w:rPr>
      <w:rFonts w:ascii="Tahoma" w:hAnsi="Tahoma" w:cs="Tahoma"/>
      <w:sz w:val="16"/>
      <w:szCs w:val="16"/>
    </w:rPr>
  </w:style>
  <w:style w:type="paragraph" w:styleId="Header">
    <w:name w:val="header"/>
    <w:basedOn w:val="Normal"/>
    <w:link w:val="HeaderChar"/>
    <w:uiPriority w:val="99"/>
    <w:unhideWhenUsed/>
    <w:rsid w:val="00D56604"/>
    <w:pPr>
      <w:tabs>
        <w:tab w:val="center" w:pos="4536"/>
        <w:tab w:val="right" w:pos="9072"/>
      </w:tabs>
      <w:spacing w:after="0" w:line="240" w:lineRule="auto"/>
    </w:pPr>
  </w:style>
  <w:style w:type="character" w:customStyle="1" w:styleId="HeaderChar">
    <w:name w:val="Header Char"/>
    <w:basedOn w:val="DefaultParagraphFont"/>
    <w:link w:val="Header"/>
    <w:uiPriority w:val="99"/>
    <w:rsid w:val="00D56604"/>
  </w:style>
  <w:style w:type="paragraph" w:styleId="Footer">
    <w:name w:val="footer"/>
    <w:basedOn w:val="Normal"/>
    <w:link w:val="FooterChar"/>
    <w:uiPriority w:val="99"/>
    <w:unhideWhenUsed/>
    <w:rsid w:val="00D56604"/>
    <w:pPr>
      <w:tabs>
        <w:tab w:val="center" w:pos="4536"/>
        <w:tab w:val="right" w:pos="9072"/>
      </w:tabs>
      <w:spacing w:after="0" w:line="240" w:lineRule="auto"/>
    </w:pPr>
  </w:style>
  <w:style w:type="character" w:customStyle="1" w:styleId="FooterChar">
    <w:name w:val="Footer Char"/>
    <w:basedOn w:val="DefaultParagraphFont"/>
    <w:link w:val="Footer"/>
    <w:uiPriority w:val="99"/>
    <w:rsid w:val="00D566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r-Latn-RS" w:eastAsia="sr-Latn-R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965E9"/>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E5018"/>
    <w:pPr>
      <w:ind w:left="720"/>
      <w:contextualSpacing/>
    </w:pPr>
  </w:style>
  <w:style w:type="paragraph" w:styleId="FootnoteText">
    <w:name w:val="footnote text"/>
    <w:basedOn w:val="Normal"/>
    <w:link w:val="FootnoteTextChar"/>
    <w:semiHidden/>
    <w:unhideWhenUsed/>
    <w:rsid w:val="00AA125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A1254"/>
    <w:rPr>
      <w:sz w:val="20"/>
      <w:szCs w:val="20"/>
      <w:lang w:val="en-US" w:eastAsia="en-US"/>
    </w:rPr>
  </w:style>
  <w:style w:type="character" w:styleId="FootnoteReference">
    <w:name w:val="footnote reference"/>
    <w:basedOn w:val="DefaultParagraphFont"/>
    <w:semiHidden/>
    <w:unhideWhenUsed/>
    <w:rsid w:val="00AA1254"/>
    <w:rPr>
      <w:vertAlign w:val="superscript"/>
    </w:rPr>
  </w:style>
  <w:style w:type="character" w:styleId="Hyperlink">
    <w:name w:val="Hyperlink"/>
    <w:basedOn w:val="DefaultParagraphFont"/>
    <w:uiPriority w:val="99"/>
    <w:unhideWhenUsed/>
    <w:rsid w:val="007E1FAD"/>
    <w:rPr>
      <w:color w:val="0000FF"/>
      <w:u w:val="single"/>
    </w:rPr>
  </w:style>
  <w:style w:type="character" w:styleId="FollowedHyperlink">
    <w:name w:val="FollowedHyperlink"/>
    <w:basedOn w:val="DefaultParagraphFont"/>
    <w:uiPriority w:val="99"/>
    <w:semiHidden/>
    <w:unhideWhenUsed/>
    <w:rsid w:val="009F3C49"/>
    <w:rPr>
      <w:color w:val="800080" w:themeColor="followedHyperlink"/>
      <w:u w:val="single"/>
    </w:rPr>
  </w:style>
  <w:style w:type="paragraph" w:styleId="BalloonText">
    <w:name w:val="Balloon Text"/>
    <w:basedOn w:val="Normal"/>
    <w:link w:val="BalloonTextChar"/>
    <w:uiPriority w:val="99"/>
    <w:semiHidden/>
    <w:unhideWhenUsed/>
    <w:rsid w:val="00206C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6CEF"/>
    <w:rPr>
      <w:rFonts w:ascii="Tahoma" w:hAnsi="Tahoma" w:cs="Tahoma"/>
      <w:sz w:val="16"/>
      <w:szCs w:val="16"/>
    </w:rPr>
  </w:style>
  <w:style w:type="paragraph" w:styleId="Header">
    <w:name w:val="header"/>
    <w:basedOn w:val="Normal"/>
    <w:link w:val="HeaderChar"/>
    <w:uiPriority w:val="99"/>
    <w:unhideWhenUsed/>
    <w:rsid w:val="00D56604"/>
    <w:pPr>
      <w:tabs>
        <w:tab w:val="center" w:pos="4536"/>
        <w:tab w:val="right" w:pos="9072"/>
      </w:tabs>
      <w:spacing w:after="0" w:line="240" w:lineRule="auto"/>
    </w:pPr>
  </w:style>
  <w:style w:type="character" w:customStyle="1" w:styleId="HeaderChar">
    <w:name w:val="Header Char"/>
    <w:basedOn w:val="DefaultParagraphFont"/>
    <w:link w:val="Header"/>
    <w:uiPriority w:val="99"/>
    <w:rsid w:val="00D56604"/>
  </w:style>
  <w:style w:type="paragraph" w:styleId="Footer">
    <w:name w:val="footer"/>
    <w:basedOn w:val="Normal"/>
    <w:link w:val="FooterChar"/>
    <w:uiPriority w:val="99"/>
    <w:unhideWhenUsed/>
    <w:rsid w:val="00D56604"/>
    <w:pPr>
      <w:tabs>
        <w:tab w:val="center" w:pos="4536"/>
        <w:tab w:val="right" w:pos="9072"/>
      </w:tabs>
      <w:spacing w:after="0" w:line="240" w:lineRule="auto"/>
    </w:pPr>
  </w:style>
  <w:style w:type="character" w:customStyle="1" w:styleId="FooterChar">
    <w:name w:val="Footer Char"/>
    <w:basedOn w:val="DefaultParagraphFont"/>
    <w:link w:val="Footer"/>
    <w:uiPriority w:val="99"/>
    <w:rsid w:val="00D566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8043528">
      <w:bodyDiv w:val="1"/>
      <w:marLeft w:val="0"/>
      <w:marRight w:val="0"/>
      <w:marTop w:val="0"/>
      <w:marBottom w:val="0"/>
      <w:divBdr>
        <w:top w:val="none" w:sz="0" w:space="0" w:color="auto"/>
        <w:left w:val="none" w:sz="0" w:space="0" w:color="auto"/>
        <w:bottom w:val="none" w:sz="0" w:space="0" w:color="auto"/>
        <w:right w:val="none" w:sz="0" w:space="0" w:color="auto"/>
      </w:divBdr>
    </w:div>
    <w:div w:id="1309165680">
      <w:bodyDiv w:val="1"/>
      <w:marLeft w:val="0"/>
      <w:marRight w:val="0"/>
      <w:marTop w:val="0"/>
      <w:marBottom w:val="0"/>
      <w:divBdr>
        <w:top w:val="none" w:sz="0" w:space="0" w:color="auto"/>
        <w:left w:val="none" w:sz="0" w:space="0" w:color="auto"/>
        <w:bottom w:val="none" w:sz="0" w:space="0" w:color="auto"/>
        <w:right w:val="none" w:sz="0" w:space="0" w:color="auto"/>
      </w:divBdr>
    </w:div>
    <w:div w:id="1475105147">
      <w:bodyDiv w:val="1"/>
      <w:marLeft w:val="0"/>
      <w:marRight w:val="0"/>
      <w:marTop w:val="0"/>
      <w:marBottom w:val="0"/>
      <w:divBdr>
        <w:top w:val="none" w:sz="0" w:space="0" w:color="auto"/>
        <w:left w:val="none" w:sz="0" w:space="0" w:color="auto"/>
        <w:bottom w:val="none" w:sz="0" w:space="0" w:color="auto"/>
        <w:right w:val="none" w:sz="0" w:space="0" w:color="auto"/>
      </w:divBdr>
    </w:div>
    <w:div w:id="1782529827">
      <w:bodyDiv w:val="1"/>
      <w:marLeft w:val="0"/>
      <w:marRight w:val="0"/>
      <w:marTop w:val="0"/>
      <w:marBottom w:val="0"/>
      <w:divBdr>
        <w:top w:val="none" w:sz="0" w:space="0" w:color="auto"/>
        <w:left w:val="none" w:sz="0" w:space="0" w:color="auto"/>
        <w:bottom w:val="none" w:sz="0" w:space="0" w:color="auto"/>
        <w:right w:val="none" w:sz="0" w:space="0" w:color="auto"/>
      </w:divBdr>
    </w:div>
    <w:div w:id="1932931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emf"/><Relationship Id="rId18" Type="http://schemas.openxmlformats.org/officeDocument/2006/relationships/package" Target="embeddings/Microsoft_Excel_Worksheet3.xlsx"/><Relationship Id="rId26" Type="http://schemas.openxmlformats.org/officeDocument/2006/relationships/package" Target="embeddings/Microsoft_Excel_Worksheet7.xlsx"/><Relationship Id="rId39" Type="http://schemas.openxmlformats.org/officeDocument/2006/relationships/image" Target="media/image14.emf"/><Relationship Id="rId3" Type="http://schemas.openxmlformats.org/officeDocument/2006/relationships/styles" Target="styles.xml"/><Relationship Id="rId21" Type="http://schemas.openxmlformats.org/officeDocument/2006/relationships/image" Target="media/image6.emf"/><Relationship Id="rId34" Type="http://schemas.openxmlformats.org/officeDocument/2006/relationships/hyperlink" Target="http://www.djn.mf.gov.si/resources/files/Sistem_javnega_narocanja/Stat_por_JN2012_IN.pdf" TargetMode="External"/><Relationship Id="rId42" Type="http://schemas.openxmlformats.org/officeDocument/2006/relationships/image" Target="media/image16.emf"/><Relationship Id="rId47" Type="http://schemas.openxmlformats.org/officeDocument/2006/relationships/package" Target="embeddings/Microsoft_Excel_Worksheet16.xlsx"/><Relationship Id="rId50"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4.emf"/><Relationship Id="rId25" Type="http://schemas.openxmlformats.org/officeDocument/2006/relationships/image" Target="media/image8.emf"/><Relationship Id="rId33" Type="http://schemas.openxmlformats.org/officeDocument/2006/relationships/hyperlink" Target="http://www.javnanabava.hr/userdocsimages/userfiles/file/Statisti&#269;ka%20izvje&#353;&#263;a/Godi&#353;nja/Statisticko_izvjesce_JN-2011.pdf" TargetMode="External"/><Relationship Id="rId38" Type="http://schemas.openxmlformats.org/officeDocument/2006/relationships/package" Target="embeddings/Microsoft_Excel_Worksheet12.xlsx"/><Relationship Id="rId46" Type="http://schemas.openxmlformats.org/officeDocument/2006/relationships/image" Target="media/image18.emf"/><Relationship Id="rId2" Type="http://schemas.openxmlformats.org/officeDocument/2006/relationships/numbering" Target="numbering.xml"/><Relationship Id="rId16" Type="http://schemas.openxmlformats.org/officeDocument/2006/relationships/package" Target="embeddings/Microsoft_Excel_Worksheet2.xlsx"/><Relationship Id="rId20" Type="http://schemas.openxmlformats.org/officeDocument/2006/relationships/package" Target="embeddings/Microsoft_Excel_Worksheet4.xlsx"/><Relationship Id="rId29" Type="http://schemas.openxmlformats.org/officeDocument/2006/relationships/image" Target="media/image10.emf"/><Relationship Id="rId41" Type="http://schemas.openxmlformats.org/officeDocument/2006/relationships/image" Target="media/image15.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portal.ujn.gov.rs" TargetMode="External"/><Relationship Id="rId24" Type="http://schemas.openxmlformats.org/officeDocument/2006/relationships/package" Target="embeddings/Microsoft_Excel_Worksheet6.xlsx"/><Relationship Id="rId32" Type="http://schemas.openxmlformats.org/officeDocument/2006/relationships/package" Target="embeddings/Microsoft_Excel_Worksheet10.xlsx"/><Relationship Id="rId37" Type="http://schemas.openxmlformats.org/officeDocument/2006/relationships/image" Target="media/image13.emf"/><Relationship Id="rId40" Type="http://schemas.openxmlformats.org/officeDocument/2006/relationships/package" Target="embeddings/Microsoft_Excel_Worksheet13.xlsx"/><Relationship Id="rId45" Type="http://schemas.openxmlformats.org/officeDocument/2006/relationships/package" Target="embeddings/Microsoft_Excel_Worksheet15.xlsx"/><Relationship Id="rId5" Type="http://schemas.openxmlformats.org/officeDocument/2006/relationships/settings" Target="settings.xml"/><Relationship Id="rId15" Type="http://schemas.openxmlformats.org/officeDocument/2006/relationships/image" Target="media/image3.emf"/><Relationship Id="rId23" Type="http://schemas.openxmlformats.org/officeDocument/2006/relationships/image" Target="media/image7.emf"/><Relationship Id="rId28" Type="http://schemas.openxmlformats.org/officeDocument/2006/relationships/package" Target="embeddings/Microsoft_Excel_Worksheet8.xlsx"/><Relationship Id="rId36" Type="http://schemas.openxmlformats.org/officeDocument/2006/relationships/package" Target="embeddings/Microsoft_Excel_Worksheet11.xlsx"/><Relationship Id="rId49" Type="http://schemas.openxmlformats.org/officeDocument/2006/relationships/package" Target="embeddings/Microsoft_Excel_Worksheet17.xlsx"/><Relationship Id="rId10" Type="http://schemas.openxmlformats.org/officeDocument/2006/relationships/hyperlink" Target="http://www.ujn.gov.rs" TargetMode="External"/><Relationship Id="rId19" Type="http://schemas.openxmlformats.org/officeDocument/2006/relationships/image" Target="media/image5.emf"/><Relationship Id="rId31" Type="http://schemas.openxmlformats.org/officeDocument/2006/relationships/image" Target="media/image11.emf"/><Relationship Id="rId44" Type="http://schemas.openxmlformats.org/officeDocument/2006/relationships/image" Target="media/image17.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package" Target="embeddings/Microsoft_Excel_Worksheet1.xlsx"/><Relationship Id="rId22" Type="http://schemas.openxmlformats.org/officeDocument/2006/relationships/package" Target="embeddings/Microsoft_Excel_Worksheet5.xlsx"/><Relationship Id="rId27" Type="http://schemas.openxmlformats.org/officeDocument/2006/relationships/image" Target="media/image9.emf"/><Relationship Id="rId30" Type="http://schemas.openxmlformats.org/officeDocument/2006/relationships/package" Target="embeddings/Microsoft_Excel_Worksheet9.xlsx"/><Relationship Id="rId35" Type="http://schemas.openxmlformats.org/officeDocument/2006/relationships/image" Target="media/image12.emf"/><Relationship Id="rId43" Type="http://schemas.openxmlformats.org/officeDocument/2006/relationships/package" Target="embeddings/Microsoft_Excel_Worksheet14.xlsx"/><Relationship Id="rId48" Type="http://schemas.openxmlformats.org/officeDocument/2006/relationships/image" Target="media/image19.emf"/><Relationship Id="rId8" Type="http://schemas.openxmlformats.org/officeDocument/2006/relationships/endnotes" Target="endnotes.xml"/><Relationship Id="rId51"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javnanabava.hr/userdocsimages/userfiles/file/Statisti&#269;ka%20izvje&#353;&#263;a/Godi&#353;nja/Statisticko_izvjesce_JN-2012.pdf" TargetMode="External"/><Relationship Id="rId1" Type="http://schemas.openxmlformats.org/officeDocument/2006/relationships/hyperlink" Target="http://www.javnanabava.hr/userdocsimages/userfiles/file/Statisti&#269;ka%20izvje&#353;&#263;a/Godi&#353;nja/Statisticko_izvjesce_JN-201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1DD07E-2292-4702-A206-A00CCD4594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5978</Words>
  <Characters>34081</Characters>
  <Application>Microsoft Office Word</Application>
  <DocSecurity>0</DocSecurity>
  <Lines>284</Lines>
  <Paragraphs>79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39980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Mladen Alempijevic</cp:lastModifiedBy>
  <cp:revision>2</cp:revision>
  <cp:lastPrinted>2014-03-06T13:02:00Z</cp:lastPrinted>
  <dcterms:created xsi:type="dcterms:W3CDTF">2014-03-17T07:49:00Z</dcterms:created>
  <dcterms:modified xsi:type="dcterms:W3CDTF">2014-03-17T07:49:00Z</dcterms:modified>
</cp:coreProperties>
</file>