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AD" w:rsidRDefault="001C62AD">
      <w:pPr>
        <w:rPr>
          <w:rFonts w:ascii="Times New Roman" w:hAnsi="Times New Roman" w:cs="Times New Roman"/>
          <w:sz w:val="24"/>
          <w:szCs w:val="24"/>
        </w:rPr>
      </w:pPr>
      <w:bookmarkStart w:id="0" w:name="_GoBack"/>
      <w:bookmarkEnd w:id="0"/>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r>
        <w:rPr>
          <w:rFonts w:ascii="Times New Roman" w:eastAsia="Times New Roman" w:hAnsi="Times New Roman" w:cs="Times New Roman"/>
          <w:b/>
          <w:noProof/>
          <w:sz w:val="28"/>
          <w:szCs w:val="20"/>
        </w:rPr>
        <w:drawing>
          <wp:inline distT="0" distB="0" distL="0" distR="0">
            <wp:extent cx="127635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Pr>
          <w:rFonts w:ascii="Times New Roman" w:eastAsia="Times New Roman" w:hAnsi="Times New Roman" w:cs="Times New Roman"/>
          <w:b/>
          <w:sz w:val="28"/>
          <w:szCs w:val="20"/>
          <w:lang w:val="ru-RU" w:eastAsia="en-US"/>
        </w:rPr>
        <w:br/>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r w:rsidRPr="000C129C">
        <w:rPr>
          <w:rFonts w:ascii="Times New Roman" w:eastAsia="Times New Roman" w:hAnsi="Times New Roman" w:cs="Times New Roman"/>
          <w:b/>
          <w:sz w:val="28"/>
          <w:szCs w:val="20"/>
          <w:lang w:val="ru-RU" w:eastAsia="en-US"/>
        </w:rPr>
        <w:t>РЕПУБЛИКА СРБИЈА</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r w:rsidRPr="000C129C">
        <w:rPr>
          <w:rFonts w:ascii="Times New Roman" w:eastAsia="Times New Roman" w:hAnsi="Times New Roman" w:cs="Times New Roman"/>
          <w:b/>
          <w:sz w:val="28"/>
          <w:szCs w:val="20"/>
          <w:lang w:val="ru-RU" w:eastAsia="en-US"/>
        </w:rPr>
        <w:t>УПРАВА ЗА ЈАВНЕ НАБАВКЕ</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eastAsia="en-US"/>
        </w:rPr>
      </w:pPr>
    </w:p>
    <w:p w:rsidR="000C129C" w:rsidRPr="00C46C4D" w:rsidRDefault="000C129C" w:rsidP="000C129C">
      <w:pPr>
        <w:spacing w:after="0" w:line="240" w:lineRule="auto"/>
        <w:jc w:val="center"/>
        <w:rPr>
          <w:rFonts w:ascii="Times New Roman" w:eastAsia="Times New Roman" w:hAnsi="Times New Roman" w:cs="Times New Roman"/>
          <w:b/>
          <w:sz w:val="28"/>
          <w:szCs w:val="28"/>
          <w:lang w:val="ru-RU" w:eastAsia="en-US"/>
        </w:rPr>
      </w:pPr>
      <w:r w:rsidRPr="00C46C4D">
        <w:rPr>
          <w:rFonts w:ascii="Times New Roman" w:eastAsia="Times New Roman" w:hAnsi="Times New Roman" w:cs="Times New Roman"/>
          <w:b/>
          <w:sz w:val="28"/>
          <w:szCs w:val="28"/>
          <w:lang w:val="ru-RU" w:eastAsia="en-US"/>
        </w:rPr>
        <w:t xml:space="preserve">ИЗВЕШТАЈ О ЈАВНИМ НАБАВКАМА У РЕПУБЛИЦИ СРБИЈИ </w:t>
      </w:r>
    </w:p>
    <w:p w:rsidR="000C129C" w:rsidRPr="000C129C" w:rsidRDefault="000C129C" w:rsidP="000C129C">
      <w:pPr>
        <w:spacing w:after="0" w:line="240" w:lineRule="auto"/>
        <w:jc w:val="center"/>
        <w:rPr>
          <w:rFonts w:ascii="Times New Roman" w:eastAsia="Times New Roman" w:hAnsi="Times New Roman" w:cs="Times New Roman"/>
          <w:b/>
          <w:color w:val="000000"/>
          <w:sz w:val="28"/>
          <w:szCs w:val="28"/>
          <w:lang w:val="en-US" w:eastAsia="en-US"/>
        </w:rPr>
      </w:pPr>
      <w:r w:rsidRPr="00C46C4D">
        <w:rPr>
          <w:rFonts w:ascii="Times New Roman" w:eastAsia="Times New Roman" w:hAnsi="Times New Roman" w:cs="Times New Roman"/>
          <w:b/>
          <w:color w:val="000000"/>
          <w:sz w:val="28"/>
          <w:szCs w:val="28"/>
          <w:lang w:val="ru-RU" w:eastAsia="en-US"/>
        </w:rPr>
        <w:t xml:space="preserve">ЗА </w:t>
      </w:r>
      <w:r w:rsidR="00441219" w:rsidRPr="00C46C4D">
        <w:rPr>
          <w:rFonts w:ascii="Times New Roman" w:eastAsia="Times New Roman" w:hAnsi="Times New Roman" w:cs="Times New Roman"/>
          <w:b/>
          <w:color w:val="000000"/>
          <w:sz w:val="28"/>
          <w:szCs w:val="28"/>
          <w:lang w:val="ru-RU" w:eastAsia="en-US"/>
        </w:rPr>
        <w:t xml:space="preserve">ТРЕЋИ </w:t>
      </w:r>
      <w:r w:rsidRPr="00C46C4D">
        <w:rPr>
          <w:rFonts w:ascii="Times New Roman" w:eastAsia="Times New Roman" w:hAnsi="Times New Roman" w:cs="Times New Roman"/>
          <w:b/>
          <w:color w:val="000000"/>
          <w:sz w:val="28"/>
          <w:szCs w:val="28"/>
          <w:lang w:eastAsia="en-US"/>
        </w:rPr>
        <w:t>КВАРТАЛ</w:t>
      </w:r>
      <w:r w:rsidRPr="00C46C4D">
        <w:rPr>
          <w:rFonts w:ascii="Times New Roman" w:eastAsia="Times New Roman" w:hAnsi="Times New Roman" w:cs="Times New Roman"/>
          <w:b/>
          <w:color w:val="000000"/>
          <w:sz w:val="28"/>
          <w:szCs w:val="28"/>
          <w:lang w:val="ru-RU" w:eastAsia="en-US"/>
        </w:rPr>
        <w:t xml:space="preserve"> 2013. ГОДИНЕ</w:t>
      </w:r>
      <w:r w:rsidRPr="000C129C">
        <w:rPr>
          <w:rFonts w:ascii="Times New Roman" w:eastAsia="Times New Roman" w:hAnsi="Times New Roman" w:cs="Times New Roman"/>
          <w:b/>
          <w:color w:val="000000"/>
          <w:sz w:val="28"/>
          <w:szCs w:val="28"/>
          <w:lang w:val="ru-RU" w:eastAsia="en-US"/>
        </w:rPr>
        <w:t xml:space="preserve"> </w:t>
      </w: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ru-RU" w:eastAsia="en-US"/>
        </w:rPr>
      </w:pPr>
    </w:p>
    <w:p w:rsidR="000C129C" w:rsidRPr="000C129C" w:rsidRDefault="000C129C" w:rsidP="000C129C">
      <w:pPr>
        <w:spacing w:after="0" w:line="240" w:lineRule="auto"/>
        <w:rPr>
          <w:rFonts w:ascii="Times New Roman" w:eastAsia="Times New Roman" w:hAnsi="Times New Roman" w:cs="Times New Roman"/>
          <w:b/>
          <w:sz w:val="28"/>
          <w:szCs w:val="20"/>
          <w:lang w:val="sr-Latn-CS" w:eastAsia="en-US"/>
        </w:rPr>
      </w:pPr>
    </w:p>
    <w:p w:rsidR="000C129C" w:rsidRPr="000C129C" w:rsidRDefault="000C129C" w:rsidP="000C129C">
      <w:pPr>
        <w:spacing w:after="0" w:line="240" w:lineRule="auto"/>
        <w:jc w:val="center"/>
        <w:rPr>
          <w:rFonts w:ascii="Times New Roman" w:eastAsia="Times New Roman" w:hAnsi="Times New Roman" w:cs="Times New Roman"/>
          <w:b/>
          <w:sz w:val="28"/>
          <w:szCs w:val="28"/>
          <w:lang w:val="ru-RU" w:eastAsia="en-US"/>
        </w:rPr>
      </w:pPr>
      <w:r w:rsidRPr="000C129C">
        <w:rPr>
          <w:rFonts w:ascii="Times New Roman" w:eastAsia="Times New Roman" w:hAnsi="Times New Roman" w:cs="Times New Roman"/>
          <w:b/>
          <w:sz w:val="28"/>
          <w:szCs w:val="28"/>
          <w:lang w:val="sr-Cyrl-CS" w:eastAsia="en-US"/>
        </w:rPr>
        <w:t>Београд</w:t>
      </w:r>
    </w:p>
    <w:p w:rsidR="000C129C" w:rsidRPr="000C129C" w:rsidRDefault="001B1D08" w:rsidP="000C129C">
      <w:pPr>
        <w:spacing w:after="0" w:line="240" w:lineRule="auto"/>
        <w:jc w:val="center"/>
        <w:rPr>
          <w:rFonts w:ascii="Times New Roman" w:eastAsia="Times New Roman" w:hAnsi="Times New Roman" w:cs="Times New Roman"/>
          <w:b/>
          <w:sz w:val="28"/>
          <w:szCs w:val="28"/>
          <w:lang w:val="sr-Cyrl-CS" w:eastAsia="en-US"/>
        </w:rPr>
      </w:pPr>
      <w:r>
        <w:rPr>
          <w:rFonts w:ascii="Times New Roman" w:eastAsia="Times New Roman" w:hAnsi="Times New Roman" w:cs="Times New Roman"/>
          <w:b/>
          <w:sz w:val="28"/>
          <w:szCs w:val="28"/>
          <w:lang w:val="en-US" w:eastAsia="en-US"/>
        </w:rPr>
        <w:t>7</w:t>
      </w:r>
      <w:r w:rsidR="00441219">
        <w:rPr>
          <w:rFonts w:ascii="Times New Roman" w:eastAsia="Times New Roman" w:hAnsi="Times New Roman" w:cs="Times New Roman"/>
          <w:b/>
          <w:sz w:val="28"/>
          <w:szCs w:val="28"/>
          <w:lang w:val="ru-RU" w:eastAsia="en-US"/>
        </w:rPr>
        <w:t>. ф</w:t>
      </w:r>
      <w:r w:rsidR="001B245E">
        <w:rPr>
          <w:rFonts w:ascii="Times New Roman" w:eastAsia="Times New Roman" w:hAnsi="Times New Roman" w:cs="Times New Roman"/>
          <w:b/>
          <w:sz w:val="28"/>
          <w:szCs w:val="28"/>
          <w:lang w:val="ru-RU" w:eastAsia="en-US"/>
        </w:rPr>
        <w:t>ебруар 2014</w:t>
      </w:r>
      <w:r w:rsidR="000C129C">
        <w:rPr>
          <w:rFonts w:ascii="Times New Roman" w:eastAsia="Times New Roman" w:hAnsi="Times New Roman" w:cs="Times New Roman"/>
          <w:b/>
          <w:sz w:val="28"/>
          <w:szCs w:val="28"/>
          <w:lang w:val="ru-RU" w:eastAsia="en-US"/>
        </w:rPr>
        <w:t>. године</w:t>
      </w:r>
    </w:p>
    <w:p w:rsidR="000C129C" w:rsidRDefault="000C129C">
      <w:pPr>
        <w:rPr>
          <w:rFonts w:ascii="Times New Roman" w:hAnsi="Times New Roman" w:cs="Times New Roman"/>
          <w:sz w:val="24"/>
          <w:szCs w:val="24"/>
          <w:lang w:val="sr-Cyrl-RS"/>
        </w:rPr>
      </w:pPr>
    </w:p>
    <w:p w:rsidR="00261373" w:rsidRDefault="00261373">
      <w:pPr>
        <w:rPr>
          <w:rFonts w:ascii="Times New Roman" w:hAnsi="Times New Roman" w:cs="Times New Roman"/>
          <w:sz w:val="24"/>
          <w:szCs w:val="24"/>
          <w:lang w:val="en-US"/>
        </w:rPr>
      </w:pPr>
    </w:p>
    <w:p w:rsidR="00725059" w:rsidRDefault="00725059">
      <w:pPr>
        <w:rPr>
          <w:rFonts w:ascii="Times New Roman" w:hAnsi="Times New Roman" w:cs="Times New Roman"/>
          <w:sz w:val="24"/>
          <w:szCs w:val="24"/>
          <w:lang w:val="en-US"/>
        </w:rPr>
      </w:pPr>
    </w:p>
    <w:p w:rsidR="00725059" w:rsidRPr="00725059" w:rsidRDefault="00725059">
      <w:pPr>
        <w:rPr>
          <w:rFonts w:ascii="Times New Roman" w:hAnsi="Times New Roman" w:cs="Times New Roman"/>
          <w:sz w:val="24"/>
          <w:szCs w:val="24"/>
          <w:lang w:val="en-US"/>
        </w:rPr>
      </w:pPr>
    </w:p>
    <w:p w:rsidR="003B4846" w:rsidRPr="003B4846" w:rsidRDefault="003B4846" w:rsidP="003B4846">
      <w:pPr>
        <w:contextualSpacing/>
        <w:rPr>
          <w:rFonts w:ascii="Times New Roman" w:eastAsia="Calibri" w:hAnsi="Times New Roman" w:cs="Times New Roman"/>
          <w:b/>
          <w:sz w:val="24"/>
          <w:szCs w:val="24"/>
        </w:rPr>
      </w:pPr>
      <w:r w:rsidRPr="003B4846">
        <w:rPr>
          <w:rFonts w:ascii="Times New Roman" w:eastAsia="Calibri" w:hAnsi="Times New Roman" w:cs="Times New Roman"/>
          <w:b/>
          <w:sz w:val="24"/>
          <w:szCs w:val="24"/>
        </w:rPr>
        <w:lastRenderedPageBreak/>
        <w:t>УВОД</w:t>
      </w:r>
    </w:p>
    <w:p w:rsidR="003B4846" w:rsidRPr="003B4846" w:rsidRDefault="003B4846" w:rsidP="003B4846">
      <w:pPr>
        <w:ind w:left="720"/>
        <w:contextualSpacing/>
        <w:rPr>
          <w:rFonts w:ascii="Times New Roman" w:eastAsia="Calibri" w:hAnsi="Times New Roman" w:cs="Times New Roman"/>
          <w:b/>
          <w:sz w:val="24"/>
          <w:szCs w:val="24"/>
        </w:rPr>
      </w:pP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Законом о јавним набавкама („Службени гласник РС“, бр. 124/12) прописано је да су наручиоци дужни да прикупљају и евидентирају податке о јавним набавкама и да своје извештаје достављају Управи за јавне набавке на кварталном нивоу, и то најкасније до 10. у месецу који следи по истеку тромесечја.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Кључни елементи тромесечних извештаја о јавним набавкама предвиђени су самим Законом,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Конкретно, прописано је да наручиоци достављају Управи тромесечни извештај о спроведеним поступцима и закљученим уговорима о јавним набавкама, о спроведеним поступцима набавки на које се нису примењивале одредбе Закона, о обустављеним и поништеним поступцима јавне набавке, као и извештај о извршењу уговора.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Тромесечни извештај о јавним набавкама припрема се и доставља Управи искључиво у електронској форми, коришћењем електронског система, односно апликативног софтвера Управе за јавне набавке.  Софтвер, који садржи обрасце за вођење евиденције и пратеће корисничко упутство за употребу, доступан је на интернет страници Управе, одакле га наручиоци могу преузети (</w:t>
      </w:r>
      <w:hyperlink r:id="rId10" w:history="1">
        <w:r w:rsidRPr="003B4846">
          <w:rPr>
            <w:rFonts w:ascii="Times New Roman" w:eastAsia="Calibri" w:hAnsi="Times New Roman" w:cs="Times New Roman"/>
            <w:color w:val="0000FF"/>
            <w:sz w:val="24"/>
            <w:szCs w:val="24"/>
            <w:u w:val="single"/>
          </w:rPr>
          <w:t>www.ujn.gov.rs</w:t>
        </w:r>
      </w:hyperlink>
      <w:r w:rsidRPr="003B4846">
        <w:rPr>
          <w:rFonts w:ascii="Times New Roman" w:eastAsia="Calibri" w:hAnsi="Times New Roman" w:cs="Times New Roman"/>
          <w:sz w:val="24"/>
          <w:szCs w:val="24"/>
        </w:rPr>
        <w:t xml:space="preserve">).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поступака где се евидентира сваки закључени уговор појединачно.</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Нови систем извештавања, путем наведеног апликативног софтвера, почео је са применом од рока за достављање извештаја о јавним набавкама за други  квартал 2013. године.</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За исправност и тачност података приказаних у извештајима одговорни су сами наручиоци.</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На основу достављених тромесечних извештаја наручилаца Управа припрема преглед спроведених поступака и закључених уговорa који објављује на Порталу јавних набавки (</w:t>
      </w:r>
      <w:hyperlink r:id="rId11" w:history="1">
        <w:r w:rsidRPr="003B4846">
          <w:rPr>
            <w:rStyle w:val="Hyperlink"/>
            <w:rFonts w:ascii="Times New Roman" w:eastAsia="Calibri" w:hAnsi="Times New Roman" w:cs="Times New Roman"/>
            <w:sz w:val="24"/>
            <w:szCs w:val="24"/>
          </w:rPr>
          <w:t>http://portal.ujn.gov.rs</w:t>
        </w:r>
      </w:hyperlink>
      <w:r w:rsidRPr="003B4846">
        <w:rPr>
          <w:rFonts w:ascii="Times New Roman" w:eastAsia="Calibri" w:hAnsi="Times New Roman" w:cs="Times New Roman"/>
          <w:sz w:val="24"/>
          <w:szCs w:val="24"/>
        </w:rPr>
        <w:t>), и који сви заинтересовани могу да претражују.</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Такође, Управа је дужна да на основу појединачних извештаја наручилаца припреми збирни, полугодишњи и годишњи извештај о јавним набавкама са предлогом мера за унапређење система јавних набавки и да их, након достављања Влади РС, објави на Порталу јавних набавки и на својој интернет страници.</w:t>
      </w:r>
    </w:p>
    <w:p w:rsidR="001C62AD" w:rsidRPr="003B4846" w:rsidRDefault="001C62AD">
      <w:pPr>
        <w:rPr>
          <w:rFonts w:ascii="Times New Roman" w:hAnsi="Times New Roman" w:cs="Times New Roman"/>
          <w:sz w:val="24"/>
          <w:szCs w:val="24"/>
        </w:rPr>
      </w:pPr>
    </w:p>
    <w:p w:rsidR="00293B02" w:rsidRDefault="00293B02">
      <w:pPr>
        <w:rPr>
          <w:rFonts w:ascii="Times New Roman" w:hAnsi="Times New Roman" w:cs="Times New Roman"/>
          <w:sz w:val="24"/>
          <w:szCs w:val="24"/>
        </w:rPr>
        <w:sectPr w:rsidR="00293B02" w:rsidSect="00F56CE2">
          <w:footerReference w:type="default" r:id="rId12"/>
          <w:pgSz w:w="11907" w:h="16839" w:code="9"/>
          <w:pgMar w:top="720" w:right="720" w:bottom="720" w:left="720" w:header="708" w:footer="708" w:gutter="0"/>
          <w:pgNumType w:start="0"/>
          <w:cols w:space="708"/>
          <w:titlePg/>
          <w:docGrid w:linePitch="360"/>
        </w:sectPr>
      </w:pPr>
    </w:p>
    <w:p w:rsidR="005745B7" w:rsidRPr="000B4B53" w:rsidRDefault="00E70A37" w:rsidP="000B4B53">
      <w:pPr>
        <w:pStyle w:val="ListParagraph"/>
        <w:numPr>
          <w:ilvl w:val="0"/>
          <w:numId w:val="2"/>
        </w:numPr>
        <w:rPr>
          <w:rFonts w:ascii="Times New Roman" w:hAnsi="Times New Roman" w:cs="Times New Roman"/>
          <w:b/>
          <w:sz w:val="24"/>
          <w:szCs w:val="24"/>
        </w:rPr>
      </w:pPr>
      <w:r w:rsidRPr="000B4B53">
        <w:rPr>
          <w:rFonts w:ascii="Times New Roman" w:hAnsi="Times New Roman" w:cs="Times New Roman"/>
          <w:b/>
          <w:sz w:val="24"/>
          <w:szCs w:val="24"/>
        </w:rPr>
        <w:lastRenderedPageBreak/>
        <w:t xml:space="preserve">ЗБИРНИ ПРЕГЛЕД </w:t>
      </w:r>
      <w:r w:rsidR="008F0573">
        <w:rPr>
          <w:rFonts w:ascii="Times New Roman" w:hAnsi="Times New Roman" w:cs="Times New Roman"/>
          <w:b/>
          <w:sz w:val="24"/>
          <w:szCs w:val="24"/>
        </w:rPr>
        <w:t xml:space="preserve">ЈАВНИХ </w:t>
      </w:r>
      <w:r w:rsidRPr="000B4B53">
        <w:rPr>
          <w:rFonts w:ascii="Times New Roman" w:hAnsi="Times New Roman" w:cs="Times New Roman"/>
          <w:b/>
          <w:sz w:val="24"/>
          <w:szCs w:val="24"/>
        </w:rPr>
        <w:t>НАБАВКИ У РЕПУБЛИЦИ СРБИЈИ</w:t>
      </w:r>
    </w:p>
    <w:p w:rsidR="00EF35D1" w:rsidRDefault="00EF35D1" w:rsidP="00EF35D1">
      <w:pPr>
        <w:rPr>
          <w:rFonts w:ascii="Times New Roman" w:hAnsi="Times New Roman" w:cs="Times New Roman"/>
          <w:sz w:val="24"/>
          <w:szCs w:val="24"/>
        </w:rPr>
      </w:pPr>
    </w:p>
    <w:p w:rsidR="00EF35D1" w:rsidRPr="00EF35D1" w:rsidRDefault="00EF35D1" w:rsidP="007B4B66">
      <w:pPr>
        <w:jc w:val="both"/>
        <w:rPr>
          <w:rFonts w:ascii="Times New Roman" w:hAnsi="Times New Roman" w:cs="Times New Roman"/>
          <w:sz w:val="24"/>
          <w:szCs w:val="24"/>
        </w:rPr>
      </w:pPr>
      <w:r w:rsidRPr="00EF35D1">
        <w:rPr>
          <w:rFonts w:ascii="Times New Roman" w:hAnsi="Times New Roman" w:cs="Times New Roman"/>
          <w:sz w:val="24"/>
          <w:szCs w:val="24"/>
        </w:rPr>
        <w:t xml:space="preserve">Подаци о јавним набавкама у трећем квараталу 2013. године имају посебан значај јер је то први извештајни период који у потпуности обихвата поступке покренуте по важећем Закону о јавним набавкама (ЗЈН). Наиме, нови ЗЈН почео је да се примењује од 1. априла 2013. године, па је велики број наручилаца покренуо поступке пре тог датума. </w:t>
      </w:r>
      <w:r w:rsidR="009A7B37">
        <w:rPr>
          <w:rFonts w:ascii="Times New Roman" w:hAnsi="Times New Roman" w:cs="Times New Roman"/>
          <w:sz w:val="24"/>
          <w:szCs w:val="24"/>
        </w:rPr>
        <w:t>Резултат ј</w:t>
      </w:r>
      <w:r w:rsidRPr="00EF35D1">
        <w:rPr>
          <w:rFonts w:ascii="Times New Roman" w:hAnsi="Times New Roman" w:cs="Times New Roman"/>
          <w:sz w:val="24"/>
          <w:szCs w:val="24"/>
        </w:rPr>
        <w:t>е да је већина закључених уговора у другом кварталу била по поступцима који су били покренути током првог квартала. Стога се може сматрати да тек подаци о закљученим уговорима из трећег квартала (јул-септембар) одржавају ефекте новог ЗЈН, односно поступака покренутих после 1.</w:t>
      </w:r>
      <w:r w:rsidR="00DF3616">
        <w:rPr>
          <w:rFonts w:ascii="Times New Roman" w:hAnsi="Times New Roman" w:cs="Times New Roman"/>
          <w:sz w:val="24"/>
          <w:szCs w:val="24"/>
        </w:rPr>
        <w:t xml:space="preserve"> </w:t>
      </w:r>
      <w:r w:rsidRPr="00EF35D1">
        <w:rPr>
          <w:rFonts w:ascii="Times New Roman" w:hAnsi="Times New Roman" w:cs="Times New Roman"/>
          <w:sz w:val="24"/>
          <w:szCs w:val="24"/>
        </w:rPr>
        <w:t xml:space="preserve">априла 2013. године.  </w:t>
      </w:r>
    </w:p>
    <w:p w:rsidR="00EF35D1" w:rsidRPr="00EF35D1" w:rsidRDefault="00EF35D1" w:rsidP="007B4B66">
      <w:pPr>
        <w:jc w:val="both"/>
        <w:rPr>
          <w:rFonts w:ascii="Times New Roman" w:hAnsi="Times New Roman" w:cs="Times New Roman"/>
          <w:sz w:val="24"/>
          <w:szCs w:val="24"/>
        </w:rPr>
      </w:pPr>
      <w:r w:rsidRPr="00EF35D1">
        <w:rPr>
          <w:rFonts w:ascii="Times New Roman" w:hAnsi="Times New Roman" w:cs="Times New Roman"/>
          <w:sz w:val="24"/>
          <w:szCs w:val="24"/>
        </w:rPr>
        <w:t xml:space="preserve">У Табели 1 приказана је регистрована вредност јавних набавки у трећем кварталу 2013. године, као и број закључених уговора. Број закључених уговора био је за ¼ нижи у трећем кварталу него у претходном, другом кварталу. То се може објаснити настојањем већег броја наручилаца да покрену поступке пре 1. априла када је почео са применом нови Закон о јавним набавкама (ЗЈН). </w:t>
      </w:r>
    </w:p>
    <w:p w:rsidR="00EF35D1" w:rsidRDefault="00EF35D1">
      <w:pPr>
        <w:rPr>
          <w:rFonts w:ascii="Times New Roman" w:hAnsi="Times New Roman" w:cs="Times New Roman"/>
          <w:b/>
          <w:sz w:val="24"/>
          <w:szCs w:val="24"/>
        </w:rPr>
      </w:pPr>
    </w:p>
    <w:p w:rsidR="008471E3" w:rsidRPr="009A7B37" w:rsidRDefault="000B4B53">
      <w:pPr>
        <w:rPr>
          <w:rFonts w:ascii="Times New Roman" w:hAnsi="Times New Roman" w:cs="Times New Roman"/>
          <w:b/>
          <w:sz w:val="24"/>
          <w:szCs w:val="24"/>
        </w:rPr>
      </w:pPr>
      <w:r w:rsidRPr="00412BE9">
        <w:rPr>
          <w:rFonts w:ascii="Times New Roman" w:hAnsi="Times New Roman" w:cs="Times New Roman"/>
          <w:b/>
          <w:sz w:val="24"/>
          <w:szCs w:val="24"/>
        </w:rPr>
        <w:t>Табела 1</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936"/>
        <w:gridCol w:w="1016"/>
        <w:gridCol w:w="1016"/>
        <w:gridCol w:w="1016"/>
        <w:gridCol w:w="1016"/>
        <w:gridCol w:w="1016"/>
        <w:gridCol w:w="1016"/>
        <w:gridCol w:w="1016"/>
        <w:gridCol w:w="1016"/>
        <w:gridCol w:w="1016"/>
        <w:gridCol w:w="965"/>
        <w:gridCol w:w="963"/>
        <w:gridCol w:w="975"/>
      </w:tblGrid>
      <w:tr w:rsidR="00C06C5A" w:rsidRPr="00C06C5A" w:rsidTr="00C06C5A">
        <w:tc>
          <w:tcPr>
            <w:tcW w:w="14142" w:type="dxa"/>
            <w:gridSpan w:val="14"/>
            <w:tcBorders>
              <w:left w:val="single" w:sz="4" w:space="0" w:color="auto"/>
            </w:tcBorders>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4"/>
                <w:szCs w:val="24"/>
              </w:rPr>
            </w:pPr>
          </w:p>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4"/>
                <w:szCs w:val="24"/>
              </w:rPr>
            </w:pPr>
            <w:r w:rsidRPr="00C06C5A">
              <w:rPr>
                <w:rFonts w:ascii="Times New Roman" w:eastAsia="Times New Roman" w:hAnsi="Times New Roman" w:cs="Times New Roman"/>
                <w:b/>
                <w:sz w:val="24"/>
                <w:szCs w:val="24"/>
              </w:rPr>
              <w:t>Упоредни преглед закључених уговора о јавним набавкамапо годинама и прва три квартала</w:t>
            </w:r>
            <w:r w:rsidR="00B12E9D">
              <w:rPr>
                <w:rFonts w:ascii="Times New Roman" w:eastAsia="Times New Roman" w:hAnsi="Times New Roman" w:cs="Times New Roman"/>
                <w:b/>
                <w:sz w:val="24"/>
                <w:szCs w:val="24"/>
              </w:rPr>
              <w:t xml:space="preserve"> </w:t>
            </w:r>
            <w:r w:rsidRPr="00C06C5A">
              <w:rPr>
                <w:rFonts w:ascii="Times New Roman" w:eastAsia="Times New Roman" w:hAnsi="Times New Roman" w:cs="Times New Roman"/>
                <w:b/>
                <w:sz w:val="24"/>
                <w:szCs w:val="24"/>
              </w:rPr>
              <w:t>2013. године</w:t>
            </w:r>
          </w:p>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4"/>
                <w:szCs w:val="24"/>
              </w:rPr>
            </w:pPr>
          </w:p>
        </w:tc>
      </w:tr>
      <w:tr w:rsidR="00C06C5A" w:rsidRPr="00C06C5A" w:rsidTr="009E2C73">
        <w:trPr>
          <w:trHeight w:val="490"/>
        </w:trPr>
        <w:tc>
          <w:tcPr>
            <w:tcW w:w="1159" w:type="dxa"/>
            <w:tcBorders>
              <w:left w:val="single" w:sz="4" w:space="0" w:color="auto"/>
            </w:tcBorders>
            <w:shd w:val="clear" w:color="auto" w:fill="auto"/>
            <w:vAlign w:val="center"/>
          </w:tcPr>
          <w:p w:rsidR="00C06C5A" w:rsidRPr="00C06C5A" w:rsidRDefault="00C06C5A" w:rsidP="00C06C5A">
            <w:pPr>
              <w:tabs>
                <w:tab w:val="left" w:pos="3622"/>
              </w:tabs>
              <w:spacing w:after="0" w:line="240" w:lineRule="auto"/>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Година</w:t>
            </w:r>
          </w:p>
        </w:tc>
        <w:tc>
          <w:tcPr>
            <w:tcW w:w="93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2003.</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2004.</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2005.</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2006.</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2007.</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2008.</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2009.</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2010.</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2011.</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2012.</w:t>
            </w:r>
          </w:p>
        </w:tc>
        <w:tc>
          <w:tcPr>
            <w:tcW w:w="965"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2013.</w:t>
            </w:r>
          </w:p>
          <w:p w:rsidR="00C06C5A" w:rsidRPr="00C06C5A" w:rsidRDefault="00B12E9D" w:rsidP="00C06C5A">
            <w:pPr>
              <w:tabs>
                <w:tab w:val="left" w:pos="3622"/>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lang w:val="sr-Cyrl-RS"/>
              </w:rPr>
              <w:t>п</w:t>
            </w:r>
            <w:r w:rsidR="00C06C5A" w:rsidRPr="00C06C5A">
              <w:rPr>
                <w:rFonts w:ascii="Times New Roman" w:eastAsia="Times New Roman" w:hAnsi="Times New Roman" w:cs="Times New Roman"/>
                <w:b/>
                <w:sz w:val="20"/>
                <w:szCs w:val="20"/>
              </w:rPr>
              <w:t>рви квартал</w:t>
            </w:r>
          </w:p>
        </w:tc>
        <w:tc>
          <w:tcPr>
            <w:tcW w:w="963"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2013.</w:t>
            </w:r>
          </w:p>
          <w:p w:rsidR="00C06C5A" w:rsidRPr="00C06C5A" w:rsidRDefault="00B12E9D" w:rsidP="00C06C5A">
            <w:pPr>
              <w:tabs>
                <w:tab w:val="left" w:pos="3622"/>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lang w:val="sr-Cyrl-RS"/>
              </w:rPr>
              <w:t>д</w:t>
            </w:r>
            <w:r w:rsidR="00C06C5A" w:rsidRPr="00C06C5A">
              <w:rPr>
                <w:rFonts w:ascii="Times New Roman" w:eastAsia="Times New Roman" w:hAnsi="Times New Roman" w:cs="Times New Roman"/>
                <w:b/>
                <w:sz w:val="20"/>
                <w:szCs w:val="20"/>
              </w:rPr>
              <w:t>руги</w:t>
            </w:r>
          </w:p>
          <w:p w:rsidR="00C06C5A" w:rsidRPr="00C06C5A" w:rsidRDefault="00C06C5A" w:rsidP="00C06C5A">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квартал</w:t>
            </w:r>
          </w:p>
        </w:tc>
        <w:tc>
          <w:tcPr>
            <w:tcW w:w="975" w:type="dxa"/>
            <w:shd w:val="clear" w:color="auto" w:fill="auto"/>
            <w:vAlign w:val="center"/>
          </w:tcPr>
          <w:p w:rsidR="00C06C5A" w:rsidRPr="00C06C5A" w:rsidRDefault="00C06C5A" w:rsidP="00B12E9D">
            <w:pPr>
              <w:tabs>
                <w:tab w:val="left" w:pos="3622"/>
              </w:tabs>
              <w:spacing w:after="0" w:line="240" w:lineRule="auto"/>
              <w:jc w:val="center"/>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 xml:space="preserve">2013. </w:t>
            </w:r>
            <w:r w:rsidR="00B12E9D">
              <w:rPr>
                <w:rFonts w:ascii="Times New Roman" w:eastAsia="Times New Roman" w:hAnsi="Times New Roman" w:cs="Times New Roman"/>
                <w:b/>
                <w:sz w:val="20"/>
                <w:szCs w:val="20"/>
                <w:lang w:val="sr-Cyrl-RS"/>
              </w:rPr>
              <w:t>т</w:t>
            </w:r>
            <w:r w:rsidRPr="00C06C5A">
              <w:rPr>
                <w:rFonts w:ascii="Times New Roman" w:eastAsia="Times New Roman" w:hAnsi="Times New Roman" w:cs="Times New Roman"/>
                <w:b/>
                <w:sz w:val="20"/>
                <w:szCs w:val="20"/>
              </w:rPr>
              <w:t>рећи квартал</w:t>
            </w:r>
          </w:p>
        </w:tc>
      </w:tr>
      <w:tr w:rsidR="00C06C5A" w:rsidRPr="00C06C5A" w:rsidTr="009E2C73">
        <w:tc>
          <w:tcPr>
            <w:tcW w:w="1159" w:type="dxa"/>
            <w:shd w:val="clear" w:color="auto" w:fill="auto"/>
          </w:tcPr>
          <w:p w:rsidR="00C06C5A" w:rsidRPr="00C06C5A" w:rsidRDefault="00C06C5A" w:rsidP="00C06C5A">
            <w:pPr>
              <w:tabs>
                <w:tab w:val="left" w:pos="3622"/>
              </w:tabs>
              <w:spacing w:after="0" w:line="240" w:lineRule="auto"/>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Укупан број уговора</w:t>
            </w:r>
          </w:p>
        </w:tc>
        <w:tc>
          <w:tcPr>
            <w:tcW w:w="93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231.661</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215.815</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148.758</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152.485</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122.587</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109.910</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91.992</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83.693</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111.249</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92.710</w:t>
            </w:r>
          </w:p>
        </w:tc>
        <w:tc>
          <w:tcPr>
            <w:tcW w:w="965"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19.890</w:t>
            </w:r>
          </w:p>
        </w:tc>
        <w:tc>
          <w:tcPr>
            <w:tcW w:w="963"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25.121</w:t>
            </w:r>
          </w:p>
        </w:tc>
        <w:tc>
          <w:tcPr>
            <w:tcW w:w="975"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18.644</w:t>
            </w:r>
          </w:p>
        </w:tc>
      </w:tr>
      <w:tr w:rsidR="00C06C5A" w:rsidRPr="00C06C5A" w:rsidTr="009E2C73">
        <w:tc>
          <w:tcPr>
            <w:tcW w:w="1159" w:type="dxa"/>
            <w:shd w:val="clear" w:color="auto" w:fill="auto"/>
          </w:tcPr>
          <w:p w:rsidR="00C06C5A" w:rsidRPr="00C06C5A" w:rsidRDefault="00C06C5A" w:rsidP="00C06C5A">
            <w:pPr>
              <w:tabs>
                <w:tab w:val="left" w:pos="3622"/>
              </w:tabs>
              <w:spacing w:after="0" w:line="240" w:lineRule="auto"/>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 xml:space="preserve">Укупна вредност   </w:t>
            </w:r>
          </w:p>
          <w:p w:rsidR="00C06C5A" w:rsidRPr="00C06C5A" w:rsidRDefault="00C06C5A" w:rsidP="00C06C5A">
            <w:pPr>
              <w:tabs>
                <w:tab w:val="left" w:pos="3622"/>
              </w:tabs>
              <w:spacing w:after="0" w:line="240" w:lineRule="auto"/>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(у хиљадама динара)</w:t>
            </w:r>
          </w:p>
        </w:tc>
        <w:tc>
          <w:tcPr>
            <w:tcW w:w="93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98.777.652</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109.282.212</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124.753.207</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168.914.947</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187.559.752</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234.028.744</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190.655.028</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273.055.306</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293.324.810</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303.694.136</w:t>
            </w:r>
          </w:p>
        </w:tc>
        <w:tc>
          <w:tcPr>
            <w:tcW w:w="965"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61.363.611</w:t>
            </w:r>
          </w:p>
        </w:tc>
        <w:tc>
          <w:tcPr>
            <w:tcW w:w="963"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76.731.454</w:t>
            </w:r>
          </w:p>
        </w:tc>
        <w:tc>
          <w:tcPr>
            <w:tcW w:w="975"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69.512.885</w:t>
            </w:r>
          </w:p>
        </w:tc>
      </w:tr>
      <w:tr w:rsidR="00C06C5A" w:rsidRPr="00C06C5A" w:rsidTr="009E2C73">
        <w:tc>
          <w:tcPr>
            <w:tcW w:w="1159" w:type="dxa"/>
            <w:shd w:val="clear" w:color="auto" w:fill="auto"/>
          </w:tcPr>
          <w:p w:rsidR="00C06C5A" w:rsidRPr="00C06C5A" w:rsidRDefault="00C06C5A" w:rsidP="00C06C5A">
            <w:pPr>
              <w:tabs>
                <w:tab w:val="left" w:pos="3622"/>
              </w:tabs>
              <w:spacing w:after="0" w:line="240" w:lineRule="auto"/>
              <w:rPr>
                <w:rFonts w:ascii="Times New Roman" w:eastAsia="Times New Roman" w:hAnsi="Times New Roman" w:cs="Times New Roman"/>
                <w:b/>
                <w:sz w:val="20"/>
                <w:szCs w:val="20"/>
              </w:rPr>
            </w:pPr>
            <w:r w:rsidRPr="00C06C5A">
              <w:rPr>
                <w:rFonts w:ascii="Times New Roman" w:eastAsia="Times New Roman" w:hAnsi="Times New Roman" w:cs="Times New Roman"/>
                <w:b/>
                <w:sz w:val="20"/>
                <w:szCs w:val="20"/>
              </w:rPr>
              <w:t>Просечна вредност             (у хиљадама динара)</w:t>
            </w:r>
          </w:p>
        </w:tc>
        <w:tc>
          <w:tcPr>
            <w:tcW w:w="93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426</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506</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838</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1.108</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1.530</w:t>
            </w:r>
          </w:p>
        </w:tc>
        <w:tc>
          <w:tcPr>
            <w:tcW w:w="1016"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2.129</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2.073</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3.263</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2.637</w:t>
            </w:r>
          </w:p>
        </w:tc>
        <w:tc>
          <w:tcPr>
            <w:tcW w:w="0" w:type="auto"/>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3.276</w:t>
            </w:r>
          </w:p>
        </w:tc>
        <w:tc>
          <w:tcPr>
            <w:tcW w:w="965"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3.085</w:t>
            </w:r>
          </w:p>
        </w:tc>
        <w:tc>
          <w:tcPr>
            <w:tcW w:w="963"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3.054</w:t>
            </w:r>
          </w:p>
        </w:tc>
        <w:tc>
          <w:tcPr>
            <w:tcW w:w="975" w:type="dxa"/>
            <w:shd w:val="clear" w:color="auto" w:fill="auto"/>
            <w:vAlign w:val="center"/>
          </w:tcPr>
          <w:p w:rsidR="00C06C5A" w:rsidRPr="00C06C5A" w:rsidRDefault="00C06C5A" w:rsidP="00C06C5A">
            <w:pPr>
              <w:tabs>
                <w:tab w:val="left" w:pos="3622"/>
              </w:tabs>
              <w:spacing w:after="0" w:line="240" w:lineRule="auto"/>
              <w:jc w:val="center"/>
              <w:rPr>
                <w:rFonts w:ascii="Times New Roman" w:eastAsia="Times New Roman" w:hAnsi="Times New Roman" w:cs="Times New Roman"/>
                <w:sz w:val="16"/>
                <w:szCs w:val="16"/>
              </w:rPr>
            </w:pPr>
            <w:r w:rsidRPr="00C06C5A">
              <w:rPr>
                <w:rFonts w:ascii="Times New Roman" w:eastAsia="Times New Roman" w:hAnsi="Times New Roman" w:cs="Times New Roman"/>
                <w:sz w:val="16"/>
                <w:szCs w:val="16"/>
              </w:rPr>
              <w:t>3.728</w:t>
            </w:r>
          </w:p>
        </w:tc>
      </w:tr>
    </w:tbl>
    <w:p w:rsidR="00D12F10" w:rsidRDefault="00D12F10" w:rsidP="009E2C73">
      <w:pPr>
        <w:rPr>
          <w:rFonts w:ascii="Times New Roman" w:hAnsi="Times New Roman" w:cs="Times New Roman"/>
          <w:sz w:val="24"/>
          <w:szCs w:val="24"/>
        </w:rPr>
        <w:sectPr w:rsidR="00D12F10" w:rsidSect="00293B02">
          <w:pgSz w:w="15840" w:h="12240" w:orient="landscape"/>
          <w:pgMar w:top="720" w:right="720" w:bottom="720" w:left="720" w:header="708" w:footer="708" w:gutter="0"/>
          <w:cols w:space="708"/>
          <w:docGrid w:linePitch="360"/>
        </w:sectPr>
      </w:pPr>
    </w:p>
    <w:p w:rsidR="00EF35D1" w:rsidRPr="000B4B53" w:rsidRDefault="00EF35D1" w:rsidP="007B4B66">
      <w:pPr>
        <w:jc w:val="both"/>
        <w:rPr>
          <w:rFonts w:ascii="Times New Roman" w:hAnsi="Times New Roman" w:cs="Times New Roman"/>
          <w:sz w:val="24"/>
          <w:szCs w:val="24"/>
        </w:rPr>
      </w:pPr>
      <w:r>
        <w:rPr>
          <w:rFonts w:ascii="Times New Roman" w:hAnsi="Times New Roman" w:cs="Times New Roman"/>
          <w:sz w:val="24"/>
          <w:szCs w:val="24"/>
        </w:rPr>
        <w:lastRenderedPageBreak/>
        <w:t>Подаци из Табеле 1 такође показују да се просечна вредност уговора повећала са око 3 милиона динара у прва два квартала 2013. године на 3,7 милиона динара у трећем кварталу исте године. На тај начин се десетогодишњи тренд „укрупњавања“ јавних набавки наставио и појачао у последњем кварталу 2013. године (Табела 1)</w:t>
      </w:r>
    </w:p>
    <w:p w:rsidR="002F61C4" w:rsidRDefault="00EF35D1" w:rsidP="007B4B66">
      <w:pPr>
        <w:jc w:val="both"/>
        <w:rPr>
          <w:rFonts w:ascii="Times New Roman" w:hAnsi="Times New Roman" w:cs="Times New Roman"/>
          <w:sz w:val="24"/>
          <w:szCs w:val="24"/>
        </w:rPr>
      </w:pPr>
      <w:r>
        <w:rPr>
          <w:rFonts w:ascii="Times New Roman" w:hAnsi="Times New Roman" w:cs="Times New Roman"/>
          <w:sz w:val="24"/>
          <w:szCs w:val="24"/>
        </w:rPr>
        <w:t>Следећи битан показатељ јесте колико је потрошено за јавне набавке у посматраном периоду (Слика 1). Када се упореди вредност набавки велике вредности у прва три квартала 2012 и 2013. године, уочава се да је, у периоду јануар – септембар 2013. године, потрошено 25,6 милијарди динара</w:t>
      </w:r>
      <w:r w:rsidR="000322F9">
        <w:rPr>
          <w:rFonts w:ascii="Times New Roman" w:hAnsi="Times New Roman" w:cs="Times New Roman"/>
          <w:sz w:val="24"/>
          <w:szCs w:val="24"/>
          <w:lang w:val="sr-Cyrl-RS"/>
        </w:rPr>
        <w:t xml:space="preserve"> (око 230 милиона евра)</w:t>
      </w:r>
      <w:r>
        <w:rPr>
          <w:rFonts w:ascii="Times New Roman" w:hAnsi="Times New Roman" w:cs="Times New Roman"/>
          <w:sz w:val="24"/>
          <w:szCs w:val="24"/>
        </w:rPr>
        <w:t xml:space="preserve"> мање него у истом периоду претходне године. Мањи издаци за јавне набавке у првих девет месеци 2013. у односу на 2012. показују да је било мање расположивог новца за јавне набавке који се морао рационалније трошити. У овом случају је узет период од девет месеци како би се нивелисале периодичне осцилације настале под дејством једнократних фактора, попут промене везане за почетак примене новог закона, и подаци за два периода учинили упоредивим.  </w:t>
      </w:r>
    </w:p>
    <w:p w:rsidR="00BB0B9A" w:rsidRPr="00C0695D" w:rsidRDefault="00BB0B9A" w:rsidP="00C0695D">
      <w:pPr>
        <w:jc w:val="both"/>
        <w:rPr>
          <w:rFonts w:ascii="Times New Roman" w:hAnsi="Times New Roman" w:cs="Times New Roman"/>
          <w:sz w:val="24"/>
          <w:szCs w:val="24"/>
          <w:lang w:val="sr-Cyrl-RS"/>
        </w:rPr>
      </w:pPr>
      <w:r>
        <w:rPr>
          <w:rFonts w:ascii="Times New Roman" w:hAnsi="Times New Roman" w:cs="Times New Roman"/>
          <w:sz w:val="24"/>
          <w:szCs w:val="24"/>
        </w:rPr>
        <w:t xml:space="preserve">Следећи значајан показатељ јесте учешће набавки мале вредности у укупној вредности јавних набавки (Слика 2). Посебно је важно пратити да ли је дошло до промене у односу (уделу) између великих и малих набавки у трећем кварталу 2013. године, с обзиром да, по старом ЗЈН, није постојала обавеза објављивања малих набавки, док је од 1. априла 2013. то постала обавеза. Другим речима, да се сагледа да ли се и како повећање транспарентности одразило на набавке мале вредности.     </w:t>
      </w:r>
    </w:p>
    <w:p w:rsidR="00ED28B4" w:rsidRPr="00412BE9" w:rsidRDefault="000B4B53" w:rsidP="00C0695D">
      <w:pPr>
        <w:rPr>
          <w:rFonts w:ascii="Times New Roman" w:hAnsi="Times New Roman" w:cs="Times New Roman"/>
          <w:b/>
          <w:sz w:val="24"/>
          <w:szCs w:val="24"/>
        </w:rPr>
      </w:pPr>
      <w:r w:rsidRPr="00412BE9">
        <w:rPr>
          <w:rFonts w:ascii="Times New Roman" w:hAnsi="Times New Roman" w:cs="Times New Roman"/>
          <w:b/>
          <w:sz w:val="24"/>
          <w:szCs w:val="24"/>
        </w:rPr>
        <w:t>Слика 1</w:t>
      </w:r>
    </w:p>
    <w:p w:rsidR="00C06C5A" w:rsidRDefault="00C46C4D" w:rsidP="00D11CF7">
      <w:pPr>
        <w:jc w:val="center"/>
        <w:rPr>
          <w:rFonts w:ascii="Times New Roman" w:hAnsi="Times New Roman" w:cs="Times New Roman"/>
          <w:sz w:val="24"/>
          <w:szCs w:val="24"/>
        </w:rPr>
      </w:pPr>
      <w:r w:rsidRPr="00881559">
        <w:object w:dxaOrig="7877" w:dyaOrig="4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3pt;height:245.9pt" o:ole="">
            <v:imagedata r:id="rId13" o:title=""/>
          </v:shape>
          <o:OLEObject Type="Embed" ProgID="Excel.Sheet.12" ShapeID="_x0000_i1025" DrawAspect="Content" ObjectID="_1453891876" r:id="rId14"/>
        </w:object>
      </w:r>
    </w:p>
    <w:p w:rsidR="00C0583A" w:rsidRDefault="00C0583A" w:rsidP="00C0583A">
      <w:pPr>
        <w:jc w:val="both"/>
        <w:rPr>
          <w:rFonts w:ascii="Times New Roman" w:hAnsi="Times New Roman" w:cs="Times New Roman"/>
          <w:sz w:val="24"/>
          <w:szCs w:val="24"/>
        </w:rPr>
      </w:pPr>
      <w:r>
        <w:rPr>
          <w:rFonts w:ascii="Times New Roman" w:hAnsi="Times New Roman" w:cs="Times New Roman"/>
          <w:sz w:val="24"/>
          <w:szCs w:val="24"/>
        </w:rPr>
        <w:t>Подаци представљени на Слици 2 показују да је учешће набавки мале вредности у укупним јавним набавкама, у трећем кварталу 2013. године, значајно смањено у односу на исти период претходне  године - са 15 на 7%.</w:t>
      </w:r>
    </w:p>
    <w:p w:rsidR="00C0583A" w:rsidRDefault="00C0583A" w:rsidP="00D11CF7">
      <w:pPr>
        <w:jc w:val="center"/>
        <w:rPr>
          <w:rFonts w:ascii="Times New Roman" w:hAnsi="Times New Roman" w:cs="Times New Roman"/>
          <w:b/>
          <w:sz w:val="24"/>
          <w:szCs w:val="24"/>
        </w:rPr>
      </w:pPr>
    </w:p>
    <w:p w:rsidR="00910B1E" w:rsidRDefault="00910B1E" w:rsidP="00B93598">
      <w:pPr>
        <w:rPr>
          <w:rFonts w:ascii="Times New Roman" w:hAnsi="Times New Roman" w:cs="Times New Roman"/>
          <w:b/>
          <w:sz w:val="24"/>
          <w:szCs w:val="24"/>
          <w:lang w:val="sr-Cyrl-RS"/>
        </w:rPr>
      </w:pPr>
    </w:p>
    <w:p w:rsidR="00C46C4D" w:rsidRDefault="00C46C4D" w:rsidP="00B93598">
      <w:pPr>
        <w:rPr>
          <w:rFonts w:ascii="Times New Roman" w:hAnsi="Times New Roman" w:cs="Times New Roman"/>
          <w:b/>
          <w:sz w:val="24"/>
          <w:szCs w:val="24"/>
          <w:lang w:val="sr-Cyrl-RS"/>
        </w:rPr>
      </w:pPr>
    </w:p>
    <w:p w:rsidR="00D15DC9" w:rsidRPr="00412BE9" w:rsidRDefault="000B4B53" w:rsidP="00B93598">
      <w:pPr>
        <w:rPr>
          <w:rFonts w:ascii="Times New Roman" w:hAnsi="Times New Roman" w:cs="Times New Roman"/>
          <w:b/>
          <w:sz w:val="24"/>
          <w:szCs w:val="24"/>
        </w:rPr>
      </w:pPr>
      <w:r w:rsidRPr="00412BE9">
        <w:rPr>
          <w:rFonts w:ascii="Times New Roman" w:hAnsi="Times New Roman" w:cs="Times New Roman"/>
          <w:b/>
          <w:sz w:val="24"/>
          <w:szCs w:val="24"/>
        </w:rPr>
        <w:t>Слика 2</w:t>
      </w:r>
    </w:p>
    <w:p w:rsidR="00C06C5A" w:rsidRDefault="00C46C4D" w:rsidP="00D11CF7">
      <w:pPr>
        <w:jc w:val="center"/>
        <w:rPr>
          <w:rFonts w:ascii="Times New Roman" w:hAnsi="Times New Roman" w:cs="Times New Roman"/>
          <w:sz w:val="24"/>
          <w:szCs w:val="24"/>
        </w:rPr>
      </w:pPr>
      <w:r w:rsidRPr="00881559">
        <w:object w:dxaOrig="7264" w:dyaOrig="4959">
          <v:shape id="_x0000_i1026" type="#_x0000_t75" style="width:385.8pt;height:248.6pt" o:ole="">
            <v:imagedata r:id="rId15" o:title=""/>
          </v:shape>
          <o:OLEObject Type="Embed" ProgID="Excel.Sheet.12" ShapeID="_x0000_i1026" DrawAspect="Content" ObjectID="_1453891877" r:id="rId16"/>
        </w:object>
      </w:r>
    </w:p>
    <w:p w:rsidR="002B1273" w:rsidRPr="009D3079" w:rsidRDefault="002B1273" w:rsidP="009D3079">
      <w:pPr>
        <w:jc w:val="both"/>
        <w:rPr>
          <w:rFonts w:ascii="Times New Roman" w:hAnsi="Times New Roman" w:cs="Times New Roman"/>
          <w:sz w:val="24"/>
          <w:szCs w:val="24"/>
          <w:lang w:val="sr-Cyrl-RS"/>
        </w:rPr>
      </w:pPr>
      <w:r>
        <w:rPr>
          <w:rFonts w:ascii="Times New Roman" w:hAnsi="Times New Roman" w:cs="Times New Roman"/>
          <w:sz w:val="24"/>
          <w:szCs w:val="24"/>
        </w:rPr>
        <w:t xml:space="preserve">У наредном кораку би требало упоредити структуру из трећег квартала 2013. године са оним из претходних година како би се елиминисао евентуални једнократни утицај у трећем кварталу  2012. године који је могао ванредно да увећа заступљеност малих набавки. </w:t>
      </w:r>
    </w:p>
    <w:p w:rsidR="00D935BD" w:rsidRPr="00412BE9" w:rsidRDefault="000B4B53" w:rsidP="00B93598">
      <w:pPr>
        <w:rPr>
          <w:rFonts w:ascii="Times New Roman" w:hAnsi="Times New Roman" w:cs="Times New Roman"/>
          <w:b/>
          <w:sz w:val="24"/>
          <w:szCs w:val="24"/>
        </w:rPr>
      </w:pPr>
      <w:r w:rsidRPr="00412BE9">
        <w:rPr>
          <w:rFonts w:ascii="Times New Roman" w:hAnsi="Times New Roman" w:cs="Times New Roman"/>
          <w:b/>
          <w:sz w:val="24"/>
          <w:szCs w:val="24"/>
        </w:rPr>
        <w:t>Слика 3</w:t>
      </w:r>
    </w:p>
    <w:p w:rsidR="00D11CF7" w:rsidRDefault="00C46C4D" w:rsidP="00D11CF7">
      <w:pPr>
        <w:jc w:val="center"/>
        <w:rPr>
          <w:rFonts w:ascii="Times New Roman" w:hAnsi="Times New Roman" w:cs="Times New Roman"/>
          <w:sz w:val="24"/>
          <w:szCs w:val="24"/>
        </w:rPr>
      </w:pPr>
      <w:r>
        <w:object w:dxaOrig="7771" w:dyaOrig="5622">
          <v:shape id="_x0000_i1027" type="#_x0000_t75" style="width:394.65pt;height:261.5pt" o:ole="">
            <v:imagedata r:id="rId17" o:title=""/>
          </v:shape>
          <o:OLEObject Type="Embed" ProgID="Excel.Sheet.12" ShapeID="_x0000_i1027" DrawAspect="Content" ObjectID="_1453891878" r:id="rId18"/>
        </w:object>
      </w:r>
    </w:p>
    <w:p w:rsidR="002B1273" w:rsidRDefault="002B1273" w:rsidP="007B4B6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На Слици 3 се види да је учешће малих набавки, током читавог десетогодишњег периода, било стабилно, све до трећег квартала 2013. године, када су регистровани ефекти примене новог закона по коме је објављивање набавки мале вредности постало обавезно. Значајан пад удела малих набавки, до кога је дошло у трећем кварталу 2013. године, може се објаснити тиме да су наручиоци, због обавезног објављивања малих набавки на Порталу, изгубили мотив да уситњавају набавке како би избегли објављивање. Смањивање релативног значаја малих набавки утицало је и на то да се просечна вредност уговора о јавној набавци повећа, као што се може видети у Табели 1. </w:t>
      </w:r>
    </w:p>
    <w:p w:rsidR="006F7F1A" w:rsidRDefault="00904A10" w:rsidP="007B4B66">
      <w:pPr>
        <w:jc w:val="both"/>
        <w:rPr>
          <w:rFonts w:ascii="Times New Roman" w:hAnsi="Times New Roman" w:cs="Times New Roman"/>
          <w:sz w:val="24"/>
          <w:szCs w:val="24"/>
        </w:rPr>
      </w:pPr>
      <w:r w:rsidRPr="006B0D56">
        <w:rPr>
          <w:rFonts w:ascii="Times New Roman" w:hAnsi="Times New Roman" w:cs="Times New Roman"/>
          <w:sz w:val="24"/>
          <w:szCs w:val="24"/>
        </w:rPr>
        <w:t xml:space="preserve">Структура јавних набавки, посматрано по категоријама наручилаца, променила се у трећем кварталу 2013. године у односу на 2012. годину (Табела </w:t>
      </w:r>
      <w:r w:rsidR="00B96B3D" w:rsidRPr="006B0D56">
        <w:rPr>
          <w:rFonts w:ascii="Times New Roman" w:hAnsi="Times New Roman" w:cs="Times New Roman"/>
          <w:sz w:val="24"/>
          <w:szCs w:val="24"/>
        </w:rPr>
        <w:t>2)</w:t>
      </w:r>
      <w:r w:rsidRPr="006B0D56">
        <w:rPr>
          <w:rFonts w:ascii="Times New Roman" w:hAnsi="Times New Roman" w:cs="Times New Roman"/>
          <w:sz w:val="24"/>
          <w:szCs w:val="24"/>
        </w:rPr>
        <w:t xml:space="preserve">. </w:t>
      </w:r>
      <w:r w:rsidR="00010632" w:rsidRPr="006B0D56">
        <w:rPr>
          <w:rFonts w:ascii="Times New Roman" w:hAnsi="Times New Roman" w:cs="Times New Roman"/>
          <w:sz w:val="24"/>
          <w:szCs w:val="24"/>
        </w:rPr>
        <w:t xml:space="preserve">Највеће промене одиграле су се код две категорије наручилаца: здравства и јавних предузећа. </w:t>
      </w:r>
      <w:r w:rsidRPr="006B0D56">
        <w:rPr>
          <w:rFonts w:ascii="Times New Roman" w:hAnsi="Times New Roman" w:cs="Times New Roman"/>
          <w:sz w:val="24"/>
          <w:szCs w:val="24"/>
        </w:rPr>
        <w:t>У</w:t>
      </w:r>
      <w:r w:rsidR="00D935BD" w:rsidRPr="006B0D56">
        <w:rPr>
          <w:rFonts w:ascii="Times New Roman" w:hAnsi="Times New Roman" w:cs="Times New Roman"/>
          <w:sz w:val="24"/>
          <w:szCs w:val="24"/>
        </w:rPr>
        <w:t>ч</w:t>
      </w:r>
      <w:r w:rsidRPr="006B0D56">
        <w:rPr>
          <w:rFonts w:ascii="Times New Roman" w:hAnsi="Times New Roman" w:cs="Times New Roman"/>
          <w:sz w:val="24"/>
          <w:szCs w:val="24"/>
        </w:rPr>
        <w:t xml:space="preserve">ешће </w:t>
      </w:r>
      <w:r w:rsidR="00010632" w:rsidRPr="006B0D56">
        <w:rPr>
          <w:rFonts w:ascii="Times New Roman" w:hAnsi="Times New Roman" w:cs="Times New Roman"/>
          <w:sz w:val="24"/>
          <w:szCs w:val="24"/>
        </w:rPr>
        <w:t>здравства у јавним набавкама повећало се са 14 на 24%, а на рачун смањења учешћа јавних предузећа са 46 на 32%. Кључни</w:t>
      </w:r>
      <w:r w:rsidR="00986835" w:rsidRPr="006B0D56">
        <w:rPr>
          <w:rFonts w:ascii="Times New Roman" w:hAnsi="Times New Roman" w:cs="Times New Roman"/>
          <w:sz w:val="24"/>
          <w:szCs w:val="24"/>
        </w:rPr>
        <w:t xml:space="preserve"> фактор зашто се </w:t>
      </w:r>
      <w:r w:rsidR="009B2CB0" w:rsidRPr="006B0D56">
        <w:rPr>
          <w:rFonts w:ascii="Times New Roman" w:hAnsi="Times New Roman" w:cs="Times New Roman"/>
          <w:sz w:val="24"/>
          <w:szCs w:val="24"/>
        </w:rPr>
        <w:t>повећала вредност закључених уговора у категорији здравства јесте што су апотеке и нек</w:t>
      </w:r>
      <w:r w:rsidR="00010632" w:rsidRPr="006B0D56">
        <w:rPr>
          <w:rFonts w:ascii="Times New Roman" w:hAnsi="Times New Roman" w:cs="Times New Roman"/>
          <w:sz w:val="24"/>
          <w:szCs w:val="24"/>
        </w:rPr>
        <w:t>е здравствене установе</w:t>
      </w:r>
      <w:r w:rsidR="007A5119">
        <w:rPr>
          <w:rFonts w:ascii="Times New Roman" w:hAnsi="Times New Roman" w:cs="Times New Roman"/>
          <w:sz w:val="24"/>
          <w:szCs w:val="24"/>
        </w:rPr>
        <w:t>,</w:t>
      </w:r>
      <w:r w:rsidR="00010632" w:rsidRPr="006B0D56">
        <w:rPr>
          <w:rFonts w:ascii="Times New Roman" w:hAnsi="Times New Roman" w:cs="Times New Roman"/>
          <w:sz w:val="24"/>
          <w:szCs w:val="24"/>
        </w:rPr>
        <w:t xml:space="preserve"> тек </w:t>
      </w:r>
      <w:r w:rsidR="006B0D56">
        <w:rPr>
          <w:rFonts w:ascii="Times New Roman" w:hAnsi="Times New Roman" w:cs="Times New Roman"/>
          <w:sz w:val="24"/>
          <w:szCs w:val="24"/>
        </w:rPr>
        <w:t>у периоду</w:t>
      </w:r>
      <w:r w:rsidR="00910B1E">
        <w:rPr>
          <w:rFonts w:ascii="Times New Roman" w:hAnsi="Times New Roman" w:cs="Times New Roman"/>
          <w:sz w:val="24"/>
          <w:szCs w:val="24"/>
          <w:lang w:val="sr-Cyrl-RS"/>
        </w:rPr>
        <w:t xml:space="preserve"> </w:t>
      </w:r>
      <w:r w:rsidR="009B2CB0" w:rsidRPr="006B0D56">
        <w:rPr>
          <w:rFonts w:ascii="Times New Roman" w:hAnsi="Times New Roman" w:cs="Times New Roman"/>
          <w:sz w:val="24"/>
          <w:szCs w:val="24"/>
        </w:rPr>
        <w:t>април</w:t>
      </w:r>
      <w:r w:rsidR="006B0D56">
        <w:rPr>
          <w:rFonts w:ascii="Times New Roman" w:hAnsi="Times New Roman" w:cs="Times New Roman"/>
          <w:sz w:val="24"/>
          <w:szCs w:val="24"/>
        </w:rPr>
        <w:t>-мај</w:t>
      </w:r>
      <w:r w:rsidR="009B2CB0" w:rsidRPr="006B0D56">
        <w:rPr>
          <w:rFonts w:ascii="Times New Roman" w:hAnsi="Times New Roman" w:cs="Times New Roman"/>
          <w:sz w:val="24"/>
          <w:szCs w:val="24"/>
        </w:rPr>
        <w:t xml:space="preserve"> 2013. </w:t>
      </w:r>
      <w:r w:rsidR="007A5119">
        <w:rPr>
          <w:rFonts w:ascii="Times New Roman" w:hAnsi="Times New Roman" w:cs="Times New Roman"/>
          <w:sz w:val="24"/>
          <w:szCs w:val="24"/>
        </w:rPr>
        <w:t>г</w:t>
      </w:r>
      <w:r w:rsidR="00010632" w:rsidRPr="006B0D56">
        <w:rPr>
          <w:rFonts w:ascii="Times New Roman" w:hAnsi="Times New Roman" w:cs="Times New Roman"/>
          <w:sz w:val="24"/>
          <w:szCs w:val="24"/>
        </w:rPr>
        <w:t>одине</w:t>
      </w:r>
      <w:r w:rsidR="007A5119">
        <w:rPr>
          <w:rFonts w:ascii="Times New Roman" w:hAnsi="Times New Roman" w:cs="Times New Roman"/>
          <w:sz w:val="24"/>
          <w:szCs w:val="24"/>
        </w:rPr>
        <w:t>,</w:t>
      </w:r>
      <w:r w:rsidR="00910B1E">
        <w:rPr>
          <w:rFonts w:ascii="Times New Roman" w:hAnsi="Times New Roman" w:cs="Times New Roman"/>
          <w:sz w:val="24"/>
          <w:szCs w:val="24"/>
          <w:lang w:val="sr-Cyrl-RS"/>
        </w:rPr>
        <w:t xml:space="preserve"> </w:t>
      </w:r>
      <w:r w:rsidR="009B2CB0" w:rsidRPr="006B0D56">
        <w:rPr>
          <w:rFonts w:ascii="Times New Roman" w:hAnsi="Times New Roman" w:cs="Times New Roman"/>
          <w:sz w:val="24"/>
          <w:szCs w:val="24"/>
        </w:rPr>
        <w:t>почеле да примењују Закон о јавним набавкама</w:t>
      </w:r>
      <w:r w:rsidR="006B0D56">
        <w:rPr>
          <w:rFonts w:ascii="Times New Roman" w:hAnsi="Times New Roman" w:cs="Times New Roman"/>
          <w:sz w:val="24"/>
          <w:szCs w:val="24"/>
        </w:rPr>
        <w:t>, тако да су уговоре закључивале од јула до септембра 2013. године.</w:t>
      </w:r>
      <w:r w:rsidR="00910B1E">
        <w:rPr>
          <w:rFonts w:ascii="Times New Roman" w:hAnsi="Times New Roman" w:cs="Times New Roman"/>
          <w:sz w:val="24"/>
          <w:szCs w:val="24"/>
          <w:lang w:val="sr-Cyrl-RS"/>
        </w:rPr>
        <w:t xml:space="preserve"> </w:t>
      </w:r>
      <w:r w:rsidR="006F7F1A">
        <w:rPr>
          <w:rFonts w:ascii="Times New Roman" w:hAnsi="Times New Roman" w:cs="Times New Roman"/>
          <w:sz w:val="24"/>
          <w:szCs w:val="24"/>
        </w:rPr>
        <w:t xml:space="preserve">Почетак примене закона од стране апотекарских установа био је важан помак, имајући у виду да ове установе нису примењивале ЗЈН током протеклих десет година, иако су биле дужне и по тада важећим </w:t>
      </w:r>
      <w:r w:rsidR="00910B1E">
        <w:rPr>
          <w:rFonts w:ascii="Times New Roman" w:hAnsi="Times New Roman" w:cs="Times New Roman"/>
          <w:sz w:val="24"/>
          <w:szCs w:val="24"/>
          <w:lang w:val="sr-Cyrl-RS"/>
        </w:rPr>
        <w:t>прописима</w:t>
      </w:r>
      <w:r w:rsidR="006F7F1A">
        <w:rPr>
          <w:rFonts w:ascii="Times New Roman" w:hAnsi="Times New Roman" w:cs="Times New Roman"/>
          <w:sz w:val="24"/>
          <w:szCs w:val="24"/>
        </w:rPr>
        <w:t xml:space="preserve">. </w:t>
      </w:r>
    </w:p>
    <w:p w:rsidR="009965E9" w:rsidRPr="00EE31A5" w:rsidRDefault="00A07ECD" w:rsidP="00904A10">
      <w:pPr>
        <w:rPr>
          <w:rFonts w:ascii="Times New Roman" w:hAnsi="Times New Roman" w:cs="Times New Roman"/>
          <w:b/>
          <w:sz w:val="24"/>
          <w:szCs w:val="24"/>
        </w:rPr>
      </w:pPr>
      <w:r w:rsidRPr="00EE31A5">
        <w:rPr>
          <w:rFonts w:ascii="Times New Roman" w:hAnsi="Times New Roman" w:cs="Times New Roman"/>
          <w:b/>
          <w:sz w:val="24"/>
          <w:szCs w:val="24"/>
        </w:rPr>
        <w:t>Табела 2</w:t>
      </w:r>
    </w:p>
    <w:tbl>
      <w:tblPr>
        <w:tblStyle w:val="TableGrid"/>
        <w:tblW w:w="0" w:type="auto"/>
        <w:jc w:val="center"/>
        <w:tblInd w:w="-837" w:type="dxa"/>
        <w:tblLook w:val="0000" w:firstRow="0" w:lastRow="0" w:firstColumn="0" w:lastColumn="0" w:noHBand="0" w:noVBand="0"/>
      </w:tblPr>
      <w:tblGrid>
        <w:gridCol w:w="2354"/>
        <w:gridCol w:w="940"/>
        <w:gridCol w:w="573"/>
        <w:gridCol w:w="1216"/>
        <w:gridCol w:w="516"/>
        <w:gridCol w:w="940"/>
        <w:gridCol w:w="724"/>
        <w:gridCol w:w="1331"/>
        <w:gridCol w:w="818"/>
      </w:tblGrid>
      <w:tr w:rsidR="00A07ECD" w:rsidRPr="00A07ECD" w:rsidTr="00910B1E">
        <w:trPr>
          <w:trHeight w:val="624"/>
          <w:jc w:val="center"/>
        </w:trPr>
        <w:tc>
          <w:tcPr>
            <w:tcW w:w="9372" w:type="dxa"/>
            <w:gridSpan w:val="9"/>
            <w:tcBorders>
              <w:top w:val="single" w:sz="18" w:space="0" w:color="auto"/>
              <w:left w:val="single" w:sz="18" w:space="0" w:color="auto"/>
              <w:right w:val="single" w:sz="18" w:space="0" w:color="auto"/>
            </w:tcBorders>
            <w:vAlign w:val="center"/>
          </w:tcPr>
          <w:p w:rsidR="007F05C7" w:rsidRDefault="00A07ECD" w:rsidP="00910B1E">
            <w:pPr>
              <w:jc w:val="center"/>
              <w:rPr>
                <w:rFonts w:ascii="Times New Roman" w:hAnsi="Times New Roman" w:cs="Times New Roman"/>
                <w:b/>
                <w:sz w:val="24"/>
                <w:szCs w:val="24"/>
                <w:lang w:val="sr-Cyrl-RS"/>
              </w:rPr>
            </w:pPr>
            <w:r w:rsidRPr="00910B1E">
              <w:rPr>
                <w:rFonts w:ascii="Times New Roman" w:hAnsi="Times New Roman" w:cs="Times New Roman"/>
                <w:b/>
                <w:sz w:val="24"/>
                <w:szCs w:val="24"/>
              </w:rPr>
              <w:t xml:space="preserve">Упоредни преглед јавних набавки по категоријама наручилаца </w:t>
            </w:r>
          </w:p>
          <w:p w:rsidR="00A07ECD" w:rsidRPr="007F05C7" w:rsidRDefault="00A07ECD" w:rsidP="007F05C7">
            <w:pPr>
              <w:jc w:val="center"/>
              <w:rPr>
                <w:rFonts w:ascii="Times New Roman" w:hAnsi="Times New Roman" w:cs="Times New Roman"/>
                <w:b/>
                <w:sz w:val="24"/>
                <w:szCs w:val="24"/>
              </w:rPr>
            </w:pPr>
            <w:r w:rsidRPr="00910B1E">
              <w:rPr>
                <w:rFonts w:ascii="Times New Roman" w:hAnsi="Times New Roman" w:cs="Times New Roman"/>
                <w:b/>
                <w:sz w:val="24"/>
                <w:szCs w:val="24"/>
              </w:rPr>
              <w:t xml:space="preserve">у 2012. </w:t>
            </w:r>
            <w:r w:rsidR="007F05C7">
              <w:rPr>
                <w:rFonts w:ascii="Times New Roman" w:hAnsi="Times New Roman" w:cs="Times New Roman"/>
                <w:b/>
                <w:sz w:val="24"/>
                <w:szCs w:val="24"/>
                <w:lang w:val="sr-Cyrl-RS"/>
              </w:rPr>
              <w:t>г</w:t>
            </w:r>
            <w:r w:rsidRPr="00910B1E">
              <w:rPr>
                <w:rFonts w:ascii="Times New Roman" w:hAnsi="Times New Roman" w:cs="Times New Roman"/>
                <w:b/>
                <w:sz w:val="24"/>
                <w:szCs w:val="24"/>
              </w:rPr>
              <w:t>одини</w:t>
            </w:r>
            <w:r w:rsidR="007F05C7">
              <w:rPr>
                <w:rFonts w:ascii="Times New Roman" w:hAnsi="Times New Roman" w:cs="Times New Roman"/>
                <w:b/>
                <w:sz w:val="24"/>
                <w:szCs w:val="24"/>
                <w:lang w:val="sr-Cyrl-RS"/>
              </w:rPr>
              <w:t xml:space="preserve"> </w:t>
            </w:r>
            <w:r w:rsidRPr="00910B1E">
              <w:rPr>
                <w:rFonts w:ascii="Times New Roman" w:hAnsi="Times New Roman" w:cs="Times New Roman"/>
                <w:b/>
                <w:sz w:val="24"/>
                <w:szCs w:val="24"/>
              </w:rPr>
              <w:t xml:space="preserve">и прва три квартала 2013. </w:t>
            </w:r>
            <w:r w:rsidR="00910B1E">
              <w:rPr>
                <w:rFonts w:ascii="Times New Roman" w:hAnsi="Times New Roman" w:cs="Times New Roman"/>
                <w:b/>
                <w:sz w:val="24"/>
                <w:szCs w:val="24"/>
                <w:lang w:val="sr-Cyrl-RS"/>
              </w:rPr>
              <w:t>г</w:t>
            </w:r>
            <w:r w:rsidRPr="00910B1E">
              <w:rPr>
                <w:rFonts w:ascii="Times New Roman" w:hAnsi="Times New Roman" w:cs="Times New Roman"/>
                <w:b/>
                <w:sz w:val="24"/>
                <w:szCs w:val="24"/>
              </w:rPr>
              <w:t>одине</w:t>
            </w:r>
          </w:p>
        </w:tc>
      </w:tr>
      <w:tr w:rsidR="00A07ECD" w:rsidRPr="00A07ECD" w:rsidTr="00A07ECD">
        <w:tblPrEx>
          <w:tblLook w:val="04A0" w:firstRow="1" w:lastRow="0" w:firstColumn="1" w:lastColumn="0" w:noHBand="0" w:noVBand="1"/>
        </w:tblPrEx>
        <w:trPr>
          <w:jc w:val="center"/>
        </w:trPr>
        <w:tc>
          <w:tcPr>
            <w:tcW w:w="2354" w:type="dxa"/>
            <w:tcBorders>
              <w:top w:val="single" w:sz="18" w:space="0" w:color="auto"/>
              <w:left w:val="single" w:sz="18" w:space="0" w:color="auto"/>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Период</w:t>
            </w:r>
          </w:p>
        </w:tc>
        <w:tc>
          <w:tcPr>
            <w:tcW w:w="3205" w:type="dxa"/>
            <w:gridSpan w:val="4"/>
            <w:tcBorders>
              <w:top w:val="single" w:sz="18" w:space="0" w:color="auto"/>
              <w:left w:val="single" w:sz="18" w:space="0" w:color="auto"/>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2012.</w:t>
            </w:r>
          </w:p>
        </w:tc>
        <w:tc>
          <w:tcPr>
            <w:tcW w:w="3813" w:type="dxa"/>
            <w:gridSpan w:val="4"/>
            <w:tcBorders>
              <w:top w:val="single" w:sz="18" w:space="0" w:color="auto"/>
              <w:left w:val="single" w:sz="18" w:space="0" w:color="auto"/>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01.01.2013-30.09.2013</w:t>
            </w:r>
          </w:p>
        </w:tc>
      </w:tr>
      <w:tr w:rsidR="00A07ECD" w:rsidRPr="00A07ECD" w:rsidTr="00A07ECD">
        <w:tblPrEx>
          <w:tblLook w:val="04A0" w:firstRow="1" w:lastRow="0" w:firstColumn="1" w:lastColumn="0" w:noHBand="0" w:noVBand="1"/>
        </w:tblPrEx>
        <w:trPr>
          <w:jc w:val="center"/>
        </w:trPr>
        <w:tc>
          <w:tcPr>
            <w:tcW w:w="2354" w:type="dxa"/>
            <w:tcBorders>
              <w:top w:val="single" w:sz="18" w:space="0" w:color="auto"/>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Категорија</w:t>
            </w:r>
          </w:p>
        </w:tc>
        <w:tc>
          <w:tcPr>
            <w:tcW w:w="940" w:type="dxa"/>
            <w:tcBorders>
              <w:top w:val="single" w:sz="18" w:space="0" w:color="auto"/>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Број</w:t>
            </w:r>
          </w:p>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Уговора</w:t>
            </w:r>
          </w:p>
        </w:tc>
        <w:tc>
          <w:tcPr>
            <w:tcW w:w="573" w:type="dxa"/>
            <w:tcBorders>
              <w:top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1206" w:type="dxa"/>
            <w:tcBorders>
              <w:top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Уговорена</w:t>
            </w:r>
          </w:p>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Вредност</w:t>
            </w:r>
          </w:p>
          <w:p w:rsidR="00A07ECD" w:rsidRPr="00A07ECD" w:rsidRDefault="007F05C7" w:rsidP="00A07ECD">
            <w:pPr>
              <w:jc w:val="center"/>
              <w:rPr>
                <w:rFonts w:ascii="Times New Roman" w:hAnsi="Times New Roman" w:cs="Times New Roman"/>
                <w:sz w:val="20"/>
                <w:szCs w:val="20"/>
              </w:rPr>
            </w:pPr>
            <w:r>
              <w:rPr>
                <w:rFonts w:ascii="Times New Roman" w:hAnsi="Times New Roman" w:cs="Times New Roman"/>
                <w:sz w:val="20"/>
                <w:szCs w:val="20"/>
                <w:lang w:val="sr-Cyrl-RS"/>
              </w:rPr>
              <w:t>б</w:t>
            </w:r>
            <w:r w:rsidR="00A07ECD" w:rsidRPr="00A07ECD">
              <w:rPr>
                <w:rFonts w:ascii="Times New Roman" w:hAnsi="Times New Roman" w:cs="Times New Roman"/>
                <w:sz w:val="20"/>
                <w:szCs w:val="20"/>
              </w:rPr>
              <w:t>ез ПДВ-а*</w:t>
            </w:r>
          </w:p>
        </w:tc>
        <w:tc>
          <w:tcPr>
            <w:tcW w:w="0" w:type="auto"/>
            <w:tcBorders>
              <w:top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940" w:type="dxa"/>
            <w:tcBorders>
              <w:top w:val="single" w:sz="18" w:space="0" w:color="auto"/>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Број</w:t>
            </w:r>
          </w:p>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Уговора</w:t>
            </w:r>
          </w:p>
        </w:tc>
        <w:tc>
          <w:tcPr>
            <w:tcW w:w="724" w:type="dxa"/>
            <w:tcBorders>
              <w:top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w:t>
            </w:r>
          </w:p>
        </w:tc>
        <w:tc>
          <w:tcPr>
            <w:tcW w:w="1331" w:type="dxa"/>
            <w:tcBorders>
              <w:top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Уговорена</w:t>
            </w:r>
          </w:p>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Вредност</w:t>
            </w:r>
          </w:p>
          <w:p w:rsidR="00A07ECD" w:rsidRPr="00A07ECD" w:rsidRDefault="007F05C7" w:rsidP="00A07ECD">
            <w:pPr>
              <w:jc w:val="center"/>
              <w:rPr>
                <w:rFonts w:ascii="Times New Roman" w:hAnsi="Times New Roman" w:cs="Times New Roman"/>
                <w:sz w:val="20"/>
                <w:szCs w:val="20"/>
              </w:rPr>
            </w:pPr>
            <w:r>
              <w:rPr>
                <w:rFonts w:ascii="Times New Roman" w:hAnsi="Times New Roman" w:cs="Times New Roman"/>
                <w:sz w:val="20"/>
                <w:szCs w:val="20"/>
                <w:lang w:val="sr-Cyrl-RS"/>
              </w:rPr>
              <w:t>б</w:t>
            </w:r>
            <w:r w:rsidR="00A07ECD" w:rsidRPr="00A07ECD">
              <w:rPr>
                <w:rFonts w:ascii="Times New Roman" w:hAnsi="Times New Roman" w:cs="Times New Roman"/>
                <w:sz w:val="20"/>
                <w:szCs w:val="20"/>
              </w:rPr>
              <w:t>ез ПДВ-а*</w:t>
            </w:r>
          </w:p>
        </w:tc>
        <w:tc>
          <w:tcPr>
            <w:tcW w:w="818" w:type="dxa"/>
            <w:tcBorders>
              <w:top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Органи државне управе</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23.483</w:t>
            </w:r>
          </w:p>
        </w:tc>
        <w:tc>
          <w:tcPr>
            <w:tcW w:w="573"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25</w:t>
            </w:r>
          </w:p>
        </w:tc>
        <w:tc>
          <w:tcPr>
            <w:tcW w:w="1206"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27.143.362</w:t>
            </w:r>
          </w:p>
        </w:tc>
        <w:tc>
          <w:tcPr>
            <w:tcW w:w="0" w:type="auto"/>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9</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13.404</w:t>
            </w:r>
          </w:p>
        </w:tc>
        <w:tc>
          <w:tcPr>
            <w:tcW w:w="724"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21</w:t>
            </w:r>
          </w:p>
        </w:tc>
        <w:tc>
          <w:tcPr>
            <w:tcW w:w="1331"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20.312.793</w:t>
            </w:r>
          </w:p>
        </w:tc>
        <w:tc>
          <w:tcPr>
            <w:tcW w:w="818" w:type="dxa"/>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10</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Правосуђе</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609</w:t>
            </w:r>
          </w:p>
        </w:tc>
        <w:tc>
          <w:tcPr>
            <w:tcW w:w="573"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w:t>
            </w:r>
          </w:p>
        </w:tc>
        <w:tc>
          <w:tcPr>
            <w:tcW w:w="1206"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606.124</w:t>
            </w:r>
          </w:p>
        </w:tc>
        <w:tc>
          <w:tcPr>
            <w:tcW w:w="0" w:type="auto"/>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0</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682</w:t>
            </w:r>
          </w:p>
        </w:tc>
        <w:tc>
          <w:tcPr>
            <w:tcW w:w="724"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w:t>
            </w:r>
          </w:p>
        </w:tc>
        <w:tc>
          <w:tcPr>
            <w:tcW w:w="1331"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498.194</w:t>
            </w:r>
          </w:p>
        </w:tc>
        <w:tc>
          <w:tcPr>
            <w:tcW w:w="818" w:type="dxa"/>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0</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Здравство и социјална заштита</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23.606</w:t>
            </w:r>
          </w:p>
        </w:tc>
        <w:tc>
          <w:tcPr>
            <w:tcW w:w="573"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25</w:t>
            </w:r>
          </w:p>
        </w:tc>
        <w:tc>
          <w:tcPr>
            <w:tcW w:w="1206"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43.772.320</w:t>
            </w:r>
          </w:p>
        </w:tc>
        <w:tc>
          <w:tcPr>
            <w:tcW w:w="0" w:type="auto"/>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14</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19.348</w:t>
            </w:r>
          </w:p>
        </w:tc>
        <w:tc>
          <w:tcPr>
            <w:tcW w:w="724"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30</w:t>
            </w:r>
          </w:p>
        </w:tc>
        <w:tc>
          <w:tcPr>
            <w:tcW w:w="1331"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49.268.295</w:t>
            </w:r>
          </w:p>
        </w:tc>
        <w:tc>
          <w:tcPr>
            <w:tcW w:w="818" w:type="dxa"/>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24</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Култура</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2.160</w:t>
            </w:r>
          </w:p>
        </w:tc>
        <w:tc>
          <w:tcPr>
            <w:tcW w:w="573"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w:t>
            </w:r>
          </w:p>
        </w:tc>
        <w:tc>
          <w:tcPr>
            <w:tcW w:w="1206"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1.740.648</w:t>
            </w:r>
          </w:p>
        </w:tc>
        <w:tc>
          <w:tcPr>
            <w:tcW w:w="0" w:type="auto"/>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1.298</w:t>
            </w:r>
          </w:p>
        </w:tc>
        <w:tc>
          <w:tcPr>
            <w:tcW w:w="724"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w:t>
            </w:r>
          </w:p>
        </w:tc>
        <w:tc>
          <w:tcPr>
            <w:tcW w:w="1331"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1.224.685</w:t>
            </w:r>
          </w:p>
        </w:tc>
        <w:tc>
          <w:tcPr>
            <w:tcW w:w="818" w:type="dxa"/>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Просвета, наука и спорт</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9.093</w:t>
            </w:r>
          </w:p>
        </w:tc>
        <w:tc>
          <w:tcPr>
            <w:tcW w:w="573"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10</w:t>
            </w:r>
          </w:p>
        </w:tc>
        <w:tc>
          <w:tcPr>
            <w:tcW w:w="1206"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10.723.733</w:t>
            </w:r>
          </w:p>
        </w:tc>
        <w:tc>
          <w:tcPr>
            <w:tcW w:w="0" w:type="auto"/>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5.504</w:t>
            </w:r>
          </w:p>
        </w:tc>
        <w:tc>
          <w:tcPr>
            <w:tcW w:w="724"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9</w:t>
            </w:r>
          </w:p>
        </w:tc>
        <w:tc>
          <w:tcPr>
            <w:tcW w:w="1331"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8.073.291</w:t>
            </w:r>
          </w:p>
        </w:tc>
        <w:tc>
          <w:tcPr>
            <w:tcW w:w="818" w:type="dxa"/>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Државна јавна предузећа</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13.427</w:t>
            </w:r>
          </w:p>
        </w:tc>
        <w:tc>
          <w:tcPr>
            <w:tcW w:w="573"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14</w:t>
            </w:r>
          </w:p>
        </w:tc>
        <w:tc>
          <w:tcPr>
            <w:tcW w:w="1206"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140.972.486</w:t>
            </w:r>
          </w:p>
        </w:tc>
        <w:tc>
          <w:tcPr>
            <w:tcW w:w="0" w:type="auto"/>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46</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8.704</w:t>
            </w:r>
          </w:p>
        </w:tc>
        <w:tc>
          <w:tcPr>
            <w:tcW w:w="724"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14</w:t>
            </w:r>
          </w:p>
        </w:tc>
        <w:tc>
          <w:tcPr>
            <w:tcW w:w="1331"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66.173.669</w:t>
            </w:r>
          </w:p>
        </w:tc>
        <w:tc>
          <w:tcPr>
            <w:tcW w:w="818" w:type="dxa"/>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32</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Јавна предузећа-локална самоуправа</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14.380</w:t>
            </w:r>
          </w:p>
        </w:tc>
        <w:tc>
          <w:tcPr>
            <w:tcW w:w="573"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16</w:t>
            </w:r>
          </w:p>
        </w:tc>
        <w:tc>
          <w:tcPr>
            <w:tcW w:w="1206"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59.948.551</w:t>
            </w:r>
          </w:p>
        </w:tc>
        <w:tc>
          <w:tcPr>
            <w:tcW w:w="0" w:type="auto"/>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20</w:t>
            </w:r>
          </w:p>
        </w:tc>
        <w:tc>
          <w:tcPr>
            <w:tcW w:w="940" w:type="dxa"/>
            <w:tcBorders>
              <w:lef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10.526</w:t>
            </w:r>
          </w:p>
        </w:tc>
        <w:tc>
          <w:tcPr>
            <w:tcW w:w="724"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17</w:t>
            </w:r>
          </w:p>
        </w:tc>
        <w:tc>
          <w:tcPr>
            <w:tcW w:w="1331" w:type="dxa"/>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46.465.679</w:t>
            </w:r>
          </w:p>
        </w:tc>
        <w:tc>
          <w:tcPr>
            <w:tcW w:w="818" w:type="dxa"/>
            <w:tcBorders>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22</w:t>
            </w:r>
          </w:p>
        </w:tc>
      </w:tr>
      <w:tr w:rsidR="00A07ECD" w:rsidRPr="00A07ECD" w:rsidTr="00A07ECD">
        <w:tblPrEx>
          <w:tblLook w:val="04A0" w:firstRow="1" w:lastRow="0" w:firstColumn="1" w:lastColumn="0" w:noHBand="0" w:noVBand="1"/>
        </w:tblPrEx>
        <w:trPr>
          <w:jc w:val="center"/>
        </w:trPr>
        <w:tc>
          <w:tcPr>
            <w:tcW w:w="2354" w:type="dxa"/>
            <w:tcBorders>
              <w:left w:val="single" w:sz="18" w:space="0" w:color="auto"/>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Градска и општинска управа</w:t>
            </w:r>
          </w:p>
        </w:tc>
        <w:tc>
          <w:tcPr>
            <w:tcW w:w="940" w:type="dxa"/>
            <w:tcBorders>
              <w:left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sz w:val="20"/>
                <w:szCs w:val="20"/>
              </w:rPr>
            </w:pPr>
            <w:r w:rsidRPr="00A07ECD">
              <w:rPr>
                <w:rFonts w:ascii="Times New Roman" w:hAnsi="Times New Roman" w:cs="Times New Roman"/>
                <w:sz w:val="20"/>
                <w:szCs w:val="20"/>
              </w:rPr>
              <w:t>5.952</w:t>
            </w:r>
          </w:p>
        </w:tc>
        <w:tc>
          <w:tcPr>
            <w:tcW w:w="573" w:type="dxa"/>
            <w:tcBorders>
              <w:bottom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6</w:t>
            </w:r>
          </w:p>
        </w:tc>
        <w:tc>
          <w:tcPr>
            <w:tcW w:w="1206" w:type="dxa"/>
            <w:tcBorders>
              <w:bottom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18.786.912</w:t>
            </w:r>
          </w:p>
        </w:tc>
        <w:tc>
          <w:tcPr>
            <w:tcW w:w="0" w:type="auto"/>
            <w:tcBorders>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6</w:t>
            </w:r>
          </w:p>
        </w:tc>
        <w:tc>
          <w:tcPr>
            <w:tcW w:w="940" w:type="dxa"/>
            <w:tcBorders>
              <w:left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4.183</w:t>
            </w:r>
          </w:p>
        </w:tc>
        <w:tc>
          <w:tcPr>
            <w:tcW w:w="724" w:type="dxa"/>
            <w:tcBorders>
              <w:bottom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7</w:t>
            </w:r>
          </w:p>
        </w:tc>
        <w:tc>
          <w:tcPr>
            <w:tcW w:w="1331" w:type="dxa"/>
            <w:tcBorders>
              <w:bottom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15.580.504</w:t>
            </w:r>
          </w:p>
        </w:tc>
        <w:tc>
          <w:tcPr>
            <w:tcW w:w="818" w:type="dxa"/>
            <w:tcBorders>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color w:val="000000"/>
                <w:sz w:val="20"/>
                <w:szCs w:val="20"/>
              </w:rPr>
            </w:pPr>
            <w:r w:rsidRPr="00A07ECD">
              <w:rPr>
                <w:rFonts w:ascii="Times New Roman" w:hAnsi="Times New Roman" w:cs="Times New Roman"/>
                <w:color w:val="000000"/>
                <w:sz w:val="20"/>
                <w:szCs w:val="20"/>
              </w:rPr>
              <w:t>8</w:t>
            </w:r>
          </w:p>
        </w:tc>
      </w:tr>
      <w:tr w:rsidR="00A07ECD" w:rsidRPr="00A07ECD" w:rsidTr="00A07ECD">
        <w:tblPrEx>
          <w:tblLook w:val="04A0" w:firstRow="1" w:lastRow="0" w:firstColumn="1" w:lastColumn="0" w:noHBand="0" w:noVBand="1"/>
        </w:tblPrEx>
        <w:trPr>
          <w:jc w:val="center"/>
        </w:trPr>
        <w:tc>
          <w:tcPr>
            <w:tcW w:w="2354" w:type="dxa"/>
            <w:tcBorders>
              <w:top w:val="single" w:sz="18" w:space="0" w:color="auto"/>
              <w:left w:val="single" w:sz="18" w:space="0" w:color="auto"/>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Укупно</w:t>
            </w:r>
          </w:p>
        </w:tc>
        <w:tc>
          <w:tcPr>
            <w:tcW w:w="940" w:type="dxa"/>
            <w:tcBorders>
              <w:top w:val="single" w:sz="18" w:space="0" w:color="auto"/>
              <w:left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b/>
                <w:sz w:val="20"/>
                <w:szCs w:val="20"/>
              </w:rPr>
            </w:pPr>
            <w:r w:rsidRPr="00A07ECD">
              <w:rPr>
                <w:rFonts w:ascii="Times New Roman" w:hAnsi="Times New Roman" w:cs="Times New Roman"/>
                <w:b/>
                <w:sz w:val="20"/>
                <w:szCs w:val="20"/>
              </w:rPr>
              <w:t>92.710</w:t>
            </w:r>
          </w:p>
        </w:tc>
        <w:tc>
          <w:tcPr>
            <w:tcW w:w="573" w:type="dxa"/>
            <w:tcBorders>
              <w:top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b/>
                <w:color w:val="000000"/>
                <w:sz w:val="20"/>
                <w:szCs w:val="20"/>
              </w:rPr>
            </w:pPr>
            <w:r w:rsidRPr="00A07ECD">
              <w:rPr>
                <w:rFonts w:ascii="Times New Roman" w:hAnsi="Times New Roman" w:cs="Times New Roman"/>
                <w:b/>
                <w:color w:val="000000"/>
                <w:sz w:val="20"/>
                <w:szCs w:val="20"/>
              </w:rPr>
              <w:t>100</w:t>
            </w:r>
          </w:p>
        </w:tc>
        <w:tc>
          <w:tcPr>
            <w:tcW w:w="1206" w:type="dxa"/>
            <w:tcBorders>
              <w:top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b/>
                <w:color w:val="000000"/>
                <w:sz w:val="20"/>
                <w:szCs w:val="20"/>
              </w:rPr>
            </w:pPr>
            <w:r w:rsidRPr="00A07ECD">
              <w:rPr>
                <w:rFonts w:ascii="Times New Roman" w:hAnsi="Times New Roman" w:cs="Times New Roman"/>
                <w:b/>
                <w:color w:val="000000"/>
                <w:sz w:val="20"/>
                <w:szCs w:val="20"/>
              </w:rPr>
              <w:t>303.694.136</w:t>
            </w:r>
          </w:p>
        </w:tc>
        <w:tc>
          <w:tcPr>
            <w:tcW w:w="0" w:type="auto"/>
            <w:tcBorders>
              <w:top w:val="single" w:sz="18" w:space="0" w:color="auto"/>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color w:val="000000"/>
                <w:sz w:val="20"/>
                <w:szCs w:val="20"/>
              </w:rPr>
            </w:pPr>
            <w:r w:rsidRPr="00A07ECD">
              <w:rPr>
                <w:rFonts w:ascii="Times New Roman" w:hAnsi="Times New Roman" w:cs="Times New Roman"/>
                <w:b/>
                <w:color w:val="000000"/>
                <w:sz w:val="20"/>
                <w:szCs w:val="20"/>
              </w:rPr>
              <w:t>100</w:t>
            </w:r>
          </w:p>
        </w:tc>
        <w:tc>
          <w:tcPr>
            <w:tcW w:w="940" w:type="dxa"/>
            <w:tcBorders>
              <w:top w:val="single" w:sz="18" w:space="0" w:color="auto"/>
              <w:left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b/>
                <w:color w:val="000000"/>
                <w:sz w:val="20"/>
                <w:szCs w:val="20"/>
              </w:rPr>
            </w:pPr>
            <w:r w:rsidRPr="00A07ECD">
              <w:rPr>
                <w:rFonts w:ascii="Times New Roman" w:hAnsi="Times New Roman" w:cs="Times New Roman"/>
                <w:b/>
                <w:color w:val="000000"/>
                <w:sz w:val="20"/>
                <w:szCs w:val="20"/>
              </w:rPr>
              <w:t>63.649</w:t>
            </w:r>
          </w:p>
        </w:tc>
        <w:tc>
          <w:tcPr>
            <w:tcW w:w="724" w:type="dxa"/>
            <w:tcBorders>
              <w:top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b/>
                <w:color w:val="000000"/>
                <w:sz w:val="20"/>
                <w:szCs w:val="20"/>
              </w:rPr>
            </w:pPr>
            <w:r w:rsidRPr="00A07ECD">
              <w:rPr>
                <w:rFonts w:ascii="Times New Roman" w:hAnsi="Times New Roman" w:cs="Times New Roman"/>
                <w:b/>
                <w:color w:val="000000"/>
                <w:sz w:val="20"/>
                <w:szCs w:val="20"/>
              </w:rPr>
              <w:t>100%</w:t>
            </w:r>
          </w:p>
        </w:tc>
        <w:tc>
          <w:tcPr>
            <w:tcW w:w="1331" w:type="dxa"/>
            <w:tcBorders>
              <w:top w:val="single" w:sz="18" w:space="0" w:color="auto"/>
              <w:bottom w:val="single" w:sz="18" w:space="0" w:color="auto"/>
            </w:tcBorders>
            <w:vAlign w:val="center"/>
          </w:tcPr>
          <w:p w:rsidR="00A07ECD" w:rsidRPr="00A07ECD" w:rsidRDefault="00A07ECD" w:rsidP="00A07ECD">
            <w:pPr>
              <w:jc w:val="center"/>
              <w:rPr>
                <w:rFonts w:ascii="Times New Roman" w:hAnsi="Times New Roman" w:cs="Times New Roman"/>
                <w:b/>
                <w:color w:val="000000"/>
                <w:sz w:val="20"/>
                <w:szCs w:val="20"/>
              </w:rPr>
            </w:pPr>
            <w:r w:rsidRPr="00A07ECD">
              <w:rPr>
                <w:rFonts w:ascii="Times New Roman" w:hAnsi="Times New Roman" w:cs="Times New Roman"/>
                <w:b/>
                <w:color w:val="000000"/>
                <w:sz w:val="20"/>
                <w:szCs w:val="20"/>
              </w:rPr>
              <w:t>207.597.110</w:t>
            </w:r>
          </w:p>
        </w:tc>
        <w:tc>
          <w:tcPr>
            <w:tcW w:w="818" w:type="dxa"/>
            <w:tcBorders>
              <w:top w:val="single" w:sz="18" w:space="0" w:color="auto"/>
              <w:bottom w:val="single" w:sz="18" w:space="0" w:color="auto"/>
              <w:right w:val="single" w:sz="18" w:space="0" w:color="auto"/>
            </w:tcBorders>
            <w:vAlign w:val="center"/>
          </w:tcPr>
          <w:p w:rsidR="00A07ECD" w:rsidRPr="00A07ECD" w:rsidRDefault="00A07ECD" w:rsidP="00A07ECD">
            <w:pPr>
              <w:jc w:val="center"/>
              <w:rPr>
                <w:rFonts w:ascii="Times New Roman" w:hAnsi="Times New Roman" w:cs="Times New Roman"/>
                <w:b/>
                <w:color w:val="000000"/>
                <w:sz w:val="20"/>
                <w:szCs w:val="20"/>
              </w:rPr>
            </w:pPr>
            <w:r w:rsidRPr="00A07ECD">
              <w:rPr>
                <w:rFonts w:ascii="Times New Roman" w:hAnsi="Times New Roman" w:cs="Times New Roman"/>
                <w:b/>
                <w:color w:val="000000"/>
                <w:sz w:val="20"/>
                <w:szCs w:val="20"/>
              </w:rPr>
              <w:t>100</w:t>
            </w:r>
          </w:p>
        </w:tc>
      </w:tr>
    </w:tbl>
    <w:p w:rsidR="00A07ECD" w:rsidRPr="00E7451F" w:rsidRDefault="00A07ECD" w:rsidP="00904A10">
      <w:pPr>
        <w:rPr>
          <w:rFonts w:ascii="Times New Roman" w:hAnsi="Times New Roman" w:cs="Times New Roman"/>
          <w:sz w:val="24"/>
          <w:szCs w:val="24"/>
        </w:rPr>
        <w:sectPr w:rsidR="00A07ECD" w:rsidRPr="00E7451F" w:rsidSect="003C3288">
          <w:pgSz w:w="12240" w:h="15840"/>
          <w:pgMar w:top="720" w:right="720" w:bottom="720" w:left="720" w:header="708" w:footer="708" w:gutter="0"/>
          <w:cols w:space="708"/>
          <w:docGrid w:linePitch="360"/>
        </w:sectPr>
      </w:pPr>
    </w:p>
    <w:p w:rsidR="007A5119" w:rsidRDefault="007A5119" w:rsidP="007B4B66">
      <w:pPr>
        <w:jc w:val="both"/>
        <w:rPr>
          <w:rFonts w:ascii="Times New Roman" w:hAnsi="Times New Roman" w:cs="Times New Roman"/>
          <w:sz w:val="24"/>
          <w:szCs w:val="24"/>
          <w:lang w:val="sr-Cyrl-RS"/>
        </w:rPr>
      </w:pPr>
      <w:r w:rsidRPr="006B0D56">
        <w:rPr>
          <w:rFonts w:ascii="Times New Roman" w:hAnsi="Times New Roman" w:cs="Times New Roman"/>
          <w:sz w:val="24"/>
          <w:szCs w:val="24"/>
        </w:rPr>
        <w:lastRenderedPageBreak/>
        <w:t xml:space="preserve">Остале категорије </w:t>
      </w:r>
      <w:r w:rsidR="00D50094">
        <w:rPr>
          <w:rFonts w:ascii="Times New Roman" w:hAnsi="Times New Roman" w:cs="Times New Roman"/>
          <w:sz w:val="24"/>
          <w:szCs w:val="24"/>
        </w:rPr>
        <w:t xml:space="preserve">наручилаца </w:t>
      </w:r>
      <w:r w:rsidRPr="006B0D56">
        <w:rPr>
          <w:rFonts w:ascii="Times New Roman" w:hAnsi="Times New Roman" w:cs="Times New Roman"/>
          <w:sz w:val="24"/>
          <w:szCs w:val="24"/>
        </w:rPr>
        <w:t xml:space="preserve">нису значајније мењале </w:t>
      </w:r>
      <w:r w:rsidR="00D50094">
        <w:rPr>
          <w:rFonts w:ascii="Times New Roman" w:hAnsi="Times New Roman" w:cs="Times New Roman"/>
          <w:sz w:val="24"/>
          <w:szCs w:val="24"/>
        </w:rPr>
        <w:t xml:space="preserve">удео. </w:t>
      </w:r>
      <w:r>
        <w:rPr>
          <w:rFonts w:ascii="Times New Roman" w:hAnsi="Times New Roman" w:cs="Times New Roman"/>
          <w:sz w:val="24"/>
          <w:szCs w:val="24"/>
        </w:rPr>
        <w:t xml:space="preserve">Сагледавање структуре јавних набавки је значајно јер указује на </w:t>
      </w:r>
      <w:r w:rsidRPr="006B0D56">
        <w:rPr>
          <w:rFonts w:ascii="Times New Roman" w:hAnsi="Times New Roman" w:cs="Times New Roman"/>
          <w:sz w:val="24"/>
          <w:szCs w:val="24"/>
        </w:rPr>
        <w:t xml:space="preserve">категорије наручилаца </w:t>
      </w:r>
      <w:r>
        <w:rPr>
          <w:rFonts w:ascii="Times New Roman" w:hAnsi="Times New Roman" w:cs="Times New Roman"/>
          <w:sz w:val="24"/>
          <w:szCs w:val="24"/>
        </w:rPr>
        <w:t xml:space="preserve">на које </w:t>
      </w:r>
      <w:r w:rsidRPr="006B0D56">
        <w:rPr>
          <w:rFonts w:ascii="Times New Roman" w:hAnsi="Times New Roman" w:cs="Times New Roman"/>
          <w:sz w:val="24"/>
          <w:szCs w:val="24"/>
        </w:rPr>
        <w:t>треба обратити нарочиту пажњу (јавна предузећа</w:t>
      </w:r>
      <w:r w:rsidR="00E77C49">
        <w:rPr>
          <w:rFonts w:ascii="Times New Roman" w:hAnsi="Times New Roman" w:cs="Times New Roman"/>
          <w:sz w:val="24"/>
          <w:szCs w:val="24"/>
        </w:rPr>
        <w:t>,</w:t>
      </w:r>
      <w:r w:rsidRPr="006B0D56">
        <w:rPr>
          <w:rFonts w:ascii="Times New Roman" w:hAnsi="Times New Roman" w:cs="Times New Roman"/>
          <w:sz w:val="24"/>
          <w:szCs w:val="24"/>
        </w:rPr>
        <w:t xml:space="preserve"> здравство</w:t>
      </w:r>
      <w:r w:rsidR="00E77C49">
        <w:rPr>
          <w:rFonts w:ascii="Times New Roman" w:hAnsi="Times New Roman" w:cs="Times New Roman"/>
          <w:sz w:val="24"/>
          <w:szCs w:val="24"/>
        </w:rPr>
        <w:t>, јавна комунална предузећа</w:t>
      </w:r>
      <w:r w:rsidRPr="006B0D56">
        <w:rPr>
          <w:rFonts w:ascii="Times New Roman" w:hAnsi="Times New Roman" w:cs="Times New Roman"/>
          <w:sz w:val="24"/>
          <w:szCs w:val="24"/>
        </w:rPr>
        <w:t xml:space="preserve">), а посебно </w:t>
      </w:r>
      <w:r>
        <w:rPr>
          <w:rFonts w:ascii="Times New Roman" w:hAnsi="Times New Roman" w:cs="Times New Roman"/>
          <w:sz w:val="24"/>
          <w:szCs w:val="24"/>
        </w:rPr>
        <w:t xml:space="preserve">на то </w:t>
      </w:r>
      <w:r w:rsidRPr="006B0D56">
        <w:rPr>
          <w:rFonts w:ascii="Times New Roman" w:hAnsi="Times New Roman" w:cs="Times New Roman"/>
          <w:sz w:val="24"/>
          <w:szCs w:val="24"/>
        </w:rPr>
        <w:t xml:space="preserve">у којим поступцима закључују уговоре о јавним набавкама. </w:t>
      </w:r>
    </w:p>
    <w:p w:rsidR="003B365F" w:rsidRPr="003B365F" w:rsidRDefault="003B365F" w:rsidP="007B4B66">
      <w:pPr>
        <w:jc w:val="both"/>
        <w:rPr>
          <w:rFonts w:ascii="Times New Roman" w:hAnsi="Times New Roman" w:cs="Times New Roman"/>
          <w:sz w:val="24"/>
          <w:szCs w:val="24"/>
          <w:lang w:val="sr-Cyrl-RS"/>
        </w:rPr>
      </w:pPr>
    </w:p>
    <w:p w:rsidR="009965E9" w:rsidRPr="00D12F10" w:rsidRDefault="009965E9" w:rsidP="00D12F10">
      <w:pPr>
        <w:pStyle w:val="ListParagraph"/>
        <w:numPr>
          <w:ilvl w:val="0"/>
          <w:numId w:val="2"/>
        </w:numPr>
        <w:rPr>
          <w:rFonts w:ascii="Times New Roman" w:hAnsi="Times New Roman" w:cs="Times New Roman"/>
          <w:b/>
          <w:sz w:val="24"/>
          <w:szCs w:val="24"/>
        </w:rPr>
      </w:pPr>
      <w:r w:rsidRPr="00D12F10">
        <w:rPr>
          <w:rFonts w:ascii="Times New Roman" w:hAnsi="Times New Roman" w:cs="Times New Roman"/>
          <w:b/>
          <w:sz w:val="24"/>
          <w:szCs w:val="24"/>
        </w:rPr>
        <w:t>НАБАВКЕ ПО ВРСТАМА ПОСТУПАКА</w:t>
      </w:r>
    </w:p>
    <w:p w:rsidR="00D50094" w:rsidRDefault="00C972BC" w:rsidP="007B4B66">
      <w:pPr>
        <w:jc w:val="both"/>
        <w:rPr>
          <w:rFonts w:ascii="Times New Roman" w:hAnsi="Times New Roman" w:cs="Times New Roman"/>
          <w:sz w:val="24"/>
          <w:szCs w:val="24"/>
        </w:rPr>
      </w:pPr>
      <w:r>
        <w:rPr>
          <w:rFonts w:ascii="Times New Roman" w:hAnsi="Times New Roman" w:cs="Times New Roman"/>
          <w:sz w:val="24"/>
          <w:szCs w:val="24"/>
        </w:rPr>
        <w:t xml:space="preserve">Један од најзначајнијих показатеља функционисања система јавних набавки јесте у којим поступцима </w:t>
      </w:r>
      <w:r w:rsidR="00D50094">
        <w:rPr>
          <w:rFonts w:ascii="Times New Roman" w:hAnsi="Times New Roman" w:cs="Times New Roman"/>
          <w:sz w:val="24"/>
          <w:szCs w:val="24"/>
        </w:rPr>
        <w:t xml:space="preserve">се </w:t>
      </w:r>
      <w:r>
        <w:rPr>
          <w:rFonts w:ascii="Times New Roman" w:hAnsi="Times New Roman" w:cs="Times New Roman"/>
          <w:sz w:val="24"/>
          <w:szCs w:val="24"/>
        </w:rPr>
        <w:t xml:space="preserve">спроводе набавке: да ли преовлађују транспарентни и конкурентни </w:t>
      </w:r>
      <w:r w:rsidR="005440C4">
        <w:rPr>
          <w:rFonts w:ascii="Times New Roman" w:hAnsi="Times New Roman" w:cs="Times New Roman"/>
          <w:sz w:val="24"/>
          <w:szCs w:val="24"/>
        </w:rPr>
        <w:t>поступци (отворени и рестриктивни) или нетранспарентни и неконкурентни (преговарачки поступак без објављивања јавног позива). ЗЈН превиђа да се ови други примењују само у изузетним случајевима прописаним законом, док су конкурентни поступци правило.</w:t>
      </w:r>
      <w:r w:rsidR="00D50094">
        <w:rPr>
          <w:rFonts w:ascii="Times New Roman" w:hAnsi="Times New Roman" w:cs="Times New Roman"/>
          <w:sz w:val="24"/>
          <w:szCs w:val="24"/>
        </w:rPr>
        <w:t xml:space="preserve"> Због тога се већа заступљеност поступка који је изузетак оцењује као неадекватна примена закона.  </w:t>
      </w:r>
    </w:p>
    <w:p w:rsidR="005440C4" w:rsidRDefault="00D50094" w:rsidP="007B4B66">
      <w:pPr>
        <w:jc w:val="both"/>
        <w:rPr>
          <w:rFonts w:ascii="Times New Roman" w:hAnsi="Times New Roman" w:cs="Times New Roman"/>
          <w:sz w:val="24"/>
          <w:szCs w:val="24"/>
        </w:rPr>
      </w:pPr>
      <w:r>
        <w:rPr>
          <w:rFonts w:ascii="Times New Roman" w:hAnsi="Times New Roman" w:cs="Times New Roman"/>
          <w:sz w:val="24"/>
          <w:szCs w:val="24"/>
        </w:rPr>
        <w:t xml:space="preserve">Системе јавних набавки </w:t>
      </w:r>
      <w:r w:rsidR="00BC5EEE">
        <w:rPr>
          <w:rFonts w:ascii="Times New Roman" w:hAnsi="Times New Roman" w:cs="Times New Roman"/>
          <w:sz w:val="24"/>
          <w:szCs w:val="24"/>
        </w:rPr>
        <w:t xml:space="preserve">који су </w:t>
      </w:r>
      <w:r>
        <w:rPr>
          <w:rFonts w:ascii="Times New Roman" w:hAnsi="Times New Roman" w:cs="Times New Roman"/>
          <w:sz w:val="24"/>
          <w:szCs w:val="24"/>
        </w:rPr>
        <w:t xml:space="preserve">на нижем нивоу развоја карактерише висок удео </w:t>
      </w:r>
      <w:r w:rsidR="005440C4">
        <w:rPr>
          <w:rFonts w:ascii="Times New Roman" w:hAnsi="Times New Roman" w:cs="Times New Roman"/>
          <w:sz w:val="24"/>
          <w:szCs w:val="24"/>
        </w:rPr>
        <w:t>преговарачк</w:t>
      </w:r>
      <w:r>
        <w:rPr>
          <w:rFonts w:ascii="Times New Roman" w:hAnsi="Times New Roman" w:cs="Times New Roman"/>
          <w:sz w:val="24"/>
          <w:szCs w:val="24"/>
        </w:rPr>
        <w:t>ог по</w:t>
      </w:r>
      <w:r w:rsidR="00BC5EEE">
        <w:rPr>
          <w:rFonts w:ascii="Times New Roman" w:hAnsi="Times New Roman" w:cs="Times New Roman"/>
          <w:sz w:val="24"/>
          <w:szCs w:val="24"/>
        </w:rPr>
        <w:t>с</w:t>
      </w:r>
      <w:r>
        <w:rPr>
          <w:rFonts w:ascii="Times New Roman" w:hAnsi="Times New Roman" w:cs="Times New Roman"/>
          <w:sz w:val="24"/>
          <w:szCs w:val="24"/>
        </w:rPr>
        <w:t>туп</w:t>
      </w:r>
      <w:r w:rsidR="00697808">
        <w:rPr>
          <w:rFonts w:ascii="Times New Roman" w:hAnsi="Times New Roman" w:cs="Times New Roman"/>
          <w:sz w:val="24"/>
          <w:szCs w:val="24"/>
          <w:lang w:val="sr-Cyrl-RS"/>
        </w:rPr>
        <w:t>а</w:t>
      </w:r>
      <w:r w:rsidR="005440C4">
        <w:rPr>
          <w:rFonts w:ascii="Times New Roman" w:hAnsi="Times New Roman" w:cs="Times New Roman"/>
          <w:sz w:val="24"/>
          <w:szCs w:val="24"/>
        </w:rPr>
        <w:t>к</w:t>
      </w:r>
      <w:r>
        <w:rPr>
          <w:rFonts w:ascii="Times New Roman" w:hAnsi="Times New Roman" w:cs="Times New Roman"/>
          <w:sz w:val="24"/>
          <w:szCs w:val="24"/>
        </w:rPr>
        <w:t>а</w:t>
      </w:r>
      <w:r w:rsidR="00697808">
        <w:rPr>
          <w:rFonts w:ascii="Times New Roman" w:hAnsi="Times New Roman" w:cs="Times New Roman"/>
          <w:sz w:val="24"/>
          <w:szCs w:val="24"/>
          <w:lang w:val="sr-Cyrl-RS"/>
        </w:rPr>
        <w:t xml:space="preserve"> </w:t>
      </w:r>
      <w:r w:rsidR="00BC5EEE">
        <w:rPr>
          <w:rFonts w:ascii="Times New Roman" w:hAnsi="Times New Roman" w:cs="Times New Roman"/>
          <w:sz w:val="24"/>
          <w:szCs w:val="24"/>
        </w:rPr>
        <w:t>зато што га</w:t>
      </w:r>
      <w:r w:rsidR="005440C4">
        <w:rPr>
          <w:rFonts w:ascii="Times New Roman" w:hAnsi="Times New Roman" w:cs="Times New Roman"/>
          <w:sz w:val="24"/>
          <w:szCs w:val="24"/>
        </w:rPr>
        <w:t xml:space="preserve"> већина наручилаца третира као прву опцију када се опредељује за поступак</w:t>
      </w:r>
      <w:r w:rsidR="00BC5EEE">
        <w:rPr>
          <w:rFonts w:ascii="Times New Roman" w:hAnsi="Times New Roman" w:cs="Times New Roman"/>
          <w:sz w:val="24"/>
          <w:szCs w:val="24"/>
        </w:rPr>
        <w:t xml:space="preserve"> јер желе да избегну</w:t>
      </w:r>
      <w:r w:rsidR="00EB3381">
        <w:rPr>
          <w:rFonts w:ascii="Times New Roman" w:hAnsi="Times New Roman" w:cs="Times New Roman"/>
          <w:sz w:val="24"/>
          <w:szCs w:val="24"/>
        </w:rPr>
        <w:t xml:space="preserve"> јавно оглашавање и конкуренцију.</w:t>
      </w:r>
      <w:r w:rsidR="005440C4">
        <w:rPr>
          <w:rFonts w:ascii="Times New Roman" w:hAnsi="Times New Roman" w:cs="Times New Roman"/>
          <w:sz w:val="24"/>
          <w:szCs w:val="24"/>
        </w:rPr>
        <w:t xml:space="preserve"> Преговарачки поступак има читав низ пот</w:t>
      </w:r>
      <w:r w:rsidR="00697808">
        <w:rPr>
          <w:rFonts w:ascii="Times New Roman" w:hAnsi="Times New Roman" w:cs="Times New Roman"/>
          <w:sz w:val="24"/>
          <w:szCs w:val="24"/>
          <w:lang w:val="sr-Cyrl-RS"/>
        </w:rPr>
        <w:t>е</w:t>
      </w:r>
      <w:r w:rsidR="005440C4">
        <w:rPr>
          <w:rFonts w:ascii="Times New Roman" w:hAnsi="Times New Roman" w:cs="Times New Roman"/>
          <w:sz w:val="24"/>
          <w:szCs w:val="24"/>
        </w:rPr>
        <w:t>нцијално негативних ефеката од којих су најзначајнији ограничена конкуренција и повећани ризик од злоупотреба</w:t>
      </w:r>
      <w:r w:rsidR="00BC5EEE">
        <w:rPr>
          <w:rFonts w:ascii="Times New Roman" w:hAnsi="Times New Roman" w:cs="Times New Roman"/>
          <w:sz w:val="24"/>
          <w:szCs w:val="24"/>
        </w:rPr>
        <w:t>, па је стога и предвиђен само за изузетне случајеве.</w:t>
      </w:r>
      <w:r w:rsidR="00697808">
        <w:rPr>
          <w:rFonts w:ascii="Times New Roman" w:hAnsi="Times New Roman" w:cs="Times New Roman"/>
          <w:sz w:val="24"/>
          <w:szCs w:val="24"/>
          <w:lang w:val="sr-Cyrl-RS"/>
        </w:rPr>
        <w:t xml:space="preserve"> </w:t>
      </w:r>
      <w:r w:rsidR="00BC5EEE">
        <w:rPr>
          <w:rFonts w:ascii="Times New Roman" w:hAnsi="Times New Roman" w:cs="Times New Roman"/>
          <w:sz w:val="24"/>
          <w:szCs w:val="24"/>
        </w:rPr>
        <w:t xml:space="preserve">Отуда </w:t>
      </w:r>
      <w:r w:rsidR="005440C4">
        <w:rPr>
          <w:rFonts w:ascii="Times New Roman" w:hAnsi="Times New Roman" w:cs="Times New Roman"/>
          <w:sz w:val="24"/>
          <w:szCs w:val="24"/>
        </w:rPr>
        <w:t xml:space="preserve">се заступљеност преговарачких поступака у земљама ЕУ креће око 5% у </w:t>
      </w:r>
      <w:r w:rsidR="00EB3381">
        <w:rPr>
          <w:rFonts w:ascii="Times New Roman" w:hAnsi="Times New Roman" w:cs="Times New Roman"/>
          <w:sz w:val="24"/>
          <w:szCs w:val="24"/>
        </w:rPr>
        <w:t xml:space="preserve">вредности јавних набавки и представља један од најзначајнијих показатеља </w:t>
      </w:r>
      <w:r w:rsidR="00181494">
        <w:rPr>
          <w:rFonts w:ascii="Times New Roman" w:hAnsi="Times New Roman" w:cs="Times New Roman"/>
          <w:sz w:val="24"/>
          <w:szCs w:val="24"/>
        </w:rPr>
        <w:t xml:space="preserve">нивоа развоја </w:t>
      </w:r>
      <w:r w:rsidR="00EB3381">
        <w:rPr>
          <w:rFonts w:ascii="Times New Roman" w:hAnsi="Times New Roman" w:cs="Times New Roman"/>
          <w:sz w:val="24"/>
          <w:szCs w:val="24"/>
        </w:rPr>
        <w:t>система</w:t>
      </w:r>
      <w:r w:rsidR="00181494">
        <w:rPr>
          <w:rFonts w:ascii="Times New Roman" w:hAnsi="Times New Roman" w:cs="Times New Roman"/>
          <w:sz w:val="24"/>
          <w:szCs w:val="24"/>
        </w:rPr>
        <w:t xml:space="preserve"> јавних набавки и степена усклађености са ЕУ стандардима. </w:t>
      </w:r>
    </w:p>
    <w:p w:rsidR="009965E9" w:rsidRDefault="005440C4" w:rsidP="007B4B66">
      <w:pPr>
        <w:jc w:val="both"/>
        <w:rPr>
          <w:rFonts w:ascii="Times New Roman" w:hAnsi="Times New Roman" w:cs="Times New Roman"/>
          <w:sz w:val="24"/>
          <w:szCs w:val="24"/>
        </w:rPr>
      </w:pPr>
      <w:r>
        <w:rPr>
          <w:rFonts w:ascii="Times New Roman" w:hAnsi="Times New Roman" w:cs="Times New Roman"/>
          <w:sz w:val="24"/>
          <w:szCs w:val="24"/>
        </w:rPr>
        <w:t xml:space="preserve">Учешће </w:t>
      </w:r>
      <w:r w:rsidR="00816103">
        <w:rPr>
          <w:rFonts w:ascii="Times New Roman" w:hAnsi="Times New Roman" w:cs="Times New Roman"/>
          <w:sz w:val="24"/>
          <w:szCs w:val="24"/>
        </w:rPr>
        <w:t>свих врста поступака у вредности јавних набавки у Србији приказано је у Т</w:t>
      </w:r>
      <w:r w:rsidR="009965E9">
        <w:rPr>
          <w:rFonts w:ascii="Times New Roman" w:hAnsi="Times New Roman" w:cs="Times New Roman"/>
          <w:sz w:val="24"/>
          <w:szCs w:val="24"/>
        </w:rPr>
        <w:t xml:space="preserve">абели </w:t>
      </w:r>
      <w:r w:rsidR="00412BE9">
        <w:rPr>
          <w:rFonts w:ascii="Times New Roman" w:hAnsi="Times New Roman" w:cs="Times New Roman"/>
          <w:sz w:val="24"/>
          <w:szCs w:val="24"/>
        </w:rPr>
        <w:t>3</w:t>
      </w:r>
      <w:r w:rsidR="00816103">
        <w:rPr>
          <w:rFonts w:ascii="Times New Roman" w:hAnsi="Times New Roman" w:cs="Times New Roman"/>
          <w:sz w:val="24"/>
          <w:szCs w:val="24"/>
        </w:rPr>
        <w:t xml:space="preserve">. </w:t>
      </w: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3B365F" w:rsidRDefault="003B365F" w:rsidP="009965E9">
      <w:pPr>
        <w:jc w:val="both"/>
        <w:rPr>
          <w:rFonts w:ascii="Times New Roman" w:hAnsi="Times New Roman" w:cs="Times New Roman"/>
          <w:b/>
          <w:sz w:val="24"/>
          <w:szCs w:val="24"/>
          <w:lang w:val="sr-Cyrl-RS"/>
        </w:rPr>
      </w:pPr>
    </w:p>
    <w:p w:rsidR="009965E9" w:rsidRPr="00EE31A5" w:rsidRDefault="00412BE9" w:rsidP="009965E9">
      <w:pPr>
        <w:jc w:val="both"/>
        <w:rPr>
          <w:rFonts w:ascii="Times New Roman" w:hAnsi="Times New Roman" w:cs="Times New Roman"/>
          <w:b/>
          <w:sz w:val="24"/>
          <w:szCs w:val="24"/>
        </w:rPr>
      </w:pPr>
      <w:r w:rsidRPr="00412BE9">
        <w:rPr>
          <w:rFonts w:ascii="Times New Roman" w:hAnsi="Times New Roman" w:cs="Times New Roman"/>
          <w:b/>
          <w:sz w:val="24"/>
          <w:szCs w:val="24"/>
        </w:rPr>
        <w:lastRenderedPageBreak/>
        <w:t>Табела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3"/>
        <w:gridCol w:w="1332"/>
        <w:gridCol w:w="709"/>
        <w:gridCol w:w="1227"/>
        <w:gridCol w:w="964"/>
        <w:gridCol w:w="1223"/>
        <w:gridCol w:w="964"/>
        <w:gridCol w:w="1220"/>
        <w:gridCol w:w="964"/>
      </w:tblGrid>
      <w:tr w:rsidR="009965E9" w:rsidRPr="009965E9" w:rsidTr="009965E9">
        <w:trPr>
          <w:trHeight w:val="441"/>
        </w:trPr>
        <w:tc>
          <w:tcPr>
            <w:tcW w:w="13280" w:type="dxa"/>
            <w:gridSpan w:val="9"/>
            <w:tcBorders>
              <w:top w:val="single" w:sz="18" w:space="0" w:color="auto"/>
              <w:left w:val="single" w:sz="18" w:space="0" w:color="auto"/>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4"/>
                <w:szCs w:val="24"/>
              </w:rPr>
            </w:pPr>
            <w:r w:rsidRPr="009965E9">
              <w:rPr>
                <w:rFonts w:ascii="Times New Roman" w:eastAsia="Times New Roman" w:hAnsi="Times New Roman" w:cs="Times New Roman"/>
                <w:b/>
                <w:color w:val="000000"/>
                <w:sz w:val="24"/>
                <w:szCs w:val="24"/>
              </w:rPr>
              <w:t>Прегледвредности јавних набавки велике вредности по врстама поступака</w:t>
            </w:r>
          </w:p>
          <w:p w:rsidR="009965E9" w:rsidRPr="009965E9" w:rsidRDefault="003B365F" w:rsidP="009965E9">
            <w:pPr>
              <w:tabs>
                <w:tab w:val="left" w:pos="1885"/>
              </w:tabs>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4"/>
                <w:szCs w:val="24"/>
                <w:lang w:val="sr-Cyrl-RS"/>
              </w:rPr>
              <w:t>у</w:t>
            </w:r>
            <w:r w:rsidR="009965E9" w:rsidRPr="009965E9">
              <w:rPr>
                <w:rFonts w:ascii="Times New Roman" w:eastAsia="Times New Roman" w:hAnsi="Times New Roman" w:cs="Times New Roman"/>
                <w:b/>
                <w:color w:val="000000"/>
                <w:sz w:val="24"/>
                <w:szCs w:val="24"/>
              </w:rPr>
              <w:t xml:space="preserve"> 2012. години и прва три квартала 2013. године *</w:t>
            </w:r>
          </w:p>
        </w:tc>
      </w:tr>
      <w:tr w:rsidR="009965E9" w:rsidRPr="009965E9" w:rsidTr="003B365F">
        <w:tc>
          <w:tcPr>
            <w:tcW w:w="2845" w:type="dxa"/>
            <w:tcBorders>
              <w:top w:val="single" w:sz="18" w:space="0" w:color="auto"/>
              <w:left w:val="single" w:sz="18" w:space="0" w:color="auto"/>
              <w:right w:val="single" w:sz="18" w:space="0" w:color="auto"/>
            </w:tcBorders>
            <w:shd w:val="clear" w:color="auto" w:fill="auto"/>
            <w:vAlign w:val="center"/>
          </w:tcPr>
          <w:p w:rsidR="009965E9" w:rsidRPr="009965E9" w:rsidRDefault="009965E9" w:rsidP="003B365F">
            <w:pPr>
              <w:tabs>
                <w:tab w:val="left" w:pos="1885"/>
              </w:tabs>
              <w:spacing w:after="0" w:line="240" w:lineRule="auto"/>
              <w:jc w:val="center"/>
              <w:rPr>
                <w:rFonts w:ascii="Times New Roman" w:eastAsia="Times New Roman" w:hAnsi="Times New Roman" w:cs="Times New Roman"/>
                <w:b/>
                <w:color w:val="000000"/>
                <w:sz w:val="20"/>
                <w:szCs w:val="20"/>
              </w:rPr>
            </w:pPr>
          </w:p>
          <w:p w:rsidR="009965E9" w:rsidRPr="009965E9" w:rsidRDefault="009965E9" w:rsidP="003B365F">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Период</w:t>
            </w:r>
          </w:p>
        </w:tc>
        <w:tc>
          <w:tcPr>
            <w:tcW w:w="1370" w:type="dxa"/>
            <w:tcBorders>
              <w:top w:val="single" w:sz="18" w:space="0" w:color="auto"/>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2012.</w:t>
            </w:r>
          </w:p>
        </w:tc>
        <w:tc>
          <w:tcPr>
            <w:tcW w:w="816" w:type="dxa"/>
            <w:tcBorders>
              <w:top w:val="single" w:sz="18" w:space="0" w:color="auto"/>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2012.</w:t>
            </w:r>
          </w:p>
        </w:tc>
        <w:tc>
          <w:tcPr>
            <w:tcW w:w="1830" w:type="dxa"/>
            <w:tcBorders>
              <w:top w:val="single" w:sz="18" w:space="0" w:color="auto"/>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2013.</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први</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квартал</w:t>
            </w:r>
          </w:p>
        </w:tc>
        <w:tc>
          <w:tcPr>
            <w:tcW w:w="1230" w:type="dxa"/>
            <w:tcBorders>
              <w:top w:val="single" w:sz="18" w:space="0" w:color="auto"/>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2013.</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први</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квартал</w:t>
            </w:r>
          </w:p>
        </w:tc>
        <w:tc>
          <w:tcPr>
            <w:tcW w:w="1499" w:type="dxa"/>
            <w:tcBorders>
              <w:top w:val="single" w:sz="18" w:space="0" w:color="auto"/>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2013.</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други</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квартал</w:t>
            </w:r>
          </w:p>
        </w:tc>
        <w:tc>
          <w:tcPr>
            <w:tcW w:w="1230" w:type="dxa"/>
            <w:tcBorders>
              <w:top w:val="single" w:sz="18" w:space="0" w:color="auto"/>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2013.</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други</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квартал</w:t>
            </w:r>
          </w:p>
        </w:tc>
        <w:tc>
          <w:tcPr>
            <w:tcW w:w="1230" w:type="dxa"/>
            <w:tcBorders>
              <w:top w:val="single" w:sz="18" w:space="0" w:color="auto"/>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2013.</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трећи</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квартал</w:t>
            </w:r>
          </w:p>
        </w:tc>
        <w:tc>
          <w:tcPr>
            <w:tcW w:w="1230" w:type="dxa"/>
            <w:tcBorders>
              <w:top w:val="single" w:sz="18" w:space="0" w:color="auto"/>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2013.</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трећи</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квартал</w:t>
            </w:r>
          </w:p>
        </w:tc>
      </w:tr>
      <w:tr w:rsidR="009965E9" w:rsidRPr="009965E9" w:rsidTr="009965E9">
        <w:tc>
          <w:tcPr>
            <w:tcW w:w="2845" w:type="dxa"/>
            <w:tcBorders>
              <w:left w:val="single" w:sz="18" w:space="0" w:color="auto"/>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Врста поступка</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p>
        </w:tc>
        <w:tc>
          <w:tcPr>
            <w:tcW w:w="1370" w:type="dxa"/>
            <w:tcBorders>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Уговорена</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вредност у хиљадама динара</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p>
        </w:tc>
        <w:tc>
          <w:tcPr>
            <w:tcW w:w="816" w:type="dxa"/>
            <w:tcBorders>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w:t>
            </w:r>
          </w:p>
        </w:tc>
        <w:tc>
          <w:tcPr>
            <w:tcW w:w="1830" w:type="dxa"/>
            <w:tcBorders>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Уговорена</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вредност у хиљадама</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динара</w:t>
            </w:r>
          </w:p>
        </w:tc>
        <w:tc>
          <w:tcPr>
            <w:tcW w:w="1230" w:type="dxa"/>
            <w:tcBorders>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w:t>
            </w:r>
          </w:p>
        </w:tc>
        <w:tc>
          <w:tcPr>
            <w:tcW w:w="1499" w:type="dxa"/>
            <w:tcBorders>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Уговорена</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вредност у хиљадама динара</w:t>
            </w:r>
          </w:p>
        </w:tc>
        <w:tc>
          <w:tcPr>
            <w:tcW w:w="1230" w:type="dxa"/>
            <w:tcBorders>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w:t>
            </w:r>
          </w:p>
        </w:tc>
        <w:tc>
          <w:tcPr>
            <w:tcW w:w="1230" w:type="dxa"/>
            <w:tcBorders>
              <w:lef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Уговорена</w:t>
            </w:r>
          </w:p>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вредност у хиљадама динара</w:t>
            </w:r>
          </w:p>
        </w:tc>
        <w:tc>
          <w:tcPr>
            <w:tcW w:w="1230" w:type="dxa"/>
            <w:tcBorders>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w:t>
            </w:r>
          </w:p>
        </w:tc>
      </w:tr>
      <w:tr w:rsidR="009965E9" w:rsidRPr="009965E9" w:rsidTr="009965E9">
        <w:tc>
          <w:tcPr>
            <w:tcW w:w="2845" w:type="dxa"/>
            <w:tcBorders>
              <w:left w:val="single" w:sz="18" w:space="0" w:color="auto"/>
              <w:right w:val="single" w:sz="18" w:space="0" w:color="auto"/>
            </w:tcBorders>
            <w:shd w:val="clear" w:color="auto" w:fill="auto"/>
            <w:vAlign w:val="center"/>
          </w:tcPr>
          <w:p w:rsidR="009965E9" w:rsidRPr="009965E9" w:rsidRDefault="009965E9" w:rsidP="009965E9">
            <w:pPr>
              <w:tabs>
                <w:tab w:val="left" w:pos="3622"/>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Отворени поступак</w:t>
            </w:r>
          </w:p>
          <w:p w:rsidR="009965E9" w:rsidRPr="009965E9" w:rsidRDefault="009965E9" w:rsidP="009965E9">
            <w:pPr>
              <w:tabs>
                <w:tab w:val="left" w:pos="3622"/>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(зјн2008 + зјн2012)</w:t>
            </w:r>
          </w:p>
        </w:tc>
        <w:tc>
          <w:tcPr>
            <w:tcW w:w="137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149.633.612</w:t>
            </w:r>
          </w:p>
        </w:tc>
        <w:tc>
          <w:tcPr>
            <w:tcW w:w="816"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57%</w:t>
            </w:r>
          </w:p>
        </w:tc>
        <w:tc>
          <w:tcPr>
            <w:tcW w:w="18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31.176.847</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64%</w:t>
            </w:r>
          </w:p>
        </w:tc>
        <w:tc>
          <w:tcPr>
            <w:tcW w:w="1499"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29.878.981</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45%</w:t>
            </w:r>
          </w:p>
        </w:tc>
        <w:tc>
          <w:tcPr>
            <w:tcW w:w="12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50.733.931</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79%</w:t>
            </w:r>
          </w:p>
        </w:tc>
      </w:tr>
      <w:tr w:rsidR="009965E9" w:rsidRPr="009965E9" w:rsidTr="009965E9">
        <w:tc>
          <w:tcPr>
            <w:tcW w:w="2845" w:type="dxa"/>
            <w:tcBorders>
              <w:left w:val="single" w:sz="18" w:space="0" w:color="auto"/>
              <w:right w:val="single" w:sz="18" w:space="0" w:color="auto"/>
            </w:tcBorders>
            <w:shd w:val="clear" w:color="auto" w:fill="auto"/>
            <w:vAlign w:val="center"/>
          </w:tcPr>
          <w:p w:rsidR="009965E9" w:rsidRPr="009965E9" w:rsidRDefault="009965E9" w:rsidP="009965E9">
            <w:pPr>
              <w:tabs>
                <w:tab w:val="left" w:pos="3622"/>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Рестриктивни поступак-зјн2008, квалификациони поступак-зјн2012</w:t>
            </w:r>
          </w:p>
        </w:tc>
        <w:tc>
          <w:tcPr>
            <w:tcW w:w="137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24.867.536</w:t>
            </w:r>
          </w:p>
        </w:tc>
        <w:tc>
          <w:tcPr>
            <w:tcW w:w="816"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9%</w:t>
            </w:r>
          </w:p>
        </w:tc>
        <w:tc>
          <w:tcPr>
            <w:tcW w:w="18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2.418.279</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5%</w:t>
            </w:r>
          </w:p>
        </w:tc>
        <w:tc>
          <w:tcPr>
            <w:tcW w:w="1499"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12.980.837</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20%</w:t>
            </w:r>
          </w:p>
        </w:tc>
        <w:tc>
          <w:tcPr>
            <w:tcW w:w="12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4.350.608</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7%</w:t>
            </w:r>
          </w:p>
        </w:tc>
      </w:tr>
      <w:tr w:rsidR="009965E9" w:rsidRPr="009965E9" w:rsidTr="009965E9">
        <w:tc>
          <w:tcPr>
            <w:tcW w:w="2845" w:type="dxa"/>
            <w:tcBorders>
              <w:left w:val="single" w:sz="18" w:space="0" w:color="auto"/>
              <w:right w:val="single" w:sz="18" w:space="0" w:color="auto"/>
            </w:tcBorders>
            <w:shd w:val="clear" w:color="auto" w:fill="auto"/>
            <w:vAlign w:val="center"/>
          </w:tcPr>
          <w:p w:rsidR="009965E9" w:rsidRPr="009965E9" w:rsidRDefault="009965E9" w:rsidP="009965E9">
            <w:pPr>
              <w:tabs>
                <w:tab w:val="left" w:pos="3622"/>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Рестриктивни поступак-зјн2012</w:t>
            </w:r>
          </w:p>
        </w:tc>
        <w:tc>
          <w:tcPr>
            <w:tcW w:w="137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c>
          <w:tcPr>
            <w:tcW w:w="816"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c>
          <w:tcPr>
            <w:tcW w:w="18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c>
          <w:tcPr>
            <w:tcW w:w="1499"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458.701</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w:t>
            </w:r>
          </w:p>
        </w:tc>
        <w:tc>
          <w:tcPr>
            <w:tcW w:w="12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314.121</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r>
      <w:tr w:rsidR="009965E9" w:rsidRPr="009965E9" w:rsidTr="009965E9">
        <w:tc>
          <w:tcPr>
            <w:tcW w:w="2845" w:type="dxa"/>
            <w:tcBorders>
              <w:left w:val="single" w:sz="18" w:space="0" w:color="auto"/>
              <w:right w:val="single" w:sz="18" w:space="0" w:color="auto"/>
            </w:tcBorders>
            <w:shd w:val="clear" w:color="auto" w:fill="auto"/>
            <w:vAlign w:val="center"/>
          </w:tcPr>
          <w:p w:rsidR="009965E9" w:rsidRPr="009965E9" w:rsidRDefault="009965E9" w:rsidP="009965E9">
            <w:pPr>
              <w:tabs>
                <w:tab w:val="left" w:pos="3622"/>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Преговарачки поступак без објављивања јавног позива(зјн2008+зјн2012)</w:t>
            </w:r>
          </w:p>
        </w:tc>
        <w:tc>
          <w:tcPr>
            <w:tcW w:w="137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73.131.350</w:t>
            </w:r>
          </w:p>
        </w:tc>
        <w:tc>
          <w:tcPr>
            <w:tcW w:w="816"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28%</w:t>
            </w:r>
          </w:p>
        </w:tc>
        <w:tc>
          <w:tcPr>
            <w:tcW w:w="18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8.412.664</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17%</w:t>
            </w:r>
          </w:p>
        </w:tc>
        <w:tc>
          <w:tcPr>
            <w:tcW w:w="1499"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18.392.340</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28%</w:t>
            </w:r>
          </w:p>
        </w:tc>
        <w:tc>
          <w:tcPr>
            <w:tcW w:w="12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6.580.345</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10%</w:t>
            </w:r>
          </w:p>
        </w:tc>
      </w:tr>
      <w:tr w:rsidR="009965E9" w:rsidRPr="009965E9" w:rsidTr="009965E9">
        <w:tc>
          <w:tcPr>
            <w:tcW w:w="2845" w:type="dxa"/>
            <w:tcBorders>
              <w:left w:val="single" w:sz="18" w:space="0" w:color="auto"/>
              <w:right w:val="single" w:sz="18" w:space="0" w:color="auto"/>
            </w:tcBorders>
            <w:shd w:val="clear" w:color="auto" w:fill="auto"/>
            <w:vAlign w:val="center"/>
          </w:tcPr>
          <w:p w:rsidR="009965E9" w:rsidRPr="009965E9" w:rsidRDefault="009965E9" w:rsidP="009965E9">
            <w:pPr>
              <w:tabs>
                <w:tab w:val="left" w:pos="3622"/>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Преговарачки поступак са објављивањем јавног позива (зјн2008+зјн2012)</w:t>
            </w:r>
          </w:p>
        </w:tc>
        <w:tc>
          <w:tcPr>
            <w:tcW w:w="137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15.600.374</w:t>
            </w:r>
          </w:p>
        </w:tc>
        <w:tc>
          <w:tcPr>
            <w:tcW w:w="816"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6%</w:t>
            </w:r>
          </w:p>
        </w:tc>
        <w:tc>
          <w:tcPr>
            <w:tcW w:w="18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6.345.510</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13%</w:t>
            </w:r>
          </w:p>
        </w:tc>
        <w:tc>
          <w:tcPr>
            <w:tcW w:w="1499"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3.517.391</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5%</w:t>
            </w:r>
          </w:p>
        </w:tc>
        <w:tc>
          <w:tcPr>
            <w:tcW w:w="12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2.558.596</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4%</w:t>
            </w:r>
          </w:p>
        </w:tc>
      </w:tr>
      <w:tr w:rsidR="009965E9" w:rsidRPr="009965E9" w:rsidTr="009965E9">
        <w:tc>
          <w:tcPr>
            <w:tcW w:w="2845" w:type="dxa"/>
            <w:tcBorders>
              <w:left w:val="single" w:sz="18" w:space="0" w:color="auto"/>
              <w:right w:val="single" w:sz="18" w:space="0" w:color="auto"/>
            </w:tcBorders>
            <w:shd w:val="clear" w:color="auto" w:fill="auto"/>
            <w:vAlign w:val="center"/>
          </w:tcPr>
          <w:p w:rsidR="009965E9" w:rsidRPr="009965E9" w:rsidRDefault="009965E9" w:rsidP="009965E9">
            <w:pPr>
              <w:tabs>
                <w:tab w:val="left" w:pos="3622"/>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Конкурс за дизајн (зјн2008+зјн2012)</w:t>
            </w:r>
          </w:p>
        </w:tc>
        <w:tc>
          <w:tcPr>
            <w:tcW w:w="137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5.218</w:t>
            </w:r>
          </w:p>
        </w:tc>
        <w:tc>
          <w:tcPr>
            <w:tcW w:w="816"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c>
          <w:tcPr>
            <w:tcW w:w="18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c>
          <w:tcPr>
            <w:tcW w:w="1499"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6.999</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c>
          <w:tcPr>
            <w:tcW w:w="1230" w:type="dxa"/>
            <w:tcBorders>
              <w:lef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w:t>
            </w:r>
          </w:p>
        </w:tc>
        <w:tc>
          <w:tcPr>
            <w:tcW w:w="1230" w:type="dxa"/>
            <w:tcBorders>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0%</w:t>
            </w:r>
          </w:p>
        </w:tc>
      </w:tr>
      <w:tr w:rsidR="009965E9" w:rsidRPr="009965E9" w:rsidTr="009965E9">
        <w:tc>
          <w:tcPr>
            <w:tcW w:w="2845" w:type="dxa"/>
            <w:tcBorders>
              <w:left w:val="single" w:sz="18" w:space="0" w:color="auto"/>
              <w:bottom w:val="single" w:sz="18" w:space="0" w:color="auto"/>
              <w:right w:val="single" w:sz="18" w:space="0" w:color="auto"/>
            </w:tcBorders>
            <w:shd w:val="clear" w:color="auto" w:fill="auto"/>
            <w:vAlign w:val="center"/>
          </w:tcPr>
          <w:p w:rsidR="009965E9" w:rsidRPr="009965E9" w:rsidRDefault="009965E9" w:rsidP="009965E9">
            <w:pPr>
              <w:tabs>
                <w:tab w:val="left" w:pos="1885"/>
              </w:tabs>
              <w:spacing w:after="0" w:line="240" w:lineRule="auto"/>
              <w:jc w:val="center"/>
              <w:rPr>
                <w:rFonts w:ascii="Times New Roman" w:eastAsia="Times New Roman" w:hAnsi="Times New Roman" w:cs="Times New Roman"/>
                <w:b/>
                <w:color w:val="000000"/>
                <w:sz w:val="20"/>
                <w:szCs w:val="20"/>
              </w:rPr>
            </w:pPr>
            <w:r w:rsidRPr="009965E9">
              <w:rPr>
                <w:rFonts w:ascii="Times New Roman" w:eastAsia="Times New Roman" w:hAnsi="Times New Roman" w:cs="Times New Roman"/>
                <w:b/>
                <w:color w:val="000000"/>
                <w:sz w:val="20"/>
                <w:szCs w:val="20"/>
              </w:rPr>
              <w:t>Укупно</w:t>
            </w:r>
          </w:p>
        </w:tc>
        <w:tc>
          <w:tcPr>
            <w:tcW w:w="1370" w:type="dxa"/>
            <w:tcBorders>
              <w:left w:val="single" w:sz="18" w:space="0" w:color="auto"/>
              <w:bottom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263.296.071</w:t>
            </w:r>
          </w:p>
        </w:tc>
        <w:tc>
          <w:tcPr>
            <w:tcW w:w="816" w:type="dxa"/>
            <w:tcBorders>
              <w:bottom w:val="single" w:sz="18" w:space="0" w:color="auto"/>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100%</w:t>
            </w:r>
          </w:p>
        </w:tc>
        <w:tc>
          <w:tcPr>
            <w:tcW w:w="1830" w:type="dxa"/>
            <w:tcBorders>
              <w:left w:val="single" w:sz="18" w:space="0" w:color="auto"/>
              <w:bottom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48.354.495</w:t>
            </w:r>
          </w:p>
        </w:tc>
        <w:tc>
          <w:tcPr>
            <w:tcW w:w="1230" w:type="dxa"/>
            <w:tcBorders>
              <w:bottom w:val="single" w:sz="18" w:space="0" w:color="auto"/>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100%</w:t>
            </w:r>
          </w:p>
        </w:tc>
        <w:tc>
          <w:tcPr>
            <w:tcW w:w="1499" w:type="dxa"/>
            <w:tcBorders>
              <w:left w:val="single" w:sz="18" w:space="0" w:color="auto"/>
              <w:bottom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65.235.249</w:t>
            </w:r>
          </w:p>
        </w:tc>
        <w:tc>
          <w:tcPr>
            <w:tcW w:w="1230" w:type="dxa"/>
            <w:tcBorders>
              <w:bottom w:val="single" w:sz="18" w:space="0" w:color="auto"/>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100%</w:t>
            </w:r>
          </w:p>
        </w:tc>
        <w:tc>
          <w:tcPr>
            <w:tcW w:w="1230" w:type="dxa"/>
            <w:tcBorders>
              <w:left w:val="single" w:sz="18" w:space="0" w:color="auto"/>
              <w:bottom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64.537.601</w:t>
            </w:r>
          </w:p>
        </w:tc>
        <w:tc>
          <w:tcPr>
            <w:tcW w:w="1230" w:type="dxa"/>
            <w:tcBorders>
              <w:bottom w:val="single" w:sz="18" w:space="0" w:color="auto"/>
              <w:right w:val="single" w:sz="18" w:space="0" w:color="auto"/>
            </w:tcBorders>
            <w:shd w:val="clear" w:color="auto" w:fill="auto"/>
            <w:vAlign w:val="center"/>
          </w:tcPr>
          <w:p w:rsidR="009965E9" w:rsidRPr="009965E9" w:rsidRDefault="009965E9" w:rsidP="009965E9">
            <w:pPr>
              <w:spacing w:after="0" w:line="240" w:lineRule="auto"/>
              <w:jc w:val="center"/>
              <w:rPr>
                <w:rFonts w:ascii="Calibri" w:eastAsia="Times New Roman" w:hAnsi="Calibri" w:cs="Calibri"/>
                <w:color w:val="000000"/>
              </w:rPr>
            </w:pPr>
            <w:r w:rsidRPr="009965E9">
              <w:rPr>
                <w:rFonts w:ascii="Calibri" w:eastAsia="Times New Roman" w:hAnsi="Calibri" w:cs="Calibri"/>
                <w:color w:val="000000"/>
              </w:rPr>
              <w:t>100%</w:t>
            </w:r>
          </w:p>
        </w:tc>
      </w:tr>
    </w:tbl>
    <w:p w:rsidR="00EE31A5" w:rsidRDefault="00EE31A5" w:rsidP="007B4B66">
      <w:pPr>
        <w:jc w:val="both"/>
        <w:rPr>
          <w:rFonts w:ascii="Times New Roman" w:hAnsi="Times New Roman" w:cs="Times New Roman"/>
          <w:sz w:val="24"/>
          <w:szCs w:val="24"/>
        </w:rPr>
      </w:pPr>
      <w:r>
        <w:rPr>
          <w:rFonts w:ascii="Times New Roman" w:hAnsi="Times New Roman" w:cs="Times New Roman"/>
          <w:sz w:val="24"/>
          <w:szCs w:val="24"/>
        </w:rPr>
        <w:br/>
      </w:r>
      <w:r w:rsidR="00A330BA" w:rsidRPr="00A330BA">
        <w:rPr>
          <w:rFonts w:ascii="Times New Roman" w:hAnsi="Times New Roman" w:cs="Times New Roman"/>
          <w:sz w:val="24"/>
          <w:szCs w:val="24"/>
        </w:rPr>
        <w:t xml:space="preserve">Подаци из табеле </w:t>
      </w:r>
      <w:r w:rsidR="00412BE9">
        <w:rPr>
          <w:rFonts w:ascii="Times New Roman" w:hAnsi="Times New Roman" w:cs="Times New Roman"/>
          <w:sz w:val="24"/>
          <w:szCs w:val="24"/>
        </w:rPr>
        <w:t>3</w:t>
      </w:r>
      <w:r w:rsidR="00A330BA" w:rsidRPr="00A330BA">
        <w:rPr>
          <w:rFonts w:ascii="Times New Roman" w:hAnsi="Times New Roman" w:cs="Times New Roman"/>
          <w:sz w:val="24"/>
          <w:szCs w:val="24"/>
        </w:rPr>
        <w:t xml:space="preserve"> показују да је учешће отвореног поступка у укупној вредности јавних набавки, у трећем кварталу 2013. године, достигло 79%</w:t>
      </w:r>
      <w:r w:rsidR="00BC5EEE">
        <w:rPr>
          <w:rFonts w:ascii="Times New Roman" w:hAnsi="Times New Roman" w:cs="Times New Roman"/>
          <w:sz w:val="24"/>
          <w:szCs w:val="24"/>
        </w:rPr>
        <w:t xml:space="preserve">. То је </w:t>
      </w:r>
      <w:r w:rsidR="00A330BA" w:rsidRPr="00A330BA">
        <w:rPr>
          <w:rFonts w:ascii="Times New Roman" w:hAnsi="Times New Roman" w:cs="Times New Roman"/>
          <w:sz w:val="24"/>
          <w:szCs w:val="24"/>
        </w:rPr>
        <w:t xml:space="preserve">највеће учешће у читавом десетогодишњем периоду од када се примењује </w:t>
      </w:r>
      <w:r w:rsidR="003B365F">
        <w:rPr>
          <w:rFonts w:ascii="Times New Roman" w:hAnsi="Times New Roman" w:cs="Times New Roman"/>
          <w:sz w:val="24"/>
          <w:szCs w:val="24"/>
          <w:lang w:val="sr-Cyrl-RS"/>
        </w:rPr>
        <w:t>За</w:t>
      </w:r>
      <w:r w:rsidR="00A330BA" w:rsidRPr="00A330BA">
        <w:rPr>
          <w:rFonts w:ascii="Times New Roman" w:hAnsi="Times New Roman" w:cs="Times New Roman"/>
          <w:sz w:val="24"/>
          <w:szCs w:val="24"/>
        </w:rPr>
        <w:t>к</w:t>
      </w:r>
      <w:r w:rsidR="00412BE9">
        <w:rPr>
          <w:rFonts w:ascii="Times New Roman" w:hAnsi="Times New Roman" w:cs="Times New Roman"/>
          <w:sz w:val="24"/>
          <w:szCs w:val="24"/>
        </w:rPr>
        <w:t>он о јавним набавкама (Слика 4</w:t>
      </w:r>
      <w:r w:rsidR="00A330BA" w:rsidRPr="00A330BA">
        <w:rPr>
          <w:rFonts w:ascii="Times New Roman" w:hAnsi="Times New Roman" w:cs="Times New Roman"/>
          <w:sz w:val="24"/>
          <w:szCs w:val="24"/>
        </w:rPr>
        <w:t>).</w:t>
      </w: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C46C4D" w:rsidP="00C46C4D">
      <w:pPr>
        <w:jc w:val="center"/>
        <w:rPr>
          <w:rFonts w:ascii="Times New Roman" w:hAnsi="Times New Roman" w:cs="Times New Roman"/>
          <w:b/>
          <w:sz w:val="24"/>
          <w:szCs w:val="24"/>
          <w:lang w:val="sr-Cyrl-RS"/>
        </w:rPr>
      </w:pPr>
    </w:p>
    <w:p w:rsidR="00C46C4D" w:rsidRDefault="00412BE9" w:rsidP="00C46C4D">
      <w:pPr>
        <w:rPr>
          <w:rFonts w:ascii="Times New Roman" w:hAnsi="Times New Roman" w:cs="Times New Roman"/>
          <w:b/>
          <w:sz w:val="24"/>
          <w:szCs w:val="24"/>
          <w:lang w:val="sr-Cyrl-RS"/>
        </w:rPr>
      </w:pPr>
      <w:r w:rsidRPr="00412BE9">
        <w:rPr>
          <w:rFonts w:ascii="Times New Roman" w:hAnsi="Times New Roman" w:cs="Times New Roman"/>
          <w:b/>
          <w:sz w:val="24"/>
          <w:szCs w:val="24"/>
        </w:rPr>
        <w:lastRenderedPageBreak/>
        <w:t>Слика  4</w:t>
      </w:r>
    </w:p>
    <w:p w:rsidR="00A330BA" w:rsidRPr="00C46C4D" w:rsidRDefault="00EE31A5" w:rsidP="00C46C4D">
      <w:pPr>
        <w:jc w:val="center"/>
        <w:rPr>
          <w:rFonts w:ascii="Times New Roman" w:hAnsi="Times New Roman" w:cs="Times New Roman"/>
          <w:b/>
          <w:sz w:val="24"/>
          <w:szCs w:val="24"/>
          <w:lang w:val="sr-Cyrl-RS"/>
        </w:rPr>
      </w:pPr>
      <w:r>
        <w:rPr>
          <w:rFonts w:ascii="Times New Roman" w:hAnsi="Times New Roman" w:cs="Times New Roman"/>
          <w:b/>
          <w:sz w:val="24"/>
          <w:szCs w:val="24"/>
        </w:rPr>
        <w:br/>
      </w:r>
      <w:r w:rsidR="003B365F">
        <w:object w:dxaOrig="10215" w:dyaOrig="5022">
          <v:shape id="_x0000_i1028" type="#_x0000_t75" style="width:477.5pt;height:234.35pt" o:ole="">
            <v:imagedata r:id="rId19" o:title=""/>
          </v:shape>
          <o:OLEObject Type="Embed" ProgID="Excel.Sheet.12" ShapeID="_x0000_i1028" DrawAspect="Content" ObjectID="_1453891879" r:id="rId20"/>
        </w:object>
      </w:r>
    </w:p>
    <w:p w:rsidR="00482BC8" w:rsidRDefault="00482BC8" w:rsidP="007B4B66">
      <w:pPr>
        <w:jc w:val="both"/>
        <w:rPr>
          <w:rFonts w:ascii="Times New Roman" w:hAnsi="Times New Roman" w:cs="Times New Roman"/>
          <w:sz w:val="24"/>
          <w:szCs w:val="24"/>
        </w:rPr>
      </w:pPr>
      <w:r>
        <w:rPr>
          <w:rFonts w:ascii="Times New Roman" w:hAnsi="Times New Roman" w:cs="Times New Roman"/>
          <w:sz w:val="24"/>
          <w:szCs w:val="24"/>
        </w:rPr>
        <w:t xml:space="preserve">Упоредо са </w:t>
      </w:r>
      <w:r w:rsidR="006A7E44">
        <w:rPr>
          <w:rFonts w:ascii="Times New Roman" w:hAnsi="Times New Roman" w:cs="Times New Roman"/>
          <w:sz w:val="24"/>
          <w:szCs w:val="24"/>
        </w:rPr>
        <w:t>растом учешћа отвореног поступка</w:t>
      </w:r>
      <w:r w:rsidR="00BC5EEE">
        <w:rPr>
          <w:rFonts w:ascii="Times New Roman" w:hAnsi="Times New Roman" w:cs="Times New Roman"/>
          <w:sz w:val="24"/>
          <w:szCs w:val="24"/>
        </w:rPr>
        <w:t>,</w:t>
      </w:r>
      <w:r w:rsidR="006A7E44">
        <w:rPr>
          <w:rFonts w:ascii="Times New Roman" w:hAnsi="Times New Roman" w:cs="Times New Roman"/>
          <w:sz w:val="24"/>
          <w:szCs w:val="24"/>
        </w:rPr>
        <w:t xml:space="preserve"> дошло је до значајног смањивања </w:t>
      </w:r>
      <w:r>
        <w:rPr>
          <w:rFonts w:ascii="Times New Roman" w:hAnsi="Times New Roman" w:cs="Times New Roman"/>
          <w:sz w:val="24"/>
          <w:szCs w:val="24"/>
        </w:rPr>
        <w:t>учешћ</w:t>
      </w:r>
      <w:r w:rsidR="006A7E44">
        <w:rPr>
          <w:rFonts w:ascii="Times New Roman" w:hAnsi="Times New Roman" w:cs="Times New Roman"/>
          <w:sz w:val="24"/>
          <w:szCs w:val="24"/>
        </w:rPr>
        <w:t>а</w:t>
      </w:r>
      <w:r>
        <w:rPr>
          <w:rFonts w:ascii="Times New Roman" w:hAnsi="Times New Roman" w:cs="Times New Roman"/>
          <w:sz w:val="24"/>
          <w:szCs w:val="24"/>
        </w:rPr>
        <w:t xml:space="preserve"> преговарачк</w:t>
      </w:r>
      <w:r w:rsidR="00BC5EEE">
        <w:rPr>
          <w:rFonts w:ascii="Times New Roman" w:hAnsi="Times New Roman" w:cs="Times New Roman"/>
          <w:sz w:val="24"/>
          <w:szCs w:val="24"/>
        </w:rPr>
        <w:t>ог</w:t>
      </w:r>
      <w:r>
        <w:rPr>
          <w:rFonts w:ascii="Times New Roman" w:hAnsi="Times New Roman" w:cs="Times New Roman"/>
          <w:sz w:val="24"/>
          <w:szCs w:val="24"/>
        </w:rPr>
        <w:t xml:space="preserve"> поступка без објављивања јавног позива  са 28% у 2012. години на 10% у трећем кварталу 2013. године када се бележе пуни ефекти примене новог закона. </w:t>
      </w:r>
      <w:r w:rsidR="00BC5EEE">
        <w:rPr>
          <w:rFonts w:ascii="Times New Roman" w:hAnsi="Times New Roman" w:cs="Times New Roman"/>
          <w:sz w:val="24"/>
          <w:szCs w:val="24"/>
        </w:rPr>
        <w:t xml:space="preserve">То </w:t>
      </w:r>
      <w:r>
        <w:rPr>
          <w:rFonts w:ascii="Times New Roman" w:hAnsi="Times New Roman" w:cs="Times New Roman"/>
          <w:sz w:val="24"/>
          <w:szCs w:val="24"/>
        </w:rPr>
        <w:t>је најниже учешће овог поступка у читавом десетогодишњем периоду</w:t>
      </w:r>
      <w:r w:rsidR="00404477">
        <w:rPr>
          <w:rFonts w:ascii="Times New Roman" w:hAnsi="Times New Roman" w:cs="Times New Roman"/>
          <w:sz w:val="24"/>
          <w:szCs w:val="24"/>
        </w:rPr>
        <w:t xml:space="preserve"> (Слика </w:t>
      </w:r>
      <w:r w:rsidR="00412BE9">
        <w:rPr>
          <w:rFonts w:ascii="Times New Roman" w:hAnsi="Times New Roman" w:cs="Times New Roman"/>
          <w:sz w:val="24"/>
          <w:szCs w:val="24"/>
        </w:rPr>
        <w:t>5</w:t>
      </w:r>
      <w:r w:rsidR="006A7E44">
        <w:rPr>
          <w:rFonts w:ascii="Times New Roman" w:hAnsi="Times New Roman" w:cs="Times New Roman"/>
          <w:sz w:val="24"/>
          <w:szCs w:val="24"/>
        </w:rPr>
        <w:t>)</w:t>
      </w:r>
      <w:r>
        <w:rPr>
          <w:rFonts w:ascii="Times New Roman" w:hAnsi="Times New Roman" w:cs="Times New Roman"/>
          <w:sz w:val="24"/>
          <w:szCs w:val="24"/>
        </w:rPr>
        <w:t>.</w:t>
      </w:r>
    </w:p>
    <w:p w:rsidR="00482BC8" w:rsidRPr="00412BE9" w:rsidRDefault="00412BE9" w:rsidP="003B365F">
      <w:pPr>
        <w:rPr>
          <w:rFonts w:ascii="Times New Roman" w:hAnsi="Times New Roman" w:cs="Times New Roman"/>
          <w:b/>
          <w:sz w:val="24"/>
          <w:szCs w:val="24"/>
        </w:rPr>
      </w:pPr>
      <w:r w:rsidRPr="00412BE9">
        <w:rPr>
          <w:rFonts w:ascii="Times New Roman" w:hAnsi="Times New Roman" w:cs="Times New Roman"/>
          <w:b/>
          <w:sz w:val="24"/>
          <w:szCs w:val="24"/>
        </w:rPr>
        <w:t>Слика 5</w:t>
      </w:r>
    </w:p>
    <w:p w:rsidR="00A330BA" w:rsidRPr="00A330BA" w:rsidRDefault="00A330BA" w:rsidP="00A330BA">
      <w:pPr>
        <w:jc w:val="center"/>
        <w:rPr>
          <w:rFonts w:ascii="Times New Roman" w:hAnsi="Times New Roman" w:cs="Times New Roman"/>
          <w:sz w:val="24"/>
          <w:szCs w:val="24"/>
        </w:rPr>
      </w:pPr>
      <w:r>
        <w:rPr>
          <w:noProof/>
        </w:rPr>
        <w:object w:dxaOrig="10578" w:dyaOrig="5816">
          <v:shape id="_x0000_i1029" type="#_x0000_t75" style="width:478.85pt;height:263.55pt" o:ole="">
            <v:imagedata r:id="rId21" o:title=""/>
          </v:shape>
          <o:OLEObject Type="Embed" ProgID="Excel.Sheet.12" ShapeID="_x0000_i1029" DrawAspect="Content" ObjectID="_1453891880" r:id="rId22"/>
        </w:object>
      </w:r>
    </w:p>
    <w:p w:rsidR="00AA1254" w:rsidRPr="000F3249" w:rsidRDefault="00C33DBF" w:rsidP="007B4B66">
      <w:pPr>
        <w:jc w:val="both"/>
        <w:rPr>
          <w:rFonts w:ascii="Times New Roman" w:hAnsi="Times New Roman" w:cs="Times New Roman"/>
          <w:sz w:val="24"/>
          <w:szCs w:val="24"/>
        </w:rPr>
      </w:pPr>
      <w:r>
        <w:rPr>
          <w:rFonts w:ascii="Times New Roman" w:hAnsi="Times New Roman" w:cs="Times New Roman"/>
          <w:sz w:val="24"/>
          <w:szCs w:val="24"/>
        </w:rPr>
        <w:t xml:space="preserve">Може се оценити да је у трећем кварталу </w:t>
      </w:r>
      <w:r w:rsidR="00C23E95">
        <w:rPr>
          <w:rFonts w:ascii="Times New Roman" w:hAnsi="Times New Roman" w:cs="Times New Roman"/>
          <w:sz w:val="24"/>
          <w:szCs w:val="24"/>
        </w:rPr>
        <w:t xml:space="preserve">2013. </w:t>
      </w:r>
      <w:r>
        <w:rPr>
          <w:rFonts w:ascii="Times New Roman" w:hAnsi="Times New Roman" w:cs="Times New Roman"/>
          <w:sz w:val="24"/>
          <w:szCs w:val="24"/>
        </w:rPr>
        <w:t xml:space="preserve">започело </w:t>
      </w:r>
      <w:r w:rsidR="000057F4">
        <w:rPr>
          <w:rFonts w:ascii="Times New Roman" w:hAnsi="Times New Roman" w:cs="Times New Roman"/>
          <w:sz w:val="24"/>
          <w:szCs w:val="24"/>
        </w:rPr>
        <w:t xml:space="preserve">успостављање правилне примене ЗЈН и напуштање наслеђене праксе по којој је 30 до 40% вредности набавки реализовано у преговарачком </w:t>
      </w:r>
      <w:r w:rsidR="000057F4">
        <w:rPr>
          <w:rFonts w:ascii="Times New Roman" w:hAnsi="Times New Roman" w:cs="Times New Roman"/>
          <w:sz w:val="24"/>
          <w:szCs w:val="24"/>
        </w:rPr>
        <w:lastRenderedPageBreak/>
        <w:t>поступку без претходног објављивања (Слика 5). Да би се оценило да ли овај први корак ка правилној примени ЗЈН значи и промену наслеђене лоше праксе или је реч само о једнократној појави, потребно је да се сагледају и подаци у наредним кварталима</w:t>
      </w:r>
      <w:r w:rsidR="00C23E95">
        <w:rPr>
          <w:rFonts w:ascii="Times New Roman" w:hAnsi="Times New Roman" w:cs="Times New Roman"/>
          <w:sz w:val="24"/>
          <w:szCs w:val="24"/>
        </w:rPr>
        <w:t xml:space="preserve">. </w:t>
      </w:r>
      <w:r w:rsidR="000057F4">
        <w:rPr>
          <w:rFonts w:ascii="Times New Roman" w:hAnsi="Times New Roman" w:cs="Times New Roman"/>
          <w:sz w:val="24"/>
          <w:szCs w:val="24"/>
        </w:rPr>
        <w:t xml:space="preserve">Уколико и наредни квартални извештаји буду показали смањивање учешћа преговарачког поступка </w:t>
      </w:r>
      <w:r w:rsidR="00C23E95">
        <w:rPr>
          <w:rFonts w:ascii="Times New Roman" w:hAnsi="Times New Roman" w:cs="Times New Roman"/>
          <w:sz w:val="24"/>
          <w:szCs w:val="24"/>
        </w:rPr>
        <w:t xml:space="preserve">то ће значити промену праксе </w:t>
      </w:r>
      <w:r w:rsidR="000057F4">
        <w:rPr>
          <w:rFonts w:ascii="Times New Roman" w:hAnsi="Times New Roman" w:cs="Times New Roman"/>
          <w:sz w:val="24"/>
          <w:szCs w:val="24"/>
        </w:rPr>
        <w:t xml:space="preserve">и </w:t>
      </w:r>
      <w:r w:rsidR="00C23E95">
        <w:rPr>
          <w:rFonts w:ascii="Times New Roman" w:hAnsi="Times New Roman" w:cs="Times New Roman"/>
          <w:sz w:val="24"/>
          <w:szCs w:val="24"/>
        </w:rPr>
        <w:t xml:space="preserve">приближавање </w:t>
      </w:r>
      <w:r w:rsidR="000057F4">
        <w:rPr>
          <w:rFonts w:ascii="Times New Roman" w:hAnsi="Times New Roman" w:cs="Times New Roman"/>
          <w:sz w:val="24"/>
          <w:szCs w:val="24"/>
        </w:rPr>
        <w:t>европским стандардима</w:t>
      </w:r>
      <w:r w:rsidR="00C23E95">
        <w:rPr>
          <w:rFonts w:ascii="Times New Roman" w:hAnsi="Times New Roman" w:cs="Times New Roman"/>
          <w:sz w:val="24"/>
          <w:szCs w:val="24"/>
        </w:rPr>
        <w:t>. Рецимо, Хрватска која је недавно постала чланица ЕУ и последња извршила прилагођавање ЕУ стандардима, имала је</w:t>
      </w:r>
      <w:r w:rsidR="004742B8">
        <w:rPr>
          <w:rFonts w:ascii="Times New Roman" w:hAnsi="Times New Roman" w:cs="Times New Roman"/>
          <w:sz w:val="24"/>
          <w:szCs w:val="24"/>
        </w:rPr>
        <w:t>,</w:t>
      </w:r>
      <w:r w:rsidR="00C23E95">
        <w:rPr>
          <w:rFonts w:ascii="Times New Roman" w:hAnsi="Times New Roman" w:cs="Times New Roman"/>
          <w:sz w:val="24"/>
          <w:szCs w:val="24"/>
        </w:rPr>
        <w:t xml:space="preserve"> у 2012. години, учешће преговарачких поступака без објав</w:t>
      </w:r>
      <w:r w:rsidR="004742B8">
        <w:rPr>
          <w:rFonts w:ascii="Times New Roman" w:hAnsi="Times New Roman" w:cs="Times New Roman"/>
          <w:sz w:val="24"/>
          <w:szCs w:val="24"/>
        </w:rPr>
        <w:t xml:space="preserve">љивања јавног позива </w:t>
      </w:r>
      <w:r w:rsidR="00C23E95">
        <w:rPr>
          <w:rFonts w:ascii="Times New Roman" w:hAnsi="Times New Roman" w:cs="Times New Roman"/>
          <w:sz w:val="24"/>
          <w:szCs w:val="24"/>
        </w:rPr>
        <w:t>од 6,9% укупн</w:t>
      </w:r>
      <w:r w:rsidR="004742B8">
        <w:rPr>
          <w:rFonts w:ascii="Times New Roman" w:hAnsi="Times New Roman" w:cs="Times New Roman"/>
          <w:sz w:val="24"/>
          <w:szCs w:val="24"/>
        </w:rPr>
        <w:t>е</w:t>
      </w:r>
      <w:r w:rsidR="00C23E95">
        <w:rPr>
          <w:rFonts w:ascii="Times New Roman" w:hAnsi="Times New Roman" w:cs="Times New Roman"/>
          <w:sz w:val="24"/>
          <w:szCs w:val="24"/>
        </w:rPr>
        <w:t xml:space="preserve"> вредности јавних набавки, док је отворени поступак имао удео од 89,5%</w:t>
      </w:r>
      <w:r w:rsidR="001453FB">
        <w:rPr>
          <w:rStyle w:val="FootnoteReference"/>
          <w:rFonts w:ascii="Times New Roman" w:hAnsi="Times New Roman" w:cs="Times New Roman"/>
          <w:sz w:val="24"/>
          <w:szCs w:val="24"/>
        </w:rPr>
        <w:footnoteReference w:id="1"/>
      </w:r>
      <w:r w:rsidR="004742B8">
        <w:rPr>
          <w:rFonts w:ascii="Times New Roman" w:hAnsi="Times New Roman" w:cs="Times New Roman"/>
          <w:sz w:val="24"/>
          <w:szCs w:val="24"/>
        </w:rPr>
        <w:t>.</w:t>
      </w:r>
      <w:r w:rsidR="000F3249">
        <w:rPr>
          <w:rFonts w:ascii="Times New Roman" w:hAnsi="Times New Roman" w:cs="Times New Roman"/>
          <w:sz w:val="24"/>
          <w:szCs w:val="24"/>
        </w:rPr>
        <w:t xml:space="preserve"> Искуство Хрватске сведочи да је процес хармонизације са ЕУ регулативом и праксом подразумевао и смањивање учешћа преговарачког поступка без објављивања: 2010. године учешће преговарачких поступака без објављивања износило је </w:t>
      </w:r>
      <w:r w:rsidR="006A7D55">
        <w:rPr>
          <w:rFonts w:ascii="Times New Roman" w:hAnsi="Times New Roman" w:cs="Times New Roman"/>
          <w:sz w:val="24"/>
          <w:szCs w:val="24"/>
        </w:rPr>
        <w:t xml:space="preserve">у Хрватској </w:t>
      </w:r>
      <w:r w:rsidR="000F3249">
        <w:rPr>
          <w:rFonts w:ascii="Times New Roman" w:hAnsi="Times New Roman" w:cs="Times New Roman"/>
          <w:sz w:val="24"/>
          <w:szCs w:val="24"/>
        </w:rPr>
        <w:t>13,7%, 2011. године 11%</w:t>
      </w:r>
      <w:r w:rsidR="000F3249">
        <w:rPr>
          <w:rStyle w:val="FootnoteReference"/>
          <w:rFonts w:ascii="Times New Roman" w:hAnsi="Times New Roman" w:cs="Times New Roman"/>
          <w:sz w:val="24"/>
          <w:szCs w:val="24"/>
        </w:rPr>
        <w:footnoteReference w:id="2"/>
      </w:r>
      <w:r w:rsidR="000F3249">
        <w:rPr>
          <w:rFonts w:ascii="Times New Roman" w:hAnsi="Times New Roman" w:cs="Times New Roman"/>
          <w:sz w:val="24"/>
          <w:szCs w:val="24"/>
        </w:rPr>
        <w:t xml:space="preserve">, а 2012. године, као што је поменуто, 6,9%.    </w:t>
      </w:r>
    </w:p>
    <w:p w:rsidR="00844E74" w:rsidRDefault="00DB5E23" w:rsidP="007B4B66">
      <w:pPr>
        <w:jc w:val="both"/>
        <w:rPr>
          <w:rFonts w:ascii="Times New Roman" w:hAnsi="Times New Roman" w:cs="Times New Roman"/>
          <w:sz w:val="24"/>
          <w:szCs w:val="24"/>
        </w:rPr>
      </w:pPr>
      <w:r>
        <w:rPr>
          <w:rFonts w:ascii="Times New Roman" w:hAnsi="Times New Roman" w:cs="Times New Roman"/>
          <w:sz w:val="24"/>
          <w:szCs w:val="24"/>
        </w:rPr>
        <w:t>Како се са почетком примене новог ЗЈН променило учешће</w:t>
      </w:r>
      <w:r w:rsidR="00B944F4">
        <w:rPr>
          <w:rFonts w:ascii="Times New Roman" w:hAnsi="Times New Roman" w:cs="Times New Roman"/>
          <w:sz w:val="24"/>
          <w:szCs w:val="24"/>
        </w:rPr>
        <w:t xml:space="preserve"> две кључне врсте поступака, посматрано по њиховом релативном значају: отвореног и преговарачког поступка без претходног објављивања</w:t>
      </w:r>
      <w:r>
        <w:rPr>
          <w:rFonts w:ascii="Times New Roman" w:hAnsi="Times New Roman" w:cs="Times New Roman"/>
          <w:sz w:val="24"/>
          <w:szCs w:val="24"/>
        </w:rPr>
        <w:t>, може се видети на Слици 6</w:t>
      </w:r>
      <w:r w:rsidR="00B944F4">
        <w:rPr>
          <w:rFonts w:ascii="Times New Roman" w:hAnsi="Times New Roman" w:cs="Times New Roman"/>
          <w:sz w:val="24"/>
          <w:szCs w:val="24"/>
        </w:rPr>
        <w:t xml:space="preserve">. </w:t>
      </w:r>
    </w:p>
    <w:p w:rsidR="000B0E15" w:rsidRDefault="000B0E15" w:rsidP="003B365F">
      <w:pPr>
        <w:jc w:val="center"/>
        <w:rPr>
          <w:rFonts w:ascii="Times New Roman" w:hAnsi="Times New Roman" w:cs="Times New Roman"/>
          <w:b/>
          <w:sz w:val="24"/>
          <w:szCs w:val="24"/>
          <w:lang w:val="sr-Cyrl-RS"/>
        </w:rPr>
      </w:pPr>
    </w:p>
    <w:p w:rsidR="000B0E15" w:rsidRDefault="000B0E15" w:rsidP="003B365F">
      <w:pPr>
        <w:jc w:val="center"/>
        <w:rPr>
          <w:rFonts w:ascii="Times New Roman" w:hAnsi="Times New Roman" w:cs="Times New Roman"/>
          <w:b/>
          <w:sz w:val="24"/>
          <w:szCs w:val="24"/>
          <w:lang w:val="sr-Cyrl-RS"/>
        </w:rPr>
      </w:pPr>
    </w:p>
    <w:p w:rsidR="00A07ECD" w:rsidRPr="00A07ECD" w:rsidRDefault="00B944F4" w:rsidP="003B365F">
      <w:pPr>
        <w:jc w:val="center"/>
      </w:pPr>
      <w:r w:rsidRPr="00F56102">
        <w:rPr>
          <w:rFonts w:ascii="Times New Roman" w:hAnsi="Times New Roman" w:cs="Times New Roman"/>
          <w:b/>
          <w:sz w:val="24"/>
          <w:szCs w:val="24"/>
        </w:rPr>
        <w:lastRenderedPageBreak/>
        <w:t xml:space="preserve">Слика </w:t>
      </w:r>
      <w:r w:rsidR="00F56102" w:rsidRPr="00F56102">
        <w:rPr>
          <w:rFonts w:ascii="Times New Roman" w:hAnsi="Times New Roman" w:cs="Times New Roman"/>
          <w:b/>
          <w:sz w:val="24"/>
          <w:szCs w:val="24"/>
        </w:rPr>
        <w:t>6</w:t>
      </w:r>
      <w:r w:rsidR="00A07ECD">
        <w:rPr>
          <w:rFonts w:ascii="Times New Roman" w:hAnsi="Times New Roman" w:cs="Times New Roman"/>
          <w:b/>
          <w:sz w:val="24"/>
          <w:szCs w:val="24"/>
        </w:rPr>
        <w:br/>
      </w:r>
      <w:r w:rsidR="00195172" w:rsidRPr="00881559">
        <w:object w:dxaOrig="7202" w:dyaOrig="5425">
          <v:shape id="_x0000_i1030" type="#_x0000_t75" style="width:373.6pt;height:271.7pt" o:ole="">
            <v:imagedata r:id="rId23" o:title=""/>
          </v:shape>
          <o:OLEObject Type="Embed" ProgID="Excel.Sheet.12" ShapeID="_x0000_i1030" DrawAspect="Content" ObjectID="_1453891881" r:id="rId24"/>
        </w:object>
      </w:r>
      <w:r w:rsidR="00A07ECD">
        <w:br/>
      </w:r>
      <w:r w:rsidR="00195172">
        <w:object w:dxaOrig="7231" w:dyaOrig="6207">
          <v:shape id="_x0000_i1031" type="#_x0000_t75" style="width:374.25pt;height:4in;mso-position-horizontal:absolute;mso-position-vertical:absolute" o:ole="">
            <v:imagedata r:id="rId25" o:title=""/>
          </v:shape>
          <o:OLEObject Type="Embed" ProgID="Excel.Sheet.12" ShapeID="_x0000_i1031" DrawAspect="Content" ObjectID="_1453891882" r:id="rId26"/>
        </w:object>
      </w:r>
    </w:p>
    <w:p w:rsidR="00A07ECD" w:rsidRPr="00A07ECD" w:rsidRDefault="00A07ECD" w:rsidP="004E5018">
      <w:pPr>
        <w:jc w:val="center"/>
        <w:rPr>
          <w:rFonts w:ascii="Times New Roman" w:hAnsi="Times New Roman" w:cs="Times New Roman"/>
          <w:b/>
          <w:sz w:val="24"/>
          <w:szCs w:val="24"/>
        </w:rPr>
      </w:pPr>
    </w:p>
    <w:p w:rsidR="004E5018" w:rsidRDefault="004E5018" w:rsidP="004E5018">
      <w:pPr>
        <w:jc w:val="center"/>
        <w:rPr>
          <w:rFonts w:ascii="Times New Roman" w:hAnsi="Times New Roman" w:cs="Times New Roman"/>
          <w:sz w:val="24"/>
          <w:szCs w:val="24"/>
        </w:rPr>
        <w:sectPr w:rsidR="004E5018" w:rsidSect="00293B02">
          <w:pgSz w:w="12240" w:h="15840"/>
          <w:pgMar w:top="720" w:right="720" w:bottom="720" w:left="720" w:header="708" w:footer="708" w:gutter="0"/>
          <w:cols w:space="708"/>
          <w:docGrid w:linePitch="360"/>
        </w:sectPr>
      </w:pPr>
    </w:p>
    <w:p w:rsidR="00686B5D" w:rsidRPr="00DB5E23" w:rsidRDefault="00ED0713" w:rsidP="007B4B6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Слика </w:t>
      </w:r>
      <w:r w:rsidR="00F56102">
        <w:rPr>
          <w:rFonts w:ascii="Times New Roman" w:hAnsi="Times New Roman" w:cs="Times New Roman"/>
          <w:sz w:val="24"/>
          <w:szCs w:val="24"/>
        </w:rPr>
        <w:t>6</w:t>
      </w:r>
      <w:r>
        <w:rPr>
          <w:rFonts w:ascii="Times New Roman" w:hAnsi="Times New Roman" w:cs="Times New Roman"/>
          <w:sz w:val="24"/>
          <w:szCs w:val="24"/>
        </w:rPr>
        <w:t xml:space="preserve"> показује да </w:t>
      </w:r>
      <w:r w:rsidR="00DB5E23">
        <w:rPr>
          <w:rFonts w:ascii="Times New Roman" w:hAnsi="Times New Roman" w:cs="Times New Roman"/>
          <w:sz w:val="24"/>
          <w:szCs w:val="24"/>
        </w:rPr>
        <w:t>ј</w:t>
      </w:r>
      <w:r>
        <w:rPr>
          <w:rFonts w:ascii="Times New Roman" w:hAnsi="Times New Roman" w:cs="Times New Roman"/>
          <w:sz w:val="24"/>
          <w:szCs w:val="24"/>
        </w:rPr>
        <w:t>е</w:t>
      </w:r>
      <w:r w:rsidR="00404477">
        <w:rPr>
          <w:rFonts w:ascii="Times New Roman" w:hAnsi="Times New Roman" w:cs="Times New Roman"/>
          <w:sz w:val="24"/>
          <w:szCs w:val="24"/>
        </w:rPr>
        <w:t xml:space="preserve">, </w:t>
      </w:r>
      <w:r w:rsidR="00DB5E23">
        <w:rPr>
          <w:rFonts w:ascii="Times New Roman" w:hAnsi="Times New Roman" w:cs="Times New Roman"/>
          <w:sz w:val="24"/>
          <w:szCs w:val="24"/>
        </w:rPr>
        <w:t xml:space="preserve">са применом новог ЗЈН, практично започело </w:t>
      </w:r>
      <w:r w:rsidR="00686B5D">
        <w:rPr>
          <w:rFonts w:ascii="Times New Roman" w:hAnsi="Times New Roman" w:cs="Times New Roman"/>
          <w:sz w:val="24"/>
          <w:szCs w:val="24"/>
        </w:rPr>
        <w:t>„преливањ</w:t>
      </w:r>
      <w:r w:rsidR="00DB5E23">
        <w:rPr>
          <w:rFonts w:ascii="Times New Roman" w:hAnsi="Times New Roman" w:cs="Times New Roman"/>
          <w:sz w:val="24"/>
          <w:szCs w:val="24"/>
        </w:rPr>
        <w:t>е</w:t>
      </w:r>
      <w:r w:rsidR="00686B5D">
        <w:rPr>
          <w:rFonts w:ascii="Times New Roman" w:hAnsi="Times New Roman" w:cs="Times New Roman"/>
          <w:sz w:val="24"/>
          <w:szCs w:val="24"/>
        </w:rPr>
        <w:t xml:space="preserve">“ </w:t>
      </w:r>
      <w:r w:rsidR="00DB5E23">
        <w:rPr>
          <w:rFonts w:ascii="Times New Roman" w:hAnsi="Times New Roman" w:cs="Times New Roman"/>
          <w:sz w:val="24"/>
          <w:szCs w:val="24"/>
        </w:rPr>
        <w:t>од</w:t>
      </w:r>
      <w:r w:rsidR="003B365F">
        <w:rPr>
          <w:rFonts w:ascii="Times New Roman" w:hAnsi="Times New Roman" w:cs="Times New Roman"/>
          <w:sz w:val="24"/>
          <w:szCs w:val="24"/>
          <w:lang w:val="sr-Cyrl-RS"/>
        </w:rPr>
        <w:t xml:space="preserve"> </w:t>
      </w:r>
      <w:r w:rsidR="0076276D">
        <w:rPr>
          <w:rFonts w:ascii="Times New Roman" w:hAnsi="Times New Roman" w:cs="Times New Roman"/>
          <w:sz w:val="24"/>
          <w:szCs w:val="24"/>
        </w:rPr>
        <w:t xml:space="preserve">неконкурентног и нетранспарентног </w:t>
      </w:r>
      <w:r w:rsidR="00686B5D">
        <w:rPr>
          <w:rFonts w:ascii="Times New Roman" w:hAnsi="Times New Roman" w:cs="Times New Roman"/>
          <w:sz w:val="24"/>
          <w:szCs w:val="24"/>
        </w:rPr>
        <w:t xml:space="preserve">преговарачког </w:t>
      </w:r>
      <w:r w:rsidR="0076276D">
        <w:rPr>
          <w:rFonts w:ascii="Times New Roman" w:hAnsi="Times New Roman" w:cs="Times New Roman"/>
          <w:sz w:val="24"/>
          <w:szCs w:val="24"/>
        </w:rPr>
        <w:t xml:space="preserve">поступка ка </w:t>
      </w:r>
      <w:r w:rsidR="00686B5D">
        <w:rPr>
          <w:rFonts w:ascii="Times New Roman" w:hAnsi="Times New Roman" w:cs="Times New Roman"/>
          <w:sz w:val="24"/>
          <w:szCs w:val="24"/>
        </w:rPr>
        <w:t>отворен</w:t>
      </w:r>
      <w:r w:rsidR="0076276D">
        <w:rPr>
          <w:rFonts w:ascii="Times New Roman" w:hAnsi="Times New Roman" w:cs="Times New Roman"/>
          <w:sz w:val="24"/>
          <w:szCs w:val="24"/>
        </w:rPr>
        <w:t>ом поступ</w:t>
      </w:r>
      <w:r w:rsidR="00686B5D">
        <w:rPr>
          <w:rFonts w:ascii="Times New Roman" w:hAnsi="Times New Roman" w:cs="Times New Roman"/>
          <w:sz w:val="24"/>
          <w:szCs w:val="24"/>
        </w:rPr>
        <w:t>к</w:t>
      </w:r>
      <w:r w:rsidR="0076276D">
        <w:rPr>
          <w:rFonts w:ascii="Times New Roman" w:hAnsi="Times New Roman" w:cs="Times New Roman"/>
          <w:sz w:val="24"/>
          <w:szCs w:val="24"/>
        </w:rPr>
        <w:t>у који карактерише слободна конкуренција и пуна транспарентност.</w:t>
      </w:r>
      <w:r w:rsidR="003B365F">
        <w:rPr>
          <w:rFonts w:ascii="Times New Roman" w:hAnsi="Times New Roman" w:cs="Times New Roman"/>
          <w:sz w:val="24"/>
          <w:szCs w:val="24"/>
          <w:lang w:val="sr-Cyrl-RS"/>
        </w:rPr>
        <w:t xml:space="preserve"> </w:t>
      </w:r>
      <w:r w:rsidR="00D72C91">
        <w:rPr>
          <w:rFonts w:ascii="Times New Roman" w:hAnsi="Times New Roman" w:cs="Times New Roman"/>
          <w:sz w:val="24"/>
          <w:szCs w:val="24"/>
        </w:rPr>
        <w:t>Стога је важно да се из наредних извешатаја види да ли ће се овај процес наставити</w:t>
      </w:r>
      <w:r w:rsidR="004465D3">
        <w:rPr>
          <w:rFonts w:ascii="Times New Roman" w:hAnsi="Times New Roman" w:cs="Times New Roman"/>
          <w:sz w:val="24"/>
          <w:szCs w:val="24"/>
        </w:rPr>
        <w:t xml:space="preserve"> што би значило хармонизовање са европским стандардима и правилну примену ЗЈН.  </w:t>
      </w:r>
    </w:p>
    <w:p w:rsidR="00BF2D32" w:rsidRPr="00191758" w:rsidRDefault="00EA7742" w:rsidP="007B4B66">
      <w:pPr>
        <w:jc w:val="both"/>
        <w:rPr>
          <w:rFonts w:ascii="Times New Roman" w:hAnsi="Times New Roman" w:cs="Times New Roman"/>
          <w:color w:val="FF0000"/>
          <w:sz w:val="24"/>
          <w:szCs w:val="24"/>
        </w:rPr>
      </w:pPr>
      <w:r>
        <w:rPr>
          <w:rFonts w:ascii="Times New Roman" w:hAnsi="Times New Roman" w:cs="Times New Roman"/>
          <w:sz w:val="24"/>
          <w:szCs w:val="24"/>
        </w:rPr>
        <w:t xml:space="preserve">Следеће важно питање је </w:t>
      </w:r>
      <w:r w:rsidR="008D1F00">
        <w:rPr>
          <w:rFonts w:ascii="Times New Roman" w:hAnsi="Times New Roman" w:cs="Times New Roman"/>
          <w:sz w:val="24"/>
          <w:szCs w:val="24"/>
        </w:rPr>
        <w:t xml:space="preserve">како су били распоређени преговарачки поступци без објављивања, по категоријама наручилаца. Другим речима, да се сагледа код којих категорија наручилаца је био најзаступљенији преговарачки поступак без објављивања (Табела 4). Као што се може видети из </w:t>
      </w:r>
      <w:r w:rsidR="009A59B8">
        <w:rPr>
          <w:rFonts w:ascii="Times New Roman" w:hAnsi="Times New Roman" w:cs="Times New Roman"/>
          <w:sz w:val="24"/>
          <w:szCs w:val="24"/>
        </w:rPr>
        <w:t>Табеле 4</w:t>
      </w:r>
      <w:r w:rsidR="008D1F00">
        <w:rPr>
          <w:rFonts w:ascii="Times New Roman" w:hAnsi="Times New Roman" w:cs="Times New Roman"/>
          <w:sz w:val="24"/>
          <w:szCs w:val="24"/>
        </w:rPr>
        <w:t>, убедљиво</w:t>
      </w:r>
      <w:r w:rsidR="009A59B8">
        <w:rPr>
          <w:rFonts w:ascii="Times New Roman" w:hAnsi="Times New Roman" w:cs="Times New Roman"/>
          <w:sz w:val="24"/>
          <w:szCs w:val="24"/>
        </w:rPr>
        <w:t xml:space="preserve"> највеће </w:t>
      </w:r>
      <w:r w:rsidR="00134B57">
        <w:rPr>
          <w:rFonts w:ascii="Times New Roman" w:hAnsi="Times New Roman" w:cs="Times New Roman"/>
          <w:sz w:val="24"/>
          <w:szCs w:val="24"/>
        </w:rPr>
        <w:t>у</w:t>
      </w:r>
      <w:r w:rsidR="009A59B8">
        <w:rPr>
          <w:rFonts w:ascii="Times New Roman" w:hAnsi="Times New Roman" w:cs="Times New Roman"/>
          <w:sz w:val="24"/>
          <w:szCs w:val="24"/>
        </w:rPr>
        <w:t xml:space="preserve">чешће </w:t>
      </w:r>
      <w:r w:rsidR="009428AD">
        <w:rPr>
          <w:rFonts w:ascii="Times New Roman" w:hAnsi="Times New Roman" w:cs="Times New Roman"/>
          <w:sz w:val="24"/>
          <w:szCs w:val="24"/>
        </w:rPr>
        <w:t xml:space="preserve">у </w:t>
      </w:r>
      <w:r w:rsidR="00134B57">
        <w:rPr>
          <w:rFonts w:ascii="Times New Roman" w:hAnsi="Times New Roman" w:cs="Times New Roman"/>
          <w:sz w:val="24"/>
          <w:szCs w:val="24"/>
        </w:rPr>
        <w:t>преговарачким</w:t>
      </w:r>
      <w:r w:rsidR="009428AD">
        <w:rPr>
          <w:rFonts w:ascii="Times New Roman" w:hAnsi="Times New Roman" w:cs="Times New Roman"/>
          <w:sz w:val="24"/>
          <w:szCs w:val="24"/>
        </w:rPr>
        <w:t xml:space="preserve"> поступ</w:t>
      </w:r>
      <w:r w:rsidR="00134B57">
        <w:rPr>
          <w:rFonts w:ascii="Times New Roman" w:hAnsi="Times New Roman" w:cs="Times New Roman"/>
          <w:sz w:val="24"/>
          <w:szCs w:val="24"/>
        </w:rPr>
        <w:t>цима</w:t>
      </w:r>
      <w:r w:rsidR="009428AD">
        <w:rPr>
          <w:rFonts w:ascii="Times New Roman" w:hAnsi="Times New Roman" w:cs="Times New Roman"/>
          <w:sz w:val="24"/>
          <w:szCs w:val="24"/>
        </w:rPr>
        <w:t xml:space="preserve"> без објављивања јав</w:t>
      </w:r>
      <w:r w:rsidR="00C922D1">
        <w:rPr>
          <w:rFonts w:ascii="Times New Roman" w:hAnsi="Times New Roman" w:cs="Times New Roman"/>
          <w:sz w:val="24"/>
          <w:szCs w:val="24"/>
        </w:rPr>
        <w:t xml:space="preserve">ног позива имало </w:t>
      </w:r>
      <w:r w:rsidR="003B365F">
        <w:rPr>
          <w:rFonts w:ascii="Times New Roman" w:hAnsi="Times New Roman" w:cs="Times New Roman"/>
          <w:sz w:val="24"/>
          <w:szCs w:val="24"/>
          <w:lang w:val="sr-Cyrl-RS"/>
        </w:rPr>
        <w:t xml:space="preserve">је </w:t>
      </w:r>
      <w:r w:rsidR="00C922D1">
        <w:rPr>
          <w:rFonts w:ascii="Times New Roman" w:hAnsi="Times New Roman" w:cs="Times New Roman"/>
          <w:sz w:val="24"/>
          <w:szCs w:val="24"/>
        </w:rPr>
        <w:t>здравство од</w:t>
      </w:r>
      <w:r w:rsidR="009428AD">
        <w:rPr>
          <w:rFonts w:ascii="Times New Roman" w:hAnsi="Times New Roman" w:cs="Times New Roman"/>
          <w:sz w:val="24"/>
          <w:szCs w:val="24"/>
        </w:rPr>
        <w:t xml:space="preserve"> чак 58%</w:t>
      </w:r>
      <w:r w:rsidR="008D1F00">
        <w:rPr>
          <w:rFonts w:ascii="Times New Roman" w:hAnsi="Times New Roman" w:cs="Times New Roman"/>
          <w:sz w:val="24"/>
          <w:szCs w:val="24"/>
        </w:rPr>
        <w:t>, дакле, више него све остале категорије наручилаца заједно.</w:t>
      </w:r>
    </w:p>
    <w:p w:rsidR="00BE519C" w:rsidRPr="00DF0314" w:rsidRDefault="00BE519C" w:rsidP="003B365F">
      <w:pPr>
        <w:rPr>
          <w:rFonts w:ascii="Times New Roman" w:hAnsi="Times New Roman" w:cs="Times New Roman"/>
          <w:b/>
          <w:sz w:val="24"/>
          <w:szCs w:val="24"/>
        </w:rPr>
      </w:pPr>
      <w:r>
        <w:rPr>
          <w:rFonts w:ascii="Times New Roman" w:hAnsi="Times New Roman" w:cs="Times New Roman"/>
          <w:b/>
          <w:sz w:val="24"/>
          <w:szCs w:val="24"/>
        </w:rPr>
        <w:t>Табела 4</w:t>
      </w:r>
    </w:p>
    <w:tbl>
      <w:tblPr>
        <w:tblStyle w:val="TableGrid"/>
        <w:tblW w:w="8082" w:type="dxa"/>
        <w:jc w:val="center"/>
        <w:tblLook w:val="0000" w:firstRow="0" w:lastRow="0" w:firstColumn="0" w:lastColumn="0" w:noHBand="0" w:noVBand="0"/>
      </w:tblPr>
      <w:tblGrid>
        <w:gridCol w:w="1402"/>
        <w:gridCol w:w="934"/>
        <w:gridCol w:w="621"/>
        <w:gridCol w:w="1171"/>
        <w:gridCol w:w="621"/>
        <w:gridCol w:w="853"/>
        <w:gridCol w:w="621"/>
        <w:gridCol w:w="1238"/>
        <w:gridCol w:w="621"/>
      </w:tblGrid>
      <w:tr w:rsidR="00BE519C" w:rsidTr="00C06F5E">
        <w:trPr>
          <w:trHeight w:val="750"/>
          <w:jc w:val="center"/>
        </w:trPr>
        <w:tc>
          <w:tcPr>
            <w:tcW w:w="8082" w:type="dxa"/>
            <w:gridSpan w:val="9"/>
            <w:tcBorders>
              <w:top w:val="single" w:sz="18" w:space="0" w:color="auto"/>
              <w:left w:val="single" w:sz="18" w:space="0" w:color="auto"/>
              <w:right w:val="single" w:sz="18" w:space="0" w:color="auto"/>
            </w:tcBorders>
            <w:vAlign w:val="center"/>
          </w:tcPr>
          <w:p w:rsidR="00BE519C" w:rsidRPr="00882AC7" w:rsidRDefault="00BE519C" w:rsidP="00C06F5E">
            <w:pPr>
              <w:jc w:val="center"/>
              <w:rPr>
                <w:rFonts w:ascii="Times New Roman" w:hAnsi="Times New Roman" w:cs="Times New Roman"/>
                <w:b/>
                <w:sz w:val="24"/>
                <w:szCs w:val="24"/>
              </w:rPr>
            </w:pPr>
            <w:r w:rsidRPr="00882AC7">
              <w:rPr>
                <w:rFonts w:ascii="Times New Roman" w:hAnsi="Times New Roman" w:cs="Times New Roman"/>
                <w:b/>
                <w:sz w:val="24"/>
                <w:szCs w:val="24"/>
              </w:rPr>
              <w:t>Упоредни преглед бројчане и вредносне структуре преговарачких поступака без објављивања, по категоријама наручилаца у 2012. години и трећем кварталу 2013. године*</w:t>
            </w:r>
          </w:p>
        </w:tc>
      </w:tr>
      <w:tr w:rsidR="00BE519C" w:rsidRPr="004E5018" w:rsidTr="00C06F5E">
        <w:tblPrEx>
          <w:tblLook w:val="04A0" w:firstRow="1" w:lastRow="0" w:firstColumn="1" w:lastColumn="0" w:noHBand="0" w:noVBand="1"/>
        </w:tblPrEx>
        <w:trPr>
          <w:jc w:val="center"/>
        </w:trPr>
        <w:tc>
          <w:tcPr>
            <w:tcW w:w="1402" w:type="dxa"/>
            <w:tcBorders>
              <w:top w:val="single" w:sz="18" w:space="0" w:color="auto"/>
              <w:left w:val="single" w:sz="18" w:space="0" w:color="auto"/>
              <w:bottom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Период</w:t>
            </w:r>
          </w:p>
        </w:tc>
        <w:tc>
          <w:tcPr>
            <w:tcW w:w="3347" w:type="dxa"/>
            <w:gridSpan w:val="4"/>
            <w:tcBorders>
              <w:top w:val="single" w:sz="18" w:space="0" w:color="auto"/>
              <w:left w:val="single" w:sz="18" w:space="0" w:color="auto"/>
              <w:bottom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2012.</w:t>
            </w:r>
          </w:p>
        </w:tc>
        <w:tc>
          <w:tcPr>
            <w:tcW w:w="3333" w:type="dxa"/>
            <w:gridSpan w:val="4"/>
            <w:tcBorders>
              <w:top w:val="single" w:sz="18" w:space="0" w:color="auto"/>
              <w:left w:val="single" w:sz="18" w:space="0" w:color="auto"/>
              <w:bottom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2013.</w:t>
            </w:r>
          </w:p>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3.квартал</w:t>
            </w:r>
          </w:p>
        </w:tc>
      </w:tr>
      <w:tr w:rsidR="00BE519C" w:rsidRPr="004E5018" w:rsidTr="00C06F5E">
        <w:tblPrEx>
          <w:tblLook w:val="04A0" w:firstRow="1" w:lastRow="0" w:firstColumn="1" w:lastColumn="0" w:noHBand="0" w:noVBand="1"/>
        </w:tblPrEx>
        <w:trPr>
          <w:jc w:val="center"/>
        </w:trPr>
        <w:tc>
          <w:tcPr>
            <w:tcW w:w="1402" w:type="dxa"/>
            <w:tcBorders>
              <w:top w:val="single" w:sz="18" w:space="0" w:color="auto"/>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Категорија</w:t>
            </w:r>
          </w:p>
        </w:tc>
        <w:tc>
          <w:tcPr>
            <w:tcW w:w="934" w:type="dxa"/>
            <w:tcBorders>
              <w:top w:val="single" w:sz="18" w:space="0" w:color="auto"/>
              <w:left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Број</w:t>
            </w:r>
          </w:p>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Уговора</w:t>
            </w:r>
          </w:p>
        </w:tc>
        <w:tc>
          <w:tcPr>
            <w:tcW w:w="621" w:type="dxa"/>
            <w:tcBorders>
              <w:top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1171" w:type="dxa"/>
            <w:tcBorders>
              <w:top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Уговорена</w:t>
            </w:r>
          </w:p>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Вредност</w:t>
            </w:r>
          </w:p>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Без ПДВ-а*</w:t>
            </w:r>
          </w:p>
        </w:tc>
        <w:tc>
          <w:tcPr>
            <w:tcW w:w="0" w:type="auto"/>
            <w:tcBorders>
              <w:top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0" w:type="auto"/>
            <w:tcBorders>
              <w:top w:val="single" w:sz="18" w:space="0" w:color="auto"/>
              <w:left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Број</w:t>
            </w:r>
          </w:p>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Уговора</w:t>
            </w:r>
          </w:p>
        </w:tc>
        <w:tc>
          <w:tcPr>
            <w:tcW w:w="0" w:type="auto"/>
            <w:tcBorders>
              <w:top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w:t>
            </w:r>
          </w:p>
        </w:tc>
        <w:tc>
          <w:tcPr>
            <w:tcW w:w="1238" w:type="dxa"/>
            <w:tcBorders>
              <w:top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Уговорена</w:t>
            </w:r>
          </w:p>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Вредност</w:t>
            </w:r>
          </w:p>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Без ПДВ-а*</w:t>
            </w:r>
          </w:p>
        </w:tc>
        <w:tc>
          <w:tcPr>
            <w:tcW w:w="0" w:type="auto"/>
            <w:tcBorders>
              <w:top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sz w:val="18"/>
                <w:szCs w:val="18"/>
              </w:rPr>
            </w:pPr>
            <w:r w:rsidRPr="004E5018">
              <w:rPr>
                <w:rFonts w:ascii="Times New Roman" w:hAnsi="Times New Roman" w:cs="Times New Roman"/>
                <w:sz w:val="18"/>
                <w:szCs w:val="18"/>
              </w:rPr>
              <w:t>%</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Органи државне управе</w:t>
            </w:r>
          </w:p>
        </w:tc>
        <w:tc>
          <w:tcPr>
            <w:tcW w:w="934" w:type="dxa"/>
            <w:tcBorders>
              <w:lef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571</w:t>
            </w:r>
          </w:p>
        </w:tc>
        <w:tc>
          <w:tcPr>
            <w:tcW w:w="621" w:type="dxa"/>
            <w:vAlign w:val="center"/>
          </w:tcPr>
          <w:p w:rsidR="00BE519C" w:rsidRPr="004E5018" w:rsidRDefault="00BE519C" w:rsidP="00C06F5E">
            <w:pPr>
              <w:jc w:val="center"/>
              <w:rPr>
                <w:color w:val="000000"/>
                <w:sz w:val="18"/>
                <w:szCs w:val="18"/>
              </w:rPr>
            </w:pPr>
            <w:r w:rsidRPr="004E5018">
              <w:rPr>
                <w:color w:val="000000"/>
                <w:sz w:val="18"/>
                <w:szCs w:val="18"/>
              </w:rPr>
              <w:t>8%</w:t>
            </w:r>
          </w:p>
        </w:tc>
        <w:tc>
          <w:tcPr>
            <w:tcW w:w="1171" w:type="dxa"/>
            <w:vAlign w:val="center"/>
          </w:tcPr>
          <w:p w:rsidR="00BE519C" w:rsidRPr="004E5018" w:rsidRDefault="00BE519C" w:rsidP="00C06F5E">
            <w:pPr>
              <w:jc w:val="center"/>
              <w:rPr>
                <w:color w:val="000000"/>
                <w:sz w:val="18"/>
                <w:szCs w:val="18"/>
              </w:rPr>
            </w:pPr>
            <w:r w:rsidRPr="004E5018">
              <w:rPr>
                <w:color w:val="000000"/>
                <w:sz w:val="18"/>
                <w:szCs w:val="18"/>
              </w:rPr>
              <w:t>3.907.082</w:t>
            </w:r>
          </w:p>
        </w:tc>
        <w:tc>
          <w:tcPr>
            <w:tcW w:w="0" w:type="auto"/>
            <w:tcBorders>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5%</w:t>
            </w:r>
          </w:p>
        </w:tc>
        <w:tc>
          <w:tcPr>
            <w:tcW w:w="0" w:type="auto"/>
            <w:tcBorders>
              <w:lef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107</w:t>
            </w:r>
          </w:p>
        </w:tc>
        <w:tc>
          <w:tcPr>
            <w:tcW w:w="0" w:type="auto"/>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10%</w:t>
            </w:r>
          </w:p>
        </w:tc>
        <w:tc>
          <w:tcPr>
            <w:tcW w:w="1238" w:type="dxa"/>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1.070.066</w:t>
            </w:r>
          </w:p>
        </w:tc>
        <w:tc>
          <w:tcPr>
            <w:tcW w:w="0" w:type="auto"/>
            <w:tcBorders>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16%</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Правосуђе</w:t>
            </w:r>
          </w:p>
        </w:tc>
        <w:tc>
          <w:tcPr>
            <w:tcW w:w="934" w:type="dxa"/>
            <w:tcBorders>
              <w:lef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15</w:t>
            </w:r>
          </w:p>
        </w:tc>
        <w:tc>
          <w:tcPr>
            <w:tcW w:w="621" w:type="dxa"/>
            <w:vAlign w:val="center"/>
          </w:tcPr>
          <w:p w:rsidR="00BE519C" w:rsidRPr="004E5018" w:rsidRDefault="00BE519C" w:rsidP="00C06F5E">
            <w:pPr>
              <w:jc w:val="center"/>
              <w:rPr>
                <w:color w:val="000000"/>
                <w:sz w:val="18"/>
                <w:szCs w:val="18"/>
              </w:rPr>
            </w:pPr>
            <w:r w:rsidRPr="004E5018">
              <w:rPr>
                <w:color w:val="000000"/>
                <w:sz w:val="18"/>
                <w:szCs w:val="18"/>
              </w:rPr>
              <w:t>0%</w:t>
            </w:r>
          </w:p>
        </w:tc>
        <w:tc>
          <w:tcPr>
            <w:tcW w:w="1171" w:type="dxa"/>
            <w:vAlign w:val="center"/>
          </w:tcPr>
          <w:p w:rsidR="00BE519C" w:rsidRPr="004E5018" w:rsidRDefault="00BE519C" w:rsidP="00C06F5E">
            <w:pPr>
              <w:jc w:val="center"/>
              <w:rPr>
                <w:color w:val="000000"/>
                <w:sz w:val="18"/>
                <w:szCs w:val="18"/>
              </w:rPr>
            </w:pPr>
            <w:r w:rsidRPr="004E5018">
              <w:rPr>
                <w:color w:val="000000"/>
                <w:sz w:val="18"/>
                <w:szCs w:val="18"/>
              </w:rPr>
              <w:t>30.260</w:t>
            </w:r>
          </w:p>
        </w:tc>
        <w:tc>
          <w:tcPr>
            <w:tcW w:w="0" w:type="auto"/>
            <w:tcBorders>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0%</w:t>
            </w:r>
          </w:p>
        </w:tc>
        <w:tc>
          <w:tcPr>
            <w:tcW w:w="0" w:type="auto"/>
            <w:tcBorders>
              <w:lef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0</w:t>
            </w:r>
          </w:p>
        </w:tc>
        <w:tc>
          <w:tcPr>
            <w:tcW w:w="0" w:type="auto"/>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0%</w:t>
            </w:r>
          </w:p>
        </w:tc>
        <w:tc>
          <w:tcPr>
            <w:tcW w:w="1238" w:type="dxa"/>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0</w:t>
            </w:r>
          </w:p>
        </w:tc>
        <w:tc>
          <w:tcPr>
            <w:tcW w:w="0" w:type="auto"/>
            <w:tcBorders>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0%</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Здравство и социјална заштита</w:t>
            </w:r>
          </w:p>
        </w:tc>
        <w:tc>
          <w:tcPr>
            <w:tcW w:w="934" w:type="dxa"/>
            <w:tcBorders>
              <w:lef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3.122</w:t>
            </w:r>
          </w:p>
        </w:tc>
        <w:tc>
          <w:tcPr>
            <w:tcW w:w="621" w:type="dxa"/>
            <w:vAlign w:val="center"/>
          </w:tcPr>
          <w:p w:rsidR="00BE519C" w:rsidRPr="004E5018" w:rsidRDefault="00BE519C" w:rsidP="00C06F5E">
            <w:pPr>
              <w:jc w:val="center"/>
              <w:rPr>
                <w:color w:val="000000"/>
                <w:sz w:val="18"/>
                <w:szCs w:val="18"/>
              </w:rPr>
            </w:pPr>
            <w:r w:rsidRPr="004E5018">
              <w:rPr>
                <w:color w:val="000000"/>
                <w:sz w:val="18"/>
                <w:szCs w:val="18"/>
              </w:rPr>
              <w:t>46%</w:t>
            </w:r>
          </w:p>
        </w:tc>
        <w:tc>
          <w:tcPr>
            <w:tcW w:w="1171" w:type="dxa"/>
            <w:vAlign w:val="center"/>
          </w:tcPr>
          <w:p w:rsidR="00BE519C" w:rsidRPr="004E5018" w:rsidRDefault="00BE519C" w:rsidP="00C06F5E">
            <w:pPr>
              <w:jc w:val="center"/>
              <w:rPr>
                <w:color w:val="000000"/>
                <w:sz w:val="18"/>
                <w:szCs w:val="18"/>
              </w:rPr>
            </w:pPr>
            <w:r w:rsidRPr="004E5018">
              <w:rPr>
                <w:color w:val="000000"/>
                <w:sz w:val="18"/>
                <w:szCs w:val="18"/>
              </w:rPr>
              <w:t>12.600.782</w:t>
            </w:r>
          </w:p>
        </w:tc>
        <w:tc>
          <w:tcPr>
            <w:tcW w:w="0" w:type="auto"/>
            <w:tcBorders>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17%</w:t>
            </w:r>
          </w:p>
        </w:tc>
        <w:tc>
          <w:tcPr>
            <w:tcW w:w="0" w:type="auto"/>
            <w:tcBorders>
              <w:lef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665</w:t>
            </w:r>
          </w:p>
        </w:tc>
        <w:tc>
          <w:tcPr>
            <w:tcW w:w="0" w:type="auto"/>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61%</w:t>
            </w:r>
          </w:p>
        </w:tc>
        <w:tc>
          <w:tcPr>
            <w:tcW w:w="1238" w:type="dxa"/>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3.842.607</w:t>
            </w:r>
          </w:p>
        </w:tc>
        <w:tc>
          <w:tcPr>
            <w:tcW w:w="0" w:type="auto"/>
            <w:tcBorders>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58%</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Култура</w:t>
            </w:r>
          </w:p>
        </w:tc>
        <w:tc>
          <w:tcPr>
            <w:tcW w:w="934" w:type="dxa"/>
            <w:tcBorders>
              <w:lef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124</w:t>
            </w:r>
          </w:p>
        </w:tc>
        <w:tc>
          <w:tcPr>
            <w:tcW w:w="621" w:type="dxa"/>
            <w:vAlign w:val="center"/>
          </w:tcPr>
          <w:p w:rsidR="00BE519C" w:rsidRPr="004E5018" w:rsidRDefault="00BE519C" w:rsidP="00C06F5E">
            <w:pPr>
              <w:jc w:val="center"/>
              <w:rPr>
                <w:color w:val="000000"/>
                <w:sz w:val="18"/>
                <w:szCs w:val="18"/>
              </w:rPr>
            </w:pPr>
            <w:r w:rsidRPr="004E5018">
              <w:rPr>
                <w:color w:val="000000"/>
                <w:sz w:val="18"/>
                <w:szCs w:val="18"/>
              </w:rPr>
              <w:t>2%</w:t>
            </w:r>
          </w:p>
        </w:tc>
        <w:tc>
          <w:tcPr>
            <w:tcW w:w="1171" w:type="dxa"/>
            <w:vAlign w:val="center"/>
          </w:tcPr>
          <w:p w:rsidR="00BE519C" w:rsidRPr="004E5018" w:rsidRDefault="00BE519C" w:rsidP="00C06F5E">
            <w:pPr>
              <w:jc w:val="center"/>
              <w:rPr>
                <w:color w:val="000000"/>
                <w:sz w:val="18"/>
                <w:szCs w:val="18"/>
              </w:rPr>
            </w:pPr>
            <w:r w:rsidRPr="004E5018">
              <w:rPr>
                <w:color w:val="000000"/>
                <w:sz w:val="18"/>
                <w:szCs w:val="18"/>
              </w:rPr>
              <w:t>146.536</w:t>
            </w:r>
          </w:p>
        </w:tc>
        <w:tc>
          <w:tcPr>
            <w:tcW w:w="0" w:type="auto"/>
            <w:tcBorders>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0%</w:t>
            </w:r>
          </w:p>
        </w:tc>
        <w:tc>
          <w:tcPr>
            <w:tcW w:w="0" w:type="auto"/>
            <w:tcBorders>
              <w:lef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125</w:t>
            </w:r>
          </w:p>
        </w:tc>
        <w:tc>
          <w:tcPr>
            <w:tcW w:w="0" w:type="auto"/>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11%</w:t>
            </w:r>
          </w:p>
        </w:tc>
        <w:tc>
          <w:tcPr>
            <w:tcW w:w="1238" w:type="dxa"/>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167.435</w:t>
            </w:r>
          </w:p>
        </w:tc>
        <w:tc>
          <w:tcPr>
            <w:tcW w:w="0" w:type="auto"/>
            <w:tcBorders>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3%</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Просвета, наука и спорт</w:t>
            </w:r>
          </w:p>
        </w:tc>
        <w:tc>
          <w:tcPr>
            <w:tcW w:w="934" w:type="dxa"/>
            <w:tcBorders>
              <w:lef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173</w:t>
            </w:r>
          </w:p>
        </w:tc>
        <w:tc>
          <w:tcPr>
            <w:tcW w:w="621" w:type="dxa"/>
            <w:vAlign w:val="center"/>
          </w:tcPr>
          <w:p w:rsidR="00BE519C" w:rsidRPr="004E5018" w:rsidRDefault="00BE519C" w:rsidP="00C06F5E">
            <w:pPr>
              <w:jc w:val="center"/>
              <w:rPr>
                <w:color w:val="000000"/>
                <w:sz w:val="18"/>
                <w:szCs w:val="18"/>
              </w:rPr>
            </w:pPr>
            <w:r w:rsidRPr="004E5018">
              <w:rPr>
                <w:color w:val="000000"/>
                <w:sz w:val="18"/>
                <w:szCs w:val="18"/>
              </w:rPr>
              <w:t>3%</w:t>
            </w:r>
          </w:p>
        </w:tc>
        <w:tc>
          <w:tcPr>
            <w:tcW w:w="1171" w:type="dxa"/>
            <w:vAlign w:val="center"/>
          </w:tcPr>
          <w:p w:rsidR="00BE519C" w:rsidRPr="004E5018" w:rsidRDefault="00BE519C" w:rsidP="00C06F5E">
            <w:pPr>
              <w:jc w:val="center"/>
              <w:rPr>
                <w:color w:val="000000"/>
                <w:sz w:val="18"/>
                <w:szCs w:val="18"/>
              </w:rPr>
            </w:pPr>
            <w:r w:rsidRPr="004E5018">
              <w:rPr>
                <w:color w:val="000000"/>
                <w:sz w:val="18"/>
                <w:szCs w:val="18"/>
              </w:rPr>
              <w:t>318.732</w:t>
            </w:r>
          </w:p>
        </w:tc>
        <w:tc>
          <w:tcPr>
            <w:tcW w:w="0" w:type="auto"/>
            <w:tcBorders>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0%</w:t>
            </w:r>
          </w:p>
        </w:tc>
        <w:tc>
          <w:tcPr>
            <w:tcW w:w="0" w:type="auto"/>
            <w:tcBorders>
              <w:lef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12</w:t>
            </w:r>
          </w:p>
        </w:tc>
        <w:tc>
          <w:tcPr>
            <w:tcW w:w="0" w:type="auto"/>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w:t>
            </w:r>
          </w:p>
        </w:tc>
        <w:tc>
          <w:tcPr>
            <w:tcW w:w="1238" w:type="dxa"/>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32.630</w:t>
            </w:r>
          </w:p>
        </w:tc>
        <w:tc>
          <w:tcPr>
            <w:tcW w:w="0" w:type="auto"/>
            <w:tcBorders>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0%</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Државна јавна предузећа</w:t>
            </w:r>
          </w:p>
        </w:tc>
        <w:tc>
          <w:tcPr>
            <w:tcW w:w="934" w:type="dxa"/>
            <w:tcBorders>
              <w:lef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1.428</w:t>
            </w:r>
          </w:p>
        </w:tc>
        <w:tc>
          <w:tcPr>
            <w:tcW w:w="621" w:type="dxa"/>
            <w:vAlign w:val="center"/>
          </w:tcPr>
          <w:p w:rsidR="00BE519C" w:rsidRPr="004E5018" w:rsidRDefault="00BE519C" w:rsidP="00C06F5E">
            <w:pPr>
              <w:jc w:val="center"/>
              <w:rPr>
                <w:color w:val="000000"/>
                <w:sz w:val="18"/>
                <w:szCs w:val="18"/>
              </w:rPr>
            </w:pPr>
            <w:r w:rsidRPr="004E5018">
              <w:rPr>
                <w:color w:val="000000"/>
                <w:sz w:val="18"/>
                <w:szCs w:val="18"/>
              </w:rPr>
              <w:t>21%</w:t>
            </w:r>
          </w:p>
        </w:tc>
        <w:tc>
          <w:tcPr>
            <w:tcW w:w="1171" w:type="dxa"/>
            <w:vAlign w:val="center"/>
          </w:tcPr>
          <w:p w:rsidR="00BE519C" w:rsidRPr="004E5018" w:rsidRDefault="00BE519C" w:rsidP="00C06F5E">
            <w:pPr>
              <w:jc w:val="center"/>
              <w:rPr>
                <w:color w:val="000000"/>
                <w:sz w:val="18"/>
                <w:szCs w:val="18"/>
              </w:rPr>
            </w:pPr>
            <w:r w:rsidRPr="004E5018">
              <w:rPr>
                <w:color w:val="000000"/>
                <w:sz w:val="18"/>
                <w:szCs w:val="18"/>
              </w:rPr>
              <w:t>45.873.838</w:t>
            </w:r>
          </w:p>
        </w:tc>
        <w:tc>
          <w:tcPr>
            <w:tcW w:w="0" w:type="auto"/>
            <w:tcBorders>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63%</w:t>
            </w:r>
          </w:p>
        </w:tc>
        <w:tc>
          <w:tcPr>
            <w:tcW w:w="0" w:type="auto"/>
            <w:tcBorders>
              <w:lef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85</w:t>
            </w:r>
          </w:p>
        </w:tc>
        <w:tc>
          <w:tcPr>
            <w:tcW w:w="0" w:type="auto"/>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8%</w:t>
            </w:r>
          </w:p>
        </w:tc>
        <w:tc>
          <w:tcPr>
            <w:tcW w:w="1238" w:type="dxa"/>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762.795</w:t>
            </w:r>
          </w:p>
        </w:tc>
        <w:tc>
          <w:tcPr>
            <w:tcW w:w="0" w:type="auto"/>
            <w:tcBorders>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12%</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Јавна предузећа-локална самоуправа</w:t>
            </w:r>
          </w:p>
        </w:tc>
        <w:tc>
          <w:tcPr>
            <w:tcW w:w="934" w:type="dxa"/>
            <w:tcBorders>
              <w:lef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880</w:t>
            </w:r>
          </w:p>
        </w:tc>
        <w:tc>
          <w:tcPr>
            <w:tcW w:w="621" w:type="dxa"/>
            <w:vAlign w:val="center"/>
          </w:tcPr>
          <w:p w:rsidR="00BE519C" w:rsidRPr="004E5018" w:rsidRDefault="00BE519C" w:rsidP="00C06F5E">
            <w:pPr>
              <w:jc w:val="center"/>
              <w:rPr>
                <w:color w:val="000000"/>
                <w:sz w:val="18"/>
                <w:szCs w:val="18"/>
              </w:rPr>
            </w:pPr>
            <w:r w:rsidRPr="004E5018">
              <w:rPr>
                <w:color w:val="000000"/>
                <w:sz w:val="18"/>
                <w:szCs w:val="18"/>
              </w:rPr>
              <w:t>13%</w:t>
            </w:r>
          </w:p>
        </w:tc>
        <w:tc>
          <w:tcPr>
            <w:tcW w:w="1171" w:type="dxa"/>
            <w:vAlign w:val="center"/>
          </w:tcPr>
          <w:p w:rsidR="00BE519C" w:rsidRPr="004E5018" w:rsidRDefault="00BE519C" w:rsidP="00C06F5E">
            <w:pPr>
              <w:jc w:val="center"/>
              <w:rPr>
                <w:color w:val="000000"/>
                <w:sz w:val="18"/>
                <w:szCs w:val="18"/>
              </w:rPr>
            </w:pPr>
            <w:r w:rsidRPr="004E5018">
              <w:rPr>
                <w:color w:val="000000"/>
                <w:sz w:val="18"/>
                <w:szCs w:val="18"/>
              </w:rPr>
              <w:t>6.541.000</w:t>
            </w:r>
          </w:p>
        </w:tc>
        <w:tc>
          <w:tcPr>
            <w:tcW w:w="0" w:type="auto"/>
            <w:tcBorders>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9%</w:t>
            </w:r>
          </w:p>
        </w:tc>
        <w:tc>
          <w:tcPr>
            <w:tcW w:w="0" w:type="auto"/>
            <w:tcBorders>
              <w:lef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79</w:t>
            </w:r>
          </w:p>
        </w:tc>
        <w:tc>
          <w:tcPr>
            <w:tcW w:w="0" w:type="auto"/>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7%</w:t>
            </w:r>
          </w:p>
        </w:tc>
        <w:tc>
          <w:tcPr>
            <w:tcW w:w="1238" w:type="dxa"/>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623.542</w:t>
            </w:r>
          </w:p>
        </w:tc>
        <w:tc>
          <w:tcPr>
            <w:tcW w:w="0" w:type="auto"/>
            <w:tcBorders>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9%</w:t>
            </w:r>
          </w:p>
        </w:tc>
      </w:tr>
      <w:tr w:rsidR="00BE519C" w:rsidRPr="004E5018" w:rsidTr="00C06F5E">
        <w:tblPrEx>
          <w:tblLook w:val="04A0" w:firstRow="1" w:lastRow="0" w:firstColumn="1" w:lastColumn="0" w:noHBand="0" w:noVBand="1"/>
        </w:tblPrEx>
        <w:trPr>
          <w:jc w:val="center"/>
        </w:trPr>
        <w:tc>
          <w:tcPr>
            <w:tcW w:w="1402" w:type="dxa"/>
            <w:tcBorders>
              <w:left w:val="single" w:sz="18" w:space="0" w:color="auto"/>
              <w:bottom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Градска и општинска управа</w:t>
            </w:r>
          </w:p>
        </w:tc>
        <w:tc>
          <w:tcPr>
            <w:tcW w:w="934" w:type="dxa"/>
            <w:tcBorders>
              <w:left w:val="single" w:sz="18" w:space="0" w:color="auto"/>
              <w:bottom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422</w:t>
            </w:r>
          </w:p>
        </w:tc>
        <w:tc>
          <w:tcPr>
            <w:tcW w:w="621" w:type="dxa"/>
            <w:tcBorders>
              <w:bottom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6%</w:t>
            </w:r>
          </w:p>
        </w:tc>
        <w:tc>
          <w:tcPr>
            <w:tcW w:w="1171" w:type="dxa"/>
            <w:tcBorders>
              <w:bottom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3.713.120</w:t>
            </w:r>
          </w:p>
        </w:tc>
        <w:tc>
          <w:tcPr>
            <w:tcW w:w="0" w:type="auto"/>
            <w:tcBorders>
              <w:bottom w:val="single" w:sz="18" w:space="0" w:color="auto"/>
              <w:right w:val="single" w:sz="18" w:space="0" w:color="auto"/>
            </w:tcBorders>
            <w:vAlign w:val="center"/>
          </w:tcPr>
          <w:p w:rsidR="00BE519C" w:rsidRPr="004E5018" w:rsidRDefault="00BE519C" w:rsidP="00C06F5E">
            <w:pPr>
              <w:jc w:val="center"/>
              <w:rPr>
                <w:color w:val="000000"/>
                <w:sz w:val="18"/>
                <w:szCs w:val="18"/>
              </w:rPr>
            </w:pPr>
            <w:r w:rsidRPr="004E5018">
              <w:rPr>
                <w:color w:val="000000"/>
                <w:sz w:val="18"/>
                <w:szCs w:val="18"/>
              </w:rPr>
              <w:t>5%</w:t>
            </w:r>
          </w:p>
        </w:tc>
        <w:tc>
          <w:tcPr>
            <w:tcW w:w="0" w:type="auto"/>
            <w:tcBorders>
              <w:left w:val="single" w:sz="18" w:space="0" w:color="auto"/>
              <w:bottom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21</w:t>
            </w:r>
          </w:p>
        </w:tc>
        <w:tc>
          <w:tcPr>
            <w:tcW w:w="0" w:type="auto"/>
            <w:tcBorders>
              <w:bottom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2%</w:t>
            </w:r>
          </w:p>
        </w:tc>
        <w:tc>
          <w:tcPr>
            <w:tcW w:w="1238" w:type="dxa"/>
            <w:tcBorders>
              <w:bottom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81.270</w:t>
            </w:r>
          </w:p>
        </w:tc>
        <w:tc>
          <w:tcPr>
            <w:tcW w:w="0" w:type="auto"/>
            <w:tcBorders>
              <w:bottom w:val="single" w:sz="18" w:space="0" w:color="auto"/>
              <w:right w:val="single" w:sz="18" w:space="0" w:color="auto"/>
            </w:tcBorders>
            <w:vAlign w:val="center"/>
          </w:tcPr>
          <w:p w:rsidR="00BE519C" w:rsidRPr="004E5018" w:rsidRDefault="00BE519C" w:rsidP="00C06F5E">
            <w:pPr>
              <w:jc w:val="center"/>
              <w:rPr>
                <w:rFonts w:ascii="Calibri" w:hAnsi="Calibri" w:cs="Calibri"/>
                <w:color w:val="000000"/>
                <w:sz w:val="18"/>
                <w:szCs w:val="18"/>
              </w:rPr>
            </w:pPr>
            <w:r w:rsidRPr="004E5018">
              <w:rPr>
                <w:rFonts w:ascii="Calibri" w:hAnsi="Calibri" w:cs="Calibri"/>
                <w:color w:val="000000"/>
                <w:sz w:val="18"/>
                <w:szCs w:val="18"/>
              </w:rPr>
              <w:t>1%</w:t>
            </w:r>
          </w:p>
        </w:tc>
      </w:tr>
      <w:tr w:rsidR="00BE519C" w:rsidRPr="004E5018" w:rsidTr="00C06F5E">
        <w:tblPrEx>
          <w:tblLook w:val="04A0" w:firstRow="1" w:lastRow="0" w:firstColumn="1" w:lastColumn="0" w:noHBand="0" w:noVBand="1"/>
        </w:tblPrEx>
        <w:trPr>
          <w:jc w:val="center"/>
        </w:trPr>
        <w:tc>
          <w:tcPr>
            <w:tcW w:w="1402" w:type="dxa"/>
            <w:tcBorders>
              <w:top w:val="single" w:sz="18" w:space="0" w:color="auto"/>
              <w:left w:val="single" w:sz="18" w:space="0" w:color="auto"/>
              <w:bottom w:val="single" w:sz="18" w:space="0" w:color="auto"/>
              <w:right w:val="single" w:sz="18" w:space="0" w:color="auto"/>
            </w:tcBorders>
            <w:vAlign w:val="center"/>
          </w:tcPr>
          <w:p w:rsidR="00BE519C" w:rsidRPr="004E5018" w:rsidRDefault="00BE519C" w:rsidP="00C06F5E">
            <w:pPr>
              <w:jc w:val="center"/>
              <w:rPr>
                <w:rFonts w:ascii="Times New Roman" w:hAnsi="Times New Roman" w:cs="Times New Roman"/>
                <w:b/>
                <w:sz w:val="18"/>
                <w:szCs w:val="18"/>
              </w:rPr>
            </w:pPr>
            <w:r w:rsidRPr="004E5018">
              <w:rPr>
                <w:rFonts w:ascii="Times New Roman" w:hAnsi="Times New Roman" w:cs="Times New Roman"/>
                <w:b/>
                <w:sz w:val="18"/>
                <w:szCs w:val="18"/>
              </w:rPr>
              <w:t>Укупно</w:t>
            </w:r>
          </w:p>
        </w:tc>
        <w:tc>
          <w:tcPr>
            <w:tcW w:w="934" w:type="dxa"/>
            <w:tcBorders>
              <w:top w:val="single" w:sz="18" w:space="0" w:color="auto"/>
              <w:left w:val="single" w:sz="18" w:space="0" w:color="auto"/>
              <w:bottom w:val="single" w:sz="18" w:space="0" w:color="auto"/>
            </w:tcBorders>
            <w:vAlign w:val="center"/>
          </w:tcPr>
          <w:p w:rsidR="00BE519C" w:rsidRPr="004E5018" w:rsidRDefault="00BE519C" w:rsidP="00C06F5E">
            <w:pPr>
              <w:jc w:val="center"/>
              <w:rPr>
                <w:b/>
                <w:bCs/>
                <w:color w:val="000000"/>
                <w:sz w:val="18"/>
                <w:szCs w:val="18"/>
              </w:rPr>
            </w:pPr>
            <w:r w:rsidRPr="004E5018">
              <w:rPr>
                <w:b/>
                <w:bCs/>
                <w:color w:val="000000"/>
                <w:sz w:val="18"/>
                <w:szCs w:val="18"/>
              </w:rPr>
              <w:t>6.735</w:t>
            </w:r>
          </w:p>
        </w:tc>
        <w:tc>
          <w:tcPr>
            <w:tcW w:w="621" w:type="dxa"/>
            <w:tcBorders>
              <w:top w:val="single" w:sz="18" w:space="0" w:color="auto"/>
              <w:bottom w:val="single" w:sz="18" w:space="0" w:color="auto"/>
            </w:tcBorders>
            <w:vAlign w:val="center"/>
          </w:tcPr>
          <w:p w:rsidR="00BE519C" w:rsidRPr="004E5018" w:rsidRDefault="00BE519C" w:rsidP="00C06F5E">
            <w:pPr>
              <w:jc w:val="center"/>
              <w:rPr>
                <w:b/>
                <w:color w:val="000000"/>
                <w:sz w:val="18"/>
                <w:szCs w:val="18"/>
              </w:rPr>
            </w:pPr>
            <w:r w:rsidRPr="004E5018">
              <w:rPr>
                <w:b/>
                <w:color w:val="000000"/>
                <w:sz w:val="18"/>
                <w:szCs w:val="18"/>
              </w:rPr>
              <w:t>100%</w:t>
            </w:r>
          </w:p>
        </w:tc>
        <w:tc>
          <w:tcPr>
            <w:tcW w:w="1171" w:type="dxa"/>
            <w:tcBorders>
              <w:top w:val="single" w:sz="18" w:space="0" w:color="auto"/>
              <w:bottom w:val="single" w:sz="18" w:space="0" w:color="auto"/>
            </w:tcBorders>
            <w:vAlign w:val="center"/>
          </w:tcPr>
          <w:p w:rsidR="00BE519C" w:rsidRPr="004E5018" w:rsidRDefault="00BE519C" w:rsidP="00C06F5E">
            <w:pPr>
              <w:jc w:val="center"/>
              <w:rPr>
                <w:b/>
                <w:bCs/>
                <w:color w:val="000000"/>
                <w:sz w:val="18"/>
                <w:szCs w:val="18"/>
              </w:rPr>
            </w:pPr>
            <w:r w:rsidRPr="004E5018">
              <w:rPr>
                <w:b/>
                <w:bCs/>
                <w:color w:val="000000"/>
                <w:sz w:val="18"/>
                <w:szCs w:val="18"/>
              </w:rPr>
              <w:t>73.131.350</w:t>
            </w:r>
          </w:p>
        </w:tc>
        <w:tc>
          <w:tcPr>
            <w:tcW w:w="0" w:type="auto"/>
            <w:tcBorders>
              <w:top w:val="single" w:sz="18" w:space="0" w:color="auto"/>
              <w:bottom w:val="single" w:sz="18" w:space="0" w:color="auto"/>
              <w:right w:val="single" w:sz="18" w:space="0" w:color="auto"/>
            </w:tcBorders>
            <w:vAlign w:val="center"/>
          </w:tcPr>
          <w:p w:rsidR="00BE519C" w:rsidRPr="004E5018" w:rsidRDefault="00BE519C" w:rsidP="00C06F5E">
            <w:pPr>
              <w:jc w:val="center"/>
              <w:rPr>
                <w:b/>
                <w:color w:val="000000"/>
                <w:sz w:val="18"/>
                <w:szCs w:val="18"/>
              </w:rPr>
            </w:pPr>
            <w:r w:rsidRPr="004E5018">
              <w:rPr>
                <w:b/>
                <w:color w:val="000000"/>
                <w:sz w:val="18"/>
                <w:szCs w:val="18"/>
              </w:rPr>
              <w:t>100%</w:t>
            </w:r>
          </w:p>
        </w:tc>
        <w:tc>
          <w:tcPr>
            <w:tcW w:w="0" w:type="auto"/>
            <w:tcBorders>
              <w:top w:val="single" w:sz="18" w:space="0" w:color="auto"/>
              <w:left w:val="single" w:sz="18" w:space="0" w:color="auto"/>
              <w:bottom w:val="single" w:sz="18" w:space="0" w:color="auto"/>
            </w:tcBorders>
            <w:vAlign w:val="center"/>
          </w:tcPr>
          <w:p w:rsidR="00BE519C" w:rsidRPr="004E5018" w:rsidRDefault="00BE519C" w:rsidP="00C06F5E">
            <w:pPr>
              <w:jc w:val="center"/>
              <w:rPr>
                <w:rFonts w:ascii="Calibri" w:hAnsi="Calibri" w:cs="Calibri"/>
                <w:b/>
                <w:bCs/>
                <w:color w:val="000000"/>
                <w:sz w:val="18"/>
                <w:szCs w:val="18"/>
              </w:rPr>
            </w:pPr>
            <w:r w:rsidRPr="004E5018">
              <w:rPr>
                <w:rFonts w:ascii="Calibri" w:hAnsi="Calibri" w:cs="Calibri"/>
                <w:b/>
                <w:bCs/>
                <w:color w:val="000000"/>
                <w:sz w:val="18"/>
                <w:szCs w:val="18"/>
              </w:rPr>
              <w:t>1.094</w:t>
            </w:r>
          </w:p>
        </w:tc>
        <w:tc>
          <w:tcPr>
            <w:tcW w:w="0" w:type="auto"/>
            <w:tcBorders>
              <w:top w:val="single" w:sz="18" w:space="0" w:color="auto"/>
              <w:bottom w:val="single" w:sz="18" w:space="0" w:color="auto"/>
            </w:tcBorders>
            <w:vAlign w:val="center"/>
          </w:tcPr>
          <w:p w:rsidR="00BE519C" w:rsidRPr="004E5018" w:rsidRDefault="00BE519C" w:rsidP="00C06F5E">
            <w:pPr>
              <w:jc w:val="center"/>
              <w:rPr>
                <w:rFonts w:ascii="Calibri" w:hAnsi="Calibri" w:cs="Calibri"/>
                <w:b/>
                <w:color w:val="000000"/>
                <w:sz w:val="18"/>
                <w:szCs w:val="18"/>
              </w:rPr>
            </w:pPr>
            <w:r w:rsidRPr="004E5018">
              <w:rPr>
                <w:rFonts w:ascii="Calibri" w:hAnsi="Calibri" w:cs="Calibri"/>
                <w:b/>
                <w:color w:val="000000"/>
                <w:sz w:val="18"/>
                <w:szCs w:val="18"/>
              </w:rPr>
              <w:t>100%</w:t>
            </w:r>
          </w:p>
        </w:tc>
        <w:tc>
          <w:tcPr>
            <w:tcW w:w="1238" w:type="dxa"/>
            <w:tcBorders>
              <w:top w:val="single" w:sz="18" w:space="0" w:color="auto"/>
              <w:bottom w:val="single" w:sz="18" w:space="0" w:color="auto"/>
            </w:tcBorders>
            <w:vAlign w:val="center"/>
          </w:tcPr>
          <w:p w:rsidR="00BE519C" w:rsidRPr="004E5018" w:rsidRDefault="00BE519C" w:rsidP="00C06F5E">
            <w:pPr>
              <w:jc w:val="center"/>
              <w:rPr>
                <w:rFonts w:ascii="Calibri" w:hAnsi="Calibri" w:cs="Calibri"/>
                <w:b/>
                <w:bCs/>
                <w:color w:val="000000"/>
                <w:sz w:val="18"/>
                <w:szCs w:val="18"/>
              </w:rPr>
            </w:pPr>
            <w:r w:rsidRPr="004E5018">
              <w:rPr>
                <w:rFonts w:ascii="Calibri" w:hAnsi="Calibri" w:cs="Calibri"/>
                <w:b/>
                <w:bCs/>
                <w:color w:val="000000"/>
                <w:sz w:val="18"/>
                <w:szCs w:val="18"/>
              </w:rPr>
              <w:t>6.580.345</w:t>
            </w:r>
          </w:p>
        </w:tc>
        <w:tc>
          <w:tcPr>
            <w:tcW w:w="0" w:type="auto"/>
            <w:tcBorders>
              <w:top w:val="single" w:sz="18" w:space="0" w:color="auto"/>
              <w:bottom w:val="single" w:sz="18" w:space="0" w:color="auto"/>
              <w:right w:val="single" w:sz="18" w:space="0" w:color="auto"/>
            </w:tcBorders>
            <w:vAlign w:val="center"/>
          </w:tcPr>
          <w:p w:rsidR="00BE519C" w:rsidRPr="004E5018" w:rsidRDefault="00BE519C" w:rsidP="00C06F5E">
            <w:pPr>
              <w:jc w:val="center"/>
              <w:rPr>
                <w:rFonts w:ascii="Calibri" w:hAnsi="Calibri" w:cs="Calibri"/>
                <w:b/>
                <w:color w:val="000000"/>
                <w:sz w:val="18"/>
                <w:szCs w:val="18"/>
              </w:rPr>
            </w:pPr>
            <w:r w:rsidRPr="004E5018">
              <w:rPr>
                <w:rFonts w:ascii="Calibri" w:hAnsi="Calibri" w:cs="Calibri"/>
                <w:b/>
                <w:color w:val="000000"/>
                <w:sz w:val="18"/>
                <w:szCs w:val="18"/>
              </w:rPr>
              <w:t>100%</w:t>
            </w:r>
          </w:p>
        </w:tc>
      </w:tr>
    </w:tbl>
    <w:p w:rsidR="00FC3DDD" w:rsidRDefault="00195172" w:rsidP="004E5018">
      <w:pPr>
        <w:rPr>
          <w:rFonts w:ascii="Times New Roman" w:hAnsi="Times New Roman" w:cs="Times New Roman"/>
          <w:sz w:val="24"/>
          <w:szCs w:val="24"/>
        </w:rPr>
        <w:sectPr w:rsidR="00FC3DDD" w:rsidSect="00055CB3">
          <w:pgSz w:w="12240" w:h="15840"/>
          <w:pgMar w:top="720" w:right="720" w:bottom="720" w:left="720" w:header="708" w:footer="708" w:gutter="0"/>
          <w:cols w:space="708"/>
          <w:docGrid w:linePitch="360"/>
        </w:sectPr>
      </w:pPr>
      <w:r>
        <w:rPr>
          <w:rFonts w:ascii="Times New Roman" w:hAnsi="Times New Roman" w:cs="Times New Roman"/>
          <w:sz w:val="24"/>
          <w:szCs w:val="24"/>
        </w:rPr>
        <w:t xml:space="preserve">                       </w:t>
      </w:r>
      <w:r w:rsidR="004E5018">
        <w:rPr>
          <w:rFonts w:ascii="Times New Roman" w:hAnsi="Times New Roman" w:cs="Times New Roman"/>
          <w:sz w:val="24"/>
          <w:szCs w:val="24"/>
        </w:rPr>
        <w:t>*вреднос</w:t>
      </w:r>
      <w:r w:rsidR="00C922D1">
        <w:rPr>
          <w:rFonts w:ascii="Times New Roman" w:hAnsi="Times New Roman" w:cs="Times New Roman"/>
          <w:sz w:val="24"/>
          <w:szCs w:val="24"/>
        </w:rPr>
        <w:t>ти су изражене</w:t>
      </w:r>
      <w:r w:rsidR="00FC3DDD">
        <w:rPr>
          <w:rFonts w:ascii="Times New Roman" w:hAnsi="Times New Roman" w:cs="Times New Roman"/>
          <w:sz w:val="24"/>
          <w:szCs w:val="24"/>
        </w:rPr>
        <w:t xml:space="preserve"> у хиљадама динар</w:t>
      </w:r>
      <w:r w:rsidR="00C922D1">
        <w:rPr>
          <w:rFonts w:ascii="Times New Roman" w:hAnsi="Times New Roman" w:cs="Times New Roman"/>
          <w:sz w:val="24"/>
          <w:szCs w:val="24"/>
        </w:rPr>
        <w:t>а</w:t>
      </w:r>
    </w:p>
    <w:p w:rsidR="00A85B04" w:rsidRDefault="00A85B04" w:rsidP="007B4B66">
      <w:pPr>
        <w:jc w:val="both"/>
        <w:rPr>
          <w:rFonts w:ascii="Times New Roman" w:hAnsi="Times New Roman" w:cs="Times New Roman"/>
          <w:sz w:val="24"/>
          <w:szCs w:val="24"/>
        </w:rPr>
      </w:pPr>
      <w:r>
        <w:rPr>
          <w:rFonts w:ascii="Times New Roman" w:hAnsi="Times New Roman" w:cs="Times New Roman"/>
          <w:sz w:val="24"/>
          <w:szCs w:val="24"/>
        </w:rPr>
        <w:lastRenderedPageBreak/>
        <w:t>Код сектора здравства је забележена висока заступљеност преговарачких поступака без објављивања у трећем кварталу 2013. године као последица неадекватне припремљености за почетак централизоване набавке лекова. Наиме, уредбом Владе било је предвиђено да ће од 1.</w:t>
      </w:r>
      <w:r w:rsidR="003B365F">
        <w:rPr>
          <w:rFonts w:ascii="Times New Roman" w:hAnsi="Times New Roman" w:cs="Times New Roman"/>
          <w:sz w:val="24"/>
          <w:szCs w:val="24"/>
          <w:lang w:val="sr-Cyrl-RS"/>
        </w:rPr>
        <w:t xml:space="preserve"> </w:t>
      </w:r>
      <w:r>
        <w:rPr>
          <w:rFonts w:ascii="Times New Roman" w:hAnsi="Times New Roman" w:cs="Times New Roman"/>
          <w:sz w:val="24"/>
          <w:szCs w:val="24"/>
        </w:rPr>
        <w:t xml:space="preserve">априла 2013. године започети централизовано снабдевање здравствених установа и апотека лековима и одређеним медицинским средствима преко Републичког фонда за здравствено осигурање (РФЗО). Како РФЗО није био у могућности да реализује </w:t>
      </w:r>
      <w:r w:rsidR="005843D1">
        <w:rPr>
          <w:rFonts w:ascii="Times New Roman" w:hAnsi="Times New Roman" w:cs="Times New Roman"/>
          <w:sz w:val="24"/>
          <w:szCs w:val="24"/>
        </w:rPr>
        <w:t xml:space="preserve">планиране </w:t>
      </w:r>
      <w:r>
        <w:rPr>
          <w:rFonts w:ascii="Times New Roman" w:hAnsi="Times New Roman" w:cs="Times New Roman"/>
          <w:sz w:val="24"/>
          <w:szCs w:val="24"/>
        </w:rPr>
        <w:t>набавке</w:t>
      </w:r>
      <w:r w:rsidR="005843D1">
        <w:rPr>
          <w:rFonts w:ascii="Times New Roman" w:hAnsi="Times New Roman" w:cs="Times New Roman"/>
          <w:sz w:val="24"/>
          <w:szCs w:val="24"/>
        </w:rPr>
        <w:t xml:space="preserve"> до наведеног рока</w:t>
      </w:r>
      <w:r>
        <w:rPr>
          <w:rFonts w:ascii="Times New Roman" w:hAnsi="Times New Roman" w:cs="Times New Roman"/>
          <w:sz w:val="24"/>
          <w:szCs w:val="24"/>
        </w:rPr>
        <w:t>, здравствене установе и апотеке су обавештене да саме обезбеде потребне количине. Имајући у виду да су залихе лекова биле при крају, здравствене установе и апотеке су</w:t>
      </w:r>
      <w:r w:rsidR="00E77C49">
        <w:rPr>
          <w:rFonts w:ascii="Times New Roman" w:hAnsi="Times New Roman" w:cs="Times New Roman"/>
          <w:sz w:val="24"/>
          <w:szCs w:val="24"/>
        </w:rPr>
        <w:t>,</w:t>
      </w:r>
      <w:r>
        <w:rPr>
          <w:rFonts w:ascii="Times New Roman" w:hAnsi="Times New Roman" w:cs="Times New Roman"/>
          <w:sz w:val="24"/>
          <w:szCs w:val="24"/>
        </w:rPr>
        <w:t xml:space="preserve"> током априла и маја</w:t>
      </w:r>
      <w:r w:rsidR="00E77C49">
        <w:rPr>
          <w:rFonts w:ascii="Times New Roman" w:hAnsi="Times New Roman" w:cs="Times New Roman"/>
          <w:sz w:val="24"/>
          <w:szCs w:val="24"/>
        </w:rPr>
        <w:t>,</w:t>
      </w:r>
      <w:r>
        <w:rPr>
          <w:rFonts w:ascii="Times New Roman" w:hAnsi="Times New Roman" w:cs="Times New Roman"/>
          <w:sz w:val="24"/>
          <w:szCs w:val="24"/>
        </w:rPr>
        <w:t xml:space="preserve"> покренуле преговарачке поступке по „хитности“ за обезбеђивање четворомесечних количина</w:t>
      </w:r>
      <w:r w:rsidR="00E77C49">
        <w:rPr>
          <w:rFonts w:ascii="Times New Roman" w:hAnsi="Times New Roman" w:cs="Times New Roman"/>
          <w:sz w:val="24"/>
          <w:szCs w:val="24"/>
        </w:rPr>
        <w:t>,</w:t>
      </w:r>
      <w:r>
        <w:rPr>
          <w:rFonts w:ascii="Times New Roman" w:hAnsi="Times New Roman" w:cs="Times New Roman"/>
          <w:sz w:val="24"/>
          <w:szCs w:val="24"/>
        </w:rPr>
        <w:t xml:space="preserve"> док не окончају отворене поступке које су истовремено покренули за количине неопходне </w:t>
      </w:r>
      <w:r w:rsidR="005843D1">
        <w:rPr>
          <w:rFonts w:ascii="Times New Roman" w:hAnsi="Times New Roman" w:cs="Times New Roman"/>
          <w:sz w:val="24"/>
          <w:szCs w:val="24"/>
        </w:rPr>
        <w:t>до краја године. Уговори за преговарачке поступке по „хитности“ закључивани су углавном током трећег квартала</w:t>
      </w:r>
      <w:r w:rsidR="00E77C49">
        <w:rPr>
          <w:rFonts w:ascii="Times New Roman" w:hAnsi="Times New Roman" w:cs="Times New Roman"/>
          <w:sz w:val="24"/>
          <w:szCs w:val="24"/>
        </w:rPr>
        <w:t>,</w:t>
      </w:r>
      <w:r w:rsidR="005843D1">
        <w:rPr>
          <w:rFonts w:ascii="Times New Roman" w:hAnsi="Times New Roman" w:cs="Times New Roman"/>
          <w:sz w:val="24"/>
          <w:szCs w:val="24"/>
        </w:rPr>
        <w:t xml:space="preserve"> те су стога обухваћени овим извештајним периодом. </w:t>
      </w:r>
    </w:p>
    <w:p w:rsidR="00901E3A" w:rsidRDefault="00A84629" w:rsidP="007B4B66">
      <w:pPr>
        <w:jc w:val="both"/>
        <w:rPr>
          <w:rFonts w:ascii="Times New Roman" w:hAnsi="Times New Roman" w:cs="Times New Roman"/>
          <w:sz w:val="24"/>
          <w:szCs w:val="24"/>
        </w:rPr>
      </w:pPr>
      <w:r>
        <w:rPr>
          <w:rFonts w:ascii="Times New Roman" w:hAnsi="Times New Roman" w:cs="Times New Roman"/>
          <w:sz w:val="24"/>
          <w:szCs w:val="24"/>
        </w:rPr>
        <w:t xml:space="preserve">С обзиром да се овде конкретно радило о ванредној околности на коју наручиоци (здравствене и апотекарске установе) нису могли утицати нити их предвидети, </w:t>
      </w:r>
      <w:r w:rsidR="00A85B04">
        <w:rPr>
          <w:rFonts w:ascii="Times New Roman" w:hAnsi="Times New Roman" w:cs="Times New Roman"/>
          <w:sz w:val="24"/>
          <w:szCs w:val="24"/>
        </w:rPr>
        <w:t xml:space="preserve">за </w:t>
      </w:r>
      <w:r>
        <w:rPr>
          <w:rFonts w:ascii="Times New Roman" w:hAnsi="Times New Roman" w:cs="Times New Roman"/>
          <w:sz w:val="24"/>
          <w:szCs w:val="24"/>
        </w:rPr>
        <w:t xml:space="preserve">очекивати је да ће се заступљеност преговарачког поступка без објављивања у области здравства, у наредним извештајним периодима, смањивати.  </w:t>
      </w:r>
      <w:r w:rsidR="0027449F">
        <w:rPr>
          <w:rFonts w:ascii="Times New Roman" w:hAnsi="Times New Roman" w:cs="Times New Roman"/>
          <w:sz w:val="24"/>
          <w:szCs w:val="24"/>
        </w:rPr>
        <w:t>Остаје, међутим, препорука за надлежене институције</w:t>
      </w:r>
      <w:r w:rsidR="00BF0CEA">
        <w:rPr>
          <w:rFonts w:ascii="Times New Roman" w:hAnsi="Times New Roman" w:cs="Times New Roman"/>
          <w:sz w:val="24"/>
          <w:szCs w:val="24"/>
        </w:rPr>
        <w:t>, а пре свега ре</w:t>
      </w:r>
      <w:r w:rsidR="003E1839">
        <w:rPr>
          <w:rFonts w:ascii="Times New Roman" w:hAnsi="Times New Roman" w:cs="Times New Roman"/>
          <w:sz w:val="24"/>
          <w:szCs w:val="24"/>
        </w:rPr>
        <w:t>с</w:t>
      </w:r>
      <w:r w:rsidR="00BF0CEA">
        <w:rPr>
          <w:rFonts w:ascii="Times New Roman" w:hAnsi="Times New Roman" w:cs="Times New Roman"/>
          <w:sz w:val="24"/>
          <w:szCs w:val="24"/>
        </w:rPr>
        <w:t>орно министарство,</w:t>
      </w:r>
      <w:r w:rsidR="0027449F">
        <w:rPr>
          <w:rFonts w:ascii="Times New Roman" w:hAnsi="Times New Roman" w:cs="Times New Roman"/>
          <w:sz w:val="24"/>
          <w:szCs w:val="24"/>
        </w:rPr>
        <w:t xml:space="preserve"> да је неопходно добро испланирати сваку системску меру, као што је прелазак на централизоване набавке. У супротном, у ситуацији </w:t>
      </w:r>
      <w:r w:rsidR="00BF0CEA">
        <w:rPr>
          <w:rFonts w:ascii="Times New Roman" w:hAnsi="Times New Roman" w:cs="Times New Roman"/>
          <w:sz w:val="24"/>
          <w:szCs w:val="24"/>
        </w:rPr>
        <w:t>ка</w:t>
      </w:r>
      <w:r w:rsidR="0027449F">
        <w:rPr>
          <w:rFonts w:ascii="Times New Roman" w:hAnsi="Times New Roman" w:cs="Times New Roman"/>
          <w:sz w:val="24"/>
          <w:szCs w:val="24"/>
        </w:rPr>
        <w:t xml:space="preserve">да изостане добра припрема и реални рокови, мера чији је циљ </w:t>
      </w:r>
      <w:r w:rsidR="00BF0CEA">
        <w:rPr>
          <w:rFonts w:ascii="Times New Roman" w:hAnsi="Times New Roman" w:cs="Times New Roman"/>
          <w:sz w:val="24"/>
          <w:szCs w:val="24"/>
        </w:rPr>
        <w:t>уштеда и рационализација</w:t>
      </w:r>
      <w:r w:rsidR="0027449F">
        <w:rPr>
          <w:rFonts w:ascii="Times New Roman" w:hAnsi="Times New Roman" w:cs="Times New Roman"/>
          <w:sz w:val="24"/>
          <w:szCs w:val="24"/>
        </w:rPr>
        <w:t xml:space="preserve"> може имати сасвим супротне ефекте: да се велике вредности јавних наб</w:t>
      </w:r>
      <w:r w:rsidR="00BF0CEA">
        <w:rPr>
          <w:rFonts w:ascii="Times New Roman" w:hAnsi="Times New Roman" w:cs="Times New Roman"/>
          <w:sz w:val="24"/>
          <w:szCs w:val="24"/>
        </w:rPr>
        <w:t>а</w:t>
      </w:r>
      <w:r w:rsidR="0027449F">
        <w:rPr>
          <w:rFonts w:ascii="Times New Roman" w:hAnsi="Times New Roman" w:cs="Times New Roman"/>
          <w:sz w:val="24"/>
          <w:szCs w:val="24"/>
        </w:rPr>
        <w:t>вки реализују кроз преговарачк</w:t>
      </w:r>
      <w:r w:rsidR="00BF0CEA">
        <w:rPr>
          <w:rFonts w:ascii="Times New Roman" w:hAnsi="Times New Roman" w:cs="Times New Roman"/>
          <w:sz w:val="24"/>
          <w:szCs w:val="24"/>
        </w:rPr>
        <w:t>и</w:t>
      </w:r>
      <w:r w:rsidR="0027449F">
        <w:rPr>
          <w:rFonts w:ascii="Times New Roman" w:hAnsi="Times New Roman" w:cs="Times New Roman"/>
          <w:sz w:val="24"/>
          <w:szCs w:val="24"/>
        </w:rPr>
        <w:t xml:space="preserve"> поступ</w:t>
      </w:r>
      <w:r w:rsidR="00BF0CEA">
        <w:rPr>
          <w:rFonts w:ascii="Times New Roman" w:hAnsi="Times New Roman" w:cs="Times New Roman"/>
          <w:sz w:val="24"/>
          <w:szCs w:val="24"/>
        </w:rPr>
        <w:t>а</w:t>
      </w:r>
      <w:r w:rsidR="0027449F">
        <w:rPr>
          <w:rFonts w:ascii="Times New Roman" w:hAnsi="Times New Roman" w:cs="Times New Roman"/>
          <w:sz w:val="24"/>
          <w:szCs w:val="24"/>
        </w:rPr>
        <w:t xml:space="preserve">к по „хитности“ где је преговарачка позиција купца </w:t>
      </w:r>
      <w:r w:rsidR="003E1839">
        <w:rPr>
          <w:rFonts w:ascii="Times New Roman" w:hAnsi="Times New Roman" w:cs="Times New Roman"/>
          <w:sz w:val="24"/>
          <w:szCs w:val="24"/>
        </w:rPr>
        <w:t>лош</w:t>
      </w:r>
      <w:r w:rsidR="0027449F">
        <w:rPr>
          <w:rFonts w:ascii="Times New Roman" w:hAnsi="Times New Roman" w:cs="Times New Roman"/>
          <w:sz w:val="24"/>
          <w:szCs w:val="24"/>
        </w:rPr>
        <w:t>а</w:t>
      </w:r>
      <w:r w:rsidR="00BF0CEA">
        <w:rPr>
          <w:rFonts w:ascii="Times New Roman" w:hAnsi="Times New Roman" w:cs="Times New Roman"/>
          <w:sz w:val="24"/>
          <w:szCs w:val="24"/>
        </w:rPr>
        <w:t xml:space="preserve">, па </w:t>
      </w:r>
      <w:r w:rsidR="0027449F">
        <w:rPr>
          <w:rFonts w:ascii="Times New Roman" w:hAnsi="Times New Roman" w:cs="Times New Roman"/>
          <w:sz w:val="24"/>
          <w:szCs w:val="24"/>
        </w:rPr>
        <w:t xml:space="preserve">самим тим </w:t>
      </w:r>
      <w:r w:rsidR="00BF0CEA">
        <w:rPr>
          <w:rFonts w:ascii="Times New Roman" w:hAnsi="Times New Roman" w:cs="Times New Roman"/>
          <w:sz w:val="24"/>
          <w:szCs w:val="24"/>
        </w:rPr>
        <w:t>остваруј</w:t>
      </w:r>
      <w:r w:rsidR="003E1839">
        <w:rPr>
          <w:rFonts w:ascii="Times New Roman" w:hAnsi="Times New Roman" w:cs="Times New Roman"/>
          <w:sz w:val="24"/>
          <w:szCs w:val="24"/>
        </w:rPr>
        <w:t>е</w:t>
      </w:r>
      <w:r w:rsidR="00BF0CEA">
        <w:rPr>
          <w:rFonts w:ascii="Times New Roman" w:hAnsi="Times New Roman" w:cs="Times New Roman"/>
          <w:sz w:val="24"/>
          <w:szCs w:val="24"/>
        </w:rPr>
        <w:t xml:space="preserve"> неповољне </w:t>
      </w:r>
      <w:r w:rsidR="003E1839">
        <w:rPr>
          <w:rFonts w:ascii="Times New Roman" w:hAnsi="Times New Roman" w:cs="Times New Roman"/>
          <w:sz w:val="24"/>
          <w:szCs w:val="24"/>
        </w:rPr>
        <w:t>цене и друге</w:t>
      </w:r>
      <w:r w:rsidR="0027449F">
        <w:rPr>
          <w:rFonts w:ascii="Times New Roman" w:hAnsi="Times New Roman" w:cs="Times New Roman"/>
          <w:sz w:val="24"/>
          <w:szCs w:val="24"/>
        </w:rPr>
        <w:t xml:space="preserve"> услов</w:t>
      </w:r>
      <w:r w:rsidR="003E1839">
        <w:rPr>
          <w:rFonts w:ascii="Times New Roman" w:hAnsi="Times New Roman" w:cs="Times New Roman"/>
          <w:sz w:val="24"/>
          <w:szCs w:val="24"/>
        </w:rPr>
        <w:t>е</w:t>
      </w:r>
      <w:r w:rsidR="003B365F">
        <w:rPr>
          <w:rFonts w:ascii="Times New Roman" w:hAnsi="Times New Roman" w:cs="Times New Roman"/>
          <w:sz w:val="24"/>
          <w:szCs w:val="24"/>
          <w:lang w:val="sr-Cyrl-RS"/>
        </w:rPr>
        <w:t xml:space="preserve"> </w:t>
      </w:r>
      <w:r w:rsidR="00B12BAB">
        <w:rPr>
          <w:rFonts w:ascii="Times New Roman" w:hAnsi="Times New Roman" w:cs="Times New Roman"/>
          <w:sz w:val="24"/>
          <w:szCs w:val="24"/>
        </w:rPr>
        <w:t xml:space="preserve">набавке. </w:t>
      </w:r>
    </w:p>
    <w:p w:rsidR="00216C8E" w:rsidRDefault="0044109F" w:rsidP="007B4B66">
      <w:pPr>
        <w:jc w:val="both"/>
        <w:rPr>
          <w:rFonts w:ascii="Times New Roman" w:hAnsi="Times New Roman" w:cs="Times New Roman"/>
          <w:sz w:val="24"/>
          <w:szCs w:val="24"/>
        </w:rPr>
      </w:pPr>
      <w:r>
        <w:rPr>
          <w:rFonts w:ascii="Times New Roman" w:hAnsi="Times New Roman" w:cs="Times New Roman"/>
          <w:sz w:val="24"/>
          <w:szCs w:val="24"/>
        </w:rPr>
        <w:t>Полазећи од тога да је смањивање учешћа пре</w:t>
      </w:r>
      <w:r w:rsidR="006C00BE">
        <w:rPr>
          <w:rFonts w:ascii="Times New Roman" w:hAnsi="Times New Roman" w:cs="Times New Roman"/>
          <w:sz w:val="24"/>
          <w:szCs w:val="24"/>
        </w:rPr>
        <w:t>г</w:t>
      </w:r>
      <w:r>
        <w:rPr>
          <w:rFonts w:ascii="Times New Roman" w:hAnsi="Times New Roman" w:cs="Times New Roman"/>
          <w:sz w:val="24"/>
          <w:szCs w:val="24"/>
        </w:rPr>
        <w:t>оварачк</w:t>
      </w:r>
      <w:r w:rsidR="006C00BE">
        <w:rPr>
          <w:rFonts w:ascii="Times New Roman" w:hAnsi="Times New Roman" w:cs="Times New Roman"/>
          <w:sz w:val="24"/>
          <w:szCs w:val="24"/>
        </w:rPr>
        <w:t>ог</w:t>
      </w:r>
      <w:r>
        <w:rPr>
          <w:rFonts w:ascii="Times New Roman" w:hAnsi="Times New Roman" w:cs="Times New Roman"/>
          <w:sz w:val="24"/>
          <w:szCs w:val="24"/>
        </w:rPr>
        <w:t xml:space="preserve"> поступка без објављивања</w:t>
      </w:r>
      <w:r w:rsidR="006C00BE">
        <w:rPr>
          <w:rFonts w:ascii="Times New Roman" w:hAnsi="Times New Roman" w:cs="Times New Roman"/>
          <w:sz w:val="24"/>
          <w:szCs w:val="24"/>
        </w:rPr>
        <w:t>, као натранспарентног и неконкурентног поступка</w:t>
      </w:r>
      <w:r>
        <w:rPr>
          <w:rFonts w:ascii="Times New Roman" w:hAnsi="Times New Roman" w:cs="Times New Roman"/>
          <w:sz w:val="24"/>
          <w:szCs w:val="24"/>
        </w:rPr>
        <w:t xml:space="preserve">, </w:t>
      </w:r>
      <w:r w:rsidR="006C00BE">
        <w:rPr>
          <w:rFonts w:ascii="Times New Roman" w:hAnsi="Times New Roman" w:cs="Times New Roman"/>
          <w:sz w:val="24"/>
          <w:szCs w:val="24"/>
        </w:rPr>
        <w:t>постављен као циљ у Програму рада Владе и као обавеза у спровођењу Акционог плана за испуњавање препорука из Годишњег извештаја о напретку Европске комисије</w:t>
      </w:r>
      <w:r w:rsidR="00BF0CEA">
        <w:rPr>
          <w:rFonts w:ascii="Times New Roman" w:hAnsi="Times New Roman" w:cs="Times New Roman"/>
          <w:sz w:val="24"/>
          <w:szCs w:val="24"/>
        </w:rPr>
        <w:t>,</w:t>
      </w:r>
      <w:r w:rsidR="006C00BE">
        <w:rPr>
          <w:rFonts w:ascii="Times New Roman" w:hAnsi="Times New Roman" w:cs="Times New Roman"/>
          <w:sz w:val="24"/>
          <w:szCs w:val="24"/>
        </w:rPr>
        <w:t xml:space="preserve"> важно је сагледати како се његова </w:t>
      </w:r>
      <w:r w:rsidR="00BF0CEA">
        <w:rPr>
          <w:rFonts w:ascii="Times New Roman" w:hAnsi="Times New Roman" w:cs="Times New Roman"/>
          <w:sz w:val="24"/>
          <w:szCs w:val="24"/>
        </w:rPr>
        <w:t xml:space="preserve">вредност изражена у апсолутном, новчаном износу </w:t>
      </w:r>
      <w:r w:rsidR="006C00BE">
        <w:rPr>
          <w:rFonts w:ascii="Times New Roman" w:hAnsi="Times New Roman" w:cs="Times New Roman"/>
          <w:sz w:val="24"/>
          <w:szCs w:val="24"/>
        </w:rPr>
        <w:t xml:space="preserve">кретала. </w:t>
      </w:r>
      <w:r w:rsidR="00BF0CEA">
        <w:rPr>
          <w:rFonts w:ascii="Times New Roman" w:hAnsi="Times New Roman" w:cs="Times New Roman"/>
          <w:sz w:val="24"/>
          <w:szCs w:val="24"/>
        </w:rPr>
        <w:t xml:space="preserve">Другим речима, да се види колико је новца потрошено кроз преговарачки поступак у трећем кварталу 2013. године и да се упореди са вредношћу из истог периода претходне године (Слика 7). </w:t>
      </w:r>
    </w:p>
    <w:p w:rsidR="00216C8E" w:rsidRPr="00FC3DDD" w:rsidRDefault="003837F0" w:rsidP="003B365F">
      <w:pPr>
        <w:jc w:val="center"/>
        <w:rPr>
          <w:rFonts w:ascii="Times New Roman" w:hAnsi="Times New Roman" w:cs="Times New Roman"/>
          <w:sz w:val="24"/>
          <w:szCs w:val="24"/>
        </w:rPr>
      </w:pPr>
      <w:r w:rsidRPr="003837F0">
        <w:rPr>
          <w:rFonts w:ascii="Times New Roman" w:hAnsi="Times New Roman" w:cs="Times New Roman"/>
          <w:b/>
          <w:sz w:val="24"/>
          <w:szCs w:val="24"/>
        </w:rPr>
        <w:lastRenderedPageBreak/>
        <w:t>Слика 7</w:t>
      </w:r>
      <w:r w:rsidR="00FC3DDD" w:rsidRPr="003837F0">
        <w:rPr>
          <w:rFonts w:ascii="Times New Roman" w:hAnsi="Times New Roman" w:cs="Times New Roman"/>
          <w:b/>
          <w:sz w:val="24"/>
          <w:szCs w:val="24"/>
        </w:rPr>
        <w:br/>
      </w:r>
      <w:r w:rsidR="003B365F" w:rsidRPr="00881559">
        <w:object w:dxaOrig="7599" w:dyaOrig="5123">
          <v:shape id="_x0000_i1032" type="#_x0000_t75" style="width:379.7pt;height:259.45pt" o:ole="">
            <v:imagedata r:id="rId27" o:title=""/>
          </v:shape>
          <o:OLEObject Type="Embed" ProgID="Excel.Sheet.12" ShapeID="_x0000_i1032" DrawAspect="Content" ObjectID="_1453891883" r:id="rId28"/>
        </w:object>
      </w:r>
    </w:p>
    <w:p w:rsidR="00BF0CEA" w:rsidRDefault="00BF0CEA" w:rsidP="00385201">
      <w:pPr>
        <w:rPr>
          <w:rFonts w:ascii="Times New Roman" w:hAnsi="Times New Roman" w:cs="Times New Roman"/>
          <w:sz w:val="24"/>
          <w:szCs w:val="24"/>
        </w:rPr>
      </w:pPr>
    </w:p>
    <w:p w:rsidR="00BF0CEA" w:rsidRPr="00BF0CEA" w:rsidRDefault="00BF0CEA" w:rsidP="007B4B66">
      <w:pPr>
        <w:jc w:val="both"/>
        <w:rPr>
          <w:rFonts w:ascii="Times New Roman" w:hAnsi="Times New Roman" w:cs="Times New Roman"/>
          <w:sz w:val="24"/>
          <w:szCs w:val="24"/>
        </w:rPr>
      </w:pPr>
      <w:r>
        <w:rPr>
          <w:rFonts w:ascii="Times New Roman" w:hAnsi="Times New Roman" w:cs="Times New Roman"/>
          <w:sz w:val="24"/>
          <w:szCs w:val="24"/>
        </w:rPr>
        <w:t>Као што се на Слици 7 може видети, вредност преговарачког поступка без објављивања јавног позива смањена је са 9,8 на 6,6 милијарди динара или за 1/3</w:t>
      </w:r>
      <w:r w:rsidR="00EF15C0">
        <w:rPr>
          <w:rFonts w:ascii="Times New Roman" w:hAnsi="Times New Roman" w:cs="Times New Roman"/>
          <w:sz w:val="24"/>
          <w:szCs w:val="24"/>
        </w:rPr>
        <w:t>. Произлази да су</w:t>
      </w:r>
      <w:r>
        <w:rPr>
          <w:rFonts w:ascii="Times New Roman" w:hAnsi="Times New Roman" w:cs="Times New Roman"/>
          <w:sz w:val="24"/>
          <w:szCs w:val="24"/>
        </w:rPr>
        <w:t xml:space="preserve"> нова регулатива и институционална решења у </w:t>
      </w:r>
      <w:r w:rsidR="006C7810">
        <w:rPr>
          <w:rFonts w:ascii="Times New Roman" w:hAnsi="Times New Roman" w:cs="Times New Roman"/>
          <w:sz w:val="24"/>
          <w:szCs w:val="24"/>
        </w:rPr>
        <w:t xml:space="preserve">погледу провере </w:t>
      </w:r>
      <w:r w:rsidR="00EF15C0">
        <w:rPr>
          <w:rFonts w:ascii="Times New Roman" w:hAnsi="Times New Roman" w:cs="Times New Roman"/>
          <w:sz w:val="24"/>
          <w:szCs w:val="24"/>
        </w:rPr>
        <w:t>основаности преговарачких поступака</w:t>
      </w:r>
      <w:r w:rsidR="006C7810">
        <w:rPr>
          <w:rFonts w:ascii="Times New Roman" w:hAnsi="Times New Roman" w:cs="Times New Roman"/>
          <w:sz w:val="24"/>
          <w:szCs w:val="24"/>
        </w:rPr>
        <w:t xml:space="preserve"> дали значајне резултате, па би било важно укратко истаћи у чему се састојала ова промена.  </w:t>
      </w:r>
    </w:p>
    <w:p w:rsidR="00EA0849" w:rsidRDefault="00FB793F" w:rsidP="007B4B66">
      <w:pPr>
        <w:jc w:val="both"/>
        <w:rPr>
          <w:rFonts w:ascii="Times New Roman" w:hAnsi="Times New Roman" w:cs="Times New Roman"/>
          <w:sz w:val="24"/>
          <w:szCs w:val="24"/>
        </w:rPr>
      </w:pPr>
      <w:r>
        <w:rPr>
          <w:rFonts w:ascii="Times New Roman" w:hAnsi="Times New Roman" w:cs="Times New Roman"/>
          <w:sz w:val="24"/>
          <w:szCs w:val="24"/>
        </w:rPr>
        <w:t xml:space="preserve">У периоду јануар 2009 – април 2013. година, </w:t>
      </w:r>
      <w:r w:rsidR="00385201">
        <w:rPr>
          <w:rFonts w:ascii="Times New Roman" w:hAnsi="Times New Roman" w:cs="Times New Roman"/>
          <w:sz w:val="24"/>
          <w:szCs w:val="24"/>
        </w:rPr>
        <w:t xml:space="preserve">за покретање преговарачких поступака без објављивања јавног позива </w:t>
      </w:r>
      <w:r w:rsidR="00EA0849">
        <w:rPr>
          <w:rFonts w:ascii="Times New Roman" w:hAnsi="Times New Roman" w:cs="Times New Roman"/>
          <w:sz w:val="24"/>
          <w:szCs w:val="24"/>
        </w:rPr>
        <w:t xml:space="preserve">није било предвиђено давање претходног мишљења од стране Управе за јавне набавке. У посматраном периоду посебно је био заступљен преговарачки поступак са само једним понуђачем који „због техничких или уметничких разлога“ једини може да задовољи дату потребу наручиоца. Овај основ је, у 2012. години, чинио чак половину укупне вредности преговарачког поступка без претходног објављивања. </w:t>
      </w:r>
    </w:p>
    <w:p w:rsidR="00BE3BC3" w:rsidRDefault="00EA0849" w:rsidP="007B4B66">
      <w:pPr>
        <w:jc w:val="both"/>
        <w:rPr>
          <w:rFonts w:ascii="Times New Roman" w:hAnsi="Times New Roman" w:cs="Times New Roman"/>
          <w:sz w:val="24"/>
          <w:szCs w:val="24"/>
        </w:rPr>
      </w:pPr>
      <w:r>
        <w:rPr>
          <w:rFonts w:ascii="Times New Roman" w:hAnsi="Times New Roman" w:cs="Times New Roman"/>
          <w:sz w:val="24"/>
          <w:szCs w:val="24"/>
        </w:rPr>
        <w:t xml:space="preserve">Према тада важећем </w:t>
      </w:r>
      <w:r w:rsidR="0044349B">
        <w:rPr>
          <w:rFonts w:ascii="Times New Roman" w:hAnsi="Times New Roman" w:cs="Times New Roman"/>
          <w:sz w:val="24"/>
          <w:szCs w:val="24"/>
          <w:lang w:val="sr-Cyrl-RS"/>
        </w:rPr>
        <w:t>З</w:t>
      </w:r>
      <w:r>
        <w:rPr>
          <w:rFonts w:ascii="Times New Roman" w:hAnsi="Times New Roman" w:cs="Times New Roman"/>
          <w:sz w:val="24"/>
          <w:szCs w:val="24"/>
        </w:rPr>
        <w:t>акону, наручилац је био у обавези да</w:t>
      </w:r>
      <w:r w:rsidR="006C7810">
        <w:rPr>
          <w:rFonts w:ascii="Times New Roman" w:hAnsi="Times New Roman" w:cs="Times New Roman"/>
          <w:sz w:val="24"/>
          <w:szCs w:val="24"/>
        </w:rPr>
        <w:t>, на Порталу јавних набавки, об</w:t>
      </w:r>
      <w:r>
        <w:rPr>
          <w:rFonts w:ascii="Times New Roman" w:hAnsi="Times New Roman" w:cs="Times New Roman"/>
          <w:sz w:val="24"/>
          <w:szCs w:val="24"/>
        </w:rPr>
        <w:t>ј</w:t>
      </w:r>
      <w:r w:rsidR="006C7810">
        <w:rPr>
          <w:rFonts w:ascii="Times New Roman" w:hAnsi="Times New Roman" w:cs="Times New Roman"/>
          <w:sz w:val="24"/>
          <w:szCs w:val="24"/>
        </w:rPr>
        <w:t>а</w:t>
      </w:r>
      <w:r>
        <w:rPr>
          <w:rFonts w:ascii="Times New Roman" w:hAnsi="Times New Roman" w:cs="Times New Roman"/>
          <w:sz w:val="24"/>
          <w:szCs w:val="24"/>
        </w:rPr>
        <w:t xml:space="preserve">ви своју одлуку да закључи уговор са тачно одређеним понуђачем као јединим у Србији који може да задовољи његову потребу. </w:t>
      </w:r>
      <w:r w:rsidR="00342D08">
        <w:rPr>
          <w:rFonts w:ascii="Times New Roman" w:hAnsi="Times New Roman" w:cs="Times New Roman"/>
          <w:sz w:val="24"/>
          <w:szCs w:val="24"/>
        </w:rPr>
        <w:t>Објављивање одлуке на Порталу давало је могућности осталим понуђачима, потенцијалним конкурентима из те области, да добију информацију на време и да улагањем захтева за заштиту права спрече закључивање уговора, уколико сматрају да и он</w:t>
      </w:r>
      <w:r w:rsidR="006C7810">
        <w:rPr>
          <w:rFonts w:ascii="Times New Roman" w:hAnsi="Times New Roman" w:cs="Times New Roman"/>
          <w:sz w:val="24"/>
          <w:szCs w:val="24"/>
        </w:rPr>
        <w:t>и могу да задовоље дату потребу</w:t>
      </w:r>
      <w:r w:rsidR="00342D08">
        <w:rPr>
          <w:rFonts w:ascii="Times New Roman" w:hAnsi="Times New Roman" w:cs="Times New Roman"/>
          <w:sz w:val="24"/>
          <w:szCs w:val="24"/>
        </w:rPr>
        <w:t xml:space="preserve">, те да су на овај начин </w:t>
      </w:r>
      <w:r w:rsidR="00025C3A">
        <w:rPr>
          <w:rFonts w:ascii="Times New Roman" w:hAnsi="Times New Roman" w:cs="Times New Roman"/>
          <w:sz w:val="24"/>
          <w:szCs w:val="24"/>
        </w:rPr>
        <w:t xml:space="preserve">били </w:t>
      </w:r>
      <w:r w:rsidR="00342D08">
        <w:rPr>
          <w:rFonts w:ascii="Times New Roman" w:hAnsi="Times New Roman" w:cs="Times New Roman"/>
          <w:sz w:val="24"/>
          <w:szCs w:val="24"/>
        </w:rPr>
        <w:t xml:space="preserve">неоправдано искључени из поступка. </w:t>
      </w:r>
      <w:r w:rsidR="00BE3BC3">
        <w:rPr>
          <w:rFonts w:ascii="Times New Roman" w:hAnsi="Times New Roman" w:cs="Times New Roman"/>
          <w:sz w:val="24"/>
          <w:szCs w:val="24"/>
        </w:rPr>
        <w:t>Овакво решење је било преузето из хрватског закона о јавним набавкама где се показало делотворним.</w:t>
      </w:r>
    </w:p>
    <w:p w:rsidR="00374908" w:rsidRDefault="00BE3BC3" w:rsidP="007B4B66">
      <w:pPr>
        <w:jc w:val="both"/>
        <w:rPr>
          <w:rFonts w:ascii="Times New Roman" w:hAnsi="Times New Roman" w:cs="Times New Roman"/>
          <w:sz w:val="24"/>
          <w:szCs w:val="24"/>
        </w:rPr>
      </w:pPr>
      <w:r>
        <w:rPr>
          <w:rFonts w:ascii="Times New Roman" w:hAnsi="Times New Roman" w:cs="Times New Roman"/>
          <w:sz w:val="24"/>
          <w:szCs w:val="24"/>
        </w:rPr>
        <w:t xml:space="preserve">Други основ по заступљености у преговарачком поступку без објављивања биле су „ванредне и непредвиђене околности“ (тзв. „хитност“). </w:t>
      </w:r>
      <w:r w:rsidR="00374908">
        <w:rPr>
          <w:rFonts w:ascii="Times New Roman" w:hAnsi="Times New Roman" w:cs="Times New Roman"/>
          <w:sz w:val="24"/>
          <w:szCs w:val="24"/>
        </w:rPr>
        <w:t>Ни овде Управа није давала претходно мишљење о основаности примене преговарачког поступка, већ је само добијала накнадни извештај да је поступак спроведен</w:t>
      </w:r>
      <w:r w:rsidR="00025C3A">
        <w:rPr>
          <w:rFonts w:ascii="Times New Roman" w:hAnsi="Times New Roman" w:cs="Times New Roman"/>
          <w:sz w:val="24"/>
          <w:szCs w:val="24"/>
        </w:rPr>
        <w:t xml:space="preserve"> и услед којих околности</w:t>
      </w:r>
      <w:r w:rsidR="00374908">
        <w:rPr>
          <w:rFonts w:ascii="Times New Roman" w:hAnsi="Times New Roman" w:cs="Times New Roman"/>
          <w:sz w:val="24"/>
          <w:szCs w:val="24"/>
        </w:rPr>
        <w:t xml:space="preserve">. Трећи основ </w:t>
      </w:r>
      <w:r w:rsidR="00025C3A">
        <w:rPr>
          <w:rFonts w:ascii="Times New Roman" w:hAnsi="Times New Roman" w:cs="Times New Roman"/>
          <w:sz w:val="24"/>
          <w:szCs w:val="24"/>
        </w:rPr>
        <w:t>за преговарање били су додатни радови и услуге где је постојао висок ризик за злоупотребе</w:t>
      </w:r>
      <w:r w:rsidR="00374908">
        <w:rPr>
          <w:rFonts w:ascii="Times New Roman" w:hAnsi="Times New Roman" w:cs="Times New Roman"/>
          <w:sz w:val="24"/>
          <w:szCs w:val="24"/>
        </w:rPr>
        <w:t>.</w:t>
      </w:r>
    </w:p>
    <w:p w:rsidR="00FD7ED2" w:rsidRPr="00025C3A" w:rsidRDefault="00374908" w:rsidP="007B4B66">
      <w:pPr>
        <w:jc w:val="both"/>
        <w:rPr>
          <w:rFonts w:ascii="Times New Roman" w:hAnsi="Times New Roman" w:cs="Times New Roman"/>
          <w:sz w:val="24"/>
          <w:szCs w:val="24"/>
        </w:rPr>
      </w:pPr>
      <w:r>
        <w:rPr>
          <w:rFonts w:ascii="Times New Roman" w:hAnsi="Times New Roman" w:cs="Times New Roman"/>
          <w:sz w:val="24"/>
          <w:szCs w:val="24"/>
        </w:rPr>
        <w:lastRenderedPageBreak/>
        <w:t>Нови</w:t>
      </w:r>
      <w:r w:rsidR="00025C3A">
        <w:rPr>
          <w:rFonts w:ascii="Times New Roman" w:hAnsi="Times New Roman" w:cs="Times New Roman"/>
          <w:sz w:val="24"/>
          <w:szCs w:val="24"/>
        </w:rPr>
        <w:t>м</w:t>
      </w:r>
      <w:r>
        <w:rPr>
          <w:rFonts w:ascii="Times New Roman" w:hAnsi="Times New Roman" w:cs="Times New Roman"/>
          <w:sz w:val="24"/>
          <w:szCs w:val="24"/>
        </w:rPr>
        <w:t xml:space="preserve"> ЗЈН</w:t>
      </w:r>
      <w:r w:rsidR="00025C3A">
        <w:rPr>
          <w:rFonts w:ascii="Times New Roman" w:hAnsi="Times New Roman" w:cs="Times New Roman"/>
          <w:sz w:val="24"/>
          <w:szCs w:val="24"/>
        </w:rPr>
        <w:t>,</w:t>
      </w:r>
      <w:r>
        <w:rPr>
          <w:rFonts w:ascii="Times New Roman" w:hAnsi="Times New Roman" w:cs="Times New Roman"/>
          <w:sz w:val="24"/>
          <w:szCs w:val="24"/>
        </w:rPr>
        <w:t xml:space="preserve"> који је почео са применом од 1.априла 2013. </w:t>
      </w:r>
      <w:r w:rsidR="00025C3A">
        <w:rPr>
          <w:rFonts w:ascii="Times New Roman" w:hAnsi="Times New Roman" w:cs="Times New Roman"/>
          <w:sz w:val="24"/>
          <w:szCs w:val="24"/>
        </w:rPr>
        <w:t>г</w:t>
      </w:r>
      <w:r>
        <w:rPr>
          <w:rFonts w:ascii="Times New Roman" w:hAnsi="Times New Roman" w:cs="Times New Roman"/>
          <w:sz w:val="24"/>
          <w:szCs w:val="24"/>
        </w:rPr>
        <w:t>одине</w:t>
      </w:r>
      <w:r w:rsidR="00025C3A">
        <w:rPr>
          <w:rFonts w:ascii="Times New Roman" w:hAnsi="Times New Roman" w:cs="Times New Roman"/>
          <w:sz w:val="24"/>
          <w:szCs w:val="24"/>
        </w:rPr>
        <w:t>,</w:t>
      </w:r>
      <w:r>
        <w:rPr>
          <w:rFonts w:ascii="Times New Roman" w:hAnsi="Times New Roman" w:cs="Times New Roman"/>
          <w:sz w:val="24"/>
          <w:szCs w:val="24"/>
        </w:rPr>
        <w:t xml:space="preserve"> уведено је решење по коме се за преговарачке поступке по сва три поменута основа наручилац мора претх</w:t>
      </w:r>
      <w:r w:rsidR="0044349B">
        <w:rPr>
          <w:rFonts w:ascii="Times New Roman" w:hAnsi="Times New Roman" w:cs="Times New Roman"/>
          <w:sz w:val="24"/>
          <w:szCs w:val="24"/>
        </w:rPr>
        <w:t>одно обратити Управи за јавне н</w:t>
      </w:r>
      <w:r>
        <w:rPr>
          <w:rFonts w:ascii="Times New Roman" w:hAnsi="Times New Roman" w:cs="Times New Roman"/>
          <w:sz w:val="24"/>
          <w:szCs w:val="24"/>
        </w:rPr>
        <w:t xml:space="preserve">абвке за мишљење. Управа цени основаност примене преговарачког поступка и на основу тога је у могућности да делује превентивно </w:t>
      </w:r>
      <w:r w:rsidRPr="00374908">
        <w:rPr>
          <w:rFonts w:ascii="Times New Roman" w:hAnsi="Times New Roman" w:cs="Times New Roman"/>
          <w:i/>
          <w:sz w:val="24"/>
          <w:szCs w:val="24"/>
        </w:rPr>
        <w:t>(„ex ante”</w:t>
      </w:r>
      <w:r w:rsidR="00025C3A">
        <w:rPr>
          <w:rFonts w:ascii="Times New Roman" w:hAnsi="Times New Roman" w:cs="Times New Roman"/>
          <w:sz w:val="24"/>
          <w:szCs w:val="24"/>
        </w:rPr>
        <w:t xml:space="preserve">) давањем негативног мишљења. </w:t>
      </w:r>
    </w:p>
    <w:p w:rsidR="00374908" w:rsidRPr="00696FC9" w:rsidRDefault="00726F0B" w:rsidP="007B4B66">
      <w:pPr>
        <w:jc w:val="both"/>
        <w:rPr>
          <w:rFonts w:ascii="Times New Roman" w:hAnsi="Times New Roman" w:cs="Times New Roman"/>
          <w:sz w:val="24"/>
          <w:szCs w:val="24"/>
        </w:rPr>
      </w:pPr>
      <w:r>
        <w:rPr>
          <w:rFonts w:ascii="Times New Roman" w:hAnsi="Times New Roman" w:cs="Times New Roman"/>
          <w:sz w:val="24"/>
          <w:szCs w:val="24"/>
        </w:rPr>
        <w:t>Имајући ово у виду, од зн</w:t>
      </w:r>
      <w:r w:rsidR="00696FC9">
        <w:rPr>
          <w:rFonts w:ascii="Times New Roman" w:hAnsi="Times New Roman" w:cs="Times New Roman"/>
          <w:sz w:val="24"/>
          <w:szCs w:val="24"/>
        </w:rPr>
        <w:t>ачаја је да се сагледа до каквих промена је дошло у примени сваког од три поменута основа за покретање преговарачког поступка, након што је почела примена нових законских решења. Структура</w:t>
      </w:r>
      <w:r w:rsidR="000A1E11">
        <w:rPr>
          <w:rFonts w:ascii="Times New Roman" w:hAnsi="Times New Roman" w:cs="Times New Roman"/>
          <w:sz w:val="24"/>
          <w:szCs w:val="24"/>
        </w:rPr>
        <w:t xml:space="preserve"> преговарачког поступка без објављивања, по три најзаступљенија основа</w:t>
      </w:r>
      <w:r w:rsidR="00696FC9">
        <w:rPr>
          <w:rFonts w:ascii="Times New Roman" w:hAnsi="Times New Roman" w:cs="Times New Roman"/>
          <w:sz w:val="24"/>
          <w:szCs w:val="24"/>
        </w:rPr>
        <w:t>,</w:t>
      </w:r>
      <w:r w:rsidR="000A1E11">
        <w:rPr>
          <w:rFonts w:ascii="Times New Roman" w:hAnsi="Times New Roman" w:cs="Times New Roman"/>
          <w:sz w:val="24"/>
          <w:szCs w:val="24"/>
        </w:rPr>
        <w:t xml:space="preserve"> приказана је на Слици 8.</w:t>
      </w:r>
    </w:p>
    <w:p w:rsidR="00871FE8" w:rsidRPr="001C39F2" w:rsidRDefault="001C39F2" w:rsidP="0044349B">
      <w:pPr>
        <w:rPr>
          <w:rFonts w:ascii="Times New Roman" w:hAnsi="Times New Roman" w:cs="Times New Roman"/>
          <w:b/>
          <w:sz w:val="24"/>
          <w:szCs w:val="24"/>
        </w:rPr>
      </w:pPr>
      <w:r w:rsidRPr="001C39F2">
        <w:rPr>
          <w:rFonts w:ascii="Times New Roman" w:hAnsi="Times New Roman" w:cs="Times New Roman"/>
          <w:b/>
          <w:sz w:val="24"/>
          <w:szCs w:val="24"/>
        </w:rPr>
        <w:t xml:space="preserve">Слика </w:t>
      </w:r>
      <w:r w:rsidR="00871FE8" w:rsidRPr="001C39F2">
        <w:rPr>
          <w:rFonts w:ascii="Times New Roman" w:hAnsi="Times New Roman" w:cs="Times New Roman"/>
          <w:b/>
          <w:sz w:val="24"/>
          <w:szCs w:val="24"/>
        </w:rPr>
        <w:t>8</w:t>
      </w:r>
    </w:p>
    <w:bookmarkStart w:id="1" w:name="_MON_1452182645"/>
    <w:bookmarkStart w:id="2" w:name="_MON_1452182695"/>
    <w:bookmarkStart w:id="3" w:name="_MON_1452182720"/>
    <w:bookmarkEnd w:id="1"/>
    <w:bookmarkEnd w:id="2"/>
    <w:bookmarkEnd w:id="3"/>
    <w:bookmarkStart w:id="4" w:name="_MON_1452182741"/>
    <w:bookmarkEnd w:id="4"/>
    <w:p w:rsidR="00063307" w:rsidRPr="00063307" w:rsidRDefault="00B52C7D" w:rsidP="00063307">
      <w:pPr>
        <w:jc w:val="center"/>
        <w:rPr>
          <w:rFonts w:ascii="Times New Roman" w:hAnsi="Times New Roman" w:cs="Times New Roman"/>
          <w:sz w:val="24"/>
          <w:szCs w:val="24"/>
        </w:rPr>
      </w:pPr>
      <w:r>
        <w:object w:dxaOrig="8805" w:dyaOrig="5595">
          <v:shape id="_x0000_i1033" type="#_x0000_t75" style="width:440.15pt;height:305.65pt" o:ole="">
            <v:imagedata r:id="rId29" o:title=""/>
          </v:shape>
          <o:OLEObject Type="Embed" ProgID="Excel.Sheet.12" ShapeID="_x0000_i1033" DrawAspect="Content" ObjectID="_1453891884" r:id="rId30"/>
        </w:object>
      </w:r>
    </w:p>
    <w:p w:rsidR="0039379B" w:rsidRDefault="00696FC9" w:rsidP="007B4B66">
      <w:pPr>
        <w:jc w:val="both"/>
        <w:rPr>
          <w:rFonts w:ascii="Times New Roman" w:hAnsi="Times New Roman" w:cs="Times New Roman"/>
          <w:sz w:val="24"/>
          <w:szCs w:val="24"/>
        </w:rPr>
      </w:pPr>
      <w:r>
        <w:rPr>
          <w:rFonts w:ascii="Times New Roman" w:hAnsi="Times New Roman" w:cs="Times New Roman"/>
          <w:sz w:val="24"/>
          <w:szCs w:val="24"/>
        </w:rPr>
        <w:t>Као што се на Слици 8 може видети, н</w:t>
      </w:r>
      <w:r w:rsidR="000A1E11">
        <w:rPr>
          <w:rFonts w:ascii="Times New Roman" w:hAnsi="Times New Roman" w:cs="Times New Roman"/>
          <w:sz w:val="24"/>
          <w:szCs w:val="24"/>
        </w:rPr>
        <w:t>ајвише су смањени преговарачки пос</w:t>
      </w:r>
      <w:r w:rsidR="0039379B">
        <w:rPr>
          <w:rFonts w:ascii="Times New Roman" w:hAnsi="Times New Roman" w:cs="Times New Roman"/>
          <w:sz w:val="24"/>
          <w:szCs w:val="24"/>
        </w:rPr>
        <w:t xml:space="preserve">тупци са само једним понуђачем </w:t>
      </w:r>
      <w:r w:rsidR="000A1E11">
        <w:rPr>
          <w:rFonts w:ascii="Times New Roman" w:hAnsi="Times New Roman" w:cs="Times New Roman"/>
          <w:sz w:val="24"/>
          <w:szCs w:val="24"/>
        </w:rPr>
        <w:t xml:space="preserve">који због </w:t>
      </w:r>
      <w:r w:rsidR="0039379B">
        <w:rPr>
          <w:rFonts w:ascii="Times New Roman" w:hAnsi="Times New Roman" w:cs="Times New Roman"/>
          <w:sz w:val="24"/>
          <w:szCs w:val="24"/>
        </w:rPr>
        <w:t>„</w:t>
      </w:r>
      <w:r w:rsidR="000A1E11">
        <w:rPr>
          <w:rFonts w:ascii="Times New Roman" w:hAnsi="Times New Roman" w:cs="Times New Roman"/>
          <w:sz w:val="24"/>
          <w:szCs w:val="24"/>
        </w:rPr>
        <w:t>техничких и уметничких разлога</w:t>
      </w:r>
      <w:r w:rsidR="0039379B">
        <w:rPr>
          <w:rFonts w:ascii="Times New Roman" w:hAnsi="Times New Roman" w:cs="Times New Roman"/>
          <w:sz w:val="24"/>
          <w:szCs w:val="24"/>
        </w:rPr>
        <w:t>“</w:t>
      </w:r>
      <w:r w:rsidR="000A1E11">
        <w:rPr>
          <w:rFonts w:ascii="Times New Roman" w:hAnsi="Times New Roman" w:cs="Times New Roman"/>
          <w:sz w:val="24"/>
          <w:szCs w:val="24"/>
        </w:rPr>
        <w:t xml:space="preserve"> једини мож</w:t>
      </w:r>
      <w:r w:rsidR="0039379B">
        <w:rPr>
          <w:rFonts w:ascii="Times New Roman" w:hAnsi="Times New Roman" w:cs="Times New Roman"/>
          <w:sz w:val="24"/>
          <w:szCs w:val="24"/>
        </w:rPr>
        <w:t>е да задовољи потребе наручиоца</w:t>
      </w:r>
      <w:r w:rsidR="000A1E11">
        <w:rPr>
          <w:rFonts w:ascii="Times New Roman" w:hAnsi="Times New Roman" w:cs="Times New Roman"/>
          <w:sz w:val="24"/>
          <w:szCs w:val="24"/>
        </w:rPr>
        <w:t xml:space="preserve">.  </w:t>
      </w:r>
      <w:r w:rsidR="0039379B">
        <w:rPr>
          <w:rFonts w:ascii="Times New Roman" w:hAnsi="Times New Roman" w:cs="Times New Roman"/>
          <w:sz w:val="24"/>
          <w:szCs w:val="24"/>
        </w:rPr>
        <w:t>То је поступак код кога је конкуренција у потпуности искључена и стога најнеповољнији за државу као купца, а уједно и најризичнији са аспекта могућих злоупотреба.  Ово је добар пример који показује да транспарентност, сама по себи, није довољна да обезбеди конкуренцију</w:t>
      </w:r>
      <w:r>
        <w:rPr>
          <w:rStyle w:val="FootnoteReference"/>
          <w:rFonts w:ascii="Times New Roman" w:hAnsi="Times New Roman" w:cs="Times New Roman"/>
          <w:sz w:val="24"/>
          <w:szCs w:val="24"/>
        </w:rPr>
        <w:footnoteReference w:id="3"/>
      </w:r>
      <w:r w:rsidR="0039379B">
        <w:rPr>
          <w:rFonts w:ascii="Times New Roman" w:hAnsi="Times New Roman" w:cs="Times New Roman"/>
          <w:sz w:val="24"/>
          <w:szCs w:val="24"/>
        </w:rPr>
        <w:t>, те да</w:t>
      </w:r>
      <w:r>
        <w:rPr>
          <w:rFonts w:ascii="Times New Roman" w:hAnsi="Times New Roman" w:cs="Times New Roman"/>
          <w:sz w:val="24"/>
          <w:szCs w:val="24"/>
        </w:rPr>
        <w:t>,</w:t>
      </w:r>
      <w:r w:rsidR="0039379B">
        <w:rPr>
          <w:rFonts w:ascii="Times New Roman" w:hAnsi="Times New Roman" w:cs="Times New Roman"/>
          <w:sz w:val="24"/>
          <w:szCs w:val="24"/>
        </w:rPr>
        <w:t xml:space="preserve"> уколико се покаже да тржиште (тј. понуђачи) не реагује према очекивањима у смислу заштите својих права и конкуренције, тада држава, односно регулаторна </w:t>
      </w:r>
      <w:r>
        <w:rPr>
          <w:rFonts w:ascii="Times New Roman" w:hAnsi="Times New Roman" w:cs="Times New Roman"/>
          <w:sz w:val="24"/>
          <w:szCs w:val="24"/>
        </w:rPr>
        <w:t>тела треба да преузму т</w:t>
      </w:r>
      <w:r w:rsidR="0039379B">
        <w:rPr>
          <w:rFonts w:ascii="Times New Roman" w:hAnsi="Times New Roman" w:cs="Times New Roman"/>
          <w:sz w:val="24"/>
          <w:szCs w:val="24"/>
        </w:rPr>
        <w:t xml:space="preserve">у функцију.   </w:t>
      </w:r>
    </w:p>
    <w:p w:rsidR="0039379B" w:rsidRPr="005D0B49" w:rsidRDefault="005D0B49" w:rsidP="007B4B66">
      <w:pPr>
        <w:jc w:val="both"/>
        <w:rPr>
          <w:rFonts w:ascii="Times New Roman" w:hAnsi="Times New Roman" w:cs="Times New Roman"/>
          <w:sz w:val="24"/>
          <w:szCs w:val="24"/>
        </w:rPr>
      </w:pPr>
      <w:r>
        <w:rPr>
          <w:rFonts w:ascii="Times New Roman" w:hAnsi="Times New Roman" w:cs="Times New Roman"/>
          <w:sz w:val="24"/>
          <w:szCs w:val="24"/>
        </w:rPr>
        <w:t xml:space="preserve">Слика 8 показује </w:t>
      </w:r>
      <w:r w:rsidR="00696FC9">
        <w:rPr>
          <w:rFonts w:ascii="Times New Roman" w:hAnsi="Times New Roman" w:cs="Times New Roman"/>
          <w:sz w:val="24"/>
          <w:szCs w:val="24"/>
        </w:rPr>
        <w:t xml:space="preserve">да је </w:t>
      </w:r>
      <w:r>
        <w:rPr>
          <w:rFonts w:ascii="Times New Roman" w:hAnsi="Times New Roman" w:cs="Times New Roman"/>
          <w:sz w:val="24"/>
          <w:szCs w:val="24"/>
        </w:rPr>
        <w:t xml:space="preserve">значајно смањена вредност додатних радова и услуга на које Управа, такође, даје претходно мишљење о оправданости поступка. </w:t>
      </w:r>
    </w:p>
    <w:p w:rsidR="00B52C7D" w:rsidRPr="00C330AE" w:rsidRDefault="00B52C7D" w:rsidP="007B4B66">
      <w:pPr>
        <w:jc w:val="both"/>
        <w:rPr>
          <w:rFonts w:ascii="Times New Roman" w:hAnsi="Times New Roman" w:cs="Times New Roman"/>
          <w:sz w:val="24"/>
          <w:szCs w:val="24"/>
        </w:rPr>
      </w:pPr>
      <w:r>
        <w:rPr>
          <w:rFonts w:ascii="Times New Roman" w:hAnsi="Times New Roman" w:cs="Times New Roman"/>
          <w:sz w:val="24"/>
          <w:szCs w:val="24"/>
        </w:rPr>
        <w:lastRenderedPageBreak/>
        <w:t>Једини основ по коме је забележен раст преговарачког поступка биле су ванредне и непредвиђене околности (тзв. „хитност“)</w:t>
      </w:r>
      <w:r w:rsidR="0034536F">
        <w:rPr>
          <w:rFonts w:ascii="Times New Roman" w:hAnsi="Times New Roman" w:cs="Times New Roman"/>
          <w:sz w:val="24"/>
          <w:szCs w:val="24"/>
        </w:rPr>
        <w:t xml:space="preserve">. Да би се сагледало </w:t>
      </w:r>
      <w:r w:rsidR="00C330AE">
        <w:rPr>
          <w:rFonts w:ascii="Times New Roman" w:hAnsi="Times New Roman" w:cs="Times New Roman"/>
          <w:sz w:val="24"/>
          <w:szCs w:val="24"/>
        </w:rPr>
        <w:t>шта је био узрок повећања преговарачког поступка по</w:t>
      </w:r>
      <w:r w:rsidR="0044349B">
        <w:rPr>
          <w:rFonts w:ascii="Times New Roman" w:hAnsi="Times New Roman" w:cs="Times New Roman"/>
          <w:sz w:val="24"/>
          <w:szCs w:val="24"/>
          <w:lang w:val="sr-Cyrl-RS"/>
        </w:rPr>
        <w:t xml:space="preserve"> </w:t>
      </w:r>
      <w:r w:rsidR="00C330AE">
        <w:rPr>
          <w:rFonts w:ascii="Times New Roman" w:hAnsi="Times New Roman" w:cs="Times New Roman"/>
          <w:sz w:val="24"/>
          <w:szCs w:val="24"/>
        </w:rPr>
        <w:t>„хитности“, потребно је погледати његову структуру (Слика 9).</w:t>
      </w:r>
    </w:p>
    <w:p w:rsidR="0044349B" w:rsidRDefault="00C330AE" w:rsidP="0044349B">
      <w:pPr>
        <w:rPr>
          <w:rFonts w:ascii="Times New Roman" w:hAnsi="Times New Roman" w:cs="Times New Roman"/>
          <w:b/>
          <w:sz w:val="24"/>
          <w:szCs w:val="24"/>
          <w:lang w:val="sr-Cyrl-RS"/>
        </w:rPr>
      </w:pPr>
      <w:r w:rsidRPr="00C330AE">
        <w:rPr>
          <w:rFonts w:ascii="Times New Roman" w:hAnsi="Times New Roman" w:cs="Times New Roman"/>
          <w:b/>
          <w:sz w:val="24"/>
          <w:szCs w:val="24"/>
        </w:rPr>
        <w:t>Слика 9</w:t>
      </w:r>
    </w:p>
    <w:p w:rsidR="00C330AE" w:rsidRDefault="00BE041F" w:rsidP="0044349B">
      <w:pPr>
        <w:jc w:val="center"/>
        <w:rPr>
          <w:rFonts w:ascii="Times New Roman" w:hAnsi="Times New Roman" w:cs="Times New Roman"/>
          <w:b/>
          <w:sz w:val="24"/>
          <w:szCs w:val="24"/>
        </w:rPr>
      </w:pPr>
      <w:r>
        <w:rPr>
          <w:rFonts w:ascii="Times New Roman" w:hAnsi="Times New Roman" w:cs="Times New Roman"/>
          <w:b/>
          <w:sz w:val="24"/>
          <w:szCs w:val="24"/>
        </w:rPr>
        <w:br/>
      </w:r>
      <w:bookmarkStart w:id="5" w:name="_MON_1452610504"/>
      <w:bookmarkEnd w:id="5"/>
      <w:r w:rsidR="0044349B" w:rsidRPr="001B03AA">
        <w:object w:dxaOrig="7860" w:dyaOrig="7591">
          <v:shape id="_x0000_i1034" type="#_x0000_t75" style="width:423.15pt;height:337.6pt" o:ole="">
            <v:imagedata r:id="rId31" o:title=""/>
            <o:lock v:ext="edit" aspectratio="f"/>
          </v:shape>
          <o:OLEObject Type="Embed" ProgID="Excel.Sheet.12" ShapeID="_x0000_i1034" DrawAspect="Content" ObjectID="_1453891885" r:id="rId32"/>
        </w:object>
      </w:r>
    </w:p>
    <w:p w:rsidR="00C330AE" w:rsidRPr="0044349B" w:rsidRDefault="009D6781" w:rsidP="0044349B">
      <w:pPr>
        <w:jc w:val="both"/>
        <w:rPr>
          <w:rFonts w:ascii="Times New Roman" w:hAnsi="Times New Roman" w:cs="Times New Roman"/>
          <w:sz w:val="24"/>
          <w:szCs w:val="24"/>
          <w:lang w:val="sr-Cyrl-RS"/>
        </w:rPr>
      </w:pPr>
      <w:r>
        <w:rPr>
          <w:rFonts w:ascii="Times New Roman" w:hAnsi="Times New Roman" w:cs="Times New Roman"/>
          <w:sz w:val="24"/>
          <w:szCs w:val="24"/>
        </w:rPr>
        <w:t xml:space="preserve">Као што се из прегледа на Слици 9 може видети, главни генератор преговарачких поступака по „хитности“ у трећем кварталу 2013. године било је здравство. Разлози за ванредну набавку лекова и медицинских средстава од стране здравствених и апотекарских установа у 2013. години већ су објашњени. </w:t>
      </w:r>
      <w:r w:rsidR="00A73C25">
        <w:rPr>
          <w:rFonts w:ascii="Times New Roman" w:hAnsi="Times New Roman" w:cs="Times New Roman"/>
          <w:sz w:val="24"/>
          <w:szCs w:val="24"/>
        </w:rPr>
        <w:t>Имајући у виду да је реализација централизоване набавке лекова за здравствене установе преко РФЗО померена на 1. јануар 2014. године, важно је да надлежене институције (Министарство здравља и РФЗО) добро испланирају поступак, пре свега са аспекта обима предмета набавки и круга наручилаца за које се набавка спроводи, како се здравствене установе не би поново нашле у ситуацији да морају да набављају лекове и медицинска средства у преговарачком поступку по „хитности“.</w:t>
      </w:r>
    </w:p>
    <w:p w:rsidR="00423371" w:rsidRPr="00B52C7D" w:rsidRDefault="00423371" w:rsidP="00B52C7D">
      <w:pPr>
        <w:pStyle w:val="ListParagraph"/>
        <w:numPr>
          <w:ilvl w:val="0"/>
          <w:numId w:val="2"/>
        </w:numPr>
        <w:rPr>
          <w:rFonts w:ascii="Times New Roman" w:hAnsi="Times New Roman" w:cs="Times New Roman"/>
          <w:b/>
          <w:sz w:val="24"/>
          <w:szCs w:val="24"/>
        </w:rPr>
      </w:pPr>
      <w:r w:rsidRPr="00B52C7D">
        <w:rPr>
          <w:rFonts w:ascii="Times New Roman" w:hAnsi="Times New Roman" w:cs="Times New Roman"/>
          <w:b/>
          <w:sz w:val="24"/>
          <w:szCs w:val="24"/>
        </w:rPr>
        <w:t>КОНКУРЕН</w:t>
      </w:r>
      <w:r w:rsidR="00607EFC">
        <w:rPr>
          <w:rFonts w:ascii="Times New Roman" w:hAnsi="Times New Roman" w:cs="Times New Roman"/>
          <w:b/>
          <w:sz w:val="24"/>
          <w:szCs w:val="24"/>
        </w:rPr>
        <w:t>ЦИЈА</w:t>
      </w:r>
    </w:p>
    <w:p w:rsidR="00172360" w:rsidRDefault="002B428A" w:rsidP="007B4B66">
      <w:pPr>
        <w:jc w:val="both"/>
        <w:rPr>
          <w:rFonts w:ascii="Times New Roman" w:hAnsi="Times New Roman" w:cs="Times New Roman"/>
          <w:sz w:val="24"/>
          <w:szCs w:val="24"/>
        </w:rPr>
      </w:pPr>
      <w:r>
        <w:rPr>
          <w:rFonts w:ascii="Times New Roman" w:hAnsi="Times New Roman" w:cs="Times New Roman"/>
          <w:sz w:val="24"/>
          <w:szCs w:val="24"/>
        </w:rPr>
        <w:t xml:space="preserve">Слободно деловање конкуренције је једно од најважнијих обележја </w:t>
      </w:r>
      <w:r w:rsidR="00607EFC">
        <w:rPr>
          <w:rFonts w:ascii="Times New Roman" w:hAnsi="Times New Roman" w:cs="Times New Roman"/>
          <w:sz w:val="24"/>
          <w:szCs w:val="24"/>
        </w:rPr>
        <w:t>развијено</w:t>
      </w:r>
      <w:r>
        <w:rPr>
          <w:rFonts w:ascii="Times New Roman" w:hAnsi="Times New Roman" w:cs="Times New Roman"/>
          <w:sz w:val="24"/>
          <w:szCs w:val="24"/>
        </w:rPr>
        <w:t xml:space="preserve">г и ефикасног </w:t>
      </w:r>
      <w:r w:rsidR="00607EFC">
        <w:rPr>
          <w:rFonts w:ascii="Times New Roman" w:hAnsi="Times New Roman" w:cs="Times New Roman"/>
          <w:sz w:val="24"/>
          <w:szCs w:val="24"/>
        </w:rPr>
        <w:t xml:space="preserve">система јавних набавки. </w:t>
      </w:r>
      <w:r>
        <w:rPr>
          <w:rFonts w:ascii="Times New Roman" w:hAnsi="Times New Roman" w:cs="Times New Roman"/>
          <w:sz w:val="24"/>
          <w:szCs w:val="24"/>
        </w:rPr>
        <w:t>Разлог је што слободна конкуренција међу понуђачима омогућава купцу, у овом случају држави</w:t>
      </w:r>
      <w:r w:rsidR="00C162DC">
        <w:rPr>
          <w:rFonts w:ascii="Times New Roman" w:hAnsi="Times New Roman" w:cs="Times New Roman"/>
          <w:sz w:val="24"/>
          <w:szCs w:val="24"/>
        </w:rPr>
        <w:t>,</w:t>
      </w:r>
      <w:r>
        <w:rPr>
          <w:rFonts w:ascii="Times New Roman" w:hAnsi="Times New Roman" w:cs="Times New Roman"/>
          <w:sz w:val="24"/>
          <w:szCs w:val="24"/>
        </w:rPr>
        <w:t xml:space="preserve"> најповољније услове набавке. Стога су к</w:t>
      </w:r>
      <w:r w:rsidR="00607EFC">
        <w:rPr>
          <w:rFonts w:ascii="Times New Roman" w:hAnsi="Times New Roman" w:cs="Times New Roman"/>
          <w:sz w:val="24"/>
          <w:szCs w:val="24"/>
        </w:rPr>
        <w:t>ључна начела јавних набавки, попут транспрентности и недискриминације, односно обезбеђивања једнаких услова за све учеснике у по</w:t>
      </w:r>
      <w:r>
        <w:rPr>
          <w:rFonts w:ascii="Times New Roman" w:hAnsi="Times New Roman" w:cs="Times New Roman"/>
          <w:sz w:val="24"/>
          <w:szCs w:val="24"/>
        </w:rPr>
        <w:t>с</w:t>
      </w:r>
      <w:r w:rsidR="00607EFC">
        <w:rPr>
          <w:rFonts w:ascii="Times New Roman" w:hAnsi="Times New Roman" w:cs="Times New Roman"/>
          <w:sz w:val="24"/>
          <w:szCs w:val="24"/>
        </w:rPr>
        <w:t xml:space="preserve">тупку </w:t>
      </w:r>
      <w:r>
        <w:rPr>
          <w:rFonts w:ascii="Times New Roman" w:hAnsi="Times New Roman" w:cs="Times New Roman"/>
          <w:sz w:val="24"/>
          <w:szCs w:val="24"/>
        </w:rPr>
        <w:t xml:space="preserve">у ствари у функцији остваривања једног ширег циља, а то је </w:t>
      </w:r>
      <w:r w:rsidR="00607EFC">
        <w:rPr>
          <w:rFonts w:ascii="Times New Roman" w:hAnsi="Times New Roman" w:cs="Times New Roman"/>
          <w:sz w:val="24"/>
          <w:szCs w:val="24"/>
        </w:rPr>
        <w:t>обезбе</w:t>
      </w:r>
      <w:r>
        <w:rPr>
          <w:rFonts w:ascii="Times New Roman" w:hAnsi="Times New Roman" w:cs="Times New Roman"/>
          <w:sz w:val="24"/>
          <w:szCs w:val="24"/>
        </w:rPr>
        <w:t>ђивање</w:t>
      </w:r>
      <w:r w:rsidR="00607EFC">
        <w:rPr>
          <w:rFonts w:ascii="Times New Roman" w:hAnsi="Times New Roman" w:cs="Times New Roman"/>
          <w:sz w:val="24"/>
          <w:szCs w:val="24"/>
        </w:rPr>
        <w:t xml:space="preserve"> пун</w:t>
      </w:r>
      <w:r>
        <w:rPr>
          <w:rFonts w:ascii="Times New Roman" w:hAnsi="Times New Roman" w:cs="Times New Roman"/>
          <w:sz w:val="24"/>
          <w:szCs w:val="24"/>
        </w:rPr>
        <w:t>е конкуренције</w:t>
      </w:r>
      <w:r w:rsidR="00607EFC">
        <w:rPr>
          <w:rFonts w:ascii="Times New Roman" w:hAnsi="Times New Roman" w:cs="Times New Roman"/>
          <w:sz w:val="24"/>
          <w:szCs w:val="24"/>
        </w:rPr>
        <w:t xml:space="preserve"> у поступцима јавних </w:t>
      </w:r>
      <w:r w:rsidR="00740B7E">
        <w:rPr>
          <w:rFonts w:ascii="Times New Roman" w:hAnsi="Times New Roman" w:cs="Times New Roman"/>
          <w:sz w:val="24"/>
          <w:szCs w:val="24"/>
        </w:rPr>
        <w:lastRenderedPageBreak/>
        <w:t xml:space="preserve">набавки. </w:t>
      </w:r>
      <w:r>
        <w:rPr>
          <w:rFonts w:ascii="Times New Roman" w:hAnsi="Times New Roman" w:cs="Times New Roman"/>
          <w:sz w:val="24"/>
          <w:szCs w:val="24"/>
        </w:rPr>
        <w:t xml:space="preserve">Зато се успешност </w:t>
      </w:r>
      <w:r w:rsidR="00FF2D0F">
        <w:rPr>
          <w:rFonts w:ascii="Times New Roman" w:hAnsi="Times New Roman" w:cs="Times New Roman"/>
          <w:sz w:val="24"/>
          <w:szCs w:val="24"/>
        </w:rPr>
        <w:t xml:space="preserve">(ефекти) </w:t>
      </w:r>
      <w:r>
        <w:rPr>
          <w:rFonts w:ascii="Times New Roman" w:hAnsi="Times New Roman" w:cs="Times New Roman"/>
          <w:sz w:val="24"/>
          <w:szCs w:val="24"/>
        </w:rPr>
        <w:t xml:space="preserve">примене транспарентности и обезбеђивања једнаких услова у поступцима јавних набавки </w:t>
      </w:r>
      <w:r w:rsidR="00FF2D0F">
        <w:rPr>
          <w:rFonts w:ascii="Times New Roman" w:hAnsi="Times New Roman" w:cs="Times New Roman"/>
          <w:sz w:val="24"/>
          <w:szCs w:val="24"/>
        </w:rPr>
        <w:t xml:space="preserve">у пракси </w:t>
      </w:r>
      <w:r>
        <w:rPr>
          <w:rFonts w:ascii="Times New Roman" w:hAnsi="Times New Roman" w:cs="Times New Roman"/>
          <w:sz w:val="24"/>
          <w:szCs w:val="24"/>
        </w:rPr>
        <w:t xml:space="preserve">могу оцењивати и пратити преко интензитета конкуренције међу понуђачима. </w:t>
      </w:r>
      <w:r w:rsidR="006D79F5">
        <w:rPr>
          <w:rFonts w:ascii="Times New Roman" w:hAnsi="Times New Roman" w:cs="Times New Roman"/>
          <w:sz w:val="24"/>
          <w:szCs w:val="24"/>
        </w:rPr>
        <w:t>Другим речима, ако су транспарентност и једн</w:t>
      </w:r>
      <w:r w:rsidR="006463F1">
        <w:rPr>
          <w:rFonts w:ascii="Times New Roman" w:hAnsi="Times New Roman" w:cs="Times New Roman"/>
          <w:sz w:val="24"/>
          <w:szCs w:val="24"/>
        </w:rPr>
        <w:t>а</w:t>
      </w:r>
      <w:r w:rsidR="006D79F5">
        <w:rPr>
          <w:rFonts w:ascii="Times New Roman" w:hAnsi="Times New Roman" w:cs="Times New Roman"/>
          <w:sz w:val="24"/>
          <w:szCs w:val="24"/>
        </w:rPr>
        <w:t>к третман понуђача обезбеђени у пракси, конкуренција ће бити интензивна. И обрнуто, ако су начела присутна само у ЗЈН, а постоје слабости у њиховој примени, понуђачи ће одустајати од учешћа у поступцима јавних набавки.</w:t>
      </w:r>
      <w:r w:rsidR="006463F1">
        <w:rPr>
          <w:rFonts w:ascii="Times New Roman" w:hAnsi="Times New Roman" w:cs="Times New Roman"/>
          <w:sz w:val="24"/>
          <w:szCs w:val="24"/>
        </w:rPr>
        <w:t xml:space="preserve"> Разлог је што њихова одлука о учешћу у поступку јавне набавке зависи пре свега од процене да ли је поступак </w:t>
      </w:r>
      <w:r w:rsidR="00172360">
        <w:rPr>
          <w:rFonts w:ascii="Times New Roman" w:hAnsi="Times New Roman" w:cs="Times New Roman"/>
          <w:sz w:val="24"/>
          <w:szCs w:val="24"/>
        </w:rPr>
        <w:t>„</w:t>
      </w:r>
      <w:r w:rsidR="006463F1">
        <w:rPr>
          <w:rFonts w:ascii="Times New Roman" w:hAnsi="Times New Roman" w:cs="Times New Roman"/>
          <w:sz w:val="24"/>
          <w:szCs w:val="24"/>
        </w:rPr>
        <w:t>намештен</w:t>
      </w:r>
      <w:r w:rsidR="00172360">
        <w:rPr>
          <w:rFonts w:ascii="Times New Roman" w:hAnsi="Times New Roman" w:cs="Times New Roman"/>
          <w:sz w:val="24"/>
          <w:szCs w:val="24"/>
        </w:rPr>
        <w:t>“</w:t>
      </w:r>
      <w:r w:rsidR="006463F1">
        <w:rPr>
          <w:rFonts w:ascii="Times New Roman" w:hAnsi="Times New Roman" w:cs="Times New Roman"/>
          <w:sz w:val="24"/>
          <w:szCs w:val="24"/>
        </w:rPr>
        <w:t xml:space="preserve"> или не за одређеног понуђача. </w:t>
      </w:r>
      <w:r w:rsidR="00172360">
        <w:rPr>
          <w:rFonts w:ascii="Times New Roman" w:hAnsi="Times New Roman" w:cs="Times New Roman"/>
          <w:sz w:val="24"/>
          <w:szCs w:val="24"/>
        </w:rPr>
        <w:t>Уколико процене да јесте или да њихова права у поступку не могу бити ефикасно заштићена, понуђачи неће уопште ни учествовати у поступку. Самим тим ће и број поднетих понуда бити нижи.</w:t>
      </w:r>
    </w:p>
    <w:p w:rsidR="00B52C7D" w:rsidRPr="00740B7E" w:rsidRDefault="00172360" w:rsidP="00740B7E">
      <w:pPr>
        <w:jc w:val="both"/>
        <w:rPr>
          <w:rFonts w:ascii="Times New Roman" w:hAnsi="Times New Roman" w:cs="Times New Roman"/>
          <w:sz w:val="24"/>
          <w:szCs w:val="24"/>
          <w:lang w:val="sr-Cyrl-RS"/>
        </w:rPr>
      </w:pPr>
      <w:r>
        <w:rPr>
          <w:rFonts w:ascii="Times New Roman" w:hAnsi="Times New Roman" w:cs="Times New Roman"/>
          <w:sz w:val="24"/>
          <w:szCs w:val="24"/>
        </w:rPr>
        <w:t>Просечан број понуда по закљученом уговору, као с</w:t>
      </w:r>
      <w:r w:rsidR="00607EFC">
        <w:rPr>
          <w:rFonts w:ascii="Times New Roman" w:hAnsi="Times New Roman" w:cs="Times New Roman"/>
          <w:sz w:val="24"/>
          <w:szCs w:val="24"/>
        </w:rPr>
        <w:t>тандардан показатељ интензитета конкуренције у јавним набавкама</w:t>
      </w:r>
      <w:r>
        <w:rPr>
          <w:rFonts w:ascii="Times New Roman" w:hAnsi="Times New Roman" w:cs="Times New Roman"/>
          <w:sz w:val="24"/>
          <w:szCs w:val="24"/>
        </w:rPr>
        <w:t xml:space="preserve">,приказан је у </w:t>
      </w:r>
      <w:r w:rsidR="00FF2D0F">
        <w:rPr>
          <w:rFonts w:ascii="Times New Roman" w:hAnsi="Times New Roman" w:cs="Times New Roman"/>
          <w:sz w:val="24"/>
          <w:szCs w:val="24"/>
        </w:rPr>
        <w:t>Табел</w:t>
      </w:r>
      <w:r>
        <w:rPr>
          <w:rFonts w:ascii="Times New Roman" w:hAnsi="Times New Roman" w:cs="Times New Roman"/>
          <w:sz w:val="24"/>
          <w:szCs w:val="24"/>
        </w:rPr>
        <w:t>и</w:t>
      </w:r>
      <w:r w:rsidR="00FF2D0F">
        <w:rPr>
          <w:rFonts w:ascii="Times New Roman" w:hAnsi="Times New Roman" w:cs="Times New Roman"/>
          <w:sz w:val="24"/>
          <w:szCs w:val="24"/>
        </w:rPr>
        <w:t xml:space="preserve"> 5</w:t>
      </w:r>
      <w:r w:rsidR="00607EFC">
        <w:rPr>
          <w:rFonts w:ascii="Times New Roman" w:hAnsi="Times New Roman" w:cs="Times New Roman"/>
          <w:sz w:val="24"/>
          <w:szCs w:val="24"/>
        </w:rPr>
        <w:t xml:space="preserve">. </w:t>
      </w:r>
    </w:p>
    <w:p w:rsidR="00B52C7D" w:rsidRPr="00F32666" w:rsidRDefault="00F32666" w:rsidP="00482BC8">
      <w:pPr>
        <w:rPr>
          <w:rFonts w:ascii="Times New Roman" w:hAnsi="Times New Roman" w:cs="Times New Roman"/>
          <w:b/>
          <w:sz w:val="24"/>
          <w:szCs w:val="24"/>
        </w:rPr>
      </w:pPr>
      <w:r w:rsidRPr="00F32666">
        <w:rPr>
          <w:rFonts w:ascii="Times New Roman" w:hAnsi="Times New Roman" w:cs="Times New Roman"/>
          <w:b/>
          <w:sz w:val="24"/>
          <w:szCs w:val="24"/>
        </w:rPr>
        <w:t>Табела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1895"/>
        <w:gridCol w:w="1796"/>
        <w:gridCol w:w="1843"/>
      </w:tblGrid>
      <w:tr w:rsidR="00783450" w:rsidRPr="00783450" w:rsidTr="00783450">
        <w:trPr>
          <w:trHeight w:val="713"/>
          <w:jc w:val="center"/>
        </w:trPr>
        <w:tc>
          <w:tcPr>
            <w:tcW w:w="6497" w:type="dxa"/>
            <w:gridSpan w:val="4"/>
          </w:tcPr>
          <w:p w:rsidR="00740B7E" w:rsidRDefault="00783450" w:rsidP="00740B7E">
            <w:pPr>
              <w:tabs>
                <w:tab w:val="left" w:pos="1885"/>
              </w:tabs>
              <w:spacing w:after="0" w:line="240" w:lineRule="auto"/>
              <w:jc w:val="center"/>
              <w:rPr>
                <w:rFonts w:ascii="Times New Roman" w:eastAsia="Times New Roman" w:hAnsi="Times New Roman" w:cs="Times New Roman"/>
                <w:b/>
                <w:sz w:val="24"/>
                <w:szCs w:val="24"/>
                <w:lang w:val="sr-Cyrl-RS"/>
              </w:rPr>
            </w:pPr>
            <w:r w:rsidRPr="00783450">
              <w:rPr>
                <w:rFonts w:ascii="Times New Roman" w:eastAsia="Times New Roman" w:hAnsi="Times New Roman" w:cs="Times New Roman"/>
                <w:b/>
                <w:sz w:val="24"/>
                <w:szCs w:val="24"/>
              </w:rPr>
              <w:t xml:space="preserve">Просечан број понуда по закљученом уговору у поступцима јавних набавки у 2012. години </w:t>
            </w:r>
          </w:p>
          <w:p w:rsidR="00783450" w:rsidRPr="00783450" w:rsidRDefault="00783450" w:rsidP="00740B7E">
            <w:pPr>
              <w:tabs>
                <w:tab w:val="left" w:pos="1885"/>
              </w:tabs>
              <w:spacing w:after="0" w:line="240" w:lineRule="auto"/>
              <w:jc w:val="center"/>
              <w:rPr>
                <w:rFonts w:ascii="Times New Roman" w:eastAsia="Times New Roman" w:hAnsi="Times New Roman" w:cs="Times New Roman"/>
                <w:b/>
                <w:sz w:val="24"/>
                <w:szCs w:val="24"/>
              </w:rPr>
            </w:pPr>
            <w:r w:rsidRPr="00783450">
              <w:rPr>
                <w:rFonts w:ascii="Times New Roman" w:eastAsia="Times New Roman" w:hAnsi="Times New Roman" w:cs="Times New Roman"/>
                <w:b/>
                <w:sz w:val="24"/>
                <w:szCs w:val="24"/>
              </w:rPr>
              <w:t>и прва три квартала 2013.</w:t>
            </w:r>
            <w:r w:rsidR="00B52C7D">
              <w:rPr>
                <w:rFonts w:ascii="Times New Roman" w:eastAsia="Times New Roman" w:hAnsi="Times New Roman" w:cs="Times New Roman"/>
                <w:b/>
                <w:sz w:val="24"/>
                <w:szCs w:val="24"/>
              </w:rPr>
              <w:t xml:space="preserve"> г</w:t>
            </w:r>
            <w:r w:rsidRPr="00783450">
              <w:rPr>
                <w:rFonts w:ascii="Times New Roman" w:eastAsia="Times New Roman" w:hAnsi="Times New Roman" w:cs="Times New Roman"/>
                <w:b/>
                <w:sz w:val="24"/>
                <w:szCs w:val="24"/>
              </w:rPr>
              <w:t>одине</w:t>
            </w:r>
          </w:p>
        </w:tc>
      </w:tr>
      <w:tr w:rsidR="00783450" w:rsidRPr="00783450" w:rsidTr="00783450">
        <w:tblPrEx>
          <w:tblLook w:val="04A0" w:firstRow="1" w:lastRow="0" w:firstColumn="1" w:lastColumn="0" w:noHBand="0" w:noVBand="1"/>
        </w:tblPrEx>
        <w:trPr>
          <w:trHeight w:val="425"/>
          <w:jc w:val="center"/>
        </w:trPr>
        <w:tc>
          <w:tcPr>
            <w:tcW w:w="963" w:type="dxa"/>
            <w:shd w:val="clear" w:color="auto" w:fill="auto"/>
            <w:vAlign w:val="center"/>
          </w:tcPr>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2012. година</w:t>
            </w:r>
          </w:p>
        </w:tc>
        <w:tc>
          <w:tcPr>
            <w:tcW w:w="1895" w:type="dxa"/>
            <w:shd w:val="clear" w:color="auto" w:fill="auto"/>
            <w:vAlign w:val="center"/>
          </w:tcPr>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 xml:space="preserve">2013. </w:t>
            </w:r>
          </w:p>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први</w:t>
            </w:r>
          </w:p>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квартал</w:t>
            </w:r>
          </w:p>
        </w:tc>
        <w:tc>
          <w:tcPr>
            <w:tcW w:w="1796" w:type="dxa"/>
            <w:shd w:val="clear" w:color="auto" w:fill="auto"/>
          </w:tcPr>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 xml:space="preserve">2013. </w:t>
            </w:r>
          </w:p>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други</w:t>
            </w:r>
          </w:p>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 xml:space="preserve"> квартал</w:t>
            </w:r>
          </w:p>
        </w:tc>
        <w:tc>
          <w:tcPr>
            <w:tcW w:w="1843" w:type="dxa"/>
            <w:shd w:val="clear" w:color="auto" w:fill="auto"/>
          </w:tcPr>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 xml:space="preserve">2013. </w:t>
            </w:r>
          </w:p>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трећи</w:t>
            </w:r>
          </w:p>
          <w:p w:rsidR="00783450" w:rsidRPr="00740B7E" w:rsidRDefault="00783450" w:rsidP="00783450">
            <w:pPr>
              <w:tabs>
                <w:tab w:val="left" w:pos="1885"/>
              </w:tabs>
              <w:spacing w:after="0" w:line="240" w:lineRule="auto"/>
              <w:jc w:val="center"/>
              <w:rPr>
                <w:rFonts w:ascii="Times New Roman" w:eastAsia="Times New Roman" w:hAnsi="Times New Roman" w:cs="Times New Roman"/>
                <w:b/>
              </w:rPr>
            </w:pPr>
            <w:r w:rsidRPr="00740B7E">
              <w:rPr>
                <w:rFonts w:ascii="Times New Roman" w:eastAsia="Times New Roman" w:hAnsi="Times New Roman" w:cs="Times New Roman"/>
                <w:b/>
              </w:rPr>
              <w:t>квартал</w:t>
            </w:r>
          </w:p>
        </w:tc>
      </w:tr>
      <w:tr w:rsidR="00783450" w:rsidRPr="00783450" w:rsidTr="00783450">
        <w:tblPrEx>
          <w:tblLook w:val="04A0" w:firstRow="1" w:lastRow="0" w:firstColumn="1" w:lastColumn="0" w:noHBand="0" w:noVBand="1"/>
        </w:tblPrEx>
        <w:trPr>
          <w:jc w:val="center"/>
        </w:trPr>
        <w:tc>
          <w:tcPr>
            <w:tcW w:w="963" w:type="dxa"/>
            <w:shd w:val="clear" w:color="auto" w:fill="auto"/>
            <w:vAlign w:val="center"/>
          </w:tcPr>
          <w:p w:rsidR="00783450" w:rsidRPr="00783450" w:rsidRDefault="00783450" w:rsidP="00783450">
            <w:pPr>
              <w:tabs>
                <w:tab w:val="left" w:pos="1885"/>
              </w:tabs>
              <w:spacing w:after="0" w:line="240" w:lineRule="auto"/>
              <w:jc w:val="center"/>
              <w:rPr>
                <w:rFonts w:ascii="Times New Roman" w:eastAsia="Times New Roman" w:hAnsi="Times New Roman" w:cs="Times New Roman"/>
                <w:sz w:val="24"/>
                <w:szCs w:val="24"/>
              </w:rPr>
            </w:pPr>
            <w:r w:rsidRPr="00783450">
              <w:rPr>
                <w:rFonts w:ascii="Times New Roman" w:eastAsia="Times New Roman" w:hAnsi="Times New Roman" w:cs="Times New Roman"/>
                <w:sz w:val="24"/>
                <w:szCs w:val="24"/>
              </w:rPr>
              <w:t>2,6</w:t>
            </w:r>
          </w:p>
        </w:tc>
        <w:tc>
          <w:tcPr>
            <w:tcW w:w="1895" w:type="dxa"/>
            <w:shd w:val="clear" w:color="auto" w:fill="auto"/>
            <w:vAlign w:val="center"/>
          </w:tcPr>
          <w:p w:rsidR="00783450" w:rsidRPr="00783450" w:rsidRDefault="00783450" w:rsidP="00783450">
            <w:pPr>
              <w:tabs>
                <w:tab w:val="left" w:pos="1885"/>
              </w:tabs>
              <w:spacing w:after="0" w:line="240" w:lineRule="auto"/>
              <w:jc w:val="center"/>
              <w:rPr>
                <w:rFonts w:ascii="Times New Roman" w:eastAsia="Times New Roman" w:hAnsi="Times New Roman" w:cs="Times New Roman"/>
                <w:sz w:val="24"/>
                <w:szCs w:val="24"/>
              </w:rPr>
            </w:pPr>
            <w:r w:rsidRPr="00783450">
              <w:rPr>
                <w:rFonts w:ascii="Times New Roman" w:eastAsia="Times New Roman" w:hAnsi="Times New Roman" w:cs="Times New Roman"/>
                <w:sz w:val="24"/>
                <w:szCs w:val="24"/>
              </w:rPr>
              <w:t>2,8</w:t>
            </w:r>
          </w:p>
        </w:tc>
        <w:tc>
          <w:tcPr>
            <w:tcW w:w="1796" w:type="dxa"/>
            <w:shd w:val="clear" w:color="auto" w:fill="auto"/>
            <w:vAlign w:val="center"/>
          </w:tcPr>
          <w:p w:rsidR="00783450" w:rsidRPr="00884CB7" w:rsidRDefault="00884CB7" w:rsidP="00783450">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843" w:type="dxa"/>
            <w:shd w:val="clear" w:color="auto" w:fill="auto"/>
            <w:vAlign w:val="center"/>
          </w:tcPr>
          <w:p w:rsidR="00783450" w:rsidRPr="00783450" w:rsidRDefault="00783450" w:rsidP="00783450">
            <w:pPr>
              <w:tabs>
                <w:tab w:val="left" w:pos="1885"/>
              </w:tabs>
              <w:spacing w:after="0" w:line="240" w:lineRule="auto"/>
              <w:jc w:val="center"/>
              <w:rPr>
                <w:rFonts w:ascii="Times New Roman" w:eastAsia="Times New Roman" w:hAnsi="Times New Roman" w:cs="Times New Roman"/>
                <w:sz w:val="24"/>
                <w:szCs w:val="24"/>
              </w:rPr>
            </w:pPr>
            <w:r w:rsidRPr="00783450">
              <w:rPr>
                <w:rFonts w:ascii="Times New Roman" w:eastAsia="Times New Roman" w:hAnsi="Times New Roman" w:cs="Times New Roman"/>
                <w:sz w:val="24"/>
                <w:szCs w:val="24"/>
              </w:rPr>
              <w:t>2,9</w:t>
            </w:r>
          </w:p>
        </w:tc>
      </w:tr>
    </w:tbl>
    <w:p w:rsidR="00FF2D0F" w:rsidRPr="00740B7E" w:rsidRDefault="00FF2D0F" w:rsidP="00FF2D0F">
      <w:pPr>
        <w:rPr>
          <w:rFonts w:ascii="Times New Roman" w:hAnsi="Times New Roman" w:cs="Times New Roman"/>
          <w:sz w:val="24"/>
          <w:szCs w:val="24"/>
          <w:lang w:val="sr-Cyrl-RS"/>
        </w:rPr>
      </w:pPr>
    </w:p>
    <w:p w:rsidR="00FF2D0F" w:rsidRPr="00FF2D0F" w:rsidRDefault="00FF2D0F" w:rsidP="007B4B66">
      <w:pPr>
        <w:jc w:val="both"/>
        <w:rPr>
          <w:rFonts w:ascii="Times New Roman" w:hAnsi="Times New Roman" w:cs="Times New Roman"/>
          <w:sz w:val="24"/>
          <w:szCs w:val="24"/>
        </w:rPr>
      </w:pPr>
      <w:r>
        <w:rPr>
          <w:rFonts w:ascii="Times New Roman" w:hAnsi="Times New Roman" w:cs="Times New Roman"/>
          <w:sz w:val="24"/>
          <w:szCs w:val="24"/>
        </w:rPr>
        <w:t xml:space="preserve">Као што се из Табеле 5 може видети, интензитет конкуренције се, у трећем кварталу 2013. године, повећао на 2,9 са 2,6 колико је износио 2012. године.  </w:t>
      </w:r>
    </w:p>
    <w:p w:rsidR="004169ED" w:rsidRDefault="006325A7" w:rsidP="007B4B66">
      <w:pPr>
        <w:jc w:val="both"/>
        <w:rPr>
          <w:rFonts w:ascii="Times New Roman" w:hAnsi="Times New Roman" w:cs="Times New Roman"/>
          <w:sz w:val="24"/>
          <w:szCs w:val="24"/>
        </w:rPr>
      </w:pPr>
      <w:r>
        <w:rPr>
          <w:rFonts w:ascii="Times New Roman" w:hAnsi="Times New Roman" w:cs="Times New Roman"/>
          <w:sz w:val="24"/>
          <w:szCs w:val="24"/>
        </w:rPr>
        <w:t>У циљу објективн</w:t>
      </w:r>
      <w:r w:rsidR="004169ED">
        <w:rPr>
          <w:rFonts w:ascii="Times New Roman" w:hAnsi="Times New Roman" w:cs="Times New Roman"/>
          <w:sz w:val="24"/>
          <w:szCs w:val="24"/>
        </w:rPr>
        <w:t>о</w:t>
      </w:r>
      <w:r>
        <w:rPr>
          <w:rFonts w:ascii="Times New Roman" w:hAnsi="Times New Roman" w:cs="Times New Roman"/>
          <w:sz w:val="24"/>
          <w:szCs w:val="24"/>
        </w:rPr>
        <w:t xml:space="preserve">г вредновања оствареног интензитета конкуренције, </w:t>
      </w:r>
      <w:r w:rsidR="004169ED">
        <w:rPr>
          <w:rFonts w:ascii="Times New Roman" w:hAnsi="Times New Roman" w:cs="Times New Roman"/>
          <w:sz w:val="24"/>
          <w:szCs w:val="24"/>
        </w:rPr>
        <w:t xml:space="preserve">корисно је извршити поређење са земљама из региона које имају упоредиве системе јавних набавки и које су оствариле европске стандарде у овој области </w:t>
      </w:r>
      <w:r w:rsidR="00172360">
        <w:rPr>
          <w:rFonts w:ascii="Times New Roman" w:hAnsi="Times New Roman" w:cs="Times New Roman"/>
          <w:sz w:val="24"/>
          <w:szCs w:val="24"/>
        </w:rPr>
        <w:t xml:space="preserve">како би </w:t>
      </w:r>
      <w:r w:rsidR="004169ED">
        <w:rPr>
          <w:rFonts w:ascii="Times New Roman" w:hAnsi="Times New Roman" w:cs="Times New Roman"/>
          <w:sz w:val="24"/>
          <w:szCs w:val="24"/>
        </w:rPr>
        <w:t>поста</w:t>
      </w:r>
      <w:r w:rsidR="00172360">
        <w:rPr>
          <w:rFonts w:ascii="Times New Roman" w:hAnsi="Times New Roman" w:cs="Times New Roman"/>
          <w:sz w:val="24"/>
          <w:szCs w:val="24"/>
        </w:rPr>
        <w:t xml:space="preserve">ле </w:t>
      </w:r>
      <w:r w:rsidR="004169ED">
        <w:rPr>
          <w:rFonts w:ascii="Times New Roman" w:hAnsi="Times New Roman" w:cs="Times New Roman"/>
          <w:sz w:val="24"/>
          <w:szCs w:val="24"/>
        </w:rPr>
        <w:t xml:space="preserve">чланице ЕУ. </w:t>
      </w:r>
      <w:r w:rsidR="00884CB7">
        <w:rPr>
          <w:rFonts w:ascii="Times New Roman" w:hAnsi="Times New Roman" w:cs="Times New Roman"/>
          <w:sz w:val="24"/>
          <w:szCs w:val="24"/>
        </w:rPr>
        <w:t xml:space="preserve">У Табели </w:t>
      </w:r>
      <w:r w:rsidR="00B52C7D">
        <w:rPr>
          <w:rFonts w:ascii="Times New Roman" w:hAnsi="Times New Roman" w:cs="Times New Roman"/>
          <w:sz w:val="24"/>
          <w:szCs w:val="24"/>
        </w:rPr>
        <w:t xml:space="preserve">6 упоредно је </w:t>
      </w:r>
      <w:r w:rsidR="00884CB7">
        <w:rPr>
          <w:rFonts w:ascii="Times New Roman" w:hAnsi="Times New Roman" w:cs="Times New Roman"/>
          <w:sz w:val="24"/>
          <w:szCs w:val="24"/>
        </w:rPr>
        <w:t xml:space="preserve">приказан просечан број понуда по закљученом уговору у Словенији, Хрватској и Србији.  </w:t>
      </w:r>
    </w:p>
    <w:p w:rsidR="00884CB7" w:rsidRPr="00B52C7D" w:rsidRDefault="00884CB7" w:rsidP="00884CB7">
      <w:pPr>
        <w:rPr>
          <w:rFonts w:ascii="Times New Roman" w:hAnsi="Times New Roman" w:cs="Times New Roman"/>
          <w:b/>
          <w:sz w:val="24"/>
          <w:szCs w:val="24"/>
        </w:rPr>
      </w:pPr>
      <w:r w:rsidRPr="00B52C7D">
        <w:rPr>
          <w:rFonts w:ascii="Times New Roman" w:hAnsi="Times New Roman" w:cs="Times New Roman"/>
          <w:b/>
          <w:sz w:val="24"/>
          <w:szCs w:val="24"/>
        </w:rPr>
        <w:t>Табела</w:t>
      </w:r>
      <w:r w:rsidR="00740B7E">
        <w:rPr>
          <w:rFonts w:ascii="Times New Roman" w:hAnsi="Times New Roman" w:cs="Times New Roman"/>
          <w:b/>
          <w:sz w:val="24"/>
          <w:szCs w:val="24"/>
          <w:lang w:val="sr-Cyrl-RS"/>
        </w:rPr>
        <w:t xml:space="preserve"> </w:t>
      </w:r>
      <w:r w:rsidR="00B52C7D" w:rsidRPr="00B52C7D">
        <w:rPr>
          <w:rFonts w:ascii="Times New Roman" w:hAnsi="Times New Roman" w:cs="Times New Roman"/>
          <w:b/>
          <w:sz w:val="24"/>
          <w:szCs w:val="24"/>
        </w:rPr>
        <w:t>6</w:t>
      </w:r>
    </w:p>
    <w:tbl>
      <w:tblPr>
        <w:tblStyle w:val="TableGrid"/>
        <w:tblW w:w="0" w:type="auto"/>
        <w:tblInd w:w="675" w:type="dxa"/>
        <w:tblLook w:val="04A0" w:firstRow="1" w:lastRow="0" w:firstColumn="1" w:lastColumn="0" w:noHBand="0" w:noVBand="1"/>
      </w:tblPr>
      <w:tblGrid>
        <w:gridCol w:w="2983"/>
        <w:gridCol w:w="3674"/>
        <w:gridCol w:w="2557"/>
      </w:tblGrid>
      <w:tr w:rsidR="00884CB7" w:rsidTr="00740B7E">
        <w:tc>
          <w:tcPr>
            <w:tcW w:w="9214" w:type="dxa"/>
            <w:gridSpan w:val="3"/>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 xml:space="preserve">Просечан број понуда по закљученом уговору </w:t>
            </w:r>
          </w:p>
        </w:tc>
      </w:tr>
      <w:tr w:rsidR="00884CB7" w:rsidTr="00740B7E">
        <w:tc>
          <w:tcPr>
            <w:tcW w:w="2983" w:type="dxa"/>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Србија</w:t>
            </w:r>
          </w:p>
        </w:tc>
        <w:tc>
          <w:tcPr>
            <w:tcW w:w="3674" w:type="dxa"/>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Хрватска*</w:t>
            </w:r>
          </w:p>
        </w:tc>
        <w:tc>
          <w:tcPr>
            <w:tcW w:w="2557" w:type="dxa"/>
            <w:vAlign w:val="center"/>
          </w:tcPr>
          <w:p w:rsidR="00884CB7" w:rsidRPr="00B52C7D"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Словенија**</w:t>
            </w:r>
          </w:p>
        </w:tc>
      </w:tr>
      <w:tr w:rsidR="00884CB7" w:rsidTr="00740B7E">
        <w:tc>
          <w:tcPr>
            <w:tcW w:w="2983" w:type="dxa"/>
            <w:vAlign w:val="center"/>
          </w:tcPr>
          <w:p w:rsidR="00884CB7" w:rsidRPr="00884CB7"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2,</w:t>
            </w:r>
            <w:r>
              <w:rPr>
                <w:rFonts w:ascii="Times New Roman CYR" w:hAnsi="Times New Roman CYR" w:cs="Times New Roman CYR"/>
                <w:color w:val="000000"/>
                <w:sz w:val="24"/>
                <w:szCs w:val="24"/>
              </w:rPr>
              <w:t>9</w:t>
            </w:r>
          </w:p>
        </w:tc>
        <w:tc>
          <w:tcPr>
            <w:tcW w:w="3674" w:type="dxa"/>
            <w:vAlign w:val="center"/>
          </w:tcPr>
          <w:p w:rsidR="00884CB7" w:rsidRPr="00AB3BCC"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3,3</w:t>
            </w:r>
          </w:p>
        </w:tc>
        <w:tc>
          <w:tcPr>
            <w:tcW w:w="2557" w:type="dxa"/>
            <w:vAlign w:val="center"/>
          </w:tcPr>
          <w:p w:rsidR="00884CB7" w:rsidRPr="00AB3BCC"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3,6</w:t>
            </w:r>
          </w:p>
        </w:tc>
      </w:tr>
    </w:tbl>
    <w:p w:rsidR="00740B7E" w:rsidRDefault="00740B7E" w:rsidP="00884CB7">
      <w:pPr>
        <w:rPr>
          <w:rFonts w:ascii="Times New Roman" w:hAnsi="Times New Roman" w:cs="Times New Roman"/>
          <w:lang w:val="sr-Cyrl-RS"/>
        </w:rPr>
      </w:pPr>
    </w:p>
    <w:p w:rsidR="00884CB7" w:rsidRPr="00740B7E" w:rsidRDefault="00884CB7" w:rsidP="00884CB7">
      <w:pPr>
        <w:rPr>
          <w:rFonts w:ascii="Times New Roman" w:hAnsi="Times New Roman" w:cs="Times New Roman"/>
          <w:lang w:val="sr-Cyrl-RS"/>
        </w:rPr>
      </w:pPr>
      <w:r w:rsidRPr="007E1FAD">
        <w:rPr>
          <w:rFonts w:ascii="Times New Roman" w:hAnsi="Times New Roman" w:cs="Times New Roman"/>
        </w:rPr>
        <w:t>* 2011</w:t>
      </w:r>
      <w:r w:rsidR="002415F4" w:rsidRPr="007E1FAD">
        <w:rPr>
          <w:rFonts w:ascii="Times New Roman" w:hAnsi="Times New Roman" w:cs="Times New Roman"/>
        </w:rPr>
        <w:t>.</w:t>
      </w:r>
      <w:r w:rsidRPr="007E1FAD">
        <w:rPr>
          <w:rFonts w:ascii="Times New Roman" w:hAnsi="Times New Roman" w:cs="Times New Roman"/>
        </w:rPr>
        <w:t xml:space="preserve"> година, Извор: Статистички годишњи извештај о јавним набавкама за 2011. годину, Портал јавних</w:t>
      </w:r>
      <w:r w:rsidR="006E44C5">
        <w:rPr>
          <w:rFonts w:ascii="Times New Roman" w:hAnsi="Times New Roman" w:cs="Times New Roman"/>
          <w:lang w:val="sr-Cyrl-RS"/>
        </w:rPr>
        <w:t xml:space="preserve"> </w:t>
      </w:r>
      <w:r w:rsidRPr="007E1FAD">
        <w:rPr>
          <w:rFonts w:ascii="Times New Roman" w:hAnsi="Times New Roman" w:cs="Times New Roman"/>
        </w:rPr>
        <w:t>набавки, Република Хрватска</w:t>
      </w:r>
      <w:r w:rsidR="007E1FAD" w:rsidRPr="007E1FAD">
        <w:rPr>
          <w:rFonts w:ascii="Times New Roman" w:hAnsi="Times New Roman" w:cs="Times New Roman"/>
        </w:rPr>
        <w:t xml:space="preserve">, </w:t>
      </w:r>
      <w:r w:rsidR="009F3C49">
        <w:rPr>
          <w:rFonts w:ascii="Times New Roman" w:hAnsi="Times New Roman" w:cs="Times New Roman"/>
        </w:rPr>
        <w:t xml:space="preserve">страна 45, </w:t>
      </w:r>
      <w:r w:rsidR="007E1FAD" w:rsidRPr="007E1FAD">
        <w:rPr>
          <w:rFonts w:ascii="Times New Roman" w:hAnsi="Times New Roman" w:cs="Times New Roman"/>
        </w:rPr>
        <w:t xml:space="preserve">линк: </w:t>
      </w:r>
      <w:hyperlink r:id="rId33" w:history="1">
        <w:r w:rsidR="007E1FAD" w:rsidRPr="007E1FAD">
          <w:rPr>
            <w:rStyle w:val="Hyperlink"/>
            <w:rFonts w:ascii="Times New Roman" w:hAnsi="Times New Roman" w:cs="Times New Roman"/>
          </w:rPr>
          <w:t>http://www.javnanabava.hr/userdocsimages/userfiles/file/Statistička%20izvješća/Godišnja/Statisticko_izvjesce_JN-2011.pdf</w:t>
        </w:r>
      </w:hyperlink>
    </w:p>
    <w:p w:rsidR="007E1FAD" w:rsidRPr="007E1FAD" w:rsidRDefault="00C922D1" w:rsidP="007E1FAD">
      <w:pPr>
        <w:spacing w:after="240"/>
        <w:rPr>
          <w:rFonts w:ascii="Times New Roman" w:hAnsi="Times New Roman" w:cs="Times New Roman"/>
        </w:rPr>
      </w:pPr>
      <w:r w:rsidRPr="007E1FAD">
        <w:rPr>
          <w:rFonts w:ascii="Times New Roman" w:hAnsi="Times New Roman" w:cs="Times New Roman"/>
        </w:rPr>
        <w:t>**</w:t>
      </w:r>
      <w:r w:rsidR="00884CB7" w:rsidRPr="007E1FAD">
        <w:rPr>
          <w:rFonts w:ascii="Times New Roman" w:hAnsi="Times New Roman" w:cs="Times New Roman"/>
        </w:rPr>
        <w:t>2012</w:t>
      </w:r>
      <w:r w:rsidR="002415F4" w:rsidRPr="007E1FAD">
        <w:rPr>
          <w:rFonts w:ascii="Times New Roman" w:hAnsi="Times New Roman" w:cs="Times New Roman"/>
        </w:rPr>
        <w:t>. година</w:t>
      </w:r>
      <w:r w:rsidR="00884CB7" w:rsidRPr="007E1FAD">
        <w:rPr>
          <w:rFonts w:ascii="Times New Roman" w:hAnsi="Times New Roman" w:cs="Times New Roman"/>
        </w:rPr>
        <w:t xml:space="preserve">, </w:t>
      </w:r>
      <w:r w:rsidR="002415F4" w:rsidRPr="007E1FAD">
        <w:rPr>
          <w:rFonts w:ascii="Times New Roman" w:hAnsi="Times New Roman" w:cs="Times New Roman"/>
        </w:rPr>
        <w:t>Извор</w:t>
      </w:r>
      <w:r w:rsidR="00884CB7" w:rsidRPr="007E1FAD">
        <w:rPr>
          <w:rFonts w:ascii="Times New Roman" w:hAnsi="Times New Roman" w:cs="Times New Roman"/>
        </w:rPr>
        <w:t xml:space="preserve">: </w:t>
      </w:r>
      <w:r w:rsidR="002415F4" w:rsidRPr="007E1FAD">
        <w:rPr>
          <w:rFonts w:ascii="Times New Roman" w:hAnsi="Times New Roman" w:cs="Times New Roman"/>
        </w:rPr>
        <w:t xml:space="preserve">Статистички извештај о јавним набавкама реализованим у </w:t>
      </w:r>
      <w:r w:rsidR="00884CB7" w:rsidRPr="007E1FAD">
        <w:rPr>
          <w:rFonts w:ascii="Times New Roman" w:hAnsi="Times New Roman" w:cs="Times New Roman"/>
        </w:rPr>
        <w:t xml:space="preserve">2012. </w:t>
      </w:r>
      <w:r w:rsidR="002415F4" w:rsidRPr="007E1FAD">
        <w:rPr>
          <w:rFonts w:ascii="Times New Roman" w:hAnsi="Times New Roman" w:cs="Times New Roman"/>
        </w:rPr>
        <w:t>години, Директорат за јавне набавке, Република Словенија</w:t>
      </w:r>
      <w:r w:rsidR="007E1FAD" w:rsidRPr="007E1FAD">
        <w:rPr>
          <w:rFonts w:ascii="Times New Roman" w:hAnsi="Times New Roman" w:cs="Times New Roman"/>
        </w:rPr>
        <w:t xml:space="preserve">, линк: </w:t>
      </w:r>
      <w:hyperlink r:id="rId34" w:tgtFrame="_blank" w:history="1">
        <w:r w:rsidR="007E1FAD" w:rsidRPr="007E1FAD">
          <w:rPr>
            <w:rStyle w:val="Hyperlink"/>
            <w:rFonts w:ascii="Times New Roman" w:hAnsi="Times New Roman" w:cs="Times New Roman"/>
          </w:rPr>
          <w:t>http://www.djn.mf.gov.si/resources/files/Sistem_javnega_narocanja/Stat_por_JN2012_IN.pdf</w:t>
        </w:r>
      </w:hyperlink>
    </w:p>
    <w:p w:rsidR="004169ED" w:rsidRDefault="004169ED" w:rsidP="007B4B6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Као извор података за Словенију и Хрватску коришћени су последњи доступни статистички извештаји о јавним набавкама који садрже податак о просечном броју понуда по закљученом уговору. </w:t>
      </w:r>
    </w:p>
    <w:p w:rsidR="00884CB7" w:rsidRDefault="00BB0B53" w:rsidP="007B4B66">
      <w:pPr>
        <w:jc w:val="both"/>
        <w:rPr>
          <w:rFonts w:ascii="Times New Roman" w:hAnsi="Times New Roman" w:cs="Times New Roman"/>
          <w:sz w:val="24"/>
          <w:szCs w:val="24"/>
        </w:rPr>
      </w:pPr>
      <w:r>
        <w:rPr>
          <w:rFonts w:ascii="Times New Roman" w:hAnsi="Times New Roman" w:cs="Times New Roman"/>
          <w:sz w:val="24"/>
          <w:szCs w:val="24"/>
        </w:rPr>
        <w:t>Као што се из Табеле</w:t>
      </w:r>
      <w:r w:rsidR="00B52C7D">
        <w:rPr>
          <w:rFonts w:ascii="Times New Roman" w:hAnsi="Times New Roman" w:cs="Times New Roman"/>
          <w:sz w:val="24"/>
          <w:szCs w:val="24"/>
        </w:rPr>
        <w:t xml:space="preserve"> 6</w:t>
      </w:r>
      <w:r>
        <w:rPr>
          <w:rFonts w:ascii="Times New Roman" w:hAnsi="Times New Roman" w:cs="Times New Roman"/>
          <w:sz w:val="24"/>
          <w:szCs w:val="24"/>
        </w:rPr>
        <w:t xml:space="preserve"> може видети, интензитет конкуренције у </w:t>
      </w:r>
      <w:r w:rsidR="000D5EF5">
        <w:rPr>
          <w:rFonts w:ascii="Times New Roman" w:hAnsi="Times New Roman" w:cs="Times New Roman"/>
          <w:sz w:val="24"/>
          <w:szCs w:val="24"/>
        </w:rPr>
        <w:t xml:space="preserve">јавним набавкама у </w:t>
      </w:r>
      <w:r>
        <w:rPr>
          <w:rFonts w:ascii="Times New Roman" w:hAnsi="Times New Roman" w:cs="Times New Roman"/>
          <w:sz w:val="24"/>
          <w:szCs w:val="24"/>
        </w:rPr>
        <w:t>Србији био је нешто слабији него у Хрватској и Словенији</w:t>
      </w:r>
      <w:r w:rsidR="003F5451">
        <w:rPr>
          <w:rFonts w:ascii="Times New Roman" w:hAnsi="Times New Roman" w:cs="Times New Roman"/>
          <w:sz w:val="24"/>
          <w:szCs w:val="24"/>
        </w:rPr>
        <w:t xml:space="preserve">. </w:t>
      </w:r>
      <w:r w:rsidR="000305FA">
        <w:rPr>
          <w:rFonts w:ascii="Times New Roman" w:hAnsi="Times New Roman" w:cs="Times New Roman"/>
          <w:sz w:val="24"/>
          <w:szCs w:val="24"/>
        </w:rPr>
        <w:t xml:space="preserve">Свакако да ће </w:t>
      </w:r>
      <w:r w:rsidR="000D5EF5">
        <w:rPr>
          <w:rFonts w:ascii="Times New Roman" w:hAnsi="Times New Roman" w:cs="Times New Roman"/>
          <w:sz w:val="24"/>
          <w:szCs w:val="24"/>
        </w:rPr>
        <w:t xml:space="preserve">даљи </w:t>
      </w:r>
      <w:r w:rsidR="000305FA">
        <w:rPr>
          <w:rFonts w:ascii="Times New Roman" w:hAnsi="Times New Roman" w:cs="Times New Roman"/>
          <w:sz w:val="24"/>
          <w:szCs w:val="24"/>
        </w:rPr>
        <w:t>напори на су</w:t>
      </w:r>
      <w:r w:rsidR="00E7451F">
        <w:rPr>
          <w:rFonts w:ascii="Times New Roman" w:hAnsi="Times New Roman" w:cs="Times New Roman"/>
          <w:sz w:val="24"/>
          <w:szCs w:val="24"/>
        </w:rPr>
        <w:t>збијању преговарачких поступака, а посебно оног са само једним понуђачем</w:t>
      </w:r>
      <w:r w:rsidR="000D5EF5">
        <w:rPr>
          <w:rFonts w:ascii="Times New Roman" w:hAnsi="Times New Roman" w:cs="Times New Roman"/>
          <w:sz w:val="24"/>
          <w:szCs w:val="24"/>
        </w:rPr>
        <w:t xml:space="preserve">и њихово свођење на ниво који је у земљама ЕУ </w:t>
      </w:r>
      <w:r w:rsidR="000305FA">
        <w:rPr>
          <w:rFonts w:ascii="Times New Roman" w:hAnsi="Times New Roman" w:cs="Times New Roman"/>
          <w:sz w:val="24"/>
          <w:szCs w:val="24"/>
        </w:rPr>
        <w:t>допринети и побољ</w:t>
      </w:r>
      <w:r w:rsidR="000D5EF5">
        <w:rPr>
          <w:rFonts w:ascii="Times New Roman" w:hAnsi="Times New Roman" w:cs="Times New Roman"/>
          <w:sz w:val="24"/>
          <w:szCs w:val="24"/>
        </w:rPr>
        <w:t>шању показатеља интензитета конкуренције у јавним набавкама</w:t>
      </w:r>
      <w:r w:rsidR="003F5451">
        <w:rPr>
          <w:rFonts w:ascii="Times New Roman" w:hAnsi="Times New Roman" w:cs="Times New Roman"/>
          <w:sz w:val="24"/>
          <w:szCs w:val="24"/>
        </w:rPr>
        <w:t xml:space="preserve"> у Србији</w:t>
      </w:r>
      <w:r w:rsidR="000D5EF5">
        <w:rPr>
          <w:rFonts w:ascii="Times New Roman" w:hAnsi="Times New Roman" w:cs="Times New Roman"/>
          <w:sz w:val="24"/>
          <w:szCs w:val="24"/>
        </w:rPr>
        <w:t xml:space="preserve">. </w:t>
      </w:r>
    </w:p>
    <w:p w:rsidR="001453FB" w:rsidRPr="00CC5D30" w:rsidRDefault="001453FB" w:rsidP="00CC5D30">
      <w:pPr>
        <w:pStyle w:val="ListParagraph"/>
        <w:numPr>
          <w:ilvl w:val="0"/>
          <w:numId w:val="2"/>
        </w:numPr>
        <w:rPr>
          <w:rFonts w:ascii="Times New Roman" w:hAnsi="Times New Roman" w:cs="Times New Roman"/>
          <w:b/>
          <w:sz w:val="24"/>
          <w:szCs w:val="24"/>
        </w:rPr>
      </w:pPr>
      <w:r w:rsidRPr="00CC5D30">
        <w:rPr>
          <w:rFonts w:ascii="Times New Roman" w:hAnsi="Times New Roman" w:cs="Times New Roman"/>
          <w:b/>
          <w:sz w:val="24"/>
          <w:szCs w:val="24"/>
        </w:rPr>
        <w:t>РЕГИСТАР ПОНУЂАЧА</w:t>
      </w:r>
    </w:p>
    <w:p w:rsidR="000E4D09" w:rsidRDefault="000E4D09" w:rsidP="007B4B66">
      <w:pPr>
        <w:jc w:val="both"/>
        <w:rPr>
          <w:rFonts w:ascii="Times New Roman" w:hAnsi="Times New Roman" w:cs="Times New Roman"/>
          <w:sz w:val="24"/>
          <w:szCs w:val="24"/>
        </w:rPr>
      </w:pPr>
      <w:r>
        <w:rPr>
          <w:rFonts w:ascii="Times New Roman" w:hAnsi="Times New Roman" w:cs="Times New Roman"/>
          <w:sz w:val="24"/>
          <w:szCs w:val="24"/>
        </w:rPr>
        <w:t xml:space="preserve">Један од значајних фактора који олакшавају учешће понуђачима у поступцима јавних набавки јесте смањивање административног терета и трошка (како времена тако и новца) приликом учешћа у поступку. Смањивање овог оптерећења делује подстицајно на учешће понуђача у поступцима и тиме јача конкуренцију. </w:t>
      </w:r>
    </w:p>
    <w:p w:rsidR="00830FC5" w:rsidRDefault="00326D82" w:rsidP="007B4B66">
      <w:pPr>
        <w:jc w:val="both"/>
        <w:rPr>
          <w:rFonts w:ascii="Times New Roman" w:hAnsi="Times New Roman" w:cs="Times New Roman"/>
          <w:sz w:val="24"/>
          <w:szCs w:val="24"/>
        </w:rPr>
      </w:pPr>
      <w:r>
        <w:rPr>
          <w:rFonts w:ascii="Times New Roman" w:hAnsi="Times New Roman" w:cs="Times New Roman"/>
          <w:sz w:val="24"/>
          <w:szCs w:val="24"/>
        </w:rPr>
        <w:t>Важећим Законом о јавним набавкама превиђено је да понуђачи могу да доставе доказе о испуњености обавезних услова из члана 75, став, тачке 1-4</w:t>
      </w:r>
      <w:r w:rsidR="00D2757B">
        <w:rPr>
          <w:rFonts w:ascii="Times New Roman" w:hAnsi="Times New Roman" w:cs="Times New Roman"/>
          <w:sz w:val="24"/>
          <w:szCs w:val="24"/>
        </w:rPr>
        <w:t>,</w:t>
      </w:r>
      <w:r>
        <w:rPr>
          <w:rFonts w:ascii="Times New Roman" w:hAnsi="Times New Roman" w:cs="Times New Roman"/>
          <w:sz w:val="24"/>
          <w:szCs w:val="24"/>
        </w:rPr>
        <w:t xml:space="preserve"> Агенцији за привредне регистре (АПР) на основу којих их </w:t>
      </w:r>
      <w:r w:rsidR="00D2757B">
        <w:rPr>
          <w:rFonts w:ascii="Times New Roman" w:hAnsi="Times New Roman" w:cs="Times New Roman"/>
          <w:sz w:val="24"/>
          <w:szCs w:val="24"/>
        </w:rPr>
        <w:t>АПР уписује у Р</w:t>
      </w:r>
      <w:r>
        <w:rPr>
          <w:rFonts w:ascii="Times New Roman" w:hAnsi="Times New Roman" w:cs="Times New Roman"/>
          <w:sz w:val="24"/>
          <w:szCs w:val="24"/>
        </w:rPr>
        <w:t xml:space="preserve">егистар понуђача. Понуђачи који су уписани у Регистар, уместо да за сваки поступак јавне набавке прибављају доказе о испуњености ова четири </w:t>
      </w:r>
      <w:r w:rsidR="00830FC5">
        <w:rPr>
          <w:rFonts w:ascii="Times New Roman" w:hAnsi="Times New Roman" w:cs="Times New Roman"/>
          <w:sz w:val="24"/>
          <w:szCs w:val="24"/>
        </w:rPr>
        <w:t xml:space="preserve">обавезна </w:t>
      </w:r>
      <w:r>
        <w:rPr>
          <w:rFonts w:ascii="Times New Roman" w:hAnsi="Times New Roman" w:cs="Times New Roman"/>
          <w:sz w:val="24"/>
          <w:szCs w:val="24"/>
        </w:rPr>
        <w:t xml:space="preserve">услова, </w:t>
      </w:r>
      <w:r w:rsidR="00830FC5">
        <w:rPr>
          <w:rFonts w:ascii="Times New Roman" w:hAnsi="Times New Roman" w:cs="Times New Roman"/>
          <w:sz w:val="24"/>
          <w:szCs w:val="24"/>
        </w:rPr>
        <w:t xml:space="preserve">треба само да у поднесеној понуди наведу </w:t>
      </w:r>
      <w:r>
        <w:rPr>
          <w:rFonts w:ascii="Times New Roman" w:hAnsi="Times New Roman" w:cs="Times New Roman"/>
          <w:sz w:val="24"/>
          <w:szCs w:val="24"/>
        </w:rPr>
        <w:t xml:space="preserve">да су уписани у Регистар, како би наручилац могао да провери. </w:t>
      </w:r>
      <w:r w:rsidR="00830FC5">
        <w:rPr>
          <w:rFonts w:ascii="Times New Roman" w:hAnsi="Times New Roman" w:cs="Times New Roman"/>
          <w:sz w:val="24"/>
          <w:szCs w:val="24"/>
        </w:rPr>
        <w:t xml:space="preserve">На тај начин се понуђачи ослобађају обавезе да за сваки поступак </w:t>
      </w:r>
      <w:r w:rsidR="00D2757B">
        <w:rPr>
          <w:rFonts w:ascii="Times New Roman" w:hAnsi="Times New Roman" w:cs="Times New Roman"/>
          <w:sz w:val="24"/>
          <w:szCs w:val="24"/>
        </w:rPr>
        <w:t xml:space="preserve">јавне набавке </w:t>
      </w:r>
      <w:r w:rsidR="00830FC5">
        <w:rPr>
          <w:rFonts w:ascii="Times New Roman" w:hAnsi="Times New Roman" w:cs="Times New Roman"/>
          <w:sz w:val="24"/>
          <w:szCs w:val="24"/>
        </w:rPr>
        <w:t xml:space="preserve">прибављају доказе </w:t>
      </w:r>
      <w:r w:rsidR="00D2757B">
        <w:rPr>
          <w:rFonts w:ascii="Times New Roman" w:hAnsi="Times New Roman" w:cs="Times New Roman"/>
          <w:sz w:val="24"/>
          <w:szCs w:val="24"/>
        </w:rPr>
        <w:t xml:space="preserve">о испуњености поменута четири обавезна услова, </w:t>
      </w:r>
      <w:r w:rsidR="00830FC5">
        <w:rPr>
          <w:rFonts w:ascii="Times New Roman" w:hAnsi="Times New Roman" w:cs="Times New Roman"/>
          <w:sz w:val="24"/>
          <w:szCs w:val="24"/>
        </w:rPr>
        <w:t>што је посебно корисно за наручиоце</w:t>
      </w:r>
      <w:r w:rsidR="00151C94">
        <w:rPr>
          <w:rFonts w:ascii="Times New Roman" w:hAnsi="Times New Roman" w:cs="Times New Roman"/>
          <w:sz w:val="24"/>
          <w:szCs w:val="24"/>
          <w:lang w:val="sr-Cyrl-RS"/>
        </w:rPr>
        <w:t xml:space="preserve"> и понуђаче</w:t>
      </w:r>
      <w:r w:rsidR="00830FC5">
        <w:rPr>
          <w:rFonts w:ascii="Times New Roman" w:hAnsi="Times New Roman" w:cs="Times New Roman"/>
          <w:sz w:val="24"/>
          <w:szCs w:val="24"/>
        </w:rPr>
        <w:t xml:space="preserve"> који учествују у већем броју поступака</w:t>
      </w:r>
      <w:r w:rsidR="00D2757B">
        <w:rPr>
          <w:rFonts w:ascii="Times New Roman" w:hAnsi="Times New Roman" w:cs="Times New Roman"/>
          <w:sz w:val="24"/>
          <w:szCs w:val="24"/>
        </w:rPr>
        <w:t xml:space="preserve"> и којима се, на овај начин, штеди доста времена и новца. </w:t>
      </w:r>
    </w:p>
    <w:p w:rsidR="00D2757B" w:rsidRPr="006D796B" w:rsidRDefault="00606825" w:rsidP="007B4B66">
      <w:pPr>
        <w:jc w:val="both"/>
        <w:rPr>
          <w:rFonts w:ascii="Times New Roman" w:hAnsi="Times New Roman" w:cs="Times New Roman"/>
          <w:sz w:val="24"/>
          <w:szCs w:val="24"/>
        </w:rPr>
      </w:pPr>
      <w:r>
        <w:rPr>
          <w:rFonts w:ascii="Times New Roman" w:hAnsi="Times New Roman" w:cs="Times New Roman"/>
          <w:sz w:val="24"/>
          <w:szCs w:val="24"/>
        </w:rPr>
        <w:t>У трећем кварталу 2013. године, конкретно 1. септембра почео је са радом Регистар понуђача који</w:t>
      </w:r>
      <w:r w:rsidR="00D2757B">
        <w:rPr>
          <w:rFonts w:ascii="Times New Roman" w:hAnsi="Times New Roman" w:cs="Times New Roman"/>
          <w:sz w:val="24"/>
          <w:szCs w:val="24"/>
        </w:rPr>
        <w:t>, као што је речено,</w:t>
      </w:r>
      <w:r>
        <w:rPr>
          <w:rFonts w:ascii="Times New Roman" w:hAnsi="Times New Roman" w:cs="Times New Roman"/>
          <w:sz w:val="24"/>
          <w:szCs w:val="24"/>
        </w:rPr>
        <w:t xml:space="preserve"> води Агенција за привредне регистре</w:t>
      </w:r>
      <w:r w:rsidRPr="00A734C3">
        <w:rPr>
          <w:rFonts w:ascii="Times New Roman" w:hAnsi="Times New Roman" w:cs="Times New Roman"/>
          <w:sz w:val="24"/>
          <w:szCs w:val="24"/>
        </w:rPr>
        <w:t>.</w:t>
      </w:r>
      <w:r w:rsidR="00151C94">
        <w:rPr>
          <w:rFonts w:ascii="Times New Roman" w:hAnsi="Times New Roman" w:cs="Times New Roman"/>
          <w:sz w:val="24"/>
          <w:szCs w:val="24"/>
          <w:lang w:val="sr-Cyrl-RS"/>
        </w:rPr>
        <w:t xml:space="preserve"> </w:t>
      </w:r>
      <w:r w:rsidR="00A734C3" w:rsidRPr="006D796B">
        <w:rPr>
          <w:rFonts w:ascii="Times New Roman" w:hAnsi="Times New Roman" w:cs="Times New Roman"/>
          <w:sz w:val="24"/>
          <w:szCs w:val="24"/>
        </w:rPr>
        <w:t xml:space="preserve">О томе колико </w:t>
      </w:r>
      <w:r w:rsidR="00D2757B" w:rsidRPr="006D796B">
        <w:rPr>
          <w:rFonts w:ascii="Times New Roman" w:hAnsi="Times New Roman" w:cs="Times New Roman"/>
          <w:sz w:val="24"/>
          <w:szCs w:val="24"/>
        </w:rPr>
        <w:t xml:space="preserve">је Регистар </w:t>
      </w:r>
      <w:r w:rsidR="00A734C3" w:rsidRPr="006D796B">
        <w:rPr>
          <w:rFonts w:ascii="Times New Roman" w:hAnsi="Times New Roman" w:cs="Times New Roman"/>
          <w:sz w:val="24"/>
          <w:szCs w:val="24"/>
        </w:rPr>
        <w:t>корис</w:t>
      </w:r>
      <w:r w:rsidR="00D2757B" w:rsidRPr="006D796B">
        <w:rPr>
          <w:rFonts w:ascii="Times New Roman" w:hAnsi="Times New Roman" w:cs="Times New Roman"/>
          <w:sz w:val="24"/>
          <w:szCs w:val="24"/>
        </w:rPr>
        <w:t xml:space="preserve">тан понуђачима сведочи </w:t>
      </w:r>
      <w:r w:rsidR="006D796B" w:rsidRPr="006D796B">
        <w:rPr>
          <w:rFonts w:ascii="Times New Roman" w:hAnsi="Times New Roman" w:cs="Times New Roman"/>
          <w:sz w:val="24"/>
          <w:szCs w:val="24"/>
        </w:rPr>
        <w:t xml:space="preserve">њихово </w:t>
      </w:r>
      <w:r w:rsidR="008460C7" w:rsidRPr="006D796B">
        <w:rPr>
          <w:rFonts w:ascii="Times New Roman" w:hAnsi="Times New Roman" w:cs="Times New Roman"/>
          <w:sz w:val="24"/>
          <w:szCs w:val="24"/>
        </w:rPr>
        <w:t xml:space="preserve">велико </w:t>
      </w:r>
      <w:r w:rsidR="00D2757B" w:rsidRPr="006D796B">
        <w:rPr>
          <w:rFonts w:ascii="Times New Roman" w:hAnsi="Times New Roman" w:cs="Times New Roman"/>
          <w:sz w:val="24"/>
          <w:szCs w:val="24"/>
        </w:rPr>
        <w:t>интересовање да буду уписани у Регистар. Како се кретао број регистрованих понуђач</w:t>
      </w:r>
      <w:r w:rsidR="00F40367">
        <w:rPr>
          <w:rFonts w:ascii="Times New Roman" w:hAnsi="Times New Roman" w:cs="Times New Roman"/>
          <w:sz w:val="24"/>
          <w:szCs w:val="24"/>
        </w:rPr>
        <w:t xml:space="preserve">а, од 1. септембра 2013. </w:t>
      </w:r>
      <w:r w:rsidR="00D2757B" w:rsidRPr="006D796B">
        <w:rPr>
          <w:rFonts w:ascii="Times New Roman" w:hAnsi="Times New Roman" w:cs="Times New Roman"/>
          <w:sz w:val="24"/>
          <w:szCs w:val="24"/>
        </w:rPr>
        <w:t xml:space="preserve">до 31. </w:t>
      </w:r>
      <w:r w:rsidR="006D796B" w:rsidRPr="006D796B">
        <w:rPr>
          <w:rFonts w:ascii="Times New Roman" w:hAnsi="Times New Roman" w:cs="Times New Roman"/>
          <w:sz w:val="24"/>
          <w:szCs w:val="24"/>
        </w:rPr>
        <w:t>ј</w:t>
      </w:r>
      <w:r w:rsidR="00D2757B" w:rsidRPr="006D796B">
        <w:rPr>
          <w:rFonts w:ascii="Times New Roman" w:hAnsi="Times New Roman" w:cs="Times New Roman"/>
          <w:sz w:val="24"/>
          <w:szCs w:val="24"/>
        </w:rPr>
        <w:t xml:space="preserve">анауара 2014. године може се видети на Слици 10.          </w:t>
      </w:r>
    </w:p>
    <w:p w:rsidR="00D2757B" w:rsidRPr="006D796B" w:rsidRDefault="00D2757B">
      <w:pPr>
        <w:rPr>
          <w:rFonts w:ascii="Times New Roman" w:hAnsi="Times New Roman" w:cs="Times New Roman"/>
          <w:sz w:val="24"/>
          <w:szCs w:val="24"/>
        </w:rPr>
      </w:pPr>
      <w:r w:rsidRPr="006D796B">
        <w:rPr>
          <w:rFonts w:ascii="Times New Roman" w:hAnsi="Times New Roman" w:cs="Times New Roman"/>
          <w:sz w:val="24"/>
          <w:szCs w:val="24"/>
        </w:rPr>
        <w:t>Слика 10</w:t>
      </w:r>
    </w:p>
    <w:p w:rsidR="008460C7" w:rsidRDefault="008460C7" w:rsidP="00055CB3">
      <w:pPr>
        <w:jc w:val="center"/>
      </w:pPr>
      <w:r>
        <w:rPr>
          <w:noProof/>
        </w:rPr>
        <w:drawing>
          <wp:inline distT="0" distB="0" distL="0" distR="0">
            <wp:extent cx="6082796" cy="3060000"/>
            <wp:effectExtent l="0" t="0" r="0" b="7620"/>
            <wp:docPr id="17" name="Chart 2" descr="cid:image001.png@01CF20BE.75A4B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 descr="cid:image001.png@01CF20BE.75A4BF80"/>
                    <pic:cNvPicPr>
                      <a:picLocks noChangeAspect="1" noChangeArrowheads="1"/>
                    </pic:cNvPicPr>
                  </pic:nvPicPr>
                  <pic:blipFill>
                    <a:blip r:embed="rId35" r:link="rId36"/>
                    <a:srcRect/>
                    <a:stretch>
                      <a:fillRect/>
                    </a:stretch>
                  </pic:blipFill>
                  <pic:spPr bwMode="auto">
                    <a:xfrm>
                      <a:off x="0" y="0"/>
                      <a:ext cx="6082796" cy="3060000"/>
                    </a:xfrm>
                    <a:prstGeom prst="rect">
                      <a:avLst/>
                    </a:prstGeom>
                    <a:noFill/>
                    <a:ln w="9525">
                      <a:noFill/>
                      <a:miter lim="800000"/>
                      <a:headEnd/>
                      <a:tailEnd/>
                    </a:ln>
                  </pic:spPr>
                </pic:pic>
              </a:graphicData>
            </a:graphic>
          </wp:inline>
        </w:drawing>
      </w:r>
    </w:p>
    <w:p w:rsidR="008460C7" w:rsidRDefault="008460C7" w:rsidP="008460C7"/>
    <w:p w:rsidR="00D2757B" w:rsidRPr="008460C7" w:rsidRDefault="008460C7" w:rsidP="007B4B66">
      <w:pPr>
        <w:jc w:val="both"/>
        <w:rPr>
          <w:rFonts w:ascii="Times New Roman" w:hAnsi="Times New Roman" w:cs="Times New Roman"/>
          <w:sz w:val="24"/>
          <w:szCs w:val="24"/>
        </w:rPr>
      </w:pPr>
      <w:r>
        <w:rPr>
          <w:rFonts w:ascii="Times New Roman" w:hAnsi="Times New Roman" w:cs="Times New Roman"/>
          <w:sz w:val="24"/>
          <w:szCs w:val="24"/>
        </w:rPr>
        <w:t xml:space="preserve">У посматраном периоду регистровано је укупно 1.932 понуђача, с тим да је из месеца у месец број регистрованих растао, осим у јануару 2014. године када је, због празника, тај број био нешто мањи.     </w:t>
      </w:r>
    </w:p>
    <w:p w:rsidR="0090382C" w:rsidRPr="00CC5D30" w:rsidRDefault="0090382C" w:rsidP="00CC5D30">
      <w:pPr>
        <w:pStyle w:val="ListParagraph"/>
        <w:numPr>
          <w:ilvl w:val="0"/>
          <w:numId w:val="2"/>
        </w:numPr>
        <w:rPr>
          <w:rFonts w:ascii="Times New Roman" w:hAnsi="Times New Roman" w:cs="Times New Roman"/>
          <w:b/>
          <w:sz w:val="24"/>
          <w:szCs w:val="24"/>
        </w:rPr>
      </w:pPr>
      <w:r w:rsidRPr="00CC5D30">
        <w:rPr>
          <w:rFonts w:ascii="Times New Roman" w:hAnsi="Times New Roman" w:cs="Times New Roman"/>
          <w:b/>
          <w:sz w:val="24"/>
          <w:szCs w:val="24"/>
        </w:rPr>
        <w:t>ПОРТАЛ ЈАВНИХ НАБАВКИ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 xml:space="preserve">Новим Законом </w:t>
      </w:r>
      <w:r w:rsidR="00CC5D30">
        <w:rPr>
          <w:rFonts w:ascii="Times New Roman" w:hAnsi="Times New Roman" w:cs="Times New Roman"/>
          <w:sz w:val="24"/>
          <w:szCs w:val="24"/>
        </w:rPr>
        <w:t xml:space="preserve">о јавним набавкама </w:t>
      </w:r>
      <w:r w:rsidRPr="002C5D8C">
        <w:rPr>
          <w:rFonts w:ascii="Times New Roman" w:hAnsi="Times New Roman" w:cs="Times New Roman"/>
          <w:sz w:val="24"/>
          <w:szCs w:val="24"/>
        </w:rPr>
        <w:t>уведене су значајне измене на Порталу јавних набавки. Пре свега, прописана је обавезна објава конкурсне документације коју понуђачи, али и остали заинтересовани могу преузети без накнаде. Увођењем обавезне објаве јавних набавки мале вредности, максимално се унапредила транспарентност поступака. Такође, изузетно је значајно и прописивање објављивања обавештења о покретању преговарачког поступка без објаве, како би се јавност што више информисала о овим најмање транспарентним поступцима, где се уобичајено крије и највећи број нерегуларности.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Посебно су значајне новине по питању унапређења система претраге објављених набавки на Порталу, чиме се знатно олакшава понуђачима да пронађу набавку за коју су заинтересовани. У том смислу, уведена је претрага „последњих 100 набавки“, чиме се повећала  ажурност у праћењу дневно  објављених тендера, а поготово је значајна обавеза наручилаца да своје набавке оглашавају преко шифара из општег речника набавки, чиме се на јединствен и препознатљив  начин дефинишу предмети уговора о јавној набавци.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Када је реч о претрази закључених уговора из кварталних извештаја наручилаца које Управа објављује на Порталу јавних набавки, значајна је предност што се сада по сваком податку из уговора може вршити претрага од стране заинтересованих лица (наручилац, понуђач, датум, шифра из општег речника набавки, вредност уговора....).</w:t>
      </w:r>
    </w:p>
    <w:p w:rsidR="007345E3" w:rsidRDefault="006E087E" w:rsidP="007345E3">
      <w:pPr>
        <w:jc w:val="both"/>
        <w:rPr>
          <w:rFonts w:ascii="Times New Roman" w:hAnsi="Times New Roman" w:cs="Times New Roman"/>
          <w:sz w:val="24"/>
          <w:szCs w:val="24"/>
          <w:lang w:val="sr-Cyrl-RS"/>
        </w:rPr>
      </w:pPr>
      <w:r w:rsidRPr="002C5D8C">
        <w:rPr>
          <w:rFonts w:ascii="Times New Roman" w:hAnsi="Times New Roman" w:cs="Times New Roman"/>
          <w:sz w:val="24"/>
          <w:szCs w:val="24"/>
        </w:rPr>
        <w:t>Број јавни</w:t>
      </w:r>
      <w:r w:rsidR="00345AA6">
        <w:rPr>
          <w:rFonts w:ascii="Times New Roman" w:hAnsi="Times New Roman" w:cs="Times New Roman"/>
          <w:sz w:val="24"/>
          <w:szCs w:val="24"/>
        </w:rPr>
        <w:t xml:space="preserve">х набавки оглашених на Порталу значајно се </w:t>
      </w:r>
      <w:r w:rsidRPr="002C5D8C">
        <w:rPr>
          <w:rFonts w:ascii="Times New Roman" w:hAnsi="Times New Roman" w:cs="Times New Roman"/>
          <w:sz w:val="24"/>
          <w:szCs w:val="24"/>
        </w:rPr>
        <w:t>повећавао од почетка његовог рада чиме је значајно порасла транспарентност јавних набавки у Србији, с обзиром да се на једном месту могу наћи све релевантне информације везане за поступак јавне набавке и да се до тих информација долази лако и без накнаде</w:t>
      </w:r>
      <w:r w:rsidR="003C3BC0">
        <w:rPr>
          <w:rFonts w:ascii="Times New Roman" w:hAnsi="Times New Roman" w:cs="Times New Roman"/>
          <w:sz w:val="24"/>
          <w:szCs w:val="24"/>
        </w:rPr>
        <w:t xml:space="preserve"> </w:t>
      </w:r>
      <w:r w:rsidR="00345AA6" w:rsidRPr="002C5D8C">
        <w:rPr>
          <w:rFonts w:ascii="Times New Roman" w:hAnsi="Times New Roman" w:cs="Times New Roman"/>
          <w:sz w:val="24"/>
          <w:szCs w:val="24"/>
        </w:rPr>
        <w:t>(Слика</w:t>
      </w:r>
      <w:r w:rsidR="00345AA6">
        <w:rPr>
          <w:rFonts w:ascii="Times New Roman" w:hAnsi="Times New Roman" w:cs="Times New Roman"/>
          <w:sz w:val="24"/>
          <w:szCs w:val="24"/>
        </w:rPr>
        <w:t xml:space="preserve"> 10).</w:t>
      </w:r>
    </w:p>
    <w:p w:rsidR="00F32666" w:rsidRPr="007345E3" w:rsidRDefault="00F32666" w:rsidP="007345E3">
      <w:pPr>
        <w:jc w:val="both"/>
        <w:rPr>
          <w:rFonts w:ascii="Times New Roman" w:hAnsi="Times New Roman" w:cs="Times New Roman"/>
          <w:sz w:val="24"/>
          <w:szCs w:val="24"/>
        </w:rPr>
      </w:pPr>
      <w:r w:rsidRPr="00345AA6">
        <w:rPr>
          <w:rFonts w:ascii="Times New Roman" w:hAnsi="Times New Roman" w:cs="Times New Roman"/>
          <w:b/>
          <w:sz w:val="24"/>
          <w:szCs w:val="24"/>
        </w:rPr>
        <w:t>Слика 10</w:t>
      </w:r>
    </w:p>
    <w:bookmarkStart w:id="6" w:name="_MON_1452681884"/>
    <w:bookmarkEnd w:id="6"/>
    <w:p w:rsidR="006E087E" w:rsidRPr="002C5D8C" w:rsidRDefault="007345E3" w:rsidP="006E087E">
      <w:pPr>
        <w:jc w:val="center"/>
        <w:rPr>
          <w:rFonts w:ascii="Times New Roman" w:hAnsi="Times New Roman" w:cs="Times New Roman"/>
          <w:sz w:val="24"/>
          <w:szCs w:val="24"/>
        </w:rPr>
      </w:pPr>
      <w:r w:rsidRPr="002C5D8C">
        <w:rPr>
          <w:rFonts w:ascii="Times New Roman" w:hAnsi="Times New Roman" w:cs="Times New Roman"/>
          <w:sz w:val="24"/>
          <w:szCs w:val="24"/>
        </w:rPr>
        <w:object w:dxaOrig="10806" w:dyaOrig="4514">
          <v:shape id="_x0000_i1035" type="#_x0000_t75" style="width:425.2pt;height:214.65pt" o:ole="">
            <v:imagedata r:id="rId37" o:title=""/>
            <o:lock v:ext="edit" aspectratio="f"/>
          </v:shape>
          <o:OLEObject Type="Embed" ProgID="Excel.Sheet.12" ShapeID="_x0000_i1035" DrawAspect="Content" ObjectID="_1453891886" r:id="rId38"/>
        </w:object>
      </w:r>
    </w:p>
    <w:p w:rsidR="00055CB3" w:rsidRDefault="006E087E" w:rsidP="007B4B66">
      <w:pPr>
        <w:jc w:val="both"/>
        <w:rPr>
          <w:rFonts w:ascii="Times New Roman" w:hAnsi="Times New Roman" w:cs="Times New Roman"/>
          <w:sz w:val="24"/>
          <w:szCs w:val="24"/>
        </w:rPr>
      </w:pPr>
      <w:r w:rsidRPr="002C5D8C">
        <w:rPr>
          <w:rFonts w:ascii="Times New Roman" w:hAnsi="Times New Roman" w:cs="Times New Roman"/>
          <w:sz w:val="24"/>
          <w:szCs w:val="24"/>
        </w:rPr>
        <w:lastRenderedPageBreak/>
        <w:t xml:space="preserve">Број објављених јавних набавки нарочито </w:t>
      </w:r>
      <w:r w:rsidR="0007674F" w:rsidRPr="002C5D8C">
        <w:rPr>
          <w:rFonts w:ascii="Times New Roman" w:hAnsi="Times New Roman" w:cs="Times New Roman"/>
          <w:sz w:val="24"/>
          <w:szCs w:val="24"/>
        </w:rPr>
        <w:t xml:space="preserve">је </w:t>
      </w:r>
      <w:r w:rsidR="0007674F">
        <w:rPr>
          <w:rFonts w:ascii="Times New Roman" w:hAnsi="Times New Roman" w:cs="Times New Roman"/>
          <w:sz w:val="24"/>
          <w:szCs w:val="24"/>
        </w:rPr>
        <w:t xml:space="preserve">порастао </w:t>
      </w:r>
      <w:r w:rsidRPr="002C5D8C">
        <w:rPr>
          <w:rFonts w:ascii="Times New Roman" w:hAnsi="Times New Roman" w:cs="Times New Roman"/>
          <w:sz w:val="24"/>
          <w:szCs w:val="24"/>
        </w:rPr>
        <w:t>у другом кварталу 2013. године (Слика</w:t>
      </w:r>
      <w:r w:rsidR="00F32666">
        <w:rPr>
          <w:rFonts w:ascii="Times New Roman" w:hAnsi="Times New Roman" w:cs="Times New Roman"/>
          <w:sz w:val="24"/>
          <w:szCs w:val="24"/>
        </w:rPr>
        <w:t xml:space="preserve"> 11</w:t>
      </w:r>
      <w:r w:rsidRPr="002C5D8C">
        <w:rPr>
          <w:rFonts w:ascii="Times New Roman" w:hAnsi="Times New Roman" w:cs="Times New Roman"/>
          <w:sz w:val="24"/>
          <w:szCs w:val="24"/>
        </w:rPr>
        <w:t>), захваљујући почетку примене новог Закона који је предвидео обавезу објављивања јавних набавки мале вредности и тиме значајно допринео повећању транспарентности јавних набавки.</w:t>
      </w:r>
    </w:p>
    <w:p w:rsidR="007345E3" w:rsidRPr="007345E3" w:rsidRDefault="00F32666" w:rsidP="007345E3">
      <w:pPr>
        <w:rPr>
          <w:rFonts w:ascii="Times New Roman" w:hAnsi="Times New Roman" w:cs="Times New Roman"/>
          <w:b/>
          <w:sz w:val="24"/>
          <w:szCs w:val="24"/>
          <w:lang w:val="sr-Cyrl-RS"/>
        </w:rPr>
      </w:pPr>
      <w:r w:rsidRPr="007345E3">
        <w:rPr>
          <w:rFonts w:ascii="Times New Roman" w:hAnsi="Times New Roman" w:cs="Times New Roman"/>
          <w:b/>
          <w:sz w:val="24"/>
          <w:szCs w:val="24"/>
        </w:rPr>
        <w:t>Слика 11</w:t>
      </w:r>
    </w:p>
    <w:p w:rsidR="006E087E" w:rsidRPr="002C5D8C" w:rsidRDefault="00055CB3" w:rsidP="007345E3">
      <w:pPr>
        <w:jc w:val="center"/>
        <w:rPr>
          <w:rFonts w:ascii="Times New Roman" w:hAnsi="Times New Roman" w:cs="Times New Roman"/>
          <w:sz w:val="24"/>
          <w:szCs w:val="24"/>
        </w:rPr>
      </w:pPr>
      <w:r>
        <w:rPr>
          <w:rFonts w:ascii="Times New Roman" w:hAnsi="Times New Roman" w:cs="Times New Roman"/>
          <w:sz w:val="24"/>
          <w:szCs w:val="24"/>
        </w:rPr>
        <w:br/>
      </w:r>
      <w:bookmarkStart w:id="7" w:name="_MON_1452680301"/>
      <w:bookmarkEnd w:id="7"/>
      <w:r w:rsidR="007345E3" w:rsidRPr="002C5D8C">
        <w:rPr>
          <w:rFonts w:ascii="Times New Roman" w:hAnsi="Times New Roman" w:cs="Times New Roman"/>
          <w:sz w:val="24"/>
          <w:szCs w:val="24"/>
        </w:rPr>
        <w:object w:dxaOrig="10748" w:dyaOrig="5058">
          <v:shape id="_x0000_i1036" type="#_x0000_t75" style="width:427.9pt;height:224.15pt" o:ole="">
            <v:imagedata r:id="rId39" o:title=""/>
            <o:lock v:ext="edit" aspectratio="f"/>
          </v:shape>
          <o:OLEObject Type="Embed" ProgID="Excel.Sheet.12" ShapeID="_x0000_i1036" DrawAspect="Content" ObjectID="_1453891887" r:id="rId40"/>
        </w:object>
      </w:r>
    </w:p>
    <w:p w:rsidR="006E087E"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 xml:space="preserve">Број посета Порталу значајно је порастао од 1. априла 2013. године захваљујући не само укључивању набавки мале вредности, већ и објављивању читавог низа докумената битних у поступку јавне набавке, као што су: конкурсне документације, мишљења Управе за јавне набавке за преговарачке поступке, измене уговора и сл. Значајан раст броја посета недвосмислено указује на позитивне ефекте које корисници Портала имају од њега (Слика </w:t>
      </w:r>
      <w:r w:rsidR="00F32666">
        <w:rPr>
          <w:rFonts w:ascii="Times New Roman" w:hAnsi="Times New Roman" w:cs="Times New Roman"/>
          <w:sz w:val="24"/>
          <w:szCs w:val="24"/>
        </w:rPr>
        <w:t>12</w:t>
      </w:r>
      <w:r w:rsidRPr="002C5D8C">
        <w:rPr>
          <w:rFonts w:ascii="Times New Roman" w:hAnsi="Times New Roman" w:cs="Times New Roman"/>
          <w:sz w:val="24"/>
          <w:szCs w:val="24"/>
        </w:rPr>
        <w:t>).</w:t>
      </w:r>
    </w:p>
    <w:p w:rsidR="00F32666" w:rsidRPr="0007674F" w:rsidRDefault="00F32666" w:rsidP="006E087E">
      <w:pPr>
        <w:jc w:val="both"/>
        <w:rPr>
          <w:rFonts w:ascii="Times New Roman" w:hAnsi="Times New Roman" w:cs="Times New Roman"/>
          <w:b/>
          <w:sz w:val="24"/>
          <w:szCs w:val="24"/>
        </w:rPr>
      </w:pPr>
      <w:r w:rsidRPr="0007674F">
        <w:rPr>
          <w:rFonts w:ascii="Times New Roman" w:hAnsi="Times New Roman" w:cs="Times New Roman"/>
          <w:b/>
          <w:sz w:val="24"/>
          <w:szCs w:val="24"/>
        </w:rPr>
        <w:t>Слика 12</w:t>
      </w:r>
    </w:p>
    <w:bookmarkStart w:id="8" w:name="_MON_1452681661"/>
    <w:bookmarkEnd w:id="8"/>
    <w:p w:rsidR="006E087E" w:rsidRDefault="007345E3" w:rsidP="006E087E">
      <w:pPr>
        <w:jc w:val="center"/>
        <w:rPr>
          <w:rFonts w:ascii="Times New Roman" w:hAnsi="Times New Roman" w:cs="Times New Roman"/>
          <w:sz w:val="24"/>
          <w:szCs w:val="24"/>
          <w:lang w:val="sr-Cyrl-RS"/>
        </w:rPr>
      </w:pPr>
      <w:r w:rsidRPr="002C5D8C">
        <w:rPr>
          <w:rFonts w:ascii="Times New Roman" w:hAnsi="Times New Roman" w:cs="Times New Roman"/>
          <w:sz w:val="24"/>
          <w:szCs w:val="24"/>
        </w:rPr>
        <w:object w:dxaOrig="12560" w:dyaOrig="6017">
          <v:shape id="_x0000_i1037" type="#_x0000_t75" style="width:425.2pt;height:211.25pt" o:ole="">
            <v:imagedata r:id="rId41" o:title=""/>
            <o:lock v:ext="edit" aspectratio="f"/>
          </v:shape>
          <o:OLEObject Type="Embed" ProgID="Excel.Sheet.12" ShapeID="_x0000_i1037" DrawAspect="Content" ObjectID="_1453891888" r:id="rId42"/>
        </w:object>
      </w:r>
    </w:p>
    <w:p w:rsidR="007345E3" w:rsidRPr="007345E3" w:rsidRDefault="007345E3" w:rsidP="006E087E">
      <w:pPr>
        <w:jc w:val="center"/>
        <w:rPr>
          <w:rFonts w:ascii="Times New Roman" w:hAnsi="Times New Roman" w:cs="Times New Roman"/>
          <w:sz w:val="24"/>
          <w:szCs w:val="24"/>
          <w:lang w:val="sr-Cyrl-RS"/>
        </w:rPr>
      </w:pPr>
    </w:p>
    <w:p w:rsidR="00A734C3" w:rsidRPr="00107999" w:rsidRDefault="00753F20" w:rsidP="00107999">
      <w:pPr>
        <w:pStyle w:val="ListParagraph"/>
        <w:numPr>
          <w:ilvl w:val="0"/>
          <w:numId w:val="2"/>
        </w:numPr>
        <w:rPr>
          <w:rFonts w:ascii="Times New Roman" w:hAnsi="Times New Roman" w:cs="Times New Roman"/>
          <w:b/>
          <w:sz w:val="24"/>
          <w:szCs w:val="24"/>
        </w:rPr>
      </w:pPr>
      <w:r w:rsidRPr="00107999">
        <w:rPr>
          <w:rFonts w:ascii="Times New Roman" w:hAnsi="Times New Roman" w:cs="Times New Roman"/>
          <w:b/>
          <w:sz w:val="24"/>
          <w:szCs w:val="24"/>
        </w:rPr>
        <w:lastRenderedPageBreak/>
        <w:t>УЧЕШЋЕ ДОМАЋИХ И СТРАНИХ ПОНУЂАЧА</w:t>
      </w:r>
    </w:p>
    <w:p w:rsidR="00753F20" w:rsidRPr="00F40367" w:rsidRDefault="00753F20" w:rsidP="007B4B66">
      <w:pPr>
        <w:jc w:val="both"/>
        <w:rPr>
          <w:rFonts w:ascii="Times New Roman" w:hAnsi="Times New Roman" w:cs="Times New Roman"/>
          <w:sz w:val="24"/>
          <w:szCs w:val="24"/>
        </w:rPr>
      </w:pPr>
      <w:r>
        <w:rPr>
          <w:rFonts w:ascii="Times New Roman" w:hAnsi="Times New Roman" w:cs="Times New Roman"/>
          <w:sz w:val="24"/>
          <w:szCs w:val="24"/>
        </w:rPr>
        <w:t>Учешће страних понуђача у трећем кварталу 2013. године остало је исто у поређењу са првим полугођем 2013. године, али се смањило у односу на претходну годину са 12</w:t>
      </w:r>
      <w:r w:rsidR="00F40367">
        <w:rPr>
          <w:rFonts w:ascii="Times New Roman" w:hAnsi="Times New Roman" w:cs="Times New Roman"/>
          <w:sz w:val="24"/>
          <w:szCs w:val="24"/>
        </w:rPr>
        <w:t xml:space="preserve"> на 5% </w:t>
      </w:r>
      <w:r>
        <w:rPr>
          <w:rFonts w:ascii="Times New Roman" w:hAnsi="Times New Roman" w:cs="Times New Roman"/>
          <w:sz w:val="24"/>
          <w:szCs w:val="24"/>
        </w:rPr>
        <w:t>(Слика 13, Табела 7)</w:t>
      </w:r>
      <w:r w:rsidR="00F40367">
        <w:rPr>
          <w:rFonts w:ascii="Times New Roman" w:hAnsi="Times New Roman" w:cs="Times New Roman"/>
          <w:sz w:val="24"/>
          <w:szCs w:val="24"/>
        </w:rPr>
        <w:t>.</w:t>
      </w:r>
    </w:p>
    <w:p w:rsidR="00753F20" w:rsidRPr="00F40367" w:rsidRDefault="00753F20" w:rsidP="007345E3">
      <w:pPr>
        <w:rPr>
          <w:rFonts w:ascii="Times New Roman" w:hAnsi="Times New Roman" w:cs="Times New Roman"/>
          <w:b/>
          <w:sz w:val="24"/>
          <w:szCs w:val="24"/>
        </w:rPr>
      </w:pPr>
      <w:r w:rsidRPr="00F40367">
        <w:rPr>
          <w:rFonts w:ascii="Times New Roman" w:hAnsi="Times New Roman" w:cs="Times New Roman"/>
          <w:b/>
          <w:sz w:val="24"/>
          <w:szCs w:val="24"/>
        </w:rPr>
        <w:t>Слика 13</w:t>
      </w:r>
    </w:p>
    <w:p w:rsidR="00753F20" w:rsidRDefault="00FD42B3" w:rsidP="00753F20">
      <w:pPr>
        <w:jc w:val="center"/>
        <w:rPr>
          <w:rFonts w:ascii="Times New Roman" w:hAnsi="Times New Roman" w:cs="Times New Roman"/>
          <w:sz w:val="24"/>
          <w:szCs w:val="24"/>
        </w:rPr>
      </w:pPr>
      <w:r w:rsidRPr="001B03AA">
        <w:rPr>
          <w:rFonts w:ascii="Times New Roman" w:hAnsi="Times New Roman" w:cs="Times New Roman"/>
          <w:sz w:val="24"/>
          <w:szCs w:val="24"/>
        </w:rPr>
        <w:object w:dxaOrig="8223" w:dyaOrig="6386">
          <v:shape id="_x0000_i1038" type="#_x0000_t75" style="width:407.55pt;height:283.9pt" o:ole="">
            <v:imagedata r:id="rId43" o:title=""/>
          </v:shape>
          <o:OLEObject Type="Embed" ProgID="Excel.Sheet.12" ShapeID="_x0000_i1038" DrawAspect="Content" ObjectID="_1453891889" r:id="rId44"/>
        </w:object>
      </w:r>
    </w:p>
    <w:p w:rsidR="00753F20" w:rsidRPr="00753F20" w:rsidRDefault="00753F20">
      <w:pPr>
        <w:rPr>
          <w:rFonts w:ascii="Times New Roman" w:hAnsi="Times New Roman" w:cs="Times New Roman"/>
          <w:sz w:val="24"/>
          <w:szCs w:val="24"/>
        </w:rPr>
      </w:pPr>
    </w:p>
    <w:p w:rsidR="00837EA8" w:rsidRPr="00F40367" w:rsidRDefault="00753F20">
      <w:pPr>
        <w:rPr>
          <w:rFonts w:ascii="Times New Roman" w:hAnsi="Times New Roman" w:cs="Times New Roman"/>
          <w:b/>
          <w:sz w:val="24"/>
          <w:szCs w:val="24"/>
        </w:rPr>
      </w:pPr>
      <w:r w:rsidRPr="00F40367">
        <w:rPr>
          <w:rFonts w:ascii="Times New Roman" w:hAnsi="Times New Roman" w:cs="Times New Roman"/>
          <w:b/>
          <w:sz w:val="24"/>
          <w:szCs w:val="24"/>
        </w:rPr>
        <w:t>Табела 7</w:t>
      </w:r>
    </w:p>
    <w:tbl>
      <w:tblPr>
        <w:tblW w:w="10724" w:type="dxa"/>
        <w:jc w:val="center"/>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669"/>
        <w:gridCol w:w="678"/>
        <w:gridCol w:w="669"/>
        <w:gridCol w:w="669"/>
        <w:gridCol w:w="669"/>
        <w:gridCol w:w="669"/>
        <w:gridCol w:w="669"/>
        <w:gridCol w:w="669"/>
        <w:gridCol w:w="666"/>
        <w:gridCol w:w="666"/>
        <w:gridCol w:w="679"/>
        <w:gridCol w:w="1031"/>
        <w:gridCol w:w="961"/>
        <w:gridCol w:w="278"/>
      </w:tblGrid>
      <w:tr w:rsidR="00B55F55" w:rsidRPr="00FE02F6" w:rsidTr="007345E3">
        <w:trPr>
          <w:jc w:val="center"/>
        </w:trPr>
        <w:tc>
          <w:tcPr>
            <w:tcW w:w="10330" w:type="dxa"/>
            <w:gridSpan w:val="14"/>
            <w:shd w:val="clear" w:color="auto" w:fill="auto"/>
            <w:vAlign w:val="center"/>
          </w:tcPr>
          <w:p w:rsidR="00B55F55" w:rsidRPr="00FE02F6" w:rsidRDefault="00B55F55" w:rsidP="00B55F55">
            <w:pPr>
              <w:tabs>
                <w:tab w:val="left" w:pos="1885"/>
              </w:tabs>
              <w:spacing w:after="0" w:line="240" w:lineRule="auto"/>
              <w:jc w:val="center"/>
              <w:rPr>
                <w:rFonts w:ascii="Times New Roman" w:eastAsia="Times New Roman" w:hAnsi="Times New Roman" w:cs="Times New Roman"/>
                <w:b/>
                <w:sz w:val="24"/>
                <w:szCs w:val="24"/>
              </w:rPr>
            </w:pPr>
            <w:r w:rsidRPr="00FE02F6">
              <w:rPr>
                <w:rFonts w:ascii="Times New Roman" w:eastAsia="Times New Roman" w:hAnsi="Times New Roman" w:cs="Times New Roman"/>
                <w:b/>
                <w:sz w:val="24"/>
                <w:szCs w:val="24"/>
              </w:rPr>
              <w:t>Упоредни преглед набавки према вредности уговора додељених</w:t>
            </w:r>
          </w:p>
          <w:p w:rsidR="00B55F55" w:rsidRPr="00FE02F6" w:rsidRDefault="00B55F55" w:rsidP="00B55F55">
            <w:pPr>
              <w:jc w:val="center"/>
              <w:rPr>
                <w:rFonts w:ascii="Times New Roman" w:eastAsia="Times New Roman" w:hAnsi="Times New Roman" w:cs="Times New Roman"/>
                <w:b/>
                <w:sz w:val="24"/>
                <w:szCs w:val="24"/>
              </w:rPr>
            </w:pPr>
            <w:r w:rsidRPr="00FE02F6">
              <w:rPr>
                <w:rFonts w:ascii="Times New Roman" w:eastAsia="Times New Roman" w:hAnsi="Times New Roman" w:cs="Times New Roman"/>
                <w:b/>
                <w:sz w:val="24"/>
                <w:szCs w:val="24"/>
              </w:rPr>
              <w:t>страним и домаћим понуђачима (у %)</w:t>
            </w:r>
          </w:p>
        </w:tc>
        <w:tc>
          <w:tcPr>
            <w:tcW w:w="394" w:type="dxa"/>
            <w:tcBorders>
              <w:top w:val="nil"/>
              <w:bottom w:val="nil"/>
              <w:right w:val="nil"/>
            </w:tcBorders>
            <w:shd w:val="clear" w:color="auto" w:fill="auto"/>
            <w:vAlign w:val="center"/>
          </w:tcPr>
          <w:p w:rsidR="00B55F55" w:rsidRPr="00FE02F6" w:rsidRDefault="00B55F55" w:rsidP="00FE02F6">
            <w:pPr>
              <w:rPr>
                <w:rFonts w:ascii="Times New Roman" w:eastAsia="Times New Roman" w:hAnsi="Times New Roman" w:cs="Times New Roman"/>
                <w:b/>
                <w:sz w:val="24"/>
                <w:szCs w:val="24"/>
              </w:rPr>
            </w:pPr>
          </w:p>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4"/>
                <w:szCs w:val="24"/>
              </w:rPr>
            </w:pPr>
          </w:p>
        </w:tc>
      </w:tr>
      <w:tr w:rsidR="00B55F55" w:rsidRPr="00FE02F6" w:rsidTr="007345E3">
        <w:trPr>
          <w:jc w:val="center"/>
        </w:trPr>
        <w:tc>
          <w:tcPr>
            <w:tcW w:w="873" w:type="dxa"/>
            <w:shd w:val="clear" w:color="auto" w:fill="auto"/>
            <w:vAlign w:val="center"/>
          </w:tcPr>
          <w:p w:rsidR="00B55F55" w:rsidRPr="00FE02F6" w:rsidRDefault="00B55F55" w:rsidP="00FE02F6">
            <w:pPr>
              <w:tabs>
                <w:tab w:val="left" w:pos="1885"/>
              </w:tabs>
              <w:spacing w:after="0" w:line="240" w:lineRule="auto"/>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Година</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2002.</w:t>
            </w:r>
          </w:p>
        </w:tc>
        <w:tc>
          <w:tcPr>
            <w:tcW w:w="703"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2003.</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2004.</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2005.</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2006.</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2007.</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2008.</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2009.</w:t>
            </w:r>
          </w:p>
        </w:tc>
        <w:tc>
          <w:tcPr>
            <w:tcW w:w="666"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2010.</w:t>
            </w:r>
          </w:p>
        </w:tc>
        <w:tc>
          <w:tcPr>
            <w:tcW w:w="666"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2011.</w:t>
            </w:r>
          </w:p>
        </w:tc>
        <w:tc>
          <w:tcPr>
            <w:tcW w:w="70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2012.</w:t>
            </w:r>
          </w:p>
        </w:tc>
        <w:tc>
          <w:tcPr>
            <w:tcW w:w="1031"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2013.</w:t>
            </w:r>
          </w:p>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прво полугође</w:t>
            </w:r>
          </w:p>
        </w:tc>
        <w:tc>
          <w:tcPr>
            <w:tcW w:w="961" w:type="dxa"/>
          </w:tcPr>
          <w:p w:rsidR="00B55F55" w:rsidRDefault="00B55F55" w:rsidP="00FE02F6">
            <w:pPr>
              <w:tabs>
                <w:tab w:val="left" w:pos="188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2013.</w:t>
            </w:r>
          </w:p>
          <w:p w:rsidR="00B55F55" w:rsidRDefault="00B55F55" w:rsidP="00FE02F6">
            <w:pPr>
              <w:tabs>
                <w:tab w:val="left" w:pos="188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трећи</w:t>
            </w:r>
          </w:p>
          <w:p w:rsidR="00B55F55" w:rsidRPr="00B55F55" w:rsidRDefault="00B55F55" w:rsidP="00FE02F6">
            <w:pPr>
              <w:tabs>
                <w:tab w:val="left" w:pos="188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квартал</w:t>
            </w:r>
          </w:p>
        </w:tc>
        <w:tc>
          <w:tcPr>
            <w:tcW w:w="394" w:type="dxa"/>
            <w:tcBorders>
              <w:top w:val="nil"/>
              <w:bottom w:val="nil"/>
              <w:right w:val="nil"/>
            </w:tcBorders>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b/>
                <w:sz w:val="24"/>
                <w:szCs w:val="24"/>
              </w:rPr>
            </w:pPr>
          </w:p>
        </w:tc>
      </w:tr>
      <w:tr w:rsidR="00B55F55" w:rsidRPr="00FE02F6" w:rsidTr="007345E3">
        <w:trPr>
          <w:gridAfter w:val="1"/>
          <w:wAfter w:w="394" w:type="dxa"/>
          <w:jc w:val="center"/>
        </w:trPr>
        <w:tc>
          <w:tcPr>
            <w:tcW w:w="873" w:type="dxa"/>
            <w:shd w:val="clear" w:color="auto" w:fill="auto"/>
            <w:vAlign w:val="center"/>
          </w:tcPr>
          <w:p w:rsidR="00B55F55" w:rsidRPr="00FE02F6" w:rsidRDefault="00B55F55" w:rsidP="00FE02F6">
            <w:pPr>
              <w:tabs>
                <w:tab w:val="left" w:pos="1885"/>
              </w:tabs>
              <w:spacing w:after="0" w:line="240" w:lineRule="auto"/>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Домаћи понуђачи</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80</w:t>
            </w:r>
          </w:p>
        </w:tc>
        <w:tc>
          <w:tcPr>
            <w:tcW w:w="703"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84</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91</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91</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90</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96</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93</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96</w:t>
            </w:r>
          </w:p>
        </w:tc>
        <w:tc>
          <w:tcPr>
            <w:tcW w:w="666"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97</w:t>
            </w:r>
          </w:p>
        </w:tc>
        <w:tc>
          <w:tcPr>
            <w:tcW w:w="666"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98</w:t>
            </w:r>
          </w:p>
        </w:tc>
        <w:tc>
          <w:tcPr>
            <w:tcW w:w="70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88</w:t>
            </w:r>
          </w:p>
        </w:tc>
        <w:tc>
          <w:tcPr>
            <w:tcW w:w="1031"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95</w:t>
            </w:r>
          </w:p>
        </w:tc>
        <w:tc>
          <w:tcPr>
            <w:tcW w:w="961" w:type="dxa"/>
            <w:vAlign w:val="center"/>
          </w:tcPr>
          <w:p w:rsidR="00B55F55" w:rsidRPr="00B55F55" w:rsidRDefault="00B55F55" w:rsidP="00B55F55">
            <w:pPr>
              <w:tabs>
                <w:tab w:val="left" w:pos="1885"/>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r>
      <w:tr w:rsidR="00B55F55" w:rsidRPr="00FE02F6" w:rsidTr="007345E3">
        <w:trPr>
          <w:gridAfter w:val="1"/>
          <w:wAfter w:w="394" w:type="dxa"/>
          <w:jc w:val="center"/>
        </w:trPr>
        <w:tc>
          <w:tcPr>
            <w:tcW w:w="873" w:type="dxa"/>
            <w:shd w:val="clear" w:color="auto" w:fill="auto"/>
            <w:vAlign w:val="center"/>
          </w:tcPr>
          <w:p w:rsidR="00B55F55" w:rsidRPr="00FE02F6" w:rsidRDefault="00B55F55" w:rsidP="00FE02F6">
            <w:pPr>
              <w:tabs>
                <w:tab w:val="left" w:pos="1885"/>
              </w:tabs>
              <w:spacing w:after="0" w:line="240" w:lineRule="auto"/>
              <w:rPr>
                <w:rFonts w:ascii="Times New Roman" w:eastAsia="Times New Roman" w:hAnsi="Times New Roman" w:cs="Times New Roman"/>
                <w:b/>
                <w:sz w:val="20"/>
                <w:szCs w:val="20"/>
              </w:rPr>
            </w:pPr>
            <w:r w:rsidRPr="00FE02F6">
              <w:rPr>
                <w:rFonts w:ascii="Times New Roman" w:eastAsia="Times New Roman" w:hAnsi="Times New Roman" w:cs="Times New Roman"/>
                <w:b/>
                <w:sz w:val="20"/>
                <w:szCs w:val="20"/>
              </w:rPr>
              <w:t>Страни понуђачи</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20</w:t>
            </w:r>
          </w:p>
        </w:tc>
        <w:tc>
          <w:tcPr>
            <w:tcW w:w="703"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16</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9</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10</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4</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7</w:t>
            </w:r>
          </w:p>
        </w:tc>
        <w:tc>
          <w:tcPr>
            <w:tcW w:w="67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4</w:t>
            </w:r>
          </w:p>
        </w:tc>
        <w:tc>
          <w:tcPr>
            <w:tcW w:w="666"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3</w:t>
            </w:r>
          </w:p>
        </w:tc>
        <w:tc>
          <w:tcPr>
            <w:tcW w:w="666"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2</w:t>
            </w:r>
          </w:p>
        </w:tc>
        <w:tc>
          <w:tcPr>
            <w:tcW w:w="705"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12</w:t>
            </w:r>
          </w:p>
        </w:tc>
        <w:tc>
          <w:tcPr>
            <w:tcW w:w="1031" w:type="dxa"/>
            <w:shd w:val="clear" w:color="auto" w:fill="auto"/>
            <w:vAlign w:val="center"/>
          </w:tcPr>
          <w:p w:rsidR="00B55F55" w:rsidRPr="00FE02F6" w:rsidRDefault="00B55F55" w:rsidP="00FE02F6">
            <w:pPr>
              <w:tabs>
                <w:tab w:val="left" w:pos="1885"/>
              </w:tabs>
              <w:spacing w:after="0" w:line="240" w:lineRule="auto"/>
              <w:jc w:val="center"/>
              <w:rPr>
                <w:rFonts w:ascii="Times New Roman" w:eastAsia="Times New Roman" w:hAnsi="Times New Roman" w:cs="Times New Roman"/>
                <w:sz w:val="20"/>
                <w:szCs w:val="20"/>
              </w:rPr>
            </w:pPr>
            <w:r w:rsidRPr="00FE02F6">
              <w:rPr>
                <w:rFonts w:ascii="Times New Roman" w:eastAsia="Times New Roman" w:hAnsi="Times New Roman" w:cs="Times New Roman"/>
                <w:sz w:val="20"/>
                <w:szCs w:val="20"/>
              </w:rPr>
              <w:t>5</w:t>
            </w:r>
          </w:p>
        </w:tc>
        <w:tc>
          <w:tcPr>
            <w:tcW w:w="961" w:type="dxa"/>
            <w:vAlign w:val="center"/>
          </w:tcPr>
          <w:p w:rsidR="00B55F55" w:rsidRPr="00B55F55" w:rsidRDefault="00B55F55" w:rsidP="00B55F55">
            <w:pPr>
              <w:tabs>
                <w:tab w:val="left" w:pos="1885"/>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bl>
    <w:p w:rsidR="00753F20" w:rsidRPr="00753F20" w:rsidRDefault="00753F20" w:rsidP="00FE02F6">
      <w:pPr>
        <w:jc w:val="center"/>
        <w:rPr>
          <w:rFonts w:ascii="Times New Roman" w:hAnsi="Times New Roman" w:cs="Times New Roman"/>
          <w:sz w:val="24"/>
          <w:szCs w:val="24"/>
        </w:rPr>
      </w:pPr>
    </w:p>
    <w:p w:rsidR="00106438" w:rsidRDefault="00B55F55" w:rsidP="007B4B66">
      <w:pPr>
        <w:jc w:val="both"/>
        <w:rPr>
          <w:rFonts w:ascii="Times New Roman" w:hAnsi="Times New Roman" w:cs="Times New Roman"/>
          <w:sz w:val="24"/>
          <w:szCs w:val="24"/>
        </w:rPr>
      </w:pPr>
      <w:r w:rsidRPr="00B55F55">
        <w:rPr>
          <w:rFonts w:ascii="Times New Roman" w:hAnsi="Times New Roman" w:cs="Times New Roman"/>
          <w:sz w:val="24"/>
          <w:szCs w:val="24"/>
        </w:rPr>
        <w:t>Удео понуђача из ЕУ у укупној вредности закључених уговора износио је 4%, а удео понуђача ван ЕУ био је 1%</w:t>
      </w:r>
      <w:r w:rsidR="00F40367">
        <w:rPr>
          <w:rFonts w:ascii="Times New Roman" w:hAnsi="Times New Roman" w:cs="Times New Roman"/>
          <w:sz w:val="24"/>
          <w:szCs w:val="24"/>
        </w:rPr>
        <w:t xml:space="preserve"> (С</w:t>
      </w:r>
      <w:r>
        <w:rPr>
          <w:rFonts w:ascii="Times New Roman" w:hAnsi="Times New Roman" w:cs="Times New Roman"/>
          <w:sz w:val="24"/>
          <w:szCs w:val="24"/>
        </w:rPr>
        <w:t>лика 14)</w:t>
      </w:r>
    </w:p>
    <w:p w:rsidR="00B55F55" w:rsidRDefault="00B55F55">
      <w:pPr>
        <w:rPr>
          <w:rFonts w:ascii="Times New Roman" w:hAnsi="Times New Roman" w:cs="Times New Roman"/>
          <w:sz w:val="24"/>
          <w:szCs w:val="24"/>
        </w:rPr>
      </w:pPr>
    </w:p>
    <w:p w:rsidR="007345E3" w:rsidRDefault="00FD42B3" w:rsidP="00055CB3">
      <w:pPr>
        <w:rPr>
          <w:rFonts w:ascii="Times New Roman" w:hAnsi="Times New Roman" w:cs="Times New Roman"/>
          <w:b/>
          <w:sz w:val="24"/>
          <w:szCs w:val="24"/>
          <w:lang w:val="sr-Cyrl-RS"/>
        </w:rPr>
      </w:pPr>
      <w:r w:rsidRPr="00F40367">
        <w:rPr>
          <w:rFonts w:ascii="Times New Roman" w:hAnsi="Times New Roman" w:cs="Times New Roman"/>
          <w:b/>
          <w:sz w:val="24"/>
          <w:szCs w:val="24"/>
        </w:rPr>
        <w:t xml:space="preserve">                       </w:t>
      </w:r>
    </w:p>
    <w:p w:rsidR="00637BC6" w:rsidRDefault="00FD42B3" w:rsidP="00055CB3">
      <w:pPr>
        <w:rPr>
          <w:rFonts w:ascii="Times New Roman" w:hAnsi="Times New Roman" w:cs="Times New Roman"/>
          <w:sz w:val="24"/>
          <w:szCs w:val="24"/>
        </w:rPr>
      </w:pPr>
      <w:r w:rsidRPr="00F40367">
        <w:rPr>
          <w:rFonts w:ascii="Times New Roman" w:hAnsi="Times New Roman" w:cs="Times New Roman"/>
          <w:b/>
          <w:sz w:val="24"/>
          <w:szCs w:val="24"/>
        </w:rPr>
        <w:lastRenderedPageBreak/>
        <w:t>Слика 14</w:t>
      </w:r>
    </w:p>
    <w:p w:rsidR="00B55F55" w:rsidRDefault="007345E3" w:rsidP="00206CEF">
      <w:pPr>
        <w:jc w:val="center"/>
        <w:rPr>
          <w:rFonts w:ascii="Times New Roman" w:hAnsi="Times New Roman" w:cs="Times New Roman"/>
          <w:sz w:val="24"/>
          <w:szCs w:val="24"/>
        </w:rPr>
      </w:pPr>
      <w:r w:rsidRPr="001B03AA">
        <w:rPr>
          <w:rFonts w:ascii="Times New Roman" w:hAnsi="Times New Roman" w:cs="Times New Roman"/>
          <w:sz w:val="24"/>
          <w:szCs w:val="24"/>
        </w:rPr>
        <w:object w:dxaOrig="8223" w:dyaOrig="6386">
          <v:shape id="_x0000_i1039" type="#_x0000_t75" style="width:410.95pt;height:319.25pt" o:ole="">
            <v:imagedata r:id="rId45" o:title=""/>
          </v:shape>
          <o:OLEObject Type="Embed" ProgID="Excel.Sheet.12" ShapeID="_x0000_i1039" DrawAspect="Content" ObjectID="_1453891890" r:id="rId46"/>
        </w:object>
      </w:r>
    </w:p>
    <w:p w:rsidR="00467D58" w:rsidRPr="007345E3" w:rsidRDefault="00467D58" w:rsidP="00467D58">
      <w:pPr>
        <w:rPr>
          <w:rFonts w:ascii="Times New Roman" w:hAnsi="Times New Roman" w:cs="Times New Roman"/>
          <w:sz w:val="24"/>
          <w:szCs w:val="24"/>
          <w:lang w:val="sr-Cyrl-RS"/>
        </w:rPr>
      </w:pPr>
    </w:p>
    <w:p w:rsidR="00023ACB" w:rsidRPr="007B4B66" w:rsidRDefault="00786C64" w:rsidP="007B4B66">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ИЗВРШЕЊЕ И ИЗМЕНЕ УГОВОРА</w:t>
      </w:r>
      <w:r w:rsidR="00023ACB" w:rsidRPr="007B4B66">
        <w:rPr>
          <w:rFonts w:ascii="Times New Roman" w:hAnsi="Times New Roman" w:cs="Times New Roman"/>
          <w:sz w:val="24"/>
          <w:szCs w:val="24"/>
        </w:rPr>
        <w:t xml:space="preserve">   </w:t>
      </w:r>
    </w:p>
    <w:p w:rsidR="007B4B66" w:rsidRDefault="007B4B66" w:rsidP="003C3BC0">
      <w:pPr>
        <w:jc w:val="both"/>
        <w:rPr>
          <w:rFonts w:ascii="Times New Roman" w:hAnsi="Times New Roman" w:cs="Times New Roman"/>
          <w:sz w:val="24"/>
          <w:szCs w:val="24"/>
        </w:rPr>
      </w:pPr>
      <w:r w:rsidRPr="007B4B66">
        <w:rPr>
          <w:rFonts w:ascii="Times New Roman" w:hAnsi="Times New Roman" w:cs="Times New Roman"/>
          <w:sz w:val="24"/>
          <w:szCs w:val="24"/>
        </w:rPr>
        <w:t>Нови Закон о јавним набавкама предвидео је механизам праћења и контроле извршења уговора, што је била велика слабост у претходном периоду и што је стварало простор за бројне злоупотребе. Решење је да је наручилац у обавези да Одлуку о измени уговора објави на Порталу јавних набавки, уз истовремено достављање извештаја о измени уговора Урави за јавне набавке и Државној ревизорској институцији (ДРИ). На тај начин се значајно повећала транспарентност финалне фазе јавне набавке (реализације уговора) и омогућило реаговање на накнадна одступања од услова из конкурсне документације и уговора која су раније често била присутна, управо услед одсуства праћења и контроле. Уколико Управа или ДРИ утврде да је дошло до недозвољене промене уговора, Закон предвиђа да подносе прекршајне пријаве против наручиоца.</w:t>
      </w:r>
    </w:p>
    <w:p w:rsidR="00023ACB" w:rsidRPr="00DD7D04" w:rsidRDefault="00DD7D04" w:rsidP="003C3BC0">
      <w:pPr>
        <w:jc w:val="both"/>
        <w:rPr>
          <w:rFonts w:ascii="Times New Roman" w:hAnsi="Times New Roman" w:cs="Times New Roman"/>
          <w:b/>
          <w:sz w:val="24"/>
          <w:szCs w:val="24"/>
        </w:rPr>
      </w:pPr>
      <w:r w:rsidRPr="00DD7D04">
        <w:rPr>
          <w:rFonts w:ascii="Times New Roman" w:hAnsi="Times New Roman" w:cs="Times New Roman"/>
          <w:sz w:val="24"/>
          <w:szCs w:val="24"/>
        </w:rPr>
        <w:t>У Табели</w:t>
      </w:r>
      <w:r>
        <w:rPr>
          <w:rFonts w:ascii="Times New Roman" w:hAnsi="Times New Roman" w:cs="Times New Roman"/>
          <w:b/>
          <w:sz w:val="24"/>
          <w:szCs w:val="24"/>
        </w:rPr>
        <w:t xml:space="preserve"> </w:t>
      </w:r>
      <w:r w:rsidRPr="00DD7D04">
        <w:rPr>
          <w:rFonts w:ascii="Times New Roman" w:hAnsi="Times New Roman" w:cs="Times New Roman"/>
          <w:sz w:val="24"/>
          <w:szCs w:val="24"/>
        </w:rPr>
        <w:t>8</w:t>
      </w:r>
      <w:r>
        <w:rPr>
          <w:rFonts w:ascii="Times New Roman" w:hAnsi="Times New Roman" w:cs="Times New Roman"/>
          <w:b/>
          <w:sz w:val="24"/>
          <w:szCs w:val="24"/>
        </w:rPr>
        <w:t xml:space="preserve"> </w:t>
      </w:r>
      <w:r>
        <w:rPr>
          <w:rFonts w:ascii="Times New Roman" w:hAnsi="Times New Roman" w:cs="Times New Roman"/>
          <w:sz w:val="24"/>
          <w:szCs w:val="24"/>
        </w:rPr>
        <w:t xml:space="preserve">дати су подаци о броју реализованих уговора у трећем кварталу 2013. године, при чему се под реализованим уговором подрзумева да је извршена исплата у целини (колона 2 у Табели 8). Табела 8 такође сардржи и податке о броју извршених измена уговора (колона 3). Код категорија код којих је била заступљена пракса да се врши више измена једног уговора (здравство, просвета, наука и спорт) број измена уговора је већи од самог броја уговора; код просвете, науке и спорта готово 3 пута више, а код здравства 1,5 пута више (колона 4).  </w:t>
      </w:r>
      <w:r w:rsidRPr="00DD7D04">
        <w:rPr>
          <w:rFonts w:ascii="Times New Roman" w:hAnsi="Times New Roman" w:cs="Times New Roman"/>
          <w:b/>
          <w:sz w:val="24"/>
          <w:szCs w:val="24"/>
        </w:rPr>
        <w:t xml:space="preserve"> </w:t>
      </w:r>
    </w:p>
    <w:p w:rsidR="007345E3" w:rsidRDefault="007345E3" w:rsidP="00023ACB">
      <w:pPr>
        <w:rPr>
          <w:rFonts w:ascii="Times New Roman" w:hAnsi="Times New Roman" w:cs="Times New Roman"/>
          <w:b/>
          <w:sz w:val="24"/>
          <w:szCs w:val="24"/>
          <w:lang w:val="sr-Cyrl-RS"/>
        </w:rPr>
      </w:pPr>
    </w:p>
    <w:p w:rsidR="00DD7D04" w:rsidRPr="00023ACB" w:rsidRDefault="00DD7D04" w:rsidP="00023ACB">
      <w:pPr>
        <w:rPr>
          <w:rFonts w:ascii="Times New Roman" w:hAnsi="Times New Roman" w:cs="Times New Roman"/>
          <w:b/>
          <w:sz w:val="24"/>
          <w:szCs w:val="24"/>
        </w:rPr>
      </w:pPr>
      <w:r>
        <w:rPr>
          <w:rFonts w:ascii="Times New Roman" w:hAnsi="Times New Roman" w:cs="Times New Roman"/>
          <w:b/>
          <w:sz w:val="24"/>
          <w:szCs w:val="24"/>
        </w:rPr>
        <w:lastRenderedPageBreak/>
        <w:t>Табела 8</w:t>
      </w:r>
    </w:p>
    <w:tbl>
      <w:tblPr>
        <w:tblpPr w:leftFromText="141" w:rightFromText="141"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3"/>
        <w:gridCol w:w="2449"/>
        <w:gridCol w:w="2036"/>
        <w:gridCol w:w="3068"/>
      </w:tblGrid>
      <w:tr w:rsidR="00786C64" w:rsidRPr="00786C64" w:rsidTr="007B4B66">
        <w:trPr>
          <w:trHeight w:val="724"/>
        </w:trPr>
        <w:tc>
          <w:tcPr>
            <w:tcW w:w="0" w:type="auto"/>
            <w:gridSpan w:val="4"/>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b/>
                <w:color w:val="000000"/>
                <w:sz w:val="28"/>
                <w:szCs w:val="28"/>
                <w:lang w:eastAsia="en-US"/>
              </w:rPr>
            </w:pPr>
            <w:r w:rsidRPr="00786C64">
              <w:rPr>
                <w:rFonts w:ascii="Times New Roman" w:eastAsia="Times New Roman" w:hAnsi="Times New Roman" w:cs="Times New Roman"/>
                <w:b/>
                <w:color w:val="000000"/>
                <w:sz w:val="28"/>
                <w:szCs w:val="28"/>
                <w:lang w:eastAsia="en-US"/>
              </w:rPr>
              <w:t xml:space="preserve">Преглед измена извршених уговора по категоријама наручилаца </w:t>
            </w:r>
          </w:p>
          <w:p w:rsidR="00786C64" w:rsidRPr="00786C64" w:rsidRDefault="00786C64" w:rsidP="008B1816">
            <w:pPr>
              <w:tabs>
                <w:tab w:val="left" w:pos="1885"/>
              </w:tabs>
              <w:spacing w:after="0" w:line="240" w:lineRule="auto"/>
              <w:jc w:val="center"/>
              <w:rPr>
                <w:rFonts w:ascii="Times New Roman" w:eastAsia="Times New Roman" w:hAnsi="Times New Roman" w:cs="Times New Roman"/>
                <w:b/>
                <w:color w:val="000000"/>
                <w:sz w:val="28"/>
                <w:szCs w:val="28"/>
                <w:lang w:eastAsia="en-US"/>
              </w:rPr>
            </w:pPr>
            <w:r w:rsidRPr="00786C64">
              <w:rPr>
                <w:rFonts w:ascii="Times New Roman" w:eastAsia="Times New Roman" w:hAnsi="Times New Roman" w:cs="Times New Roman"/>
                <w:b/>
                <w:color w:val="000000"/>
                <w:sz w:val="28"/>
                <w:szCs w:val="28"/>
                <w:lang w:eastAsia="en-US"/>
              </w:rPr>
              <w:t xml:space="preserve">у трећем кварталу 2013. </w:t>
            </w:r>
            <w:r w:rsidR="008B1816">
              <w:rPr>
                <w:rFonts w:ascii="Times New Roman" w:eastAsia="Times New Roman" w:hAnsi="Times New Roman" w:cs="Times New Roman"/>
                <w:b/>
                <w:color w:val="000000"/>
                <w:sz w:val="28"/>
                <w:szCs w:val="28"/>
                <w:lang w:val="sr-Cyrl-RS" w:eastAsia="en-US"/>
              </w:rPr>
              <w:t>г</w:t>
            </w:r>
            <w:r w:rsidRPr="00786C64">
              <w:rPr>
                <w:rFonts w:ascii="Times New Roman" w:eastAsia="Times New Roman" w:hAnsi="Times New Roman" w:cs="Times New Roman"/>
                <w:b/>
                <w:color w:val="000000"/>
                <w:sz w:val="28"/>
                <w:szCs w:val="28"/>
                <w:lang w:eastAsia="en-US"/>
              </w:rPr>
              <w:t>одине</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Категорија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b/>
                <w:color w:val="000000"/>
                <w:sz w:val="24"/>
                <w:szCs w:val="20"/>
                <w:lang w:eastAsia="en-US"/>
              </w:rPr>
            </w:pPr>
            <w:r w:rsidRPr="00786C64">
              <w:rPr>
                <w:rFonts w:ascii="Times New Roman" w:eastAsia="Times New Roman" w:hAnsi="Times New Roman" w:cs="Times New Roman"/>
                <w:b/>
                <w:color w:val="000000"/>
                <w:sz w:val="24"/>
                <w:szCs w:val="20"/>
                <w:lang w:eastAsia="en-US"/>
              </w:rPr>
              <w:t>Број извршених уговора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b/>
                <w:color w:val="000000"/>
                <w:sz w:val="24"/>
                <w:szCs w:val="20"/>
                <w:lang w:eastAsia="en-US"/>
              </w:rPr>
            </w:pPr>
            <w:r w:rsidRPr="00786C64">
              <w:rPr>
                <w:rFonts w:ascii="Times New Roman" w:eastAsia="Times New Roman" w:hAnsi="Times New Roman" w:cs="Times New Roman"/>
                <w:b/>
                <w:color w:val="000000"/>
                <w:sz w:val="24"/>
                <w:szCs w:val="20"/>
                <w:lang w:eastAsia="en-US"/>
              </w:rPr>
              <w:t>Број измена уговора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b/>
                <w:color w:val="000000"/>
                <w:sz w:val="24"/>
                <w:szCs w:val="20"/>
                <w:lang w:eastAsia="en-US"/>
              </w:rPr>
            </w:pPr>
            <w:r w:rsidRPr="00786C64">
              <w:rPr>
                <w:rFonts w:ascii="Times New Roman" w:eastAsia="Times New Roman" w:hAnsi="Times New Roman" w:cs="Times New Roman"/>
                <w:b/>
                <w:color w:val="000000"/>
                <w:sz w:val="24"/>
                <w:szCs w:val="20"/>
                <w:lang w:eastAsia="en-US"/>
              </w:rPr>
              <w:t>Просечан број измена по уговору</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Органи државне управе</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102</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11</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0,108</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Правосуђе</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Здравство и социјална заштита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364</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568</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1,56</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Култура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87</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1</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0,01</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Просвета, наука и спорт</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32</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88</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2,75</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Државна јавна предузећа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512</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25</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0,05</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Јавна предузећа-локална самоуправа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386</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15</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0,04</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Градска и општинса управа</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53</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5</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0,09</w:t>
            </w:r>
          </w:p>
        </w:tc>
      </w:tr>
      <w:tr w:rsidR="00786C64" w:rsidRPr="00786C64" w:rsidTr="007B4B66">
        <w:tc>
          <w:tcPr>
            <w:tcW w:w="0" w:type="auto"/>
            <w:shd w:val="clear" w:color="auto" w:fill="auto"/>
            <w:vAlign w:val="center"/>
          </w:tcPr>
          <w:p w:rsidR="00786C64" w:rsidRPr="00786C64" w:rsidRDefault="00786C64" w:rsidP="00786C64">
            <w:pPr>
              <w:tabs>
                <w:tab w:val="left" w:pos="1885"/>
              </w:tabs>
              <w:spacing w:after="0" w:line="240" w:lineRule="auto"/>
              <w:rPr>
                <w:rFonts w:ascii="Times New Roman" w:eastAsia="Times New Roman" w:hAnsi="Times New Roman" w:cs="Times New Roman"/>
                <w:b/>
                <w:sz w:val="24"/>
                <w:szCs w:val="20"/>
                <w:lang w:eastAsia="en-US"/>
              </w:rPr>
            </w:pPr>
            <w:r w:rsidRPr="00786C64">
              <w:rPr>
                <w:rFonts w:ascii="Times New Roman" w:eastAsia="Times New Roman" w:hAnsi="Times New Roman" w:cs="Times New Roman"/>
                <w:b/>
                <w:sz w:val="24"/>
                <w:szCs w:val="20"/>
                <w:lang w:eastAsia="en-US"/>
              </w:rPr>
              <w:t>Укупно</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1.536</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713</w:t>
            </w:r>
          </w:p>
        </w:tc>
        <w:tc>
          <w:tcPr>
            <w:tcW w:w="0" w:type="auto"/>
            <w:shd w:val="clear" w:color="auto" w:fill="auto"/>
            <w:vAlign w:val="center"/>
          </w:tcPr>
          <w:p w:rsidR="00786C64" w:rsidRPr="00786C64" w:rsidRDefault="00786C64" w:rsidP="00786C64">
            <w:pPr>
              <w:tabs>
                <w:tab w:val="left" w:pos="1885"/>
              </w:tabs>
              <w:spacing w:after="0" w:line="240" w:lineRule="auto"/>
              <w:jc w:val="center"/>
              <w:rPr>
                <w:rFonts w:ascii="Times New Roman" w:eastAsia="Times New Roman" w:hAnsi="Times New Roman" w:cs="Times New Roman"/>
                <w:color w:val="000000"/>
                <w:sz w:val="24"/>
                <w:szCs w:val="20"/>
                <w:lang w:eastAsia="en-US"/>
              </w:rPr>
            </w:pPr>
            <w:r w:rsidRPr="00786C64">
              <w:rPr>
                <w:rFonts w:ascii="Times New Roman" w:eastAsia="Times New Roman" w:hAnsi="Times New Roman" w:cs="Times New Roman"/>
                <w:color w:val="000000"/>
                <w:sz w:val="24"/>
                <w:szCs w:val="20"/>
                <w:lang w:eastAsia="en-US"/>
              </w:rPr>
              <w:t>0,46</w:t>
            </w:r>
          </w:p>
        </w:tc>
      </w:tr>
    </w:tbl>
    <w:p w:rsidR="007B4B66" w:rsidRPr="008B1816" w:rsidRDefault="007B4B66" w:rsidP="008B1816">
      <w:pPr>
        <w:rPr>
          <w:rFonts w:ascii="Times New Roman" w:hAnsi="Times New Roman" w:cs="Times New Roman"/>
          <w:b/>
          <w:sz w:val="24"/>
          <w:szCs w:val="24"/>
          <w:lang w:val="sr-Cyrl-RS"/>
        </w:rPr>
      </w:pPr>
    </w:p>
    <w:p w:rsidR="00637BC6" w:rsidRPr="003C3BC0" w:rsidRDefault="00637BC6" w:rsidP="003C3BC0">
      <w:pPr>
        <w:pStyle w:val="ListParagraph"/>
        <w:numPr>
          <w:ilvl w:val="0"/>
          <w:numId w:val="2"/>
        </w:numPr>
        <w:rPr>
          <w:rFonts w:ascii="Times New Roman" w:hAnsi="Times New Roman" w:cs="Times New Roman"/>
          <w:b/>
          <w:sz w:val="24"/>
          <w:szCs w:val="24"/>
        </w:rPr>
      </w:pPr>
      <w:r w:rsidRPr="003C3BC0">
        <w:rPr>
          <w:rFonts w:ascii="Times New Roman" w:hAnsi="Times New Roman" w:cs="Times New Roman"/>
          <w:b/>
          <w:sz w:val="24"/>
          <w:szCs w:val="24"/>
        </w:rPr>
        <w:t>ИСХОДИ ПОСТУПАКА</w:t>
      </w:r>
    </w:p>
    <w:p w:rsidR="00A92087" w:rsidRDefault="00637BC6" w:rsidP="007B4B66">
      <w:pPr>
        <w:jc w:val="both"/>
        <w:rPr>
          <w:rFonts w:ascii="Times New Roman" w:hAnsi="Times New Roman" w:cs="Times New Roman"/>
          <w:sz w:val="24"/>
          <w:szCs w:val="24"/>
        </w:rPr>
      </w:pPr>
      <w:r>
        <w:rPr>
          <w:rFonts w:ascii="Times New Roman" w:hAnsi="Times New Roman" w:cs="Times New Roman"/>
          <w:sz w:val="24"/>
          <w:szCs w:val="24"/>
        </w:rPr>
        <w:t xml:space="preserve">Преглед исхода поступака јавних набавки у трећем кварталу 2013. године (Табела </w:t>
      </w:r>
      <w:r w:rsidR="008B1816">
        <w:rPr>
          <w:rFonts w:ascii="Times New Roman" w:hAnsi="Times New Roman" w:cs="Times New Roman"/>
          <w:sz w:val="24"/>
          <w:szCs w:val="24"/>
          <w:lang w:val="sr-Cyrl-RS"/>
        </w:rPr>
        <w:t>9</w:t>
      </w:r>
      <w:r w:rsidR="00A92087">
        <w:rPr>
          <w:rFonts w:ascii="Times New Roman" w:hAnsi="Times New Roman" w:cs="Times New Roman"/>
          <w:sz w:val="24"/>
          <w:szCs w:val="24"/>
        </w:rPr>
        <w:t>, Слика 15</w:t>
      </w:r>
      <w:r>
        <w:rPr>
          <w:rFonts w:ascii="Times New Roman" w:hAnsi="Times New Roman" w:cs="Times New Roman"/>
          <w:sz w:val="24"/>
          <w:szCs w:val="24"/>
        </w:rPr>
        <w:t>) показује да је 9 од 10 запо</w:t>
      </w:r>
      <w:r w:rsidR="005F5974">
        <w:rPr>
          <w:rFonts w:ascii="Times New Roman" w:hAnsi="Times New Roman" w:cs="Times New Roman"/>
          <w:sz w:val="24"/>
          <w:szCs w:val="24"/>
        </w:rPr>
        <w:t>четих поступака успешно окончано</w:t>
      </w:r>
      <w:r>
        <w:rPr>
          <w:rFonts w:ascii="Times New Roman" w:hAnsi="Times New Roman" w:cs="Times New Roman"/>
          <w:sz w:val="24"/>
          <w:szCs w:val="24"/>
        </w:rPr>
        <w:t xml:space="preserve">. </w:t>
      </w:r>
      <w:r w:rsidR="007A00D3">
        <w:rPr>
          <w:rFonts w:ascii="Times New Roman" w:hAnsi="Times New Roman" w:cs="Times New Roman"/>
          <w:sz w:val="24"/>
          <w:szCs w:val="24"/>
        </w:rPr>
        <w:t xml:space="preserve">Уколико је набавка подељена по партијама, успешно спроведеном набавком се сматра уколико је </w:t>
      </w:r>
      <w:r w:rsidR="00B26AAA">
        <w:rPr>
          <w:rFonts w:ascii="Times New Roman" w:hAnsi="Times New Roman" w:cs="Times New Roman"/>
          <w:sz w:val="24"/>
          <w:szCs w:val="24"/>
        </w:rPr>
        <w:t xml:space="preserve">за </w:t>
      </w:r>
      <w:r w:rsidR="007A00D3">
        <w:rPr>
          <w:rFonts w:ascii="Times New Roman" w:hAnsi="Times New Roman" w:cs="Times New Roman"/>
          <w:sz w:val="24"/>
          <w:szCs w:val="24"/>
        </w:rPr>
        <w:t xml:space="preserve">најмање 50% партија успешно спроведен поступак. </w:t>
      </w:r>
    </w:p>
    <w:p w:rsidR="00637BC6" w:rsidRPr="008B1816" w:rsidRDefault="00637BC6" w:rsidP="00637BC6">
      <w:pPr>
        <w:rPr>
          <w:rFonts w:ascii="Times New Roman" w:hAnsi="Times New Roman" w:cs="Times New Roman"/>
          <w:b/>
          <w:sz w:val="24"/>
          <w:szCs w:val="24"/>
          <w:lang w:val="sr-Cyrl-RS"/>
        </w:rPr>
      </w:pPr>
      <w:r w:rsidRPr="00637BC6">
        <w:rPr>
          <w:rFonts w:ascii="Times New Roman" w:hAnsi="Times New Roman" w:cs="Times New Roman"/>
          <w:b/>
          <w:sz w:val="24"/>
          <w:szCs w:val="24"/>
        </w:rPr>
        <w:t xml:space="preserve">Табела </w:t>
      </w:r>
      <w:r w:rsidR="008B1816">
        <w:rPr>
          <w:rFonts w:ascii="Times New Roman" w:hAnsi="Times New Roman" w:cs="Times New Roman"/>
          <w:b/>
          <w:sz w:val="24"/>
          <w:szCs w:val="24"/>
          <w:lang w:val="sr-Cyrl-RS"/>
        </w:rPr>
        <w:t>9</w:t>
      </w:r>
    </w:p>
    <w:tbl>
      <w:tblPr>
        <w:tblW w:w="0" w:type="auto"/>
        <w:jc w:val="center"/>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336"/>
        <w:gridCol w:w="1015"/>
        <w:gridCol w:w="1336"/>
        <w:gridCol w:w="1015"/>
        <w:gridCol w:w="1047"/>
        <w:gridCol w:w="966"/>
      </w:tblGrid>
      <w:tr w:rsidR="00637BC6" w:rsidRPr="00B26AAA" w:rsidTr="00F07CC7">
        <w:trPr>
          <w:trHeight w:val="898"/>
          <w:jc w:val="center"/>
        </w:trPr>
        <w:tc>
          <w:tcPr>
            <w:tcW w:w="8403" w:type="dxa"/>
            <w:gridSpan w:val="7"/>
            <w:shd w:val="clear" w:color="auto" w:fill="auto"/>
            <w:vAlign w:val="center"/>
          </w:tcPr>
          <w:p w:rsidR="00637BC6" w:rsidRPr="00B26AAA" w:rsidRDefault="00637BC6" w:rsidP="008B1816">
            <w:pPr>
              <w:tabs>
                <w:tab w:val="left" w:pos="1885"/>
              </w:tabs>
              <w:jc w:val="center"/>
              <w:rPr>
                <w:rFonts w:ascii="Times New Roman" w:hAnsi="Times New Roman" w:cs="Times New Roman"/>
                <w:b/>
                <w:sz w:val="24"/>
                <w:szCs w:val="24"/>
              </w:rPr>
            </w:pPr>
            <w:r w:rsidRPr="00B26AAA">
              <w:rPr>
                <w:rFonts w:ascii="Times New Roman" w:hAnsi="Times New Roman" w:cs="Times New Roman"/>
                <w:b/>
                <w:sz w:val="24"/>
                <w:szCs w:val="24"/>
              </w:rPr>
              <w:t xml:space="preserve">Преглед исхода поступака у трећем кварталу 2013. </w:t>
            </w:r>
            <w:r w:rsidR="008B1816">
              <w:rPr>
                <w:rFonts w:ascii="Times New Roman" w:hAnsi="Times New Roman" w:cs="Times New Roman"/>
                <w:b/>
                <w:sz w:val="24"/>
                <w:szCs w:val="24"/>
                <w:lang w:val="sr-Cyrl-RS"/>
              </w:rPr>
              <w:t>г</w:t>
            </w:r>
            <w:r w:rsidRPr="00B26AAA">
              <w:rPr>
                <w:rFonts w:ascii="Times New Roman" w:hAnsi="Times New Roman" w:cs="Times New Roman"/>
                <w:b/>
                <w:sz w:val="24"/>
                <w:szCs w:val="24"/>
              </w:rPr>
              <w:t>одине</w:t>
            </w:r>
          </w:p>
        </w:tc>
      </w:tr>
      <w:tr w:rsidR="00637BC6" w:rsidRPr="00B26AAA" w:rsidTr="00F07CC7">
        <w:trPr>
          <w:trHeight w:val="981"/>
          <w:jc w:val="center"/>
        </w:trPr>
        <w:tc>
          <w:tcPr>
            <w:tcW w:w="1688"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Исход поступка</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Број поступака велике вредности</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Број поступака мале вредности</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w:t>
            </w:r>
          </w:p>
        </w:tc>
        <w:tc>
          <w:tcPr>
            <w:tcW w:w="1047"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Укупно</w:t>
            </w:r>
          </w:p>
        </w:tc>
        <w:tc>
          <w:tcPr>
            <w:tcW w:w="966"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w:t>
            </w:r>
          </w:p>
        </w:tc>
      </w:tr>
      <w:tr w:rsidR="00637BC6" w:rsidRPr="00B26AAA" w:rsidTr="007B4B66">
        <w:trPr>
          <w:trHeight w:val="699"/>
          <w:jc w:val="center"/>
        </w:trPr>
        <w:tc>
          <w:tcPr>
            <w:tcW w:w="1688"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Успешно спроведени</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4.705</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82</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8.060</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92</w:t>
            </w:r>
          </w:p>
        </w:tc>
        <w:tc>
          <w:tcPr>
            <w:tcW w:w="1047"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12.765</w:t>
            </w:r>
          </w:p>
        </w:tc>
        <w:tc>
          <w:tcPr>
            <w:tcW w:w="96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88</w:t>
            </w:r>
          </w:p>
        </w:tc>
      </w:tr>
      <w:tr w:rsidR="00637BC6" w:rsidRPr="00B26AAA" w:rsidTr="007B4B66">
        <w:trPr>
          <w:trHeight w:val="486"/>
          <w:jc w:val="center"/>
        </w:trPr>
        <w:tc>
          <w:tcPr>
            <w:tcW w:w="1688"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Обустављени</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918</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16</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624</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7</w:t>
            </w:r>
          </w:p>
        </w:tc>
        <w:tc>
          <w:tcPr>
            <w:tcW w:w="1047"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1.542</w:t>
            </w:r>
          </w:p>
        </w:tc>
        <w:tc>
          <w:tcPr>
            <w:tcW w:w="96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11</w:t>
            </w:r>
          </w:p>
        </w:tc>
      </w:tr>
      <w:tr w:rsidR="00637BC6" w:rsidRPr="00B26AAA" w:rsidTr="007B4B66">
        <w:trPr>
          <w:trHeight w:val="776"/>
          <w:jc w:val="center"/>
        </w:trPr>
        <w:tc>
          <w:tcPr>
            <w:tcW w:w="1688"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Поништени делимично</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39</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21</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0</w:t>
            </w:r>
          </w:p>
        </w:tc>
        <w:tc>
          <w:tcPr>
            <w:tcW w:w="1047"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60</w:t>
            </w:r>
          </w:p>
        </w:tc>
        <w:tc>
          <w:tcPr>
            <w:tcW w:w="96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0</w:t>
            </w:r>
          </w:p>
        </w:tc>
      </w:tr>
      <w:tr w:rsidR="00637BC6" w:rsidRPr="00B26AAA" w:rsidTr="007B4B66">
        <w:trPr>
          <w:trHeight w:val="762"/>
          <w:jc w:val="center"/>
        </w:trPr>
        <w:tc>
          <w:tcPr>
            <w:tcW w:w="1688"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Поништени у целини</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51</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38</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w:t>
            </w:r>
          </w:p>
        </w:tc>
        <w:tc>
          <w:tcPr>
            <w:tcW w:w="1047"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89</w:t>
            </w:r>
          </w:p>
        </w:tc>
        <w:tc>
          <w:tcPr>
            <w:tcW w:w="966" w:type="dxa"/>
            <w:shd w:val="clear" w:color="auto" w:fill="auto"/>
            <w:vAlign w:val="center"/>
          </w:tcPr>
          <w:p w:rsidR="00637BC6" w:rsidRPr="008B1816" w:rsidRDefault="00637BC6" w:rsidP="006D796B">
            <w:pPr>
              <w:tabs>
                <w:tab w:val="left" w:pos="1885"/>
              </w:tabs>
              <w:jc w:val="center"/>
              <w:rPr>
                <w:rFonts w:ascii="Times New Roman" w:hAnsi="Times New Roman" w:cs="Times New Roman"/>
              </w:rPr>
            </w:pPr>
            <w:r w:rsidRPr="008B1816">
              <w:rPr>
                <w:rFonts w:ascii="Times New Roman" w:hAnsi="Times New Roman" w:cs="Times New Roman"/>
              </w:rPr>
              <w:t>1</w:t>
            </w:r>
          </w:p>
        </w:tc>
      </w:tr>
      <w:tr w:rsidR="00637BC6" w:rsidRPr="00B26AAA" w:rsidTr="007B4B66">
        <w:trPr>
          <w:trHeight w:val="64"/>
          <w:jc w:val="center"/>
        </w:trPr>
        <w:tc>
          <w:tcPr>
            <w:tcW w:w="1688"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Укупно</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5.713</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100</w:t>
            </w:r>
          </w:p>
        </w:tc>
        <w:tc>
          <w:tcPr>
            <w:tcW w:w="1336"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8.743</w:t>
            </w:r>
          </w:p>
        </w:tc>
        <w:tc>
          <w:tcPr>
            <w:tcW w:w="1015"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100</w:t>
            </w:r>
          </w:p>
        </w:tc>
        <w:tc>
          <w:tcPr>
            <w:tcW w:w="1047"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14.456</w:t>
            </w:r>
          </w:p>
        </w:tc>
        <w:tc>
          <w:tcPr>
            <w:tcW w:w="966" w:type="dxa"/>
            <w:shd w:val="clear" w:color="auto" w:fill="auto"/>
            <w:vAlign w:val="center"/>
          </w:tcPr>
          <w:p w:rsidR="00637BC6" w:rsidRPr="008B1816" w:rsidRDefault="00637BC6" w:rsidP="006D796B">
            <w:pPr>
              <w:tabs>
                <w:tab w:val="left" w:pos="1885"/>
              </w:tabs>
              <w:jc w:val="center"/>
              <w:rPr>
                <w:rFonts w:ascii="Times New Roman" w:hAnsi="Times New Roman" w:cs="Times New Roman"/>
                <w:b/>
              </w:rPr>
            </w:pPr>
            <w:r w:rsidRPr="008B1816">
              <w:rPr>
                <w:rFonts w:ascii="Times New Roman" w:hAnsi="Times New Roman" w:cs="Times New Roman"/>
                <w:b/>
              </w:rPr>
              <w:t>100</w:t>
            </w:r>
          </w:p>
        </w:tc>
      </w:tr>
    </w:tbl>
    <w:p w:rsidR="008B1816" w:rsidRDefault="008B1816" w:rsidP="008B1816">
      <w:pP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С</w:t>
      </w:r>
      <w:r w:rsidR="005F5974" w:rsidRPr="005F5974">
        <w:rPr>
          <w:rFonts w:ascii="Times New Roman" w:hAnsi="Times New Roman" w:cs="Times New Roman"/>
          <w:b/>
          <w:sz w:val="24"/>
          <w:szCs w:val="24"/>
        </w:rPr>
        <w:t xml:space="preserve">лика </w:t>
      </w:r>
      <w:r w:rsidR="00A92087">
        <w:rPr>
          <w:rFonts w:ascii="Times New Roman" w:hAnsi="Times New Roman" w:cs="Times New Roman"/>
          <w:b/>
          <w:sz w:val="24"/>
          <w:szCs w:val="24"/>
        </w:rPr>
        <w:t>15</w:t>
      </w:r>
    </w:p>
    <w:p w:rsidR="00637BC6" w:rsidRDefault="007B4B66" w:rsidP="008B1816">
      <w:pPr>
        <w:jc w:val="center"/>
      </w:pPr>
      <w:r>
        <w:rPr>
          <w:rFonts w:ascii="Times New Roman" w:hAnsi="Times New Roman" w:cs="Times New Roman"/>
          <w:b/>
          <w:sz w:val="24"/>
          <w:szCs w:val="24"/>
        </w:rPr>
        <w:br/>
      </w:r>
      <w:r w:rsidR="003C3BC0" w:rsidRPr="00A94CAE">
        <w:object w:dxaOrig="7457" w:dyaOrig="6070">
          <v:shape id="_x0000_i1040" type="#_x0000_t75" style="width:423.85pt;height:283.25pt;mso-position-horizontal:absolute" o:ole="" o:allowoverlap="f">
            <v:imagedata r:id="rId47" o:title=""/>
            <o:lock v:ext="edit" aspectratio="f"/>
          </v:shape>
          <o:OLEObject Type="Embed" ProgID="Excel.Sheet.12" ShapeID="_x0000_i1040" DrawAspect="Content" ObjectID="_1453891891" r:id="rId48"/>
        </w:object>
      </w:r>
    </w:p>
    <w:p w:rsidR="008B1816" w:rsidRDefault="007A00D3" w:rsidP="008B1816">
      <w:pPr>
        <w:jc w:val="both"/>
        <w:rPr>
          <w:rFonts w:ascii="Times New Roman" w:hAnsi="Times New Roman" w:cs="Times New Roman"/>
          <w:sz w:val="24"/>
          <w:szCs w:val="24"/>
          <w:lang w:val="sr-Cyrl-RS"/>
        </w:rPr>
      </w:pPr>
      <w:r>
        <w:rPr>
          <w:rFonts w:ascii="Times New Roman" w:hAnsi="Times New Roman" w:cs="Times New Roman"/>
          <w:sz w:val="24"/>
          <w:szCs w:val="24"/>
        </w:rPr>
        <w:t xml:space="preserve">Наручиоци су сами обуставили 11% поступака, најчешће </w:t>
      </w:r>
      <w:r w:rsidR="00A92087">
        <w:rPr>
          <w:rFonts w:ascii="Times New Roman" w:hAnsi="Times New Roman" w:cs="Times New Roman"/>
          <w:sz w:val="24"/>
          <w:szCs w:val="24"/>
        </w:rPr>
        <w:t>зато што су доби</w:t>
      </w:r>
      <w:r w:rsidR="00B26AAA">
        <w:rPr>
          <w:rFonts w:ascii="Times New Roman" w:hAnsi="Times New Roman" w:cs="Times New Roman"/>
          <w:sz w:val="24"/>
          <w:szCs w:val="24"/>
        </w:rPr>
        <w:t>ја</w:t>
      </w:r>
      <w:r w:rsidR="00A92087">
        <w:rPr>
          <w:rFonts w:ascii="Times New Roman" w:hAnsi="Times New Roman" w:cs="Times New Roman"/>
          <w:sz w:val="24"/>
          <w:szCs w:val="24"/>
        </w:rPr>
        <w:t>ли неисправне, неодговарајуће и неприхватљиве понуде (Слика 16).</w:t>
      </w:r>
    </w:p>
    <w:p w:rsidR="008B1816" w:rsidRDefault="008B1816" w:rsidP="008B1816">
      <w:pPr>
        <w:jc w:val="both"/>
        <w:rPr>
          <w:rFonts w:ascii="Times New Roman" w:hAnsi="Times New Roman" w:cs="Times New Roman"/>
          <w:b/>
          <w:sz w:val="24"/>
          <w:szCs w:val="24"/>
          <w:lang w:val="sr-Cyrl-RS"/>
        </w:rPr>
      </w:pPr>
      <w:r>
        <w:rPr>
          <w:rFonts w:ascii="Times New Roman" w:hAnsi="Times New Roman" w:cs="Times New Roman"/>
          <w:b/>
          <w:sz w:val="24"/>
          <w:szCs w:val="24"/>
        </w:rPr>
        <w:t>Слика</w:t>
      </w:r>
      <w:r w:rsidR="00A92087">
        <w:rPr>
          <w:rFonts w:ascii="Times New Roman" w:hAnsi="Times New Roman" w:cs="Times New Roman"/>
          <w:b/>
          <w:sz w:val="24"/>
          <w:szCs w:val="24"/>
        </w:rPr>
        <w:t>16</w:t>
      </w:r>
    </w:p>
    <w:p w:rsidR="00A92087" w:rsidRPr="008B1816" w:rsidRDefault="006C1DFE" w:rsidP="008B1816">
      <w:pPr>
        <w:jc w:val="center"/>
        <w:rPr>
          <w:rFonts w:ascii="Times New Roman" w:hAnsi="Times New Roman" w:cs="Times New Roman"/>
          <w:b/>
          <w:sz w:val="24"/>
          <w:szCs w:val="24"/>
          <w:lang w:val="sr-Cyrl-RS"/>
        </w:rPr>
      </w:pPr>
      <w:r>
        <w:rPr>
          <w:rFonts w:ascii="Times New Roman" w:hAnsi="Times New Roman" w:cs="Times New Roman"/>
          <w:b/>
          <w:sz w:val="24"/>
          <w:szCs w:val="24"/>
        </w:rPr>
        <w:br/>
      </w:r>
      <w:r w:rsidR="00A92087" w:rsidRPr="00A92087">
        <w:rPr>
          <w:rFonts w:ascii="Times New Roman" w:hAnsi="Times New Roman" w:cs="Times New Roman"/>
          <w:noProof/>
          <w:sz w:val="24"/>
          <w:szCs w:val="24"/>
        </w:rPr>
        <w:drawing>
          <wp:inline distT="0" distB="0" distL="0" distR="0" wp14:anchorId="2B10BAAC" wp14:editId="3BD62476">
            <wp:extent cx="5374257" cy="3252159"/>
            <wp:effectExtent l="0" t="0" r="17145"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A92087" w:rsidRDefault="00A92087" w:rsidP="00BB64E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Свега 1% поступака је поништено (делимично или у целини) од стране Републичке комисије за заштиту права (Табела </w:t>
      </w:r>
      <w:r w:rsidR="008B1816">
        <w:rPr>
          <w:rFonts w:ascii="Times New Roman" w:hAnsi="Times New Roman" w:cs="Times New Roman"/>
          <w:sz w:val="24"/>
          <w:szCs w:val="24"/>
          <w:lang w:val="sr-Cyrl-RS"/>
        </w:rPr>
        <w:t>9</w:t>
      </w:r>
      <w:r>
        <w:rPr>
          <w:rFonts w:ascii="Times New Roman" w:hAnsi="Times New Roman" w:cs="Times New Roman"/>
          <w:sz w:val="24"/>
          <w:szCs w:val="24"/>
        </w:rPr>
        <w:t xml:space="preserve">, Слика 15). </w:t>
      </w:r>
    </w:p>
    <w:p w:rsidR="00637BC6" w:rsidRPr="00D954B5" w:rsidRDefault="00CA1F8B" w:rsidP="00BB64E7">
      <w:pPr>
        <w:jc w:val="both"/>
        <w:rPr>
          <w:rFonts w:ascii="Times New Roman" w:hAnsi="Times New Roman" w:cs="Times New Roman"/>
          <w:sz w:val="24"/>
          <w:szCs w:val="24"/>
        </w:rPr>
      </w:pPr>
      <w:r>
        <w:rPr>
          <w:rFonts w:ascii="Times New Roman" w:hAnsi="Times New Roman" w:cs="Times New Roman"/>
          <w:sz w:val="24"/>
          <w:szCs w:val="24"/>
        </w:rPr>
        <w:t>Може се закључити да је постојао висок степен успешности поступака</w:t>
      </w:r>
      <w:r w:rsidR="008B1816">
        <w:rPr>
          <w:rFonts w:ascii="Times New Roman" w:hAnsi="Times New Roman" w:cs="Times New Roman"/>
          <w:sz w:val="24"/>
          <w:szCs w:val="24"/>
          <w:lang w:val="sr-Cyrl-RS"/>
        </w:rPr>
        <w:t xml:space="preserve"> </w:t>
      </w:r>
      <w:r w:rsidR="00CC5D30">
        <w:rPr>
          <w:rFonts w:ascii="Times New Roman" w:hAnsi="Times New Roman" w:cs="Times New Roman"/>
          <w:sz w:val="24"/>
          <w:szCs w:val="24"/>
        </w:rPr>
        <w:t xml:space="preserve">јавних набавки </w:t>
      </w:r>
      <w:r w:rsidR="00324462">
        <w:rPr>
          <w:rFonts w:ascii="Times New Roman" w:hAnsi="Times New Roman" w:cs="Times New Roman"/>
          <w:sz w:val="24"/>
          <w:szCs w:val="24"/>
        </w:rPr>
        <w:t xml:space="preserve">што сведочи о </w:t>
      </w:r>
      <w:r w:rsidR="00A92087">
        <w:rPr>
          <w:rFonts w:ascii="Times New Roman" w:hAnsi="Times New Roman" w:cs="Times New Roman"/>
          <w:sz w:val="24"/>
          <w:szCs w:val="24"/>
        </w:rPr>
        <w:t xml:space="preserve">завидној </w:t>
      </w:r>
      <w:r w:rsidR="00324462">
        <w:rPr>
          <w:rFonts w:ascii="Times New Roman" w:hAnsi="Times New Roman" w:cs="Times New Roman"/>
          <w:sz w:val="24"/>
          <w:szCs w:val="24"/>
        </w:rPr>
        <w:t xml:space="preserve">ефикасности система </w:t>
      </w:r>
      <w:r w:rsidR="00CC5D30">
        <w:rPr>
          <w:rFonts w:ascii="Times New Roman" w:hAnsi="Times New Roman" w:cs="Times New Roman"/>
          <w:sz w:val="24"/>
          <w:szCs w:val="24"/>
        </w:rPr>
        <w:t xml:space="preserve">у целини. </w:t>
      </w:r>
      <w:r w:rsidR="00324462">
        <w:rPr>
          <w:rFonts w:ascii="Times New Roman" w:hAnsi="Times New Roman" w:cs="Times New Roman"/>
          <w:sz w:val="24"/>
          <w:szCs w:val="24"/>
        </w:rPr>
        <w:t>Друг</w:t>
      </w:r>
      <w:r w:rsidR="00A92087">
        <w:rPr>
          <w:rFonts w:ascii="Times New Roman" w:hAnsi="Times New Roman" w:cs="Times New Roman"/>
          <w:sz w:val="24"/>
          <w:szCs w:val="24"/>
        </w:rPr>
        <w:t xml:space="preserve">о запажање је низак степен поништавања поступака јавних набавки: </w:t>
      </w:r>
      <w:r>
        <w:rPr>
          <w:rFonts w:ascii="Times New Roman" w:hAnsi="Times New Roman" w:cs="Times New Roman"/>
          <w:sz w:val="24"/>
          <w:szCs w:val="24"/>
        </w:rPr>
        <w:t xml:space="preserve">тек сваки стоти поступак </w:t>
      </w:r>
      <w:r w:rsidR="00A92087">
        <w:rPr>
          <w:rFonts w:ascii="Times New Roman" w:hAnsi="Times New Roman" w:cs="Times New Roman"/>
          <w:sz w:val="24"/>
          <w:szCs w:val="24"/>
        </w:rPr>
        <w:t xml:space="preserve">је </w:t>
      </w:r>
      <w:r>
        <w:rPr>
          <w:rFonts w:ascii="Times New Roman" w:hAnsi="Times New Roman" w:cs="Times New Roman"/>
          <w:sz w:val="24"/>
          <w:szCs w:val="24"/>
        </w:rPr>
        <w:t>пониш</w:t>
      </w:r>
      <w:r w:rsidR="00A92087">
        <w:rPr>
          <w:rFonts w:ascii="Times New Roman" w:hAnsi="Times New Roman" w:cs="Times New Roman"/>
          <w:sz w:val="24"/>
          <w:szCs w:val="24"/>
        </w:rPr>
        <w:t>е</w:t>
      </w:r>
      <w:r>
        <w:rPr>
          <w:rFonts w:ascii="Times New Roman" w:hAnsi="Times New Roman" w:cs="Times New Roman"/>
          <w:sz w:val="24"/>
          <w:szCs w:val="24"/>
        </w:rPr>
        <w:t>н пред Комисијом</w:t>
      </w:r>
      <w:r w:rsidR="00A92087">
        <w:rPr>
          <w:rFonts w:ascii="Times New Roman" w:hAnsi="Times New Roman" w:cs="Times New Roman"/>
          <w:sz w:val="24"/>
          <w:szCs w:val="24"/>
        </w:rPr>
        <w:t xml:space="preserve"> за заштиту права у поступцима јавних набавки. </w:t>
      </w:r>
      <w:r w:rsidR="00D954B5">
        <w:rPr>
          <w:rFonts w:ascii="Times New Roman" w:hAnsi="Times New Roman" w:cs="Times New Roman"/>
          <w:sz w:val="24"/>
          <w:szCs w:val="24"/>
        </w:rPr>
        <w:t>Поређења ради, у Републици Словенији је, у 2012. години, било 4% поништених поступака</w:t>
      </w:r>
      <w:r w:rsidR="00D954B5">
        <w:rPr>
          <w:rStyle w:val="FootnoteReference"/>
          <w:rFonts w:ascii="Times New Roman" w:hAnsi="Times New Roman" w:cs="Times New Roman"/>
          <w:sz w:val="24"/>
          <w:szCs w:val="24"/>
        </w:rPr>
        <w:footnoteReference w:id="4"/>
      </w:r>
      <w:r w:rsidR="00A92087">
        <w:rPr>
          <w:rFonts w:ascii="Times New Roman" w:hAnsi="Times New Roman" w:cs="Times New Roman"/>
          <w:sz w:val="24"/>
          <w:szCs w:val="24"/>
        </w:rPr>
        <w:t>, дакле, четири пута више.</w:t>
      </w:r>
      <w:r w:rsidR="00267139">
        <w:rPr>
          <w:rFonts w:ascii="Times New Roman" w:hAnsi="Times New Roman" w:cs="Times New Roman"/>
          <w:sz w:val="24"/>
          <w:szCs w:val="24"/>
        </w:rPr>
        <w:t xml:space="preserve"> С обзиром да поништавања поступка повлачи за собом додатно улагање времена и новца, а може да представља и сметњу редовном функционисању наручиоца, произлази да је систем јавних набавки у Србији</w:t>
      </w:r>
      <w:r w:rsidR="00B55E4A">
        <w:rPr>
          <w:rFonts w:ascii="Times New Roman" w:hAnsi="Times New Roman" w:cs="Times New Roman"/>
          <w:sz w:val="24"/>
          <w:szCs w:val="24"/>
        </w:rPr>
        <w:t xml:space="preserve">, са 1% поништених поступака, </w:t>
      </w:r>
      <w:r w:rsidR="00267139">
        <w:rPr>
          <w:rFonts w:ascii="Times New Roman" w:hAnsi="Times New Roman" w:cs="Times New Roman"/>
          <w:sz w:val="24"/>
          <w:szCs w:val="24"/>
        </w:rPr>
        <w:t>успешан</w:t>
      </w:r>
      <w:r w:rsidR="0094612A">
        <w:rPr>
          <w:rFonts w:ascii="Times New Roman" w:hAnsi="Times New Roman" w:cs="Times New Roman"/>
          <w:sz w:val="24"/>
          <w:szCs w:val="24"/>
          <w:lang w:val="sr-Cyrl-RS"/>
        </w:rPr>
        <w:t xml:space="preserve"> </w:t>
      </w:r>
      <w:r w:rsidR="00267139">
        <w:rPr>
          <w:rFonts w:ascii="Times New Roman" w:hAnsi="Times New Roman" w:cs="Times New Roman"/>
          <w:sz w:val="24"/>
          <w:szCs w:val="24"/>
        </w:rPr>
        <w:t>посматра</w:t>
      </w:r>
      <w:r w:rsidR="00A92087">
        <w:rPr>
          <w:rFonts w:ascii="Times New Roman" w:hAnsi="Times New Roman" w:cs="Times New Roman"/>
          <w:sz w:val="24"/>
          <w:szCs w:val="24"/>
        </w:rPr>
        <w:t>но</w:t>
      </w:r>
      <w:r w:rsidR="00267139">
        <w:rPr>
          <w:rFonts w:ascii="Times New Roman" w:hAnsi="Times New Roman" w:cs="Times New Roman"/>
          <w:sz w:val="24"/>
          <w:szCs w:val="24"/>
        </w:rPr>
        <w:t xml:space="preserve"> са аспекта економичности постпупака.  </w:t>
      </w:r>
    </w:p>
    <w:p w:rsidR="00BB0B9A" w:rsidRPr="0092428A" w:rsidRDefault="003C3BC0" w:rsidP="00BB0B9A">
      <w:pPr>
        <w:rPr>
          <w:rFonts w:ascii="Times New Roman" w:hAnsi="Times New Roman" w:cs="Times New Roman"/>
          <w:b/>
          <w:sz w:val="24"/>
          <w:szCs w:val="24"/>
        </w:rPr>
      </w:pPr>
      <w:r>
        <w:rPr>
          <w:rFonts w:ascii="Times New Roman" w:hAnsi="Times New Roman" w:cs="Times New Roman"/>
          <w:b/>
          <w:sz w:val="24"/>
          <w:szCs w:val="24"/>
        </w:rPr>
        <w:t>9.</w:t>
      </w:r>
      <w:r w:rsidR="0092428A">
        <w:rPr>
          <w:rFonts w:ascii="Times New Roman" w:hAnsi="Times New Roman" w:cs="Times New Roman"/>
          <w:b/>
          <w:sz w:val="24"/>
          <w:szCs w:val="24"/>
        </w:rPr>
        <w:tab/>
      </w:r>
      <w:r w:rsidR="00BB0B9A" w:rsidRPr="0092428A">
        <w:rPr>
          <w:rFonts w:ascii="Times New Roman" w:hAnsi="Times New Roman" w:cs="Times New Roman"/>
          <w:b/>
          <w:sz w:val="24"/>
          <w:szCs w:val="24"/>
        </w:rPr>
        <w:t>НАБАВКЕ ИЗУЗЕТЕ ОД ПРИМЕНЕ ЗАКОНА</w:t>
      </w:r>
    </w:p>
    <w:p w:rsidR="00BB0B9A" w:rsidRDefault="00BB0B9A" w:rsidP="00F07CC7">
      <w:pPr>
        <w:jc w:val="both"/>
        <w:rPr>
          <w:rFonts w:ascii="Times New Roman" w:hAnsi="Times New Roman" w:cs="Times New Roman"/>
          <w:sz w:val="24"/>
          <w:szCs w:val="24"/>
        </w:rPr>
      </w:pPr>
      <w:r>
        <w:rPr>
          <w:rFonts w:ascii="Times New Roman" w:hAnsi="Times New Roman" w:cs="Times New Roman"/>
          <w:sz w:val="24"/>
          <w:szCs w:val="24"/>
        </w:rPr>
        <w:t xml:space="preserve">Набавке на које се није примењивао Закон о јавним набавкама учествовале су са 23% у укупној уговореној вредности у трећем кварталу 2013. године (Табела </w:t>
      </w:r>
      <w:r w:rsidR="0094612A">
        <w:rPr>
          <w:rFonts w:ascii="Times New Roman" w:hAnsi="Times New Roman" w:cs="Times New Roman"/>
          <w:sz w:val="24"/>
          <w:szCs w:val="24"/>
          <w:lang w:val="sr-Cyrl-RS"/>
        </w:rPr>
        <w:t>10</w:t>
      </w:r>
      <w:r>
        <w:rPr>
          <w:rFonts w:ascii="Times New Roman" w:hAnsi="Times New Roman" w:cs="Times New Roman"/>
          <w:sz w:val="24"/>
          <w:szCs w:val="24"/>
        </w:rPr>
        <w:t>).</w:t>
      </w:r>
    </w:p>
    <w:p w:rsidR="00BB0B9A" w:rsidRPr="0094612A" w:rsidRDefault="00BB0B9A" w:rsidP="00BB0B9A">
      <w:pPr>
        <w:rPr>
          <w:rFonts w:ascii="Times New Roman" w:hAnsi="Times New Roman" w:cs="Times New Roman"/>
          <w:b/>
          <w:sz w:val="24"/>
          <w:szCs w:val="24"/>
          <w:lang w:val="sr-Cyrl-RS"/>
        </w:rPr>
      </w:pPr>
      <w:r>
        <w:rPr>
          <w:rFonts w:ascii="Times New Roman" w:hAnsi="Times New Roman" w:cs="Times New Roman"/>
          <w:b/>
          <w:sz w:val="24"/>
          <w:szCs w:val="24"/>
        </w:rPr>
        <w:t xml:space="preserve">Табела </w:t>
      </w:r>
      <w:r w:rsidR="0094612A">
        <w:rPr>
          <w:rFonts w:ascii="Times New Roman" w:hAnsi="Times New Roman" w:cs="Times New Roman"/>
          <w:b/>
          <w:sz w:val="24"/>
          <w:szCs w:val="24"/>
          <w:lang w:val="sr-Cyrl-RS"/>
        </w:rPr>
        <w:t>10</w:t>
      </w:r>
    </w:p>
    <w:tbl>
      <w:tblPr>
        <w:tblStyle w:val="TableGrid"/>
        <w:tblW w:w="0" w:type="auto"/>
        <w:tblLook w:val="0000" w:firstRow="0" w:lastRow="0" w:firstColumn="0" w:lastColumn="0" w:noHBand="0" w:noVBand="0"/>
      </w:tblPr>
      <w:tblGrid>
        <w:gridCol w:w="2204"/>
        <w:gridCol w:w="2196"/>
        <w:gridCol w:w="2228"/>
        <w:gridCol w:w="2158"/>
        <w:gridCol w:w="2230"/>
      </w:tblGrid>
      <w:tr w:rsidR="00A92087" w:rsidTr="00055CB3">
        <w:trPr>
          <w:trHeight w:val="638"/>
        </w:trPr>
        <w:tc>
          <w:tcPr>
            <w:tcW w:w="11850" w:type="dxa"/>
            <w:gridSpan w:val="5"/>
          </w:tcPr>
          <w:p w:rsidR="00BB0B9A" w:rsidRPr="006C3C7D" w:rsidRDefault="00BB0B9A" w:rsidP="00055CB3">
            <w:pPr>
              <w:jc w:val="center"/>
              <w:rPr>
                <w:b/>
              </w:rPr>
            </w:pPr>
            <w:r w:rsidRPr="006C3C7D">
              <w:rPr>
                <w:rFonts w:ascii="Times New Roman" w:hAnsi="Times New Roman" w:cs="Times New Roman"/>
                <w:b/>
                <w:sz w:val="28"/>
                <w:szCs w:val="28"/>
              </w:rPr>
              <w:t>Преглед јав</w:t>
            </w:r>
            <w:r w:rsidR="0094612A">
              <w:rPr>
                <w:rFonts w:ascii="Times New Roman" w:hAnsi="Times New Roman" w:cs="Times New Roman"/>
                <w:b/>
                <w:sz w:val="28"/>
                <w:szCs w:val="28"/>
              </w:rPr>
              <w:t>них набавки у Републици Србији</w:t>
            </w:r>
            <w:r w:rsidR="0094612A">
              <w:rPr>
                <w:rFonts w:ascii="Times New Roman" w:hAnsi="Times New Roman" w:cs="Times New Roman"/>
                <w:b/>
                <w:sz w:val="28"/>
                <w:szCs w:val="28"/>
                <w:lang w:val="sr-Cyrl-RS"/>
              </w:rPr>
              <w:t xml:space="preserve"> </w:t>
            </w:r>
            <w:r w:rsidRPr="006C3C7D">
              <w:rPr>
                <w:rFonts w:ascii="Times New Roman" w:hAnsi="Times New Roman" w:cs="Times New Roman"/>
                <w:b/>
                <w:sz w:val="28"/>
                <w:szCs w:val="28"/>
              </w:rPr>
              <w:t>у трећем кварталу 2013. године</w:t>
            </w:r>
          </w:p>
        </w:tc>
      </w:tr>
      <w:tr w:rsidR="00A92087" w:rsidTr="00055CB3">
        <w:tblPrEx>
          <w:tblLook w:val="04A0" w:firstRow="1" w:lastRow="0" w:firstColumn="1" w:lastColumn="0" w:noHBand="0" w:noVBand="1"/>
        </w:tblPrEx>
        <w:tc>
          <w:tcPr>
            <w:tcW w:w="2370" w:type="dxa"/>
            <w:vMerge w:val="restart"/>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Врста набавки</w:t>
            </w:r>
          </w:p>
        </w:tc>
        <w:tc>
          <w:tcPr>
            <w:tcW w:w="2370" w:type="dxa"/>
            <w:vMerge w:val="restart"/>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Укупан број уговора</w:t>
            </w:r>
          </w:p>
        </w:tc>
        <w:tc>
          <w:tcPr>
            <w:tcW w:w="2370" w:type="dxa"/>
            <w:vMerge w:val="restart"/>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Укупна уговорена вредност</w:t>
            </w:r>
          </w:p>
        </w:tc>
        <w:tc>
          <w:tcPr>
            <w:tcW w:w="4740" w:type="dxa"/>
            <w:gridSpan w:val="2"/>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Заступљеност у свим набавкама</w:t>
            </w:r>
          </w:p>
        </w:tc>
      </w:tr>
      <w:tr w:rsidR="00A92087" w:rsidTr="00055CB3">
        <w:tblPrEx>
          <w:tblLook w:val="04A0" w:firstRow="1" w:lastRow="0" w:firstColumn="1" w:lastColumn="0" w:noHBand="0" w:noVBand="1"/>
        </w:tblPrEx>
        <w:tc>
          <w:tcPr>
            <w:tcW w:w="2370" w:type="dxa"/>
            <w:vMerge/>
            <w:vAlign w:val="center"/>
          </w:tcPr>
          <w:p w:rsidR="00BB0B9A" w:rsidRPr="006C3C7D" w:rsidRDefault="00BB0B9A" w:rsidP="00055CB3">
            <w:pPr>
              <w:jc w:val="center"/>
              <w:rPr>
                <w:rFonts w:ascii="Times New Roman" w:hAnsi="Times New Roman" w:cs="Times New Roman"/>
                <w:b/>
                <w:sz w:val="24"/>
                <w:szCs w:val="24"/>
              </w:rPr>
            </w:pPr>
          </w:p>
        </w:tc>
        <w:tc>
          <w:tcPr>
            <w:tcW w:w="2370" w:type="dxa"/>
            <w:vMerge/>
            <w:vAlign w:val="center"/>
          </w:tcPr>
          <w:p w:rsidR="00BB0B9A" w:rsidRPr="006C3C7D" w:rsidRDefault="00BB0B9A" w:rsidP="00055CB3">
            <w:pPr>
              <w:jc w:val="center"/>
              <w:rPr>
                <w:rFonts w:ascii="Times New Roman" w:hAnsi="Times New Roman" w:cs="Times New Roman"/>
                <w:b/>
                <w:sz w:val="24"/>
                <w:szCs w:val="24"/>
              </w:rPr>
            </w:pPr>
          </w:p>
        </w:tc>
        <w:tc>
          <w:tcPr>
            <w:tcW w:w="2370" w:type="dxa"/>
            <w:vMerge/>
            <w:vAlign w:val="center"/>
          </w:tcPr>
          <w:p w:rsidR="00BB0B9A" w:rsidRPr="006C3C7D" w:rsidRDefault="00BB0B9A" w:rsidP="00055CB3">
            <w:pPr>
              <w:jc w:val="center"/>
              <w:rPr>
                <w:rFonts w:ascii="Times New Roman" w:hAnsi="Times New Roman" w:cs="Times New Roman"/>
                <w:b/>
                <w:sz w:val="24"/>
                <w:szCs w:val="24"/>
              </w:rPr>
            </w:pPr>
          </w:p>
        </w:tc>
        <w:tc>
          <w:tcPr>
            <w:tcW w:w="2370"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По броју у %</w:t>
            </w:r>
          </w:p>
        </w:tc>
        <w:tc>
          <w:tcPr>
            <w:tcW w:w="2370"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По вредности у %</w:t>
            </w:r>
          </w:p>
        </w:tc>
      </w:tr>
      <w:tr w:rsidR="00A92087" w:rsidTr="00055CB3">
        <w:tblPrEx>
          <w:tblLook w:val="04A0" w:firstRow="1" w:lastRow="0" w:firstColumn="1" w:lastColumn="0" w:noHBand="0" w:noVBand="1"/>
        </w:tblPrEx>
        <w:tc>
          <w:tcPr>
            <w:tcW w:w="2370"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Велике набавке</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8.991</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64.537.601</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22</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7</w:t>
            </w:r>
            <w:r>
              <w:rPr>
                <w:rFonts w:ascii="Times New Roman" w:hAnsi="Times New Roman" w:cs="Times New Roman"/>
                <w:sz w:val="24"/>
                <w:szCs w:val="24"/>
              </w:rPr>
              <w:t>0</w:t>
            </w:r>
          </w:p>
        </w:tc>
      </w:tr>
      <w:tr w:rsidR="00A92087" w:rsidTr="00055CB3">
        <w:tblPrEx>
          <w:tblLook w:val="04A0" w:firstRow="1" w:lastRow="0" w:firstColumn="1" w:lastColumn="0" w:noHBand="0" w:noVBand="1"/>
        </w:tblPrEx>
        <w:tc>
          <w:tcPr>
            <w:tcW w:w="2370"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Мале набавке</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9.653</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4.975.284</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24</w:t>
            </w:r>
          </w:p>
        </w:tc>
        <w:tc>
          <w:tcPr>
            <w:tcW w:w="2370" w:type="dxa"/>
            <w:vAlign w:val="center"/>
          </w:tcPr>
          <w:p w:rsidR="00BB0B9A" w:rsidRPr="002F61C4" w:rsidRDefault="00BB0B9A" w:rsidP="00055CB3">
            <w:pPr>
              <w:jc w:val="center"/>
              <w:rPr>
                <w:rFonts w:ascii="Times New Roman" w:hAnsi="Times New Roman" w:cs="Times New Roman"/>
                <w:sz w:val="24"/>
                <w:szCs w:val="24"/>
              </w:rPr>
            </w:pPr>
            <w:r>
              <w:rPr>
                <w:rFonts w:ascii="Times New Roman" w:hAnsi="Times New Roman" w:cs="Times New Roman"/>
                <w:sz w:val="24"/>
                <w:szCs w:val="24"/>
              </w:rPr>
              <w:t>7</w:t>
            </w:r>
          </w:p>
        </w:tc>
      </w:tr>
      <w:tr w:rsidR="00A92087" w:rsidTr="00055CB3">
        <w:tblPrEx>
          <w:tblLook w:val="04A0" w:firstRow="1" w:lastRow="0" w:firstColumn="1" w:lastColumn="0" w:noHBand="0" w:noVBand="1"/>
        </w:tblPrEx>
        <w:tc>
          <w:tcPr>
            <w:tcW w:w="2370"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Изузете набавке</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21.476</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20.990206</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54</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23</w:t>
            </w:r>
          </w:p>
        </w:tc>
      </w:tr>
      <w:tr w:rsidR="00A92087" w:rsidTr="00055CB3">
        <w:tblPrEx>
          <w:tblLook w:val="04A0" w:firstRow="1" w:lastRow="0" w:firstColumn="1" w:lastColumn="0" w:noHBand="0" w:noVBand="1"/>
        </w:tblPrEx>
        <w:tc>
          <w:tcPr>
            <w:tcW w:w="2370" w:type="dxa"/>
            <w:vAlign w:val="center"/>
          </w:tcPr>
          <w:p w:rsidR="00BB0B9A" w:rsidRPr="006C3C7D" w:rsidRDefault="00BB0B9A" w:rsidP="00055CB3">
            <w:pPr>
              <w:jc w:val="center"/>
              <w:rPr>
                <w:rFonts w:ascii="Times New Roman" w:hAnsi="Times New Roman" w:cs="Times New Roman"/>
                <w:b/>
                <w:sz w:val="24"/>
                <w:szCs w:val="24"/>
              </w:rPr>
            </w:pPr>
            <w:r w:rsidRPr="006C3C7D">
              <w:rPr>
                <w:rFonts w:ascii="Times New Roman" w:hAnsi="Times New Roman" w:cs="Times New Roman"/>
                <w:b/>
                <w:sz w:val="24"/>
                <w:szCs w:val="24"/>
              </w:rPr>
              <w:t>Укупно</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40.120</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90.503.091</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100</w:t>
            </w:r>
          </w:p>
        </w:tc>
        <w:tc>
          <w:tcPr>
            <w:tcW w:w="2370" w:type="dxa"/>
            <w:vAlign w:val="center"/>
          </w:tcPr>
          <w:p w:rsidR="00BB0B9A" w:rsidRPr="002F61C4" w:rsidRDefault="00BB0B9A" w:rsidP="00055CB3">
            <w:pPr>
              <w:jc w:val="center"/>
              <w:rPr>
                <w:rFonts w:ascii="Times New Roman" w:hAnsi="Times New Roman" w:cs="Times New Roman"/>
                <w:sz w:val="24"/>
                <w:szCs w:val="24"/>
              </w:rPr>
            </w:pPr>
            <w:r w:rsidRPr="002F61C4">
              <w:rPr>
                <w:rFonts w:ascii="Times New Roman" w:hAnsi="Times New Roman" w:cs="Times New Roman"/>
                <w:sz w:val="24"/>
                <w:szCs w:val="24"/>
              </w:rPr>
              <w:t>100</w:t>
            </w:r>
          </w:p>
        </w:tc>
      </w:tr>
    </w:tbl>
    <w:p w:rsidR="00BB0B9A" w:rsidRDefault="00BB0B9A" w:rsidP="00BB0B9A"/>
    <w:p w:rsidR="00C013A0" w:rsidRDefault="00BB0B9A" w:rsidP="007C26F3">
      <w:pPr>
        <w:jc w:val="both"/>
        <w:rPr>
          <w:rFonts w:ascii="Times New Roman" w:hAnsi="Times New Roman" w:cs="Times New Roman"/>
          <w:b/>
          <w:sz w:val="24"/>
          <w:szCs w:val="24"/>
        </w:rPr>
      </w:pPr>
      <w:r>
        <w:rPr>
          <w:rFonts w:ascii="Times New Roman" w:hAnsi="Times New Roman" w:cs="Times New Roman"/>
          <w:sz w:val="24"/>
          <w:szCs w:val="24"/>
        </w:rPr>
        <w:t xml:space="preserve">Ове набавке биле су најзаступљеније код јавних предузећа која су учествовала са 80% у укупној вредности набавки изузетих од примене ЗЈН (Табела </w:t>
      </w:r>
      <w:r w:rsidR="0094612A">
        <w:rPr>
          <w:rFonts w:ascii="Times New Roman" w:hAnsi="Times New Roman" w:cs="Times New Roman"/>
          <w:sz w:val="24"/>
          <w:szCs w:val="24"/>
          <w:lang w:val="sr-Cyrl-RS"/>
        </w:rPr>
        <w:t>11</w:t>
      </w:r>
      <w:r>
        <w:rPr>
          <w:rFonts w:ascii="Times New Roman" w:hAnsi="Times New Roman" w:cs="Times New Roman"/>
          <w:sz w:val="24"/>
          <w:szCs w:val="24"/>
        </w:rPr>
        <w:t>).</w:t>
      </w:r>
      <w:r w:rsidR="00C013A0" w:rsidRPr="00C013A0">
        <w:rPr>
          <w:rFonts w:ascii="Times New Roman" w:hAnsi="Times New Roman" w:cs="Times New Roman"/>
          <w:b/>
          <w:sz w:val="24"/>
          <w:szCs w:val="24"/>
        </w:rPr>
        <w:t xml:space="preserve"> </w:t>
      </w:r>
    </w:p>
    <w:p w:rsidR="00280F6B" w:rsidRDefault="00280F6B" w:rsidP="00BB0B9A">
      <w:pPr>
        <w:rPr>
          <w:rFonts w:ascii="Times New Roman" w:hAnsi="Times New Roman" w:cs="Times New Roman"/>
          <w:b/>
          <w:sz w:val="24"/>
          <w:szCs w:val="24"/>
        </w:rPr>
      </w:pPr>
    </w:p>
    <w:p w:rsidR="00280F6B" w:rsidRDefault="00280F6B" w:rsidP="00BB0B9A">
      <w:pPr>
        <w:rPr>
          <w:rFonts w:ascii="Times New Roman" w:hAnsi="Times New Roman" w:cs="Times New Roman"/>
          <w:b/>
          <w:sz w:val="24"/>
          <w:szCs w:val="24"/>
        </w:rPr>
      </w:pPr>
    </w:p>
    <w:p w:rsidR="00280F6B" w:rsidRDefault="00280F6B" w:rsidP="00BB0B9A">
      <w:pPr>
        <w:rPr>
          <w:rFonts w:ascii="Times New Roman" w:hAnsi="Times New Roman" w:cs="Times New Roman"/>
          <w:b/>
          <w:sz w:val="24"/>
          <w:szCs w:val="24"/>
        </w:rPr>
      </w:pPr>
    </w:p>
    <w:p w:rsidR="00280F6B" w:rsidRDefault="00280F6B" w:rsidP="00BB0B9A">
      <w:pPr>
        <w:rPr>
          <w:rFonts w:ascii="Times New Roman" w:hAnsi="Times New Roman" w:cs="Times New Roman"/>
          <w:b/>
          <w:sz w:val="24"/>
          <w:szCs w:val="24"/>
        </w:rPr>
      </w:pPr>
    </w:p>
    <w:p w:rsidR="00280F6B" w:rsidRDefault="00280F6B" w:rsidP="00BB0B9A">
      <w:pPr>
        <w:rPr>
          <w:rFonts w:ascii="Times New Roman" w:hAnsi="Times New Roman" w:cs="Times New Roman"/>
          <w:b/>
          <w:sz w:val="24"/>
          <w:szCs w:val="24"/>
        </w:rPr>
      </w:pPr>
    </w:p>
    <w:p w:rsidR="00280F6B" w:rsidRDefault="00280F6B" w:rsidP="00BB0B9A">
      <w:pPr>
        <w:rPr>
          <w:rFonts w:ascii="Times New Roman" w:hAnsi="Times New Roman" w:cs="Times New Roman"/>
          <w:b/>
          <w:sz w:val="24"/>
          <w:szCs w:val="24"/>
        </w:rPr>
      </w:pPr>
    </w:p>
    <w:p w:rsidR="00280F6B" w:rsidRDefault="00280F6B" w:rsidP="00BB0B9A">
      <w:pPr>
        <w:rPr>
          <w:rFonts w:ascii="Times New Roman" w:hAnsi="Times New Roman" w:cs="Times New Roman"/>
          <w:b/>
          <w:sz w:val="24"/>
          <w:szCs w:val="24"/>
        </w:rPr>
      </w:pPr>
    </w:p>
    <w:p w:rsidR="003C3BC0" w:rsidRDefault="003C3BC0" w:rsidP="00280F6B">
      <w:pPr>
        <w:jc w:val="center"/>
        <w:rPr>
          <w:rFonts w:ascii="Times New Roman" w:hAnsi="Times New Roman" w:cs="Times New Roman"/>
          <w:b/>
          <w:sz w:val="24"/>
          <w:szCs w:val="24"/>
        </w:rPr>
      </w:pPr>
    </w:p>
    <w:p w:rsidR="00280F6B" w:rsidRPr="0094612A" w:rsidRDefault="00C013A0" w:rsidP="0094612A">
      <w:pPr>
        <w:rPr>
          <w:rFonts w:ascii="Times New Roman" w:hAnsi="Times New Roman" w:cs="Times New Roman"/>
          <w:sz w:val="24"/>
          <w:szCs w:val="24"/>
          <w:lang w:val="sr-Cyrl-RS"/>
        </w:rPr>
      </w:pPr>
      <w:r>
        <w:rPr>
          <w:rFonts w:ascii="Times New Roman" w:hAnsi="Times New Roman" w:cs="Times New Roman"/>
          <w:b/>
          <w:sz w:val="24"/>
          <w:szCs w:val="24"/>
        </w:rPr>
        <w:t xml:space="preserve">Табела </w:t>
      </w:r>
      <w:r w:rsidR="0094612A">
        <w:rPr>
          <w:rFonts w:ascii="Times New Roman" w:hAnsi="Times New Roman" w:cs="Times New Roman"/>
          <w:b/>
          <w:sz w:val="24"/>
          <w:szCs w:val="24"/>
          <w:lang w:val="sr-Cyrl-RS"/>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2410"/>
        <w:gridCol w:w="1417"/>
        <w:gridCol w:w="1667"/>
      </w:tblGrid>
      <w:tr w:rsidR="00280F6B" w:rsidRPr="00280F6B" w:rsidTr="00280F6B">
        <w:trPr>
          <w:trHeight w:val="858"/>
          <w:jc w:val="center"/>
        </w:trPr>
        <w:tc>
          <w:tcPr>
            <w:tcW w:w="9288" w:type="dxa"/>
            <w:gridSpan w:val="5"/>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6"/>
                <w:szCs w:val="26"/>
                <w:lang w:val="sr-Cyrl-RS" w:eastAsia="en-US"/>
              </w:rPr>
            </w:pPr>
            <w:r w:rsidRPr="00280F6B">
              <w:rPr>
                <w:rFonts w:ascii="Times New Roman" w:eastAsia="Times New Roman" w:hAnsi="Times New Roman" w:cs="Times New Roman"/>
                <w:b/>
                <w:sz w:val="26"/>
                <w:szCs w:val="26"/>
                <w:lang w:val="en-US" w:eastAsia="en-US"/>
              </w:rPr>
              <w:t>Преглед набавки изузетих од примене ЗЈН по категоријама наручилаца</w:t>
            </w:r>
          </w:p>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6"/>
                <w:szCs w:val="26"/>
                <w:lang w:val="en-US" w:eastAsia="en-US"/>
              </w:rPr>
              <w:t xml:space="preserve"> у </w:t>
            </w:r>
            <w:r w:rsidRPr="00280F6B">
              <w:rPr>
                <w:rFonts w:ascii="Times New Roman" w:eastAsia="Times New Roman" w:hAnsi="Times New Roman" w:cs="Times New Roman"/>
                <w:b/>
                <w:sz w:val="26"/>
                <w:szCs w:val="26"/>
                <w:lang w:val="sr-Cyrl-RS" w:eastAsia="en-US"/>
              </w:rPr>
              <w:t>трећам кварталу</w:t>
            </w:r>
            <w:r w:rsidRPr="00280F6B">
              <w:rPr>
                <w:rFonts w:ascii="Times New Roman" w:eastAsia="Times New Roman" w:hAnsi="Times New Roman" w:cs="Times New Roman"/>
                <w:b/>
                <w:sz w:val="26"/>
                <w:szCs w:val="26"/>
                <w:lang w:val="en-US" w:eastAsia="en-US"/>
              </w:rPr>
              <w:t xml:space="preserve"> 2013. године</w:t>
            </w:r>
          </w:p>
        </w:tc>
      </w:tr>
      <w:tr w:rsidR="00280F6B" w:rsidRPr="00280F6B" w:rsidTr="00280F6B">
        <w:trPr>
          <w:trHeight w:val="772"/>
          <w:jc w:val="center"/>
        </w:trPr>
        <w:tc>
          <w:tcPr>
            <w:tcW w:w="2607"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Категорија</w:t>
            </w:r>
          </w:p>
        </w:tc>
        <w:tc>
          <w:tcPr>
            <w:tcW w:w="1187"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Број уговора</w:t>
            </w:r>
          </w:p>
        </w:tc>
        <w:tc>
          <w:tcPr>
            <w:tcW w:w="2410" w:type="dxa"/>
            <w:vMerge w:val="restart"/>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sr-Cyrl-RS" w:eastAsia="en-US"/>
              </w:rPr>
            </w:pPr>
            <w:r w:rsidRPr="00280F6B">
              <w:rPr>
                <w:rFonts w:ascii="Times New Roman" w:eastAsia="Times New Roman" w:hAnsi="Times New Roman" w:cs="Times New Roman"/>
                <w:b/>
                <w:sz w:val="24"/>
                <w:szCs w:val="24"/>
                <w:lang w:val="en-US" w:eastAsia="en-US"/>
              </w:rPr>
              <w:t xml:space="preserve">Уговорена вредност без ПДВ-а </w:t>
            </w:r>
          </w:p>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(у хиљадама динара)</w:t>
            </w:r>
          </w:p>
        </w:tc>
        <w:tc>
          <w:tcPr>
            <w:tcW w:w="3084" w:type="dxa"/>
            <w:gridSpan w:val="2"/>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 xml:space="preserve">Заступљеност у укупном броју/вредности </w:t>
            </w:r>
          </w:p>
        </w:tc>
      </w:tr>
      <w:tr w:rsidR="00280F6B" w:rsidRPr="00280F6B" w:rsidTr="00280F6B">
        <w:trPr>
          <w:trHeight w:val="891"/>
          <w:jc w:val="center"/>
        </w:trPr>
        <w:tc>
          <w:tcPr>
            <w:tcW w:w="2607"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p>
        </w:tc>
        <w:tc>
          <w:tcPr>
            <w:tcW w:w="1187"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p>
        </w:tc>
        <w:tc>
          <w:tcPr>
            <w:tcW w:w="2410" w:type="dxa"/>
            <w:vMerge/>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sr-Cyrl-RS" w:eastAsia="en-US"/>
              </w:rPr>
            </w:pPr>
            <w:r w:rsidRPr="00280F6B">
              <w:rPr>
                <w:rFonts w:ascii="Times New Roman" w:eastAsia="Times New Roman" w:hAnsi="Times New Roman" w:cs="Times New Roman"/>
                <w:b/>
                <w:sz w:val="24"/>
                <w:szCs w:val="24"/>
                <w:lang w:val="en-US" w:eastAsia="en-US"/>
              </w:rPr>
              <w:t xml:space="preserve">по броју </w:t>
            </w:r>
          </w:p>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(у %)</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по вредности (у %)</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Органи државне управе</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2.431</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588.049</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11</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3</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Правосуђе</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53</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5.833</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0</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0</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Здравство и социјална заштита</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2.217</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412.649</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11</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Култура</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2.395</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126.873</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11</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0</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Просвета, наука и спорт</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3.230</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160.764</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15</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Државна јавна предузећа</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4.003</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16.738.823</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19</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80</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Јавна предузећа-локална самоуправа</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5.429</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2.518.379</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25</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12</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Градска и општинса управа</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1.718</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438.836</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8</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w:t>
            </w:r>
          </w:p>
        </w:tc>
      </w:tr>
      <w:tr w:rsidR="00280F6B" w:rsidRPr="00280F6B" w:rsidTr="00280F6B">
        <w:trPr>
          <w:jc w:val="center"/>
        </w:trPr>
        <w:tc>
          <w:tcPr>
            <w:tcW w:w="260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b/>
                <w:sz w:val="24"/>
                <w:szCs w:val="24"/>
                <w:lang w:val="en-US" w:eastAsia="en-US"/>
              </w:rPr>
            </w:pPr>
            <w:r w:rsidRPr="00280F6B">
              <w:rPr>
                <w:rFonts w:ascii="Times New Roman" w:eastAsia="Times New Roman" w:hAnsi="Times New Roman" w:cs="Times New Roman"/>
                <w:b/>
                <w:sz w:val="24"/>
                <w:szCs w:val="24"/>
                <w:lang w:val="en-US" w:eastAsia="en-US"/>
              </w:rPr>
              <w:t>Укупно</w:t>
            </w:r>
          </w:p>
        </w:tc>
        <w:tc>
          <w:tcPr>
            <w:tcW w:w="118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21.476</w:t>
            </w:r>
          </w:p>
        </w:tc>
        <w:tc>
          <w:tcPr>
            <w:tcW w:w="2410"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20.990.206</w:t>
            </w:r>
          </w:p>
        </w:tc>
        <w:tc>
          <w:tcPr>
            <w:tcW w:w="141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100</w:t>
            </w:r>
          </w:p>
        </w:tc>
        <w:tc>
          <w:tcPr>
            <w:tcW w:w="1667" w:type="dxa"/>
            <w:shd w:val="clear" w:color="auto" w:fill="auto"/>
            <w:vAlign w:val="center"/>
          </w:tcPr>
          <w:p w:rsidR="00280F6B" w:rsidRPr="00280F6B" w:rsidRDefault="00280F6B" w:rsidP="00280F6B">
            <w:pPr>
              <w:tabs>
                <w:tab w:val="left" w:pos="1885"/>
              </w:tabs>
              <w:spacing w:after="0" w:line="240" w:lineRule="auto"/>
              <w:jc w:val="center"/>
              <w:rPr>
                <w:rFonts w:ascii="Times New Roman" w:eastAsia="Times New Roman" w:hAnsi="Times New Roman" w:cs="Times New Roman"/>
                <w:sz w:val="24"/>
                <w:szCs w:val="24"/>
                <w:lang w:val="en-US" w:eastAsia="en-US"/>
              </w:rPr>
            </w:pPr>
            <w:r w:rsidRPr="00280F6B">
              <w:rPr>
                <w:rFonts w:ascii="Times New Roman" w:eastAsia="Times New Roman" w:hAnsi="Times New Roman" w:cs="Times New Roman"/>
                <w:sz w:val="24"/>
                <w:szCs w:val="24"/>
                <w:lang w:val="en-US" w:eastAsia="en-US"/>
              </w:rPr>
              <w:t>100</w:t>
            </w:r>
          </w:p>
        </w:tc>
      </w:tr>
    </w:tbl>
    <w:p w:rsidR="00BB0B9A" w:rsidRDefault="00BB0B9A" w:rsidP="00BB0B9A">
      <w:pPr>
        <w:rPr>
          <w:rFonts w:ascii="Times New Roman" w:hAnsi="Times New Roman" w:cs="Times New Roman"/>
          <w:b/>
          <w:sz w:val="24"/>
          <w:szCs w:val="24"/>
        </w:rPr>
      </w:pPr>
    </w:p>
    <w:p w:rsidR="00BB0B9A" w:rsidRPr="00C06F5E" w:rsidRDefault="00BB0B9A" w:rsidP="00280F6B">
      <w:pPr>
        <w:jc w:val="both"/>
        <w:rPr>
          <w:rFonts w:ascii="Times New Roman" w:hAnsi="Times New Roman" w:cs="Times New Roman"/>
          <w:sz w:val="24"/>
          <w:szCs w:val="24"/>
        </w:rPr>
      </w:pPr>
      <w:r>
        <w:rPr>
          <w:rFonts w:ascii="Times New Roman" w:hAnsi="Times New Roman" w:cs="Times New Roman"/>
          <w:sz w:val="24"/>
          <w:szCs w:val="24"/>
        </w:rPr>
        <w:t xml:space="preserve">Јавна предузећа су 90% ових набавки спровела по два основа: 1) код финансирања из средстава страних кредита (зајмова) добијених од међународних организација и међународних финансијских институција у складу са условима из међународног уговора, односно посебним поступцима међународних организација и финансијских институција (53%) и 2) где је </w:t>
      </w:r>
      <w:r w:rsidRPr="007E4511">
        <w:rPr>
          <w:rFonts w:ascii="Times New Roman" w:hAnsi="Times New Roman" w:cs="Times New Roman"/>
          <w:sz w:val="24"/>
          <w:szCs w:val="24"/>
        </w:rPr>
        <w:t>искључива и непосредна намена обављање делатности електронских комуникација и продаја електронских комуникационих услуга у смислу закона којим се уређују електронске комуникације, под условом да други привредни субјекти пружају те услуге на релевантном тржишту</w:t>
      </w:r>
      <w:r>
        <w:rPr>
          <w:rFonts w:ascii="Times New Roman" w:hAnsi="Times New Roman" w:cs="Times New Roman"/>
          <w:sz w:val="24"/>
          <w:szCs w:val="24"/>
        </w:rPr>
        <w:t xml:space="preserve"> (37%). У овом другом случају конкретно се ради о набавкама које је спроводио „Телеком“, а у циљу пружања комуникационих услуга на тржишту на коме постоји конкуренција.  </w:t>
      </w:r>
    </w:p>
    <w:p w:rsidR="00BB0B9A" w:rsidRDefault="00BB0B9A" w:rsidP="00280F6B">
      <w:pPr>
        <w:jc w:val="both"/>
        <w:rPr>
          <w:rFonts w:ascii="Times New Roman" w:hAnsi="Times New Roman" w:cs="Times New Roman"/>
          <w:sz w:val="24"/>
          <w:szCs w:val="24"/>
        </w:rPr>
      </w:pPr>
      <w:r w:rsidRPr="00BB0B9A">
        <w:rPr>
          <w:rFonts w:ascii="Times New Roman" w:hAnsi="Times New Roman" w:cs="Times New Roman"/>
          <w:sz w:val="24"/>
          <w:szCs w:val="24"/>
        </w:rPr>
        <w:t>Остали изузеци</w:t>
      </w:r>
      <w:r>
        <w:rPr>
          <w:rFonts w:ascii="Times New Roman" w:hAnsi="Times New Roman" w:cs="Times New Roman"/>
          <w:sz w:val="24"/>
          <w:szCs w:val="24"/>
        </w:rPr>
        <w:t xml:space="preserve"> од примене ЗЈН, појединачно узев, имали су минимално учешће.</w:t>
      </w:r>
    </w:p>
    <w:p w:rsidR="00BB0B9A" w:rsidRDefault="00BB0B9A" w:rsidP="00637BC6">
      <w:pPr>
        <w:rPr>
          <w:rFonts w:ascii="Times New Roman" w:hAnsi="Times New Roman" w:cs="Times New Roman"/>
          <w:sz w:val="24"/>
          <w:szCs w:val="24"/>
        </w:rPr>
      </w:pPr>
    </w:p>
    <w:p w:rsidR="00280F6B" w:rsidRDefault="00280F6B" w:rsidP="00637BC6">
      <w:pPr>
        <w:rPr>
          <w:rFonts w:ascii="Times New Roman" w:hAnsi="Times New Roman" w:cs="Times New Roman"/>
          <w:sz w:val="24"/>
          <w:szCs w:val="24"/>
        </w:rPr>
      </w:pPr>
    </w:p>
    <w:p w:rsidR="00280F6B" w:rsidRDefault="00280F6B" w:rsidP="00637BC6">
      <w:pPr>
        <w:rPr>
          <w:rFonts w:ascii="Times New Roman" w:hAnsi="Times New Roman" w:cs="Times New Roman"/>
          <w:sz w:val="24"/>
          <w:szCs w:val="24"/>
        </w:rPr>
      </w:pPr>
    </w:p>
    <w:p w:rsidR="00BB0B9A" w:rsidRPr="0094612A" w:rsidRDefault="00BB0B9A" w:rsidP="00637BC6">
      <w:pPr>
        <w:rPr>
          <w:rFonts w:ascii="Times New Roman" w:hAnsi="Times New Roman" w:cs="Times New Roman"/>
          <w:sz w:val="24"/>
          <w:szCs w:val="24"/>
          <w:lang w:val="sr-Cyrl-RS"/>
        </w:rPr>
      </w:pPr>
    </w:p>
    <w:p w:rsidR="00BB7407" w:rsidRPr="003C3BC0" w:rsidRDefault="000B0E15" w:rsidP="003C3BC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lang w:val="sr-Cyrl-RS"/>
        </w:rPr>
        <w:lastRenderedPageBreak/>
        <w:t xml:space="preserve"> </w:t>
      </w:r>
      <w:r w:rsidR="00BB7407" w:rsidRPr="003C3BC0">
        <w:rPr>
          <w:rFonts w:ascii="Times New Roman" w:hAnsi="Times New Roman" w:cs="Times New Roman"/>
          <w:b/>
          <w:sz w:val="24"/>
          <w:szCs w:val="24"/>
        </w:rPr>
        <w:t>ЗАКЉУЧЦИ И ПРЕПОРУКЕ</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 xml:space="preserve">Једно од кључних питања спровођења ЗЈН јесте сузбијање неоправданог изузимања од његове примене. Од ступања на снагу новог Закона, Управи за јавне набавке се обратио велики број наручилаца (око шест стотина од укупно око три хиљаде двеста наручилаца који подносе извештаје УЈН) са захтевом за изузимањем од примене ЗЈН, наводећи да нису корисници буџетских средстава и да нису основани за обављање делатности у општем интересу, иако им је Република Србија оснивач која врши и надзор над њиховим радом и има своје представнике у њиховим органима управљања, а и корисници су јавних средстава. Проблем настаје код утврђивања општег интереса који није експлицитно наведен у оснивачким актима или другим релевантним прописима. Управа је заузела став да су наручиоци који су корисници јавних средстава и над чијим радом Република врши надзор дужни да примењују ЗЈН, како би се спречило неосновано изузимање од његове примене. Остаје, међутим, препорука да се појам „делатности од општег интереса“ мора боље уредити у актима у предстојећем периоду како би се ови и други проблеми спречили у будућности.      </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Поред неоснованог изузимања од примене закона, следећи круцијалан показатељ функционисања система јавних набавки јесте заступљеност преговарачког поступка. Закон прописује да су отворени и рестриктивни поступци правило, а преговарачки поступак изузетак предвиђен само за посебне ситуације. Стога висок удео преговарачког поступка без објављивања јавног позива сведочи о слабој примени закона јер се значајна средства троше у нетранспарентном и неконкурентном поступку. Највећи број преговарачких поступака у трећем кварталу настао је као последица недовољне припремљености за прелазак на централизоване набавке у области здравства. У том смислу, доминантан основ за преговарање биле су „ванредне и непредвиђене околности“, односно преговарачки поступци по „хитности“.</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На основу захтева за мишљење за примену преговарачког поступка који су Управи стизали у четвртом кварталу 2013. и почетком 2014. године највећи број њих односиo се на набавку горива за потребе здравствених установа, интраокуларних сочива, лож уља, медицинских гасова и других предмета набавки који су предвиђени да се набаве кроз централизован поступак који спроводи Републички фонд за здравствено осигурање. Међутим, ти поступци су или касно покренути од стране РФЗО-а или су обустављени, тако да су здравтсвене установе по налогу РФЗО-а морале саме да набаве ова неопходна добра. Поред тога, неке здравствене установе нису у могућности да на време покрећу отворене поступке, јер РФЗО није са њима у планираном року закључио уговоре. Ти наручиоци су принуђени да одређене количине обезбеде кроз „хитне“ набавке.</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Слабости у организацији и спровођењу централизованих набавки могу да изазову и разне практичне пробелем</w:t>
      </w:r>
      <w:r w:rsidR="0094612A">
        <w:rPr>
          <w:rFonts w:ascii="Times New Roman" w:hAnsi="Times New Roman" w:cs="Times New Roman"/>
          <w:sz w:val="24"/>
          <w:szCs w:val="24"/>
          <w:lang w:val="sr-Cyrl-RS"/>
        </w:rPr>
        <w:t>е</w:t>
      </w:r>
      <w:r w:rsidRPr="003C3BC0">
        <w:rPr>
          <w:rFonts w:ascii="Times New Roman" w:hAnsi="Times New Roman" w:cs="Times New Roman"/>
          <w:sz w:val="24"/>
          <w:szCs w:val="24"/>
        </w:rPr>
        <w:t xml:space="preserve"> у функционисању здравствених установа. Поред наведеног, оне су принуђене да покрећу преговарачке поступке по „хитности“, уколико поступак које покрене централно тело не успе, што доводи до знатно неповољнијих услова набавки за наручиоца, имајућу у виду да се преговара у условима хитне потребе. Стога је важно добро проценити обим предмета набавки и опсег наручилаца за које ће се набављати централизовано, како би се ризици од застоја у снабдевању свели на што мању меру, а осталим наручиоцима, за које се не набавља централизовано, омогућило да сами на време покрећу отворени поступак. </w:t>
      </w:r>
    </w:p>
    <w:p w:rsidR="003C3BC0" w:rsidRPr="003C3BC0" w:rsidRDefault="003C3BC0" w:rsidP="003C3BC0">
      <w:pPr>
        <w:jc w:val="both"/>
        <w:rPr>
          <w:rFonts w:ascii="Times New Roman" w:hAnsi="Times New Roman" w:cs="Times New Roman"/>
          <w:sz w:val="24"/>
          <w:szCs w:val="24"/>
        </w:rPr>
      </w:pPr>
    </w:p>
    <w:p w:rsidR="0094612A" w:rsidRDefault="003C3BC0" w:rsidP="0094612A">
      <w:pPr>
        <w:jc w:val="both"/>
        <w:rPr>
          <w:rFonts w:ascii="Times New Roman" w:hAnsi="Times New Roman" w:cs="Times New Roman"/>
          <w:sz w:val="24"/>
          <w:szCs w:val="24"/>
          <w:lang w:val="sr-Cyrl-RS"/>
        </w:rPr>
      </w:pPr>
      <w:r w:rsidRPr="003C3BC0">
        <w:rPr>
          <w:rFonts w:ascii="Times New Roman" w:hAnsi="Times New Roman" w:cs="Times New Roman"/>
          <w:sz w:val="24"/>
          <w:szCs w:val="24"/>
        </w:rPr>
        <w:lastRenderedPageBreak/>
        <w:t xml:space="preserve">Исто важи и за централизоване набавке које су планиране да почну да се спроводе почетком 2014. године од стране Управе за заједничке послове, а за потребе органа и организација на републичком нивоу. Набавке мањег броја високо стандардизованих добара су препорука за прву годину примене, добијена на основу искустава земаља које деценију и више спроводе ове набавке. Честа грешка коју су земље у окружењу правиле је да се није спроводила претходна анализа потреба наручилаца, тржишта, предмета набавке и осталих елемената који представљају детаљну разраду, већ да се без тога ишло у одређивање списка предмета набавки, као и наручилаца за које ће се набавке централизованио спроводити. Препорука УЈН је је да се, приликом конципирања и оперативне разраде централизованих набавки користе искуства и знања земаља ЕУ које већ имају вишегодишње искуство у овој области. </w:t>
      </w:r>
    </w:p>
    <w:p w:rsidR="003C3BC0" w:rsidRPr="0005655C" w:rsidRDefault="0005655C" w:rsidP="0094612A">
      <w:pPr>
        <w:jc w:val="both"/>
        <w:rPr>
          <w:rFonts w:ascii="Times New Roman" w:eastAsia="Calibri" w:hAnsi="Times New Roman" w:cs="Times New Roman"/>
          <w:color w:val="000000"/>
          <w:sz w:val="24"/>
          <w:szCs w:val="24"/>
          <w:lang w:val="en-US"/>
        </w:rPr>
      </w:pPr>
      <w:r w:rsidRPr="0005655C">
        <w:rPr>
          <w:rFonts w:ascii="Times New Roman" w:eastAsia="Times New Roman" w:hAnsi="Times New Roman" w:cs="Times New Roman"/>
          <w:color w:val="000000"/>
          <w:sz w:val="24"/>
          <w:szCs w:val="24"/>
          <w:lang w:val="sr-Cyrl-ME"/>
        </w:rPr>
        <w:t>П</w:t>
      </w:r>
      <w:r w:rsidRPr="0005655C">
        <w:rPr>
          <w:rFonts w:ascii="Times New Roman" w:eastAsia="Times New Roman" w:hAnsi="Times New Roman" w:cs="Times New Roman"/>
          <w:color w:val="000000"/>
          <w:sz w:val="24"/>
          <w:szCs w:val="24"/>
        </w:rPr>
        <w:t>риликом доношења Плана централизованих јавних набавки</w:t>
      </w:r>
      <w:r w:rsidRPr="0005655C">
        <w:rPr>
          <w:rFonts w:ascii="Times New Roman" w:eastAsia="Times New Roman" w:hAnsi="Times New Roman" w:cs="Times New Roman"/>
          <w:color w:val="000000"/>
          <w:sz w:val="24"/>
          <w:szCs w:val="24"/>
          <w:lang w:val="sr-Cyrl-ME"/>
        </w:rPr>
        <w:t xml:space="preserve"> и одређивања обима предмета набавки</w:t>
      </w:r>
      <w:r w:rsidRPr="0005655C">
        <w:rPr>
          <w:rFonts w:ascii="Times New Roman" w:eastAsia="Times New Roman" w:hAnsi="Times New Roman" w:cs="Times New Roman"/>
          <w:color w:val="000000"/>
          <w:sz w:val="24"/>
          <w:szCs w:val="24"/>
          <w:lang w:val="sr-Cyrl-CS"/>
        </w:rPr>
        <w:t>,</w:t>
      </w:r>
      <w:r w:rsidRPr="0005655C">
        <w:rPr>
          <w:rFonts w:ascii="Times New Roman" w:eastAsia="Times New Roman" w:hAnsi="Times New Roman" w:cs="Times New Roman"/>
          <w:color w:val="000000"/>
          <w:sz w:val="24"/>
          <w:szCs w:val="24"/>
        </w:rPr>
        <w:t xml:space="preserve"> Управа </w:t>
      </w:r>
      <w:r w:rsidRPr="0005655C">
        <w:rPr>
          <w:rFonts w:ascii="Times New Roman" w:eastAsia="Times New Roman" w:hAnsi="Times New Roman" w:cs="Times New Roman"/>
          <w:color w:val="000000"/>
          <w:sz w:val="24"/>
          <w:szCs w:val="24"/>
          <w:lang w:val="sr-Cyrl-ME"/>
        </w:rPr>
        <w:t xml:space="preserve">за заједничке послове републичких органа </w:t>
      </w:r>
      <w:r w:rsidRPr="0005655C">
        <w:rPr>
          <w:rFonts w:ascii="Times New Roman" w:eastAsia="Times New Roman" w:hAnsi="Times New Roman" w:cs="Times New Roman"/>
          <w:color w:val="000000"/>
          <w:sz w:val="24"/>
          <w:szCs w:val="24"/>
        </w:rPr>
        <w:t>мора</w:t>
      </w:r>
      <w:r w:rsidRPr="0005655C">
        <w:rPr>
          <w:rFonts w:ascii="Times New Roman" w:eastAsia="Times New Roman" w:hAnsi="Times New Roman" w:cs="Times New Roman"/>
          <w:color w:val="000000"/>
          <w:sz w:val="24"/>
          <w:szCs w:val="24"/>
          <w:lang w:val="sr-Cyrl-ME"/>
        </w:rPr>
        <w:t xml:space="preserve"> имати у виду све објективне околности и сагледати потребе наручилаца</w:t>
      </w:r>
      <w:r w:rsidRPr="0005655C">
        <w:rPr>
          <w:rFonts w:ascii="Times New Roman" w:eastAsia="Times New Roman" w:hAnsi="Times New Roman" w:cs="Times New Roman"/>
          <w:color w:val="000000"/>
          <w:sz w:val="24"/>
          <w:szCs w:val="24"/>
        </w:rPr>
        <w:t>,</w:t>
      </w:r>
      <w:r w:rsidRPr="0005655C">
        <w:rPr>
          <w:rFonts w:ascii="Times New Roman" w:eastAsia="Times New Roman" w:hAnsi="Times New Roman" w:cs="Times New Roman"/>
          <w:color w:val="000000"/>
          <w:sz w:val="24"/>
          <w:szCs w:val="24"/>
          <w:lang w:val="sr-Cyrl-ME"/>
        </w:rPr>
        <w:t xml:space="preserve"> како се не би </w:t>
      </w:r>
      <w:r w:rsidRPr="0005655C">
        <w:rPr>
          <w:rFonts w:ascii="Times New Roman" w:eastAsia="Times New Roman" w:hAnsi="Times New Roman" w:cs="Times New Roman"/>
          <w:color w:val="000000"/>
          <w:sz w:val="24"/>
          <w:szCs w:val="24"/>
        </w:rPr>
        <w:t>угрози</w:t>
      </w:r>
      <w:r w:rsidRPr="0005655C">
        <w:rPr>
          <w:rFonts w:ascii="Times New Roman" w:eastAsia="Times New Roman" w:hAnsi="Times New Roman" w:cs="Times New Roman"/>
          <w:color w:val="000000"/>
          <w:sz w:val="24"/>
          <w:szCs w:val="24"/>
          <w:lang w:val="sr-Cyrl-ME"/>
        </w:rPr>
        <w:t>ло</w:t>
      </w:r>
      <w:r w:rsidRPr="0005655C">
        <w:rPr>
          <w:rFonts w:ascii="Times New Roman" w:eastAsia="Times New Roman" w:hAnsi="Times New Roman" w:cs="Times New Roman"/>
          <w:color w:val="000000"/>
          <w:sz w:val="24"/>
          <w:szCs w:val="24"/>
        </w:rPr>
        <w:t xml:space="preserve"> несметано пословање наручилаца </w:t>
      </w:r>
      <w:r w:rsidRPr="0005655C">
        <w:rPr>
          <w:rFonts w:ascii="Times New Roman" w:eastAsia="Times New Roman" w:hAnsi="Times New Roman" w:cs="Times New Roman"/>
          <w:color w:val="000000"/>
          <w:sz w:val="24"/>
          <w:szCs w:val="24"/>
          <w:lang w:val="sr-Cyrl-CS"/>
        </w:rPr>
        <w:t xml:space="preserve">за чије потребе спроводи </w:t>
      </w:r>
      <w:r w:rsidRPr="0005655C">
        <w:rPr>
          <w:rFonts w:ascii="Times New Roman" w:eastAsia="Times New Roman" w:hAnsi="Times New Roman" w:cs="Times New Roman"/>
          <w:color w:val="000000"/>
          <w:sz w:val="24"/>
          <w:szCs w:val="24"/>
        </w:rPr>
        <w:t xml:space="preserve">набавке, нарочито имајући у виду оквирне датуме </w:t>
      </w:r>
      <w:r w:rsidRPr="0005655C">
        <w:rPr>
          <w:rFonts w:ascii="Times New Roman" w:eastAsia="Times New Roman" w:hAnsi="Times New Roman" w:cs="Times New Roman"/>
          <w:sz w:val="24"/>
          <w:szCs w:val="24"/>
        </w:rPr>
        <w:t xml:space="preserve">закључења </w:t>
      </w:r>
      <w:r w:rsidRPr="0005655C">
        <w:rPr>
          <w:rFonts w:ascii="Times New Roman" w:eastAsia="Times New Roman" w:hAnsi="Times New Roman" w:cs="Times New Roman"/>
          <w:sz w:val="24"/>
          <w:szCs w:val="24"/>
          <w:lang w:val="sr-Cyrl-CS"/>
        </w:rPr>
        <w:t xml:space="preserve">и извршења </w:t>
      </w:r>
      <w:r w:rsidRPr="0005655C">
        <w:rPr>
          <w:rFonts w:ascii="Times New Roman" w:eastAsia="Times New Roman" w:hAnsi="Times New Roman" w:cs="Times New Roman"/>
          <w:sz w:val="24"/>
          <w:szCs w:val="24"/>
        </w:rPr>
        <w:t>уговора</w:t>
      </w:r>
      <w:r w:rsidRPr="0005655C">
        <w:rPr>
          <w:rFonts w:ascii="Times New Roman" w:eastAsia="Times New Roman" w:hAnsi="Times New Roman" w:cs="Times New Roman"/>
          <w:sz w:val="24"/>
          <w:szCs w:val="24"/>
          <w:lang w:val="sr-Cyrl-CS"/>
        </w:rPr>
        <w:t xml:space="preserve"> из планова набавки наручилаца у 2014. години.</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 xml:space="preserve">Ефекти почетних слабости у примени централизованих набавки за државне органе и организације, слично као и код здравства, могу бити тешкоће у редовном снабдевању наручилаца, као и повећан број захтева за покретање преговарачког поступка по „хитности“ од стране ових органа како би се евентуалне несташице и последичне ванредне ситуације превазишле.           </w:t>
      </w:r>
    </w:p>
    <w:p w:rsidR="003C3BC0" w:rsidRPr="0094612A" w:rsidRDefault="003C3BC0" w:rsidP="003C3BC0">
      <w:pPr>
        <w:jc w:val="both"/>
        <w:rPr>
          <w:rFonts w:ascii="Times New Roman" w:hAnsi="Times New Roman" w:cs="Times New Roman"/>
          <w:sz w:val="24"/>
          <w:szCs w:val="24"/>
          <w:lang w:val="sr-Cyrl-RS"/>
        </w:rPr>
      </w:pPr>
      <w:r w:rsidRPr="003C3BC0">
        <w:rPr>
          <w:rFonts w:ascii="Times New Roman" w:hAnsi="Times New Roman" w:cs="Times New Roman"/>
          <w:sz w:val="24"/>
          <w:szCs w:val="24"/>
        </w:rPr>
        <w:t>Следећи значајан основ за покретање преговарачког поступка, а који је, попут горе поменутих, системског карактера и на који наручиоци не могу да утичу, јесте неусвајање или касно усвајање годишњих програма пословања, односно финансијских планова, а самим тим и планова набавки наручиоца од стране оснивача или других надлежних органа. Наиме, да би ови наручиоци уопште могли да започну било који поступак набавке, неопходно је да им финансијски план као и план набавки буду усвојени од стране надлежних органа (нпр. Владе, Града, Општине итд.). У ситуацији када су им претходно закључени уговори истекли, а планови нису усвојени, наручиоци сматрају да има оправдања за спровођење преговарачког поступка по хитности. У вези са тим, почетком ове године Управа је добила више захтева за мишљење о основаности примене преговарачког поступка од стране наручилаца који су се нашли у описаној ситуацији, а имали су  потребу за одређеним набавкама како би обављали своју делатност</w:t>
      </w:r>
      <w:r w:rsidR="0094612A">
        <w:rPr>
          <w:rFonts w:ascii="Times New Roman" w:hAnsi="Times New Roman" w:cs="Times New Roman"/>
          <w:sz w:val="24"/>
          <w:szCs w:val="24"/>
          <w:lang w:val="sr-Cyrl-RS"/>
        </w:rPr>
        <w:t>.</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 xml:space="preserve">Један од најчешћих генератора преговарачког поступка са тачно одређеним понуђачем који највише ограничава конкуренцију јесу тзв. „затворени системи“ у здравству. У питању су набавке реагенаса и потрошног материјала који се користе за разне врсте анализатора и друге апарате. „Затворени системи“ подразумевају да се за исправан рад апарата могу користити искључиво реагенси и потрошни материјал произвођача апарата. С обзиром да се на овај начин ограничава конкуренција и наручилац упркос ниској набавној цени апарата касније плаћа велике суме новца управо због ексклузивитета добављача, тако да је укупан трошак знатно већи него што би био да се купио „отворен систем“, Управа је издала препоруку да наручиоци, приликом следеће набавке апарата, морају испитати укупне трошкове и на основу тога спровести набавку.  </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 xml:space="preserve">Још један од кључних, системских проблема, односи се на закључивање уговора о јавним набавкама који се, због природе расхода, извршавају и плаћају у више календарских, односно буџетских година. </w:t>
      </w:r>
      <w:r w:rsidRPr="003C3BC0">
        <w:rPr>
          <w:rFonts w:ascii="Times New Roman" w:hAnsi="Times New Roman" w:cs="Times New Roman"/>
          <w:sz w:val="24"/>
          <w:szCs w:val="24"/>
        </w:rPr>
        <w:lastRenderedPageBreak/>
        <w:t xml:space="preserve">Овде није реч о вишегодишњим уговорима за капиталне издатке, већ о уговорима за уобичајене предмете набавки (храна и намирнице, чишћења, текуће одржавање, обезбеђење, осигурање, потрошни материјали...) који се морају сукцесивно испоручивати и код којих не сме да буде застоја у снабдевању. </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Наиме, буџетски корисници су у ситуацији да се против њих покрећу прекршајни поступци  када се за наведене потребе не закључи уговор који истиче најкасније до краја текуће буџетске године, већ обухвата и првих пар месеци наредне године. Разлог за прекршајне пријаве је најчешће био кршење члана 54. Закона о буџетском систему, односно преузимање обавеза које не одговарају апропријацији која је наручиоцу одобрена за ту намену у одређеној буџетској години.</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Међутим, уколико би наручилац закључивао наведене уговоре са роком истицања најдаље до 31.12. текуће године,  довео би себе у ситуацију у којој би морао или да прекрши ЗЈН, или да остане неколико месеци без неопходне набавке, док не обезбеди нови уговор.</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 xml:space="preserve">Наиме, да би наручилац покренуо било који поступак јавне набавке, мора најпре да испуни услове из члана 52. ЗЈН, односно да је набавка предвиђена у плану набавки и да има предвиђена средства у буџету, односно усвојеном финансијком плану, а поред тога, мора да испоштује и законом предвиђене рокове за спровођење одређене врсте поступка. </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Имајући све то у виду, јасно је да наручилац, у најбољем случају, без уложеног захтева за заштиту права, практично може да закључи нови уговор у редовној врсти поступка најраније у марту месецу. Уколико би претходни уговор истицао 31.12, наручилац би имао прекид од најмање два-три месеца у снабдевању, односно остао би без хране и намирница, чишћења, обезбеђења, као и других предмете набавки који су му потребни за свакодневно функционисање, све док не закључи нови уговор, а то је тек за пар месеци од истека претходног.</w:t>
      </w:r>
    </w:p>
    <w:p w:rsidR="003C3BC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Како би премостили овакву ситуацију, а пре свега да би избегли евентуално кршење Закона о буџетском систему, наручиоци су били принуђени да примењују преговарачки поступак по „хитности“, или да „анексирају“ постојеће уговоре без примене било какве процедуре јавних набавки, што је представљало прекршај у смислу ЗЈН.</w:t>
      </w:r>
    </w:p>
    <w:p w:rsidR="00CC5D30" w:rsidRPr="003C3BC0" w:rsidRDefault="003C3BC0" w:rsidP="003C3BC0">
      <w:pPr>
        <w:jc w:val="both"/>
        <w:rPr>
          <w:rFonts w:ascii="Times New Roman" w:hAnsi="Times New Roman" w:cs="Times New Roman"/>
          <w:sz w:val="24"/>
          <w:szCs w:val="24"/>
        </w:rPr>
      </w:pPr>
      <w:r w:rsidRPr="003C3BC0">
        <w:rPr>
          <w:rFonts w:ascii="Times New Roman" w:hAnsi="Times New Roman" w:cs="Times New Roman"/>
          <w:sz w:val="24"/>
          <w:szCs w:val="24"/>
        </w:rPr>
        <w:t>У решавању изнетог проблема неопходан је системски приступ, било давањем јасног тумачења Закона о буџетском систему у вези са преузимањем обавеза у случају уговора који морају обухватити барем први квартал наредне године, било доношењем већ предвиђене Уредбе која би се односила и на једногодишњ</w:t>
      </w:r>
      <w:r w:rsidR="0094612A">
        <w:rPr>
          <w:rFonts w:ascii="Times New Roman" w:hAnsi="Times New Roman" w:cs="Times New Roman"/>
          <w:sz w:val="24"/>
          <w:szCs w:val="24"/>
          <w:lang w:val="sr-Cyrl-RS"/>
        </w:rPr>
        <w:t>е</w:t>
      </w:r>
      <w:r w:rsidRPr="003C3BC0">
        <w:rPr>
          <w:rFonts w:ascii="Times New Roman" w:hAnsi="Times New Roman" w:cs="Times New Roman"/>
          <w:sz w:val="24"/>
          <w:szCs w:val="24"/>
        </w:rPr>
        <w:t xml:space="preserve"> уговор</w:t>
      </w:r>
      <w:r w:rsidR="0094612A">
        <w:rPr>
          <w:rFonts w:ascii="Times New Roman" w:hAnsi="Times New Roman" w:cs="Times New Roman"/>
          <w:sz w:val="24"/>
          <w:szCs w:val="24"/>
          <w:lang w:val="sr-Cyrl-RS"/>
        </w:rPr>
        <w:t>е</w:t>
      </w:r>
      <w:r w:rsidRPr="003C3BC0">
        <w:rPr>
          <w:rFonts w:ascii="Times New Roman" w:hAnsi="Times New Roman" w:cs="Times New Roman"/>
          <w:sz w:val="24"/>
          <w:szCs w:val="24"/>
        </w:rPr>
        <w:t xml:space="preserve"> који због природе расхода захтевају плаћање у више година, било изменама постојећих законских решења, уколико је потребно.</w:t>
      </w:r>
    </w:p>
    <w:p w:rsidR="00CC5D30" w:rsidRPr="00CC5D30" w:rsidRDefault="00CC5D30" w:rsidP="00CC5D30">
      <w:pPr>
        <w:rPr>
          <w:rFonts w:ascii="Times New Roman" w:hAnsi="Times New Roman" w:cs="Times New Roman"/>
          <w:sz w:val="24"/>
          <w:szCs w:val="24"/>
        </w:rPr>
      </w:pPr>
    </w:p>
    <w:sectPr w:rsidR="00CC5D30" w:rsidRPr="00CC5D30" w:rsidSect="00FC3DDD">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8A8" w:rsidRDefault="008E18A8" w:rsidP="00AA1254">
      <w:pPr>
        <w:spacing w:after="0" w:line="240" w:lineRule="auto"/>
      </w:pPr>
      <w:r>
        <w:separator/>
      </w:r>
    </w:p>
  </w:endnote>
  <w:endnote w:type="continuationSeparator" w:id="0">
    <w:p w:rsidR="008E18A8" w:rsidRDefault="008E18A8"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 New Roman CYR">
    <w:altName w:val="Times New Roman"/>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rsidR="00725059" w:rsidRDefault="00725059">
        <w:pPr>
          <w:pStyle w:val="Footer"/>
          <w:jc w:val="right"/>
        </w:pPr>
        <w:r>
          <w:fldChar w:fldCharType="begin"/>
        </w:r>
        <w:r>
          <w:instrText xml:space="preserve"> PAGE   \* MERGEFORMAT </w:instrText>
        </w:r>
        <w:r>
          <w:fldChar w:fldCharType="separate"/>
        </w:r>
        <w:r w:rsidR="003C3288">
          <w:rPr>
            <w:noProof/>
          </w:rPr>
          <w:t>28</w:t>
        </w:r>
        <w:r>
          <w:rPr>
            <w:noProof/>
          </w:rPr>
          <w:fldChar w:fldCharType="end"/>
        </w:r>
      </w:p>
    </w:sdtContent>
  </w:sdt>
  <w:p w:rsidR="00725059" w:rsidRDefault="007250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8A8" w:rsidRDefault="008E18A8" w:rsidP="00AA1254">
      <w:pPr>
        <w:spacing w:after="0" w:line="240" w:lineRule="auto"/>
      </w:pPr>
      <w:r>
        <w:separator/>
      </w:r>
    </w:p>
  </w:footnote>
  <w:footnote w:type="continuationSeparator" w:id="0">
    <w:p w:rsidR="008E18A8" w:rsidRDefault="008E18A8" w:rsidP="00AA1254">
      <w:pPr>
        <w:spacing w:after="0" w:line="240" w:lineRule="auto"/>
      </w:pPr>
      <w:r>
        <w:continuationSeparator/>
      </w:r>
    </w:p>
  </w:footnote>
  <w:footnote w:id="1">
    <w:p w:rsidR="00725059" w:rsidRDefault="00725059">
      <w:pPr>
        <w:pStyle w:val="FootnoteText"/>
        <w:rPr>
          <w:rFonts w:ascii="Times New Roman" w:hAnsi="Times New Roman" w:cs="Times New Roman"/>
          <w:sz w:val="22"/>
          <w:szCs w:val="22"/>
        </w:rPr>
      </w:pPr>
      <w:r w:rsidRPr="001453FB">
        <w:rPr>
          <w:rStyle w:val="FootnoteReference"/>
          <w:rFonts w:ascii="Times New Roman" w:hAnsi="Times New Roman" w:cs="Times New Roman"/>
          <w:sz w:val="22"/>
          <w:szCs w:val="22"/>
        </w:rPr>
        <w:footnoteRef/>
      </w:r>
      <w:r w:rsidRPr="007E1FAD">
        <w:rPr>
          <w:rFonts w:ascii="Times New Roman" w:hAnsi="Times New Roman" w:cs="Times New Roman"/>
          <w:sz w:val="22"/>
          <w:szCs w:val="22"/>
        </w:rPr>
        <w:t>Извор: Статистички годишњи извештај о јавним набавкама за 201</w:t>
      </w:r>
      <w:r>
        <w:rPr>
          <w:rFonts w:ascii="Times New Roman" w:hAnsi="Times New Roman" w:cs="Times New Roman"/>
          <w:sz w:val="22"/>
          <w:szCs w:val="22"/>
        </w:rPr>
        <w:t>2</w:t>
      </w:r>
      <w:r w:rsidRPr="007E1FAD">
        <w:rPr>
          <w:rFonts w:ascii="Times New Roman" w:hAnsi="Times New Roman" w:cs="Times New Roman"/>
          <w:sz w:val="22"/>
          <w:szCs w:val="22"/>
        </w:rPr>
        <w:t>. годину, Портал јавних набавки, Република Хрватска</w:t>
      </w:r>
      <w:r>
        <w:rPr>
          <w:rFonts w:ascii="Times New Roman" w:hAnsi="Times New Roman" w:cs="Times New Roman"/>
          <w:sz w:val="22"/>
          <w:szCs w:val="22"/>
        </w:rPr>
        <w:t>,страна 31, л</w:t>
      </w:r>
      <w:r w:rsidRPr="001453FB">
        <w:rPr>
          <w:rFonts w:ascii="Times New Roman" w:hAnsi="Times New Roman" w:cs="Times New Roman"/>
          <w:sz w:val="22"/>
          <w:szCs w:val="22"/>
        </w:rPr>
        <w:t>инк:</w:t>
      </w:r>
      <w:hyperlink r:id="rId1" w:history="1">
        <w:r w:rsidRPr="00E75767">
          <w:rPr>
            <w:rStyle w:val="Hyperlink"/>
            <w:rFonts w:ascii="Times New Roman" w:hAnsi="Times New Roman" w:cs="Times New Roman"/>
            <w:sz w:val="22"/>
            <w:szCs w:val="22"/>
          </w:rPr>
          <w:t>http://www.javnanabava.hr/userdocsimages/userfiles/file/Statistička%20izvješća/Godišnja/Statisticko_izvjesce_JN-2012.pdf</w:t>
        </w:r>
      </w:hyperlink>
    </w:p>
    <w:p w:rsidR="00725059" w:rsidRPr="001453FB" w:rsidRDefault="00725059">
      <w:pPr>
        <w:pStyle w:val="FootnoteText"/>
        <w:rPr>
          <w:rFonts w:ascii="Times New Roman" w:hAnsi="Times New Roman" w:cs="Times New Roman"/>
          <w:sz w:val="22"/>
          <w:szCs w:val="22"/>
        </w:rPr>
      </w:pPr>
    </w:p>
  </w:footnote>
  <w:footnote w:id="2">
    <w:p w:rsidR="00725059" w:rsidRPr="007E1FAD" w:rsidRDefault="00725059" w:rsidP="000F3249">
      <w:pPr>
        <w:rPr>
          <w:rFonts w:ascii="Times New Roman" w:hAnsi="Times New Roman" w:cs="Times New Roman"/>
        </w:rPr>
      </w:pPr>
      <w:r>
        <w:rPr>
          <w:rStyle w:val="FootnoteReference"/>
        </w:rPr>
        <w:footnoteRef/>
      </w:r>
      <w:r w:rsidRPr="007E1FAD">
        <w:rPr>
          <w:rFonts w:ascii="Times New Roman" w:hAnsi="Times New Roman" w:cs="Times New Roman"/>
        </w:rPr>
        <w:t xml:space="preserve">Извор: Статистички годишњи извештај о јавним набавкама за 2011. годину, Портал јавних набавки, Република Хрватска, </w:t>
      </w:r>
      <w:r>
        <w:rPr>
          <w:rFonts w:ascii="Times New Roman" w:hAnsi="Times New Roman" w:cs="Times New Roman"/>
        </w:rPr>
        <w:t xml:space="preserve">страна 54, </w:t>
      </w:r>
      <w:r w:rsidRPr="007E1FAD">
        <w:rPr>
          <w:rFonts w:ascii="Times New Roman" w:hAnsi="Times New Roman" w:cs="Times New Roman"/>
        </w:rPr>
        <w:t xml:space="preserve">линк: </w:t>
      </w:r>
      <w:hyperlink r:id="rId2" w:history="1">
        <w:r w:rsidRPr="007E1FAD">
          <w:rPr>
            <w:rStyle w:val="Hyperlink"/>
            <w:rFonts w:ascii="Times New Roman" w:hAnsi="Times New Roman" w:cs="Times New Roman"/>
          </w:rPr>
          <w:t>http://www.javnanabava.hr/userdocsimages/userfiles/file/Statistička%20izvješća/Godišnja/Statisticko_izvjesce_JN-2011.pdf</w:t>
        </w:r>
      </w:hyperlink>
    </w:p>
    <w:p w:rsidR="00725059" w:rsidRPr="000F3249" w:rsidRDefault="00725059">
      <w:pPr>
        <w:pStyle w:val="FootnoteText"/>
      </w:pPr>
    </w:p>
  </w:footnote>
  <w:footnote w:id="3">
    <w:p w:rsidR="00725059" w:rsidRPr="00696FC9" w:rsidRDefault="00725059">
      <w:pPr>
        <w:pStyle w:val="FootnoteText"/>
        <w:rPr>
          <w:rFonts w:ascii="Times New Roman" w:hAnsi="Times New Roman" w:cs="Times New Roman"/>
          <w:sz w:val="22"/>
          <w:szCs w:val="22"/>
        </w:rPr>
      </w:pPr>
      <w:r>
        <w:rPr>
          <w:rStyle w:val="FootnoteReference"/>
        </w:rPr>
        <w:footnoteRef/>
      </w:r>
      <w:r w:rsidRPr="00696FC9">
        <w:rPr>
          <w:rFonts w:ascii="Times New Roman" w:hAnsi="Times New Roman" w:cs="Times New Roman"/>
          <w:sz w:val="22"/>
          <w:szCs w:val="22"/>
        </w:rPr>
        <w:t xml:space="preserve">Мисли се на решење из претходног </w:t>
      </w:r>
      <w:r>
        <w:rPr>
          <w:rFonts w:ascii="Times New Roman" w:hAnsi="Times New Roman" w:cs="Times New Roman"/>
          <w:sz w:val="22"/>
          <w:szCs w:val="22"/>
          <w:lang w:val="sr-Cyrl-RS"/>
        </w:rPr>
        <w:t>З</w:t>
      </w:r>
      <w:r w:rsidRPr="00696FC9">
        <w:rPr>
          <w:rFonts w:ascii="Times New Roman" w:hAnsi="Times New Roman" w:cs="Times New Roman"/>
          <w:sz w:val="22"/>
          <w:szCs w:val="22"/>
        </w:rPr>
        <w:t xml:space="preserve">акона по коме се одлука објављивала на Порталу уз очекивање да ће понуђачи сами, на основу овако добијене информације, реаговати и спречавати неосноване </w:t>
      </w:r>
      <w:r>
        <w:rPr>
          <w:rFonts w:ascii="Times New Roman" w:hAnsi="Times New Roman" w:cs="Times New Roman"/>
          <w:sz w:val="22"/>
          <w:szCs w:val="22"/>
        </w:rPr>
        <w:t xml:space="preserve">преговарачке </w:t>
      </w:r>
      <w:r w:rsidRPr="00696FC9">
        <w:rPr>
          <w:rFonts w:ascii="Times New Roman" w:hAnsi="Times New Roman" w:cs="Times New Roman"/>
          <w:sz w:val="22"/>
          <w:szCs w:val="22"/>
        </w:rPr>
        <w:t xml:space="preserve">поступке. </w:t>
      </w:r>
    </w:p>
  </w:footnote>
  <w:footnote w:id="4">
    <w:p w:rsidR="00725059" w:rsidRPr="00D954B5" w:rsidRDefault="00725059">
      <w:pPr>
        <w:pStyle w:val="FootnoteText"/>
        <w:rPr>
          <w:rFonts w:ascii="Times New Roman" w:hAnsi="Times New Roman" w:cs="Times New Roman"/>
          <w:sz w:val="22"/>
          <w:szCs w:val="22"/>
        </w:rPr>
      </w:pPr>
      <w:r>
        <w:rPr>
          <w:rStyle w:val="FootnoteReference"/>
        </w:rPr>
        <w:footnoteRef/>
      </w:r>
      <w:r>
        <w:rPr>
          <w:rFonts w:ascii="Times New Roman" w:hAnsi="Times New Roman" w:cs="Times New Roman"/>
          <w:sz w:val="22"/>
          <w:szCs w:val="22"/>
          <w:lang w:val="sr-Cyrl-RS"/>
        </w:rPr>
        <w:t xml:space="preserve"> </w:t>
      </w:r>
      <w:r w:rsidRPr="00D954B5">
        <w:rPr>
          <w:rFonts w:ascii="Times New Roman" w:hAnsi="Times New Roman" w:cs="Times New Roman"/>
          <w:sz w:val="22"/>
          <w:szCs w:val="22"/>
        </w:rPr>
        <w:t xml:space="preserve">Од 516 </w:t>
      </w:r>
      <w:r>
        <w:rPr>
          <w:rFonts w:ascii="Times New Roman" w:hAnsi="Times New Roman" w:cs="Times New Roman"/>
          <w:sz w:val="22"/>
          <w:szCs w:val="22"/>
        </w:rPr>
        <w:t xml:space="preserve">захтева за заштиту права </w:t>
      </w:r>
      <w:r w:rsidRPr="00D954B5">
        <w:rPr>
          <w:rFonts w:ascii="Times New Roman" w:hAnsi="Times New Roman" w:cs="Times New Roman"/>
          <w:sz w:val="22"/>
          <w:szCs w:val="22"/>
        </w:rPr>
        <w:t xml:space="preserve">приспелих словеначкој Републичкој комисији за заштиту права у 2012. години, усвојено је 210 </w:t>
      </w:r>
      <w:r>
        <w:rPr>
          <w:rFonts w:ascii="Times New Roman" w:hAnsi="Times New Roman" w:cs="Times New Roman"/>
          <w:sz w:val="22"/>
          <w:szCs w:val="22"/>
        </w:rPr>
        <w:t xml:space="preserve">захтева, </w:t>
      </w:r>
      <w:r w:rsidRPr="00D954B5">
        <w:rPr>
          <w:rFonts w:ascii="Times New Roman" w:hAnsi="Times New Roman" w:cs="Times New Roman"/>
          <w:sz w:val="22"/>
          <w:szCs w:val="22"/>
        </w:rPr>
        <w:t>што је 40%. С обзиром да је укупан број поступака био 4.850</w:t>
      </w:r>
      <w:r>
        <w:rPr>
          <w:rFonts w:ascii="Times New Roman" w:hAnsi="Times New Roman" w:cs="Times New Roman"/>
          <w:sz w:val="22"/>
          <w:szCs w:val="22"/>
        </w:rPr>
        <w:t>,</w:t>
      </w:r>
      <w:r w:rsidRPr="00D954B5">
        <w:rPr>
          <w:rFonts w:ascii="Times New Roman" w:hAnsi="Times New Roman" w:cs="Times New Roman"/>
          <w:sz w:val="22"/>
          <w:szCs w:val="22"/>
        </w:rPr>
        <w:t xml:space="preserve"> произлази да је било поништено 4% поступака.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E0"/>
    <w:multiLevelType w:val="hybridMultilevel"/>
    <w:tmpl w:val="94BEC72E"/>
    <w:lvl w:ilvl="0" w:tplc="F93C04DA">
      <w:start w:val="69"/>
      <w:numFmt w:val="bullet"/>
      <w:lvlText w:val=""/>
      <w:lvlJc w:val="left"/>
      <w:pPr>
        <w:ind w:left="720" w:hanging="360"/>
      </w:pPr>
      <w:rPr>
        <w:rFonts w:ascii="Symbol" w:eastAsiaTheme="minorEastAsia"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53D13291"/>
    <w:multiLevelType w:val="hybridMultilevel"/>
    <w:tmpl w:val="48BCD8E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65C8757E"/>
    <w:multiLevelType w:val="hybridMultilevel"/>
    <w:tmpl w:val="E31AF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F851B4"/>
    <w:multiLevelType w:val="hybridMultilevel"/>
    <w:tmpl w:val="D56081B0"/>
    <w:lvl w:ilvl="0" w:tplc="241A000F">
      <w:start w:val="10"/>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16"/>
    <w:rsid w:val="000057F4"/>
    <w:rsid w:val="00006754"/>
    <w:rsid w:val="00010632"/>
    <w:rsid w:val="00023ACB"/>
    <w:rsid w:val="00025C3A"/>
    <w:rsid w:val="000305FA"/>
    <w:rsid w:val="000322F9"/>
    <w:rsid w:val="000329EE"/>
    <w:rsid w:val="00043616"/>
    <w:rsid w:val="00043A99"/>
    <w:rsid w:val="0004715E"/>
    <w:rsid w:val="00051D27"/>
    <w:rsid w:val="000549B7"/>
    <w:rsid w:val="00055CB3"/>
    <w:rsid w:val="0005655C"/>
    <w:rsid w:val="00060772"/>
    <w:rsid w:val="00063103"/>
    <w:rsid w:val="00063307"/>
    <w:rsid w:val="0007674F"/>
    <w:rsid w:val="0009495F"/>
    <w:rsid w:val="000A0732"/>
    <w:rsid w:val="000A1E11"/>
    <w:rsid w:val="000A5330"/>
    <w:rsid w:val="000B0E15"/>
    <w:rsid w:val="000B3C80"/>
    <w:rsid w:val="000B4B53"/>
    <w:rsid w:val="000C129C"/>
    <w:rsid w:val="000D2095"/>
    <w:rsid w:val="000D5EF5"/>
    <w:rsid w:val="000E1864"/>
    <w:rsid w:val="000E22AD"/>
    <w:rsid w:val="000E4D09"/>
    <w:rsid w:val="000F3249"/>
    <w:rsid w:val="0010541B"/>
    <w:rsid w:val="00106438"/>
    <w:rsid w:val="00107999"/>
    <w:rsid w:val="00134B57"/>
    <w:rsid w:val="001374B8"/>
    <w:rsid w:val="00142C48"/>
    <w:rsid w:val="001453FB"/>
    <w:rsid w:val="00151C94"/>
    <w:rsid w:val="00153A40"/>
    <w:rsid w:val="00172360"/>
    <w:rsid w:val="00172DAB"/>
    <w:rsid w:val="00181494"/>
    <w:rsid w:val="00181940"/>
    <w:rsid w:val="00191758"/>
    <w:rsid w:val="00195172"/>
    <w:rsid w:val="001B03AA"/>
    <w:rsid w:val="001B11F7"/>
    <w:rsid w:val="001B1D08"/>
    <w:rsid w:val="001B245E"/>
    <w:rsid w:val="001C39F2"/>
    <w:rsid w:val="001C62AD"/>
    <w:rsid w:val="001D6E7A"/>
    <w:rsid w:val="002016A0"/>
    <w:rsid w:val="00206CEF"/>
    <w:rsid w:val="00213AEB"/>
    <w:rsid w:val="00216380"/>
    <w:rsid w:val="00216C8E"/>
    <w:rsid w:val="00233A2E"/>
    <w:rsid w:val="002415F4"/>
    <w:rsid w:val="002437F1"/>
    <w:rsid w:val="0026092A"/>
    <w:rsid w:val="00261373"/>
    <w:rsid w:val="00267139"/>
    <w:rsid w:val="0027449F"/>
    <w:rsid w:val="00280F6B"/>
    <w:rsid w:val="00283EA7"/>
    <w:rsid w:val="00293586"/>
    <w:rsid w:val="00293B02"/>
    <w:rsid w:val="002A45BA"/>
    <w:rsid w:val="002B1273"/>
    <w:rsid w:val="002B428A"/>
    <w:rsid w:val="002F61C4"/>
    <w:rsid w:val="00324462"/>
    <w:rsid w:val="00326D82"/>
    <w:rsid w:val="00332DC2"/>
    <w:rsid w:val="00342D08"/>
    <w:rsid w:val="0034536F"/>
    <w:rsid w:val="00345AA6"/>
    <w:rsid w:val="00351F82"/>
    <w:rsid w:val="00371803"/>
    <w:rsid w:val="00374908"/>
    <w:rsid w:val="003837F0"/>
    <w:rsid w:val="00385201"/>
    <w:rsid w:val="0038728C"/>
    <w:rsid w:val="0039379B"/>
    <w:rsid w:val="003A26B8"/>
    <w:rsid w:val="003B365F"/>
    <w:rsid w:val="003B4846"/>
    <w:rsid w:val="003C3288"/>
    <w:rsid w:val="003C3BC0"/>
    <w:rsid w:val="003E1839"/>
    <w:rsid w:val="003F5451"/>
    <w:rsid w:val="00404477"/>
    <w:rsid w:val="00407740"/>
    <w:rsid w:val="00412BE9"/>
    <w:rsid w:val="004169ED"/>
    <w:rsid w:val="00420FE0"/>
    <w:rsid w:val="00423371"/>
    <w:rsid w:val="0044109F"/>
    <w:rsid w:val="00441219"/>
    <w:rsid w:val="0044349B"/>
    <w:rsid w:val="004465D3"/>
    <w:rsid w:val="0045067B"/>
    <w:rsid w:val="00467D58"/>
    <w:rsid w:val="004742B8"/>
    <w:rsid w:val="00482BC8"/>
    <w:rsid w:val="0049248C"/>
    <w:rsid w:val="004C059D"/>
    <w:rsid w:val="004E5018"/>
    <w:rsid w:val="00507231"/>
    <w:rsid w:val="00520BF5"/>
    <w:rsid w:val="005440C4"/>
    <w:rsid w:val="005504EF"/>
    <w:rsid w:val="0055513A"/>
    <w:rsid w:val="00561099"/>
    <w:rsid w:val="00561F5E"/>
    <w:rsid w:val="005745B7"/>
    <w:rsid w:val="005843D1"/>
    <w:rsid w:val="005977B5"/>
    <w:rsid w:val="005C55CF"/>
    <w:rsid w:val="005D0B49"/>
    <w:rsid w:val="005E1BB2"/>
    <w:rsid w:val="005F33D6"/>
    <w:rsid w:val="005F47AD"/>
    <w:rsid w:val="005F5974"/>
    <w:rsid w:val="00606825"/>
    <w:rsid w:val="00607EFC"/>
    <w:rsid w:val="00615C52"/>
    <w:rsid w:val="00626C8F"/>
    <w:rsid w:val="006325A7"/>
    <w:rsid w:val="00635E82"/>
    <w:rsid w:val="00637BC6"/>
    <w:rsid w:val="006463F1"/>
    <w:rsid w:val="00651F91"/>
    <w:rsid w:val="00657FC1"/>
    <w:rsid w:val="006678EB"/>
    <w:rsid w:val="00686B5D"/>
    <w:rsid w:val="00696FC9"/>
    <w:rsid w:val="00697808"/>
    <w:rsid w:val="006A7D55"/>
    <w:rsid w:val="006A7E44"/>
    <w:rsid w:val="006B0D56"/>
    <w:rsid w:val="006C00BE"/>
    <w:rsid w:val="006C1DFE"/>
    <w:rsid w:val="006C3C7D"/>
    <w:rsid w:val="006C7810"/>
    <w:rsid w:val="006D796B"/>
    <w:rsid w:val="006D79F5"/>
    <w:rsid w:val="006E087E"/>
    <w:rsid w:val="006E44C5"/>
    <w:rsid w:val="006F2A88"/>
    <w:rsid w:val="006F7F1A"/>
    <w:rsid w:val="00713FBA"/>
    <w:rsid w:val="00720A1A"/>
    <w:rsid w:val="00725059"/>
    <w:rsid w:val="007259B7"/>
    <w:rsid w:val="00726490"/>
    <w:rsid w:val="00726F0B"/>
    <w:rsid w:val="007345E3"/>
    <w:rsid w:val="00740B7E"/>
    <w:rsid w:val="00753F20"/>
    <w:rsid w:val="0076276D"/>
    <w:rsid w:val="00763F47"/>
    <w:rsid w:val="007736FA"/>
    <w:rsid w:val="007811A8"/>
    <w:rsid w:val="007814C9"/>
    <w:rsid w:val="00783450"/>
    <w:rsid w:val="00786C64"/>
    <w:rsid w:val="007A00D3"/>
    <w:rsid w:val="007A39AD"/>
    <w:rsid w:val="007A5119"/>
    <w:rsid w:val="007B4B66"/>
    <w:rsid w:val="007B5DB7"/>
    <w:rsid w:val="007C26F3"/>
    <w:rsid w:val="007C2888"/>
    <w:rsid w:val="007D2412"/>
    <w:rsid w:val="007E1FAD"/>
    <w:rsid w:val="007E4511"/>
    <w:rsid w:val="007F05C7"/>
    <w:rsid w:val="00816103"/>
    <w:rsid w:val="00830FC5"/>
    <w:rsid w:val="00837EA8"/>
    <w:rsid w:val="00837F22"/>
    <w:rsid w:val="00844E74"/>
    <w:rsid w:val="008460C7"/>
    <w:rsid w:val="008471E3"/>
    <w:rsid w:val="00863435"/>
    <w:rsid w:val="00871FE8"/>
    <w:rsid w:val="0087602C"/>
    <w:rsid w:val="00881559"/>
    <w:rsid w:val="00882CB3"/>
    <w:rsid w:val="00884CB7"/>
    <w:rsid w:val="008B0AC4"/>
    <w:rsid w:val="008B1816"/>
    <w:rsid w:val="008B45A9"/>
    <w:rsid w:val="008B5716"/>
    <w:rsid w:val="008D1F00"/>
    <w:rsid w:val="008E18A8"/>
    <w:rsid w:val="008F0573"/>
    <w:rsid w:val="00901E3A"/>
    <w:rsid w:val="0090382C"/>
    <w:rsid w:val="00904A10"/>
    <w:rsid w:val="00910B1E"/>
    <w:rsid w:val="00921996"/>
    <w:rsid w:val="0092428A"/>
    <w:rsid w:val="00936542"/>
    <w:rsid w:val="009428AD"/>
    <w:rsid w:val="0094612A"/>
    <w:rsid w:val="00974287"/>
    <w:rsid w:val="00986835"/>
    <w:rsid w:val="009965E9"/>
    <w:rsid w:val="009A4443"/>
    <w:rsid w:val="009A466C"/>
    <w:rsid w:val="009A59B8"/>
    <w:rsid w:val="009A68A2"/>
    <w:rsid w:val="009A7B37"/>
    <w:rsid w:val="009B2CB0"/>
    <w:rsid w:val="009D3079"/>
    <w:rsid w:val="009D6781"/>
    <w:rsid w:val="009E2C73"/>
    <w:rsid w:val="009E37C0"/>
    <w:rsid w:val="009F3C49"/>
    <w:rsid w:val="00A02879"/>
    <w:rsid w:val="00A07ECD"/>
    <w:rsid w:val="00A11C2B"/>
    <w:rsid w:val="00A2309F"/>
    <w:rsid w:val="00A330BA"/>
    <w:rsid w:val="00A65EEE"/>
    <w:rsid w:val="00A734C3"/>
    <w:rsid w:val="00A73C25"/>
    <w:rsid w:val="00A84629"/>
    <w:rsid w:val="00A85B04"/>
    <w:rsid w:val="00A92087"/>
    <w:rsid w:val="00AA1254"/>
    <w:rsid w:val="00B1140C"/>
    <w:rsid w:val="00B12BAB"/>
    <w:rsid w:val="00B12E9D"/>
    <w:rsid w:val="00B136FE"/>
    <w:rsid w:val="00B15BAA"/>
    <w:rsid w:val="00B26AAA"/>
    <w:rsid w:val="00B30C16"/>
    <w:rsid w:val="00B4214A"/>
    <w:rsid w:val="00B46DD9"/>
    <w:rsid w:val="00B52C7D"/>
    <w:rsid w:val="00B55269"/>
    <w:rsid w:val="00B55E4A"/>
    <w:rsid w:val="00B55F55"/>
    <w:rsid w:val="00B5717C"/>
    <w:rsid w:val="00B93598"/>
    <w:rsid w:val="00B944F4"/>
    <w:rsid w:val="00B96B3D"/>
    <w:rsid w:val="00BB0B53"/>
    <w:rsid w:val="00BB0B9A"/>
    <w:rsid w:val="00BB64E7"/>
    <w:rsid w:val="00BB6EC6"/>
    <w:rsid w:val="00BB7407"/>
    <w:rsid w:val="00BC5EEE"/>
    <w:rsid w:val="00BE041F"/>
    <w:rsid w:val="00BE3BC3"/>
    <w:rsid w:val="00BE519C"/>
    <w:rsid w:val="00BE6BA0"/>
    <w:rsid w:val="00BF0CEA"/>
    <w:rsid w:val="00BF2D32"/>
    <w:rsid w:val="00C013A0"/>
    <w:rsid w:val="00C0583A"/>
    <w:rsid w:val="00C0695D"/>
    <w:rsid w:val="00C06C5A"/>
    <w:rsid w:val="00C06F5E"/>
    <w:rsid w:val="00C162DC"/>
    <w:rsid w:val="00C23E95"/>
    <w:rsid w:val="00C330AE"/>
    <w:rsid w:val="00C33DBF"/>
    <w:rsid w:val="00C40DD9"/>
    <w:rsid w:val="00C46C4D"/>
    <w:rsid w:val="00C5649B"/>
    <w:rsid w:val="00C57B4D"/>
    <w:rsid w:val="00C922D1"/>
    <w:rsid w:val="00C972BC"/>
    <w:rsid w:val="00CA1F8B"/>
    <w:rsid w:val="00CC5D30"/>
    <w:rsid w:val="00CD1FB0"/>
    <w:rsid w:val="00CF11EC"/>
    <w:rsid w:val="00D11CF7"/>
    <w:rsid w:val="00D12F10"/>
    <w:rsid w:val="00D1343F"/>
    <w:rsid w:val="00D15DC9"/>
    <w:rsid w:val="00D2757B"/>
    <w:rsid w:val="00D50094"/>
    <w:rsid w:val="00D50FF9"/>
    <w:rsid w:val="00D56604"/>
    <w:rsid w:val="00D6015D"/>
    <w:rsid w:val="00D676EC"/>
    <w:rsid w:val="00D72C91"/>
    <w:rsid w:val="00D737EA"/>
    <w:rsid w:val="00D7713C"/>
    <w:rsid w:val="00D908C4"/>
    <w:rsid w:val="00D935BD"/>
    <w:rsid w:val="00D93AD9"/>
    <w:rsid w:val="00D94FB5"/>
    <w:rsid w:val="00D954B5"/>
    <w:rsid w:val="00D95BDA"/>
    <w:rsid w:val="00DB5E23"/>
    <w:rsid w:val="00DD295E"/>
    <w:rsid w:val="00DD4423"/>
    <w:rsid w:val="00DD7D04"/>
    <w:rsid w:val="00DF3616"/>
    <w:rsid w:val="00DF5D06"/>
    <w:rsid w:val="00DF7E05"/>
    <w:rsid w:val="00E00E7B"/>
    <w:rsid w:val="00E32219"/>
    <w:rsid w:val="00E54959"/>
    <w:rsid w:val="00E70A37"/>
    <w:rsid w:val="00E7451F"/>
    <w:rsid w:val="00E77C49"/>
    <w:rsid w:val="00E86DD9"/>
    <w:rsid w:val="00E90209"/>
    <w:rsid w:val="00EA0849"/>
    <w:rsid w:val="00EA532F"/>
    <w:rsid w:val="00EA7742"/>
    <w:rsid w:val="00EB3381"/>
    <w:rsid w:val="00EC5796"/>
    <w:rsid w:val="00ED0713"/>
    <w:rsid w:val="00ED22ED"/>
    <w:rsid w:val="00ED28B4"/>
    <w:rsid w:val="00ED777F"/>
    <w:rsid w:val="00EE31A5"/>
    <w:rsid w:val="00EF15C0"/>
    <w:rsid w:val="00EF35D1"/>
    <w:rsid w:val="00F07CC7"/>
    <w:rsid w:val="00F32666"/>
    <w:rsid w:val="00F40367"/>
    <w:rsid w:val="00F56102"/>
    <w:rsid w:val="00F56CE2"/>
    <w:rsid w:val="00FB793F"/>
    <w:rsid w:val="00FC156C"/>
    <w:rsid w:val="00FC3DDD"/>
    <w:rsid w:val="00FD22B6"/>
    <w:rsid w:val="00FD42B3"/>
    <w:rsid w:val="00FD7ED2"/>
    <w:rsid w:val="00FE02F6"/>
    <w:rsid w:val="00FF2D0F"/>
    <w:rsid w:val="00FF34D1"/>
    <w:rsid w:val="00FF7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semiHidden/>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1254"/>
    <w:rPr>
      <w:sz w:val="20"/>
      <w:szCs w:val="20"/>
      <w:lang w:val="en-US" w:eastAsia="en-US"/>
    </w:rPr>
  </w:style>
  <w:style w:type="character" w:styleId="FootnoteReference">
    <w:name w:val="footnote reference"/>
    <w:basedOn w:val="DefaultParagraphFont"/>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semiHidden/>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1254"/>
    <w:rPr>
      <w:sz w:val="20"/>
      <w:szCs w:val="20"/>
      <w:lang w:val="en-US" w:eastAsia="en-US"/>
    </w:rPr>
  </w:style>
  <w:style w:type="character" w:styleId="FootnoteReference">
    <w:name w:val="footnote reference"/>
    <w:basedOn w:val="DefaultParagraphFont"/>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yperlink" Target="http://www.djn.mf.gov.si/resources/files/Sistem_javnega_narocanja/Stat_por_JN2012_IN.pdf" TargetMode="External"/><Relationship Id="rId42" Type="http://schemas.openxmlformats.org/officeDocument/2006/relationships/package" Target="embeddings/Microsoft_Excel_Worksheet13.xlsx"/><Relationship Id="rId47" Type="http://schemas.openxmlformats.org/officeDocument/2006/relationships/image" Target="media/image18.emf"/><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hyperlink" Target="http://www.javnanabava.hr/userdocsimages/userfiles/file/Statisti&#269;ka%20izvje&#353;&#263;a/Godi&#353;nja/Statisticko_izvjesce_JN-2011.pdf" TargetMode="External"/><Relationship Id="rId38" Type="http://schemas.openxmlformats.org/officeDocument/2006/relationships/package" Target="embeddings/Microsoft_Excel_Worksheet11.xlsx"/><Relationship Id="rId46" Type="http://schemas.openxmlformats.org/officeDocument/2006/relationships/package" Target="embeddings/Microsoft_Excel_Worksheet15.xlsx"/><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image" Target="media/image10.emf"/><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ujn.gov.rs" TargetMode="External"/><Relationship Id="rId24" Type="http://schemas.openxmlformats.org/officeDocument/2006/relationships/package" Target="embeddings/Microsoft_Excel_Worksheet6.xlsx"/><Relationship Id="rId32" Type="http://schemas.openxmlformats.org/officeDocument/2006/relationships/package" Target="embeddings/Microsoft_Excel_Worksheet10.xlsx"/><Relationship Id="rId37" Type="http://schemas.openxmlformats.org/officeDocument/2006/relationships/image" Target="media/image13.emf"/><Relationship Id="rId40" Type="http://schemas.openxmlformats.org/officeDocument/2006/relationships/package" Target="embeddings/Microsoft_Excel_Worksheet12.xlsx"/><Relationship Id="rId45" Type="http://schemas.openxmlformats.org/officeDocument/2006/relationships/image" Target="media/image17.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xlsx"/><Relationship Id="rId36" Type="http://schemas.openxmlformats.org/officeDocument/2006/relationships/image" Target="cid:image001.png@01CF20BE.75A4BF80" TargetMode="External"/><Relationship Id="rId49" Type="http://schemas.openxmlformats.org/officeDocument/2006/relationships/chart" Target="charts/chart1.xml"/><Relationship Id="rId10" Type="http://schemas.openxmlformats.org/officeDocument/2006/relationships/hyperlink" Target="http://www.ujn.gov.rs" TargetMode="External"/><Relationship Id="rId19" Type="http://schemas.openxmlformats.org/officeDocument/2006/relationships/image" Target="media/image5.emf"/><Relationship Id="rId31" Type="http://schemas.openxmlformats.org/officeDocument/2006/relationships/image" Target="media/image11.emf"/><Relationship Id="rId44" Type="http://schemas.openxmlformats.org/officeDocument/2006/relationships/package" Target="embeddings/Microsoft_Excel_Worksheet14.xlsx"/><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package" Target="embeddings/Microsoft_Excel_Worksheet5.xlsx"/><Relationship Id="rId27" Type="http://schemas.openxmlformats.org/officeDocument/2006/relationships/image" Target="media/image9.emf"/><Relationship Id="rId30" Type="http://schemas.openxmlformats.org/officeDocument/2006/relationships/package" Target="embeddings/Microsoft_Excel_Worksheet9.xlsx"/><Relationship Id="rId35" Type="http://schemas.openxmlformats.org/officeDocument/2006/relationships/image" Target="media/image12.png"/><Relationship Id="rId43" Type="http://schemas.openxmlformats.org/officeDocument/2006/relationships/image" Target="media/image16.emf"/><Relationship Id="rId48" Type="http://schemas.openxmlformats.org/officeDocument/2006/relationships/package" Target="embeddings/Microsoft_Excel_Worksheet16.xlsx"/><Relationship Id="rId8" Type="http://schemas.openxmlformats.org/officeDocument/2006/relationships/endnotes" Target="endnotes.xml"/><Relationship Id="rId51"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www.javnanabava.hr/userdocsimages/userfiles/file/Statisti&#269;ka%20izvje&#353;&#263;a/Godi&#353;nja/Statisticko_izvjesce_JN-2011.pdf" TargetMode="External"/><Relationship Id="rId1" Type="http://schemas.openxmlformats.org/officeDocument/2006/relationships/hyperlink" Target="http://www.javnanabava.hr/userdocsimages/userfiles/file/Statisti&#269;ka%20izvje&#353;&#263;a/Godi&#353;nja/Statisticko_izvjesce_JN-2012.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mpml.UJN\Documents\&#1048;&#1079;&#1074;&#1077;&#1096;&#1090;&#1072;&#1112;%20&#1079;&#1072;%203.&#1082;&#1074;&#1072;&#1088;&#1090;&#1072;&#1083;%202013\IzvestajPrilozi\IZVESTAJ_I_Prilozi\Izvestaj%20o%20dodeljenim%20ugovorima%20za%202012PJposlednja2%20-NOVO-KVARTAL3.doc!_1409739887"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sr-Latn-RS" sz="1400" baseline="0"/>
            </a:pPr>
            <a:r>
              <a:rPr lang="sr-Cyrl-RS" sz="1400" b="1" i="0" u="none" strike="noStrike" baseline="0">
                <a:effectLst/>
              </a:rPr>
              <a:t>Заступљеност основа за обуставу/поништење поступака у трећем кварталу 2013. године</a:t>
            </a:r>
            <a:endParaRPr lang="sr-Latn-RS" sz="1400" baseline="0"/>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5978790492379519"/>
          <c:y val="0.25132671245619781"/>
          <c:w val="0.70646472619377898"/>
          <c:h val="0.37880058490052537"/>
        </c:manualLayout>
      </c:layout>
      <c:pie3DChart>
        <c:varyColors val="1"/>
        <c:ser>
          <c:idx val="0"/>
          <c:order val="0"/>
          <c:explosion val="25"/>
          <c:dLbls>
            <c:dLbl>
              <c:idx val="0"/>
              <c:layout>
                <c:manualLayout>
                  <c:x val="2.2209361053843083E-2"/>
                  <c:y val="-4.0586666666666722E-2"/>
                </c:manualLayout>
              </c:layout>
              <c:showLegendKey val="0"/>
              <c:showVal val="0"/>
              <c:showCatName val="0"/>
              <c:showSerName val="0"/>
              <c:showPercent val="1"/>
              <c:showBubbleSize val="0"/>
            </c:dLbl>
            <c:dLbl>
              <c:idx val="1"/>
              <c:layout>
                <c:manualLayout>
                  <c:x val="-4.2732378959796619E-2"/>
                  <c:y val="-1.2269401284189086E-2"/>
                </c:manualLayout>
              </c:layout>
              <c:showLegendKey val="0"/>
              <c:showVal val="0"/>
              <c:showCatName val="0"/>
              <c:showSerName val="0"/>
              <c:showPercent val="1"/>
              <c:showBubbleSize val="0"/>
            </c:dLbl>
            <c:dLbl>
              <c:idx val="2"/>
              <c:layout>
                <c:manualLayout>
                  <c:x val="-4.4350000413986186E-2"/>
                  <c:y val="-6.1644514435695547E-2"/>
                </c:manualLayout>
              </c:layout>
              <c:showLegendKey val="0"/>
              <c:showVal val="0"/>
              <c:showCatName val="0"/>
              <c:showSerName val="0"/>
              <c:showPercent val="1"/>
              <c:showBubbleSize val="0"/>
            </c:dLbl>
            <c:dLbl>
              <c:idx val="3"/>
              <c:layout>
                <c:manualLayout>
                  <c:x val="-2.0118371279539441E-3"/>
                  <c:y val="-3.185576513990189E-2"/>
                </c:manualLayout>
              </c:layout>
              <c:showLegendKey val="0"/>
              <c:showVal val="0"/>
              <c:showCatName val="0"/>
              <c:showSerName val="0"/>
              <c:showPercent val="1"/>
              <c:showBubbleSize val="0"/>
            </c:dLbl>
            <c:txPr>
              <a:bodyPr/>
              <a:lstStyle/>
              <a:p>
                <a:pPr>
                  <a:defRPr lang="sr-Latn-RS"/>
                </a:pPr>
                <a:endParaRPr lang="sr-Latn-RS"/>
              </a:p>
            </c:txPr>
            <c:showLegendKey val="0"/>
            <c:showVal val="0"/>
            <c:showCatName val="0"/>
            <c:showSerName val="0"/>
            <c:showPercent val="1"/>
            <c:showBubbleSize val="0"/>
            <c:showLeaderLines val="1"/>
          </c:dLbls>
          <c:cat>
            <c:strRef>
              <c:f>'[Worksheet in C  Users alempml.UJN Documents Извештај за 3.квартал 2013 IzvestajPrilozi IZVESTAJ_I_Prilozi Izvestaj o dodeljenim ugovorima za 2012PJposlednja2 -NOVO-KVARTAL3.doc]Sheet1'!$A$39:$A$42</c:f>
              <c:strCache>
                <c:ptCount val="4"/>
                <c:pt idx="0">
                  <c:v>одбијене све неисправне, неодговарајуће и неприхватљиве понуде</c:v>
                </c:pt>
                <c:pt idx="1">
                  <c:v>нису испуњени услови за састављање листе од најмање три кандидата</c:v>
                </c:pt>
                <c:pt idx="2">
                  <c:v>услед објективних и доказивих разлога поступак није могао да се оконча, односно престала је потреба наручиоца за набавком</c:v>
                </c:pt>
                <c:pt idx="3">
                  <c:v>остало</c:v>
                </c:pt>
              </c:strCache>
            </c:strRef>
          </c:cat>
          <c:val>
            <c:numRef>
              <c:f>'[Worksheet in C  Users alempml.UJN Documents Извештај за 3.квартал 2013 IzvestajPrilozi IZVESTAJ_I_Prilozi Izvestaj o dodeljenim ugovorima za 2012PJposlednja2 -NOVO-KVARTAL3.doc]Sheet1'!$B$39:$B$42</c:f>
              <c:numCache>
                <c:formatCode>0%</c:formatCode>
                <c:ptCount val="4"/>
                <c:pt idx="0">
                  <c:v>0.5</c:v>
                </c:pt>
                <c:pt idx="1">
                  <c:v>0.1</c:v>
                </c:pt>
                <c:pt idx="2">
                  <c:v>6.0000000000000032E-2</c:v>
                </c:pt>
                <c:pt idx="3">
                  <c:v>0.34000000000000008</c:v>
                </c:pt>
              </c:numCache>
            </c:numRef>
          </c:val>
        </c:ser>
        <c:dLbls>
          <c:showLegendKey val="0"/>
          <c:showVal val="0"/>
          <c:showCatName val="0"/>
          <c:showSerName val="0"/>
          <c:showPercent val="1"/>
          <c:showBubbleSize val="0"/>
          <c:showLeaderLines val="1"/>
        </c:dLbls>
      </c:pie3DChart>
    </c:plotArea>
    <c:legend>
      <c:legendPos val="b"/>
      <c:layout>
        <c:manualLayout>
          <c:xMode val="edge"/>
          <c:yMode val="edge"/>
          <c:x val="6.7799689595762588E-2"/>
          <c:y val="0.6749226206126695"/>
          <c:w val="0.86440043095878938"/>
          <c:h val="0.20644439586133392"/>
        </c:manualLayout>
      </c:layout>
      <c:overlay val="0"/>
      <c:txPr>
        <a:bodyPr/>
        <a:lstStyle/>
        <a:p>
          <a:pPr>
            <a:defRPr lang="sr-Latn-RS" sz="1200" baseline="0"/>
          </a:pPr>
          <a:endParaRPr lang="sr-Latn-RS"/>
        </a:p>
      </c:txPr>
    </c:legend>
    <c:plotVisOnly val="1"/>
    <c:dispBlanksAs val="zero"/>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 New Roman CYR">
    <w:altName w:val="Times New Roman"/>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45D"/>
    <w:rsid w:val="00C0045D"/>
    <w:rsid w:val="00EA291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0CEEAABBE644FF83348C964CB97C60">
    <w:name w:val="C80CEEAABBE644FF83348C964CB97C60"/>
    <w:rsid w:val="00C004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0CEEAABBE644FF83348C964CB97C60">
    <w:name w:val="C80CEEAABBE644FF83348C964CB97C60"/>
    <w:rsid w:val="00C004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289BB-7169-4929-A70A-1E27154C7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6917</Words>
  <Characters>39431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Mladen Alempijevic</cp:lastModifiedBy>
  <cp:revision>7</cp:revision>
  <cp:lastPrinted>2014-02-14T13:00:00Z</cp:lastPrinted>
  <dcterms:created xsi:type="dcterms:W3CDTF">2014-02-07T08:06:00Z</dcterms:created>
  <dcterms:modified xsi:type="dcterms:W3CDTF">2014-02-14T13:04:00Z</dcterms:modified>
</cp:coreProperties>
</file>