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AD" w:rsidRDefault="001C62AD" w:rsidP="00F55A41">
      <w:pPr>
        <w:jc w:val="both"/>
        <w:rPr>
          <w:rFonts w:ascii="Times New Roman" w:hAnsi="Times New Roman" w:cs="Times New Roman"/>
          <w:sz w:val="24"/>
          <w:szCs w:val="24"/>
        </w:rPr>
      </w:pPr>
    </w:p>
    <w:p w:rsidR="00697E66" w:rsidRPr="00523A8B" w:rsidRDefault="00697E66" w:rsidP="00F55A41">
      <w:pPr>
        <w:jc w:val="both"/>
        <w:rPr>
          <w:rFonts w:ascii="Times New Roman" w:hAnsi="Times New Roman" w:cs="Times New Roman"/>
          <w:sz w:val="24"/>
          <w:szCs w:val="24"/>
        </w:rPr>
      </w:pPr>
    </w:p>
    <w:p w:rsidR="000C129C" w:rsidRPr="000C129C" w:rsidRDefault="000C129C" w:rsidP="00F55A41">
      <w:pPr>
        <w:spacing w:after="0" w:line="240" w:lineRule="auto"/>
        <w:jc w:val="both"/>
        <w:rPr>
          <w:rFonts w:ascii="Times New Roman" w:eastAsia="Times New Roman" w:hAnsi="Times New Roman" w:cs="Times New Roman"/>
          <w:b/>
          <w:sz w:val="28"/>
          <w:szCs w:val="20"/>
          <w:lang w:val="ru-RU"/>
        </w:rPr>
      </w:pPr>
    </w:p>
    <w:p w:rsidR="000C129C" w:rsidRPr="000C129C" w:rsidRDefault="000C129C" w:rsidP="00F55A41">
      <w:pPr>
        <w:spacing w:after="0" w:line="240" w:lineRule="auto"/>
        <w:jc w:val="both"/>
        <w:rPr>
          <w:rFonts w:ascii="Times New Roman" w:eastAsia="Times New Roman" w:hAnsi="Times New Roman" w:cs="Times New Roman"/>
          <w:b/>
          <w:sz w:val="28"/>
          <w:szCs w:val="20"/>
          <w:lang w:val="ru-RU"/>
        </w:rPr>
      </w:pPr>
    </w:p>
    <w:p w:rsidR="000C129C" w:rsidRPr="000C129C" w:rsidRDefault="000C129C" w:rsidP="003C54F7">
      <w:pPr>
        <w:spacing w:after="0" w:line="240" w:lineRule="auto"/>
        <w:jc w:val="center"/>
        <w:rPr>
          <w:rFonts w:ascii="Times New Roman" w:eastAsia="Times New Roman" w:hAnsi="Times New Roman" w:cs="Times New Roman"/>
          <w:b/>
          <w:sz w:val="28"/>
          <w:szCs w:val="20"/>
          <w:lang w:val="ru-RU"/>
        </w:rPr>
      </w:pPr>
      <w:r>
        <w:rPr>
          <w:rFonts w:ascii="Times New Roman" w:eastAsia="Times New Roman" w:hAnsi="Times New Roman" w:cs="Times New Roman"/>
          <w:b/>
          <w:noProof/>
          <w:sz w:val="28"/>
          <w:szCs w:val="20"/>
        </w:rPr>
        <w:drawing>
          <wp:inline distT="0" distB="0" distL="0" distR="0">
            <wp:extent cx="127635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Pr>
          <w:rFonts w:ascii="Times New Roman" w:eastAsia="Times New Roman" w:hAnsi="Times New Roman" w:cs="Times New Roman"/>
          <w:b/>
          <w:sz w:val="28"/>
          <w:szCs w:val="20"/>
          <w:lang w:val="ru-RU"/>
        </w:rPr>
        <w:br/>
      </w: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r w:rsidRPr="00D5524B">
        <w:rPr>
          <w:rFonts w:ascii="Times New Roman" w:eastAsia="Times New Roman" w:hAnsi="Times New Roman" w:cs="Times New Roman"/>
          <w:b/>
          <w:sz w:val="28"/>
          <w:szCs w:val="20"/>
          <w:lang w:val="ru-RU"/>
        </w:rPr>
        <w:t>РЕПУБЛИКА СРБИЈА</w:t>
      </w: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r w:rsidRPr="00D5524B">
        <w:rPr>
          <w:rFonts w:ascii="Times New Roman" w:eastAsia="Times New Roman" w:hAnsi="Times New Roman" w:cs="Times New Roman"/>
          <w:b/>
          <w:sz w:val="28"/>
          <w:szCs w:val="20"/>
          <w:lang w:val="ru-RU"/>
        </w:rPr>
        <w:t>УПРАВА ЗА ЈАВНЕ НАБАВКЕ</w:t>
      </w: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color w:val="000000" w:themeColor="text1"/>
          <w:sz w:val="28"/>
          <w:szCs w:val="28"/>
          <w:lang w:val="ru-RU"/>
        </w:rPr>
      </w:pPr>
      <w:r w:rsidRPr="00D5524B">
        <w:rPr>
          <w:rFonts w:ascii="Times New Roman" w:eastAsia="Times New Roman" w:hAnsi="Times New Roman" w:cs="Times New Roman"/>
          <w:b/>
          <w:color w:val="000000" w:themeColor="text1"/>
          <w:sz w:val="28"/>
          <w:szCs w:val="28"/>
          <w:lang w:val="ru-RU"/>
        </w:rPr>
        <w:t>ИЗВЕШТАЈ О ЈАВНИМ НАБАВКАМА У РЕПУБЛИЦИ СРБИЈИ</w:t>
      </w:r>
    </w:p>
    <w:p w:rsidR="000C129C" w:rsidRPr="00D5524B" w:rsidRDefault="00E633FD" w:rsidP="003C54F7">
      <w:pPr>
        <w:spacing w:after="0" w:line="240" w:lineRule="auto"/>
        <w:jc w:val="center"/>
        <w:rPr>
          <w:rFonts w:ascii="Times New Roman" w:eastAsia="Times New Roman" w:hAnsi="Times New Roman" w:cs="Times New Roman"/>
          <w:b/>
          <w:color w:val="000000" w:themeColor="text1"/>
          <w:sz w:val="28"/>
          <w:szCs w:val="28"/>
        </w:rPr>
      </w:pPr>
      <w:r w:rsidRPr="00D5524B">
        <w:rPr>
          <w:rFonts w:ascii="Times New Roman" w:eastAsia="Times New Roman" w:hAnsi="Times New Roman" w:cs="Times New Roman"/>
          <w:b/>
          <w:color w:val="000000" w:themeColor="text1"/>
          <w:sz w:val="28"/>
          <w:szCs w:val="28"/>
          <w:lang w:val="ru-RU"/>
        </w:rPr>
        <w:t>ЗА</w:t>
      </w:r>
      <w:r w:rsidR="00A974D4">
        <w:rPr>
          <w:rFonts w:ascii="Times New Roman" w:eastAsia="Times New Roman" w:hAnsi="Times New Roman" w:cs="Times New Roman"/>
          <w:b/>
          <w:color w:val="000000" w:themeColor="text1"/>
          <w:sz w:val="28"/>
          <w:szCs w:val="28"/>
          <w:lang w:val="ru-RU"/>
        </w:rPr>
        <w:t xml:space="preserve"> </w:t>
      </w:r>
      <w:r w:rsidR="0084161C" w:rsidRPr="00D5524B">
        <w:rPr>
          <w:rFonts w:ascii="Times New Roman" w:eastAsia="Times New Roman" w:hAnsi="Times New Roman" w:cs="Times New Roman"/>
          <w:b/>
          <w:color w:val="000000" w:themeColor="text1"/>
          <w:sz w:val="28"/>
          <w:szCs w:val="28"/>
        </w:rPr>
        <w:t>ПЕРИОД 1.1.2014 – 31.12</w:t>
      </w:r>
      <w:r w:rsidR="00824F97" w:rsidRPr="00D5524B">
        <w:rPr>
          <w:rFonts w:ascii="Times New Roman" w:eastAsia="Times New Roman" w:hAnsi="Times New Roman" w:cs="Times New Roman"/>
          <w:b/>
          <w:color w:val="000000" w:themeColor="text1"/>
          <w:sz w:val="28"/>
          <w:szCs w:val="28"/>
        </w:rPr>
        <w:t>.</w:t>
      </w:r>
      <w:r w:rsidR="00FB6004" w:rsidRPr="00D5524B">
        <w:rPr>
          <w:rFonts w:ascii="Times New Roman" w:eastAsia="Times New Roman" w:hAnsi="Times New Roman" w:cs="Times New Roman"/>
          <w:b/>
          <w:color w:val="000000" w:themeColor="text1"/>
          <w:sz w:val="28"/>
          <w:szCs w:val="28"/>
          <w:lang w:val="ru-RU"/>
        </w:rPr>
        <w:t>2014</w:t>
      </w:r>
      <w:r w:rsidR="000C129C" w:rsidRPr="00D5524B">
        <w:rPr>
          <w:rFonts w:ascii="Times New Roman" w:eastAsia="Times New Roman" w:hAnsi="Times New Roman" w:cs="Times New Roman"/>
          <w:b/>
          <w:color w:val="000000" w:themeColor="text1"/>
          <w:sz w:val="28"/>
          <w:szCs w:val="28"/>
          <w:lang w:val="ru-RU"/>
        </w:rPr>
        <w:t>. ГОДИНЕ</w:t>
      </w: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0"/>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ru-RU"/>
        </w:rPr>
      </w:pPr>
    </w:p>
    <w:p w:rsidR="000C129C" w:rsidRPr="00D5524B" w:rsidRDefault="000C129C" w:rsidP="003C54F7">
      <w:pPr>
        <w:spacing w:after="0" w:line="240" w:lineRule="auto"/>
        <w:jc w:val="center"/>
        <w:rPr>
          <w:rFonts w:ascii="Times New Roman" w:eastAsia="Times New Roman" w:hAnsi="Times New Roman" w:cs="Times New Roman"/>
          <w:b/>
          <w:sz w:val="28"/>
          <w:szCs w:val="20"/>
          <w:lang w:val="sr-Latn-CS"/>
        </w:rPr>
      </w:pPr>
    </w:p>
    <w:p w:rsidR="000C129C" w:rsidRPr="00D5524B" w:rsidRDefault="000C129C" w:rsidP="003C54F7">
      <w:pPr>
        <w:spacing w:after="0" w:line="240" w:lineRule="auto"/>
        <w:jc w:val="center"/>
        <w:rPr>
          <w:rFonts w:ascii="Times New Roman" w:eastAsia="Times New Roman" w:hAnsi="Times New Roman" w:cs="Times New Roman"/>
          <w:b/>
          <w:sz w:val="28"/>
          <w:szCs w:val="28"/>
          <w:lang w:val="ru-RU"/>
        </w:rPr>
      </w:pPr>
      <w:r w:rsidRPr="00D5524B">
        <w:rPr>
          <w:rFonts w:ascii="Times New Roman" w:eastAsia="Times New Roman" w:hAnsi="Times New Roman" w:cs="Times New Roman"/>
          <w:b/>
          <w:sz w:val="28"/>
          <w:szCs w:val="28"/>
          <w:lang w:val="sr-Cyrl-CS"/>
        </w:rPr>
        <w:t>Београд</w:t>
      </w:r>
    </w:p>
    <w:p w:rsidR="000C129C" w:rsidRPr="00D5524B" w:rsidRDefault="00F9719B" w:rsidP="003C54F7">
      <w:pPr>
        <w:spacing w:after="0" w:line="240" w:lineRule="auto"/>
        <w:jc w:val="center"/>
        <w:rPr>
          <w:rFonts w:ascii="Times New Roman" w:eastAsia="Times New Roman" w:hAnsi="Times New Roman" w:cs="Times New Roman"/>
          <w:b/>
          <w:sz w:val="28"/>
          <w:szCs w:val="28"/>
          <w:lang w:val="sr-Cyrl-CS"/>
        </w:rPr>
      </w:pPr>
      <w:r w:rsidRPr="00F9719B">
        <w:rPr>
          <w:rFonts w:ascii="Times New Roman" w:eastAsia="Times New Roman" w:hAnsi="Times New Roman" w:cs="Times New Roman"/>
          <w:b/>
          <w:sz w:val="28"/>
          <w:szCs w:val="28"/>
          <w:lang w:val="sr-Cyrl-RS"/>
        </w:rPr>
        <w:t>20</w:t>
      </w:r>
      <w:r w:rsidR="00441219" w:rsidRPr="00F9719B">
        <w:rPr>
          <w:rFonts w:ascii="Times New Roman" w:eastAsia="Times New Roman" w:hAnsi="Times New Roman" w:cs="Times New Roman"/>
          <w:b/>
          <w:sz w:val="28"/>
          <w:szCs w:val="28"/>
          <w:lang w:val="ru-RU"/>
        </w:rPr>
        <w:t xml:space="preserve">. </w:t>
      </w:r>
      <w:r w:rsidR="00320715" w:rsidRPr="00F9719B">
        <w:rPr>
          <w:rFonts w:ascii="Times New Roman" w:eastAsia="Times New Roman" w:hAnsi="Times New Roman" w:cs="Times New Roman"/>
          <w:b/>
          <w:sz w:val="28"/>
          <w:szCs w:val="28"/>
        </w:rPr>
        <w:t>април</w:t>
      </w:r>
      <w:r w:rsidR="00F62E82" w:rsidRPr="00F9719B">
        <w:rPr>
          <w:rFonts w:ascii="Times New Roman" w:eastAsia="Times New Roman" w:hAnsi="Times New Roman" w:cs="Times New Roman"/>
          <w:b/>
          <w:sz w:val="28"/>
          <w:szCs w:val="28"/>
        </w:rPr>
        <w:t xml:space="preserve"> </w:t>
      </w:r>
      <w:r w:rsidR="001B245E" w:rsidRPr="00D5524B">
        <w:rPr>
          <w:rFonts w:ascii="Times New Roman" w:eastAsia="Times New Roman" w:hAnsi="Times New Roman" w:cs="Times New Roman"/>
          <w:b/>
          <w:sz w:val="28"/>
          <w:szCs w:val="28"/>
          <w:lang w:val="ru-RU"/>
        </w:rPr>
        <w:t>201</w:t>
      </w:r>
      <w:r w:rsidR="00D5524B">
        <w:rPr>
          <w:rFonts w:ascii="Times New Roman" w:eastAsia="Times New Roman" w:hAnsi="Times New Roman" w:cs="Times New Roman"/>
          <w:b/>
          <w:sz w:val="28"/>
          <w:szCs w:val="28"/>
          <w:lang w:val="ru-RU"/>
        </w:rPr>
        <w:t>5</w:t>
      </w:r>
      <w:r w:rsidR="000C129C" w:rsidRPr="00D5524B">
        <w:rPr>
          <w:rFonts w:ascii="Times New Roman" w:eastAsia="Times New Roman" w:hAnsi="Times New Roman" w:cs="Times New Roman"/>
          <w:b/>
          <w:sz w:val="28"/>
          <w:szCs w:val="28"/>
          <w:lang w:val="ru-RU"/>
        </w:rPr>
        <w:t>. године</w:t>
      </w:r>
    </w:p>
    <w:p w:rsidR="000C129C" w:rsidRDefault="000C129C" w:rsidP="003C54F7">
      <w:pPr>
        <w:jc w:val="center"/>
        <w:rPr>
          <w:rFonts w:ascii="Times New Roman" w:hAnsi="Times New Roman" w:cs="Times New Roman"/>
          <w:sz w:val="24"/>
          <w:szCs w:val="24"/>
        </w:rPr>
      </w:pPr>
    </w:p>
    <w:p w:rsidR="00261373" w:rsidRDefault="00261373" w:rsidP="00F55A41">
      <w:pPr>
        <w:jc w:val="both"/>
        <w:rPr>
          <w:rFonts w:ascii="Times New Roman" w:hAnsi="Times New Roman" w:cs="Times New Roman"/>
          <w:sz w:val="24"/>
          <w:szCs w:val="24"/>
        </w:rPr>
      </w:pPr>
    </w:p>
    <w:p w:rsidR="00725059" w:rsidRPr="00CC37A3" w:rsidRDefault="00725059" w:rsidP="00F55A41">
      <w:pPr>
        <w:jc w:val="both"/>
        <w:rPr>
          <w:rFonts w:ascii="Times New Roman" w:hAnsi="Times New Roman" w:cs="Times New Roman"/>
          <w:sz w:val="24"/>
          <w:szCs w:val="24"/>
        </w:rPr>
      </w:pPr>
    </w:p>
    <w:p w:rsidR="003B4846" w:rsidRPr="003B4846" w:rsidRDefault="003B4846" w:rsidP="00F55A41">
      <w:pPr>
        <w:contextualSpacing/>
        <w:jc w:val="both"/>
        <w:rPr>
          <w:rFonts w:ascii="Times New Roman" w:eastAsia="Calibri" w:hAnsi="Times New Roman" w:cs="Times New Roman"/>
          <w:b/>
          <w:sz w:val="24"/>
          <w:szCs w:val="24"/>
        </w:rPr>
      </w:pPr>
      <w:r w:rsidRPr="003B4846">
        <w:rPr>
          <w:rFonts w:ascii="Times New Roman" w:eastAsia="Calibri" w:hAnsi="Times New Roman" w:cs="Times New Roman"/>
          <w:b/>
          <w:sz w:val="24"/>
          <w:szCs w:val="24"/>
        </w:rPr>
        <w:lastRenderedPageBreak/>
        <w:t>УВОД</w:t>
      </w:r>
    </w:p>
    <w:p w:rsidR="003B4846" w:rsidRPr="003B4846" w:rsidRDefault="003B4846" w:rsidP="00F55A41">
      <w:pPr>
        <w:ind w:left="720"/>
        <w:contextualSpacing/>
        <w:jc w:val="both"/>
        <w:rPr>
          <w:rFonts w:ascii="Times New Roman" w:eastAsia="Calibri" w:hAnsi="Times New Roman" w:cs="Times New Roman"/>
          <w:b/>
          <w:sz w:val="24"/>
          <w:szCs w:val="24"/>
        </w:rPr>
      </w:pPr>
    </w:p>
    <w:p w:rsidR="003B4846" w:rsidRPr="003B4846" w:rsidRDefault="003B4846" w:rsidP="00F55A41">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Законом о јавним набавкама („Службени гласник РС“, бр. 124/12</w:t>
      </w:r>
      <w:r w:rsidR="00320715">
        <w:rPr>
          <w:rFonts w:ascii="Times New Roman" w:eastAsia="Calibri" w:hAnsi="Times New Roman" w:cs="Times New Roman"/>
          <w:sz w:val="24"/>
          <w:szCs w:val="24"/>
        </w:rPr>
        <w:t xml:space="preserve"> и 14/15</w:t>
      </w:r>
      <w:r w:rsidR="00C857D4">
        <w:rPr>
          <w:rFonts w:ascii="Times New Roman" w:eastAsia="Calibri" w:hAnsi="Times New Roman" w:cs="Times New Roman"/>
          <w:sz w:val="24"/>
          <w:szCs w:val="24"/>
        </w:rPr>
        <w:t>; у даљем тексту: Закон</w:t>
      </w:r>
      <w:r w:rsidRPr="003B4846">
        <w:rPr>
          <w:rFonts w:ascii="Times New Roman" w:eastAsia="Calibri" w:hAnsi="Times New Roman" w:cs="Times New Roman"/>
          <w:sz w:val="24"/>
          <w:szCs w:val="24"/>
        </w:rPr>
        <w:t>)</w:t>
      </w:r>
      <w:r w:rsidR="004214E4">
        <w:rPr>
          <w:rFonts w:ascii="Times New Roman" w:eastAsia="Calibri" w:hAnsi="Times New Roman" w:cs="Times New Roman"/>
          <w:sz w:val="24"/>
          <w:szCs w:val="24"/>
        </w:rPr>
        <w:t xml:space="preserve">, </w:t>
      </w:r>
      <w:r w:rsidRPr="003B4846">
        <w:rPr>
          <w:rFonts w:ascii="Times New Roman" w:eastAsia="Calibri" w:hAnsi="Times New Roman" w:cs="Times New Roman"/>
          <w:sz w:val="24"/>
          <w:szCs w:val="24"/>
        </w:rPr>
        <w:t xml:space="preserve">прописано је да су наручиоци дужни да прикупљају и евидентирају податке о јавним набавкама и да своје </w:t>
      </w:r>
      <w:r w:rsidR="00F155EE">
        <w:rPr>
          <w:rFonts w:ascii="Times New Roman" w:eastAsia="Calibri" w:hAnsi="Times New Roman" w:cs="Times New Roman"/>
          <w:sz w:val="24"/>
          <w:szCs w:val="24"/>
        </w:rPr>
        <w:t xml:space="preserve">кварталне </w:t>
      </w:r>
      <w:r w:rsidRPr="003B4846">
        <w:rPr>
          <w:rFonts w:ascii="Times New Roman" w:eastAsia="Calibri" w:hAnsi="Times New Roman" w:cs="Times New Roman"/>
          <w:sz w:val="24"/>
          <w:szCs w:val="24"/>
        </w:rPr>
        <w:t>извештаје достављају Управи за јавне набавке</w:t>
      </w:r>
      <w:r w:rsidR="009C255B">
        <w:rPr>
          <w:rFonts w:ascii="Times New Roman" w:eastAsia="Calibri" w:hAnsi="Times New Roman" w:cs="Times New Roman"/>
          <w:sz w:val="24"/>
          <w:szCs w:val="24"/>
        </w:rPr>
        <w:t xml:space="preserve"> (</w:t>
      </w:r>
      <w:r w:rsidR="00C857D4">
        <w:rPr>
          <w:rFonts w:ascii="Times New Roman" w:eastAsia="Calibri" w:hAnsi="Times New Roman" w:cs="Times New Roman"/>
          <w:sz w:val="24"/>
          <w:szCs w:val="24"/>
        </w:rPr>
        <w:t xml:space="preserve">у даљем тексту: </w:t>
      </w:r>
      <w:r w:rsidR="009C255B">
        <w:rPr>
          <w:rFonts w:ascii="Times New Roman" w:eastAsia="Calibri" w:hAnsi="Times New Roman" w:cs="Times New Roman"/>
          <w:sz w:val="24"/>
          <w:szCs w:val="24"/>
        </w:rPr>
        <w:t>Управа</w:t>
      </w:r>
      <w:r w:rsidR="0017767B">
        <w:rPr>
          <w:rFonts w:ascii="Times New Roman" w:eastAsia="Calibri" w:hAnsi="Times New Roman" w:cs="Times New Roman"/>
          <w:sz w:val="24"/>
          <w:szCs w:val="24"/>
        </w:rPr>
        <w:t>)</w:t>
      </w:r>
      <w:r w:rsidRPr="003B4846">
        <w:rPr>
          <w:rFonts w:ascii="Times New Roman" w:eastAsia="Calibri" w:hAnsi="Times New Roman" w:cs="Times New Roman"/>
          <w:sz w:val="24"/>
          <w:szCs w:val="24"/>
        </w:rPr>
        <w:t xml:space="preserve"> најкасније до 10. у месецу који следи по истеку тромесечја.</w:t>
      </w:r>
    </w:p>
    <w:p w:rsidR="003B4846" w:rsidRPr="003B4846" w:rsidRDefault="003B4846" w:rsidP="00F55A41">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Кључни елементи тромесечних извештаја о јавним набавкама предвиђени су самим Законом</w:t>
      </w:r>
      <w:r w:rsidR="00DF4589">
        <w:rPr>
          <w:rFonts w:ascii="Times New Roman" w:eastAsia="Calibri" w:hAnsi="Times New Roman" w:cs="Times New Roman"/>
          <w:sz w:val="24"/>
          <w:szCs w:val="24"/>
        </w:rPr>
        <w:t>,</w:t>
      </w:r>
      <w:r w:rsidRPr="003B4846">
        <w:rPr>
          <w:rFonts w:ascii="Times New Roman" w:eastAsia="Calibri" w:hAnsi="Times New Roman" w:cs="Times New Roman"/>
          <w:sz w:val="24"/>
          <w:szCs w:val="24"/>
        </w:rPr>
        <w:t xml:space="preserve">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rsidR="003B4846" w:rsidRPr="003B4846" w:rsidRDefault="003B4846" w:rsidP="00F55A41">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Конкретно, прописано је да наручиоци достављају </w:t>
      </w:r>
      <w:r w:rsidR="0017767B">
        <w:rPr>
          <w:rFonts w:ascii="Times New Roman" w:eastAsia="Calibri" w:hAnsi="Times New Roman" w:cs="Times New Roman"/>
          <w:sz w:val="24"/>
          <w:szCs w:val="24"/>
        </w:rPr>
        <w:t>Управи</w:t>
      </w:r>
      <w:r w:rsidRPr="003B4846">
        <w:rPr>
          <w:rFonts w:ascii="Times New Roman" w:eastAsia="Calibri" w:hAnsi="Times New Roman" w:cs="Times New Roman"/>
          <w:sz w:val="24"/>
          <w:szCs w:val="24"/>
        </w:rPr>
        <w:t xml:space="preserve"> тромесечни извештај о спроведеним поступцима и закљученим уговорима о јавним набавкама, о спроведеним поступцима набавки на које се </w:t>
      </w:r>
      <w:r w:rsidR="00AD2121">
        <w:rPr>
          <w:rFonts w:ascii="Times New Roman" w:eastAsia="Calibri" w:hAnsi="Times New Roman" w:cs="Times New Roman"/>
          <w:sz w:val="24"/>
          <w:szCs w:val="24"/>
        </w:rPr>
        <w:t>не примењују</w:t>
      </w:r>
      <w:r w:rsidRPr="003B4846">
        <w:rPr>
          <w:rFonts w:ascii="Times New Roman" w:eastAsia="Calibri" w:hAnsi="Times New Roman" w:cs="Times New Roman"/>
          <w:sz w:val="24"/>
          <w:szCs w:val="24"/>
        </w:rPr>
        <w:t xml:space="preserve"> одредбе Закона, о обустављеним и поништеним поступцима јавне набавке, као и извештај о извршењу уговора.</w:t>
      </w:r>
    </w:p>
    <w:p w:rsidR="003B4846" w:rsidRPr="003B4846" w:rsidRDefault="003B4846" w:rsidP="00F55A41">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Тромесечни извештај о јавним набавкама припрема се и доставља искључиво у електронској форми, </w:t>
      </w:r>
      <w:r w:rsidR="004214E4">
        <w:rPr>
          <w:rFonts w:ascii="Times New Roman" w:eastAsia="Calibri" w:hAnsi="Times New Roman" w:cs="Times New Roman"/>
          <w:sz w:val="24"/>
          <w:szCs w:val="24"/>
        </w:rPr>
        <w:t>путем</w:t>
      </w:r>
      <w:r w:rsidRPr="003B4846">
        <w:rPr>
          <w:rFonts w:ascii="Times New Roman" w:eastAsia="Calibri" w:hAnsi="Times New Roman" w:cs="Times New Roman"/>
          <w:sz w:val="24"/>
          <w:szCs w:val="24"/>
        </w:rPr>
        <w:t xml:space="preserve"> апликативног софтвера </w:t>
      </w:r>
      <w:r w:rsidR="0017767B">
        <w:rPr>
          <w:rFonts w:ascii="Times New Roman" w:eastAsia="Calibri" w:hAnsi="Times New Roman" w:cs="Times New Roman"/>
          <w:sz w:val="24"/>
          <w:szCs w:val="24"/>
        </w:rPr>
        <w:t>Управе</w:t>
      </w:r>
      <w:r w:rsidR="00D66958">
        <w:rPr>
          <w:rFonts w:ascii="Times New Roman" w:eastAsia="Calibri" w:hAnsi="Times New Roman" w:cs="Times New Roman"/>
          <w:sz w:val="24"/>
          <w:szCs w:val="24"/>
        </w:rPr>
        <w:t xml:space="preserve">. </w:t>
      </w:r>
      <w:r w:rsidR="004214E4">
        <w:rPr>
          <w:rFonts w:ascii="Times New Roman" w:eastAsia="Calibri" w:hAnsi="Times New Roman" w:cs="Times New Roman"/>
          <w:sz w:val="24"/>
          <w:szCs w:val="24"/>
        </w:rPr>
        <w:t>Поред прописаних образаца</w:t>
      </w:r>
      <w:r w:rsidRPr="003B4846">
        <w:rPr>
          <w:rFonts w:ascii="Times New Roman" w:eastAsia="Calibri" w:hAnsi="Times New Roman" w:cs="Times New Roman"/>
          <w:sz w:val="24"/>
          <w:szCs w:val="24"/>
        </w:rPr>
        <w:t xml:space="preserve"> за вођење евиденције</w:t>
      </w:r>
      <w:r w:rsidR="004214E4">
        <w:rPr>
          <w:rFonts w:ascii="Times New Roman" w:eastAsia="Calibri" w:hAnsi="Times New Roman" w:cs="Times New Roman"/>
          <w:sz w:val="24"/>
          <w:szCs w:val="24"/>
        </w:rPr>
        <w:t>, софтвер садржи</w:t>
      </w:r>
      <w:r w:rsidRPr="003B4846">
        <w:rPr>
          <w:rFonts w:ascii="Times New Roman" w:eastAsia="Calibri" w:hAnsi="Times New Roman" w:cs="Times New Roman"/>
          <w:sz w:val="24"/>
          <w:szCs w:val="24"/>
        </w:rPr>
        <w:t xml:space="preserve"> и пратеће корисничко упутство за употребу, </w:t>
      </w:r>
      <w:r w:rsidR="00E00E95">
        <w:rPr>
          <w:rFonts w:ascii="Times New Roman" w:eastAsia="Calibri" w:hAnsi="Times New Roman" w:cs="Times New Roman"/>
          <w:sz w:val="24"/>
          <w:szCs w:val="24"/>
        </w:rPr>
        <w:t xml:space="preserve">и </w:t>
      </w:r>
      <w:r w:rsidRPr="003B4846">
        <w:rPr>
          <w:rFonts w:ascii="Times New Roman" w:eastAsia="Calibri" w:hAnsi="Times New Roman" w:cs="Times New Roman"/>
          <w:sz w:val="24"/>
          <w:szCs w:val="24"/>
        </w:rPr>
        <w:t xml:space="preserve">доступан </w:t>
      </w:r>
      <w:r w:rsidR="00E00E95">
        <w:rPr>
          <w:rFonts w:ascii="Times New Roman" w:eastAsia="Calibri" w:hAnsi="Times New Roman" w:cs="Times New Roman"/>
          <w:sz w:val="24"/>
          <w:szCs w:val="24"/>
        </w:rPr>
        <w:t xml:space="preserve">је </w:t>
      </w:r>
      <w:r w:rsidRPr="003B4846">
        <w:rPr>
          <w:rFonts w:ascii="Times New Roman" w:eastAsia="Calibri" w:hAnsi="Times New Roman" w:cs="Times New Roman"/>
          <w:sz w:val="24"/>
          <w:szCs w:val="24"/>
        </w:rPr>
        <w:t xml:space="preserve">на интернет страници </w:t>
      </w:r>
      <w:r w:rsidR="0017767B">
        <w:rPr>
          <w:rFonts w:ascii="Times New Roman" w:eastAsia="Calibri" w:hAnsi="Times New Roman" w:cs="Times New Roman"/>
          <w:sz w:val="24"/>
          <w:szCs w:val="24"/>
        </w:rPr>
        <w:t>Управе</w:t>
      </w:r>
      <w:r w:rsidR="001A7E9B">
        <w:rPr>
          <w:rFonts w:ascii="Times New Roman" w:eastAsia="Calibri" w:hAnsi="Times New Roman" w:cs="Times New Roman"/>
          <w:sz w:val="24"/>
          <w:szCs w:val="24"/>
        </w:rPr>
        <w:t xml:space="preserve"> </w:t>
      </w:r>
      <w:r w:rsidRPr="003B4846">
        <w:rPr>
          <w:rFonts w:ascii="Times New Roman" w:eastAsia="Calibri" w:hAnsi="Times New Roman" w:cs="Times New Roman"/>
          <w:sz w:val="24"/>
          <w:szCs w:val="24"/>
        </w:rPr>
        <w:t>(</w:t>
      </w:r>
      <w:hyperlink r:id="rId10" w:history="1">
        <w:r w:rsidRPr="003B4846">
          <w:rPr>
            <w:rFonts w:ascii="Times New Roman" w:eastAsia="Calibri" w:hAnsi="Times New Roman" w:cs="Times New Roman"/>
            <w:color w:val="0000FF"/>
            <w:sz w:val="24"/>
            <w:szCs w:val="24"/>
            <w:u w:val="single"/>
          </w:rPr>
          <w:t>www.ujn.gov.rs</w:t>
        </w:r>
      </w:hyperlink>
      <w:r w:rsidRPr="003B4846">
        <w:rPr>
          <w:rFonts w:ascii="Times New Roman" w:eastAsia="Calibri" w:hAnsi="Times New Roman" w:cs="Times New Roman"/>
          <w:sz w:val="24"/>
          <w:szCs w:val="24"/>
        </w:rPr>
        <w:t xml:space="preserve">). </w:t>
      </w:r>
    </w:p>
    <w:p w:rsidR="003B4846" w:rsidRPr="003B4846" w:rsidRDefault="003B4846" w:rsidP="00F55A41">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поступака где </w:t>
      </w:r>
      <w:r w:rsidR="00C857D4">
        <w:rPr>
          <w:rFonts w:ascii="Times New Roman" w:eastAsia="Calibri" w:hAnsi="Times New Roman" w:cs="Times New Roman"/>
          <w:sz w:val="24"/>
          <w:szCs w:val="24"/>
        </w:rPr>
        <w:t xml:space="preserve">су </w:t>
      </w:r>
      <w:r w:rsidR="00522966">
        <w:rPr>
          <w:rFonts w:ascii="Times New Roman" w:eastAsia="Calibri" w:hAnsi="Times New Roman" w:cs="Times New Roman"/>
          <w:sz w:val="24"/>
          <w:szCs w:val="24"/>
        </w:rPr>
        <w:t>наручиоци</w:t>
      </w:r>
      <w:r w:rsidR="001A7E9B">
        <w:rPr>
          <w:rFonts w:ascii="Times New Roman" w:eastAsia="Calibri" w:hAnsi="Times New Roman" w:cs="Times New Roman"/>
          <w:sz w:val="24"/>
          <w:szCs w:val="24"/>
        </w:rPr>
        <w:t xml:space="preserve"> </w:t>
      </w:r>
      <w:r w:rsidR="00C857D4">
        <w:rPr>
          <w:rFonts w:ascii="Times New Roman" w:eastAsia="Calibri" w:hAnsi="Times New Roman" w:cs="Times New Roman"/>
          <w:sz w:val="24"/>
          <w:szCs w:val="24"/>
        </w:rPr>
        <w:t xml:space="preserve">дужни да </w:t>
      </w:r>
      <w:r w:rsidRPr="003B4846">
        <w:rPr>
          <w:rFonts w:ascii="Times New Roman" w:eastAsia="Calibri" w:hAnsi="Times New Roman" w:cs="Times New Roman"/>
          <w:sz w:val="24"/>
          <w:szCs w:val="24"/>
        </w:rPr>
        <w:t>евидентира</w:t>
      </w:r>
      <w:r w:rsidR="00522966">
        <w:rPr>
          <w:rFonts w:ascii="Times New Roman" w:eastAsia="Calibri" w:hAnsi="Times New Roman" w:cs="Times New Roman"/>
          <w:sz w:val="24"/>
          <w:szCs w:val="24"/>
        </w:rPr>
        <w:t>ју</w:t>
      </w:r>
      <w:r w:rsidRPr="003B4846">
        <w:rPr>
          <w:rFonts w:ascii="Times New Roman" w:eastAsia="Calibri" w:hAnsi="Times New Roman" w:cs="Times New Roman"/>
          <w:sz w:val="24"/>
          <w:szCs w:val="24"/>
        </w:rPr>
        <w:t xml:space="preserve"> сваки закључени уговор појединачно.</w:t>
      </w:r>
    </w:p>
    <w:p w:rsidR="003B4846" w:rsidRPr="003B4846" w:rsidRDefault="003B4846" w:rsidP="00F55A41">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За исправност и тачност података приказаних у </w:t>
      </w:r>
      <w:r w:rsidR="00BA4C08">
        <w:rPr>
          <w:rFonts w:ascii="Times New Roman" w:eastAsia="Calibri" w:hAnsi="Times New Roman" w:cs="Times New Roman"/>
          <w:sz w:val="24"/>
          <w:szCs w:val="24"/>
        </w:rPr>
        <w:t xml:space="preserve">својим </w:t>
      </w:r>
      <w:r w:rsidRPr="003B4846">
        <w:rPr>
          <w:rFonts w:ascii="Times New Roman" w:eastAsia="Calibri" w:hAnsi="Times New Roman" w:cs="Times New Roman"/>
          <w:sz w:val="24"/>
          <w:szCs w:val="24"/>
        </w:rPr>
        <w:t>извештајима</w:t>
      </w:r>
      <w:r w:rsidR="00BA4C08">
        <w:rPr>
          <w:rFonts w:ascii="Times New Roman" w:eastAsia="Calibri" w:hAnsi="Times New Roman" w:cs="Times New Roman"/>
          <w:sz w:val="24"/>
          <w:szCs w:val="24"/>
        </w:rPr>
        <w:t>,</w:t>
      </w:r>
      <w:r w:rsidR="00C857D4">
        <w:rPr>
          <w:rFonts w:ascii="Times New Roman" w:eastAsia="Calibri" w:hAnsi="Times New Roman" w:cs="Times New Roman"/>
          <w:sz w:val="24"/>
          <w:szCs w:val="24"/>
        </w:rPr>
        <w:t xml:space="preserve"> одговорност сносе </w:t>
      </w:r>
      <w:r w:rsidRPr="003B4846">
        <w:rPr>
          <w:rFonts w:ascii="Times New Roman" w:eastAsia="Calibri" w:hAnsi="Times New Roman" w:cs="Times New Roman"/>
          <w:sz w:val="24"/>
          <w:szCs w:val="24"/>
        </w:rPr>
        <w:t>наручиоци.</w:t>
      </w:r>
    </w:p>
    <w:p w:rsidR="00522966" w:rsidRPr="00522966" w:rsidRDefault="00522966" w:rsidP="00F55A41">
      <w:pPr>
        <w:jc w:val="both"/>
        <w:rPr>
          <w:rFonts w:ascii="Times New Roman" w:eastAsia="Calibri" w:hAnsi="Times New Roman" w:cs="Times New Roman"/>
          <w:sz w:val="24"/>
          <w:szCs w:val="24"/>
        </w:rPr>
      </w:pPr>
      <w:r>
        <w:rPr>
          <w:rFonts w:ascii="Times New Roman" w:eastAsia="Calibri" w:hAnsi="Times New Roman" w:cs="Times New Roman"/>
          <w:sz w:val="24"/>
          <w:szCs w:val="24"/>
        </w:rPr>
        <w:t>Управа</w:t>
      </w:r>
      <w:r w:rsidRPr="003B4846">
        <w:rPr>
          <w:rFonts w:ascii="Times New Roman" w:eastAsia="Calibri" w:hAnsi="Times New Roman" w:cs="Times New Roman"/>
          <w:sz w:val="24"/>
          <w:szCs w:val="24"/>
        </w:rPr>
        <w:t xml:space="preserve"> је дужна да на основу појединачних извештаја наручилаца припреми збирни, полугодишњи и годишњи извештај о јавним набавкама са предлогом мера за унапређење система јавних набавки и да их, након достављања Влади Р</w:t>
      </w:r>
      <w:r w:rsidR="00F351F2">
        <w:rPr>
          <w:rFonts w:ascii="Times New Roman" w:eastAsia="Calibri" w:hAnsi="Times New Roman" w:cs="Times New Roman"/>
          <w:sz w:val="24"/>
          <w:szCs w:val="24"/>
        </w:rPr>
        <w:t>e</w:t>
      </w:r>
      <w:r w:rsidR="00F351F2">
        <w:rPr>
          <w:rFonts w:ascii="Times New Roman" w:eastAsia="Calibri" w:hAnsi="Times New Roman" w:cs="Times New Roman"/>
          <w:sz w:val="24"/>
          <w:szCs w:val="24"/>
          <w:lang w:val="sr-Cyrl-RS"/>
        </w:rPr>
        <w:t xml:space="preserve">публике </w:t>
      </w:r>
      <w:r w:rsidRPr="003B4846">
        <w:rPr>
          <w:rFonts w:ascii="Times New Roman" w:eastAsia="Calibri" w:hAnsi="Times New Roman" w:cs="Times New Roman"/>
          <w:sz w:val="24"/>
          <w:szCs w:val="24"/>
        </w:rPr>
        <w:t>С</w:t>
      </w:r>
      <w:r w:rsidR="00F351F2">
        <w:rPr>
          <w:rFonts w:ascii="Times New Roman" w:eastAsia="Calibri" w:hAnsi="Times New Roman" w:cs="Times New Roman"/>
          <w:sz w:val="24"/>
          <w:szCs w:val="24"/>
          <w:lang w:val="sr-Cyrl-RS"/>
        </w:rPr>
        <w:t>рбије</w:t>
      </w:r>
      <w:r w:rsidRPr="003B4846">
        <w:rPr>
          <w:rFonts w:ascii="Times New Roman" w:eastAsia="Calibri" w:hAnsi="Times New Roman" w:cs="Times New Roman"/>
          <w:sz w:val="24"/>
          <w:szCs w:val="24"/>
        </w:rPr>
        <w:t>, обја</w:t>
      </w:r>
      <w:r>
        <w:rPr>
          <w:rFonts w:ascii="Times New Roman" w:eastAsia="Calibri" w:hAnsi="Times New Roman" w:cs="Times New Roman"/>
          <w:sz w:val="24"/>
          <w:szCs w:val="24"/>
        </w:rPr>
        <w:t>ви на својој интернет страници.</w:t>
      </w:r>
    </w:p>
    <w:p w:rsidR="003B4846" w:rsidRPr="003B4846" w:rsidRDefault="00B1661D" w:rsidP="00F55A41">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Такође, </w:t>
      </w:r>
      <w:r w:rsidR="00522966">
        <w:rPr>
          <w:rFonts w:ascii="Times New Roman" w:eastAsia="Calibri" w:hAnsi="Times New Roman" w:cs="Times New Roman"/>
          <w:sz w:val="24"/>
          <w:szCs w:val="24"/>
        </w:rPr>
        <w:t>н</w:t>
      </w:r>
      <w:r>
        <w:rPr>
          <w:rFonts w:ascii="Times New Roman" w:eastAsia="Calibri" w:hAnsi="Times New Roman" w:cs="Times New Roman"/>
          <w:sz w:val="24"/>
          <w:szCs w:val="24"/>
        </w:rPr>
        <w:t>а</w:t>
      </w:r>
      <w:r w:rsidR="00F351F2">
        <w:rPr>
          <w:rFonts w:ascii="Times New Roman" w:eastAsia="Calibri" w:hAnsi="Times New Roman" w:cs="Times New Roman"/>
          <w:sz w:val="24"/>
          <w:szCs w:val="24"/>
          <w:lang w:val="sr-Cyrl-RS"/>
        </w:rPr>
        <w:t xml:space="preserve"> </w:t>
      </w:r>
      <w:r w:rsidR="003B4846" w:rsidRPr="003B4846">
        <w:rPr>
          <w:rFonts w:ascii="Times New Roman" w:eastAsia="Calibri" w:hAnsi="Times New Roman" w:cs="Times New Roman"/>
          <w:sz w:val="24"/>
          <w:szCs w:val="24"/>
        </w:rPr>
        <w:t>основу достављених тромесечних извештаја наручилаца</w:t>
      </w:r>
      <w:r w:rsidR="003F4D18">
        <w:rPr>
          <w:rFonts w:ascii="Times New Roman" w:eastAsia="Calibri" w:hAnsi="Times New Roman" w:cs="Times New Roman"/>
          <w:sz w:val="24"/>
          <w:szCs w:val="24"/>
        </w:rPr>
        <w:t>,</w:t>
      </w:r>
      <w:r w:rsidR="003B4846" w:rsidRPr="003B4846">
        <w:rPr>
          <w:rFonts w:ascii="Times New Roman" w:eastAsia="Calibri" w:hAnsi="Times New Roman" w:cs="Times New Roman"/>
          <w:sz w:val="24"/>
          <w:szCs w:val="24"/>
        </w:rPr>
        <w:t xml:space="preserve"> Управа припрема преглед спроведених поступака и закључених уговорa који објављује на Порталу јавних набавки </w:t>
      </w:r>
      <w:r w:rsidR="00F351F2">
        <w:rPr>
          <w:rFonts w:ascii="Times New Roman" w:eastAsia="Calibri" w:hAnsi="Times New Roman" w:cs="Times New Roman"/>
          <w:sz w:val="24"/>
          <w:szCs w:val="24"/>
          <w:lang w:val="sr-Cyrl-RS"/>
        </w:rPr>
        <w:t xml:space="preserve">(у даљем тексту: Портал; </w:t>
      </w:r>
      <w:hyperlink r:id="rId11" w:history="1">
        <w:r w:rsidR="003B4846" w:rsidRPr="003B4846">
          <w:rPr>
            <w:rStyle w:val="Hyperlink"/>
            <w:rFonts w:ascii="Times New Roman" w:eastAsia="Calibri" w:hAnsi="Times New Roman" w:cs="Times New Roman"/>
            <w:sz w:val="24"/>
            <w:szCs w:val="24"/>
          </w:rPr>
          <w:t>http://portal.ujn.gov.rs</w:t>
        </w:r>
      </w:hyperlink>
      <w:r w:rsidR="00EB087B">
        <w:rPr>
          <w:rFonts w:ascii="Times New Roman" w:eastAsia="Calibri" w:hAnsi="Times New Roman" w:cs="Times New Roman"/>
          <w:sz w:val="24"/>
          <w:szCs w:val="24"/>
        </w:rPr>
        <w:t>),</w:t>
      </w:r>
      <w:r w:rsidR="001A7E9B">
        <w:rPr>
          <w:rFonts w:ascii="Times New Roman" w:eastAsia="Calibri" w:hAnsi="Times New Roman" w:cs="Times New Roman"/>
          <w:sz w:val="24"/>
          <w:szCs w:val="24"/>
        </w:rPr>
        <w:t xml:space="preserve"> </w:t>
      </w:r>
      <w:r w:rsidR="00EB087B">
        <w:rPr>
          <w:rFonts w:ascii="Times New Roman" w:eastAsia="Calibri" w:hAnsi="Times New Roman" w:cs="Times New Roman"/>
          <w:sz w:val="24"/>
          <w:szCs w:val="24"/>
        </w:rPr>
        <w:t>ради информисања ј</w:t>
      </w:r>
      <w:r w:rsidR="0017276A">
        <w:rPr>
          <w:rFonts w:ascii="Times New Roman" w:eastAsia="Calibri" w:hAnsi="Times New Roman" w:cs="Times New Roman"/>
          <w:sz w:val="24"/>
          <w:szCs w:val="24"/>
        </w:rPr>
        <w:t>а</w:t>
      </w:r>
      <w:r w:rsidR="00EB087B">
        <w:rPr>
          <w:rFonts w:ascii="Times New Roman" w:eastAsia="Calibri" w:hAnsi="Times New Roman" w:cs="Times New Roman"/>
          <w:sz w:val="24"/>
          <w:szCs w:val="24"/>
        </w:rPr>
        <w:t>вности</w:t>
      </w:r>
      <w:r w:rsidR="003B4846" w:rsidRPr="003B4846">
        <w:rPr>
          <w:rFonts w:ascii="Times New Roman" w:eastAsia="Calibri" w:hAnsi="Times New Roman" w:cs="Times New Roman"/>
          <w:sz w:val="24"/>
          <w:szCs w:val="24"/>
        </w:rPr>
        <w:t>.</w:t>
      </w:r>
    </w:p>
    <w:p w:rsidR="001C62AD" w:rsidRPr="003B4846" w:rsidRDefault="001C62AD" w:rsidP="00F55A41">
      <w:pPr>
        <w:jc w:val="both"/>
        <w:rPr>
          <w:rFonts w:ascii="Times New Roman" w:hAnsi="Times New Roman" w:cs="Times New Roman"/>
          <w:sz w:val="24"/>
          <w:szCs w:val="24"/>
        </w:rPr>
      </w:pPr>
    </w:p>
    <w:p w:rsidR="00F972A0" w:rsidRDefault="00F972A0" w:rsidP="00F55A41">
      <w:pPr>
        <w:jc w:val="both"/>
        <w:rPr>
          <w:rFonts w:ascii="Times New Roman" w:hAnsi="Times New Roman" w:cs="Times New Roman"/>
          <w:sz w:val="24"/>
          <w:szCs w:val="24"/>
        </w:rPr>
        <w:sectPr w:rsidR="00F972A0" w:rsidSect="00F56CE2">
          <w:footerReference w:type="default" r:id="rId12"/>
          <w:pgSz w:w="11907" w:h="16839" w:code="9"/>
          <w:pgMar w:top="720" w:right="720" w:bottom="720" w:left="720" w:header="708" w:footer="708" w:gutter="0"/>
          <w:pgNumType w:start="0"/>
          <w:cols w:space="708"/>
          <w:titlePg/>
          <w:docGrid w:linePitch="360"/>
        </w:sectPr>
      </w:pPr>
    </w:p>
    <w:p w:rsidR="005745B7" w:rsidRPr="000B4B53" w:rsidRDefault="00E70A37" w:rsidP="00F55A41">
      <w:pPr>
        <w:pStyle w:val="ListParagraph"/>
        <w:numPr>
          <w:ilvl w:val="0"/>
          <w:numId w:val="2"/>
        </w:numPr>
        <w:jc w:val="both"/>
        <w:rPr>
          <w:rFonts w:ascii="Times New Roman" w:hAnsi="Times New Roman" w:cs="Times New Roman"/>
          <w:b/>
          <w:sz w:val="24"/>
          <w:szCs w:val="24"/>
        </w:rPr>
      </w:pPr>
      <w:r w:rsidRPr="000B4B53">
        <w:rPr>
          <w:rFonts w:ascii="Times New Roman" w:hAnsi="Times New Roman" w:cs="Times New Roman"/>
          <w:b/>
          <w:sz w:val="24"/>
          <w:szCs w:val="24"/>
        </w:rPr>
        <w:lastRenderedPageBreak/>
        <w:t xml:space="preserve">ЗБИРНИ ПРЕГЛЕД </w:t>
      </w:r>
      <w:r w:rsidR="008F0573">
        <w:rPr>
          <w:rFonts w:ascii="Times New Roman" w:hAnsi="Times New Roman" w:cs="Times New Roman"/>
          <w:b/>
          <w:sz w:val="24"/>
          <w:szCs w:val="24"/>
        </w:rPr>
        <w:t xml:space="preserve">ЈАВНИХ </w:t>
      </w:r>
      <w:r w:rsidRPr="000B4B53">
        <w:rPr>
          <w:rFonts w:ascii="Times New Roman" w:hAnsi="Times New Roman" w:cs="Times New Roman"/>
          <w:b/>
          <w:sz w:val="24"/>
          <w:szCs w:val="24"/>
        </w:rPr>
        <w:t>НАБАВКИ У РЕПУБЛИЦИ СРБИЈИ</w:t>
      </w:r>
    </w:p>
    <w:p w:rsidR="00963A31" w:rsidRPr="000800D3" w:rsidRDefault="00432B7F" w:rsidP="00F55A41">
      <w:pPr>
        <w:jc w:val="both"/>
        <w:rPr>
          <w:rFonts w:ascii="Times New Roman" w:hAnsi="Times New Roman" w:cs="Times New Roman"/>
          <w:color w:val="FF0000"/>
          <w:sz w:val="24"/>
          <w:szCs w:val="24"/>
        </w:rPr>
      </w:pPr>
      <w:r w:rsidRPr="004E5DDB">
        <w:rPr>
          <w:rFonts w:ascii="Times New Roman" w:hAnsi="Times New Roman" w:cs="Times New Roman"/>
          <w:sz w:val="24"/>
          <w:szCs w:val="24"/>
        </w:rPr>
        <w:t xml:space="preserve">Сагледавање података о </w:t>
      </w:r>
      <w:r w:rsidR="00EF35D1" w:rsidRPr="004E5DDB">
        <w:rPr>
          <w:rFonts w:ascii="Times New Roman" w:hAnsi="Times New Roman" w:cs="Times New Roman"/>
          <w:sz w:val="24"/>
          <w:szCs w:val="24"/>
        </w:rPr>
        <w:t xml:space="preserve">јавним набавкама у </w:t>
      </w:r>
      <w:r w:rsidR="00A419C2" w:rsidRPr="004E5DDB">
        <w:rPr>
          <w:rFonts w:ascii="Times New Roman" w:hAnsi="Times New Roman" w:cs="Times New Roman"/>
          <w:sz w:val="24"/>
          <w:szCs w:val="24"/>
        </w:rPr>
        <w:t>2014</w:t>
      </w:r>
      <w:r w:rsidRPr="004E5DDB">
        <w:rPr>
          <w:rFonts w:ascii="Times New Roman" w:hAnsi="Times New Roman" w:cs="Times New Roman"/>
          <w:sz w:val="24"/>
          <w:szCs w:val="24"/>
        </w:rPr>
        <w:t xml:space="preserve">. </w:t>
      </w:r>
      <w:r w:rsidR="00320715" w:rsidRPr="004E5DDB">
        <w:rPr>
          <w:rFonts w:ascii="Times New Roman" w:hAnsi="Times New Roman" w:cs="Times New Roman"/>
          <w:sz w:val="24"/>
          <w:szCs w:val="24"/>
        </w:rPr>
        <w:t>г</w:t>
      </w:r>
      <w:r w:rsidRPr="004E5DDB">
        <w:rPr>
          <w:rFonts w:ascii="Times New Roman" w:hAnsi="Times New Roman" w:cs="Times New Roman"/>
          <w:sz w:val="24"/>
          <w:szCs w:val="24"/>
        </w:rPr>
        <w:t>один</w:t>
      </w:r>
      <w:r w:rsidR="00320715" w:rsidRPr="004E5DDB">
        <w:rPr>
          <w:rFonts w:ascii="Times New Roman" w:hAnsi="Times New Roman" w:cs="Times New Roman"/>
          <w:sz w:val="24"/>
          <w:szCs w:val="24"/>
        </w:rPr>
        <w:t xml:space="preserve">и </w:t>
      </w:r>
      <w:r w:rsidR="003606E1" w:rsidRPr="004E5DDB">
        <w:rPr>
          <w:rFonts w:ascii="Times New Roman" w:hAnsi="Times New Roman" w:cs="Times New Roman"/>
          <w:sz w:val="24"/>
          <w:szCs w:val="24"/>
        </w:rPr>
        <w:t xml:space="preserve">у пуној мери </w:t>
      </w:r>
      <w:r w:rsidR="00A419C2" w:rsidRPr="004E5DDB">
        <w:rPr>
          <w:rFonts w:ascii="Times New Roman" w:hAnsi="Times New Roman" w:cs="Times New Roman"/>
          <w:sz w:val="24"/>
          <w:szCs w:val="24"/>
        </w:rPr>
        <w:t xml:space="preserve">одсликава промене настале као резултат успостављања новог регулаторног и институционалног оквира. Наиме, </w:t>
      </w:r>
      <w:r w:rsidR="003606E1" w:rsidRPr="004E5DDB">
        <w:rPr>
          <w:rFonts w:ascii="Times New Roman" w:hAnsi="Times New Roman" w:cs="Times New Roman"/>
          <w:sz w:val="24"/>
          <w:szCs w:val="24"/>
        </w:rPr>
        <w:t>актуелни</w:t>
      </w:r>
      <w:r w:rsidR="00F351F2">
        <w:rPr>
          <w:rFonts w:ascii="Times New Roman" w:hAnsi="Times New Roman" w:cs="Times New Roman"/>
          <w:sz w:val="24"/>
          <w:szCs w:val="24"/>
          <w:lang w:val="sr-Cyrl-RS"/>
        </w:rPr>
        <w:t xml:space="preserve"> </w:t>
      </w:r>
      <w:r w:rsidR="0017767B" w:rsidRPr="004E5DDB">
        <w:rPr>
          <w:rFonts w:ascii="Times New Roman" w:hAnsi="Times New Roman" w:cs="Times New Roman"/>
          <w:sz w:val="24"/>
          <w:szCs w:val="24"/>
        </w:rPr>
        <w:t xml:space="preserve">Закон </w:t>
      </w:r>
      <w:r w:rsidR="00A419C2" w:rsidRPr="004E5DDB">
        <w:rPr>
          <w:rFonts w:ascii="Times New Roman" w:hAnsi="Times New Roman" w:cs="Times New Roman"/>
          <w:sz w:val="24"/>
          <w:szCs w:val="24"/>
        </w:rPr>
        <w:t xml:space="preserve">који је увео нове механизме праћења и контроле поступака јавних набавки и </w:t>
      </w:r>
      <w:r w:rsidR="00C224FF">
        <w:rPr>
          <w:rFonts w:ascii="Times New Roman" w:hAnsi="Times New Roman" w:cs="Times New Roman"/>
          <w:sz w:val="24"/>
          <w:szCs w:val="24"/>
        </w:rPr>
        <w:t xml:space="preserve">први пут </w:t>
      </w:r>
      <w:r w:rsidR="00A419C2" w:rsidRPr="004E5DDB">
        <w:rPr>
          <w:rFonts w:ascii="Times New Roman" w:hAnsi="Times New Roman" w:cs="Times New Roman"/>
          <w:sz w:val="24"/>
          <w:szCs w:val="24"/>
        </w:rPr>
        <w:t xml:space="preserve">поверио надзор над применом </w:t>
      </w:r>
      <w:r w:rsidR="0017767B" w:rsidRPr="004E5DDB">
        <w:rPr>
          <w:rFonts w:ascii="Times New Roman" w:hAnsi="Times New Roman" w:cs="Times New Roman"/>
          <w:sz w:val="24"/>
          <w:szCs w:val="24"/>
        </w:rPr>
        <w:t>Закона</w:t>
      </w:r>
      <w:r w:rsidR="00934022" w:rsidRPr="004E5DDB">
        <w:rPr>
          <w:rFonts w:ascii="Times New Roman" w:hAnsi="Times New Roman" w:cs="Times New Roman"/>
          <w:sz w:val="24"/>
          <w:szCs w:val="24"/>
        </w:rPr>
        <w:t xml:space="preserve"> Управи</w:t>
      </w:r>
      <w:r w:rsidR="00EF5D41">
        <w:rPr>
          <w:rFonts w:ascii="Times New Roman" w:hAnsi="Times New Roman" w:cs="Times New Roman"/>
          <w:sz w:val="24"/>
          <w:szCs w:val="24"/>
        </w:rPr>
        <w:t>,</w:t>
      </w:r>
      <w:r w:rsidR="00EF5D41" w:rsidRPr="004E5DDB">
        <w:rPr>
          <w:rFonts w:ascii="Times New Roman" w:hAnsi="Times New Roman" w:cs="Times New Roman"/>
          <w:sz w:val="24"/>
          <w:szCs w:val="24"/>
        </w:rPr>
        <w:t xml:space="preserve"> уместо Министарству финансија, као што је било током претходних једанаест година, </w:t>
      </w:r>
      <w:r w:rsidR="00934022" w:rsidRPr="004E5DDB">
        <w:rPr>
          <w:rFonts w:ascii="Times New Roman" w:hAnsi="Times New Roman" w:cs="Times New Roman"/>
          <w:sz w:val="24"/>
          <w:szCs w:val="24"/>
        </w:rPr>
        <w:t>почео је да се примењује од 1</w:t>
      </w:r>
      <w:r w:rsidRPr="004E5DDB">
        <w:rPr>
          <w:rFonts w:ascii="Times New Roman" w:hAnsi="Times New Roman" w:cs="Times New Roman"/>
          <w:sz w:val="24"/>
          <w:szCs w:val="24"/>
        </w:rPr>
        <w:t xml:space="preserve">. априла 2013. </w:t>
      </w:r>
      <w:r w:rsidR="00934022" w:rsidRPr="004E5DDB">
        <w:rPr>
          <w:rFonts w:ascii="Times New Roman" w:hAnsi="Times New Roman" w:cs="Times New Roman"/>
          <w:sz w:val="24"/>
          <w:szCs w:val="24"/>
        </w:rPr>
        <w:t>г</w:t>
      </w:r>
      <w:r w:rsidRPr="004E5DDB">
        <w:rPr>
          <w:rFonts w:ascii="Times New Roman" w:hAnsi="Times New Roman" w:cs="Times New Roman"/>
          <w:sz w:val="24"/>
          <w:szCs w:val="24"/>
        </w:rPr>
        <w:t>одине</w:t>
      </w:r>
      <w:r w:rsidR="00934022" w:rsidRPr="004E5DDB">
        <w:rPr>
          <w:rFonts w:ascii="Times New Roman" w:hAnsi="Times New Roman" w:cs="Times New Roman"/>
          <w:sz w:val="24"/>
          <w:szCs w:val="24"/>
        </w:rPr>
        <w:t xml:space="preserve">. </w:t>
      </w:r>
      <w:r w:rsidR="006040DE" w:rsidRPr="004E5DDB">
        <w:rPr>
          <w:rFonts w:ascii="Times New Roman" w:hAnsi="Times New Roman" w:cs="Times New Roman"/>
          <w:sz w:val="24"/>
          <w:szCs w:val="24"/>
        </w:rPr>
        <w:t>При то</w:t>
      </w:r>
      <w:r w:rsidR="003606E1" w:rsidRPr="004E5DDB">
        <w:rPr>
          <w:rFonts w:ascii="Times New Roman" w:hAnsi="Times New Roman" w:cs="Times New Roman"/>
          <w:sz w:val="24"/>
          <w:szCs w:val="24"/>
        </w:rPr>
        <w:t>ме, в</w:t>
      </w:r>
      <w:r w:rsidRPr="004E5DDB">
        <w:rPr>
          <w:rFonts w:ascii="Times New Roman" w:hAnsi="Times New Roman" w:cs="Times New Roman"/>
          <w:sz w:val="24"/>
          <w:szCs w:val="24"/>
        </w:rPr>
        <w:t xml:space="preserve">елики број наручилаца </w:t>
      </w:r>
      <w:r w:rsidR="00EF35D1" w:rsidRPr="004E5DDB">
        <w:rPr>
          <w:rFonts w:ascii="Times New Roman" w:hAnsi="Times New Roman" w:cs="Times New Roman"/>
          <w:sz w:val="24"/>
          <w:szCs w:val="24"/>
        </w:rPr>
        <w:t xml:space="preserve">покренуо </w:t>
      </w:r>
      <w:r w:rsidR="00934022" w:rsidRPr="004E5DDB">
        <w:rPr>
          <w:rFonts w:ascii="Times New Roman" w:hAnsi="Times New Roman" w:cs="Times New Roman"/>
          <w:sz w:val="24"/>
          <w:szCs w:val="24"/>
        </w:rPr>
        <w:t xml:space="preserve">је </w:t>
      </w:r>
      <w:r w:rsidR="00EF35D1" w:rsidRPr="004E5DDB">
        <w:rPr>
          <w:rFonts w:ascii="Times New Roman" w:hAnsi="Times New Roman" w:cs="Times New Roman"/>
          <w:sz w:val="24"/>
          <w:szCs w:val="24"/>
        </w:rPr>
        <w:t xml:space="preserve">поступке </w:t>
      </w:r>
      <w:r w:rsidRPr="004E5DDB">
        <w:rPr>
          <w:rFonts w:ascii="Times New Roman" w:hAnsi="Times New Roman" w:cs="Times New Roman"/>
          <w:sz w:val="24"/>
          <w:szCs w:val="24"/>
        </w:rPr>
        <w:t>током првог квартала 2013.</w:t>
      </w:r>
      <w:r w:rsidR="001A7E9B">
        <w:rPr>
          <w:rFonts w:ascii="Times New Roman" w:hAnsi="Times New Roman" w:cs="Times New Roman"/>
          <w:sz w:val="24"/>
          <w:szCs w:val="24"/>
        </w:rPr>
        <w:t xml:space="preserve"> </w:t>
      </w:r>
      <w:r w:rsidRPr="004E5DDB">
        <w:rPr>
          <w:rFonts w:ascii="Times New Roman" w:hAnsi="Times New Roman" w:cs="Times New Roman"/>
          <w:sz w:val="24"/>
          <w:szCs w:val="24"/>
        </w:rPr>
        <w:t xml:space="preserve">године </w:t>
      </w:r>
      <w:r w:rsidR="00E3384D" w:rsidRPr="004E5DDB">
        <w:rPr>
          <w:rFonts w:ascii="Times New Roman" w:hAnsi="Times New Roman" w:cs="Times New Roman"/>
          <w:sz w:val="24"/>
          <w:szCs w:val="24"/>
        </w:rPr>
        <w:t>како би их спровео по „старом“ З</w:t>
      </w:r>
      <w:r w:rsidRPr="004E5DDB">
        <w:rPr>
          <w:rFonts w:ascii="Times New Roman" w:hAnsi="Times New Roman" w:cs="Times New Roman"/>
          <w:sz w:val="24"/>
          <w:szCs w:val="24"/>
        </w:rPr>
        <w:t xml:space="preserve">акону, </w:t>
      </w:r>
      <w:r w:rsidR="00934022" w:rsidRPr="004E5DDB">
        <w:rPr>
          <w:rFonts w:ascii="Times New Roman" w:hAnsi="Times New Roman" w:cs="Times New Roman"/>
          <w:sz w:val="24"/>
          <w:szCs w:val="24"/>
        </w:rPr>
        <w:t xml:space="preserve">тако да је </w:t>
      </w:r>
      <w:r w:rsidR="003606E1" w:rsidRPr="004E5DDB">
        <w:rPr>
          <w:rFonts w:ascii="Times New Roman" w:hAnsi="Times New Roman" w:cs="Times New Roman"/>
          <w:sz w:val="24"/>
          <w:szCs w:val="24"/>
        </w:rPr>
        <w:t>знатан</w:t>
      </w:r>
      <w:r w:rsidRPr="004E5DDB">
        <w:rPr>
          <w:rFonts w:ascii="Times New Roman" w:hAnsi="Times New Roman" w:cs="Times New Roman"/>
          <w:sz w:val="24"/>
          <w:szCs w:val="24"/>
        </w:rPr>
        <w:t xml:space="preserve"> број </w:t>
      </w:r>
      <w:r w:rsidR="008E372F" w:rsidRPr="004E5DDB">
        <w:rPr>
          <w:rFonts w:ascii="Times New Roman" w:hAnsi="Times New Roman" w:cs="Times New Roman"/>
          <w:sz w:val="24"/>
          <w:szCs w:val="24"/>
        </w:rPr>
        <w:t>уговор</w:t>
      </w:r>
      <w:r w:rsidR="003606E1" w:rsidRPr="004E5DDB">
        <w:rPr>
          <w:rFonts w:ascii="Times New Roman" w:hAnsi="Times New Roman" w:cs="Times New Roman"/>
          <w:sz w:val="24"/>
          <w:szCs w:val="24"/>
        </w:rPr>
        <w:t>а</w:t>
      </w:r>
      <w:r w:rsidR="008E372F" w:rsidRPr="004E5DDB">
        <w:rPr>
          <w:rFonts w:ascii="Times New Roman" w:hAnsi="Times New Roman" w:cs="Times New Roman"/>
          <w:sz w:val="24"/>
          <w:szCs w:val="24"/>
        </w:rPr>
        <w:t xml:space="preserve"> закључен</w:t>
      </w:r>
      <w:r w:rsidRPr="004E5DDB">
        <w:rPr>
          <w:rFonts w:ascii="Times New Roman" w:hAnsi="Times New Roman" w:cs="Times New Roman"/>
          <w:sz w:val="24"/>
          <w:szCs w:val="24"/>
        </w:rPr>
        <w:t>и</w:t>
      </w:r>
      <w:r w:rsidR="003606E1" w:rsidRPr="004E5DDB">
        <w:rPr>
          <w:rFonts w:ascii="Times New Roman" w:hAnsi="Times New Roman" w:cs="Times New Roman"/>
          <w:sz w:val="24"/>
          <w:szCs w:val="24"/>
        </w:rPr>
        <w:t>х</w:t>
      </w:r>
      <w:r w:rsidRPr="004E5DDB">
        <w:rPr>
          <w:rFonts w:ascii="Times New Roman" w:hAnsi="Times New Roman" w:cs="Times New Roman"/>
          <w:sz w:val="24"/>
          <w:szCs w:val="24"/>
        </w:rPr>
        <w:t xml:space="preserve"> у </w:t>
      </w:r>
      <w:r w:rsidR="00934022" w:rsidRPr="004E5DDB">
        <w:rPr>
          <w:rFonts w:ascii="Times New Roman" w:hAnsi="Times New Roman" w:cs="Times New Roman"/>
          <w:sz w:val="24"/>
          <w:szCs w:val="24"/>
        </w:rPr>
        <w:t xml:space="preserve">2013. </w:t>
      </w:r>
      <w:r w:rsidR="003606E1" w:rsidRPr="004E5DDB">
        <w:rPr>
          <w:rFonts w:ascii="Times New Roman" w:hAnsi="Times New Roman" w:cs="Times New Roman"/>
          <w:sz w:val="24"/>
          <w:szCs w:val="24"/>
        </w:rPr>
        <w:t>г</w:t>
      </w:r>
      <w:r w:rsidR="00934022" w:rsidRPr="004E5DDB">
        <w:rPr>
          <w:rFonts w:ascii="Times New Roman" w:hAnsi="Times New Roman" w:cs="Times New Roman"/>
          <w:sz w:val="24"/>
          <w:szCs w:val="24"/>
        </w:rPr>
        <w:t>один</w:t>
      </w:r>
      <w:r w:rsidR="003606E1" w:rsidRPr="004E5DDB">
        <w:rPr>
          <w:rFonts w:ascii="Times New Roman" w:hAnsi="Times New Roman" w:cs="Times New Roman"/>
          <w:sz w:val="24"/>
          <w:szCs w:val="24"/>
        </w:rPr>
        <w:t>и проистекао из процедура</w:t>
      </w:r>
      <w:r w:rsidR="001A7E9B">
        <w:rPr>
          <w:rFonts w:ascii="Times New Roman" w:hAnsi="Times New Roman" w:cs="Times New Roman"/>
          <w:sz w:val="24"/>
          <w:szCs w:val="24"/>
        </w:rPr>
        <w:t xml:space="preserve"> </w:t>
      </w:r>
      <w:r w:rsidR="003606E1" w:rsidRPr="004E5DDB">
        <w:rPr>
          <w:rFonts w:ascii="Times New Roman" w:hAnsi="Times New Roman" w:cs="Times New Roman"/>
          <w:sz w:val="24"/>
          <w:szCs w:val="24"/>
        </w:rPr>
        <w:t xml:space="preserve">дефинисаних </w:t>
      </w:r>
      <w:r w:rsidR="00934022" w:rsidRPr="004E5DDB">
        <w:rPr>
          <w:rFonts w:ascii="Times New Roman" w:hAnsi="Times New Roman" w:cs="Times New Roman"/>
          <w:sz w:val="24"/>
          <w:szCs w:val="24"/>
        </w:rPr>
        <w:t>претходн</w:t>
      </w:r>
      <w:r w:rsidR="003606E1" w:rsidRPr="004E5DDB">
        <w:rPr>
          <w:rFonts w:ascii="Times New Roman" w:hAnsi="Times New Roman" w:cs="Times New Roman"/>
          <w:sz w:val="24"/>
          <w:szCs w:val="24"/>
        </w:rPr>
        <w:t>им</w:t>
      </w:r>
      <w:r w:rsidR="001A7E9B">
        <w:rPr>
          <w:rFonts w:ascii="Times New Roman" w:hAnsi="Times New Roman" w:cs="Times New Roman"/>
          <w:sz w:val="24"/>
          <w:szCs w:val="24"/>
        </w:rPr>
        <w:t xml:space="preserve"> </w:t>
      </w:r>
      <w:r w:rsidR="001E6353" w:rsidRPr="004E5DDB">
        <w:rPr>
          <w:rFonts w:ascii="Times New Roman" w:hAnsi="Times New Roman" w:cs="Times New Roman"/>
          <w:sz w:val="24"/>
          <w:szCs w:val="24"/>
        </w:rPr>
        <w:t>З</w:t>
      </w:r>
      <w:r w:rsidRPr="004E5DDB">
        <w:rPr>
          <w:rFonts w:ascii="Times New Roman" w:hAnsi="Times New Roman" w:cs="Times New Roman"/>
          <w:sz w:val="24"/>
          <w:szCs w:val="24"/>
        </w:rPr>
        <w:t>акон</w:t>
      </w:r>
      <w:r w:rsidR="003606E1" w:rsidRPr="004E5DDB">
        <w:rPr>
          <w:rFonts w:ascii="Times New Roman" w:hAnsi="Times New Roman" w:cs="Times New Roman"/>
          <w:sz w:val="24"/>
          <w:szCs w:val="24"/>
        </w:rPr>
        <w:t>ом</w:t>
      </w:r>
      <w:r w:rsidR="00934022" w:rsidRPr="004E5DDB">
        <w:rPr>
          <w:rFonts w:ascii="Times New Roman" w:hAnsi="Times New Roman" w:cs="Times New Roman"/>
          <w:sz w:val="24"/>
          <w:szCs w:val="24"/>
        </w:rPr>
        <w:t xml:space="preserve">. </w:t>
      </w:r>
      <w:r w:rsidR="003606E1" w:rsidRPr="004E5DDB">
        <w:rPr>
          <w:rFonts w:ascii="Times New Roman" w:hAnsi="Times New Roman" w:cs="Times New Roman"/>
          <w:sz w:val="24"/>
          <w:szCs w:val="24"/>
        </w:rPr>
        <w:t>Са друге стране, угов</w:t>
      </w:r>
      <w:r w:rsidR="006040DE" w:rsidRPr="004E5DDB">
        <w:rPr>
          <w:rFonts w:ascii="Times New Roman" w:hAnsi="Times New Roman" w:cs="Times New Roman"/>
          <w:sz w:val="24"/>
          <w:szCs w:val="24"/>
        </w:rPr>
        <w:t>о</w:t>
      </w:r>
      <w:r w:rsidR="003606E1" w:rsidRPr="004E5DDB">
        <w:rPr>
          <w:rFonts w:ascii="Times New Roman" w:hAnsi="Times New Roman" w:cs="Times New Roman"/>
          <w:sz w:val="24"/>
          <w:szCs w:val="24"/>
        </w:rPr>
        <w:t xml:space="preserve">ри закључени током </w:t>
      </w:r>
      <w:r w:rsidR="00934022" w:rsidRPr="004E5DDB">
        <w:rPr>
          <w:rFonts w:ascii="Times New Roman" w:hAnsi="Times New Roman" w:cs="Times New Roman"/>
          <w:sz w:val="24"/>
          <w:szCs w:val="24"/>
        </w:rPr>
        <w:t>2014. год</w:t>
      </w:r>
      <w:r w:rsidR="008E372F" w:rsidRPr="004E5DDB">
        <w:rPr>
          <w:rFonts w:ascii="Times New Roman" w:hAnsi="Times New Roman" w:cs="Times New Roman"/>
          <w:sz w:val="24"/>
          <w:szCs w:val="24"/>
        </w:rPr>
        <w:t>и</w:t>
      </w:r>
      <w:r w:rsidR="00934022" w:rsidRPr="004E5DDB">
        <w:rPr>
          <w:rFonts w:ascii="Times New Roman" w:hAnsi="Times New Roman" w:cs="Times New Roman"/>
          <w:sz w:val="24"/>
          <w:szCs w:val="24"/>
        </w:rPr>
        <w:t xml:space="preserve">не </w:t>
      </w:r>
      <w:r w:rsidR="006040DE" w:rsidRPr="004E5DDB">
        <w:rPr>
          <w:rFonts w:ascii="Times New Roman" w:hAnsi="Times New Roman" w:cs="Times New Roman"/>
          <w:sz w:val="24"/>
          <w:szCs w:val="24"/>
        </w:rPr>
        <w:t xml:space="preserve">резултат су примене „новог“ </w:t>
      </w:r>
      <w:r w:rsidR="006040DE" w:rsidRPr="00F46340">
        <w:rPr>
          <w:rFonts w:ascii="Times New Roman" w:hAnsi="Times New Roman" w:cs="Times New Roman"/>
          <w:sz w:val="24"/>
          <w:szCs w:val="24"/>
        </w:rPr>
        <w:t>Закон</w:t>
      </w:r>
      <w:r w:rsidR="00F46340" w:rsidRPr="00F46340">
        <w:rPr>
          <w:rFonts w:ascii="Times New Roman" w:hAnsi="Times New Roman" w:cs="Times New Roman"/>
          <w:sz w:val="24"/>
          <w:szCs w:val="24"/>
        </w:rPr>
        <w:t>а</w:t>
      </w:r>
      <w:r w:rsidR="006040DE" w:rsidRPr="00F46340">
        <w:rPr>
          <w:rFonts w:ascii="Times New Roman" w:hAnsi="Times New Roman" w:cs="Times New Roman"/>
          <w:sz w:val="24"/>
          <w:szCs w:val="24"/>
        </w:rPr>
        <w:t xml:space="preserve">, </w:t>
      </w:r>
      <w:r w:rsidR="006040DE" w:rsidRPr="004E5DDB">
        <w:rPr>
          <w:rFonts w:ascii="Times New Roman" w:hAnsi="Times New Roman" w:cs="Times New Roman"/>
          <w:sz w:val="24"/>
          <w:szCs w:val="24"/>
        </w:rPr>
        <w:t xml:space="preserve">односно </w:t>
      </w:r>
      <w:r w:rsidR="00934022" w:rsidRPr="004E5DDB">
        <w:rPr>
          <w:rFonts w:ascii="Times New Roman" w:hAnsi="Times New Roman" w:cs="Times New Roman"/>
          <w:sz w:val="24"/>
          <w:szCs w:val="24"/>
        </w:rPr>
        <w:t>показуј</w:t>
      </w:r>
      <w:r w:rsidR="006040DE" w:rsidRPr="004E5DDB">
        <w:rPr>
          <w:rFonts w:ascii="Times New Roman" w:hAnsi="Times New Roman" w:cs="Times New Roman"/>
          <w:sz w:val="24"/>
          <w:szCs w:val="24"/>
        </w:rPr>
        <w:t xml:space="preserve">у </w:t>
      </w:r>
      <w:r w:rsidR="00865EBD" w:rsidRPr="004E5DDB">
        <w:rPr>
          <w:rFonts w:ascii="Times New Roman" w:hAnsi="Times New Roman" w:cs="Times New Roman"/>
          <w:sz w:val="24"/>
          <w:szCs w:val="24"/>
        </w:rPr>
        <w:t xml:space="preserve">ефекте примене новог </w:t>
      </w:r>
      <w:r w:rsidR="00934022" w:rsidRPr="004E5DDB">
        <w:rPr>
          <w:rFonts w:ascii="Times New Roman" w:hAnsi="Times New Roman" w:cs="Times New Roman"/>
          <w:sz w:val="24"/>
          <w:szCs w:val="24"/>
        </w:rPr>
        <w:t xml:space="preserve">регулаторног и институционалног </w:t>
      </w:r>
      <w:r w:rsidR="008E372F" w:rsidRPr="004E5DDB">
        <w:rPr>
          <w:rFonts w:ascii="Times New Roman" w:hAnsi="Times New Roman" w:cs="Times New Roman"/>
          <w:sz w:val="24"/>
          <w:szCs w:val="24"/>
        </w:rPr>
        <w:t>о</w:t>
      </w:r>
      <w:r w:rsidR="00934022" w:rsidRPr="004E5DDB">
        <w:rPr>
          <w:rFonts w:ascii="Times New Roman" w:hAnsi="Times New Roman" w:cs="Times New Roman"/>
          <w:sz w:val="24"/>
          <w:szCs w:val="24"/>
        </w:rPr>
        <w:t xml:space="preserve">квира. </w:t>
      </w:r>
      <w:r w:rsidR="008E372F" w:rsidRPr="004E5DDB">
        <w:rPr>
          <w:rFonts w:ascii="Times New Roman" w:hAnsi="Times New Roman" w:cs="Times New Roman"/>
          <w:sz w:val="24"/>
          <w:szCs w:val="24"/>
        </w:rPr>
        <w:t>У овом извештају, п</w:t>
      </w:r>
      <w:r w:rsidR="00865EBD" w:rsidRPr="004E5DDB">
        <w:rPr>
          <w:rFonts w:ascii="Times New Roman" w:hAnsi="Times New Roman" w:cs="Times New Roman"/>
          <w:sz w:val="24"/>
          <w:szCs w:val="24"/>
        </w:rPr>
        <w:t xml:space="preserve">осебна пажња </w:t>
      </w:r>
      <w:r w:rsidR="009A6973" w:rsidRPr="004E5DDB">
        <w:rPr>
          <w:rFonts w:ascii="Times New Roman" w:hAnsi="Times New Roman" w:cs="Times New Roman"/>
          <w:sz w:val="24"/>
          <w:szCs w:val="24"/>
        </w:rPr>
        <w:t xml:space="preserve">је </w:t>
      </w:r>
      <w:r w:rsidR="00865EBD" w:rsidRPr="004E5DDB">
        <w:rPr>
          <w:rFonts w:ascii="Times New Roman" w:hAnsi="Times New Roman" w:cs="Times New Roman"/>
          <w:sz w:val="24"/>
          <w:szCs w:val="24"/>
        </w:rPr>
        <w:t xml:space="preserve">посвећена показатељима примене начела </w:t>
      </w:r>
      <w:r w:rsidR="00963A31" w:rsidRPr="004E5DDB">
        <w:rPr>
          <w:rFonts w:ascii="Times New Roman" w:hAnsi="Times New Roman" w:cs="Times New Roman"/>
          <w:sz w:val="24"/>
          <w:szCs w:val="24"/>
        </w:rPr>
        <w:t xml:space="preserve">јавних набавки, </w:t>
      </w:r>
      <w:r w:rsidR="00C224FF">
        <w:rPr>
          <w:rFonts w:ascii="Times New Roman" w:hAnsi="Times New Roman" w:cs="Times New Roman"/>
          <w:sz w:val="24"/>
          <w:szCs w:val="24"/>
        </w:rPr>
        <w:t xml:space="preserve">као што су </w:t>
      </w:r>
      <w:r w:rsidR="00963A31" w:rsidRPr="004E5DDB">
        <w:rPr>
          <w:rFonts w:ascii="Times New Roman" w:hAnsi="Times New Roman" w:cs="Times New Roman"/>
          <w:sz w:val="24"/>
          <w:szCs w:val="24"/>
        </w:rPr>
        <w:t>начел</w:t>
      </w:r>
      <w:r w:rsidR="00C224FF">
        <w:rPr>
          <w:rFonts w:ascii="Times New Roman" w:hAnsi="Times New Roman" w:cs="Times New Roman"/>
          <w:sz w:val="24"/>
          <w:szCs w:val="24"/>
        </w:rPr>
        <w:t>о</w:t>
      </w:r>
      <w:r w:rsidR="00963A31" w:rsidRPr="004E5DDB">
        <w:rPr>
          <w:rFonts w:ascii="Times New Roman" w:hAnsi="Times New Roman" w:cs="Times New Roman"/>
          <w:sz w:val="24"/>
          <w:szCs w:val="24"/>
        </w:rPr>
        <w:t xml:space="preserve"> обезбеђивања </w:t>
      </w:r>
      <w:r w:rsidR="00865EBD" w:rsidRPr="004E5DDB">
        <w:rPr>
          <w:rFonts w:ascii="Times New Roman" w:hAnsi="Times New Roman" w:cs="Times New Roman"/>
          <w:sz w:val="24"/>
          <w:szCs w:val="24"/>
        </w:rPr>
        <w:t>к</w:t>
      </w:r>
      <w:r w:rsidR="00121ED9" w:rsidRPr="004E5DDB">
        <w:rPr>
          <w:rFonts w:ascii="Times New Roman" w:hAnsi="Times New Roman" w:cs="Times New Roman"/>
          <w:sz w:val="24"/>
          <w:szCs w:val="24"/>
        </w:rPr>
        <w:t>онкуренције и транспарентности</w:t>
      </w:r>
      <w:r w:rsidR="00963A31" w:rsidRPr="000800D3">
        <w:rPr>
          <w:rFonts w:ascii="Times New Roman" w:hAnsi="Times New Roman" w:cs="Times New Roman"/>
          <w:color w:val="FF0000"/>
          <w:sz w:val="24"/>
          <w:szCs w:val="24"/>
        </w:rPr>
        <w:t>.</w:t>
      </w:r>
    </w:p>
    <w:p w:rsidR="009A6064" w:rsidRPr="009A6064" w:rsidRDefault="0084161C" w:rsidP="00F55A41">
      <w:pPr>
        <w:jc w:val="both"/>
        <w:rPr>
          <w:rFonts w:ascii="Times New Roman" w:hAnsi="Times New Roman" w:cs="Times New Roman"/>
          <w:sz w:val="24"/>
          <w:szCs w:val="24"/>
        </w:rPr>
      </w:pPr>
      <w:r w:rsidRPr="00DC7BD1">
        <w:rPr>
          <w:rFonts w:ascii="Times New Roman" w:hAnsi="Times New Roman" w:cs="Times New Roman"/>
          <w:color w:val="000000" w:themeColor="text1"/>
          <w:sz w:val="24"/>
          <w:szCs w:val="24"/>
        </w:rPr>
        <w:t>У</w:t>
      </w:r>
      <w:r w:rsidR="001A7E9B">
        <w:rPr>
          <w:rFonts w:ascii="Times New Roman" w:hAnsi="Times New Roman" w:cs="Times New Roman"/>
          <w:color w:val="000000" w:themeColor="text1"/>
          <w:sz w:val="24"/>
          <w:szCs w:val="24"/>
        </w:rPr>
        <w:t xml:space="preserve"> </w:t>
      </w:r>
      <w:r w:rsidRPr="00DC7BD1">
        <w:rPr>
          <w:rFonts w:ascii="Times New Roman" w:hAnsi="Times New Roman" w:cs="Times New Roman"/>
          <w:color w:val="000000" w:themeColor="text1"/>
          <w:sz w:val="24"/>
          <w:szCs w:val="24"/>
        </w:rPr>
        <w:t xml:space="preserve">2014. </w:t>
      </w:r>
      <w:r w:rsidR="001A7E9B">
        <w:rPr>
          <w:rFonts w:ascii="Times New Roman" w:hAnsi="Times New Roman" w:cs="Times New Roman"/>
          <w:color w:val="000000" w:themeColor="text1"/>
          <w:sz w:val="24"/>
          <w:szCs w:val="24"/>
          <w:lang w:val="sr-Cyrl-RS"/>
        </w:rPr>
        <w:t>г</w:t>
      </w:r>
      <w:r w:rsidRPr="00DC7BD1">
        <w:rPr>
          <w:rFonts w:ascii="Times New Roman" w:hAnsi="Times New Roman" w:cs="Times New Roman"/>
          <w:color w:val="000000" w:themeColor="text1"/>
          <w:sz w:val="24"/>
          <w:szCs w:val="24"/>
        </w:rPr>
        <w:t>одини</w:t>
      </w:r>
      <w:r w:rsidR="001A7E9B">
        <w:rPr>
          <w:rFonts w:ascii="Times New Roman" w:hAnsi="Times New Roman" w:cs="Times New Roman"/>
          <w:color w:val="000000" w:themeColor="text1"/>
          <w:sz w:val="24"/>
          <w:szCs w:val="24"/>
        </w:rPr>
        <w:t xml:space="preserve"> </w:t>
      </w:r>
      <w:r w:rsidR="00BD2B9B">
        <w:rPr>
          <w:rFonts w:ascii="Times New Roman" w:hAnsi="Times New Roman" w:cs="Times New Roman"/>
          <w:sz w:val="24"/>
          <w:szCs w:val="24"/>
        </w:rPr>
        <w:t>извештај</w:t>
      </w:r>
      <w:r w:rsidR="009A6064">
        <w:rPr>
          <w:rFonts w:ascii="Times New Roman" w:hAnsi="Times New Roman" w:cs="Times New Roman"/>
          <w:sz w:val="24"/>
          <w:szCs w:val="24"/>
        </w:rPr>
        <w:t xml:space="preserve"> о јавним набавкама доставило </w:t>
      </w:r>
      <w:r w:rsidR="009A6064" w:rsidRPr="009A6064">
        <w:rPr>
          <w:rFonts w:ascii="Times New Roman" w:hAnsi="Times New Roman" w:cs="Times New Roman"/>
          <w:sz w:val="24"/>
          <w:szCs w:val="24"/>
        </w:rPr>
        <w:t xml:space="preserve">је </w:t>
      </w:r>
      <w:r w:rsidRPr="00DC7BD1">
        <w:rPr>
          <w:rFonts w:ascii="Times New Roman" w:hAnsi="Times New Roman" w:cs="Times New Roman"/>
          <w:color w:val="000000" w:themeColor="text1"/>
          <w:sz w:val="24"/>
          <w:szCs w:val="24"/>
          <w:lang w:val="sr-Cyrl-CS"/>
        </w:rPr>
        <w:t>4.93</w:t>
      </w:r>
      <w:r w:rsidR="00505B1E" w:rsidRPr="00DC7BD1">
        <w:rPr>
          <w:rFonts w:ascii="Times New Roman" w:hAnsi="Times New Roman" w:cs="Times New Roman"/>
          <w:color w:val="000000" w:themeColor="text1"/>
          <w:sz w:val="24"/>
          <w:szCs w:val="24"/>
          <w:lang w:val="sr-Cyrl-CS"/>
        </w:rPr>
        <w:t>3</w:t>
      </w:r>
      <w:r w:rsidR="009A6064">
        <w:rPr>
          <w:rFonts w:ascii="Times New Roman" w:hAnsi="Times New Roman" w:cs="Times New Roman"/>
          <w:sz w:val="24"/>
          <w:szCs w:val="24"/>
        </w:rPr>
        <w:t xml:space="preserve"> наручилаца, док је у истом периоду 2013. године тај број </w:t>
      </w:r>
      <w:r w:rsidR="00BF2946">
        <w:rPr>
          <w:rFonts w:ascii="Times New Roman" w:hAnsi="Times New Roman" w:cs="Times New Roman"/>
          <w:sz w:val="24"/>
          <w:szCs w:val="24"/>
        </w:rPr>
        <w:t xml:space="preserve">износио </w:t>
      </w:r>
      <w:r w:rsidR="00505B1E" w:rsidRPr="00DC7BD1">
        <w:rPr>
          <w:rFonts w:ascii="Times New Roman" w:hAnsi="Times New Roman" w:cs="Times New Roman"/>
          <w:color w:val="000000" w:themeColor="text1"/>
          <w:sz w:val="24"/>
          <w:szCs w:val="24"/>
        </w:rPr>
        <w:t>3.264</w:t>
      </w:r>
      <w:r w:rsidR="009A6064">
        <w:rPr>
          <w:rFonts w:ascii="Times New Roman" w:hAnsi="Times New Roman" w:cs="Times New Roman"/>
          <w:sz w:val="24"/>
          <w:szCs w:val="24"/>
        </w:rPr>
        <w:t xml:space="preserve">, што значи да се број наручилаца који подноси извештаје </w:t>
      </w:r>
      <w:r w:rsidR="0017767B">
        <w:rPr>
          <w:rFonts w:ascii="Times New Roman" w:hAnsi="Times New Roman" w:cs="Times New Roman"/>
          <w:sz w:val="24"/>
          <w:szCs w:val="24"/>
        </w:rPr>
        <w:t>Управи</w:t>
      </w:r>
      <w:r w:rsidR="00852674">
        <w:rPr>
          <w:rFonts w:ascii="Times New Roman" w:hAnsi="Times New Roman" w:cs="Times New Roman"/>
          <w:sz w:val="24"/>
          <w:szCs w:val="24"/>
        </w:rPr>
        <w:t xml:space="preserve"> повећао за </w:t>
      </w:r>
      <w:r w:rsidR="00852674" w:rsidRPr="00DC7BD1">
        <w:rPr>
          <w:rFonts w:ascii="Times New Roman" w:hAnsi="Times New Roman" w:cs="Times New Roman"/>
          <w:color w:val="000000" w:themeColor="text1"/>
          <w:sz w:val="24"/>
          <w:szCs w:val="24"/>
        </w:rPr>
        <w:t>51</w:t>
      </w:r>
      <w:r w:rsidR="009A6064" w:rsidRPr="00DC7BD1">
        <w:rPr>
          <w:rFonts w:ascii="Times New Roman" w:hAnsi="Times New Roman" w:cs="Times New Roman"/>
          <w:color w:val="000000" w:themeColor="text1"/>
          <w:sz w:val="24"/>
          <w:szCs w:val="24"/>
        </w:rPr>
        <w:t>%</w:t>
      </w:r>
      <w:r w:rsidR="009A6064">
        <w:rPr>
          <w:rFonts w:ascii="Times New Roman" w:hAnsi="Times New Roman" w:cs="Times New Roman"/>
          <w:sz w:val="24"/>
          <w:szCs w:val="24"/>
        </w:rPr>
        <w:t xml:space="preserve"> у односу на 2013. годину. Већа дисциплина у извештавању </w:t>
      </w:r>
      <w:r w:rsidR="00F37798">
        <w:rPr>
          <w:rFonts w:ascii="Times New Roman" w:hAnsi="Times New Roman" w:cs="Times New Roman"/>
          <w:sz w:val="24"/>
          <w:szCs w:val="24"/>
        </w:rPr>
        <w:t xml:space="preserve">превасходно је </w:t>
      </w:r>
      <w:r w:rsidR="009A6064">
        <w:rPr>
          <w:rFonts w:ascii="Times New Roman" w:hAnsi="Times New Roman" w:cs="Times New Roman"/>
          <w:sz w:val="24"/>
          <w:szCs w:val="24"/>
        </w:rPr>
        <w:t xml:space="preserve">резултат активности </w:t>
      </w:r>
      <w:r w:rsidR="0017767B">
        <w:rPr>
          <w:rFonts w:ascii="Times New Roman" w:hAnsi="Times New Roman" w:cs="Times New Roman"/>
          <w:sz w:val="24"/>
          <w:szCs w:val="24"/>
        </w:rPr>
        <w:t>Управе</w:t>
      </w:r>
      <w:r w:rsidR="009A6064">
        <w:rPr>
          <w:rFonts w:ascii="Times New Roman" w:hAnsi="Times New Roman" w:cs="Times New Roman"/>
          <w:sz w:val="24"/>
          <w:szCs w:val="24"/>
        </w:rPr>
        <w:t xml:space="preserve"> кроз примену механизама и овлашћења која су јој стављена на располагање, укључујући и подношење прекршајних пријава против одговорних </w:t>
      </w:r>
      <w:r w:rsidR="00DB02D0">
        <w:rPr>
          <w:rFonts w:ascii="Times New Roman" w:hAnsi="Times New Roman" w:cs="Times New Roman"/>
          <w:sz w:val="24"/>
          <w:szCs w:val="24"/>
        </w:rPr>
        <w:t xml:space="preserve">лица наручилаца због </w:t>
      </w:r>
      <w:r w:rsidR="00DB7C88">
        <w:rPr>
          <w:rFonts w:ascii="Times New Roman" w:hAnsi="Times New Roman" w:cs="Times New Roman"/>
          <w:sz w:val="24"/>
          <w:szCs w:val="24"/>
        </w:rPr>
        <w:t>недостављања</w:t>
      </w:r>
      <w:r w:rsidR="009A6064">
        <w:rPr>
          <w:rFonts w:ascii="Times New Roman" w:hAnsi="Times New Roman" w:cs="Times New Roman"/>
          <w:sz w:val="24"/>
          <w:szCs w:val="24"/>
        </w:rPr>
        <w:t xml:space="preserve"> кварталних извештаја.   </w:t>
      </w:r>
    </w:p>
    <w:p w:rsidR="00934022" w:rsidRPr="00934022" w:rsidRDefault="00D97169" w:rsidP="00F55A41">
      <w:pPr>
        <w:jc w:val="both"/>
        <w:rPr>
          <w:rFonts w:ascii="Times New Roman" w:hAnsi="Times New Roman" w:cs="Times New Roman"/>
          <w:sz w:val="24"/>
          <w:szCs w:val="24"/>
        </w:rPr>
      </w:pPr>
      <w:r>
        <w:rPr>
          <w:rFonts w:ascii="Times New Roman" w:hAnsi="Times New Roman" w:cs="Times New Roman"/>
          <w:sz w:val="24"/>
          <w:szCs w:val="24"/>
        </w:rPr>
        <w:t xml:space="preserve">Јачање дисциплине у извештавању је важан показатељ успостављања ефикаснијег надзора над применом Закона, као и битан предуслов за успостављање пуне примене </w:t>
      </w:r>
      <w:r w:rsidR="0017767B">
        <w:rPr>
          <w:rFonts w:ascii="Times New Roman" w:hAnsi="Times New Roman" w:cs="Times New Roman"/>
          <w:sz w:val="24"/>
          <w:szCs w:val="24"/>
        </w:rPr>
        <w:t>Закона</w:t>
      </w:r>
      <w:r>
        <w:rPr>
          <w:rFonts w:ascii="Times New Roman" w:hAnsi="Times New Roman" w:cs="Times New Roman"/>
          <w:sz w:val="24"/>
          <w:szCs w:val="24"/>
        </w:rPr>
        <w:t xml:space="preserve">. </w:t>
      </w:r>
    </w:p>
    <w:p w:rsidR="00EF35D1" w:rsidRPr="00B74FB0" w:rsidRDefault="00121ED9" w:rsidP="00F55A41">
      <w:pPr>
        <w:jc w:val="both"/>
        <w:rPr>
          <w:rFonts w:ascii="Times New Roman" w:hAnsi="Times New Roman" w:cs="Times New Roman"/>
          <w:color w:val="000000" w:themeColor="text1"/>
          <w:sz w:val="24"/>
          <w:szCs w:val="24"/>
        </w:rPr>
      </w:pPr>
      <w:r>
        <w:rPr>
          <w:rFonts w:ascii="Times New Roman" w:hAnsi="Times New Roman" w:cs="Times New Roman"/>
          <w:sz w:val="24"/>
          <w:szCs w:val="24"/>
        </w:rPr>
        <w:t>Р</w:t>
      </w:r>
      <w:r w:rsidR="00EF35D1" w:rsidRPr="00EF35D1">
        <w:rPr>
          <w:rFonts w:ascii="Times New Roman" w:hAnsi="Times New Roman" w:cs="Times New Roman"/>
          <w:sz w:val="24"/>
          <w:szCs w:val="24"/>
        </w:rPr>
        <w:t>егистрована вредност јавних набавки</w:t>
      </w:r>
      <w:r w:rsidR="0084161C">
        <w:rPr>
          <w:rFonts w:ascii="Times New Roman" w:hAnsi="Times New Roman" w:cs="Times New Roman"/>
          <w:sz w:val="24"/>
          <w:szCs w:val="24"/>
        </w:rPr>
        <w:t xml:space="preserve"> у</w:t>
      </w:r>
      <w:r w:rsidR="002A1010">
        <w:rPr>
          <w:rFonts w:ascii="Times New Roman" w:hAnsi="Times New Roman" w:cs="Times New Roman"/>
          <w:sz w:val="24"/>
          <w:szCs w:val="24"/>
          <w:lang w:val="sr-Cyrl-RS"/>
        </w:rPr>
        <w:t xml:space="preserve"> </w:t>
      </w:r>
      <w:r w:rsidR="007B26D5" w:rsidRPr="00B74FB0">
        <w:rPr>
          <w:rFonts w:ascii="Times New Roman" w:hAnsi="Times New Roman" w:cs="Times New Roman"/>
          <w:sz w:val="24"/>
          <w:szCs w:val="24"/>
        </w:rPr>
        <w:t>201</w:t>
      </w:r>
      <w:r w:rsidR="0084161C" w:rsidRPr="00B74FB0">
        <w:rPr>
          <w:rFonts w:ascii="Times New Roman" w:hAnsi="Times New Roman" w:cs="Times New Roman"/>
          <w:sz w:val="24"/>
          <w:szCs w:val="24"/>
        </w:rPr>
        <w:t>4. години</w:t>
      </w:r>
      <w:r>
        <w:rPr>
          <w:rFonts w:ascii="Times New Roman" w:hAnsi="Times New Roman" w:cs="Times New Roman"/>
          <w:sz w:val="24"/>
          <w:szCs w:val="24"/>
        </w:rPr>
        <w:t xml:space="preserve"> износила је </w:t>
      </w:r>
      <w:r w:rsidR="008868A1" w:rsidRPr="00B74FB0">
        <w:rPr>
          <w:rFonts w:ascii="Times New Roman" w:hAnsi="Times New Roman" w:cs="Times New Roman"/>
          <w:sz w:val="24"/>
          <w:szCs w:val="24"/>
        </w:rPr>
        <w:t>298,3</w:t>
      </w:r>
      <w:r w:rsidR="002A1010">
        <w:rPr>
          <w:rFonts w:ascii="Times New Roman" w:hAnsi="Times New Roman" w:cs="Times New Roman"/>
          <w:sz w:val="24"/>
          <w:szCs w:val="24"/>
          <w:lang w:val="sr-Cyrl-RS"/>
        </w:rPr>
        <w:t xml:space="preserve"> </w:t>
      </w:r>
      <w:r>
        <w:rPr>
          <w:rFonts w:ascii="Times New Roman" w:hAnsi="Times New Roman" w:cs="Times New Roman"/>
          <w:sz w:val="24"/>
          <w:szCs w:val="24"/>
        </w:rPr>
        <w:t>милијард</w:t>
      </w:r>
      <w:r w:rsidR="00FB5AF0">
        <w:rPr>
          <w:rFonts w:ascii="Times New Roman" w:hAnsi="Times New Roman" w:cs="Times New Roman"/>
          <w:sz w:val="24"/>
          <w:szCs w:val="24"/>
        </w:rPr>
        <w:t>е</w:t>
      </w:r>
      <w:r>
        <w:rPr>
          <w:rFonts w:ascii="Times New Roman" w:hAnsi="Times New Roman" w:cs="Times New Roman"/>
          <w:sz w:val="24"/>
          <w:szCs w:val="24"/>
        </w:rPr>
        <w:t xml:space="preserve"> динара</w:t>
      </w:r>
      <w:r w:rsidR="006847E4">
        <w:rPr>
          <w:rFonts w:ascii="Times New Roman" w:hAnsi="Times New Roman" w:cs="Times New Roman"/>
          <w:sz w:val="24"/>
          <w:szCs w:val="24"/>
        </w:rPr>
        <w:t>,</w:t>
      </w:r>
      <w:r>
        <w:rPr>
          <w:rFonts w:ascii="Times New Roman" w:hAnsi="Times New Roman" w:cs="Times New Roman"/>
          <w:sz w:val="24"/>
          <w:szCs w:val="24"/>
        </w:rPr>
        <w:t xml:space="preserve"> што је </w:t>
      </w:r>
      <w:r w:rsidR="006847E4">
        <w:rPr>
          <w:rFonts w:ascii="Times New Roman" w:hAnsi="Times New Roman" w:cs="Times New Roman"/>
          <w:sz w:val="24"/>
          <w:szCs w:val="24"/>
        </w:rPr>
        <w:t xml:space="preserve">више него </w:t>
      </w:r>
      <w:r w:rsidR="006847E4" w:rsidRPr="00B74FB0">
        <w:rPr>
          <w:rFonts w:ascii="Times New Roman" w:hAnsi="Times New Roman" w:cs="Times New Roman"/>
          <w:color w:val="000000" w:themeColor="text1"/>
          <w:sz w:val="24"/>
          <w:szCs w:val="24"/>
        </w:rPr>
        <w:t>у</w:t>
      </w:r>
      <w:r w:rsidR="00BA5995" w:rsidRPr="00B74FB0">
        <w:rPr>
          <w:rFonts w:ascii="Times New Roman" w:hAnsi="Times New Roman" w:cs="Times New Roman"/>
          <w:color w:val="000000" w:themeColor="text1"/>
          <w:sz w:val="24"/>
          <w:szCs w:val="24"/>
        </w:rPr>
        <w:t xml:space="preserve"> истом периоду 2013. године (</w:t>
      </w:r>
      <w:r w:rsidR="008868A1" w:rsidRPr="00B74FB0">
        <w:rPr>
          <w:rFonts w:ascii="Times New Roman" w:hAnsi="Times New Roman" w:cs="Times New Roman"/>
          <w:color w:val="000000" w:themeColor="text1"/>
          <w:sz w:val="24"/>
          <w:szCs w:val="24"/>
        </w:rPr>
        <w:t>262,9</w:t>
      </w:r>
      <w:r w:rsidRPr="00B74FB0">
        <w:rPr>
          <w:rFonts w:ascii="Times New Roman" w:hAnsi="Times New Roman" w:cs="Times New Roman"/>
          <w:color w:val="000000" w:themeColor="text1"/>
          <w:sz w:val="24"/>
          <w:szCs w:val="24"/>
        </w:rPr>
        <w:t xml:space="preserve"> милијард</w:t>
      </w:r>
      <w:r w:rsidR="000800D3">
        <w:rPr>
          <w:rFonts w:ascii="Times New Roman" w:hAnsi="Times New Roman" w:cs="Times New Roman"/>
          <w:color w:val="000000" w:themeColor="text1"/>
          <w:sz w:val="24"/>
          <w:szCs w:val="24"/>
        </w:rPr>
        <w:t>и</w:t>
      </w:r>
      <w:r w:rsidRPr="00B74FB0">
        <w:rPr>
          <w:rFonts w:ascii="Times New Roman" w:hAnsi="Times New Roman" w:cs="Times New Roman"/>
          <w:color w:val="000000" w:themeColor="text1"/>
          <w:sz w:val="24"/>
          <w:szCs w:val="24"/>
        </w:rPr>
        <w:t xml:space="preserve"> динара</w:t>
      </w:r>
      <w:r w:rsidR="006847E4" w:rsidRPr="00B74FB0">
        <w:rPr>
          <w:rFonts w:ascii="Times New Roman" w:hAnsi="Times New Roman" w:cs="Times New Roman"/>
          <w:color w:val="000000" w:themeColor="text1"/>
          <w:sz w:val="24"/>
          <w:szCs w:val="24"/>
        </w:rPr>
        <w:t>).</w:t>
      </w:r>
      <w:r w:rsidR="002C0066" w:rsidRPr="004E5DDB">
        <w:rPr>
          <w:rFonts w:ascii="Times New Roman" w:hAnsi="Times New Roman" w:cs="Times New Roman"/>
          <w:sz w:val="24"/>
          <w:szCs w:val="24"/>
        </w:rPr>
        <w:t>Такође, постигнута је највећа просечна вредност по закљученом уговору у це</w:t>
      </w:r>
      <w:r w:rsidR="00FB5AF0" w:rsidRPr="004E5DDB">
        <w:rPr>
          <w:rFonts w:ascii="Times New Roman" w:hAnsi="Times New Roman" w:cs="Times New Roman"/>
          <w:sz w:val="24"/>
          <w:szCs w:val="24"/>
        </w:rPr>
        <w:t>локупном периоду примене Закона која износи 3,4 милиона динара</w:t>
      </w:r>
      <w:r w:rsidR="002A1010">
        <w:rPr>
          <w:rFonts w:ascii="Times New Roman" w:hAnsi="Times New Roman" w:cs="Times New Roman"/>
          <w:sz w:val="24"/>
          <w:szCs w:val="24"/>
          <w:lang w:val="sr-Cyrl-RS"/>
        </w:rPr>
        <w:t>.</w:t>
      </w:r>
      <w:r w:rsidR="002A1010">
        <w:rPr>
          <w:rFonts w:ascii="Times New Roman" w:hAnsi="Times New Roman" w:cs="Times New Roman"/>
          <w:color w:val="FF0000"/>
          <w:sz w:val="24"/>
          <w:szCs w:val="24"/>
          <w:lang w:val="sr-Cyrl-RS"/>
        </w:rPr>
        <w:t xml:space="preserve"> </w:t>
      </w:r>
      <w:r w:rsidR="006847E4">
        <w:rPr>
          <w:rFonts w:ascii="Times New Roman" w:hAnsi="Times New Roman" w:cs="Times New Roman"/>
          <w:sz w:val="24"/>
          <w:szCs w:val="24"/>
        </w:rPr>
        <w:t>Кретање вредности регистрованих јавних набавки, као и просечне вредно</w:t>
      </w:r>
      <w:r w:rsidR="00BD4A6E">
        <w:rPr>
          <w:rFonts w:ascii="Times New Roman" w:hAnsi="Times New Roman" w:cs="Times New Roman"/>
          <w:sz w:val="24"/>
          <w:szCs w:val="24"/>
        </w:rPr>
        <w:t>сти уговора о јавној набавци</w:t>
      </w:r>
      <w:r w:rsidR="002A1010">
        <w:rPr>
          <w:rFonts w:ascii="Times New Roman" w:hAnsi="Times New Roman" w:cs="Times New Roman"/>
          <w:sz w:val="24"/>
          <w:szCs w:val="24"/>
          <w:lang w:val="sr-Cyrl-RS"/>
        </w:rPr>
        <w:t xml:space="preserve"> </w:t>
      </w:r>
      <w:r w:rsidR="006847E4">
        <w:rPr>
          <w:rFonts w:ascii="Times New Roman" w:hAnsi="Times New Roman" w:cs="Times New Roman"/>
          <w:sz w:val="24"/>
          <w:szCs w:val="24"/>
        </w:rPr>
        <w:t>по годинама</w:t>
      </w:r>
      <w:r w:rsidR="00BD4A6E">
        <w:rPr>
          <w:rFonts w:ascii="Times New Roman" w:hAnsi="Times New Roman" w:cs="Times New Roman"/>
          <w:sz w:val="24"/>
          <w:szCs w:val="24"/>
        </w:rPr>
        <w:t>,</w:t>
      </w:r>
      <w:r w:rsidR="006847E4">
        <w:rPr>
          <w:rFonts w:ascii="Times New Roman" w:hAnsi="Times New Roman" w:cs="Times New Roman"/>
          <w:sz w:val="24"/>
          <w:szCs w:val="24"/>
        </w:rPr>
        <w:t xml:space="preserve"> приказано је у </w:t>
      </w:r>
      <w:r w:rsidR="006847E4" w:rsidRPr="00B74FB0">
        <w:rPr>
          <w:rFonts w:ascii="Times New Roman" w:hAnsi="Times New Roman" w:cs="Times New Roman"/>
          <w:color w:val="000000" w:themeColor="text1"/>
          <w:sz w:val="24"/>
          <w:szCs w:val="24"/>
        </w:rPr>
        <w:t xml:space="preserve">Табели 1. </w:t>
      </w:r>
    </w:p>
    <w:p w:rsidR="00836A7B" w:rsidRDefault="00836A7B" w:rsidP="00F55A41">
      <w:pPr>
        <w:jc w:val="both"/>
        <w:rPr>
          <w:rFonts w:ascii="Times New Roman" w:hAnsi="Times New Roman" w:cs="Times New Roman"/>
          <w:sz w:val="24"/>
          <w:szCs w:val="24"/>
        </w:rPr>
      </w:pPr>
    </w:p>
    <w:p w:rsidR="00836A7B" w:rsidRDefault="00836A7B" w:rsidP="00F55A41">
      <w:pPr>
        <w:jc w:val="both"/>
        <w:rPr>
          <w:rFonts w:ascii="Times New Roman" w:hAnsi="Times New Roman" w:cs="Times New Roman"/>
          <w:sz w:val="24"/>
          <w:szCs w:val="24"/>
        </w:rPr>
      </w:pPr>
    </w:p>
    <w:p w:rsidR="00836A7B" w:rsidRDefault="00836A7B" w:rsidP="00F55A41">
      <w:pPr>
        <w:jc w:val="both"/>
        <w:rPr>
          <w:rFonts w:ascii="Times New Roman" w:hAnsi="Times New Roman" w:cs="Times New Roman"/>
          <w:sz w:val="24"/>
          <w:szCs w:val="24"/>
        </w:rPr>
      </w:pPr>
    </w:p>
    <w:p w:rsidR="00836A7B" w:rsidRDefault="00836A7B" w:rsidP="00F55A41">
      <w:pPr>
        <w:jc w:val="both"/>
        <w:rPr>
          <w:rFonts w:ascii="Times New Roman" w:hAnsi="Times New Roman" w:cs="Times New Roman"/>
          <w:sz w:val="24"/>
          <w:szCs w:val="24"/>
        </w:rPr>
      </w:pPr>
    </w:p>
    <w:p w:rsidR="00F972A0" w:rsidRDefault="00F972A0" w:rsidP="00F55A41">
      <w:pPr>
        <w:jc w:val="both"/>
        <w:rPr>
          <w:rFonts w:ascii="Times New Roman" w:hAnsi="Times New Roman" w:cs="Times New Roman"/>
          <w:sz w:val="24"/>
          <w:szCs w:val="24"/>
        </w:rPr>
      </w:pPr>
    </w:p>
    <w:p w:rsidR="00F972A0" w:rsidRDefault="00F972A0" w:rsidP="00F55A41">
      <w:pPr>
        <w:jc w:val="both"/>
        <w:rPr>
          <w:rFonts w:ascii="Times New Roman" w:hAnsi="Times New Roman" w:cs="Times New Roman"/>
          <w:sz w:val="24"/>
          <w:szCs w:val="24"/>
        </w:rPr>
      </w:pPr>
    </w:p>
    <w:p w:rsidR="00F972A0" w:rsidRDefault="00F972A0" w:rsidP="00F55A41">
      <w:pPr>
        <w:jc w:val="both"/>
        <w:rPr>
          <w:rFonts w:ascii="Times New Roman" w:hAnsi="Times New Roman" w:cs="Times New Roman"/>
          <w:sz w:val="24"/>
          <w:szCs w:val="24"/>
        </w:rPr>
      </w:pPr>
    </w:p>
    <w:p w:rsidR="00F506EB" w:rsidRDefault="00F506EB" w:rsidP="00F55A41">
      <w:pPr>
        <w:jc w:val="both"/>
        <w:rPr>
          <w:rFonts w:ascii="Times New Roman" w:hAnsi="Times New Roman" w:cs="Times New Roman"/>
          <w:sz w:val="24"/>
          <w:szCs w:val="24"/>
        </w:rPr>
        <w:sectPr w:rsidR="00F506EB" w:rsidSect="00F972A0">
          <w:pgSz w:w="12240" w:h="15840"/>
          <w:pgMar w:top="720" w:right="720" w:bottom="720" w:left="720" w:header="708" w:footer="708" w:gutter="0"/>
          <w:cols w:space="708"/>
          <w:docGrid w:linePitch="360"/>
        </w:sectPr>
      </w:pPr>
    </w:p>
    <w:p w:rsidR="008471E3" w:rsidRPr="00B74FB0" w:rsidRDefault="000B4B53" w:rsidP="00F55A41">
      <w:pPr>
        <w:jc w:val="both"/>
        <w:rPr>
          <w:rFonts w:ascii="Times New Roman" w:hAnsi="Times New Roman" w:cs="Times New Roman"/>
          <w:b/>
          <w:sz w:val="24"/>
          <w:szCs w:val="24"/>
        </w:rPr>
      </w:pPr>
      <w:r w:rsidRPr="00B74FB0">
        <w:rPr>
          <w:rFonts w:ascii="Times New Roman" w:hAnsi="Times New Roman" w:cs="Times New Roman"/>
          <w:b/>
          <w:sz w:val="24"/>
          <w:szCs w:val="24"/>
        </w:rPr>
        <w:lastRenderedPageBreak/>
        <w:t>Табела 1</w:t>
      </w:r>
    </w:p>
    <w:tbl>
      <w:tblPr>
        <w:tblW w:w="13591" w:type="dxa"/>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936"/>
        <w:gridCol w:w="1016"/>
        <w:gridCol w:w="1016"/>
        <w:gridCol w:w="1016"/>
        <w:gridCol w:w="1016"/>
        <w:gridCol w:w="1016"/>
        <w:gridCol w:w="1016"/>
        <w:gridCol w:w="1016"/>
        <w:gridCol w:w="1016"/>
        <w:gridCol w:w="1016"/>
        <w:gridCol w:w="1016"/>
        <w:gridCol w:w="1106"/>
      </w:tblGrid>
      <w:tr w:rsidR="008868A1" w:rsidRPr="008868A1" w:rsidTr="000E766A">
        <w:trPr>
          <w:trHeight w:val="272"/>
          <w:jc w:val="center"/>
        </w:trPr>
        <w:tc>
          <w:tcPr>
            <w:tcW w:w="13591" w:type="dxa"/>
            <w:gridSpan w:val="13"/>
            <w:tcBorders>
              <w:top w:val="single" w:sz="4" w:space="0" w:color="auto"/>
              <w:left w:val="single" w:sz="4" w:space="0" w:color="auto"/>
              <w:bottom w:val="single" w:sz="4" w:space="0" w:color="auto"/>
              <w:right w:val="single" w:sz="4" w:space="0" w:color="auto"/>
            </w:tcBorders>
            <w:vAlign w:val="center"/>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16"/>
                <w:szCs w:val="16"/>
              </w:rPr>
            </w:pPr>
          </w:p>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4"/>
                <w:szCs w:val="24"/>
              </w:rPr>
            </w:pPr>
            <w:r w:rsidRPr="008868A1">
              <w:rPr>
                <w:rFonts w:ascii="Times New Roman" w:eastAsia="Times New Roman" w:hAnsi="Times New Roman" w:cs="Times New Roman"/>
                <w:b/>
                <w:sz w:val="24"/>
                <w:szCs w:val="24"/>
              </w:rPr>
              <w:t>Упоредни преглед закључених уговора о јавним набавкама</w:t>
            </w:r>
          </w:p>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16"/>
                <w:szCs w:val="16"/>
              </w:rPr>
            </w:pPr>
          </w:p>
        </w:tc>
      </w:tr>
      <w:tr w:rsidR="008868A1" w:rsidRPr="008868A1" w:rsidTr="000E766A">
        <w:trPr>
          <w:trHeight w:val="490"/>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Година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2003.</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2004.</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2005.</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2006.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2007.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2008.</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2009.</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2010.</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2011.</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2012.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2013.</w:t>
            </w:r>
          </w:p>
        </w:tc>
        <w:tc>
          <w:tcPr>
            <w:tcW w:w="1106" w:type="dxa"/>
            <w:tcBorders>
              <w:top w:val="single" w:sz="4" w:space="0" w:color="auto"/>
              <w:left w:val="single" w:sz="4" w:space="0" w:color="auto"/>
              <w:bottom w:val="single" w:sz="4" w:space="0" w:color="auto"/>
              <w:right w:val="single" w:sz="4" w:space="0" w:color="auto"/>
            </w:tcBorders>
            <w:vAlign w:val="center"/>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2014.</w:t>
            </w:r>
          </w:p>
        </w:tc>
      </w:tr>
      <w:tr w:rsidR="008868A1" w:rsidRPr="008868A1" w:rsidTr="000E766A">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Укупан број уговора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231.661</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215.815</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148.758</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152.485</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122.587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109.910</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91.992</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83.693</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111.249</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92.710</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83.121</w:t>
            </w:r>
          </w:p>
        </w:tc>
        <w:tc>
          <w:tcPr>
            <w:tcW w:w="1106" w:type="dxa"/>
            <w:tcBorders>
              <w:top w:val="single" w:sz="4" w:space="0" w:color="auto"/>
              <w:left w:val="single" w:sz="4" w:space="0" w:color="auto"/>
              <w:bottom w:val="single" w:sz="4" w:space="0" w:color="auto"/>
              <w:right w:val="single" w:sz="4" w:space="0" w:color="auto"/>
            </w:tcBorders>
            <w:vAlign w:val="center"/>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87.712</w:t>
            </w:r>
          </w:p>
        </w:tc>
      </w:tr>
      <w:tr w:rsidR="008868A1" w:rsidRPr="008868A1" w:rsidTr="000E766A">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Укупна вредност</w:t>
            </w:r>
          </w:p>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(у хиљадама динара)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98.777.652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109.282.212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124.753.207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168.914.947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187.559.752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234.028.744</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190.655.028</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273.055.306</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293.324.810</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303.694.136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262.938.735</w:t>
            </w:r>
          </w:p>
        </w:tc>
        <w:tc>
          <w:tcPr>
            <w:tcW w:w="1106" w:type="dxa"/>
            <w:tcBorders>
              <w:top w:val="single" w:sz="4" w:space="0" w:color="auto"/>
              <w:left w:val="single" w:sz="4" w:space="0" w:color="auto"/>
              <w:bottom w:val="single" w:sz="4" w:space="0" w:color="auto"/>
              <w:right w:val="single" w:sz="4" w:space="0" w:color="auto"/>
            </w:tcBorders>
            <w:vAlign w:val="center"/>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lang w:val="en-US"/>
              </w:rPr>
            </w:pPr>
            <w:r w:rsidRPr="008868A1">
              <w:rPr>
                <w:rFonts w:ascii="Times New Roman" w:eastAsia="Times New Roman" w:hAnsi="Times New Roman" w:cs="Times New Roman"/>
                <w:sz w:val="16"/>
                <w:szCs w:val="16"/>
                <w:lang w:val="en-US"/>
              </w:rPr>
              <w:t>298.374.363</w:t>
            </w:r>
          </w:p>
        </w:tc>
      </w:tr>
      <w:tr w:rsidR="008868A1" w:rsidRPr="008868A1" w:rsidTr="000E766A">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b/>
                <w:sz w:val="20"/>
                <w:szCs w:val="20"/>
              </w:rPr>
            </w:pPr>
            <w:r w:rsidRPr="008868A1">
              <w:rPr>
                <w:rFonts w:ascii="Times New Roman" w:eastAsia="Times New Roman" w:hAnsi="Times New Roman" w:cs="Times New Roman"/>
                <w:b/>
                <w:sz w:val="20"/>
                <w:szCs w:val="20"/>
              </w:rPr>
              <w:t>Просечна вредност             (у хиљадама динара)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426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506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838</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1.108</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1.530</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2.129</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2.073</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3.263</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2.637</w:t>
            </w:r>
          </w:p>
        </w:tc>
        <w:tc>
          <w:tcPr>
            <w:tcW w:w="0" w:type="auto"/>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3.276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rPr>
            </w:pPr>
            <w:r w:rsidRPr="008868A1">
              <w:rPr>
                <w:rFonts w:ascii="Times New Roman" w:eastAsia="Times New Roman" w:hAnsi="Times New Roman" w:cs="Times New Roman"/>
                <w:sz w:val="16"/>
                <w:szCs w:val="16"/>
              </w:rPr>
              <w:t>3.163</w:t>
            </w:r>
          </w:p>
        </w:tc>
        <w:tc>
          <w:tcPr>
            <w:tcW w:w="1106" w:type="dxa"/>
            <w:tcBorders>
              <w:top w:val="single" w:sz="4" w:space="0" w:color="auto"/>
              <w:left w:val="single" w:sz="4" w:space="0" w:color="auto"/>
              <w:bottom w:val="single" w:sz="4" w:space="0" w:color="auto"/>
              <w:right w:val="single" w:sz="4" w:space="0" w:color="auto"/>
            </w:tcBorders>
            <w:vAlign w:val="center"/>
          </w:tcPr>
          <w:p w:rsidR="008868A1" w:rsidRPr="008868A1" w:rsidRDefault="008868A1" w:rsidP="000E766A">
            <w:pPr>
              <w:tabs>
                <w:tab w:val="left" w:pos="3622"/>
              </w:tabs>
              <w:spacing w:after="0" w:line="240" w:lineRule="auto"/>
              <w:jc w:val="center"/>
              <w:rPr>
                <w:rFonts w:ascii="Times New Roman" w:eastAsia="Times New Roman" w:hAnsi="Times New Roman" w:cs="Times New Roman"/>
                <w:sz w:val="16"/>
                <w:szCs w:val="16"/>
                <w:lang w:val="en-US"/>
              </w:rPr>
            </w:pPr>
            <w:r w:rsidRPr="008868A1">
              <w:rPr>
                <w:rFonts w:ascii="Times New Roman" w:eastAsia="Times New Roman" w:hAnsi="Times New Roman" w:cs="Times New Roman"/>
                <w:sz w:val="16"/>
                <w:szCs w:val="16"/>
                <w:lang w:val="en-US"/>
              </w:rPr>
              <w:t>3.401</w:t>
            </w:r>
          </w:p>
        </w:tc>
      </w:tr>
    </w:tbl>
    <w:p w:rsidR="008042DF" w:rsidRDefault="008042DF" w:rsidP="00F55A41">
      <w:pPr>
        <w:jc w:val="both"/>
        <w:rPr>
          <w:rFonts w:ascii="Times New Roman" w:hAnsi="Times New Roman" w:cs="Times New Roman"/>
          <w:sz w:val="24"/>
          <w:szCs w:val="24"/>
        </w:rPr>
      </w:pPr>
    </w:p>
    <w:p w:rsidR="00726208" w:rsidRDefault="00726208" w:rsidP="00F55A41">
      <w:pPr>
        <w:jc w:val="both"/>
        <w:rPr>
          <w:rFonts w:ascii="Times New Roman" w:hAnsi="Times New Roman" w:cs="Times New Roman"/>
          <w:sz w:val="24"/>
          <w:szCs w:val="24"/>
        </w:rPr>
      </w:pPr>
      <w:r>
        <w:rPr>
          <w:rFonts w:ascii="Times New Roman" w:hAnsi="Times New Roman" w:cs="Times New Roman"/>
          <w:sz w:val="24"/>
          <w:szCs w:val="24"/>
        </w:rPr>
        <w:t xml:space="preserve">Учешће јавних набавки у бруто домаћем производу повећало се са 6,8% у 2013. години на 7,7% у 2014. </w:t>
      </w:r>
      <w:r w:rsidR="00A108C9">
        <w:rPr>
          <w:rFonts w:ascii="Times New Roman" w:hAnsi="Times New Roman" w:cs="Times New Roman"/>
          <w:sz w:val="24"/>
          <w:szCs w:val="24"/>
        </w:rPr>
        <w:t>г</w:t>
      </w:r>
      <w:r>
        <w:rPr>
          <w:rFonts w:ascii="Times New Roman" w:hAnsi="Times New Roman" w:cs="Times New Roman"/>
          <w:sz w:val="24"/>
          <w:szCs w:val="24"/>
        </w:rPr>
        <w:t>одини</w:t>
      </w:r>
      <w:r w:rsidR="00A108C9">
        <w:rPr>
          <w:rFonts w:ascii="Times New Roman" w:hAnsi="Times New Roman" w:cs="Times New Roman"/>
          <w:sz w:val="24"/>
          <w:szCs w:val="24"/>
        </w:rPr>
        <w:t xml:space="preserve">, што је близу средње вредности остварене у периоду 2003-2014. година, а која се кретала </w:t>
      </w:r>
      <w:r w:rsidR="00FB5AF0">
        <w:rPr>
          <w:rFonts w:ascii="Times New Roman" w:hAnsi="Times New Roman" w:cs="Times New Roman"/>
          <w:sz w:val="24"/>
          <w:szCs w:val="24"/>
        </w:rPr>
        <w:t>у распону од 6,6% 2009. до 8,9%</w:t>
      </w:r>
      <w:r w:rsidR="00566B8F">
        <w:rPr>
          <w:rFonts w:ascii="Times New Roman" w:hAnsi="Times New Roman" w:cs="Times New Roman"/>
          <w:sz w:val="24"/>
          <w:szCs w:val="24"/>
          <w:lang w:val="sr-Cyrl-RS"/>
        </w:rPr>
        <w:t xml:space="preserve"> </w:t>
      </w:r>
      <w:r w:rsidR="00A108C9">
        <w:rPr>
          <w:rFonts w:ascii="Times New Roman" w:hAnsi="Times New Roman" w:cs="Times New Roman"/>
          <w:sz w:val="24"/>
          <w:szCs w:val="24"/>
        </w:rPr>
        <w:t xml:space="preserve">2010. године (Табела 2). </w:t>
      </w:r>
    </w:p>
    <w:p w:rsidR="003C54F7" w:rsidRPr="003C54F7" w:rsidRDefault="003C54F7" w:rsidP="00F55A41">
      <w:pPr>
        <w:jc w:val="both"/>
        <w:rPr>
          <w:rFonts w:ascii="Times New Roman" w:hAnsi="Times New Roman" w:cs="Times New Roman"/>
          <w:b/>
          <w:sz w:val="24"/>
          <w:szCs w:val="24"/>
        </w:rPr>
      </w:pPr>
      <w:r w:rsidRPr="00B74FB0">
        <w:rPr>
          <w:rFonts w:ascii="Times New Roman" w:hAnsi="Times New Roman" w:cs="Times New Roman"/>
          <w:b/>
          <w:sz w:val="24"/>
          <w:szCs w:val="24"/>
        </w:rPr>
        <w:t xml:space="preserve">Табела </w:t>
      </w:r>
      <w:r>
        <w:rPr>
          <w:rFonts w:ascii="Times New Roman" w:hAnsi="Times New Roman" w:cs="Times New Roman"/>
          <w:b/>
          <w:sz w:val="24"/>
          <w:szCs w:val="24"/>
        </w:rPr>
        <w:t>2</w:t>
      </w:r>
    </w:p>
    <w:tbl>
      <w:tblPr>
        <w:tblW w:w="14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7"/>
        <w:gridCol w:w="1166"/>
        <w:gridCol w:w="1166"/>
        <w:gridCol w:w="1166"/>
        <w:gridCol w:w="1166"/>
        <w:gridCol w:w="1166"/>
        <w:gridCol w:w="1166"/>
        <w:gridCol w:w="1166"/>
        <w:gridCol w:w="1166"/>
        <w:gridCol w:w="1166"/>
        <w:gridCol w:w="1166"/>
        <w:gridCol w:w="1166"/>
        <w:gridCol w:w="1231"/>
      </w:tblGrid>
      <w:tr w:rsidR="003E33AD" w:rsidTr="000E766A">
        <w:trPr>
          <w:trHeight w:val="367"/>
          <w:jc w:val="center"/>
        </w:trPr>
        <w:tc>
          <w:tcPr>
            <w:tcW w:w="14764" w:type="dxa"/>
            <w:gridSpan w:val="13"/>
            <w:vAlign w:val="center"/>
          </w:tcPr>
          <w:p w:rsidR="003E33AD" w:rsidRDefault="003E33AD" w:rsidP="000E766A">
            <w:pPr>
              <w:jc w:val="center"/>
              <w:rPr>
                <w:rFonts w:ascii="Times New Roman" w:hAnsi="Times New Roman" w:cs="Times New Roman"/>
                <w:b/>
                <w:sz w:val="24"/>
                <w:szCs w:val="24"/>
              </w:rPr>
            </w:pPr>
            <w:r w:rsidRPr="003E33AD">
              <w:rPr>
                <w:rFonts w:ascii="Times New Roman" w:hAnsi="Times New Roman" w:cs="Times New Roman"/>
                <w:b/>
                <w:sz w:val="24"/>
                <w:szCs w:val="24"/>
              </w:rPr>
              <w:t>Учешће јавних набавки у бруто-домаћем производу</w:t>
            </w:r>
            <w:r>
              <w:rPr>
                <w:rStyle w:val="FootnoteReference"/>
                <w:rFonts w:ascii="Times New Roman" w:hAnsi="Times New Roman" w:cs="Times New Roman"/>
                <w:b/>
                <w:sz w:val="24"/>
                <w:szCs w:val="24"/>
              </w:rPr>
              <w:footnoteReference w:id="1"/>
            </w:r>
          </w:p>
        </w:tc>
      </w:tr>
      <w:tr w:rsidR="003E33AD" w:rsidRPr="003E33AD" w:rsidTr="000E766A">
        <w:tblPrEx>
          <w:tblLook w:val="04A0" w:firstRow="1" w:lastRow="0" w:firstColumn="1" w:lastColumn="0" w:noHBand="0" w:noVBand="1"/>
        </w:tblPrEx>
        <w:trPr>
          <w:jc w:val="center"/>
        </w:trPr>
        <w:tc>
          <w:tcPr>
            <w:tcW w:w="1128"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tabs>
                <w:tab w:val="left" w:pos="3622"/>
              </w:tabs>
              <w:jc w:val="center"/>
              <w:rPr>
                <w:rFonts w:ascii="Times New Roman" w:eastAsia="Times New Roman" w:hAnsi="Times New Roman" w:cs="Times New Roman"/>
                <w:b/>
                <w:sz w:val="20"/>
                <w:szCs w:val="20"/>
              </w:rPr>
            </w:pPr>
            <w:r w:rsidRPr="003E33AD">
              <w:rPr>
                <w:rFonts w:ascii="Times New Roman" w:eastAsia="Times New Roman" w:hAnsi="Times New Roman" w:cs="Times New Roman"/>
                <w:b/>
                <w:sz w:val="20"/>
                <w:szCs w:val="20"/>
              </w:rPr>
              <w:t>Година</w:t>
            </w:r>
          </w:p>
        </w:tc>
        <w:tc>
          <w:tcPr>
            <w:tcW w:w="1266"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2003.</w:t>
            </w:r>
          </w:p>
        </w:tc>
        <w:tc>
          <w:tcPr>
            <w:tcW w:w="1118"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2004.</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2005.</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2006.</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2007.</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2008.</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2009.</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2010.</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2011.</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2012.</w:t>
            </w:r>
          </w:p>
        </w:tc>
        <w:tc>
          <w:tcPr>
            <w:tcW w:w="1119"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2013.</w:t>
            </w:r>
          </w:p>
        </w:tc>
        <w:tc>
          <w:tcPr>
            <w:tcW w:w="1181"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b/>
                <w:color w:val="000000"/>
                <w:sz w:val="20"/>
                <w:szCs w:val="20"/>
              </w:rPr>
            </w:pPr>
            <w:r w:rsidRPr="003E33AD">
              <w:rPr>
                <w:rFonts w:ascii="Times New Roman" w:hAnsi="Times New Roman" w:cs="Times New Roman"/>
                <w:b/>
                <w:color w:val="000000"/>
                <w:sz w:val="20"/>
                <w:szCs w:val="20"/>
              </w:rPr>
              <w:t>2014.</w:t>
            </w:r>
          </w:p>
        </w:tc>
      </w:tr>
      <w:tr w:rsidR="003E33AD" w:rsidRPr="003E33AD" w:rsidTr="000E766A">
        <w:tblPrEx>
          <w:tblLook w:val="04A0" w:firstRow="1" w:lastRow="0" w:firstColumn="1" w:lastColumn="0" w:noHBand="0" w:noVBand="1"/>
        </w:tblPrEx>
        <w:trPr>
          <w:jc w:val="center"/>
        </w:trPr>
        <w:tc>
          <w:tcPr>
            <w:tcW w:w="1128" w:type="dxa"/>
            <w:tcBorders>
              <w:top w:val="single" w:sz="4" w:space="0" w:color="auto"/>
              <w:left w:val="single" w:sz="4" w:space="0" w:color="auto"/>
              <w:bottom w:val="single" w:sz="4" w:space="0" w:color="auto"/>
              <w:right w:val="single" w:sz="4" w:space="0" w:color="auto"/>
            </w:tcBorders>
            <w:vAlign w:val="center"/>
            <w:hideMark/>
          </w:tcPr>
          <w:p w:rsidR="003E33AD" w:rsidRPr="003E33AD" w:rsidRDefault="003E33AD" w:rsidP="000E766A">
            <w:pPr>
              <w:tabs>
                <w:tab w:val="left" w:pos="3622"/>
              </w:tabs>
              <w:jc w:val="center"/>
              <w:rPr>
                <w:rFonts w:ascii="Times New Roman" w:eastAsia="Times New Roman" w:hAnsi="Times New Roman" w:cs="Times New Roman"/>
                <w:b/>
                <w:sz w:val="20"/>
                <w:szCs w:val="20"/>
              </w:rPr>
            </w:pPr>
            <w:r w:rsidRPr="003E33AD">
              <w:rPr>
                <w:rFonts w:ascii="Times New Roman" w:hAnsi="Times New Roman" w:cs="Times New Roman"/>
                <w:b/>
                <w:sz w:val="20"/>
                <w:szCs w:val="20"/>
              </w:rPr>
              <w:t>Уговорена вредност без ПДВ-а</w:t>
            </w:r>
          </w:p>
        </w:tc>
        <w:tc>
          <w:tcPr>
            <w:tcW w:w="1266"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98.778</w:t>
            </w:r>
          </w:p>
        </w:tc>
        <w:tc>
          <w:tcPr>
            <w:tcW w:w="1118"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109.282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124.753</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168.915</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187.560</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234.029</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190.655</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273.055</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293.325</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303.694</w:t>
            </w:r>
          </w:p>
        </w:tc>
        <w:tc>
          <w:tcPr>
            <w:tcW w:w="1119"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262.939</w:t>
            </w:r>
          </w:p>
        </w:tc>
        <w:tc>
          <w:tcPr>
            <w:tcW w:w="1181"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298.374</w:t>
            </w:r>
          </w:p>
        </w:tc>
      </w:tr>
      <w:tr w:rsidR="003E33AD" w:rsidRPr="003E33AD" w:rsidTr="000E766A">
        <w:tblPrEx>
          <w:tblLook w:val="04A0" w:firstRow="1" w:lastRow="0" w:firstColumn="1" w:lastColumn="0" w:noHBand="0" w:noVBand="1"/>
        </w:tblPrEx>
        <w:trPr>
          <w:trHeight w:val="624"/>
          <w:jc w:val="center"/>
        </w:trPr>
        <w:tc>
          <w:tcPr>
            <w:tcW w:w="1128" w:type="dxa"/>
            <w:tcBorders>
              <w:top w:val="single" w:sz="4" w:space="0" w:color="auto"/>
              <w:left w:val="single" w:sz="4" w:space="0" w:color="auto"/>
              <w:bottom w:val="single" w:sz="4" w:space="0" w:color="auto"/>
              <w:right w:val="single" w:sz="4" w:space="0" w:color="auto"/>
            </w:tcBorders>
            <w:vAlign w:val="center"/>
            <w:hideMark/>
          </w:tcPr>
          <w:p w:rsidR="003E33AD" w:rsidRPr="003E33AD" w:rsidRDefault="003E33AD" w:rsidP="000E766A">
            <w:pPr>
              <w:tabs>
                <w:tab w:val="left" w:pos="3622"/>
              </w:tabs>
              <w:jc w:val="center"/>
              <w:rPr>
                <w:rFonts w:ascii="Times New Roman" w:eastAsia="Times New Roman" w:hAnsi="Times New Roman" w:cs="Times New Roman"/>
                <w:b/>
                <w:sz w:val="20"/>
                <w:szCs w:val="20"/>
              </w:rPr>
            </w:pPr>
            <w:r w:rsidRPr="003E33AD">
              <w:rPr>
                <w:rFonts w:ascii="Times New Roman" w:hAnsi="Times New Roman" w:cs="Times New Roman"/>
                <w:b/>
                <w:sz w:val="20"/>
                <w:szCs w:val="20"/>
              </w:rPr>
              <w:t>Вредност БДП-а</w:t>
            </w:r>
            <w:r w:rsidRPr="003E33AD">
              <w:rPr>
                <w:rStyle w:val="FootnoteReference"/>
                <w:rFonts w:ascii="Times New Roman" w:hAnsi="Times New Roman" w:cs="Times New Roman"/>
                <w:b/>
                <w:sz w:val="20"/>
                <w:szCs w:val="20"/>
              </w:rPr>
              <w:footnoteReference w:id="2"/>
            </w:r>
          </w:p>
        </w:tc>
        <w:tc>
          <w:tcPr>
            <w:tcW w:w="1266"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1.220.160,0</w:t>
            </w:r>
          </w:p>
        </w:tc>
        <w:tc>
          <w:tcPr>
            <w:tcW w:w="1118"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1.451.448,2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1.751.371,2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2.055.198,1</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2.355.065,6</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2.744.913,2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2.880.059,0</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3.067.210,2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3.407.536,2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3.584.235,8</w:t>
            </w:r>
          </w:p>
        </w:tc>
        <w:tc>
          <w:tcPr>
            <w:tcW w:w="1119"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3.876.403,4</w:t>
            </w:r>
          </w:p>
        </w:tc>
        <w:tc>
          <w:tcPr>
            <w:tcW w:w="1181"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3.878.024,3</w:t>
            </w:r>
            <w:r w:rsidRPr="003E33AD">
              <w:rPr>
                <w:rStyle w:val="FootnoteReference"/>
                <w:rFonts w:ascii="Times New Roman" w:hAnsi="Times New Roman" w:cs="Times New Roman"/>
                <w:color w:val="000000"/>
                <w:sz w:val="20"/>
                <w:szCs w:val="20"/>
              </w:rPr>
              <w:footnoteReference w:id="3"/>
            </w:r>
          </w:p>
        </w:tc>
      </w:tr>
      <w:tr w:rsidR="003E33AD" w:rsidRPr="003E33AD" w:rsidTr="000E766A">
        <w:tblPrEx>
          <w:tblLook w:val="04A0" w:firstRow="1" w:lastRow="0" w:firstColumn="1" w:lastColumn="0" w:noHBand="0" w:noVBand="1"/>
        </w:tblPrEx>
        <w:trPr>
          <w:trHeight w:val="445"/>
          <w:jc w:val="center"/>
        </w:trPr>
        <w:tc>
          <w:tcPr>
            <w:tcW w:w="1128" w:type="dxa"/>
            <w:tcBorders>
              <w:top w:val="single" w:sz="4" w:space="0" w:color="auto"/>
              <w:left w:val="single" w:sz="4" w:space="0" w:color="auto"/>
              <w:bottom w:val="single" w:sz="4" w:space="0" w:color="auto"/>
              <w:right w:val="single" w:sz="4" w:space="0" w:color="auto"/>
            </w:tcBorders>
            <w:vAlign w:val="center"/>
            <w:hideMark/>
          </w:tcPr>
          <w:p w:rsidR="003E33AD" w:rsidRPr="003E33AD" w:rsidRDefault="003E33AD" w:rsidP="000E766A">
            <w:pPr>
              <w:tabs>
                <w:tab w:val="left" w:pos="3622"/>
              </w:tabs>
              <w:jc w:val="center"/>
              <w:rPr>
                <w:rFonts w:ascii="Times New Roman" w:eastAsia="Times New Roman" w:hAnsi="Times New Roman" w:cs="Times New Roman"/>
                <w:b/>
                <w:sz w:val="20"/>
                <w:szCs w:val="20"/>
              </w:rPr>
            </w:pPr>
            <w:r w:rsidRPr="003E33AD">
              <w:rPr>
                <w:rFonts w:ascii="Times New Roman" w:hAnsi="Times New Roman" w:cs="Times New Roman"/>
                <w:b/>
                <w:sz w:val="20"/>
                <w:szCs w:val="20"/>
              </w:rPr>
              <w:t>%</w:t>
            </w:r>
          </w:p>
        </w:tc>
        <w:tc>
          <w:tcPr>
            <w:tcW w:w="1266"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8,10</w:t>
            </w:r>
          </w:p>
        </w:tc>
        <w:tc>
          <w:tcPr>
            <w:tcW w:w="1118"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7,53</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7,12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8,22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7,96</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8,53</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6,62</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8,90</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8,61</w:t>
            </w:r>
          </w:p>
        </w:tc>
        <w:tc>
          <w:tcPr>
            <w:tcW w:w="0" w:type="auto"/>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8,47</w:t>
            </w:r>
          </w:p>
        </w:tc>
        <w:tc>
          <w:tcPr>
            <w:tcW w:w="1119"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6,78</w:t>
            </w:r>
          </w:p>
        </w:tc>
        <w:tc>
          <w:tcPr>
            <w:tcW w:w="1181" w:type="dxa"/>
            <w:tcBorders>
              <w:top w:val="single" w:sz="4" w:space="0" w:color="auto"/>
              <w:left w:val="single" w:sz="4" w:space="0" w:color="auto"/>
              <w:bottom w:val="single" w:sz="4" w:space="0" w:color="auto"/>
              <w:right w:val="single" w:sz="4" w:space="0" w:color="auto"/>
            </w:tcBorders>
            <w:vAlign w:val="center"/>
          </w:tcPr>
          <w:p w:rsidR="003E33AD" w:rsidRPr="003E33AD" w:rsidRDefault="003E33AD" w:rsidP="000E766A">
            <w:pPr>
              <w:jc w:val="center"/>
              <w:rPr>
                <w:rFonts w:ascii="Times New Roman" w:hAnsi="Times New Roman" w:cs="Times New Roman"/>
                <w:color w:val="000000"/>
                <w:sz w:val="20"/>
                <w:szCs w:val="20"/>
              </w:rPr>
            </w:pPr>
            <w:r w:rsidRPr="003E33AD">
              <w:rPr>
                <w:rFonts w:ascii="Times New Roman" w:hAnsi="Times New Roman" w:cs="Times New Roman"/>
                <w:color w:val="000000"/>
                <w:sz w:val="20"/>
                <w:szCs w:val="20"/>
              </w:rPr>
              <w:t>7,69</w:t>
            </w:r>
          </w:p>
        </w:tc>
      </w:tr>
    </w:tbl>
    <w:p w:rsidR="00DD11DD" w:rsidRDefault="00DD11DD" w:rsidP="00F55A41">
      <w:pPr>
        <w:jc w:val="both"/>
        <w:rPr>
          <w:rFonts w:ascii="Times New Roman" w:hAnsi="Times New Roman" w:cs="Times New Roman"/>
          <w:sz w:val="24"/>
          <w:szCs w:val="24"/>
        </w:rPr>
        <w:sectPr w:rsidR="00DD11DD" w:rsidSect="00F506EB">
          <w:pgSz w:w="15840" w:h="12240" w:orient="landscape"/>
          <w:pgMar w:top="720" w:right="720" w:bottom="720" w:left="720" w:header="708" w:footer="708" w:gutter="0"/>
          <w:cols w:space="708"/>
          <w:docGrid w:linePitch="360"/>
        </w:sectPr>
      </w:pPr>
    </w:p>
    <w:p w:rsidR="00C0772D" w:rsidRPr="00F9719B" w:rsidRDefault="00696571" w:rsidP="00F55A4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Учешће набавки мале вредности у укупној вредности јавних набавки </w:t>
      </w:r>
      <w:r w:rsidR="00930737">
        <w:rPr>
          <w:rFonts w:ascii="Times New Roman" w:hAnsi="Times New Roman" w:cs="Times New Roman"/>
          <w:sz w:val="24"/>
          <w:szCs w:val="24"/>
        </w:rPr>
        <w:t xml:space="preserve">смањено је са </w:t>
      </w:r>
      <w:r w:rsidR="00897396" w:rsidRPr="000B194B">
        <w:rPr>
          <w:rFonts w:ascii="Times New Roman" w:hAnsi="Times New Roman" w:cs="Times New Roman"/>
          <w:color w:val="000000" w:themeColor="text1"/>
          <w:sz w:val="24"/>
          <w:szCs w:val="24"/>
        </w:rPr>
        <w:t>1</w:t>
      </w:r>
      <w:r w:rsidR="00897396" w:rsidRPr="000B194B">
        <w:rPr>
          <w:rFonts w:ascii="Times New Roman" w:hAnsi="Times New Roman" w:cs="Times New Roman"/>
          <w:color w:val="000000" w:themeColor="text1"/>
          <w:sz w:val="24"/>
          <w:szCs w:val="24"/>
          <w:lang w:val="sr-Cyrl-CS"/>
        </w:rPr>
        <w:t>7</w:t>
      </w:r>
      <w:r w:rsidR="00EF0C80" w:rsidRPr="000B194B">
        <w:rPr>
          <w:rFonts w:ascii="Times New Roman" w:hAnsi="Times New Roman" w:cs="Times New Roman"/>
          <w:color w:val="000000" w:themeColor="text1"/>
          <w:sz w:val="24"/>
          <w:szCs w:val="24"/>
        </w:rPr>
        <w:t>%</w:t>
      </w:r>
      <w:r w:rsidR="008868A1" w:rsidRPr="000B194B">
        <w:rPr>
          <w:rFonts w:ascii="Times New Roman" w:hAnsi="Times New Roman" w:cs="Times New Roman"/>
          <w:color w:val="000000" w:themeColor="text1"/>
          <w:sz w:val="24"/>
          <w:szCs w:val="24"/>
        </w:rPr>
        <w:t xml:space="preserve"> у </w:t>
      </w:r>
      <w:r w:rsidR="00EF0C80" w:rsidRPr="000B194B">
        <w:rPr>
          <w:rFonts w:ascii="Times New Roman" w:hAnsi="Times New Roman" w:cs="Times New Roman"/>
          <w:color w:val="000000" w:themeColor="text1"/>
          <w:sz w:val="24"/>
          <w:szCs w:val="24"/>
        </w:rPr>
        <w:t>2013</w:t>
      </w:r>
      <w:r w:rsidR="008868A1" w:rsidRPr="000B194B">
        <w:rPr>
          <w:rFonts w:ascii="Times New Roman" w:hAnsi="Times New Roman" w:cs="Times New Roman"/>
          <w:color w:val="000000" w:themeColor="text1"/>
          <w:sz w:val="24"/>
          <w:szCs w:val="24"/>
        </w:rPr>
        <w:t>. годин</w:t>
      </w:r>
      <w:r w:rsidR="008868A1" w:rsidRPr="000B194B">
        <w:rPr>
          <w:rFonts w:ascii="Times New Roman" w:hAnsi="Times New Roman" w:cs="Times New Roman"/>
          <w:color w:val="000000" w:themeColor="text1"/>
          <w:sz w:val="24"/>
          <w:szCs w:val="24"/>
          <w:lang w:val="sr-Cyrl-CS"/>
        </w:rPr>
        <w:t>и</w:t>
      </w:r>
      <w:r w:rsidR="00EF0C80" w:rsidRPr="000B194B">
        <w:rPr>
          <w:rFonts w:ascii="Times New Roman" w:hAnsi="Times New Roman" w:cs="Times New Roman"/>
          <w:color w:val="000000" w:themeColor="text1"/>
          <w:sz w:val="24"/>
          <w:szCs w:val="24"/>
        </w:rPr>
        <w:t xml:space="preserve"> на </w:t>
      </w:r>
      <w:r w:rsidR="000B194B">
        <w:rPr>
          <w:rFonts w:ascii="Times New Roman" w:hAnsi="Times New Roman" w:cs="Times New Roman"/>
          <w:color w:val="000000" w:themeColor="text1"/>
          <w:sz w:val="24"/>
          <w:szCs w:val="24"/>
        </w:rPr>
        <w:t xml:space="preserve">свега </w:t>
      </w:r>
      <w:r w:rsidR="008868A1" w:rsidRPr="000B194B">
        <w:rPr>
          <w:rFonts w:ascii="Times New Roman" w:hAnsi="Times New Roman" w:cs="Times New Roman"/>
          <w:color w:val="000000" w:themeColor="text1"/>
          <w:sz w:val="24"/>
          <w:szCs w:val="24"/>
          <w:lang w:val="sr-Cyrl-CS"/>
        </w:rPr>
        <w:t>8</w:t>
      </w:r>
      <w:r w:rsidR="00EF0C80" w:rsidRPr="000B194B">
        <w:rPr>
          <w:rFonts w:ascii="Times New Roman" w:hAnsi="Times New Roman" w:cs="Times New Roman"/>
          <w:color w:val="000000" w:themeColor="text1"/>
          <w:sz w:val="24"/>
          <w:szCs w:val="24"/>
        </w:rPr>
        <w:t>%</w:t>
      </w:r>
      <w:r w:rsidR="00EF0C80">
        <w:rPr>
          <w:rFonts w:ascii="Times New Roman" w:hAnsi="Times New Roman" w:cs="Times New Roman"/>
          <w:sz w:val="24"/>
          <w:szCs w:val="24"/>
        </w:rPr>
        <w:t xml:space="preserve"> у 2014. </w:t>
      </w:r>
      <w:r w:rsidR="00E9604D">
        <w:rPr>
          <w:rFonts w:ascii="Times New Roman" w:hAnsi="Times New Roman" w:cs="Times New Roman"/>
          <w:sz w:val="24"/>
          <w:szCs w:val="24"/>
        </w:rPr>
        <w:t>г</w:t>
      </w:r>
      <w:r w:rsidR="00EF0C80">
        <w:rPr>
          <w:rFonts w:ascii="Times New Roman" w:hAnsi="Times New Roman" w:cs="Times New Roman"/>
          <w:sz w:val="24"/>
          <w:szCs w:val="24"/>
        </w:rPr>
        <w:t>один</w:t>
      </w:r>
      <w:r w:rsidR="000B194B">
        <w:rPr>
          <w:rFonts w:ascii="Times New Roman" w:hAnsi="Times New Roman" w:cs="Times New Roman"/>
          <w:sz w:val="24"/>
          <w:szCs w:val="24"/>
        </w:rPr>
        <w:t>и</w:t>
      </w:r>
      <w:r w:rsidR="00EF0C80">
        <w:rPr>
          <w:rFonts w:ascii="Times New Roman" w:hAnsi="Times New Roman" w:cs="Times New Roman"/>
          <w:sz w:val="24"/>
          <w:szCs w:val="24"/>
        </w:rPr>
        <w:t xml:space="preserve"> (Слика1)</w:t>
      </w:r>
      <w:r>
        <w:rPr>
          <w:rFonts w:ascii="Times New Roman" w:hAnsi="Times New Roman" w:cs="Times New Roman"/>
          <w:sz w:val="24"/>
          <w:szCs w:val="24"/>
        </w:rPr>
        <w:t xml:space="preserve">. </w:t>
      </w:r>
      <w:r w:rsidR="00982C18" w:rsidRPr="00F9719B">
        <w:rPr>
          <w:rFonts w:ascii="Times New Roman" w:hAnsi="Times New Roman" w:cs="Times New Roman"/>
          <w:sz w:val="24"/>
          <w:szCs w:val="24"/>
        </w:rPr>
        <w:t>Један о</w:t>
      </w:r>
      <w:r w:rsidR="00455481" w:rsidRPr="00F9719B">
        <w:rPr>
          <w:rFonts w:ascii="Times New Roman" w:hAnsi="Times New Roman" w:cs="Times New Roman"/>
          <w:sz w:val="24"/>
          <w:szCs w:val="24"/>
        </w:rPr>
        <w:t>д</w:t>
      </w:r>
      <w:r w:rsidR="00982C18" w:rsidRPr="00F9719B">
        <w:rPr>
          <w:rFonts w:ascii="Times New Roman" w:hAnsi="Times New Roman" w:cs="Times New Roman"/>
          <w:sz w:val="24"/>
          <w:szCs w:val="24"/>
        </w:rPr>
        <w:t xml:space="preserve"> узрока смањења релативног значаја јавних набавки мале вредности </w:t>
      </w:r>
      <w:r w:rsidR="00C0772D" w:rsidRPr="00F9719B">
        <w:rPr>
          <w:rFonts w:ascii="Times New Roman" w:hAnsi="Times New Roman" w:cs="Times New Roman"/>
          <w:sz w:val="24"/>
          <w:szCs w:val="24"/>
        </w:rPr>
        <w:t xml:space="preserve">свакако </w:t>
      </w:r>
      <w:r w:rsidR="00982C18" w:rsidRPr="00F9719B">
        <w:rPr>
          <w:rFonts w:ascii="Times New Roman" w:hAnsi="Times New Roman" w:cs="Times New Roman"/>
          <w:sz w:val="24"/>
          <w:szCs w:val="24"/>
        </w:rPr>
        <w:t>је низак праг прописан Законом за јавне набавке мале вредности. Наиме</w:t>
      </w:r>
      <w:r w:rsidR="00455481" w:rsidRPr="00F9719B">
        <w:rPr>
          <w:rFonts w:ascii="Times New Roman" w:hAnsi="Times New Roman" w:cs="Times New Roman"/>
          <w:sz w:val="24"/>
          <w:szCs w:val="24"/>
        </w:rPr>
        <w:t>,</w:t>
      </w:r>
      <w:r w:rsidR="00982C18" w:rsidRPr="00F9719B">
        <w:rPr>
          <w:rFonts w:ascii="Times New Roman" w:hAnsi="Times New Roman" w:cs="Times New Roman"/>
          <w:sz w:val="24"/>
          <w:szCs w:val="24"/>
        </w:rPr>
        <w:t xml:space="preserve"> Закон прописује да наручилац може примењивати поступак јавне наб</w:t>
      </w:r>
      <w:r w:rsidR="00455481" w:rsidRPr="00F9719B">
        <w:rPr>
          <w:rFonts w:ascii="Times New Roman" w:hAnsi="Times New Roman" w:cs="Times New Roman"/>
          <w:sz w:val="24"/>
          <w:szCs w:val="24"/>
        </w:rPr>
        <w:t>а</w:t>
      </w:r>
      <w:r w:rsidR="00982C18" w:rsidRPr="00F9719B">
        <w:rPr>
          <w:rFonts w:ascii="Times New Roman" w:hAnsi="Times New Roman" w:cs="Times New Roman"/>
          <w:sz w:val="24"/>
          <w:szCs w:val="24"/>
        </w:rPr>
        <w:t>вке мале вредности</w:t>
      </w:r>
      <w:r w:rsidR="00455481" w:rsidRPr="00F9719B">
        <w:rPr>
          <w:rFonts w:ascii="Times New Roman" w:hAnsi="Times New Roman" w:cs="Times New Roman"/>
          <w:sz w:val="24"/>
          <w:szCs w:val="24"/>
        </w:rPr>
        <w:t xml:space="preserve"> у случају набавки</w:t>
      </w:r>
      <w:r w:rsidR="00687D79" w:rsidRPr="00F9719B">
        <w:rPr>
          <w:rFonts w:ascii="Times New Roman" w:hAnsi="Times New Roman" w:cs="Times New Roman"/>
          <w:sz w:val="24"/>
          <w:szCs w:val="24"/>
          <w:lang w:val="sr-Cyrl-RS"/>
        </w:rPr>
        <w:t xml:space="preserve"> </w:t>
      </w:r>
      <w:r w:rsidR="00455481" w:rsidRPr="00F9719B">
        <w:rPr>
          <w:rFonts w:ascii="Times New Roman" w:hAnsi="Times New Roman" w:cs="Times New Roman"/>
          <w:sz w:val="24"/>
          <w:szCs w:val="24"/>
        </w:rPr>
        <w:t>чија је укупна процењена вредност</w:t>
      </w:r>
      <w:r w:rsidR="00455481" w:rsidRPr="00F9719B">
        <w:rPr>
          <w:rFonts w:ascii="Times New Roman" w:hAnsi="Times New Roman" w:cs="Times New Roman"/>
          <w:bCs/>
          <w:sz w:val="24"/>
          <w:szCs w:val="24"/>
        </w:rPr>
        <w:t xml:space="preserve"> на годишњем нивоу</w:t>
      </w:r>
      <w:r w:rsidR="00455481" w:rsidRPr="00F9719B">
        <w:rPr>
          <w:rFonts w:ascii="Times New Roman" w:hAnsi="Times New Roman" w:cs="Times New Roman"/>
          <w:sz w:val="24"/>
          <w:szCs w:val="24"/>
        </w:rPr>
        <w:t xml:space="preserve"> нижа од 3.000.000 динара. Овај праг је у 2011. години био виши и износио 3.175.000,00 динара</w:t>
      </w:r>
      <w:r w:rsidR="00C0772D" w:rsidRPr="00F9719B">
        <w:rPr>
          <w:rFonts w:ascii="Times New Roman" w:hAnsi="Times New Roman" w:cs="Times New Roman"/>
          <w:sz w:val="24"/>
          <w:szCs w:val="24"/>
        </w:rPr>
        <w:t>,</w:t>
      </w:r>
      <w:r w:rsidR="00455481" w:rsidRPr="00F9719B">
        <w:rPr>
          <w:rFonts w:ascii="Times New Roman" w:hAnsi="Times New Roman" w:cs="Times New Roman"/>
          <w:sz w:val="24"/>
          <w:szCs w:val="24"/>
        </w:rPr>
        <w:t xml:space="preserve"> док је просечна вредност уговора</w:t>
      </w:r>
      <w:r w:rsidR="00C0772D" w:rsidRPr="00F9719B">
        <w:rPr>
          <w:rFonts w:ascii="Times New Roman" w:hAnsi="Times New Roman" w:cs="Times New Roman"/>
          <w:sz w:val="24"/>
          <w:szCs w:val="24"/>
        </w:rPr>
        <w:t xml:space="preserve"> износила 2.637.000 динара (Табела 1). У 2014. години просечна вредност уговора је порасла за 31%, док је праг за набавке мале вредности смањен. </w:t>
      </w:r>
    </w:p>
    <w:p w:rsidR="00C06C5A" w:rsidRDefault="000B4B53" w:rsidP="000E766A">
      <w:pPr>
        <w:jc w:val="center"/>
        <w:rPr>
          <w:rFonts w:ascii="Times New Roman" w:hAnsi="Times New Roman" w:cs="Times New Roman"/>
          <w:sz w:val="24"/>
          <w:szCs w:val="24"/>
        </w:rPr>
      </w:pPr>
      <w:r w:rsidRPr="00F229D7">
        <w:rPr>
          <w:rFonts w:ascii="Times New Roman" w:hAnsi="Times New Roman" w:cs="Times New Roman"/>
          <w:b/>
          <w:sz w:val="24"/>
          <w:szCs w:val="24"/>
        </w:rPr>
        <w:t xml:space="preserve">Слика </w:t>
      </w:r>
      <w:r w:rsidR="00696571" w:rsidRPr="00F229D7">
        <w:rPr>
          <w:rFonts w:ascii="Times New Roman" w:hAnsi="Times New Roman" w:cs="Times New Roman"/>
          <w:b/>
          <w:sz w:val="24"/>
          <w:szCs w:val="24"/>
        </w:rPr>
        <w:t>1</w:t>
      </w:r>
      <w:r w:rsidR="00CC3111" w:rsidRPr="00F229D7">
        <w:rPr>
          <w:rFonts w:ascii="Times New Roman" w:hAnsi="Times New Roman" w:cs="Times New Roman"/>
          <w:b/>
          <w:sz w:val="24"/>
          <w:szCs w:val="24"/>
        </w:rPr>
        <w:br/>
      </w:r>
      <w:bookmarkStart w:id="0" w:name="_MON_1490005528"/>
      <w:bookmarkEnd w:id="0"/>
      <w:r w:rsidR="00687D79" w:rsidRPr="00EF7490">
        <w:rPr>
          <w:rFonts w:ascii="Times New Roman" w:hAnsi="Times New Roman" w:cs="Times New Roman"/>
          <w:sz w:val="24"/>
          <w:szCs w:val="24"/>
        </w:rPr>
        <w:object w:dxaOrig="7935" w:dyaOrig="5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264pt" o:ole="">
            <v:imagedata r:id="rId13" o:title=""/>
          </v:shape>
          <o:OLEObject Type="Embed" ProgID="Excel.Sheet.12" ShapeID="_x0000_i1025" DrawAspect="Content" ObjectID="_1491048508" r:id="rId14"/>
        </w:object>
      </w:r>
    </w:p>
    <w:p w:rsidR="00C0772D" w:rsidRPr="00F9719B" w:rsidRDefault="00BA4C07" w:rsidP="00F55A41">
      <w:pPr>
        <w:jc w:val="both"/>
        <w:rPr>
          <w:rFonts w:ascii="Times New Roman" w:hAnsi="Times New Roman" w:cs="Times New Roman"/>
          <w:sz w:val="24"/>
          <w:szCs w:val="24"/>
        </w:rPr>
      </w:pPr>
      <w:r w:rsidRPr="00F9719B">
        <w:rPr>
          <w:rFonts w:ascii="Times New Roman" w:hAnsi="Times New Roman" w:cs="Times New Roman"/>
          <w:sz w:val="24"/>
          <w:szCs w:val="24"/>
        </w:rPr>
        <w:t xml:space="preserve">Структура јавних набавки, посматрано по категоријама наручилаца, </w:t>
      </w:r>
      <w:r w:rsidR="004411EB" w:rsidRPr="00F9719B">
        <w:rPr>
          <w:rFonts w:ascii="Times New Roman" w:hAnsi="Times New Roman" w:cs="Times New Roman"/>
          <w:sz w:val="24"/>
          <w:szCs w:val="24"/>
        </w:rPr>
        <w:t xml:space="preserve">није се значајније </w:t>
      </w:r>
      <w:r w:rsidRPr="00F9719B">
        <w:rPr>
          <w:rFonts w:ascii="Times New Roman" w:hAnsi="Times New Roman" w:cs="Times New Roman"/>
          <w:sz w:val="24"/>
          <w:szCs w:val="24"/>
        </w:rPr>
        <w:t xml:space="preserve">променила </w:t>
      </w:r>
      <w:r w:rsidR="004411EB" w:rsidRPr="00F9719B">
        <w:rPr>
          <w:rFonts w:ascii="Times New Roman" w:hAnsi="Times New Roman" w:cs="Times New Roman"/>
          <w:sz w:val="24"/>
          <w:szCs w:val="24"/>
        </w:rPr>
        <w:t xml:space="preserve">у 2014. у односу на </w:t>
      </w:r>
      <w:r w:rsidR="00AA11E2" w:rsidRPr="00F9719B">
        <w:rPr>
          <w:rFonts w:ascii="Times New Roman" w:hAnsi="Times New Roman" w:cs="Times New Roman"/>
          <w:sz w:val="24"/>
          <w:szCs w:val="24"/>
        </w:rPr>
        <w:t>201</w:t>
      </w:r>
      <w:r w:rsidR="004411EB" w:rsidRPr="00F9719B">
        <w:rPr>
          <w:rFonts w:ascii="Times New Roman" w:hAnsi="Times New Roman" w:cs="Times New Roman"/>
          <w:sz w:val="24"/>
          <w:szCs w:val="24"/>
        </w:rPr>
        <w:t xml:space="preserve">3. </w:t>
      </w:r>
      <w:r w:rsidR="00566B8F" w:rsidRPr="00F9719B">
        <w:rPr>
          <w:rFonts w:ascii="Times New Roman" w:hAnsi="Times New Roman" w:cs="Times New Roman"/>
          <w:sz w:val="24"/>
          <w:szCs w:val="24"/>
          <w:lang w:val="sr-Cyrl-RS"/>
        </w:rPr>
        <w:t>г</w:t>
      </w:r>
      <w:r w:rsidR="004411EB" w:rsidRPr="00F9719B">
        <w:rPr>
          <w:rFonts w:ascii="Times New Roman" w:hAnsi="Times New Roman" w:cs="Times New Roman"/>
          <w:sz w:val="24"/>
          <w:szCs w:val="24"/>
        </w:rPr>
        <w:t>одину</w:t>
      </w:r>
      <w:r w:rsidR="00687D79" w:rsidRPr="00F9719B">
        <w:rPr>
          <w:rFonts w:ascii="Times New Roman" w:hAnsi="Times New Roman" w:cs="Times New Roman"/>
          <w:sz w:val="24"/>
          <w:szCs w:val="24"/>
          <w:lang w:val="sr-Cyrl-RS"/>
        </w:rPr>
        <w:t xml:space="preserve"> </w:t>
      </w:r>
      <w:r w:rsidRPr="00F9719B">
        <w:rPr>
          <w:rFonts w:ascii="Times New Roman" w:hAnsi="Times New Roman" w:cs="Times New Roman"/>
          <w:sz w:val="24"/>
          <w:szCs w:val="24"/>
        </w:rPr>
        <w:t xml:space="preserve">(Табела </w:t>
      </w:r>
      <w:r w:rsidR="00F229D7" w:rsidRPr="00F9719B">
        <w:rPr>
          <w:rFonts w:ascii="Times New Roman" w:hAnsi="Times New Roman" w:cs="Times New Roman"/>
          <w:sz w:val="24"/>
          <w:szCs w:val="24"/>
        </w:rPr>
        <w:t>3</w:t>
      </w:r>
      <w:r w:rsidRPr="00F9719B">
        <w:rPr>
          <w:rFonts w:ascii="Times New Roman" w:hAnsi="Times New Roman" w:cs="Times New Roman"/>
          <w:sz w:val="24"/>
          <w:szCs w:val="24"/>
        </w:rPr>
        <w:t>). Највећ</w:t>
      </w:r>
      <w:r w:rsidR="00BF193D" w:rsidRPr="00F9719B">
        <w:rPr>
          <w:rFonts w:ascii="Times New Roman" w:hAnsi="Times New Roman" w:cs="Times New Roman"/>
          <w:sz w:val="24"/>
          <w:szCs w:val="24"/>
        </w:rPr>
        <w:t>е</w:t>
      </w:r>
      <w:r w:rsidR="004411EB" w:rsidRPr="00F9719B">
        <w:rPr>
          <w:rFonts w:ascii="Times New Roman" w:hAnsi="Times New Roman" w:cs="Times New Roman"/>
          <w:sz w:val="24"/>
          <w:szCs w:val="24"/>
        </w:rPr>
        <w:t xml:space="preserve"> учешће имала су јавна предузећа, установе </w:t>
      </w:r>
      <w:r w:rsidRPr="00F9719B">
        <w:rPr>
          <w:rFonts w:ascii="Times New Roman" w:hAnsi="Times New Roman" w:cs="Times New Roman"/>
          <w:sz w:val="24"/>
          <w:szCs w:val="24"/>
        </w:rPr>
        <w:t>здравств</w:t>
      </w:r>
      <w:r w:rsidR="004411EB" w:rsidRPr="00F9719B">
        <w:rPr>
          <w:rFonts w:ascii="Times New Roman" w:hAnsi="Times New Roman" w:cs="Times New Roman"/>
          <w:sz w:val="24"/>
          <w:szCs w:val="24"/>
        </w:rPr>
        <w:t>ене</w:t>
      </w:r>
      <w:r w:rsidRPr="00F9719B">
        <w:rPr>
          <w:rFonts w:ascii="Times New Roman" w:hAnsi="Times New Roman" w:cs="Times New Roman"/>
          <w:sz w:val="24"/>
          <w:szCs w:val="24"/>
        </w:rPr>
        <w:t xml:space="preserve"> и социјалне заштите </w:t>
      </w:r>
      <w:r w:rsidR="004411EB" w:rsidRPr="00F9719B">
        <w:rPr>
          <w:rFonts w:ascii="Times New Roman" w:hAnsi="Times New Roman" w:cs="Times New Roman"/>
          <w:sz w:val="24"/>
          <w:szCs w:val="24"/>
        </w:rPr>
        <w:t xml:space="preserve">и јавна комунална предузећа. </w:t>
      </w:r>
      <w:r w:rsidR="00897839" w:rsidRPr="00F9719B">
        <w:rPr>
          <w:rFonts w:ascii="Times New Roman" w:hAnsi="Times New Roman" w:cs="Times New Roman"/>
          <w:sz w:val="24"/>
          <w:szCs w:val="24"/>
        </w:rPr>
        <w:t>О</w:t>
      </w:r>
      <w:r w:rsidR="004411EB" w:rsidRPr="00F9719B">
        <w:rPr>
          <w:rFonts w:ascii="Times New Roman" w:hAnsi="Times New Roman" w:cs="Times New Roman"/>
          <w:sz w:val="24"/>
          <w:szCs w:val="24"/>
        </w:rPr>
        <w:t>ве три категорије</w:t>
      </w:r>
      <w:r w:rsidR="00687D79" w:rsidRPr="00F9719B">
        <w:rPr>
          <w:rFonts w:ascii="Times New Roman" w:hAnsi="Times New Roman" w:cs="Times New Roman"/>
          <w:sz w:val="24"/>
          <w:szCs w:val="24"/>
          <w:lang w:val="sr-Cyrl-RS"/>
        </w:rPr>
        <w:t xml:space="preserve"> </w:t>
      </w:r>
      <w:r w:rsidR="00897839" w:rsidRPr="00F9719B">
        <w:rPr>
          <w:rFonts w:ascii="Times New Roman" w:hAnsi="Times New Roman" w:cs="Times New Roman"/>
          <w:sz w:val="24"/>
          <w:szCs w:val="24"/>
        </w:rPr>
        <w:t xml:space="preserve">наручилаца реализовале су 4/5 укупне вредности јавних набавки. </w:t>
      </w:r>
    </w:p>
    <w:p w:rsidR="00C0772D" w:rsidRPr="00C0772D" w:rsidRDefault="00C0772D" w:rsidP="00F55A41">
      <w:pPr>
        <w:jc w:val="both"/>
        <w:rPr>
          <w:rFonts w:ascii="Times New Roman" w:hAnsi="Times New Roman" w:cs="Times New Roman"/>
          <w:sz w:val="24"/>
          <w:szCs w:val="24"/>
        </w:rPr>
      </w:pPr>
    </w:p>
    <w:p w:rsidR="00702410" w:rsidRDefault="00F506EB" w:rsidP="00F55A41">
      <w:pPr>
        <w:jc w:val="both"/>
        <w:rPr>
          <w:rFonts w:ascii="Times New Roman" w:hAnsi="Times New Roman" w:cs="Times New Roman"/>
          <w:sz w:val="24"/>
          <w:szCs w:val="24"/>
        </w:rPr>
        <w:sectPr w:rsidR="00702410" w:rsidSect="00F506EB">
          <w:pgSz w:w="12240" w:h="15840"/>
          <w:pgMar w:top="720" w:right="720" w:bottom="720" w:left="720" w:header="708" w:footer="708" w:gutter="0"/>
          <w:cols w:space="708"/>
          <w:docGrid w:linePitch="360"/>
        </w:sectPr>
      </w:pPr>
      <w:r>
        <w:rPr>
          <w:rFonts w:ascii="Times New Roman" w:hAnsi="Times New Roman" w:cs="Times New Roman"/>
          <w:sz w:val="24"/>
          <w:szCs w:val="24"/>
        </w:rPr>
        <w:br/>
      </w:r>
    </w:p>
    <w:p w:rsidR="009965E9" w:rsidRDefault="00F229D7" w:rsidP="00F55A41">
      <w:pPr>
        <w:jc w:val="both"/>
        <w:rPr>
          <w:rFonts w:ascii="Times New Roman" w:hAnsi="Times New Roman" w:cs="Times New Roman"/>
          <w:b/>
          <w:color w:val="000000" w:themeColor="text1"/>
          <w:sz w:val="24"/>
          <w:szCs w:val="24"/>
        </w:rPr>
      </w:pPr>
      <w:r w:rsidRPr="00F229D7">
        <w:rPr>
          <w:rFonts w:ascii="Times New Roman" w:hAnsi="Times New Roman" w:cs="Times New Roman"/>
          <w:b/>
          <w:color w:val="000000" w:themeColor="text1"/>
          <w:sz w:val="24"/>
          <w:szCs w:val="24"/>
        </w:rPr>
        <w:lastRenderedPageBreak/>
        <w:t>Табела 3</w:t>
      </w:r>
    </w:p>
    <w:tbl>
      <w:tblPr>
        <w:tblStyle w:val="TableGrid"/>
        <w:tblW w:w="9216" w:type="dxa"/>
        <w:jc w:val="center"/>
        <w:tblInd w:w="-837" w:type="dxa"/>
        <w:tblLook w:val="04A0" w:firstRow="1" w:lastRow="0" w:firstColumn="1" w:lastColumn="0" w:noHBand="0" w:noVBand="1"/>
      </w:tblPr>
      <w:tblGrid>
        <w:gridCol w:w="2135"/>
        <w:gridCol w:w="923"/>
        <w:gridCol w:w="754"/>
        <w:gridCol w:w="1331"/>
        <w:gridCol w:w="756"/>
        <w:gridCol w:w="923"/>
        <w:gridCol w:w="579"/>
        <w:gridCol w:w="1236"/>
        <w:gridCol w:w="579"/>
      </w:tblGrid>
      <w:tr w:rsidR="001440AD" w:rsidTr="001440AD">
        <w:trPr>
          <w:trHeight w:val="750"/>
          <w:jc w:val="center"/>
        </w:trPr>
        <w:tc>
          <w:tcPr>
            <w:tcW w:w="9216" w:type="dxa"/>
            <w:gridSpan w:val="9"/>
            <w:tcBorders>
              <w:top w:val="single" w:sz="18" w:space="0" w:color="auto"/>
              <w:left w:val="single" w:sz="18" w:space="0" w:color="auto"/>
              <w:bottom w:val="single" w:sz="4" w:space="0" w:color="auto"/>
              <w:right w:val="single" w:sz="18" w:space="0" w:color="auto"/>
            </w:tcBorders>
            <w:vAlign w:val="center"/>
            <w:hideMark/>
          </w:tcPr>
          <w:p w:rsidR="00A07EAF" w:rsidRPr="00A07EAF" w:rsidRDefault="001440AD" w:rsidP="00A07EAF">
            <w:pPr>
              <w:jc w:val="center"/>
              <w:rPr>
                <w:rFonts w:ascii="Times New Roman" w:eastAsiaTheme="minorEastAsia" w:hAnsi="Times New Roman" w:cs="Times New Roman"/>
                <w:b/>
                <w:sz w:val="20"/>
                <w:szCs w:val="20"/>
              </w:rPr>
            </w:pPr>
            <w:r>
              <w:rPr>
                <w:rFonts w:ascii="Times New Roman" w:hAnsi="Times New Roman" w:cs="Times New Roman"/>
                <w:b/>
                <w:sz w:val="24"/>
                <w:szCs w:val="24"/>
              </w:rPr>
              <w:t xml:space="preserve">Преглед </w:t>
            </w:r>
            <w:r w:rsidR="00A07EAF">
              <w:rPr>
                <w:rFonts w:ascii="Times New Roman" w:hAnsi="Times New Roman" w:cs="Times New Roman"/>
                <w:b/>
                <w:sz w:val="24"/>
                <w:szCs w:val="24"/>
              </w:rPr>
              <w:t xml:space="preserve">укупног броја и вредности </w:t>
            </w:r>
            <w:r>
              <w:rPr>
                <w:rFonts w:ascii="Times New Roman" w:hAnsi="Times New Roman" w:cs="Times New Roman"/>
                <w:b/>
                <w:sz w:val="24"/>
                <w:szCs w:val="24"/>
              </w:rPr>
              <w:t>јавних набавки</w:t>
            </w:r>
            <w:r w:rsidR="00566B8F">
              <w:rPr>
                <w:rFonts w:ascii="Times New Roman" w:hAnsi="Times New Roman" w:cs="Times New Roman"/>
                <w:b/>
                <w:sz w:val="24"/>
                <w:szCs w:val="24"/>
                <w:lang w:val="sr-Cyrl-RS"/>
              </w:rPr>
              <w:t xml:space="preserve"> </w:t>
            </w:r>
            <w:r>
              <w:rPr>
                <w:rFonts w:ascii="Times New Roman" w:hAnsi="Times New Roman" w:cs="Times New Roman"/>
                <w:b/>
                <w:sz w:val="24"/>
                <w:szCs w:val="24"/>
              </w:rPr>
              <w:t xml:space="preserve">по категоријама </w:t>
            </w:r>
            <w:r w:rsidR="00A07EAF">
              <w:rPr>
                <w:rFonts w:ascii="Times New Roman" w:hAnsi="Times New Roman" w:cs="Times New Roman"/>
                <w:b/>
                <w:sz w:val="24"/>
                <w:szCs w:val="24"/>
              </w:rPr>
              <w:t>наручилаца</w:t>
            </w:r>
          </w:p>
          <w:p w:rsidR="001440AD" w:rsidRDefault="001440AD">
            <w:pPr>
              <w:jc w:val="center"/>
              <w:rPr>
                <w:rFonts w:ascii="Times New Roman" w:eastAsiaTheme="minorEastAsia" w:hAnsi="Times New Roman" w:cs="Times New Roman"/>
                <w:b/>
                <w:sz w:val="20"/>
                <w:szCs w:val="20"/>
              </w:rPr>
            </w:pPr>
          </w:p>
        </w:tc>
      </w:tr>
      <w:tr w:rsidR="001440AD" w:rsidTr="001440AD">
        <w:trPr>
          <w:jc w:val="center"/>
        </w:trPr>
        <w:tc>
          <w:tcPr>
            <w:tcW w:w="2135" w:type="dxa"/>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4"/>
                <w:szCs w:val="24"/>
              </w:rPr>
            </w:pPr>
            <w:r>
              <w:rPr>
                <w:rFonts w:ascii="Times New Roman" w:hAnsi="Times New Roman" w:cs="Times New Roman"/>
                <w:b/>
                <w:sz w:val="24"/>
                <w:szCs w:val="24"/>
              </w:rPr>
              <w:t>Период</w:t>
            </w:r>
          </w:p>
        </w:tc>
        <w:tc>
          <w:tcPr>
            <w:tcW w:w="3740" w:type="dxa"/>
            <w:gridSpan w:val="4"/>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4"/>
                <w:szCs w:val="24"/>
              </w:rPr>
            </w:pPr>
            <w:r>
              <w:rPr>
                <w:rFonts w:ascii="Times New Roman" w:hAnsi="Times New Roman" w:cs="Times New Roman"/>
                <w:b/>
                <w:sz w:val="24"/>
                <w:szCs w:val="24"/>
              </w:rPr>
              <w:t>2013. година</w:t>
            </w:r>
          </w:p>
        </w:tc>
        <w:tc>
          <w:tcPr>
            <w:tcW w:w="3341" w:type="dxa"/>
            <w:gridSpan w:val="4"/>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4"/>
                <w:szCs w:val="24"/>
                <w:lang w:val="en-US"/>
              </w:rPr>
            </w:pPr>
            <w:r>
              <w:rPr>
                <w:rFonts w:ascii="Times New Roman" w:hAnsi="Times New Roman" w:cs="Times New Roman"/>
                <w:b/>
                <w:sz w:val="24"/>
                <w:szCs w:val="24"/>
              </w:rPr>
              <w:t>2014. година</w:t>
            </w:r>
          </w:p>
        </w:tc>
      </w:tr>
      <w:tr w:rsidR="001440AD" w:rsidTr="001440AD">
        <w:trPr>
          <w:jc w:val="center"/>
        </w:trPr>
        <w:tc>
          <w:tcPr>
            <w:tcW w:w="2135" w:type="dxa"/>
            <w:tcBorders>
              <w:top w:val="single" w:sz="18"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Категорија</w:t>
            </w:r>
          </w:p>
        </w:tc>
        <w:tc>
          <w:tcPr>
            <w:tcW w:w="923" w:type="dxa"/>
            <w:tcBorders>
              <w:top w:val="single" w:sz="18" w:space="0" w:color="auto"/>
              <w:left w:val="single" w:sz="18" w:space="0" w:color="auto"/>
              <w:bottom w:val="single" w:sz="4" w:space="0" w:color="auto"/>
              <w:right w:val="single" w:sz="8"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Број</w:t>
            </w:r>
          </w:p>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Уговора</w:t>
            </w:r>
          </w:p>
        </w:tc>
        <w:tc>
          <w:tcPr>
            <w:tcW w:w="798" w:type="dxa"/>
            <w:tcBorders>
              <w:top w:val="single" w:sz="18" w:space="0" w:color="auto"/>
              <w:left w:val="single" w:sz="8" w:space="0" w:color="auto"/>
              <w:bottom w:val="single" w:sz="4" w:space="0" w:color="auto"/>
              <w:right w:val="single" w:sz="8"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w:t>
            </w:r>
          </w:p>
        </w:tc>
        <w:tc>
          <w:tcPr>
            <w:tcW w:w="1220" w:type="dxa"/>
            <w:tcBorders>
              <w:top w:val="single" w:sz="18" w:space="0" w:color="auto"/>
              <w:left w:val="single" w:sz="8" w:space="0" w:color="auto"/>
              <w:bottom w:val="single" w:sz="4" w:space="0" w:color="auto"/>
              <w:right w:val="single" w:sz="8"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Уговорена</w:t>
            </w:r>
          </w:p>
          <w:p w:rsidR="001440AD" w:rsidRDefault="001440AD">
            <w:pPr>
              <w:jc w:val="center"/>
              <w:rPr>
                <w:rFonts w:ascii="Times New Roman" w:hAnsi="Times New Roman" w:cs="Times New Roman"/>
                <w:sz w:val="20"/>
                <w:szCs w:val="20"/>
              </w:rPr>
            </w:pPr>
            <w:r>
              <w:rPr>
                <w:rFonts w:ascii="Times New Roman" w:hAnsi="Times New Roman" w:cs="Times New Roman"/>
                <w:sz w:val="20"/>
                <w:szCs w:val="20"/>
              </w:rPr>
              <w:t>Вредност</w:t>
            </w:r>
          </w:p>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без ПДВ-а*</w:t>
            </w:r>
          </w:p>
        </w:tc>
        <w:tc>
          <w:tcPr>
            <w:tcW w:w="799" w:type="dxa"/>
            <w:tcBorders>
              <w:top w:val="single" w:sz="18" w:space="0" w:color="auto"/>
              <w:left w:val="single" w:sz="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w:t>
            </w:r>
          </w:p>
        </w:tc>
        <w:tc>
          <w:tcPr>
            <w:tcW w:w="923" w:type="dxa"/>
            <w:tcBorders>
              <w:top w:val="single" w:sz="18" w:space="0" w:color="auto"/>
              <w:left w:val="single" w:sz="18" w:space="0" w:color="auto"/>
              <w:bottom w:val="single" w:sz="4" w:space="0" w:color="auto"/>
              <w:right w:val="single" w:sz="4"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Број</w:t>
            </w:r>
          </w:p>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Уговора</w:t>
            </w:r>
          </w:p>
        </w:tc>
        <w:tc>
          <w:tcPr>
            <w:tcW w:w="591" w:type="dxa"/>
            <w:tcBorders>
              <w:top w:val="single" w:sz="18" w:space="0" w:color="auto"/>
              <w:left w:val="single" w:sz="4" w:space="0" w:color="auto"/>
              <w:bottom w:val="single" w:sz="4" w:space="0" w:color="auto"/>
              <w:right w:val="single" w:sz="4"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w:t>
            </w:r>
          </w:p>
        </w:tc>
        <w:tc>
          <w:tcPr>
            <w:tcW w:w="1236" w:type="dxa"/>
            <w:tcBorders>
              <w:top w:val="single" w:sz="18" w:space="0" w:color="auto"/>
              <w:left w:val="single" w:sz="4" w:space="0" w:color="auto"/>
              <w:bottom w:val="single" w:sz="4" w:space="0" w:color="auto"/>
              <w:right w:val="single" w:sz="4"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Уговорена</w:t>
            </w:r>
          </w:p>
          <w:p w:rsidR="001440AD" w:rsidRDefault="001440AD">
            <w:pPr>
              <w:jc w:val="center"/>
              <w:rPr>
                <w:rFonts w:ascii="Times New Roman" w:hAnsi="Times New Roman" w:cs="Times New Roman"/>
                <w:sz w:val="20"/>
                <w:szCs w:val="20"/>
              </w:rPr>
            </w:pPr>
            <w:r>
              <w:rPr>
                <w:rFonts w:ascii="Times New Roman" w:hAnsi="Times New Roman" w:cs="Times New Roman"/>
                <w:sz w:val="20"/>
                <w:szCs w:val="20"/>
              </w:rPr>
              <w:t>Вредност</w:t>
            </w:r>
          </w:p>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без ПДВ-а*</w:t>
            </w:r>
          </w:p>
        </w:tc>
        <w:tc>
          <w:tcPr>
            <w:tcW w:w="591" w:type="dxa"/>
            <w:tcBorders>
              <w:top w:val="single" w:sz="18" w:space="0" w:color="auto"/>
              <w:left w:val="single" w:sz="4"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sz w:val="20"/>
                <w:szCs w:val="20"/>
              </w:rPr>
            </w:pPr>
            <w:r>
              <w:rPr>
                <w:rFonts w:ascii="Times New Roman" w:hAnsi="Times New Roman" w:cs="Times New Roman"/>
                <w:sz w:val="20"/>
                <w:szCs w:val="20"/>
              </w:rPr>
              <w:t>%</w:t>
            </w:r>
          </w:p>
        </w:tc>
      </w:tr>
      <w:tr w:rsidR="001440AD" w:rsidTr="001440AD">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Органи државне управе</w:t>
            </w:r>
          </w:p>
        </w:tc>
        <w:tc>
          <w:tcPr>
            <w:tcW w:w="923" w:type="dxa"/>
            <w:tcBorders>
              <w:top w:val="single" w:sz="4" w:space="0" w:color="auto"/>
              <w:left w:val="single" w:sz="1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17.446</w:t>
            </w:r>
          </w:p>
        </w:tc>
        <w:tc>
          <w:tcPr>
            <w:tcW w:w="798"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21</w:t>
            </w:r>
          </w:p>
        </w:tc>
        <w:tc>
          <w:tcPr>
            <w:tcW w:w="1220"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25.869.366</w:t>
            </w:r>
          </w:p>
        </w:tc>
        <w:tc>
          <w:tcPr>
            <w:tcW w:w="799" w:type="dxa"/>
            <w:tcBorders>
              <w:top w:val="single" w:sz="4" w:space="0" w:color="auto"/>
              <w:left w:val="single" w:sz="8" w:space="0" w:color="auto"/>
              <w:bottom w:val="single" w:sz="4"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10</w:t>
            </w:r>
          </w:p>
        </w:tc>
        <w:tc>
          <w:tcPr>
            <w:tcW w:w="923" w:type="dxa"/>
            <w:tcBorders>
              <w:top w:val="single" w:sz="4" w:space="0" w:color="auto"/>
              <w:left w:val="single" w:sz="18"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8.487</w:t>
            </w:r>
          </w:p>
        </w:tc>
        <w:tc>
          <w:tcPr>
            <w:tcW w:w="591"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10</w:t>
            </w:r>
          </w:p>
        </w:tc>
        <w:tc>
          <w:tcPr>
            <w:tcW w:w="1236"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30.347.876</w:t>
            </w:r>
          </w:p>
        </w:tc>
        <w:tc>
          <w:tcPr>
            <w:tcW w:w="591" w:type="dxa"/>
            <w:tcBorders>
              <w:top w:val="single" w:sz="4" w:space="0" w:color="auto"/>
              <w:left w:val="single" w:sz="4" w:space="0" w:color="auto"/>
              <w:bottom w:val="single" w:sz="4"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10</w:t>
            </w:r>
          </w:p>
        </w:tc>
      </w:tr>
      <w:tr w:rsidR="001440AD" w:rsidTr="001440AD">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Правосуђе</w:t>
            </w:r>
          </w:p>
        </w:tc>
        <w:tc>
          <w:tcPr>
            <w:tcW w:w="923" w:type="dxa"/>
            <w:tcBorders>
              <w:top w:val="single" w:sz="4" w:space="0" w:color="auto"/>
              <w:left w:val="single" w:sz="1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735</w:t>
            </w:r>
          </w:p>
        </w:tc>
        <w:tc>
          <w:tcPr>
            <w:tcW w:w="798"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w:t>
            </w:r>
          </w:p>
        </w:tc>
        <w:tc>
          <w:tcPr>
            <w:tcW w:w="1220"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596.963</w:t>
            </w:r>
          </w:p>
        </w:tc>
        <w:tc>
          <w:tcPr>
            <w:tcW w:w="799" w:type="dxa"/>
            <w:tcBorders>
              <w:top w:val="single" w:sz="4" w:space="0" w:color="auto"/>
              <w:left w:val="single" w:sz="8" w:space="0" w:color="auto"/>
              <w:bottom w:val="single" w:sz="4"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0</w:t>
            </w:r>
          </w:p>
        </w:tc>
        <w:tc>
          <w:tcPr>
            <w:tcW w:w="923" w:type="dxa"/>
            <w:tcBorders>
              <w:top w:val="single" w:sz="4" w:space="0" w:color="auto"/>
              <w:left w:val="single" w:sz="18"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807</w:t>
            </w:r>
          </w:p>
        </w:tc>
        <w:tc>
          <w:tcPr>
            <w:tcW w:w="591"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w:t>
            </w:r>
          </w:p>
        </w:tc>
        <w:tc>
          <w:tcPr>
            <w:tcW w:w="1236"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1.112.825</w:t>
            </w:r>
          </w:p>
        </w:tc>
        <w:tc>
          <w:tcPr>
            <w:tcW w:w="591" w:type="dxa"/>
            <w:tcBorders>
              <w:top w:val="single" w:sz="4" w:space="0" w:color="auto"/>
              <w:left w:val="single" w:sz="4" w:space="0" w:color="auto"/>
              <w:bottom w:val="single" w:sz="4"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0</w:t>
            </w:r>
          </w:p>
        </w:tc>
      </w:tr>
      <w:tr w:rsidR="001440AD" w:rsidTr="001440AD">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Здравство и социјална заштита</w:t>
            </w:r>
          </w:p>
        </w:tc>
        <w:tc>
          <w:tcPr>
            <w:tcW w:w="923" w:type="dxa"/>
            <w:tcBorders>
              <w:top w:val="single" w:sz="4" w:space="0" w:color="auto"/>
              <w:left w:val="single" w:sz="1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25.856</w:t>
            </w:r>
          </w:p>
        </w:tc>
        <w:tc>
          <w:tcPr>
            <w:tcW w:w="798"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31</w:t>
            </w:r>
          </w:p>
        </w:tc>
        <w:tc>
          <w:tcPr>
            <w:tcW w:w="1220"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63.013.171</w:t>
            </w:r>
          </w:p>
        </w:tc>
        <w:tc>
          <w:tcPr>
            <w:tcW w:w="799" w:type="dxa"/>
            <w:tcBorders>
              <w:top w:val="single" w:sz="4" w:space="0" w:color="auto"/>
              <w:left w:val="single" w:sz="8" w:space="0" w:color="auto"/>
              <w:bottom w:val="single" w:sz="4"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24</w:t>
            </w:r>
          </w:p>
        </w:tc>
        <w:tc>
          <w:tcPr>
            <w:tcW w:w="923" w:type="dxa"/>
            <w:tcBorders>
              <w:top w:val="single" w:sz="4" w:space="0" w:color="auto"/>
              <w:left w:val="single" w:sz="18"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28.688</w:t>
            </w:r>
          </w:p>
        </w:tc>
        <w:tc>
          <w:tcPr>
            <w:tcW w:w="591"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33</w:t>
            </w:r>
          </w:p>
        </w:tc>
        <w:tc>
          <w:tcPr>
            <w:tcW w:w="1236"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71.966.970</w:t>
            </w:r>
          </w:p>
        </w:tc>
        <w:tc>
          <w:tcPr>
            <w:tcW w:w="591" w:type="dxa"/>
            <w:tcBorders>
              <w:top w:val="single" w:sz="4" w:space="0" w:color="auto"/>
              <w:left w:val="single" w:sz="4" w:space="0" w:color="auto"/>
              <w:bottom w:val="single" w:sz="4"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24</w:t>
            </w:r>
          </w:p>
        </w:tc>
      </w:tr>
      <w:tr w:rsidR="001440AD" w:rsidTr="001440AD">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Култура</w:t>
            </w:r>
          </w:p>
        </w:tc>
        <w:tc>
          <w:tcPr>
            <w:tcW w:w="923" w:type="dxa"/>
            <w:tcBorders>
              <w:top w:val="single" w:sz="4" w:space="0" w:color="auto"/>
              <w:left w:val="single" w:sz="1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1.867</w:t>
            </w:r>
          </w:p>
        </w:tc>
        <w:tc>
          <w:tcPr>
            <w:tcW w:w="798"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w:t>
            </w:r>
          </w:p>
        </w:tc>
        <w:tc>
          <w:tcPr>
            <w:tcW w:w="1220"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1.936.650</w:t>
            </w:r>
          </w:p>
        </w:tc>
        <w:tc>
          <w:tcPr>
            <w:tcW w:w="799" w:type="dxa"/>
            <w:tcBorders>
              <w:top w:val="single" w:sz="4" w:space="0" w:color="auto"/>
              <w:left w:val="single" w:sz="8" w:space="0" w:color="auto"/>
              <w:bottom w:val="single" w:sz="4"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w:t>
            </w:r>
          </w:p>
        </w:tc>
        <w:tc>
          <w:tcPr>
            <w:tcW w:w="923" w:type="dxa"/>
            <w:tcBorders>
              <w:top w:val="single" w:sz="4" w:space="0" w:color="auto"/>
              <w:left w:val="single" w:sz="18"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2.691</w:t>
            </w:r>
          </w:p>
        </w:tc>
        <w:tc>
          <w:tcPr>
            <w:tcW w:w="591"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3</w:t>
            </w:r>
          </w:p>
        </w:tc>
        <w:tc>
          <w:tcPr>
            <w:tcW w:w="1236"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2.183.600</w:t>
            </w:r>
          </w:p>
        </w:tc>
        <w:tc>
          <w:tcPr>
            <w:tcW w:w="591" w:type="dxa"/>
            <w:tcBorders>
              <w:top w:val="single" w:sz="4" w:space="0" w:color="auto"/>
              <w:left w:val="single" w:sz="4" w:space="0" w:color="auto"/>
              <w:bottom w:val="single" w:sz="4"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w:t>
            </w:r>
          </w:p>
        </w:tc>
      </w:tr>
      <w:tr w:rsidR="001440AD" w:rsidTr="001440AD">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Просвета и наука</w:t>
            </w:r>
          </w:p>
        </w:tc>
        <w:tc>
          <w:tcPr>
            <w:tcW w:w="923" w:type="dxa"/>
            <w:tcBorders>
              <w:top w:val="single" w:sz="4" w:space="0" w:color="auto"/>
              <w:left w:val="single" w:sz="1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6.956</w:t>
            </w:r>
          </w:p>
        </w:tc>
        <w:tc>
          <w:tcPr>
            <w:tcW w:w="798"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8</w:t>
            </w:r>
          </w:p>
        </w:tc>
        <w:tc>
          <w:tcPr>
            <w:tcW w:w="1220"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11.127.872</w:t>
            </w:r>
          </w:p>
        </w:tc>
        <w:tc>
          <w:tcPr>
            <w:tcW w:w="799" w:type="dxa"/>
            <w:tcBorders>
              <w:top w:val="single" w:sz="4" w:space="0" w:color="auto"/>
              <w:left w:val="single" w:sz="8" w:space="0" w:color="auto"/>
              <w:bottom w:val="single" w:sz="4"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4</w:t>
            </w:r>
          </w:p>
        </w:tc>
        <w:tc>
          <w:tcPr>
            <w:tcW w:w="923" w:type="dxa"/>
            <w:tcBorders>
              <w:top w:val="single" w:sz="4" w:space="0" w:color="auto"/>
              <w:left w:val="single" w:sz="18"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12.261</w:t>
            </w:r>
          </w:p>
        </w:tc>
        <w:tc>
          <w:tcPr>
            <w:tcW w:w="591"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14</w:t>
            </w:r>
          </w:p>
        </w:tc>
        <w:tc>
          <w:tcPr>
            <w:tcW w:w="1236"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13.394.798</w:t>
            </w:r>
          </w:p>
        </w:tc>
        <w:tc>
          <w:tcPr>
            <w:tcW w:w="591" w:type="dxa"/>
            <w:tcBorders>
              <w:top w:val="single" w:sz="4" w:space="0" w:color="auto"/>
              <w:left w:val="single" w:sz="4" w:space="0" w:color="auto"/>
              <w:bottom w:val="single" w:sz="4"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5</w:t>
            </w:r>
          </w:p>
        </w:tc>
      </w:tr>
      <w:tr w:rsidR="001440AD" w:rsidTr="001440AD">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Државна јавна предузећа/привредна друштва</w:t>
            </w:r>
          </w:p>
        </w:tc>
        <w:tc>
          <w:tcPr>
            <w:tcW w:w="923" w:type="dxa"/>
            <w:tcBorders>
              <w:top w:val="single" w:sz="4" w:space="0" w:color="auto"/>
              <w:left w:val="single" w:sz="1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11.473</w:t>
            </w:r>
          </w:p>
        </w:tc>
        <w:tc>
          <w:tcPr>
            <w:tcW w:w="798"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14</w:t>
            </w:r>
          </w:p>
        </w:tc>
        <w:tc>
          <w:tcPr>
            <w:tcW w:w="1220"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83.598.262</w:t>
            </w:r>
          </w:p>
        </w:tc>
        <w:tc>
          <w:tcPr>
            <w:tcW w:w="799" w:type="dxa"/>
            <w:tcBorders>
              <w:top w:val="single" w:sz="4" w:space="0" w:color="auto"/>
              <w:left w:val="single" w:sz="8" w:space="0" w:color="auto"/>
              <w:bottom w:val="single" w:sz="4"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32</w:t>
            </w:r>
          </w:p>
        </w:tc>
        <w:tc>
          <w:tcPr>
            <w:tcW w:w="923" w:type="dxa"/>
            <w:tcBorders>
              <w:top w:val="single" w:sz="4" w:space="0" w:color="auto"/>
              <w:left w:val="single" w:sz="18"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14.142</w:t>
            </w:r>
          </w:p>
        </w:tc>
        <w:tc>
          <w:tcPr>
            <w:tcW w:w="591"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16</w:t>
            </w:r>
          </w:p>
        </w:tc>
        <w:tc>
          <w:tcPr>
            <w:tcW w:w="1236"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112.923.703</w:t>
            </w:r>
          </w:p>
        </w:tc>
        <w:tc>
          <w:tcPr>
            <w:tcW w:w="591" w:type="dxa"/>
            <w:tcBorders>
              <w:top w:val="single" w:sz="4" w:space="0" w:color="auto"/>
              <w:left w:val="single" w:sz="4" w:space="0" w:color="auto"/>
              <w:bottom w:val="single" w:sz="4"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38</w:t>
            </w:r>
          </w:p>
        </w:tc>
      </w:tr>
      <w:tr w:rsidR="001440AD" w:rsidTr="001440AD">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Јавна предузећа-локална самоуправа</w:t>
            </w:r>
          </w:p>
        </w:tc>
        <w:tc>
          <w:tcPr>
            <w:tcW w:w="923" w:type="dxa"/>
            <w:tcBorders>
              <w:top w:val="single" w:sz="4" w:space="0" w:color="auto"/>
              <w:left w:val="single" w:sz="1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13.035</w:t>
            </w:r>
          </w:p>
        </w:tc>
        <w:tc>
          <w:tcPr>
            <w:tcW w:w="798"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16</w:t>
            </w:r>
          </w:p>
        </w:tc>
        <w:tc>
          <w:tcPr>
            <w:tcW w:w="1220" w:type="dxa"/>
            <w:tcBorders>
              <w:top w:val="single" w:sz="4" w:space="0" w:color="auto"/>
              <w:left w:val="single" w:sz="8" w:space="0" w:color="auto"/>
              <w:bottom w:val="single" w:sz="4"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56.417.701</w:t>
            </w:r>
          </w:p>
        </w:tc>
        <w:tc>
          <w:tcPr>
            <w:tcW w:w="799" w:type="dxa"/>
            <w:tcBorders>
              <w:top w:val="single" w:sz="4" w:space="0" w:color="auto"/>
              <w:left w:val="single" w:sz="8" w:space="0" w:color="auto"/>
              <w:bottom w:val="single" w:sz="4"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21</w:t>
            </w:r>
          </w:p>
        </w:tc>
        <w:tc>
          <w:tcPr>
            <w:tcW w:w="923" w:type="dxa"/>
            <w:tcBorders>
              <w:top w:val="single" w:sz="4" w:space="0" w:color="auto"/>
              <w:left w:val="single" w:sz="18"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14.612</w:t>
            </w:r>
          </w:p>
        </w:tc>
        <w:tc>
          <w:tcPr>
            <w:tcW w:w="591"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17</w:t>
            </w:r>
          </w:p>
        </w:tc>
        <w:tc>
          <w:tcPr>
            <w:tcW w:w="1236" w:type="dxa"/>
            <w:tcBorders>
              <w:top w:val="single" w:sz="4" w:space="0" w:color="auto"/>
              <w:left w:val="single" w:sz="4" w:space="0" w:color="auto"/>
              <w:bottom w:val="single" w:sz="4"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49.782.006</w:t>
            </w:r>
          </w:p>
        </w:tc>
        <w:tc>
          <w:tcPr>
            <w:tcW w:w="591" w:type="dxa"/>
            <w:tcBorders>
              <w:top w:val="single" w:sz="4" w:space="0" w:color="auto"/>
              <w:left w:val="single" w:sz="4" w:space="0" w:color="auto"/>
              <w:bottom w:val="single" w:sz="4"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17</w:t>
            </w:r>
          </w:p>
        </w:tc>
      </w:tr>
      <w:tr w:rsidR="001440AD" w:rsidTr="001440AD">
        <w:trPr>
          <w:jc w:val="center"/>
        </w:trPr>
        <w:tc>
          <w:tcPr>
            <w:tcW w:w="2135" w:type="dxa"/>
            <w:tcBorders>
              <w:top w:val="single" w:sz="4" w:space="0" w:color="auto"/>
              <w:left w:val="single" w:sz="18" w:space="0" w:color="auto"/>
              <w:bottom w:val="single" w:sz="8"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Градска и општинска управа</w:t>
            </w:r>
          </w:p>
        </w:tc>
        <w:tc>
          <w:tcPr>
            <w:tcW w:w="923" w:type="dxa"/>
            <w:tcBorders>
              <w:top w:val="single" w:sz="4" w:space="0" w:color="auto"/>
              <w:left w:val="single" w:sz="18" w:space="0" w:color="auto"/>
              <w:bottom w:val="single" w:sz="8"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5.753</w:t>
            </w:r>
          </w:p>
        </w:tc>
        <w:tc>
          <w:tcPr>
            <w:tcW w:w="798" w:type="dxa"/>
            <w:tcBorders>
              <w:top w:val="single" w:sz="4" w:space="0" w:color="auto"/>
              <w:left w:val="single" w:sz="8" w:space="0" w:color="auto"/>
              <w:bottom w:val="single" w:sz="8"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7</w:t>
            </w:r>
          </w:p>
        </w:tc>
        <w:tc>
          <w:tcPr>
            <w:tcW w:w="1220" w:type="dxa"/>
            <w:tcBorders>
              <w:top w:val="single" w:sz="4" w:space="0" w:color="auto"/>
              <w:left w:val="single" w:sz="8" w:space="0" w:color="auto"/>
              <w:bottom w:val="single" w:sz="8"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20.378.750</w:t>
            </w:r>
          </w:p>
        </w:tc>
        <w:tc>
          <w:tcPr>
            <w:tcW w:w="799" w:type="dxa"/>
            <w:tcBorders>
              <w:top w:val="single" w:sz="4" w:space="0" w:color="auto"/>
              <w:left w:val="single" w:sz="8" w:space="0" w:color="auto"/>
              <w:bottom w:val="single" w:sz="8"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8</w:t>
            </w:r>
          </w:p>
        </w:tc>
        <w:tc>
          <w:tcPr>
            <w:tcW w:w="923" w:type="dxa"/>
            <w:tcBorders>
              <w:top w:val="single" w:sz="4" w:space="0" w:color="auto"/>
              <w:left w:val="single" w:sz="18" w:space="0" w:color="auto"/>
              <w:bottom w:val="single" w:sz="8"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5.452</w:t>
            </w:r>
          </w:p>
        </w:tc>
        <w:tc>
          <w:tcPr>
            <w:tcW w:w="591" w:type="dxa"/>
            <w:tcBorders>
              <w:top w:val="single" w:sz="4" w:space="0" w:color="auto"/>
              <w:left w:val="single" w:sz="4" w:space="0" w:color="auto"/>
              <w:bottom w:val="single" w:sz="8"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6</w:t>
            </w:r>
          </w:p>
        </w:tc>
        <w:tc>
          <w:tcPr>
            <w:tcW w:w="1236" w:type="dxa"/>
            <w:tcBorders>
              <w:top w:val="single" w:sz="4" w:space="0" w:color="auto"/>
              <w:left w:val="single" w:sz="4" w:space="0" w:color="auto"/>
              <w:bottom w:val="single" w:sz="8" w:space="0" w:color="auto"/>
              <w:right w:val="single" w:sz="4"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15.641.081</w:t>
            </w:r>
          </w:p>
        </w:tc>
        <w:tc>
          <w:tcPr>
            <w:tcW w:w="591" w:type="dxa"/>
            <w:tcBorders>
              <w:top w:val="single" w:sz="4" w:space="0" w:color="auto"/>
              <w:left w:val="single" w:sz="4" w:space="0" w:color="auto"/>
              <w:bottom w:val="single" w:sz="8"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5</w:t>
            </w:r>
          </w:p>
        </w:tc>
      </w:tr>
      <w:tr w:rsidR="001440AD" w:rsidTr="001440AD">
        <w:trPr>
          <w:jc w:val="center"/>
        </w:trPr>
        <w:tc>
          <w:tcPr>
            <w:tcW w:w="2135" w:type="dxa"/>
            <w:tcBorders>
              <w:top w:val="single" w:sz="8" w:space="0" w:color="auto"/>
              <w:left w:val="single" w:sz="18" w:space="0" w:color="auto"/>
              <w:bottom w:val="single" w:sz="8"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Удружења</w:t>
            </w:r>
          </w:p>
        </w:tc>
        <w:tc>
          <w:tcPr>
            <w:tcW w:w="923" w:type="dxa"/>
            <w:tcBorders>
              <w:top w:val="single" w:sz="8" w:space="0" w:color="auto"/>
              <w:left w:val="single" w:sz="18" w:space="0" w:color="auto"/>
              <w:bottom w:val="single" w:sz="8"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w:t>
            </w:r>
          </w:p>
        </w:tc>
        <w:tc>
          <w:tcPr>
            <w:tcW w:w="798" w:type="dxa"/>
            <w:tcBorders>
              <w:top w:val="single" w:sz="8" w:space="0" w:color="auto"/>
              <w:left w:val="single" w:sz="8" w:space="0" w:color="auto"/>
              <w:bottom w:val="single" w:sz="8"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w:t>
            </w:r>
          </w:p>
        </w:tc>
        <w:tc>
          <w:tcPr>
            <w:tcW w:w="1220" w:type="dxa"/>
            <w:tcBorders>
              <w:top w:val="single" w:sz="8" w:space="0" w:color="auto"/>
              <w:left w:val="single" w:sz="8" w:space="0" w:color="auto"/>
              <w:bottom w:val="single" w:sz="8" w:space="0" w:color="auto"/>
              <w:right w:val="single" w:sz="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w:t>
            </w:r>
          </w:p>
        </w:tc>
        <w:tc>
          <w:tcPr>
            <w:tcW w:w="799" w:type="dxa"/>
            <w:tcBorders>
              <w:top w:val="single" w:sz="8" w:space="0" w:color="auto"/>
              <w:left w:val="single" w:sz="8" w:space="0" w:color="auto"/>
              <w:bottom w:val="single" w:sz="8"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w:t>
            </w:r>
          </w:p>
        </w:tc>
        <w:tc>
          <w:tcPr>
            <w:tcW w:w="923" w:type="dxa"/>
            <w:tcBorders>
              <w:top w:val="single" w:sz="8" w:space="0" w:color="auto"/>
              <w:left w:val="single" w:sz="18" w:space="0" w:color="auto"/>
              <w:bottom w:val="single" w:sz="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469</w:t>
            </w:r>
          </w:p>
        </w:tc>
        <w:tc>
          <w:tcPr>
            <w:tcW w:w="591" w:type="dxa"/>
            <w:tcBorders>
              <w:top w:val="single" w:sz="8" w:space="0" w:color="auto"/>
              <w:left w:val="single" w:sz="8" w:space="0" w:color="auto"/>
              <w:bottom w:val="single" w:sz="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0</w:t>
            </w:r>
          </w:p>
        </w:tc>
        <w:tc>
          <w:tcPr>
            <w:tcW w:w="1236" w:type="dxa"/>
            <w:tcBorders>
              <w:top w:val="single" w:sz="8" w:space="0" w:color="auto"/>
              <w:left w:val="single" w:sz="8" w:space="0" w:color="auto"/>
              <w:bottom w:val="single" w:sz="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944.304</w:t>
            </w:r>
          </w:p>
        </w:tc>
        <w:tc>
          <w:tcPr>
            <w:tcW w:w="591" w:type="dxa"/>
            <w:tcBorders>
              <w:top w:val="single" w:sz="8" w:space="0" w:color="auto"/>
              <w:left w:val="single" w:sz="8" w:space="0" w:color="auto"/>
              <w:bottom w:val="single" w:sz="8"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0</w:t>
            </w:r>
          </w:p>
        </w:tc>
      </w:tr>
      <w:tr w:rsidR="001440AD" w:rsidTr="001440AD">
        <w:trPr>
          <w:jc w:val="center"/>
        </w:trPr>
        <w:tc>
          <w:tcPr>
            <w:tcW w:w="2135" w:type="dxa"/>
            <w:tcBorders>
              <w:top w:val="single" w:sz="8" w:space="0" w:color="auto"/>
              <w:left w:val="single" w:sz="18" w:space="0" w:color="auto"/>
              <w:bottom w:val="single" w:sz="18"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Фондације и задужбине</w:t>
            </w:r>
          </w:p>
        </w:tc>
        <w:tc>
          <w:tcPr>
            <w:tcW w:w="923" w:type="dxa"/>
            <w:tcBorders>
              <w:top w:val="single" w:sz="8" w:space="0" w:color="auto"/>
              <w:left w:val="single" w:sz="18" w:space="0" w:color="auto"/>
              <w:bottom w:val="single" w:sz="1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w:t>
            </w:r>
          </w:p>
        </w:tc>
        <w:tc>
          <w:tcPr>
            <w:tcW w:w="798" w:type="dxa"/>
            <w:tcBorders>
              <w:top w:val="single" w:sz="8" w:space="0" w:color="auto"/>
              <w:left w:val="single" w:sz="8" w:space="0" w:color="auto"/>
              <w:bottom w:val="single" w:sz="1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w:t>
            </w:r>
          </w:p>
        </w:tc>
        <w:tc>
          <w:tcPr>
            <w:tcW w:w="1220" w:type="dxa"/>
            <w:tcBorders>
              <w:top w:val="single" w:sz="8" w:space="0" w:color="auto"/>
              <w:left w:val="single" w:sz="8" w:space="0" w:color="auto"/>
              <w:bottom w:val="single" w:sz="1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w:t>
            </w:r>
          </w:p>
        </w:tc>
        <w:tc>
          <w:tcPr>
            <w:tcW w:w="799" w:type="dxa"/>
            <w:tcBorders>
              <w:top w:val="single" w:sz="8" w:space="0" w:color="auto"/>
              <w:left w:val="single" w:sz="8" w:space="0" w:color="auto"/>
              <w:bottom w:val="single" w:sz="18"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w:t>
            </w:r>
          </w:p>
        </w:tc>
        <w:tc>
          <w:tcPr>
            <w:tcW w:w="923" w:type="dxa"/>
            <w:tcBorders>
              <w:top w:val="single" w:sz="8" w:space="0" w:color="auto"/>
              <w:left w:val="single" w:sz="18" w:space="0" w:color="auto"/>
              <w:bottom w:val="single" w:sz="1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103</w:t>
            </w:r>
          </w:p>
        </w:tc>
        <w:tc>
          <w:tcPr>
            <w:tcW w:w="591" w:type="dxa"/>
            <w:tcBorders>
              <w:top w:val="single" w:sz="8" w:space="0" w:color="auto"/>
              <w:left w:val="single" w:sz="8" w:space="0" w:color="auto"/>
              <w:bottom w:val="single" w:sz="1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0</w:t>
            </w:r>
          </w:p>
        </w:tc>
        <w:tc>
          <w:tcPr>
            <w:tcW w:w="1236" w:type="dxa"/>
            <w:tcBorders>
              <w:top w:val="single" w:sz="8" w:space="0" w:color="auto"/>
              <w:left w:val="single" w:sz="8" w:space="0" w:color="auto"/>
              <w:bottom w:val="single" w:sz="18" w:space="0" w:color="auto"/>
              <w:right w:val="single" w:sz="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77.200</w:t>
            </w:r>
          </w:p>
        </w:tc>
        <w:tc>
          <w:tcPr>
            <w:tcW w:w="591" w:type="dxa"/>
            <w:tcBorders>
              <w:top w:val="single" w:sz="8" w:space="0" w:color="auto"/>
              <w:left w:val="single" w:sz="8" w:space="0" w:color="auto"/>
              <w:bottom w:val="single" w:sz="18" w:space="0" w:color="auto"/>
              <w:right w:val="single" w:sz="18" w:space="0" w:color="auto"/>
            </w:tcBorders>
            <w:vAlign w:val="center"/>
            <w:hideMark/>
          </w:tcPr>
          <w:p w:rsidR="001440AD" w:rsidRDefault="001440AD">
            <w:pPr>
              <w:jc w:val="center"/>
              <w:rPr>
                <w:rFonts w:eastAsiaTheme="minorEastAsia" w:cstheme="minorHAnsi"/>
                <w:color w:val="000000"/>
                <w:sz w:val="20"/>
                <w:szCs w:val="20"/>
              </w:rPr>
            </w:pPr>
            <w:r>
              <w:rPr>
                <w:rFonts w:cstheme="minorHAnsi"/>
                <w:color w:val="000000"/>
                <w:sz w:val="20"/>
                <w:szCs w:val="20"/>
              </w:rPr>
              <w:t>0</w:t>
            </w:r>
          </w:p>
        </w:tc>
      </w:tr>
      <w:tr w:rsidR="001440AD" w:rsidTr="001440AD">
        <w:trPr>
          <w:jc w:val="center"/>
        </w:trPr>
        <w:tc>
          <w:tcPr>
            <w:tcW w:w="2135" w:type="dxa"/>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Times New Roman" w:eastAsiaTheme="minorEastAsia" w:hAnsi="Times New Roman" w:cs="Times New Roman"/>
                <w:b/>
                <w:sz w:val="20"/>
                <w:szCs w:val="20"/>
              </w:rPr>
            </w:pPr>
            <w:r>
              <w:rPr>
                <w:rFonts w:ascii="Times New Roman" w:hAnsi="Times New Roman" w:cs="Times New Roman"/>
                <w:b/>
                <w:sz w:val="20"/>
                <w:szCs w:val="20"/>
              </w:rPr>
              <w:t>Укупно</w:t>
            </w:r>
          </w:p>
        </w:tc>
        <w:tc>
          <w:tcPr>
            <w:tcW w:w="923" w:type="dxa"/>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83.121</w:t>
            </w:r>
          </w:p>
        </w:tc>
        <w:tc>
          <w:tcPr>
            <w:tcW w:w="798" w:type="dxa"/>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100</w:t>
            </w:r>
          </w:p>
        </w:tc>
        <w:tc>
          <w:tcPr>
            <w:tcW w:w="1220" w:type="dxa"/>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262.938.735</w:t>
            </w:r>
          </w:p>
        </w:tc>
        <w:tc>
          <w:tcPr>
            <w:tcW w:w="799" w:type="dxa"/>
            <w:tcBorders>
              <w:top w:val="single" w:sz="18" w:space="0" w:color="auto"/>
              <w:left w:val="single" w:sz="18" w:space="0" w:color="auto"/>
              <w:bottom w:val="single" w:sz="18" w:space="0" w:color="auto"/>
              <w:right w:val="single" w:sz="18" w:space="0" w:color="auto"/>
            </w:tcBorders>
            <w:vAlign w:val="center"/>
            <w:hideMark/>
          </w:tcPr>
          <w:p w:rsidR="001440AD" w:rsidRDefault="001440AD">
            <w:pPr>
              <w:jc w:val="center"/>
              <w:rPr>
                <w:rFonts w:ascii="Calibri" w:eastAsiaTheme="minorEastAsia" w:hAnsi="Calibri" w:cs="Calibri"/>
                <w:color w:val="000000"/>
              </w:rPr>
            </w:pPr>
            <w:r>
              <w:rPr>
                <w:rFonts w:ascii="Calibri" w:hAnsi="Calibri" w:cs="Calibri"/>
                <w:color w:val="000000"/>
              </w:rPr>
              <w:t>100</w:t>
            </w:r>
          </w:p>
        </w:tc>
        <w:tc>
          <w:tcPr>
            <w:tcW w:w="923" w:type="dxa"/>
            <w:tcBorders>
              <w:top w:val="single" w:sz="18" w:space="0" w:color="auto"/>
              <w:left w:val="single" w:sz="18" w:space="0" w:color="auto"/>
              <w:bottom w:val="single" w:sz="18" w:space="0" w:color="auto"/>
              <w:right w:val="single" w:sz="4" w:space="0" w:color="auto"/>
            </w:tcBorders>
            <w:vAlign w:val="center"/>
            <w:hideMark/>
          </w:tcPr>
          <w:p w:rsidR="001440AD" w:rsidRDefault="001440AD">
            <w:pPr>
              <w:jc w:val="center"/>
              <w:rPr>
                <w:rFonts w:eastAsiaTheme="minorEastAsia" w:cstheme="minorHAnsi"/>
                <w:b/>
                <w:bCs/>
                <w:color w:val="000000"/>
                <w:sz w:val="20"/>
                <w:szCs w:val="20"/>
              </w:rPr>
            </w:pPr>
            <w:r>
              <w:rPr>
                <w:rFonts w:cstheme="minorHAnsi"/>
                <w:b/>
                <w:bCs/>
                <w:color w:val="000000"/>
                <w:sz w:val="20"/>
                <w:szCs w:val="20"/>
              </w:rPr>
              <w:t>87.712</w:t>
            </w:r>
          </w:p>
        </w:tc>
        <w:tc>
          <w:tcPr>
            <w:tcW w:w="591" w:type="dxa"/>
            <w:tcBorders>
              <w:top w:val="single" w:sz="18" w:space="0" w:color="auto"/>
              <w:left w:val="single" w:sz="4" w:space="0" w:color="auto"/>
              <w:bottom w:val="single" w:sz="18" w:space="0" w:color="auto"/>
              <w:right w:val="single" w:sz="4" w:space="0" w:color="auto"/>
            </w:tcBorders>
            <w:vAlign w:val="center"/>
            <w:hideMark/>
          </w:tcPr>
          <w:p w:rsidR="001440AD" w:rsidRDefault="001440AD">
            <w:pPr>
              <w:jc w:val="center"/>
              <w:rPr>
                <w:rFonts w:eastAsiaTheme="minorEastAsia" w:cstheme="minorHAnsi"/>
                <w:b/>
                <w:color w:val="000000"/>
                <w:sz w:val="20"/>
                <w:szCs w:val="20"/>
              </w:rPr>
            </w:pPr>
            <w:r>
              <w:rPr>
                <w:rFonts w:cstheme="minorHAnsi"/>
                <w:b/>
                <w:color w:val="000000"/>
                <w:sz w:val="20"/>
                <w:szCs w:val="20"/>
              </w:rPr>
              <w:t>100</w:t>
            </w:r>
          </w:p>
        </w:tc>
        <w:tc>
          <w:tcPr>
            <w:tcW w:w="1236" w:type="dxa"/>
            <w:tcBorders>
              <w:top w:val="single" w:sz="18" w:space="0" w:color="auto"/>
              <w:left w:val="single" w:sz="4" w:space="0" w:color="auto"/>
              <w:bottom w:val="single" w:sz="18" w:space="0" w:color="auto"/>
              <w:right w:val="single" w:sz="4" w:space="0" w:color="auto"/>
            </w:tcBorders>
            <w:vAlign w:val="center"/>
            <w:hideMark/>
          </w:tcPr>
          <w:p w:rsidR="001440AD" w:rsidRDefault="001440AD">
            <w:pPr>
              <w:jc w:val="center"/>
              <w:rPr>
                <w:rFonts w:eastAsiaTheme="minorEastAsia" w:cstheme="minorHAnsi"/>
                <w:b/>
                <w:bCs/>
                <w:color w:val="000000"/>
                <w:sz w:val="20"/>
                <w:szCs w:val="20"/>
              </w:rPr>
            </w:pPr>
            <w:r>
              <w:rPr>
                <w:rFonts w:cstheme="minorHAnsi"/>
                <w:b/>
                <w:bCs/>
                <w:color w:val="000000"/>
                <w:sz w:val="20"/>
                <w:szCs w:val="20"/>
              </w:rPr>
              <w:t>298.374.363</w:t>
            </w:r>
          </w:p>
        </w:tc>
        <w:tc>
          <w:tcPr>
            <w:tcW w:w="591" w:type="dxa"/>
            <w:tcBorders>
              <w:top w:val="single" w:sz="18" w:space="0" w:color="auto"/>
              <w:left w:val="single" w:sz="4" w:space="0" w:color="auto"/>
              <w:bottom w:val="single" w:sz="18" w:space="0" w:color="auto"/>
              <w:right w:val="single" w:sz="18" w:space="0" w:color="auto"/>
            </w:tcBorders>
            <w:vAlign w:val="center"/>
            <w:hideMark/>
          </w:tcPr>
          <w:p w:rsidR="001440AD" w:rsidRDefault="001440AD">
            <w:pPr>
              <w:jc w:val="center"/>
              <w:rPr>
                <w:rFonts w:eastAsiaTheme="minorEastAsia" w:cstheme="minorHAnsi"/>
                <w:b/>
                <w:color w:val="000000"/>
                <w:sz w:val="20"/>
                <w:szCs w:val="20"/>
              </w:rPr>
            </w:pPr>
            <w:r>
              <w:rPr>
                <w:rFonts w:cstheme="minorHAnsi"/>
                <w:b/>
                <w:color w:val="000000"/>
                <w:sz w:val="20"/>
                <w:szCs w:val="20"/>
              </w:rPr>
              <w:t>100</w:t>
            </w:r>
          </w:p>
        </w:tc>
      </w:tr>
    </w:tbl>
    <w:p w:rsidR="001440AD" w:rsidRPr="00F229D7" w:rsidRDefault="001440AD" w:rsidP="00F55A41">
      <w:pPr>
        <w:jc w:val="both"/>
        <w:rPr>
          <w:rFonts w:ascii="Times New Roman" w:hAnsi="Times New Roman" w:cs="Times New Roman"/>
          <w:b/>
          <w:color w:val="000000" w:themeColor="text1"/>
          <w:sz w:val="24"/>
          <w:szCs w:val="24"/>
        </w:rPr>
      </w:pPr>
    </w:p>
    <w:p w:rsidR="008563CB" w:rsidRPr="009D7B1C" w:rsidRDefault="00BE14E5" w:rsidP="00F55A41">
      <w:pPr>
        <w:jc w:val="both"/>
        <w:rPr>
          <w:rFonts w:ascii="Times New Roman" w:hAnsi="Times New Roman" w:cs="Times New Roman"/>
        </w:rPr>
      </w:pPr>
      <w:r w:rsidRPr="00BE14E5">
        <w:rPr>
          <w:rFonts w:ascii="Times New Roman" w:hAnsi="Times New Roman" w:cs="Times New Roman"/>
        </w:rPr>
        <w:t>*вредности су изражене у хиљадама динара</w:t>
      </w:r>
    </w:p>
    <w:p w:rsidR="00EE0519" w:rsidRPr="00F9719B" w:rsidRDefault="009B3038" w:rsidP="00F55A41">
      <w:pPr>
        <w:jc w:val="both"/>
        <w:rPr>
          <w:rFonts w:ascii="Times New Roman" w:hAnsi="Times New Roman" w:cs="Times New Roman"/>
          <w:sz w:val="24"/>
          <w:szCs w:val="24"/>
        </w:rPr>
      </w:pPr>
      <w:r w:rsidRPr="00F9719B">
        <w:rPr>
          <w:rFonts w:ascii="Times New Roman" w:hAnsi="Times New Roman" w:cs="Times New Roman"/>
          <w:sz w:val="24"/>
          <w:szCs w:val="24"/>
        </w:rPr>
        <w:t xml:space="preserve">Сагледавање структуре јавних набавки </w:t>
      </w:r>
      <w:r w:rsidR="00991EB8" w:rsidRPr="00F9719B">
        <w:rPr>
          <w:rFonts w:ascii="Times New Roman" w:hAnsi="Times New Roman" w:cs="Times New Roman"/>
          <w:sz w:val="24"/>
          <w:szCs w:val="24"/>
        </w:rPr>
        <w:t xml:space="preserve">по категоријама наручилаца </w:t>
      </w:r>
      <w:r w:rsidRPr="00F9719B">
        <w:rPr>
          <w:rFonts w:ascii="Times New Roman" w:hAnsi="Times New Roman" w:cs="Times New Roman"/>
          <w:sz w:val="24"/>
          <w:szCs w:val="24"/>
        </w:rPr>
        <w:t xml:space="preserve">је </w:t>
      </w:r>
      <w:r w:rsidR="00991EB8" w:rsidRPr="00F9719B">
        <w:rPr>
          <w:rFonts w:ascii="Times New Roman" w:hAnsi="Times New Roman" w:cs="Times New Roman"/>
          <w:sz w:val="24"/>
          <w:szCs w:val="24"/>
        </w:rPr>
        <w:t xml:space="preserve">значајно </w:t>
      </w:r>
      <w:r w:rsidRPr="00F9719B">
        <w:rPr>
          <w:rFonts w:ascii="Times New Roman" w:hAnsi="Times New Roman" w:cs="Times New Roman"/>
          <w:sz w:val="24"/>
          <w:szCs w:val="24"/>
        </w:rPr>
        <w:t>јер указује на које категорије наручилаца треба обратити нарочиту пажњу у анализи</w:t>
      </w:r>
      <w:r w:rsidR="003C21AE" w:rsidRPr="00F9719B">
        <w:rPr>
          <w:rFonts w:ascii="Times New Roman" w:hAnsi="Times New Roman" w:cs="Times New Roman"/>
          <w:sz w:val="24"/>
          <w:szCs w:val="24"/>
        </w:rPr>
        <w:t xml:space="preserve"> и праћењу поступака</w:t>
      </w:r>
      <w:r w:rsidR="00D91756" w:rsidRPr="00F9719B">
        <w:rPr>
          <w:rFonts w:ascii="Times New Roman" w:hAnsi="Times New Roman" w:cs="Times New Roman"/>
          <w:sz w:val="24"/>
          <w:szCs w:val="24"/>
        </w:rPr>
        <w:t xml:space="preserve">. То су пре свега јавна и јавна комунална предузећа </w:t>
      </w:r>
      <w:r w:rsidR="00897839" w:rsidRPr="00F9719B">
        <w:rPr>
          <w:rFonts w:ascii="Times New Roman" w:hAnsi="Times New Roman" w:cs="Times New Roman"/>
          <w:sz w:val="24"/>
          <w:szCs w:val="24"/>
        </w:rPr>
        <w:t>која су реализовала преко половине јавних набавки (55</w:t>
      </w:r>
      <w:r w:rsidR="00D91756" w:rsidRPr="00F9719B">
        <w:rPr>
          <w:rFonts w:ascii="Times New Roman" w:hAnsi="Times New Roman" w:cs="Times New Roman"/>
          <w:sz w:val="24"/>
          <w:szCs w:val="24"/>
        </w:rPr>
        <w:t>%</w:t>
      </w:r>
      <w:r w:rsidR="00897839" w:rsidRPr="00F9719B">
        <w:rPr>
          <w:rFonts w:ascii="Times New Roman" w:hAnsi="Times New Roman" w:cs="Times New Roman"/>
          <w:sz w:val="24"/>
          <w:szCs w:val="24"/>
        </w:rPr>
        <w:t>)</w:t>
      </w:r>
      <w:r w:rsidR="00D91756" w:rsidRPr="00F9719B">
        <w:rPr>
          <w:rFonts w:ascii="Times New Roman" w:hAnsi="Times New Roman" w:cs="Times New Roman"/>
          <w:sz w:val="24"/>
          <w:szCs w:val="24"/>
        </w:rPr>
        <w:t xml:space="preserve">. </w:t>
      </w:r>
      <w:r w:rsidR="00897839" w:rsidRPr="00F9719B">
        <w:rPr>
          <w:rFonts w:ascii="Times New Roman" w:hAnsi="Times New Roman" w:cs="Times New Roman"/>
          <w:sz w:val="24"/>
          <w:szCs w:val="24"/>
        </w:rPr>
        <w:t xml:space="preserve">Поред тога, значајна категорија је здравство где је реализован сваки четврти динар утрошен за јавне набавке. </w:t>
      </w:r>
      <w:r w:rsidR="00991EB8" w:rsidRPr="00F9719B">
        <w:rPr>
          <w:rFonts w:ascii="Times New Roman" w:hAnsi="Times New Roman" w:cs="Times New Roman"/>
          <w:sz w:val="24"/>
          <w:szCs w:val="24"/>
        </w:rPr>
        <w:t xml:space="preserve">Следећи важан корак је </w:t>
      </w:r>
      <w:r w:rsidR="00EE4BFB" w:rsidRPr="00F9719B">
        <w:rPr>
          <w:rFonts w:ascii="Times New Roman" w:hAnsi="Times New Roman" w:cs="Times New Roman"/>
          <w:sz w:val="24"/>
          <w:szCs w:val="24"/>
        </w:rPr>
        <w:t>да се утврди</w:t>
      </w:r>
      <w:r w:rsidR="00687D79" w:rsidRPr="00F9719B">
        <w:rPr>
          <w:rFonts w:ascii="Times New Roman" w:hAnsi="Times New Roman" w:cs="Times New Roman"/>
          <w:sz w:val="24"/>
          <w:szCs w:val="24"/>
          <w:lang w:val="sr-Cyrl-RS"/>
        </w:rPr>
        <w:t xml:space="preserve"> </w:t>
      </w:r>
      <w:r w:rsidRPr="00F9719B">
        <w:rPr>
          <w:rFonts w:ascii="Times New Roman" w:hAnsi="Times New Roman" w:cs="Times New Roman"/>
          <w:sz w:val="24"/>
          <w:szCs w:val="24"/>
        </w:rPr>
        <w:t xml:space="preserve">у којим </w:t>
      </w:r>
      <w:r w:rsidR="00BF193D" w:rsidRPr="00F9719B">
        <w:rPr>
          <w:rFonts w:ascii="Times New Roman" w:hAnsi="Times New Roman" w:cs="Times New Roman"/>
          <w:sz w:val="24"/>
          <w:szCs w:val="24"/>
        </w:rPr>
        <w:t xml:space="preserve">врстама </w:t>
      </w:r>
      <w:r w:rsidRPr="00F9719B">
        <w:rPr>
          <w:rFonts w:ascii="Times New Roman" w:hAnsi="Times New Roman" w:cs="Times New Roman"/>
          <w:sz w:val="24"/>
          <w:szCs w:val="24"/>
        </w:rPr>
        <w:t>поступ</w:t>
      </w:r>
      <w:r w:rsidR="00BF193D" w:rsidRPr="00F9719B">
        <w:rPr>
          <w:rFonts w:ascii="Times New Roman" w:hAnsi="Times New Roman" w:cs="Times New Roman"/>
          <w:sz w:val="24"/>
          <w:szCs w:val="24"/>
        </w:rPr>
        <w:t>ака</w:t>
      </w:r>
      <w:r w:rsidR="00687D79" w:rsidRPr="00F9719B">
        <w:rPr>
          <w:rFonts w:ascii="Times New Roman" w:hAnsi="Times New Roman" w:cs="Times New Roman"/>
          <w:sz w:val="24"/>
          <w:szCs w:val="24"/>
          <w:lang w:val="sr-Cyrl-RS"/>
        </w:rPr>
        <w:t xml:space="preserve"> </w:t>
      </w:r>
      <w:r w:rsidR="00991EB8" w:rsidRPr="00F9719B">
        <w:rPr>
          <w:rFonts w:ascii="Times New Roman" w:hAnsi="Times New Roman" w:cs="Times New Roman"/>
          <w:sz w:val="24"/>
          <w:szCs w:val="24"/>
        </w:rPr>
        <w:t xml:space="preserve">су </w:t>
      </w:r>
      <w:r w:rsidRPr="00F9719B">
        <w:rPr>
          <w:rFonts w:ascii="Times New Roman" w:hAnsi="Times New Roman" w:cs="Times New Roman"/>
          <w:sz w:val="24"/>
          <w:szCs w:val="24"/>
        </w:rPr>
        <w:t>закључ</w:t>
      </w:r>
      <w:r w:rsidR="00991EB8" w:rsidRPr="00F9719B">
        <w:rPr>
          <w:rFonts w:ascii="Times New Roman" w:hAnsi="Times New Roman" w:cs="Times New Roman"/>
          <w:sz w:val="24"/>
          <w:szCs w:val="24"/>
        </w:rPr>
        <w:t>ивани</w:t>
      </w:r>
      <w:r w:rsidR="00687D79" w:rsidRPr="00F9719B">
        <w:rPr>
          <w:rFonts w:ascii="Times New Roman" w:hAnsi="Times New Roman" w:cs="Times New Roman"/>
          <w:sz w:val="24"/>
          <w:szCs w:val="24"/>
          <w:lang w:val="sr-Cyrl-RS"/>
        </w:rPr>
        <w:t xml:space="preserve"> </w:t>
      </w:r>
      <w:r w:rsidRPr="00F9719B">
        <w:rPr>
          <w:rFonts w:ascii="Times New Roman" w:hAnsi="Times New Roman" w:cs="Times New Roman"/>
          <w:sz w:val="24"/>
          <w:szCs w:val="24"/>
        </w:rPr>
        <w:t>уговор</w:t>
      </w:r>
      <w:r w:rsidR="00991EB8" w:rsidRPr="00F9719B">
        <w:rPr>
          <w:rFonts w:ascii="Times New Roman" w:hAnsi="Times New Roman" w:cs="Times New Roman"/>
          <w:sz w:val="24"/>
          <w:szCs w:val="24"/>
        </w:rPr>
        <w:t>и</w:t>
      </w:r>
      <w:r w:rsidRPr="00F9719B">
        <w:rPr>
          <w:rFonts w:ascii="Times New Roman" w:hAnsi="Times New Roman" w:cs="Times New Roman"/>
          <w:sz w:val="24"/>
          <w:szCs w:val="24"/>
        </w:rPr>
        <w:t xml:space="preserve"> о јавним набавкама. </w:t>
      </w:r>
    </w:p>
    <w:p w:rsidR="00AE3D25" w:rsidRPr="00AE3D25" w:rsidRDefault="00AE3D25" w:rsidP="00F55A41">
      <w:pPr>
        <w:jc w:val="both"/>
        <w:rPr>
          <w:rFonts w:ascii="Times New Roman" w:hAnsi="Times New Roman" w:cs="Times New Roman"/>
        </w:rPr>
        <w:sectPr w:rsidR="00AE3D25" w:rsidRPr="00AE3D25" w:rsidSect="00DA3688">
          <w:pgSz w:w="12240" w:h="15840"/>
          <w:pgMar w:top="720" w:right="720" w:bottom="720" w:left="720" w:header="708" w:footer="708" w:gutter="0"/>
          <w:cols w:space="708"/>
          <w:docGrid w:linePitch="360"/>
        </w:sectPr>
      </w:pPr>
    </w:p>
    <w:p w:rsidR="009965E9" w:rsidRPr="00D12F10" w:rsidRDefault="009965E9" w:rsidP="00F55A41">
      <w:pPr>
        <w:pStyle w:val="ListParagraph"/>
        <w:numPr>
          <w:ilvl w:val="0"/>
          <w:numId w:val="2"/>
        </w:numPr>
        <w:jc w:val="both"/>
        <w:rPr>
          <w:rFonts w:ascii="Times New Roman" w:hAnsi="Times New Roman" w:cs="Times New Roman"/>
          <w:b/>
          <w:sz w:val="24"/>
          <w:szCs w:val="24"/>
        </w:rPr>
      </w:pPr>
      <w:r w:rsidRPr="00D12F10">
        <w:rPr>
          <w:rFonts w:ascii="Times New Roman" w:hAnsi="Times New Roman" w:cs="Times New Roman"/>
          <w:b/>
          <w:sz w:val="24"/>
          <w:szCs w:val="24"/>
        </w:rPr>
        <w:lastRenderedPageBreak/>
        <w:t>НАБАВКЕ ПО ВРСТАМА ПОСТУПАКА</w:t>
      </w:r>
    </w:p>
    <w:p w:rsidR="00D50094" w:rsidRDefault="00C972BC" w:rsidP="00F55A41">
      <w:pPr>
        <w:jc w:val="both"/>
        <w:rPr>
          <w:rFonts w:ascii="Times New Roman" w:hAnsi="Times New Roman" w:cs="Times New Roman"/>
          <w:sz w:val="24"/>
          <w:szCs w:val="24"/>
        </w:rPr>
      </w:pPr>
      <w:r>
        <w:rPr>
          <w:rFonts w:ascii="Times New Roman" w:hAnsi="Times New Roman" w:cs="Times New Roman"/>
          <w:sz w:val="24"/>
          <w:szCs w:val="24"/>
        </w:rPr>
        <w:t xml:space="preserve">Један од најзначајнијих показатеља функционисања система јавних набавки </w:t>
      </w:r>
      <w:r w:rsidR="00BF193D">
        <w:rPr>
          <w:rFonts w:ascii="Times New Roman" w:hAnsi="Times New Roman" w:cs="Times New Roman"/>
          <w:sz w:val="24"/>
          <w:szCs w:val="24"/>
        </w:rPr>
        <w:t xml:space="preserve">јесу </w:t>
      </w:r>
      <w:r w:rsidR="00BF193D" w:rsidRPr="00D5524B">
        <w:rPr>
          <w:rFonts w:ascii="Times New Roman" w:hAnsi="Times New Roman" w:cs="Times New Roman"/>
          <w:sz w:val="24"/>
          <w:szCs w:val="24"/>
        </w:rPr>
        <w:t>врсте поступака у којима се</w:t>
      </w:r>
      <w:r w:rsidR="00687D79">
        <w:rPr>
          <w:rFonts w:ascii="Times New Roman" w:hAnsi="Times New Roman" w:cs="Times New Roman"/>
          <w:sz w:val="24"/>
          <w:szCs w:val="24"/>
          <w:lang w:val="sr-Cyrl-RS"/>
        </w:rPr>
        <w:t xml:space="preserve"> </w:t>
      </w:r>
      <w:r w:rsidR="00BF193D" w:rsidRPr="00D5524B">
        <w:rPr>
          <w:rFonts w:ascii="Times New Roman" w:hAnsi="Times New Roman" w:cs="Times New Roman"/>
          <w:sz w:val="24"/>
          <w:szCs w:val="24"/>
        </w:rPr>
        <w:t xml:space="preserve">закључују уговори о јавнима </w:t>
      </w:r>
      <w:r w:rsidR="00BF193D" w:rsidRPr="00F46340">
        <w:rPr>
          <w:rFonts w:ascii="Times New Roman" w:hAnsi="Times New Roman" w:cs="Times New Roman"/>
          <w:sz w:val="24"/>
          <w:szCs w:val="24"/>
        </w:rPr>
        <w:t>н</w:t>
      </w:r>
      <w:r w:rsidR="00F46340" w:rsidRPr="00F46340">
        <w:rPr>
          <w:rFonts w:ascii="Times New Roman" w:hAnsi="Times New Roman" w:cs="Times New Roman"/>
          <w:sz w:val="24"/>
          <w:szCs w:val="24"/>
        </w:rPr>
        <w:t>а</w:t>
      </w:r>
      <w:r w:rsidR="00BF193D" w:rsidRPr="00F46340">
        <w:rPr>
          <w:rFonts w:ascii="Times New Roman" w:hAnsi="Times New Roman" w:cs="Times New Roman"/>
          <w:sz w:val="24"/>
          <w:szCs w:val="24"/>
        </w:rPr>
        <w:t>бавкама</w:t>
      </w:r>
      <w:r w:rsidRPr="00F46340">
        <w:rPr>
          <w:rFonts w:ascii="Times New Roman" w:hAnsi="Times New Roman" w:cs="Times New Roman"/>
          <w:sz w:val="24"/>
          <w:szCs w:val="24"/>
        </w:rPr>
        <w:t xml:space="preserve">: </w:t>
      </w:r>
      <w:r>
        <w:rPr>
          <w:rFonts w:ascii="Times New Roman" w:hAnsi="Times New Roman" w:cs="Times New Roman"/>
          <w:sz w:val="24"/>
          <w:szCs w:val="24"/>
        </w:rPr>
        <w:t xml:space="preserve">да ли преовлађују транспарентни и конкурентни </w:t>
      </w:r>
      <w:r w:rsidR="005440C4">
        <w:rPr>
          <w:rFonts w:ascii="Times New Roman" w:hAnsi="Times New Roman" w:cs="Times New Roman"/>
          <w:sz w:val="24"/>
          <w:szCs w:val="24"/>
        </w:rPr>
        <w:t xml:space="preserve">поступци (отворени и рестриктивни) или нетранспарентни и неконкурентни (преговарачки поступак без објављивања јавног позива). </w:t>
      </w:r>
      <w:r w:rsidR="00B1711B">
        <w:rPr>
          <w:rFonts w:ascii="Times New Roman" w:hAnsi="Times New Roman" w:cs="Times New Roman"/>
          <w:sz w:val="24"/>
          <w:szCs w:val="24"/>
          <w:lang w:val="sr-Cyrl-RS"/>
        </w:rPr>
        <w:t>Ч</w:t>
      </w:r>
      <w:r w:rsidR="00B1711B">
        <w:rPr>
          <w:rFonts w:ascii="Times New Roman" w:hAnsi="Times New Roman" w:cs="Times New Roman"/>
          <w:sz w:val="24"/>
          <w:szCs w:val="24"/>
        </w:rPr>
        <w:t>лан</w:t>
      </w:r>
      <w:r w:rsidR="008E5975">
        <w:rPr>
          <w:rFonts w:ascii="Times New Roman" w:hAnsi="Times New Roman" w:cs="Times New Roman"/>
          <w:sz w:val="24"/>
          <w:szCs w:val="24"/>
        </w:rPr>
        <w:t xml:space="preserve"> 10</w:t>
      </w:r>
      <w:r w:rsidR="00A119C7">
        <w:rPr>
          <w:rFonts w:ascii="Times New Roman" w:hAnsi="Times New Roman" w:cs="Times New Roman"/>
          <w:sz w:val="24"/>
          <w:szCs w:val="24"/>
        </w:rPr>
        <w:t>.</w:t>
      </w:r>
      <w:r w:rsidR="00B1711B">
        <w:rPr>
          <w:rFonts w:ascii="Times New Roman" w:hAnsi="Times New Roman" w:cs="Times New Roman"/>
          <w:sz w:val="24"/>
          <w:szCs w:val="24"/>
          <w:lang w:val="sr-Cyrl-RS"/>
        </w:rPr>
        <w:t xml:space="preserve"> Закона</w:t>
      </w:r>
      <w:r w:rsidR="008E5975">
        <w:rPr>
          <w:rFonts w:ascii="Times New Roman" w:hAnsi="Times New Roman" w:cs="Times New Roman"/>
          <w:sz w:val="24"/>
          <w:szCs w:val="24"/>
        </w:rPr>
        <w:t xml:space="preserve"> који је посвећен начелу обезбеђивања конкуренције као једном од кључних начела јавних набавки</w:t>
      </w:r>
      <w:r w:rsidR="00A119C7">
        <w:rPr>
          <w:rFonts w:ascii="Times New Roman" w:hAnsi="Times New Roman" w:cs="Times New Roman"/>
          <w:sz w:val="24"/>
          <w:szCs w:val="24"/>
        </w:rPr>
        <w:t>,</w:t>
      </w:r>
      <w:r w:rsidR="008E5975">
        <w:rPr>
          <w:rFonts w:ascii="Times New Roman" w:hAnsi="Times New Roman" w:cs="Times New Roman"/>
          <w:sz w:val="24"/>
          <w:szCs w:val="24"/>
        </w:rPr>
        <w:t xml:space="preserve"> изричито прописује да </w:t>
      </w:r>
      <w:r w:rsidR="006322C4">
        <w:rPr>
          <w:rFonts w:ascii="Times New Roman" w:hAnsi="Times New Roman" w:cs="Times New Roman"/>
          <w:sz w:val="24"/>
          <w:szCs w:val="24"/>
        </w:rPr>
        <w:t xml:space="preserve">наручилац не сме да ограничи конкуренцију неоправданом употребом преговарачког поступка. Стога је један од најзначајнијих показатеља примене начела јавних набавки и правилног спровођења </w:t>
      </w:r>
      <w:r w:rsidR="00A119C7">
        <w:rPr>
          <w:rFonts w:ascii="Times New Roman" w:hAnsi="Times New Roman" w:cs="Times New Roman"/>
          <w:sz w:val="24"/>
          <w:szCs w:val="24"/>
        </w:rPr>
        <w:t>З</w:t>
      </w:r>
      <w:r w:rsidR="00D04601">
        <w:rPr>
          <w:rFonts w:ascii="Times New Roman" w:hAnsi="Times New Roman" w:cs="Times New Roman"/>
          <w:sz w:val="24"/>
          <w:szCs w:val="24"/>
        </w:rPr>
        <w:t xml:space="preserve">акона </w:t>
      </w:r>
      <w:r w:rsidR="006322C4">
        <w:rPr>
          <w:rFonts w:ascii="Times New Roman" w:hAnsi="Times New Roman" w:cs="Times New Roman"/>
          <w:sz w:val="24"/>
          <w:szCs w:val="24"/>
        </w:rPr>
        <w:t>који третира конкурентне поступке као правило</w:t>
      </w:r>
      <w:r w:rsidR="008E5975">
        <w:rPr>
          <w:rFonts w:ascii="Times New Roman" w:hAnsi="Times New Roman" w:cs="Times New Roman"/>
          <w:sz w:val="24"/>
          <w:szCs w:val="24"/>
        </w:rPr>
        <w:t xml:space="preserve">, </w:t>
      </w:r>
      <w:r w:rsidR="006322C4">
        <w:rPr>
          <w:rFonts w:ascii="Times New Roman" w:hAnsi="Times New Roman" w:cs="Times New Roman"/>
          <w:sz w:val="24"/>
          <w:szCs w:val="24"/>
        </w:rPr>
        <w:t xml:space="preserve">а преговарачке као изузетак </w:t>
      </w:r>
      <w:r w:rsidR="00BF193D">
        <w:rPr>
          <w:rFonts w:ascii="Times New Roman" w:hAnsi="Times New Roman" w:cs="Times New Roman"/>
          <w:sz w:val="24"/>
          <w:szCs w:val="24"/>
        </w:rPr>
        <w:t xml:space="preserve">који се примењује </w:t>
      </w:r>
      <w:r w:rsidR="006322C4">
        <w:rPr>
          <w:rFonts w:ascii="Times New Roman" w:hAnsi="Times New Roman" w:cs="Times New Roman"/>
          <w:sz w:val="24"/>
          <w:szCs w:val="24"/>
        </w:rPr>
        <w:t xml:space="preserve">само </w:t>
      </w:r>
      <w:r w:rsidR="00BF193D">
        <w:rPr>
          <w:rFonts w:ascii="Times New Roman" w:hAnsi="Times New Roman" w:cs="Times New Roman"/>
          <w:sz w:val="24"/>
          <w:szCs w:val="24"/>
        </w:rPr>
        <w:t>у посебним</w:t>
      </w:r>
      <w:r w:rsidR="005440C4">
        <w:rPr>
          <w:rFonts w:ascii="Times New Roman" w:hAnsi="Times New Roman" w:cs="Times New Roman"/>
          <w:sz w:val="24"/>
          <w:szCs w:val="24"/>
        </w:rPr>
        <w:t xml:space="preserve"> случајев</w:t>
      </w:r>
      <w:r w:rsidR="00BF193D">
        <w:rPr>
          <w:rFonts w:ascii="Times New Roman" w:hAnsi="Times New Roman" w:cs="Times New Roman"/>
          <w:sz w:val="24"/>
          <w:szCs w:val="24"/>
        </w:rPr>
        <w:t>има</w:t>
      </w:r>
      <w:r w:rsidR="00487E37">
        <w:rPr>
          <w:rFonts w:ascii="Times New Roman" w:hAnsi="Times New Roman" w:cs="Times New Roman"/>
          <w:sz w:val="24"/>
          <w:szCs w:val="24"/>
          <w:lang w:val="sr-Cyrl-RS"/>
        </w:rPr>
        <w:t xml:space="preserve"> </w:t>
      </w:r>
      <w:r w:rsidR="008726FC">
        <w:rPr>
          <w:rFonts w:ascii="Times New Roman" w:hAnsi="Times New Roman" w:cs="Times New Roman"/>
          <w:sz w:val="24"/>
          <w:szCs w:val="24"/>
        </w:rPr>
        <w:t>предвиђен</w:t>
      </w:r>
      <w:r w:rsidR="00BF193D">
        <w:rPr>
          <w:rFonts w:ascii="Times New Roman" w:hAnsi="Times New Roman" w:cs="Times New Roman"/>
          <w:sz w:val="24"/>
          <w:szCs w:val="24"/>
        </w:rPr>
        <w:t>им</w:t>
      </w:r>
      <w:r w:rsidR="00487E37">
        <w:rPr>
          <w:rFonts w:ascii="Times New Roman" w:hAnsi="Times New Roman" w:cs="Times New Roman"/>
          <w:sz w:val="24"/>
          <w:szCs w:val="24"/>
          <w:lang w:val="sr-Cyrl-RS"/>
        </w:rPr>
        <w:t xml:space="preserve"> </w:t>
      </w:r>
      <w:r w:rsidR="00C90FAD">
        <w:rPr>
          <w:rFonts w:ascii="Times New Roman" w:hAnsi="Times New Roman" w:cs="Times New Roman"/>
          <w:sz w:val="24"/>
          <w:szCs w:val="24"/>
        </w:rPr>
        <w:t>З</w:t>
      </w:r>
      <w:r w:rsidR="005440C4">
        <w:rPr>
          <w:rFonts w:ascii="Times New Roman" w:hAnsi="Times New Roman" w:cs="Times New Roman"/>
          <w:sz w:val="24"/>
          <w:szCs w:val="24"/>
        </w:rPr>
        <w:t xml:space="preserve">аконом, </w:t>
      </w:r>
      <w:r w:rsidR="006322C4">
        <w:rPr>
          <w:rFonts w:ascii="Times New Roman" w:hAnsi="Times New Roman" w:cs="Times New Roman"/>
          <w:sz w:val="24"/>
          <w:szCs w:val="24"/>
        </w:rPr>
        <w:t>удео једних и других поступака у укупној вредности јавних набавки. Висок</w:t>
      </w:r>
      <w:r w:rsidR="008726FC">
        <w:rPr>
          <w:rFonts w:ascii="Times New Roman" w:hAnsi="Times New Roman" w:cs="Times New Roman"/>
          <w:sz w:val="24"/>
          <w:szCs w:val="24"/>
        </w:rPr>
        <w:t>о</w:t>
      </w:r>
      <w:r w:rsidR="00487E37">
        <w:rPr>
          <w:rFonts w:ascii="Times New Roman" w:hAnsi="Times New Roman" w:cs="Times New Roman"/>
          <w:sz w:val="24"/>
          <w:szCs w:val="24"/>
          <w:lang w:val="sr-Cyrl-RS"/>
        </w:rPr>
        <w:t xml:space="preserve"> </w:t>
      </w:r>
      <w:r w:rsidR="008726FC">
        <w:rPr>
          <w:rFonts w:ascii="Times New Roman" w:hAnsi="Times New Roman" w:cs="Times New Roman"/>
          <w:sz w:val="24"/>
          <w:szCs w:val="24"/>
        </w:rPr>
        <w:t>учешће</w:t>
      </w:r>
      <w:r w:rsidR="006322C4">
        <w:rPr>
          <w:rFonts w:ascii="Times New Roman" w:hAnsi="Times New Roman" w:cs="Times New Roman"/>
          <w:sz w:val="24"/>
          <w:szCs w:val="24"/>
        </w:rPr>
        <w:t xml:space="preserve"> преговарачког</w:t>
      </w:r>
      <w:r w:rsidR="00D50094">
        <w:rPr>
          <w:rFonts w:ascii="Times New Roman" w:hAnsi="Times New Roman" w:cs="Times New Roman"/>
          <w:sz w:val="24"/>
          <w:szCs w:val="24"/>
        </w:rPr>
        <w:t xml:space="preserve"> поступка </w:t>
      </w:r>
      <w:r w:rsidR="006322C4">
        <w:rPr>
          <w:rFonts w:ascii="Times New Roman" w:hAnsi="Times New Roman" w:cs="Times New Roman"/>
          <w:sz w:val="24"/>
          <w:szCs w:val="24"/>
        </w:rPr>
        <w:t xml:space="preserve">показатељ је непримењивања </w:t>
      </w:r>
      <w:r w:rsidR="00C0772D">
        <w:rPr>
          <w:rFonts w:ascii="Times New Roman" w:hAnsi="Times New Roman" w:cs="Times New Roman"/>
          <w:sz w:val="24"/>
          <w:szCs w:val="24"/>
        </w:rPr>
        <w:t>једног од</w:t>
      </w:r>
      <w:r w:rsidR="006322C4">
        <w:rPr>
          <w:rFonts w:ascii="Times New Roman" w:hAnsi="Times New Roman" w:cs="Times New Roman"/>
          <w:sz w:val="24"/>
          <w:szCs w:val="24"/>
        </w:rPr>
        <w:t xml:space="preserve"> начела јавних набавки</w:t>
      </w:r>
      <w:r w:rsidR="00D04601">
        <w:rPr>
          <w:rFonts w:ascii="Times New Roman" w:hAnsi="Times New Roman" w:cs="Times New Roman"/>
          <w:sz w:val="24"/>
          <w:szCs w:val="24"/>
        </w:rPr>
        <w:t xml:space="preserve"> и самим тим </w:t>
      </w:r>
      <w:r w:rsidR="00D50094">
        <w:rPr>
          <w:rFonts w:ascii="Times New Roman" w:hAnsi="Times New Roman" w:cs="Times New Roman"/>
          <w:sz w:val="24"/>
          <w:szCs w:val="24"/>
        </w:rPr>
        <w:t>неадекватн</w:t>
      </w:r>
      <w:r w:rsidR="00D04601">
        <w:rPr>
          <w:rFonts w:ascii="Times New Roman" w:hAnsi="Times New Roman" w:cs="Times New Roman"/>
          <w:sz w:val="24"/>
          <w:szCs w:val="24"/>
        </w:rPr>
        <w:t>е</w:t>
      </w:r>
      <w:r w:rsidR="00D50094">
        <w:rPr>
          <w:rFonts w:ascii="Times New Roman" w:hAnsi="Times New Roman" w:cs="Times New Roman"/>
          <w:sz w:val="24"/>
          <w:szCs w:val="24"/>
        </w:rPr>
        <w:t xml:space="preserve"> примен</w:t>
      </w:r>
      <w:r w:rsidR="00D04601">
        <w:rPr>
          <w:rFonts w:ascii="Times New Roman" w:hAnsi="Times New Roman" w:cs="Times New Roman"/>
          <w:sz w:val="24"/>
          <w:szCs w:val="24"/>
        </w:rPr>
        <w:t>е</w:t>
      </w:r>
      <w:r w:rsidR="00487E37">
        <w:rPr>
          <w:rFonts w:ascii="Times New Roman" w:hAnsi="Times New Roman" w:cs="Times New Roman"/>
          <w:sz w:val="24"/>
          <w:szCs w:val="24"/>
          <w:lang w:val="sr-Cyrl-RS"/>
        </w:rPr>
        <w:t xml:space="preserve"> </w:t>
      </w:r>
      <w:r w:rsidR="00C90FAD">
        <w:rPr>
          <w:rFonts w:ascii="Times New Roman" w:hAnsi="Times New Roman" w:cs="Times New Roman"/>
          <w:sz w:val="24"/>
          <w:szCs w:val="24"/>
        </w:rPr>
        <w:t>З</w:t>
      </w:r>
      <w:r w:rsidR="00D50094">
        <w:rPr>
          <w:rFonts w:ascii="Times New Roman" w:hAnsi="Times New Roman" w:cs="Times New Roman"/>
          <w:sz w:val="24"/>
          <w:szCs w:val="24"/>
        </w:rPr>
        <w:t xml:space="preserve">акона.  </w:t>
      </w:r>
    </w:p>
    <w:p w:rsidR="00D04601" w:rsidRPr="00D5524B" w:rsidRDefault="00D50094" w:rsidP="00F55A41">
      <w:pPr>
        <w:jc w:val="both"/>
        <w:rPr>
          <w:rFonts w:ascii="Times New Roman" w:hAnsi="Times New Roman" w:cs="Times New Roman"/>
          <w:sz w:val="24"/>
          <w:szCs w:val="24"/>
        </w:rPr>
      </w:pPr>
      <w:r>
        <w:rPr>
          <w:rFonts w:ascii="Times New Roman" w:hAnsi="Times New Roman" w:cs="Times New Roman"/>
          <w:sz w:val="24"/>
          <w:szCs w:val="24"/>
        </w:rPr>
        <w:t xml:space="preserve">Системе јавних набавки </w:t>
      </w:r>
      <w:r w:rsidR="00BC5EEE">
        <w:rPr>
          <w:rFonts w:ascii="Times New Roman" w:hAnsi="Times New Roman" w:cs="Times New Roman"/>
          <w:sz w:val="24"/>
          <w:szCs w:val="24"/>
        </w:rPr>
        <w:t xml:space="preserve">који су </w:t>
      </w:r>
      <w:r>
        <w:rPr>
          <w:rFonts w:ascii="Times New Roman" w:hAnsi="Times New Roman" w:cs="Times New Roman"/>
          <w:sz w:val="24"/>
          <w:szCs w:val="24"/>
        </w:rPr>
        <w:t xml:space="preserve">на нижем нивоу развоја карактерише висок удео </w:t>
      </w:r>
      <w:r w:rsidR="005440C4">
        <w:rPr>
          <w:rFonts w:ascii="Times New Roman" w:hAnsi="Times New Roman" w:cs="Times New Roman"/>
          <w:sz w:val="24"/>
          <w:szCs w:val="24"/>
        </w:rPr>
        <w:t>преговарачк</w:t>
      </w:r>
      <w:r>
        <w:rPr>
          <w:rFonts w:ascii="Times New Roman" w:hAnsi="Times New Roman" w:cs="Times New Roman"/>
          <w:sz w:val="24"/>
          <w:szCs w:val="24"/>
        </w:rPr>
        <w:t>ог по</w:t>
      </w:r>
      <w:r w:rsidR="00BC5EEE">
        <w:rPr>
          <w:rFonts w:ascii="Times New Roman" w:hAnsi="Times New Roman" w:cs="Times New Roman"/>
          <w:sz w:val="24"/>
          <w:szCs w:val="24"/>
        </w:rPr>
        <w:t>с</w:t>
      </w:r>
      <w:r>
        <w:rPr>
          <w:rFonts w:ascii="Times New Roman" w:hAnsi="Times New Roman" w:cs="Times New Roman"/>
          <w:sz w:val="24"/>
          <w:szCs w:val="24"/>
        </w:rPr>
        <w:t>туп</w:t>
      </w:r>
      <w:r w:rsidR="005440C4">
        <w:rPr>
          <w:rFonts w:ascii="Times New Roman" w:hAnsi="Times New Roman" w:cs="Times New Roman"/>
          <w:sz w:val="24"/>
          <w:szCs w:val="24"/>
        </w:rPr>
        <w:t>к</w:t>
      </w:r>
      <w:r>
        <w:rPr>
          <w:rFonts w:ascii="Times New Roman" w:hAnsi="Times New Roman" w:cs="Times New Roman"/>
          <w:sz w:val="24"/>
          <w:szCs w:val="24"/>
        </w:rPr>
        <w:t>а</w:t>
      </w:r>
      <w:r w:rsidR="00487E37">
        <w:rPr>
          <w:rFonts w:ascii="Times New Roman" w:hAnsi="Times New Roman" w:cs="Times New Roman"/>
          <w:sz w:val="24"/>
          <w:szCs w:val="24"/>
          <w:lang w:val="sr-Cyrl-RS"/>
        </w:rPr>
        <w:t xml:space="preserve"> </w:t>
      </w:r>
      <w:r w:rsidR="00BC5EEE">
        <w:rPr>
          <w:rFonts w:ascii="Times New Roman" w:hAnsi="Times New Roman" w:cs="Times New Roman"/>
          <w:sz w:val="24"/>
          <w:szCs w:val="24"/>
        </w:rPr>
        <w:t>зато што га</w:t>
      </w:r>
      <w:r w:rsidR="005440C4">
        <w:rPr>
          <w:rFonts w:ascii="Times New Roman" w:hAnsi="Times New Roman" w:cs="Times New Roman"/>
          <w:sz w:val="24"/>
          <w:szCs w:val="24"/>
        </w:rPr>
        <w:t xml:space="preserve"> већина наручилаца</w:t>
      </w:r>
      <w:r w:rsidR="00487E37">
        <w:rPr>
          <w:rFonts w:ascii="Times New Roman" w:hAnsi="Times New Roman" w:cs="Times New Roman"/>
          <w:sz w:val="24"/>
          <w:szCs w:val="24"/>
          <w:lang w:val="sr-Cyrl-RS"/>
        </w:rPr>
        <w:t xml:space="preserve"> </w:t>
      </w:r>
      <w:r w:rsidR="005440C4">
        <w:rPr>
          <w:rFonts w:ascii="Times New Roman" w:hAnsi="Times New Roman" w:cs="Times New Roman"/>
          <w:sz w:val="24"/>
          <w:szCs w:val="24"/>
        </w:rPr>
        <w:t>третира као прву опцију када се опредељује за поступак</w:t>
      </w:r>
      <w:r w:rsidR="00696246">
        <w:rPr>
          <w:rFonts w:ascii="Times New Roman" w:hAnsi="Times New Roman" w:cs="Times New Roman"/>
          <w:sz w:val="24"/>
          <w:szCs w:val="24"/>
        </w:rPr>
        <w:t>,</w:t>
      </w:r>
      <w:r w:rsidR="00487E37">
        <w:rPr>
          <w:rFonts w:ascii="Times New Roman" w:hAnsi="Times New Roman" w:cs="Times New Roman"/>
          <w:sz w:val="24"/>
          <w:szCs w:val="24"/>
          <w:lang w:val="sr-Cyrl-RS"/>
        </w:rPr>
        <w:t xml:space="preserve"> </w:t>
      </w:r>
      <w:r w:rsidR="00762789">
        <w:rPr>
          <w:rFonts w:ascii="Times New Roman" w:hAnsi="Times New Roman" w:cs="Times New Roman"/>
          <w:sz w:val="24"/>
          <w:szCs w:val="24"/>
        </w:rPr>
        <w:t xml:space="preserve">у намери да </w:t>
      </w:r>
      <w:r w:rsidR="00BF193D">
        <w:rPr>
          <w:rFonts w:ascii="Times New Roman" w:hAnsi="Times New Roman" w:cs="Times New Roman"/>
          <w:sz w:val="24"/>
          <w:szCs w:val="24"/>
        </w:rPr>
        <w:t>се избегне</w:t>
      </w:r>
      <w:r w:rsidR="00EB3381">
        <w:rPr>
          <w:rFonts w:ascii="Times New Roman" w:hAnsi="Times New Roman" w:cs="Times New Roman"/>
          <w:sz w:val="24"/>
          <w:szCs w:val="24"/>
        </w:rPr>
        <w:t xml:space="preserve"> јавно оглашавање и конкуренциј</w:t>
      </w:r>
      <w:r w:rsidR="00BF193D">
        <w:rPr>
          <w:rFonts w:ascii="Times New Roman" w:hAnsi="Times New Roman" w:cs="Times New Roman"/>
          <w:sz w:val="24"/>
          <w:szCs w:val="24"/>
        </w:rPr>
        <w:t>а</w:t>
      </w:r>
      <w:r w:rsidR="00EB3381">
        <w:rPr>
          <w:rFonts w:ascii="Times New Roman" w:hAnsi="Times New Roman" w:cs="Times New Roman"/>
          <w:sz w:val="24"/>
          <w:szCs w:val="24"/>
        </w:rPr>
        <w:t>.</w:t>
      </w:r>
      <w:r w:rsidR="00487E37">
        <w:rPr>
          <w:rFonts w:ascii="Times New Roman" w:hAnsi="Times New Roman" w:cs="Times New Roman"/>
          <w:sz w:val="24"/>
          <w:szCs w:val="24"/>
          <w:lang w:val="sr-Cyrl-RS"/>
        </w:rPr>
        <w:t xml:space="preserve"> </w:t>
      </w:r>
      <w:r w:rsidR="00762789">
        <w:rPr>
          <w:rFonts w:ascii="Times New Roman" w:hAnsi="Times New Roman" w:cs="Times New Roman"/>
          <w:sz w:val="24"/>
          <w:szCs w:val="24"/>
        </w:rPr>
        <w:t xml:space="preserve">За </w:t>
      </w:r>
      <w:r w:rsidR="00117AE0">
        <w:rPr>
          <w:rFonts w:ascii="Times New Roman" w:hAnsi="Times New Roman" w:cs="Times New Roman"/>
          <w:sz w:val="24"/>
          <w:szCs w:val="24"/>
        </w:rPr>
        <w:t>овакво</w:t>
      </w:r>
      <w:r w:rsidR="00762789">
        <w:rPr>
          <w:rFonts w:ascii="Times New Roman" w:hAnsi="Times New Roman" w:cs="Times New Roman"/>
          <w:sz w:val="24"/>
          <w:szCs w:val="24"/>
        </w:rPr>
        <w:t xml:space="preserve"> поступање наручилаца најчешћи р</w:t>
      </w:r>
      <w:r w:rsidR="00D04601">
        <w:rPr>
          <w:rFonts w:ascii="Times New Roman" w:hAnsi="Times New Roman" w:cs="Times New Roman"/>
          <w:sz w:val="24"/>
          <w:szCs w:val="24"/>
        </w:rPr>
        <w:t xml:space="preserve">азлози су недовољно развијени системи контроле и санкционисања, као и </w:t>
      </w:r>
      <w:r w:rsidR="008D5132" w:rsidRPr="00D5524B">
        <w:rPr>
          <w:rFonts w:ascii="Times New Roman" w:hAnsi="Times New Roman" w:cs="Times New Roman"/>
          <w:sz w:val="24"/>
          <w:szCs w:val="24"/>
        </w:rPr>
        <w:t>слаба</w:t>
      </w:r>
      <w:r w:rsidR="006A31AF" w:rsidRPr="00D5524B">
        <w:rPr>
          <w:rFonts w:ascii="Times New Roman" w:hAnsi="Times New Roman" w:cs="Times New Roman"/>
          <w:sz w:val="24"/>
          <w:szCs w:val="24"/>
        </w:rPr>
        <w:t xml:space="preserve"> информисаност</w:t>
      </w:r>
      <w:r w:rsidR="0029465D" w:rsidRPr="00D5524B">
        <w:rPr>
          <w:rFonts w:ascii="Times New Roman" w:hAnsi="Times New Roman" w:cs="Times New Roman"/>
          <w:sz w:val="24"/>
          <w:szCs w:val="24"/>
        </w:rPr>
        <w:t xml:space="preserve"> о негативним </w:t>
      </w:r>
      <w:r w:rsidR="00F1470D" w:rsidRPr="00D5524B">
        <w:rPr>
          <w:rFonts w:ascii="Times New Roman" w:hAnsi="Times New Roman" w:cs="Times New Roman"/>
          <w:sz w:val="24"/>
          <w:szCs w:val="24"/>
        </w:rPr>
        <w:t>последицама</w:t>
      </w:r>
      <w:r w:rsidR="0029465D" w:rsidRPr="00D5524B">
        <w:rPr>
          <w:rFonts w:ascii="Times New Roman" w:hAnsi="Times New Roman" w:cs="Times New Roman"/>
          <w:sz w:val="24"/>
          <w:szCs w:val="24"/>
        </w:rPr>
        <w:t xml:space="preserve"> неоправдане примене овог поступка</w:t>
      </w:r>
      <w:r w:rsidR="00D04601" w:rsidRPr="00D5524B">
        <w:rPr>
          <w:rFonts w:ascii="Times New Roman" w:hAnsi="Times New Roman" w:cs="Times New Roman"/>
          <w:sz w:val="24"/>
          <w:szCs w:val="24"/>
        </w:rPr>
        <w:t xml:space="preserve">. </w:t>
      </w:r>
    </w:p>
    <w:p w:rsidR="005440C4" w:rsidRDefault="005440C4" w:rsidP="00F55A41">
      <w:pPr>
        <w:jc w:val="both"/>
        <w:rPr>
          <w:rFonts w:ascii="Times New Roman" w:hAnsi="Times New Roman" w:cs="Times New Roman"/>
          <w:sz w:val="24"/>
          <w:szCs w:val="24"/>
        </w:rPr>
      </w:pPr>
      <w:r>
        <w:rPr>
          <w:rFonts w:ascii="Times New Roman" w:hAnsi="Times New Roman" w:cs="Times New Roman"/>
          <w:sz w:val="24"/>
          <w:szCs w:val="24"/>
        </w:rPr>
        <w:t>Преговарачки поступак има читав низ пот</w:t>
      </w:r>
      <w:r w:rsidR="00697808">
        <w:rPr>
          <w:rFonts w:ascii="Times New Roman" w:hAnsi="Times New Roman" w:cs="Times New Roman"/>
          <w:sz w:val="24"/>
          <w:szCs w:val="24"/>
        </w:rPr>
        <w:t>е</w:t>
      </w:r>
      <w:r>
        <w:rPr>
          <w:rFonts w:ascii="Times New Roman" w:hAnsi="Times New Roman" w:cs="Times New Roman"/>
          <w:sz w:val="24"/>
          <w:szCs w:val="24"/>
        </w:rPr>
        <w:t xml:space="preserve">нцијално </w:t>
      </w:r>
      <w:r w:rsidR="00F1470D">
        <w:rPr>
          <w:rFonts w:ascii="Times New Roman" w:hAnsi="Times New Roman" w:cs="Times New Roman"/>
          <w:sz w:val="24"/>
          <w:szCs w:val="24"/>
        </w:rPr>
        <w:t>лоших</w:t>
      </w:r>
      <w:r>
        <w:rPr>
          <w:rFonts w:ascii="Times New Roman" w:hAnsi="Times New Roman" w:cs="Times New Roman"/>
          <w:sz w:val="24"/>
          <w:szCs w:val="24"/>
        </w:rPr>
        <w:t xml:space="preserve"> ефеката од којих су најзначајнији</w:t>
      </w:r>
      <w:r w:rsidR="00487E37">
        <w:rPr>
          <w:rFonts w:ascii="Times New Roman" w:hAnsi="Times New Roman" w:cs="Times New Roman"/>
          <w:sz w:val="24"/>
          <w:szCs w:val="24"/>
          <w:lang w:val="sr-Cyrl-RS"/>
        </w:rPr>
        <w:t xml:space="preserve"> </w:t>
      </w:r>
      <w:r>
        <w:rPr>
          <w:rFonts w:ascii="Times New Roman" w:hAnsi="Times New Roman" w:cs="Times New Roman"/>
          <w:sz w:val="24"/>
          <w:szCs w:val="24"/>
        </w:rPr>
        <w:t>ограничена конкуренција и повећани ризик од злоупотреба</w:t>
      </w:r>
      <w:r w:rsidR="00BC5EEE">
        <w:rPr>
          <w:rFonts w:ascii="Times New Roman" w:hAnsi="Times New Roman" w:cs="Times New Roman"/>
          <w:sz w:val="24"/>
          <w:szCs w:val="24"/>
        </w:rPr>
        <w:t>, па је стога и предвиђен само за изузетне случајеве.</w:t>
      </w:r>
      <w:r w:rsidR="00B1711B">
        <w:rPr>
          <w:rFonts w:ascii="Times New Roman" w:hAnsi="Times New Roman" w:cs="Times New Roman"/>
          <w:sz w:val="24"/>
          <w:szCs w:val="24"/>
          <w:lang w:val="sr-Cyrl-RS"/>
        </w:rPr>
        <w:t xml:space="preserve"> </w:t>
      </w:r>
      <w:r w:rsidR="00BC5EEE">
        <w:rPr>
          <w:rFonts w:ascii="Times New Roman" w:hAnsi="Times New Roman" w:cs="Times New Roman"/>
          <w:sz w:val="24"/>
          <w:szCs w:val="24"/>
        </w:rPr>
        <w:t xml:space="preserve">Отуда </w:t>
      </w:r>
      <w:r>
        <w:rPr>
          <w:rFonts w:ascii="Times New Roman" w:hAnsi="Times New Roman" w:cs="Times New Roman"/>
          <w:sz w:val="24"/>
          <w:szCs w:val="24"/>
        </w:rPr>
        <w:t xml:space="preserve">се заступљеност преговарачких поступака у земљама ЕУ креће </w:t>
      </w:r>
      <w:r w:rsidR="003C21AE">
        <w:rPr>
          <w:rFonts w:ascii="Times New Roman" w:hAnsi="Times New Roman" w:cs="Times New Roman"/>
          <w:sz w:val="24"/>
          <w:szCs w:val="24"/>
        </w:rPr>
        <w:t>око</w:t>
      </w:r>
      <w:r w:rsidR="00B1711B">
        <w:rPr>
          <w:rFonts w:ascii="Times New Roman" w:hAnsi="Times New Roman" w:cs="Times New Roman"/>
          <w:sz w:val="24"/>
          <w:szCs w:val="24"/>
          <w:lang w:val="sr-Cyrl-RS"/>
        </w:rPr>
        <w:t xml:space="preserve"> </w:t>
      </w:r>
      <w:r>
        <w:rPr>
          <w:rFonts w:ascii="Times New Roman" w:hAnsi="Times New Roman" w:cs="Times New Roman"/>
          <w:sz w:val="24"/>
          <w:szCs w:val="24"/>
        </w:rPr>
        <w:t xml:space="preserve">5% у </w:t>
      </w:r>
      <w:r w:rsidR="00105CEE">
        <w:rPr>
          <w:rFonts w:ascii="Times New Roman" w:hAnsi="Times New Roman" w:cs="Times New Roman"/>
          <w:sz w:val="24"/>
          <w:szCs w:val="24"/>
        </w:rPr>
        <w:t xml:space="preserve">укупној </w:t>
      </w:r>
      <w:r w:rsidR="00EB3381">
        <w:rPr>
          <w:rFonts w:ascii="Times New Roman" w:hAnsi="Times New Roman" w:cs="Times New Roman"/>
          <w:sz w:val="24"/>
          <w:szCs w:val="24"/>
        </w:rPr>
        <w:t xml:space="preserve">вредности јавних набавки и представља један од најзначајнијих показатеља </w:t>
      </w:r>
      <w:r w:rsidR="00181494">
        <w:rPr>
          <w:rFonts w:ascii="Times New Roman" w:hAnsi="Times New Roman" w:cs="Times New Roman"/>
          <w:sz w:val="24"/>
          <w:szCs w:val="24"/>
        </w:rPr>
        <w:t xml:space="preserve">нивоа развоја </w:t>
      </w:r>
      <w:r w:rsidR="00EB3381">
        <w:rPr>
          <w:rFonts w:ascii="Times New Roman" w:hAnsi="Times New Roman" w:cs="Times New Roman"/>
          <w:sz w:val="24"/>
          <w:szCs w:val="24"/>
        </w:rPr>
        <w:t>система</w:t>
      </w:r>
      <w:r w:rsidR="00181494">
        <w:rPr>
          <w:rFonts w:ascii="Times New Roman" w:hAnsi="Times New Roman" w:cs="Times New Roman"/>
          <w:sz w:val="24"/>
          <w:szCs w:val="24"/>
        </w:rPr>
        <w:t xml:space="preserve"> јавних набавки и степена усклађености са ЕУ стандардима. </w:t>
      </w:r>
    </w:p>
    <w:p w:rsidR="008D5132" w:rsidRDefault="008D5132" w:rsidP="00F55A41">
      <w:pPr>
        <w:jc w:val="both"/>
        <w:rPr>
          <w:rFonts w:ascii="Times New Roman" w:hAnsi="Times New Roman" w:cs="Times New Roman"/>
          <w:sz w:val="24"/>
          <w:szCs w:val="24"/>
        </w:rPr>
      </w:pPr>
      <w:r>
        <w:rPr>
          <w:rFonts w:ascii="Times New Roman" w:hAnsi="Times New Roman" w:cs="Times New Roman"/>
          <w:sz w:val="24"/>
          <w:szCs w:val="24"/>
        </w:rPr>
        <w:t>Заступљеност</w:t>
      </w:r>
      <w:r w:rsidR="00B1711B">
        <w:rPr>
          <w:rFonts w:ascii="Times New Roman" w:hAnsi="Times New Roman" w:cs="Times New Roman"/>
          <w:sz w:val="24"/>
          <w:szCs w:val="24"/>
          <w:lang w:val="sr-Cyrl-RS"/>
        </w:rPr>
        <w:t xml:space="preserve"> </w:t>
      </w:r>
      <w:r w:rsidR="00816103">
        <w:rPr>
          <w:rFonts w:ascii="Times New Roman" w:hAnsi="Times New Roman" w:cs="Times New Roman"/>
          <w:sz w:val="24"/>
          <w:szCs w:val="24"/>
        </w:rPr>
        <w:t xml:space="preserve">свих врста поступака у </w:t>
      </w:r>
      <w:r w:rsidR="00AE7038">
        <w:rPr>
          <w:rFonts w:ascii="Times New Roman" w:hAnsi="Times New Roman" w:cs="Times New Roman"/>
          <w:sz w:val="24"/>
          <w:szCs w:val="24"/>
        </w:rPr>
        <w:t xml:space="preserve">укупној </w:t>
      </w:r>
      <w:r w:rsidR="00816103">
        <w:rPr>
          <w:rFonts w:ascii="Times New Roman" w:hAnsi="Times New Roman" w:cs="Times New Roman"/>
          <w:sz w:val="24"/>
          <w:szCs w:val="24"/>
        </w:rPr>
        <w:t xml:space="preserve">вредности јавних набавки у Србији приказано је у </w:t>
      </w:r>
      <w:r w:rsidR="00816103" w:rsidRPr="00092EBD">
        <w:rPr>
          <w:rFonts w:ascii="Times New Roman" w:hAnsi="Times New Roman" w:cs="Times New Roman"/>
          <w:sz w:val="24"/>
          <w:szCs w:val="24"/>
        </w:rPr>
        <w:t>Т</w:t>
      </w:r>
      <w:r w:rsidR="009965E9" w:rsidRPr="00092EBD">
        <w:rPr>
          <w:rFonts w:ascii="Times New Roman" w:hAnsi="Times New Roman" w:cs="Times New Roman"/>
          <w:sz w:val="24"/>
          <w:szCs w:val="24"/>
        </w:rPr>
        <w:t xml:space="preserve">абели </w:t>
      </w:r>
      <w:r w:rsidR="00970271">
        <w:rPr>
          <w:rFonts w:ascii="Times New Roman" w:hAnsi="Times New Roman" w:cs="Times New Roman"/>
          <w:sz w:val="24"/>
          <w:szCs w:val="24"/>
        </w:rPr>
        <w:t>4</w:t>
      </w:r>
      <w:r w:rsidR="00816103" w:rsidRPr="00092EBD">
        <w:rPr>
          <w:rFonts w:ascii="Times New Roman" w:hAnsi="Times New Roman" w:cs="Times New Roman"/>
          <w:sz w:val="24"/>
          <w:szCs w:val="24"/>
        </w:rPr>
        <w:t>.</w:t>
      </w:r>
    </w:p>
    <w:p w:rsidR="001A19E7" w:rsidRPr="00AE7038" w:rsidRDefault="00F1470D" w:rsidP="00F55A41">
      <w:pPr>
        <w:jc w:val="both"/>
        <w:rPr>
          <w:rFonts w:ascii="Times New Roman" w:hAnsi="Times New Roman" w:cs="Times New Roman"/>
          <w:sz w:val="24"/>
          <w:szCs w:val="24"/>
        </w:rPr>
      </w:pPr>
      <w:r>
        <w:rPr>
          <w:rFonts w:ascii="Times New Roman" w:hAnsi="Times New Roman" w:cs="Times New Roman"/>
          <w:b/>
          <w:color w:val="000000" w:themeColor="text1"/>
          <w:sz w:val="24"/>
          <w:szCs w:val="24"/>
        </w:rPr>
        <w:t>Табела 4</w:t>
      </w:r>
    </w:p>
    <w:tbl>
      <w:tblPr>
        <w:tblW w:w="7180" w:type="dxa"/>
        <w:jc w:val="center"/>
        <w:tblInd w:w="-1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6"/>
        <w:gridCol w:w="2493"/>
        <w:gridCol w:w="661"/>
      </w:tblGrid>
      <w:tr w:rsidR="001A19E7" w:rsidRPr="00FF2AAB" w:rsidTr="00AE7038">
        <w:trPr>
          <w:jc w:val="center"/>
        </w:trPr>
        <w:tc>
          <w:tcPr>
            <w:tcW w:w="7180" w:type="dxa"/>
            <w:gridSpan w:val="3"/>
            <w:tcBorders>
              <w:top w:val="single" w:sz="18" w:space="0" w:color="auto"/>
              <w:left w:val="single" w:sz="18" w:space="0" w:color="auto"/>
              <w:bottom w:val="single" w:sz="4" w:space="0" w:color="auto"/>
              <w:right w:val="single" w:sz="18" w:space="0" w:color="auto"/>
            </w:tcBorders>
            <w:vAlign w:val="center"/>
          </w:tcPr>
          <w:p w:rsidR="00D50FF8" w:rsidRDefault="001A19E7" w:rsidP="00B43F51">
            <w:pPr>
              <w:tabs>
                <w:tab w:val="left" w:pos="1885"/>
              </w:tabs>
              <w:spacing w:after="0" w:line="240" w:lineRule="auto"/>
              <w:jc w:val="center"/>
              <w:rPr>
                <w:rFonts w:ascii="Times New Roman" w:eastAsia="Times New Roman" w:hAnsi="Times New Roman" w:cs="Times New Roman"/>
                <w:b/>
                <w:color w:val="000000"/>
                <w:sz w:val="24"/>
                <w:szCs w:val="24"/>
                <w:lang w:val="en-US"/>
              </w:rPr>
            </w:pPr>
            <w:r w:rsidRPr="00FF2AAB">
              <w:rPr>
                <w:rFonts w:ascii="Times New Roman" w:eastAsia="Times New Roman" w:hAnsi="Times New Roman" w:cs="Times New Roman"/>
                <w:b/>
                <w:color w:val="000000"/>
                <w:sz w:val="24"/>
                <w:szCs w:val="24"/>
                <w:lang w:val="sr-Cyrl-CS"/>
              </w:rPr>
              <w:t xml:space="preserve">Преглед вредносне структуре јавних набавки </w:t>
            </w:r>
          </w:p>
          <w:p w:rsidR="001A19E7" w:rsidRPr="00FF2AAB" w:rsidRDefault="001A19E7" w:rsidP="00B1711B">
            <w:pPr>
              <w:tabs>
                <w:tab w:val="left" w:pos="1885"/>
              </w:tabs>
              <w:spacing w:after="0" w:line="240" w:lineRule="auto"/>
              <w:jc w:val="center"/>
              <w:rPr>
                <w:rFonts w:ascii="Times New Roman" w:eastAsia="Times New Roman" w:hAnsi="Times New Roman" w:cs="Times New Roman"/>
                <w:b/>
                <w:color w:val="000000"/>
                <w:sz w:val="24"/>
                <w:szCs w:val="24"/>
                <w:lang w:val="sr-Cyrl-CS"/>
              </w:rPr>
            </w:pPr>
            <w:r w:rsidRPr="00FF2AAB">
              <w:rPr>
                <w:rFonts w:ascii="Times New Roman" w:eastAsia="Times New Roman" w:hAnsi="Times New Roman" w:cs="Times New Roman"/>
                <w:b/>
                <w:color w:val="000000"/>
                <w:sz w:val="24"/>
                <w:szCs w:val="24"/>
                <w:lang w:val="sr-Cyrl-CS"/>
              </w:rPr>
              <w:t>по врст</w:t>
            </w:r>
            <w:r w:rsidR="00B1711B">
              <w:rPr>
                <w:rFonts w:ascii="Times New Roman" w:eastAsia="Times New Roman" w:hAnsi="Times New Roman" w:cs="Times New Roman"/>
                <w:b/>
                <w:color w:val="000000"/>
                <w:sz w:val="24"/>
                <w:szCs w:val="24"/>
                <w:lang w:val="sr-Cyrl-CS"/>
              </w:rPr>
              <w:t xml:space="preserve">и </w:t>
            </w:r>
            <w:r w:rsidRPr="00FF2AAB">
              <w:rPr>
                <w:rFonts w:ascii="Times New Roman" w:eastAsia="Times New Roman" w:hAnsi="Times New Roman" w:cs="Times New Roman"/>
                <w:b/>
                <w:color w:val="000000"/>
                <w:sz w:val="24"/>
                <w:szCs w:val="24"/>
                <w:lang w:val="sr-Cyrl-CS"/>
              </w:rPr>
              <w:t xml:space="preserve"> поступ</w:t>
            </w:r>
            <w:r w:rsidR="00B43F51">
              <w:rPr>
                <w:rFonts w:ascii="Times New Roman" w:eastAsia="Times New Roman" w:hAnsi="Times New Roman" w:cs="Times New Roman"/>
                <w:b/>
                <w:color w:val="000000"/>
                <w:sz w:val="24"/>
                <w:szCs w:val="24"/>
                <w:lang w:val="sr-Cyrl-CS"/>
              </w:rPr>
              <w:t>ка</w:t>
            </w:r>
            <w:r>
              <w:rPr>
                <w:rFonts w:ascii="Times New Roman" w:eastAsia="Times New Roman" w:hAnsi="Times New Roman" w:cs="Times New Roman"/>
                <w:b/>
                <w:color w:val="000000"/>
                <w:sz w:val="24"/>
                <w:szCs w:val="24"/>
                <w:lang w:val="sr-Cyrl-CS"/>
              </w:rPr>
              <w:t xml:space="preserve"> у 2014. години</w:t>
            </w:r>
          </w:p>
        </w:tc>
      </w:tr>
      <w:tr w:rsidR="001A19E7" w:rsidRPr="00FF2AAB" w:rsidTr="00AE7038">
        <w:trPr>
          <w:jc w:val="center"/>
        </w:trPr>
        <w:tc>
          <w:tcPr>
            <w:tcW w:w="4026" w:type="dxa"/>
            <w:tcBorders>
              <w:top w:val="single" w:sz="4" w:space="0" w:color="auto"/>
              <w:left w:val="single" w:sz="18" w:space="0" w:color="auto"/>
              <w:bottom w:val="single" w:sz="4" w:space="0" w:color="auto"/>
              <w:right w:val="single" w:sz="18" w:space="0" w:color="auto"/>
            </w:tcBorders>
            <w:vAlign w:val="center"/>
          </w:tcPr>
          <w:p w:rsidR="001A19E7" w:rsidRPr="00FF2AAB" w:rsidRDefault="001A19E7" w:rsidP="00AE7038">
            <w:pPr>
              <w:tabs>
                <w:tab w:val="left" w:pos="1885"/>
              </w:tabs>
              <w:spacing w:after="0" w:line="240" w:lineRule="auto"/>
              <w:jc w:val="center"/>
              <w:rPr>
                <w:rFonts w:ascii="Times New Roman" w:eastAsia="Times New Roman" w:hAnsi="Times New Roman" w:cs="Times New Roman"/>
                <w:b/>
                <w:color w:val="000000"/>
                <w:sz w:val="24"/>
                <w:szCs w:val="24"/>
              </w:rPr>
            </w:pPr>
            <w:r w:rsidRPr="00FF2AAB">
              <w:rPr>
                <w:rFonts w:ascii="Times New Roman" w:eastAsia="Times New Roman" w:hAnsi="Times New Roman" w:cs="Times New Roman"/>
                <w:b/>
                <w:color w:val="000000"/>
                <w:sz w:val="24"/>
                <w:szCs w:val="24"/>
              </w:rPr>
              <w:t>Врста поступка</w:t>
            </w:r>
          </w:p>
          <w:p w:rsidR="001A19E7" w:rsidRPr="00FF2AAB" w:rsidRDefault="001A19E7" w:rsidP="00AE7038">
            <w:pPr>
              <w:tabs>
                <w:tab w:val="left" w:pos="1885"/>
              </w:tabs>
              <w:spacing w:after="0" w:line="240" w:lineRule="auto"/>
              <w:jc w:val="center"/>
              <w:rPr>
                <w:rFonts w:ascii="Times New Roman" w:eastAsia="Times New Roman" w:hAnsi="Times New Roman" w:cs="Times New Roman"/>
                <w:b/>
                <w:color w:val="000000"/>
                <w:sz w:val="24"/>
                <w:szCs w:val="24"/>
              </w:rPr>
            </w:pPr>
          </w:p>
        </w:tc>
        <w:tc>
          <w:tcPr>
            <w:tcW w:w="2493" w:type="dxa"/>
            <w:tcBorders>
              <w:top w:val="single" w:sz="4" w:space="0" w:color="auto"/>
              <w:left w:val="single" w:sz="18" w:space="0" w:color="auto"/>
              <w:bottom w:val="single" w:sz="4" w:space="0" w:color="auto"/>
              <w:right w:val="single" w:sz="4" w:space="0" w:color="auto"/>
            </w:tcBorders>
            <w:vAlign w:val="center"/>
            <w:hideMark/>
          </w:tcPr>
          <w:p w:rsidR="001A19E7" w:rsidRPr="00FF2AAB" w:rsidRDefault="001A19E7" w:rsidP="00AE7038">
            <w:pPr>
              <w:tabs>
                <w:tab w:val="left" w:pos="1885"/>
              </w:tabs>
              <w:spacing w:after="0" w:line="240" w:lineRule="auto"/>
              <w:jc w:val="center"/>
              <w:rPr>
                <w:rFonts w:ascii="Times New Roman" w:eastAsia="Times New Roman" w:hAnsi="Times New Roman" w:cs="Times New Roman"/>
                <w:b/>
                <w:color w:val="000000"/>
                <w:sz w:val="24"/>
                <w:szCs w:val="24"/>
              </w:rPr>
            </w:pPr>
            <w:r w:rsidRPr="00FF2AAB">
              <w:rPr>
                <w:rFonts w:ascii="Times New Roman" w:eastAsia="Times New Roman" w:hAnsi="Times New Roman" w:cs="Times New Roman"/>
                <w:b/>
                <w:color w:val="000000"/>
                <w:sz w:val="24"/>
                <w:szCs w:val="24"/>
              </w:rPr>
              <w:t>Уговорена вредност</w:t>
            </w:r>
          </w:p>
          <w:p w:rsidR="001A19E7" w:rsidRPr="00FF2AAB" w:rsidRDefault="001A19E7" w:rsidP="00AE7038">
            <w:pPr>
              <w:tabs>
                <w:tab w:val="left" w:pos="1885"/>
              </w:tabs>
              <w:spacing w:after="0" w:line="240" w:lineRule="auto"/>
              <w:jc w:val="center"/>
              <w:rPr>
                <w:rFonts w:ascii="Times New Roman" w:eastAsia="Times New Roman" w:hAnsi="Times New Roman" w:cs="Times New Roman"/>
                <w:b/>
                <w:color w:val="000000"/>
                <w:sz w:val="24"/>
                <w:szCs w:val="24"/>
              </w:rPr>
            </w:pPr>
            <w:r w:rsidRPr="00FF2AAB">
              <w:rPr>
                <w:rFonts w:ascii="Times New Roman" w:eastAsia="Times New Roman" w:hAnsi="Times New Roman" w:cs="Times New Roman"/>
                <w:b/>
                <w:color w:val="000000"/>
                <w:sz w:val="24"/>
                <w:szCs w:val="24"/>
              </w:rPr>
              <w:t>(у хиљадама</w:t>
            </w:r>
          </w:p>
          <w:p w:rsidR="001A19E7" w:rsidRPr="00FF2AAB" w:rsidRDefault="001A19E7" w:rsidP="00AE7038">
            <w:pPr>
              <w:tabs>
                <w:tab w:val="left" w:pos="1885"/>
              </w:tabs>
              <w:spacing w:after="0" w:line="240" w:lineRule="auto"/>
              <w:jc w:val="center"/>
              <w:rPr>
                <w:rFonts w:ascii="Times New Roman" w:eastAsia="Times New Roman" w:hAnsi="Times New Roman" w:cs="Times New Roman"/>
                <w:b/>
                <w:color w:val="000000"/>
                <w:sz w:val="24"/>
                <w:szCs w:val="24"/>
              </w:rPr>
            </w:pPr>
            <w:r w:rsidRPr="00FF2AAB">
              <w:rPr>
                <w:rFonts w:ascii="Times New Roman" w:eastAsia="Times New Roman" w:hAnsi="Times New Roman" w:cs="Times New Roman"/>
                <w:b/>
                <w:color w:val="000000"/>
                <w:sz w:val="24"/>
                <w:szCs w:val="24"/>
              </w:rPr>
              <w:t>динара)</w:t>
            </w:r>
          </w:p>
        </w:tc>
        <w:tc>
          <w:tcPr>
            <w:tcW w:w="661" w:type="dxa"/>
            <w:tcBorders>
              <w:top w:val="single" w:sz="4" w:space="0" w:color="auto"/>
              <w:left w:val="single" w:sz="4" w:space="0" w:color="auto"/>
              <w:bottom w:val="single" w:sz="4" w:space="0" w:color="auto"/>
              <w:right w:val="single" w:sz="18" w:space="0" w:color="auto"/>
            </w:tcBorders>
            <w:vAlign w:val="center"/>
            <w:hideMark/>
          </w:tcPr>
          <w:p w:rsidR="001A19E7" w:rsidRPr="00FF2AAB" w:rsidRDefault="001A19E7" w:rsidP="00AE7038">
            <w:pPr>
              <w:tabs>
                <w:tab w:val="left" w:pos="1885"/>
              </w:tabs>
              <w:spacing w:after="0" w:line="240" w:lineRule="auto"/>
              <w:jc w:val="center"/>
              <w:rPr>
                <w:rFonts w:ascii="Times New Roman" w:eastAsia="Times New Roman" w:hAnsi="Times New Roman" w:cs="Times New Roman"/>
                <w:b/>
                <w:color w:val="000000"/>
                <w:sz w:val="24"/>
                <w:szCs w:val="24"/>
              </w:rPr>
            </w:pPr>
            <w:r w:rsidRPr="00FF2AAB">
              <w:rPr>
                <w:rFonts w:ascii="Times New Roman" w:eastAsia="Times New Roman" w:hAnsi="Times New Roman" w:cs="Times New Roman"/>
                <w:b/>
                <w:color w:val="000000"/>
                <w:sz w:val="24"/>
                <w:szCs w:val="24"/>
              </w:rPr>
              <w:t>%</w:t>
            </w:r>
          </w:p>
        </w:tc>
      </w:tr>
      <w:tr w:rsidR="001A19E7" w:rsidRPr="00FF2AAB" w:rsidTr="00AE7038">
        <w:trPr>
          <w:jc w:val="center"/>
        </w:trPr>
        <w:tc>
          <w:tcPr>
            <w:tcW w:w="4026" w:type="dxa"/>
            <w:tcBorders>
              <w:top w:val="single" w:sz="4" w:space="0" w:color="auto"/>
              <w:left w:val="single" w:sz="18" w:space="0" w:color="auto"/>
              <w:bottom w:val="single" w:sz="4" w:space="0" w:color="auto"/>
              <w:right w:val="single" w:sz="18" w:space="0" w:color="auto"/>
            </w:tcBorders>
            <w:vAlign w:val="center"/>
            <w:hideMark/>
          </w:tcPr>
          <w:p w:rsidR="001A19E7" w:rsidRPr="00FF2AAB" w:rsidRDefault="001A19E7" w:rsidP="00AE7038">
            <w:pPr>
              <w:tabs>
                <w:tab w:val="left" w:pos="3622"/>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Отворени поступак</w:t>
            </w:r>
          </w:p>
          <w:p w:rsidR="001A19E7" w:rsidRPr="00FF2AAB" w:rsidRDefault="001A19E7" w:rsidP="00AE7038">
            <w:pPr>
              <w:tabs>
                <w:tab w:val="left" w:pos="3622"/>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(зјн2008 + зјн2012)</w:t>
            </w:r>
          </w:p>
        </w:tc>
        <w:tc>
          <w:tcPr>
            <w:tcW w:w="2493" w:type="dxa"/>
            <w:tcBorders>
              <w:top w:val="single" w:sz="4" w:space="0" w:color="auto"/>
              <w:left w:val="single" w:sz="18" w:space="0" w:color="auto"/>
              <w:bottom w:val="single" w:sz="4" w:space="0" w:color="auto"/>
              <w:right w:val="single" w:sz="4"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sidRPr="00FF2AAB">
              <w:rPr>
                <w:rFonts w:ascii="Calibri" w:eastAsia="Times New Roman" w:hAnsi="Calibri" w:cs="Calibri"/>
                <w:color w:val="000000"/>
              </w:rPr>
              <w:t>234</w:t>
            </w:r>
            <w:r>
              <w:rPr>
                <w:rFonts w:ascii="Calibri" w:eastAsia="Times New Roman" w:hAnsi="Calibri" w:cs="Calibri"/>
                <w:color w:val="000000"/>
              </w:rPr>
              <w:t>.</w:t>
            </w:r>
            <w:r w:rsidRPr="00FF2AAB">
              <w:rPr>
                <w:rFonts w:ascii="Calibri" w:eastAsia="Times New Roman" w:hAnsi="Calibri" w:cs="Calibri"/>
                <w:color w:val="000000"/>
              </w:rPr>
              <w:t>582</w:t>
            </w:r>
            <w:r>
              <w:rPr>
                <w:rFonts w:ascii="Calibri" w:eastAsia="Times New Roman" w:hAnsi="Calibri" w:cs="Calibri"/>
                <w:color w:val="000000"/>
              </w:rPr>
              <w:t>.</w:t>
            </w:r>
            <w:r w:rsidRPr="00FF2AAB">
              <w:rPr>
                <w:rFonts w:ascii="Calibri" w:eastAsia="Times New Roman" w:hAnsi="Calibri" w:cs="Calibri"/>
                <w:color w:val="000000"/>
              </w:rPr>
              <w:t>742</w:t>
            </w:r>
          </w:p>
        </w:tc>
        <w:tc>
          <w:tcPr>
            <w:tcW w:w="661" w:type="dxa"/>
            <w:tcBorders>
              <w:top w:val="single" w:sz="4" w:space="0" w:color="auto"/>
              <w:left w:val="single" w:sz="4" w:space="0" w:color="auto"/>
              <w:bottom w:val="single" w:sz="4" w:space="0" w:color="auto"/>
              <w:right w:val="single" w:sz="18"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85</w:t>
            </w:r>
          </w:p>
        </w:tc>
      </w:tr>
      <w:tr w:rsidR="001A19E7" w:rsidRPr="00FF2AAB" w:rsidTr="00AE7038">
        <w:trPr>
          <w:jc w:val="center"/>
        </w:trPr>
        <w:tc>
          <w:tcPr>
            <w:tcW w:w="4026" w:type="dxa"/>
            <w:tcBorders>
              <w:top w:val="single" w:sz="4" w:space="0" w:color="auto"/>
              <w:left w:val="single" w:sz="18" w:space="0" w:color="auto"/>
              <w:bottom w:val="single" w:sz="4" w:space="0" w:color="auto"/>
              <w:right w:val="single" w:sz="18" w:space="0" w:color="auto"/>
            </w:tcBorders>
            <w:vAlign w:val="center"/>
            <w:hideMark/>
          </w:tcPr>
          <w:p w:rsidR="001A19E7" w:rsidRPr="00FF2AAB" w:rsidRDefault="001A19E7" w:rsidP="00AE7038">
            <w:pPr>
              <w:tabs>
                <w:tab w:val="left" w:pos="3622"/>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Рестриктивни поступак-зјн2008, квалификациони поступак-зјн2012</w:t>
            </w:r>
          </w:p>
        </w:tc>
        <w:tc>
          <w:tcPr>
            <w:tcW w:w="2493" w:type="dxa"/>
            <w:tcBorders>
              <w:top w:val="single" w:sz="4" w:space="0" w:color="auto"/>
              <w:left w:val="single" w:sz="18" w:space="0" w:color="auto"/>
              <w:bottom w:val="single" w:sz="4" w:space="0" w:color="auto"/>
              <w:right w:val="single" w:sz="4"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sidRPr="00A731EE">
              <w:rPr>
                <w:rFonts w:ascii="Calibri" w:eastAsia="Times New Roman" w:hAnsi="Calibri" w:cs="Calibri"/>
                <w:color w:val="000000"/>
              </w:rPr>
              <w:t>15</w:t>
            </w:r>
            <w:r>
              <w:rPr>
                <w:rFonts w:ascii="Calibri" w:eastAsia="Times New Roman" w:hAnsi="Calibri" w:cs="Calibri"/>
                <w:color w:val="000000"/>
              </w:rPr>
              <w:t>.</w:t>
            </w:r>
            <w:r w:rsidRPr="00A731EE">
              <w:rPr>
                <w:rFonts w:ascii="Calibri" w:eastAsia="Times New Roman" w:hAnsi="Calibri" w:cs="Calibri"/>
                <w:color w:val="000000"/>
              </w:rPr>
              <w:t>701</w:t>
            </w:r>
            <w:r>
              <w:rPr>
                <w:rFonts w:ascii="Calibri" w:eastAsia="Times New Roman" w:hAnsi="Calibri" w:cs="Calibri"/>
                <w:color w:val="000000"/>
              </w:rPr>
              <w:t>.</w:t>
            </w:r>
            <w:r w:rsidRPr="00A731EE">
              <w:rPr>
                <w:rFonts w:ascii="Calibri" w:eastAsia="Times New Roman" w:hAnsi="Calibri" w:cs="Calibri"/>
                <w:color w:val="000000"/>
              </w:rPr>
              <w:t>057</w:t>
            </w:r>
          </w:p>
        </w:tc>
        <w:tc>
          <w:tcPr>
            <w:tcW w:w="661" w:type="dxa"/>
            <w:tcBorders>
              <w:top w:val="single" w:sz="4" w:space="0" w:color="auto"/>
              <w:left w:val="single" w:sz="4" w:space="0" w:color="auto"/>
              <w:bottom w:val="single" w:sz="4" w:space="0" w:color="auto"/>
              <w:right w:val="single" w:sz="18"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r>
      <w:tr w:rsidR="001A19E7" w:rsidRPr="00FF2AAB" w:rsidTr="00AE7038">
        <w:trPr>
          <w:jc w:val="center"/>
        </w:trPr>
        <w:tc>
          <w:tcPr>
            <w:tcW w:w="4026" w:type="dxa"/>
            <w:tcBorders>
              <w:top w:val="single" w:sz="4" w:space="0" w:color="auto"/>
              <w:left w:val="single" w:sz="18" w:space="0" w:color="auto"/>
              <w:bottom w:val="single" w:sz="4" w:space="0" w:color="auto"/>
              <w:right w:val="single" w:sz="18" w:space="0" w:color="auto"/>
            </w:tcBorders>
            <w:vAlign w:val="center"/>
            <w:hideMark/>
          </w:tcPr>
          <w:p w:rsidR="001A19E7" w:rsidRPr="00FF2AAB" w:rsidRDefault="001A19E7" w:rsidP="00AE7038">
            <w:pPr>
              <w:tabs>
                <w:tab w:val="left" w:pos="3622"/>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Рестриктивни поступак-зјн2012</w:t>
            </w:r>
          </w:p>
        </w:tc>
        <w:tc>
          <w:tcPr>
            <w:tcW w:w="2493" w:type="dxa"/>
            <w:tcBorders>
              <w:top w:val="single" w:sz="4" w:space="0" w:color="auto"/>
              <w:left w:val="single" w:sz="18" w:space="0" w:color="auto"/>
              <w:bottom w:val="single" w:sz="4" w:space="0" w:color="auto"/>
              <w:right w:val="single" w:sz="4"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467.383</w:t>
            </w:r>
          </w:p>
        </w:tc>
        <w:tc>
          <w:tcPr>
            <w:tcW w:w="661" w:type="dxa"/>
            <w:tcBorders>
              <w:top w:val="single" w:sz="4" w:space="0" w:color="auto"/>
              <w:left w:val="single" w:sz="4" w:space="0" w:color="auto"/>
              <w:bottom w:val="single" w:sz="4" w:space="0" w:color="auto"/>
              <w:right w:val="single" w:sz="18"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0</w:t>
            </w:r>
          </w:p>
        </w:tc>
      </w:tr>
      <w:tr w:rsidR="001A19E7" w:rsidRPr="00FF2AAB" w:rsidTr="00AE7038">
        <w:trPr>
          <w:jc w:val="center"/>
        </w:trPr>
        <w:tc>
          <w:tcPr>
            <w:tcW w:w="4026" w:type="dxa"/>
            <w:tcBorders>
              <w:top w:val="single" w:sz="4" w:space="0" w:color="auto"/>
              <w:left w:val="single" w:sz="18" w:space="0" w:color="auto"/>
              <w:bottom w:val="single" w:sz="4" w:space="0" w:color="auto"/>
              <w:right w:val="single" w:sz="18" w:space="0" w:color="auto"/>
            </w:tcBorders>
            <w:vAlign w:val="center"/>
            <w:hideMark/>
          </w:tcPr>
          <w:p w:rsidR="001A19E7" w:rsidRPr="00FF2AAB" w:rsidRDefault="001A19E7" w:rsidP="00AE7038">
            <w:pPr>
              <w:tabs>
                <w:tab w:val="left" w:pos="3622"/>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Преговарачки поступак без објављивања јавног позива(зјн2008+зјн2012)</w:t>
            </w:r>
          </w:p>
        </w:tc>
        <w:tc>
          <w:tcPr>
            <w:tcW w:w="2493" w:type="dxa"/>
            <w:tcBorders>
              <w:top w:val="single" w:sz="4" w:space="0" w:color="auto"/>
              <w:left w:val="single" w:sz="18" w:space="0" w:color="auto"/>
              <w:bottom w:val="single" w:sz="4" w:space="0" w:color="auto"/>
              <w:right w:val="single" w:sz="4"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14.035.620</w:t>
            </w:r>
          </w:p>
        </w:tc>
        <w:tc>
          <w:tcPr>
            <w:tcW w:w="661" w:type="dxa"/>
            <w:tcBorders>
              <w:top w:val="single" w:sz="4" w:space="0" w:color="auto"/>
              <w:left w:val="single" w:sz="4" w:space="0" w:color="auto"/>
              <w:bottom w:val="single" w:sz="4" w:space="0" w:color="auto"/>
              <w:right w:val="single" w:sz="18"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r>
      <w:tr w:rsidR="001A19E7" w:rsidRPr="00FF2AAB" w:rsidTr="00AE7038">
        <w:trPr>
          <w:jc w:val="center"/>
        </w:trPr>
        <w:tc>
          <w:tcPr>
            <w:tcW w:w="4026" w:type="dxa"/>
            <w:tcBorders>
              <w:top w:val="single" w:sz="4" w:space="0" w:color="auto"/>
              <w:left w:val="single" w:sz="18" w:space="0" w:color="auto"/>
              <w:bottom w:val="single" w:sz="4" w:space="0" w:color="auto"/>
              <w:right w:val="single" w:sz="18" w:space="0" w:color="auto"/>
            </w:tcBorders>
            <w:vAlign w:val="center"/>
            <w:hideMark/>
          </w:tcPr>
          <w:p w:rsidR="001A19E7" w:rsidRPr="00FF2AAB" w:rsidRDefault="001A19E7" w:rsidP="00AE7038">
            <w:pPr>
              <w:tabs>
                <w:tab w:val="left" w:pos="3622"/>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Преговарачки поступак са објављивањем јавног позива (зјн2008+зјн2012)</w:t>
            </w:r>
          </w:p>
        </w:tc>
        <w:tc>
          <w:tcPr>
            <w:tcW w:w="2493" w:type="dxa"/>
            <w:tcBorders>
              <w:top w:val="single" w:sz="4" w:space="0" w:color="auto"/>
              <w:left w:val="single" w:sz="18" w:space="0" w:color="auto"/>
              <w:bottom w:val="single" w:sz="4" w:space="0" w:color="auto"/>
              <w:right w:val="single" w:sz="4"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sidRPr="00A731EE">
              <w:rPr>
                <w:rFonts w:ascii="Calibri" w:eastAsia="Times New Roman" w:hAnsi="Calibri" w:cs="Calibri"/>
                <w:color w:val="000000"/>
              </w:rPr>
              <w:t>10</w:t>
            </w:r>
            <w:r>
              <w:rPr>
                <w:rFonts w:ascii="Calibri" w:eastAsia="Times New Roman" w:hAnsi="Calibri" w:cs="Calibri"/>
                <w:color w:val="000000"/>
              </w:rPr>
              <w:t>.</w:t>
            </w:r>
            <w:r w:rsidRPr="00A731EE">
              <w:rPr>
                <w:rFonts w:ascii="Calibri" w:eastAsia="Times New Roman" w:hAnsi="Calibri" w:cs="Calibri"/>
                <w:color w:val="000000"/>
              </w:rPr>
              <w:t>267</w:t>
            </w:r>
            <w:r>
              <w:rPr>
                <w:rFonts w:ascii="Calibri" w:eastAsia="Times New Roman" w:hAnsi="Calibri" w:cs="Calibri"/>
                <w:color w:val="000000"/>
              </w:rPr>
              <w:t>.</w:t>
            </w:r>
            <w:r w:rsidRPr="00A731EE">
              <w:rPr>
                <w:rFonts w:ascii="Calibri" w:eastAsia="Times New Roman" w:hAnsi="Calibri" w:cs="Calibri"/>
                <w:color w:val="000000"/>
              </w:rPr>
              <w:t>043</w:t>
            </w:r>
          </w:p>
        </w:tc>
        <w:tc>
          <w:tcPr>
            <w:tcW w:w="661" w:type="dxa"/>
            <w:tcBorders>
              <w:top w:val="single" w:sz="4" w:space="0" w:color="auto"/>
              <w:left w:val="single" w:sz="4" w:space="0" w:color="auto"/>
              <w:bottom w:val="single" w:sz="4" w:space="0" w:color="auto"/>
              <w:right w:val="single" w:sz="18"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r>
      <w:tr w:rsidR="001A19E7" w:rsidRPr="00FF2AAB" w:rsidTr="00AE7038">
        <w:trPr>
          <w:jc w:val="center"/>
        </w:trPr>
        <w:tc>
          <w:tcPr>
            <w:tcW w:w="4026" w:type="dxa"/>
            <w:tcBorders>
              <w:top w:val="single" w:sz="4" w:space="0" w:color="auto"/>
              <w:left w:val="single" w:sz="18" w:space="0" w:color="auto"/>
              <w:bottom w:val="single" w:sz="4" w:space="0" w:color="auto"/>
              <w:right w:val="single" w:sz="18" w:space="0" w:color="auto"/>
            </w:tcBorders>
            <w:vAlign w:val="center"/>
            <w:hideMark/>
          </w:tcPr>
          <w:p w:rsidR="001A19E7" w:rsidRPr="00FF2AAB" w:rsidRDefault="001A19E7" w:rsidP="00AE7038">
            <w:pPr>
              <w:tabs>
                <w:tab w:val="left" w:pos="3622"/>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Конкурс за дизајн (зјн2008+зјн2012)</w:t>
            </w:r>
          </w:p>
        </w:tc>
        <w:tc>
          <w:tcPr>
            <w:tcW w:w="2493" w:type="dxa"/>
            <w:tcBorders>
              <w:top w:val="single" w:sz="4" w:space="0" w:color="auto"/>
              <w:left w:val="single" w:sz="18" w:space="0" w:color="auto"/>
              <w:bottom w:val="single" w:sz="4" w:space="0" w:color="auto"/>
              <w:right w:val="single" w:sz="4"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13.189</w:t>
            </w:r>
          </w:p>
        </w:tc>
        <w:tc>
          <w:tcPr>
            <w:tcW w:w="661" w:type="dxa"/>
            <w:tcBorders>
              <w:top w:val="single" w:sz="4" w:space="0" w:color="auto"/>
              <w:left w:val="single" w:sz="4" w:space="0" w:color="auto"/>
              <w:bottom w:val="single" w:sz="4" w:space="0" w:color="auto"/>
              <w:right w:val="single" w:sz="18" w:space="0" w:color="auto"/>
            </w:tcBorders>
            <w:vAlign w:val="center"/>
          </w:tcPr>
          <w:p w:rsidR="001A19E7" w:rsidRPr="00FF2AAB" w:rsidRDefault="001A19E7" w:rsidP="00AE7038">
            <w:pPr>
              <w:spacing w:after="0" w:line="240" w:lineRule="auto"/>
              <w:jc w:val="center"/>
              <w:rPr>
                <w:rFonts w:ascii="Calibri" w:eastAsia="Times New Roman" w:hAnsi="Calibri" w:cs="Calibri"/>
                <w:color w:val="000000"/>
              </w:rPr>
            </w:pPr>
            <w:r>
              <w:rPr>
                <w:rFonts w:ascii="Calibri" w:eastAsia="Times New Roman" w:hAnsi="Calibri" w:cs="Calibri"/>
                <w:color w:val="000000"/>
              </w:rPr>
              <w:t>0</w:t>
            </w:r>
          </w:p>
        </w:tc>
      </w:tr>
      <w:tr w:rsidR="001A19E7" w:rsidRPr="00FF2AAB" w:rsidTr="00AE7038">
        <w:trPr>
          <w:jc w:val="center"/>
        </w:trPr>
        <w:tc>
          <w:tcPr>
            <w:tcW w:w="4026" w:type="dxa"/>
            <w:tcBorders>
              <w:top w:val="single" w:sz="4" w:space="0" w:color="auto"/>
              <w:left w:val="single" w:sz="18" w:space="0" w:color="auto"/>
              <w:bottom w:val="single" w:sz="18" w:space="0" w:color="auto"/>
              <w:right w:val="single" w:sz="18" w:space="0" w:color="auto"/>
            </w:tcBorders>
            <w:vAlign w:val="center"/>
            <w:hideMark/>
          </w:tcPr>
          <w:p w:rsidR="001A19E7" w:rsidRPr="00FF2AAB" w:rsidRDefault="001A19E7" w:rsidP="00AE7038">
            <w:pPr>
              <w:tabs>
                <w:tab w:val="left" w:pos="1885"/>
              </w:tabs>
              <w:spacing w:after="0" w:line="240" w:lineRule="auto"/>
              <w:jc w:val="center"/>
              <w:rPr>
                <w:rFonts w:ascii="Times New Roman" w:eastAsia="Times New Roman" w:hAnsi="Times New Roman" w:cs="Times New Roman"/>
                <w:b/>
                <w:color w:val="000000"/>
                <w:sz w:val="20"/>
                <w:szCs w:val="20"/>
              </w:rPr>
            </w:pPr>
            <w:r w:rsidRPr="00FF2AAB">
              <w:rPr>
                <w:rFonts w:ascii="Times New Roman" w:eastAsia="Times New Roman" w:hAnsi="Times New Roman" w:cs="Times New Roman"/>
                <w:b/>
                <w:color w:val="000000"/>
                <w:sz w:val="20"/>
                <w:szCs w:val="20"/>
              </w:rPr>
              <w:t>Укупно</w:t>
            </w:r>
          </w:p>
        </w:tc>
        <w:tc>
          <w:tcPr>
            <w:tcW w:w="2493" w:type="dxa"/>
            <w:tcBorders>
              <w:top w:val="single" w:sz="4" w:space="0" w:color="auto"/>
              <w:left w:val="single" w:sz="18" w:space="0" w:color="auto"/>
              <w:bottom w:val="single" w:sz="18" w:space="0" w:color="auto"/>
              <w:right w:val="single" w:sz="4" w:space="0" w:color="auto"/>
            </w:tcBorders>
            <w:vAlign w:val="center"/>
          </w:tcPr>
          <w:p w:rsidR="001A19E7" w:rsidRPr="00FF2AAB" w:rsidRDefault="001A19E7" w:rsidP="00AE7038">
            <w:pPr>
              <w:spacing w:after="0" w:line="240" w:lineRule="auto"/>
              <w:jc w:val="center"/>
              <w:rPr>
                <w:rFonts w:ascii="Calibri" w:eastAsia="Times New Roman" w:hAnsi="Calibri" w:cs="Calibri"/>
                <w:b/>
                <w:color w:val="000000"/>
              </w:rPr>
            </w:pPr>
            <w:r>
              <w:rPr>
                <w:rFonts w:ascii="Calibri" w:eastAsia="Times New Roman" w:hAnsi="Calibri" w:cs="Calibri"/>
                <w:b/>
                <w:color w:val="000000"/>
              </w:rPr>
              <w:t>275.067.034</w:t>
            </w:r>
          </w:p>
        </w:tc>
        <w:tc>
          <w:tcPr>
            <w:tcW w:w="661" w:type="dxa"/>
            <w:tcBorders>
              <w:top w:val="single" w:sz="4" w:space="0" w:color="auto"/>
              <w:left w:val="single" w:sz="4" w:space="0" w:color="auto"/>
              <w:bottom w:val="single" w:sz="18" w:space="0" w:color="auto"/>
              <w:right w:val="single" w:sz="18" w:space="0" w:color="auto"/>
            </w:tcBorders>
            <w:vAlign w:val="center"/>
          </w:tcPr>
          <w:p w:rsidR="001A19E7" w:rsidRPr="00FF2AAB" w:rsidRDefault="001A19E7" w:rsidP="00AE7038">
            <w:pPr>
              <w:spacing w:after="0" w:line="240" w:lineRule="auto"/>
              <w:jc w:val="center"/>
              <w:rPr>
                <w:rFonts w:ascii="Calibri" w:eastAsia="Times New Roman" w:hAnsi="Calibri" w:cs="Calibri"/>
                <w:b/>
                <w:color w:val="000000"/>
              </w:rPr>
            </w:pPr>
            <w:r>
              <w:rPr>
                <w:rFonts w:ascii="Calibri" w:eastAsia="Times New Roman" w:hAnsi="Calibri" w:cs="Calibri"/>
                <w:b/>
                <w:color w:val="000000"/>
              </w:rPr>
              <w:t>100</w:t>
            </w:r>
          </w:p>
        </w:tc>
      </w:tr>
    </w:tbl>
    <w:p w:rsidR="002C47F0" w:rsidRPr="002C47F0" w:rsidRDefault="002C47F0" w:rsidP="00F55A41">
      <w:pPr>
        <w:jc w:val="both"/>
        <w:rPr>
          <w:rFonts w:ascii="Times New Roman" w:hAnsi="Times New Roman" w:cs="Times New Roman"/>
          <w:b/>
          <w:sz w:val="24"/>
          <w:szCs w:val="24"/>
          <w:lang w:val="sr-Cyrl-CS"/>
        </w:rPr>
      </w:pPr>
    </w:p>
    <w:p w:rsidR="00B47C20" w:rsidRPr="009A7959" w:rsidRDefault="00A330BA" w:rsidP="00F55A41">
      <w:pPr>
        <w:jc w:val="both"/>
        <w:rPr>
          <w:rFonts w:ascii="Times New Roman" w:hAnsi="Times New Roman" w:cs="Times New Roman"/>
          <w:sz w:val="24"/>
          <w:szCs w:val="24"/>
        </w:rPr>
      </w:pPr>
      <w:r w:rsidRPr="00A330BA">
        <w:rPr>
          <w:rFonts w:ascii="Times New Roman" w:hAnsi="Times New Roman" w:cs="Times New Roman"/>
          <w:sz w:val="24"/>
          <w:szCs w:val="24"/>
        </w:rPr>
        <w:lastRenderedPageBreak/>
        <w:t xml:space="preserve">Подаци из </w:t>
      </w:r>
      <w:r w:rsidR="00794103">
        <w:rPr>
          <w:rFonts w:ascii="Times New Roman" w:hAnsi="Times New Roman" w:cs="Times New Roman"/>
          <w:sz w:val="24"/>
          <w:szCs w:val="24"/>
        </w:rPr>
        <w:t>Та</w:t>
      </w:r>
      <w:r w:rsidRPr="00794103">
        <w:rPr>
          <w:rFonts w:ascii="Times New Roman" w:hAnsi="Times New Roman" w:cs="Times New Roman"/>
          <w:sz w:val="24"/>
          <w:szCs w:val="24"/>
        </w:rPr>
        <w:t xml:space="preserve">беле </w:t>
      </w:r>
      <w:r w:rsidR="00F625DE">
        <w:rPr>
          <w:rFonts w:ascii="Times New Roman" w:hAnsi="Times New Roman" w:cs="Times New Roman"/>
          <w:sz w:val="24"/>
          <w:szCs w:val="24"/>
        </w:rPr>
        <w:t>4</w:t>
      </w:r>
      <w:r w:rsidRPr="00A330BA">
        <w:rPr>
          <w:rFonts w:ascii="Times New Roman" w:hAnsi="Times New Roman" w:cs="Times New Roman"/>
          <w:sz w:val="24"/>
          <w:szCs w:val="24"/>
        </w:rPr>
        <w:t xml:space="preserve"> показују </w:t>
      </w:r>
      <w:r w:rsidR="00776DF5">
        <w:rPr>
          <w:rFonts w:ascii="Times New Roman" w:hAnsi="Times New Roman" w:cs="Times New Roman"/>
          <w:sz w:val="24"/>
          <w:szCs w:val="24"/>
        </w:rPr>
        <w:t>да је доследн</w:t>
      </w:r>
      <w:r w:rsidR="008D5132">
        <w:rPr>
          <w:rFonts w:ascii="Times New Roman" w:hAnsi="Times New Roman" w:cs="Times New Roman"/>
          <w:sz w:val="24"/>
          <w:szCs w:val="24"/>
        </w:rPr>
        <w:t>о</w:t>
      </w:r>
      <w:r w:rsidR="00251296">
        <w:rPr>
          <w:rFonts w:ascii="Times New Roman" w:hAnsi="Times New Roman" w:cs="Times New Roman"/>
          <w:sz w:val="24"/>
          <w:szCs w:val="24"/>
          <w:lang w:val="sr-Cyrl-RS"/>
        </w:rPr>
        <w:t xml:space="preserve"> </w:t>
      </w:r>
      <w:r w:rsidR="008D5132">
        <w:rPr>
          <w:rFonts w:ascii="Times New Roman" w:hAnsi="Times New Roman" w:cs="Times New Roman"/>
          <w:sz w:val="24"/>
          <w:szCs w:val="24"/>
        </w:rPr>
        <w:t xml:space="preserve">поштовање и </w:t>
      </w:r>
      <w:r w:rsidR="008D5132" w:rsidRPr="00D5524B">
        <w:rPr>
          <w:rFonts w:ascii="Times New Roman" w:hAnsi="Times New Roman" w:cs="Times New Roman"/>
          <w:sz w:val="24"/>
          <w:szCs w:val="24"/>
        </w:rPr>
        <w:t xml:space="preserve">инсистирање на </w:t>
      </w:r>
      <w:r w:rsidR="00776DF5" w:rsidRPr="00D5524B">
        <w:rPr>
          <w:rFonts w:ascii="Times New Roman" w:hAnsi="Times New Roman" w:cs="Times New Roman"/>
          <w:sz w:val="24"/>
          <w:szCs w:val="24"/>
        </w:rPr>
        <w:t>примен</w:t>
      </w:r>
      <w:r w:rsidR="008D5132" w:rsidRPr="00D5524B">
        <w:rPr>
          <w:rFonts w:ascii="Times New Roman" w:hAnsi="Times New Roman" w:cs="Times New Roman"/>
          <w:sz w:val="24"/>
          <w:szCs w:val="24"/>
        </w:rPr>
        <w:t>и</w:t>
      </w:r>
      <w:r w:rsidR="00B1711B">
        <w:rPr>
          <w:rFonts w:ascii="Times New Roman" w:hAnsi="Times New Roman" w:cs="Times New Roman"/>
          <w:sz w:val="24"/>
          <w:szCs w:val="24"/>
          <w:lang w:val="sr-Cyrl-RS"/>
        </w:rPr>
        <w:t xml:space="preserve"> </w:t>
      </w:r>
      <w:r w:rsidR="00776DF5">
        <w:rPr>
          <w:rFonts w:ascii="Times New Roman" w:hAnsi="Times New Roman" w:cs="Times New Roman"/>
          <w:sz w:val="24"/>
          <w:szCs w:val="24"/>
        </w:rPr>
        <w:t xml:space="preserve">начела обезбеђивања конкуренције од стране Управе која даје претходна мишљења о оправданости примене преговарачког поступка имала за резултат да је заступљеност неконкурентног поступка од 5% </w:t>
      </w:r>
      <w:r w:rsidR="00B47C20">
        <w:rPr>
          <w:rFonts w:ascii="Times New Roman" w:hAnsi="Times New Roman" w:cs="Times New Roman"/>
          <w:sz w:val="24"/>
          <w:szCs w:val="24"/>
        </w:rPr>
        <w:t xml:space="preserve">достигла ниво који се сматра стандардом у </w:t>
      </w:r>
      <w:r w:rsidR="00776DF5">
        <w:rPr>
          <w:rFonts w:ascii="Times New Roman" w:hAnsi="Times New Roman" w:cs="Times New Roman"/>
          <w:sz w:val="24"/>
          <w:szCs w:val="24"/>
        </w:rPr>
        <w:t xml:space="preserve">земљама ЕУ. То је значајан помак у односу на 2013. годину (прву годину примене новог законског решења да Управа даје претходно мишљење за преговарачки поступак) када је учешће овог поступка износило 17% </w:t>
      </w:r>
      <w:r w:rsidR="00377252">
        <w:rPr>
          <w:rFonts w:ascii="Times New Roman" w:hAnsi="Times New Roman" w:cs="Times New Roman"/>
          <w:sz w:val="24"/>
          <w:szCs w:val="24"/>
        </w:rPr>
        <w:t>(Слика 2).</w:t>
      </w:r>
    </w:p>
    <w:p w:rsidR="00D063D7" w:rsidRPr="00F9719B" w:rsidRDefault="003670E4" w:rsidP="00D063D7">
      <w:pPr>
        <w:spacing w:after="0"/>
        <w:jc w:val="both"/>
        <w:rPr>
          <w:rFonts w:ascii="Times New Roman" w:hAnsi="Times New Roman" w:cs="Times New Roman"/>
          <w:sz w:val="24"/>
          <w:szCs w:val="24"/>
        </w:rPr>
      </w:pPr>
      <w:r>
        <w:rPr>
          <w:rFonts w:ascii="Times New Roman" w:hAnsi="Times New Roman" w:cs="Times New Roman"/>
          <w:sz w:val="24"/>
          <w:szCs w:val="24"/>
        </w:rPr>
        <w:t>З</w:t>
      </w:r>
      <w:r w:rsidR="00C101E0">
        <w:rPr>
          <w:rFonts w:ascii="Times New Roman" w:hAnsi="Times New Roman" w:cs="Times New Roman"/>
          <w:sz w:val="24"/>
          <w:szCs w:val="24"/>
        </w:rPr>
        <w:t xml:space="preserve">аступљеност преговарачког поступка у периоду када </w:t>
      </w:r>
      <w:r>
        <w:rPr>
          <w:rFonts w:ascii="Times New Roman" w:hAnsi="Times New Roman" w:cs="Times New Roman"/>
          <w:sz w:val="24"/>
          <w:szCs w:val="24"/>
        </w:rPr>
        <w:t xml:space="preserve">Управа није </w:t>
      </w:r>
      <w:r w:rsidR="001A19E7">
        <w:rPr>
          <w:rFonts w:ascii="Times New Roman" w:hAnsi="Times New Roman" w:cs="Times New Roman"/>
          <w:sz w:val="24"/>
          <w:szCs w:val="24"/>
        </w:rPr>
        <w:t xml:space="preserve">имала овлашћења </w:t>
      </w:r>
      <w:r>
        <w:rPr>
          <w:rFonts w:ascii="Times New Roman" w:hAnsi="Times New Roman" w:cs="Times New Roman"/>
          <w:sz w:val="24"/>
          <w:szCs w:val="24"/>
        </w:rPr>
        <w:t xml:space="preserve">да </w:t>
      </w:r>
      <w:r w:rsidR="001A19E7">
        <w:rPr>
          <w:rFonts w:ascii="Times New Roman" w:hAnsi="Times New Roman" w:cs="Times New Roman"/>
          <w:sz w:val="24"/>
          <w:szCs w:val="24"/>
        </w:rPr>
        <w:t xml:space="preserve">превентивно </w:t>
      </w:r>
      <w:r w:rsidR="00F1470D">
        <w:rPr>
          <w:rFonts w:ascii="Times New Roman" w:hAnsi="Times New Roman" w:cs="Times New Roman"/>
          <w:sz w:val="24"/>
          <w:szCs w:val="24"/>
        </w:rPr>
        <w:t>делује била је значајно већа. У</w:t>
      </w:r>
      <w:r>
        <w:rPr>
          <w:rFonts w:ascii="Times New Roman" w:hAnsi="Times New Roman" w:cs="Times New Roman"/>
          <w:sz w:val="24"/>
          <w:szCs w:val="24"/>
        </w:rPr>
        <w:t xml:space="preserve"> 2012. години </w:t>
      </w:r>
      <w:r w:rsidR="008D5132">
        <w:rPr>
          <w:rFonts w:ascii="Times New Roman" w:hAnsi="Times New Roman" w:cs="Times New Roman"/>
          <w:sz w:val="24"/>
          <w:szCs w:val="24"/>
        </w:rPr>
        <w:t xml:space="preserve">то </w:t>
      </w:r>
      <w:r w:rsidR="00D96B23">
        <w:rPr>
          <w:rFonts w:ascii="Times New Roman" w:hAnsi="Times New Roman" w:cs="Times New Roman"/>
          <w:sz w:val="24"/>
          <w:szCs w:val="24"/>
        </w:rPr>
        <w:t xml:space="preserve">учешће је било </w:t>
      </w:r>
      <w:r>
        <w:rPr>
          <w:rFonts w:ascii="Times New Roman" w:hAnsi="Times New Roman" w:cs="Times New Roman"/>
          <w:sz w:val="24"/>
          <w:szCs w:val="24"/>
        </w:rPr>
        <w:t>28%, а достизал</w:t>
      </w:r>
      <w:r w:rsidR="00D96B23">
        <w:rPr>
          <w:rFonts w:ascii="Times New Roman" w:hAnsi="Times New Roman" w:cs="Times New Roman"/>
          <w:sz w:val="24"/>
          <w:szCs w:val="24"/>
        </w:rPr>
        <w:t>о</w:t>
      </w:r>
      <w:r>
        <w:rPr>
          <w:rFonts w:ascii="Times New Roman" w:hAnsi="Times New Roman" w:cs="Times New Roman"/>
          <w:sz w:val="24"/>
          <w:szCs w:val="24"/>
        </w:rPr>
        <w:t xml:space="preserve"> је </w:t>
      </w:r>
      <w:r w:rsidR="008D5132">
        <w:rPr>
          <w:rFonts w:ascii="Times New Roman" w:hAnsi="Times New Roman" w:cs="Times New Roman"/>
          <w:sz w:val="24"/>
          <w:szCs w:val="24"/>
        </w:rPr>
        <w:t xml:space="preserve">чак </w:t>
      </w:r>
      <w:r>
        <w:rPr>
          <w:rFonts w:ascii="Times New Roman" w:hAnsi="Times New Roman" w:cs="Times New Roman"/>
          <w:sz w:val="24"/>
          <w:szCs w:val="24"/>
        </w:rPr>
        <w:t xml:space="preserve">и 37% у </w:t>
      </w:r>
      <w:r w:rsidR="00F1470D">
        <w:rPr>
          <w:rFonts w:ascii="Times New Roman" w:hAnsi="Times New Roman" w:cs="Times New Roman"/>
          <w:sz w:val="24"/>
          <w:szCs w:val="24"/>
        </w:rPr>
        <w:t>2007.</w:t>
      </w:r>
      <w:r w:rsidR="00251296">
        <w:rPr>
          <w:rFonts w:ascii="Times New Roman" w:hAnsi="Times New Roman" w:cs="Times New Roman"/>
          <w:sz w:val="24"/>
          <w:szCs w:val="24"/>
          <w:lang w:val="sr-Cyrl-RS"/>
        </w:rPr>
        <w:t xml:space="preserve"> </w:t>
      </w:r>
      <w:r>
        <w:rPr>
          <w:rFonts w:ascii="Times New Roman" w:hAnsi="Times New Roman" w:cs="Times New Roman"/>
          <w:sz w:val="24"/>
          <w:szCs w:val="24"/>
        </w:rPr>
        <w:t xml:space="preserve">години (Слика 3). То јасно показује </w:t>
      </w:r>
      <w:r w:rsidR="008D5132">
        <w:rPr>
          <w:rFonts w:ascii="Times New Roman" w:hAnsi="Times New Roman" w:cs="Times New Roman"/>
          <w:sz w:val="24"/>
          <w:szCs w:val="24"/>
        </w:rPr>
        <w:t xml:space="preserve">колики је </w:t>
      </w:r>
      <w:r>
        <w:rPr>
          <w:rFonts w:ascii="Times New Roman" w:hAnsi="Times New Roman" w:cs="Times New Roman"/>
          <w:sz w:val="24"/>
          <w:szCs w:val="24"/>
        </w:rPr>
        <w:t>значај превентивног деловања Управе на сузбијање неконкурентног поступка и доследну примену на</w:t>
      </w:r>
      <w:r w:rsidR="009A7959">
        <w:rPr>
          <w:rFonts w:ascii="Times New Roman" w:hAnsi="Times New Roman" w:cs="Times New Roman"/>
          <w:sz w:val="24"/>
          <w:szCs w:val="24"/>
        </w:rPr>
        <w:t>чела обезбеђивања конкуренције</w:t>
      </w:r>
      <w:r w:rsidR="009A7959" w:rsidRPr="00F9719B">
        <w:rPr>
          <w:rFonts w:ascii="Times New Roman" w:hAnsi="Times New Roman" w:cs="Times New Roman"/>
          <w:sz w:val="24"/>
          <w:szCs w:val="24"/>
        </w:rPr>
        <w:t>, посебно када се има у виду да је у 2</w:t>
      </w:r>
      <w:r w:rsidR="00377252" w:rsidRPr="00F9719B">
        <w:rPr>
          <w:rFonts w:ascii="Times New Roman" w:hAnsi="Times New Roman" w:cs="Times New Roman"/>
          <w:sz w:val="24"/>
          <w:szCs w:val="24"/>
        </w:rPr>
        <w:t>01</w:t>
      </w:r>
      <w:r w:rsidR="009A7959" w:rsidRPr="00F9719B">
        <w:rPr>
          <w:rFonts w:ascii="Times New Roman" w:hAnsi="Times New Roman" w:cs="Times New Roman"/>
          <w:sz w:val="24"/>
          <w:szCs w:val="24"/>
        </w:rPr>
        <w:t>4. години Управи упућено за 80% већи број захтева за примену преговарачког поступка (4.338) него у 2013. години (2</w:t>
      </w:r>
      <w:r w:rsidR="00251296" w:rsidRPr="00F9719B">
        <w:rPr>
          <w:rFonts w:ascii="Times New Roman" w:hAnsi="Times New Roman" w:cs="Times New Roman"/>
          <w:sz w:val="24"/>
          <w:szCs w:val="24"/>
          <w:lang w:val="sr-Cyrl-RS"/>
        </w:rPr>
        <w:t>.</w:t>
      </w:r>
      <w:r w:rsidR="009A7959" w:rsidRPr="00F9719B">
        <w:rPr>
          <w:rFonts w:ascii="Times New Roman" w:hAnsi="Times New Roman" w:cs="Times New Roman"/>
          <w:sz w:val="24"/>
          <w:szCs w:val="24"/>
        </w:rPr>
        <w:t xml:space="preserve">411). Најзначајнији разлог за повећање броја захтева за примену преговарачког поступка у 2014. години у односу на 2013. годину биле </w:t>
      </w:r>
      <w:r w:rsidR="00D063D7" w:rsidRPr="00F9719B">
        <w:rPr>
          <w:rFonts w:ascii="Times New Roman" w:hAnsi="Times New Roman" w:cs="Times New Roman"/>
          <w:sz w:val="24"/>
          <w:szCs w:val="24"/>
        </w:rPr>
        <w:t xml:space="preserve">су </w:t>
      </w:r>
      <w:r w:rsidR="009A7959" w:rsidRPr="00F9719B">
        <w:rPr>
          <w:rFonts w:ascii="Times New Roman" w:hAnsi="Times New Roman" w:cs="Times New Roman"/>
          <w:sz w:val="24"/>
          <w:szCs w:val="24"/>
        </w:rPr>
        <w:t>катастрофалн</w:t>
      </w:r>
      <w:r w:rsidR="00D063D7" w:rsidRPr="00F9719B">
        <w:rPr>
          <w:rFonts w:ascii="Times New Roman" w:hAnsi="Times New Roman" w:cs="Times New Roman"/>
          <w:sz w:val="24"/>
          <w:szCs w:val="24"/>
        </w:rPr>
        <w:t xml:space="preserve">е поплаве и потреба да се изврши </w:t>
      </w:r>
      <w:r w:rsidR="009A7959" w:rsidRPr="00F9719B">
        <w:rPr>
          <w:rFonts w:ascii="Times New Roman" w:hAnsi="Times New Roman" w:cs="Times New Roman"/>
          <w:sz w:val="24"/>
          <w:szCs w:val="24"/>
        </w:rPr>
        <w:t>санациј</w:t>
      </w:r>
      <w:r w:rsidR="00D063D7" w:rsidRPr="00F9719B">
        <w:rPr>
          <w:rFonts w:ascii="Times New Roman" w:hAnsi="Times New Roman" w:cs="Times New Roman"/>
          <w:sz w:val="24"/>
          <w:szCs w:val="24"/>
        </w:rPr>
        <w:t>а</w:t>
      </w:r>
      <w:r w:rsidR="009A7959" w:rsidRPr="00F9719B">
        <w:rPr>
          <w:rFonts w:ascii="Times New Roman" w:hAnsi="Times New Roman" w:cs="Times New Roman"/>
          <w:sz w:val="24"/>
          <w:szCs w:val="24"/>
        </w:rPr>
        <w:t xml:space="preserve"> штете. Примера ради, РБ Колубара је у 2013. години упутила Управи 76 захтева за мишљење, док је у 2014. години поднела 324 захтева</w:t>
      </w:r>
      <w:r w:rsidR="00D063D7" w:rsidRPr="00F9719B">
        <w:rPr>
          <w:rFonts w:ascii="Times New Roman" w:hAnsi="Times New Roman" w:cs="Times New Roman"/>
          <w:sz w:val="24"/>
          <w:szCs w:val="24"/>
        </w:rPr>
        <w:t>. Други значајан генератор захтева за примену преговарачког поступка у 2014. години било је неуспело спровођење централизованих набавки од стране РФЗО-а што је приморало здравствене установе да се обраћају Управи за спровођење преговарачког поступка „по хитности“ како би обезбедиле редовно снабдевање.</w:t>
      </w:r>
    </w:p>
    <w:p w:rsidR="009A7959" w:rsidRDefault="009A7959" w:rsidP="009A7959">
      <w:pPr>
        <w:spacing w:after="0"/>
        <w:jc w:val="both"/>
        <w:rPr>
          <w:rFonts w:ascii="Times New Roman" w:hAnsi="Times New Roman" w:cs="Times New Roman"/>
          <w:sz w:val="24"/>
          <w:szCs w:val="24"/>
        </w:rPr>
      </w:pPr>
    </w:p>
    <w:p w:rsidR="00DA71AC" w:rsidRDefault="0000737D" w:rsidP="00F55A41">
      <w:pPr>
        <w:jc w:val="both"/>
        <w:rPr>
          <w:rFonts w:ascii="Times New Roman" w:hAnsi="Times New Roman" w:cs="Times New Roman"/>
          <w:sz w:val="24"/>
          <w:szCs w:val="24"/>
        </w:rPr>
      </w:pPr>
      <w:r>
        <w:rPr>
          <w:rFonts w:ascii="Times New Roman" w:hAnsi="Times New Roman" w:cs="Times New Roman"/>
          <w:sz w:val="24"/>
          <w:szCs w:val="24"/>
        </w:rPr>
        <w:t>Упоре</w:t>
      </w:r>
      <w:r w:rsidR="00D96B23">
        <w:rPr>
          <w:rFonts w:ascii="Times New Roman" w:hAnsi="Times New Roman" w:cs="Times New Roman"/>
          <w:sz w:val="24"/>
          <w:szCs w:val="24"/>
        </w:rPr>
        <w:t xml:space="preserve">до са сузбијањем неконкурентног поступка од стране Управе, повећавала се заступљеност конкурентних поступака, а пре свега отвореног поступка. Учешће отвореног поступка достигло је 85% у 2014. </w:t>
      </w:r>
      <w:r w:rsidR="00F1470D">
        <w:rPr>
          <w:rFonts w:ascii="Times New Roman" w:hAnsi="Times New Roman" w:cs="Times New Roman"/>
          <w:sz w:val="24"/>
          <w:szCs w:val="24"/>
        </w:rPr>
        <w:t>г</w:t>
      </w:r>
      <w:r w:rsidR="00D96B23">
        <w:rPr>
          <w:rFonts w:ascii="Times New Roman" w:hAnsi="Times New Roman" w:cs="Times New Roman"/>
          <w:sz w:val="24"/>
          <w:szCs w:val="24"/>
        </w:rPr>
        <w:t>одини</w:t>
      </w:r>
      <w:r w:rsidR="00F1470D">
        <w:rPr>
          <w:rFonts w:ascii="Times New Roman" w:hAnsi="Times New Roman" w:cs="Times New Roman"/>
          <w:sz w:val="24"/>
          <w:szCs w:val="24"/>
        </w:rPr>
        <w:t>,</w:t>
      </w:r>
      <w:r w:rsidR="00D96B23">
        <w:rPr>
          <w:rFonts w:ascii="Times New Roman" w:hAnsi="Times New Roman" w:cs="Times New Roman"/>
          <w:sz w:val="24"/>
          <w:szCs w:val="24"/>
        </w:rPr>
        <w:t xml:space="preserve"> што је значајно више него у претходној, 2013. </w:t>
      </w:r>
      <w:r w:rsidR="008D5132">
        <w:rPr>
          <w:rFonts w:ascii="Times New Roman" w:hAnsi="Times New Roman" w:cs="Times New Roman"/>
          <w:sz w:val="24"/>
          <w:szCs w:val="24"/>
        </w:rPr>
        <w:t>г</w:t>
      </w:r>
      <w:r w:rsidR="00D96B23">
        <w:rPr>
          <w:rFonts w:ascii="Times New Roman" w:hAnsi="Times New Roman" w:cs="Times New Roman"/>
          <w:sz w:val="24"/>
          <w:szCs w:val="24"/>
        </w:rPr>
        <w:t>одини</w:t>
      </w:r>
      <w:r w:rsidR="008D5132">
        <w:rPr>
          <w:rFonts w:ascii="Times New Roman" w:hAnsi="Times New Roman" w:cs="Times New Roman"/>
          <w:sz w:val="24"/>
          <w:szCs w:val="24"/>
        </w:rPr>
        <w:t>,</w:t>
      </w:r>
      <w:r w:rsidR="00D96B23">
        <w:rPr>
          <w:rFonts w:ascii="Times New Roman" w:hAnsi="Times New Roman" w:cs="Times New Roman"/>
          <w:sz w:val="24"/>
          <w:szCs w:val="24"/>
        </w:rPr>
        <w:t xml:space="preserve"> када је износило  66%</w:t>
      </w:r>
      <w:r w:rsidR="00287B60">
        <w:rPr>
          <w:rFonts w:ascii="Times New Roman" w:hAnsi="Times New Roman" w:cs="Times New Roman"/>
          <w:sz w:val="24"/>
          <w:szCs w:val="24"/>
        </w:rPr>
        <w:t xml:space="preserve"> (Слика 2</w:t>
      </w:r>
      <w:r w:rsidR="00B1711B">
        <w:rPr>
          <w:rFonts w:ascii="Times New Roman" w:hAnsi="Times New Roman" w:cs="Times New Roman"/>
          <w:sz w:val="24"/>
          <w:szCs w:val="24"/>
          <w:lang w:val="sr-Cyrl-RS"/>
        </w:rPr>
        <w:t xml:space="preserve"> и 2а</w:t>
      </w:r>
      <w:r w:rsidR="00287B60">
        <w:rPr>
          <w:rFonts w:ascii="Times New Roman" w:hAnsi="Times New Roman" w:cs="Times New Roman"/>
          <w:sz w:val="24"/>
          <w:szCs w:val="24"/>
        </w:rPr>
        <w:t>). Када се посматра читав дванаестогодишњи период</w:t>
      </w:r>
      <w:r w:rsidR="008D5132">
        <w:rPr>
          <w:rFonts w:ascii="Times New Roman" w:hAnsi="Times New Roman" w:cs="Times New Roman"/>
          <w:sz w:val="24"/>
          <w:szCs w:val="24"/>
        </w:rPr>
        <w:t xml:space="preserve"> примене Закона</w:t>
      </w:r>
      <w:r w:rsidR="00287B60">
        <w:rPr>
          <w:rFonts w:ascii="Times New Roman" w:hAnsi="Times New Roman" w:cs="Times New Roman"/>
          <w:sz w:val="24"/>
          <w:szCs w:val="24"/>
        </w:rPr>
        <w:t xml:space="preserve">, долази се до закључка да је 2014. године остварено рекордно високо учешће отвореног поступка. Истовремено се уочава да је, у протеклом периоду, </w:t>
      </w:r>
      <w:r w:rsidR="008D5132">
        <w:rPr>
          <w:rFonts w:ascii="Times New Roman" w:hAnsi="Times New Roman" w:cs="Times New Roman"/>
          <w:sz w:val="24"/>
          <w:szCs w:val="24"/>
        </w:rPr>
        <w:t>постојала уобичајена</w:t>
      </w:r>
      <w:r w:rsidR="00287B60">
        <w:rPr>
          <w:rFonts w:ascii="Times New Roman" w:hAnsi="Times New Roman" w:cs="Times New Roman"/>
          <w:sz w:val="24"/>
          <w:szCs w:val="24"/>
        </w:rPr>
        <w:t xml:space="preserve"> пракса да се избегава отворени поступак, што је резултирало тиме да је његово учешће у појединим годинама (2007</w:t>
      </w:r>
      <w:r w:rsidR="00F1470D">
        <w:rPr>
          <w:rFonts w:ascii="Times New Roman" w:hAnsi="Times New Roman" w:cs="Times New Roman"/>
          <w:sz w:val="24"/>
          <w:szCs w:val="24"/>
        </w:rPr>
        <w:t>.</w:t>
      </w:r>
      <w:r w:rsidR="00287B60">
        <w:rPr>
          <w:rFonts w:ascii="Times New Roman" w:hAnsi="Times New Roman" w:cs="Times New Roman"/>
          <w:sz w:val="24"/>
          <w:szCs w:val="24"/>
        </w:rPr>
        <w:t xml:space="preserve"> и 2008</w:t>
      </w:r>
      <w:r w:rsidR="00F1470D">
        <w:rPr>
          <w:rFonts w:ascii="Times New Roman" w:hAnsi="Times New Roman" w:cs="Times New Roman"/>
          <w:sz w:val="24"/>
          <w:szCs w:val="24"/>
        </w:rPr>
        <w:t>.</w:t>
      </w:r>
      <w:r w:rsidR="00287B60">
        <w:rPr>
          <w:rFonts w:ascii="Times New Roman" w:hAnsi="Times New Roman" w:cs="Times New Roman"/>
          <w:sz w:val="24"/>
          <w:szCs w:val="24"/>
        </w:rPr>
        <w:t>) износило свега 35%</w:t>
      </w:r>
      <w:r w:rsidR="0024609E">
        <w:rPr>
          <w:rFonts w:ascii="Times New Roman" w:hAnsi="Times New Roman" w:cs="Times New Roman"/>
          <w:sz w:val="24"/>
          <w:szCs w:val="24"/>
        </w:rPr>
        <w:t xml:space="preserve"> (Слика</w:t>
      </w:r>
      <w:r w:rsidR="001B47DB">
        <w:rPr>
          <w:rFonts w:ascii="Times New Roman" w:hAnsi="Times New Roman" w:cs="Times New Roman"/>
          <w:sz w:val="24"/>
          <w:szCs w:val="24"/>
          <w:lang w:val="sr-Cyrl-RS"/>
        </w:rPr>
        <w:t xml:space="preserve"> </w:t>
      </w:r>
      <w:r w:rsidR="0024609E">
        <w:rPr>
          <w:rFonts w:ascii="Times New Roman" w:hAnsi="Times New Roman" w:cs="Times New Roman"/>
          <w:sz w:val="24"/>
          <w:szCs w:val="24"/>
        </w:rPr>
        <w:t>4)</w:t>
      </w:r>
      <w:r w:rsidR="00287B60">
        <w:rPr>
          <w:rFonts w:ascii="Times New Roman" w:hAnsi="Times New Roman" w:cs="Times New Roman"/>
          <w:sz w:val="24"/>
          <w:szCs w:val="24"/>
        </w:rPr>
        <w:t xml:space="preserve">. </w:t>
      </w:r>
      <w:r w:rsidR="00CA626B">
        <w:rPr>
          <w:rFonts w:ascii="Times New Roman" w:hAnsi="Times New Roman" w:cs="Times New Roman"/>
          <w:sz w:val="24"/>
          <w:szCs w:val="24"/>
        </w:rPr>
        <w:t xml:space="preserve">Регулаторна улога Управе имала је велики значај за промену </w:t>
      </w:r>
      <w:r w:rsidR="008D5132">
        <w:rPr>
          <w:rFonts w:ascii="Times New Roman" w:hAnsi="Times New Roman" w:cs="Times New Roman"/>
          <w:sz w:val="24"/>
          <w:szCs w:val="24"/>
        </w:rPr>
        <w:t xml:space="preserve">наведене </w:t>
      </w:r>
      <w:r w:rsidR="00CA626B">
        <w:rPr>
          <w:rFonts w:ascii="Times New Roman" w:hAnsi="Times New Roman" w:cs="Times New Roman"/>
          <w:sz w:val="24"/>
          <w:szCs w:val="24"/>
        </w:rPr>
        <w:t xml:space="preserve">тенденције у понашању наручилаца успостављене током претходних година. </w:t>
      </w:r>
    </w:p>
    <w:p w:rsidR="00AE7038" w:rsidRDefault="00AE7038" w:rsidP="00F55A41">
      <w:pPr>
        <w:jc w:val="both"/>
        <w:rPr>
          <w:rFonts w:ascii="Times New Roman" w:hAnsi="Times New Roman" w:cs="Times New Roman"/>
          <w:b/>
          <w:color w:val="000000" w:themeColor="text1"/>
          <w:sz w:val="24"/>
          <w:szCs w:val="24"/>
        </w:rPr>
      </w:pPr>
    </w:p>
    <w:p w:rsidR="00DA71AC" w:rsidRDefault="00AE7038" w:rsidP="00AE7038">
      <w:pPr>
        <w:jc w:val="center"/>
      </w:pPr>
      <w:r>
        <w:rPr>
          <w:rFonts w:ascii="Times New Roman" w:hAnsi="Times New Roman" w:cs="Times New Roman"/>
          <w:b/>
          <w:color w:val="000000" w:themeColor="text1"/>
          <w:sz w:val="24"/>
          <w:szCs w:val="24"/>
        </w:rPr>
        <w:lastRenderedPageBreak/>
        <w:t>Слика 2</w:t>
      </w:r>
      <w:r w:rsidR="00EE01E7" w:rsidRPr="00DA71AC">
        <w:rPr>
          <w:rFonts w:ascii="Times New Roman" w:hAnsi="Times New Roman" w:cs="Times New Roman"/>
          <w:b/>
          <w:color w:val="000000" w:themeColor="text1"/>
          <w:sz w:val="24"/>
          <w:szCs w:val="24"/>
        </w:rPr>
        <w:br/>
      </w:r>
      <w:bookmarkStart w:id="1" w:name="_MON_1489234074"/>
      <w:bookmarkEnd w:id="1"/>
      <w:r w:rsidR="00DA71AC">
        <w:object w:dxaOrig="9910" w:dyaOrig="5704">
          <v:shape id="_x0000_i1026" type="#_x0000_t75" style="width:375.75pt;height:216.75pt" o:ole="">
            <v:imagedata r:id="rId15" o:title=""/>
          </v:shape>
          <o:OLEObject Type="Embed" ProgID="Excel.Sheet.12" ShapeID="_x0000_i1026" DrawAspect="Content" ObjectID="_1491048509" r:id="rId16"/>
        </w:object>
      </w:r>
    </w:p>
    <w:p w:rsidR="00AE7038" w:rsidRDefault="00AE7038" w:rsidP="00AE7038">
      <w:pPr>
        <w:jc w:val="center"/>
      </w:pPr>
    </w:p>
    <w:p w:rsidR="00AE7038" w:rsidRPr="00B1711B" w:rsidRDefault="00B1711B" w:rsidP="00AE7038">
      <w:pPr>
        <w:jc w:val="center"/>
        <w:rPr>
          <w:rFonts w:ascii="Times New Roman" w:hAnsi="Times New Roman" w:cs="Times New Roman"/>
          <w:b/>
          <w:lang w:val="sr-Cyrl-RS"/>
        </w:rPr>
      </w:pPr>
      <w:r w:rsidRPr="00B1711B">
        <w:rPr>
          <w:rFonts w:ascii="Times New Roman" w:hAnsi="Times New Roman" w:cs="Times New Roman"/>
          <w:b/>
          <w:lang w:val="sr-Cyrl-RS"/>
        </w:rPr>
        <w:t>Слика 2а</w:t>
      </w:r>
    </w:p>
    <w:bookmarkStart w:id="2" w:name="_MON_1489925345"/>
    <w:bookmarkEnd w:id="2"/>
    <w:p w:rsidR="00EB750E" w:rsidRPr="00F1470D" w:rsidRDefault="001D1740" w:rsidP="00AE7038">
      <w:pPr>
        <w:jc w:val="center"/>
      </w:pPr>
      <w:r>
        <w:object w:dxaOrig="9888" w:dyaOrig="5711">
          <v:shape id="_x0000_i1027" type="#_x0000_t75" style="width:374.25pt;height:218.25pt" o:ole="">
            <v:imagedata r:id="rId17" o:title=""/>
          </v:shape>
          <o:OLEObject Type="Embed" ProgID="Excel.Sheet.12" ShapeID="_x0000_i1027" DrawAspect="Content" ObjectID="_1491048510" r:id="rId18"/>
        </w:object>
      </w:r>
    </w:p>
    <w:p w:rsidR="00EB750E" w:rsidRDefault="00EB750E" w:rsidP="00F55A41">
      <w:pPr>
        <w:jc w:val="both"/>
        <w:rPr>
          <w:rFonts w:ascii="Times New Roman" w:hAnsi="Times New Roman" w:cs="Times New Roman"/>
          <w:b/>
          <w:sz w:val="24"/>
          <w:szCs w:val="24"/>
        </w:rPr>
      </w:pPr>
    </w:p>
    <w:p w:rsidR="00377252" w:rsidRDefault="00377252" w:rsidP="00F55A41">
      <w:pPr>
        <w:jc w:val="both"/>
        <w:rPr>
          <w:rFonts w:ascii="Times New Roman" w:hAnsi="Times New Roman" w:cs="Times New Roman"/>
          <w:b/>
          <w:sz w:val="24"/>
          <w:szCs w:val="24"/>
        </w:rPr>
      </w:pPr>
    </w:p>
    <w:p w:rsidR="00377252" w:rsidRDefault="00377252" w:rsidP="00F55A41">
      <w:pPr>
        <w:jc w:val="both"/>
        <w:rPr>
          <w:rFonts w:ascii="Times New Roman" w:hAnsi="Times New Roman" w:cs="Times New Roman"/>
          <w:b/>
          <w:sz w:val="24"/>
          <w:szCs w:val="24"/>
        </w:rPr>
      </w:pPr>
    </w:p>
    <w:p w:rsidR="00377252" w:rsidRDefault="00377252" w:rsidP="00F55A41">
      <w:pPr>
        <w:jc w:val="both"/>
        <w:rPr>
          <w:rFonts w:ascii="Times New Roman" w:hAnsi="Times New Roman" w:cs="Times New Roman"/>
          <w:b/>
          <w:sz w:val="24"/>
          <w:szCs w:val="24"/>
          <w:lang w:val="sr-Cyrl-CS"/>
        </w:rPr>
      </w:pPr>
    </w:p>
    <w:p w:rsidR="00DA3688" w:rsidRPr="00DA3688" w:rsidRDefault="00DA3688" w:rsidP="00F55A41">
      <w:pPr>
        <w:jc w:val="both"/>
        <w:rPr>
          <w:rFonts w:ascii="Times New Roman" w:hAnsi="Times New Roman" w:cs="Times New Roman"/>
          <w:b/>
          <w:sz w:val="24"/>
          <w:szCs w:val="24"/>
          <w:lang w:val="sr-Cyrl-CS"/>
        </w:rPr>
      </w:pPr>
    </w:p>
    <w:p w:rsidR="00A07EAF" w:rsidRDefault="00A07EAF" w:rsidP="00AE7038">
      <w:pPr>
        <w:jc w:val="center"/>
        <w:rPr>
          <w:rFonts w:ascii="Times New Roman" w:hAnsi="Times New Roman" w:cs="Times New Roman"/>
          <w:b/>
          <w:sz w:val="24"/>
          <w:szCs w:val="24"/>
        </w:rPr>
      </w:pPr>
    </w:p>
    <w:p w:rsidR="00482BC8" w:rsidRPr="00B47C20" w:rsidRDefault="00707351" w:rsidP="00AE7038">
      <w:pPr>
        <w:jc w:val="center"/>
        <w:rPr>
          <w:rFonts w:ascii="Times New Roman" w:hAnsi="Times New Roman" w:cs="Times New Roman"/>
          <w:b/>
          <w:sz w:val="24"/>
          <w:szCs w:val="24"/>
        </w:rPr>
      </w:pPr>
      <w:r w:rsidRPr="00B47C20">
        <w:rPr>
          <w:rFonts w:ascii="Times New Roman" w:hAnsi="Times New Roman" w:cs="Times New Roman"/>
          <w:b/>
          <w:sz w:val="24"/>
          <w:szCs w:val="24"/>
        </w:rPr>
        <w:lastRenderedPageBreak/>
        <w:t>С</w:t>
      </w:r>
      <w:r w:rsidR="00412BE9" w:rsidRPr="00B47C20">
        <w:rPr>
          <w:rFonts w:ascii="Times New Roman" w:hAnsi="Times New Roman" w:cs="Times New Roman"/>
          <w:b/>
          <w:sz w:val="24"/>
          <w:szCs w:val="24"/>
        </w:rPr>
        <w:t xml:space="preserve">лика </w:t>
      </w:r>
      <w:r w:rsidR="00B47C20" w:rsidRPr="00B47C20">
        <w:rPr>
          <w:rFonts w:ascii="Times New Roman" w:hAnsi="Times New Roman" w:cs="Times New Roman"/>
          <w:b/>
          <w:sz w:val="24"/>
          <w:szCs w:val="24"/>
        </w:rPr>
        <w:t>3</w:t>
      </w:r>
    </w:p>
    <w:bookmarkStart w:id="3" w:name="_MON_1489926115"/>
    <w:bookmarkEnd w:id="3"/>
    <w:p w:rsidR="00A330BA" w:rsidRDefault="00251296" w:rsidP="002D4FB7">
      <w:pPr>
        <w:jc w:val="center"/>
      </w:pPr>
      <w:r>
        <w:object w:dxaOrig="13346" w:dyaOrig="6588">
          <v:shape id="_x0000_i1028" type="#_x0000_t75" style="width:506.25pt;height:228pt" o:ole="">
            <v:imagedata r:id="rId19" o:title=""/>
          </v:shape>
          <o:OLEObject Type="Embed" ProgID="Excel.Sheet.12" ShapeID="_x0000_i1028" DrawAspect="Content" ObjectID="_1491048511" r:id="rId20"/>
        </w:object>
      </w:r>
    </w:p>
    <w:p w:rsidR="00B47C20" w:rsidRPr="00287B60" w:rsidRDefault="00B47C20" w:rsidP="00AE7038">
      <w:pPr>
        <w:jc w:val="center"/>
        <w:rPr>
          <w:rFonts w:ascii="Times New Roman" w:hAnsi="Times New Roman" w:cs="Times New Roman"/>
          <w:b/>
          <w:color w:val="000000" w:themeColor="text1"/>
          <w:sz w:val="24"/>
          <w:szCs w:val="24"/>
        </w:rPr>
      </w:pPr>
      <w:r w:rsidRPr="00287B60">
        <w:rPr>
          <w:rFonts w:ascii="Times New Roman" w:hAnsi="Times New Roman" w:cs="Times New Roman"/>
          <w:b/>
          <w:color w:val="000000" w:themeColor="text1"/>
          <w:sz w:val="24"/>
          <w:szCs w:val="24"/>
        </w:rPr>
        <w:t xml:space="preserve">Слика  </w:t>
      </w:r>
      <w:bookmarkStart w:id="4" w:name="_MON_1454937143"/>
      <w:bookmarkEnd w:id="4"/>
      <w:r w:rsidR="00287B60">
        <w:rPr>
          <w:rFonts w:ascii="Times New Roman" w:hAnsi="Times New Roman" w:cs="Times New Roman"/>
          <w:b/>
          <w:color w:val="000000" w:themeColor="text1"/>
          <w:sz w:val="24"/>
          <w:szCs w:val="24"/>
        </w:rPr>
        <w:t>4</w:t>
      </w:r>
    </w:p>
    <w:bookmarkStart w:id="5" w:name="_MON_1489926160"/>
    <w:bookmarkEnd w:id="5"/>
    <w:p w:rsidR="00B47C20" w:rsidRDefault="00AE7038" w:rsidP="002D4FB7">
      <w:pPr>
        <w:jc w:val="center"/>
      </w:pPr>
      <w:r>
        <w:object w:dxaOrig="12431" w:dyaOrig="4310">
          <v:shape id="_x0000_i1029" type="#_x0000_t75" style="width:497.25pt;height:198.75pt" o:ole="">
            <v:imagedata r:id="rId21" o:title=""/>
          </v:shape>
          <o:OLEObject Type="Embed" ProgID="Excel.Sheet.12" ShapeID="_x0000_i1029" DrawAspect="Content" ObjectID="_1491048512" r:id="rId22"/>
        </w:object>
      </w:r>
    </w:p>
    <w:p w:rsidR="00177B9E" w:rsidRPr="002D4FB7" w:rsidRDefault="003D1020" w:rsidP="00F55A41">
      <w:pPr>
        <w:jc w:val="both"/>
        <w:rPr>
          <w:rFonts w:ascii="Times New Roman" w:hAnsi="Times New Roman" w:cs="Times New Roman"/>
          <w:sz w:val="24"/>
          <w:szCs w:val="24"/>
        </w:rPr>
      </w:pPr>
      <w:r w:rsidRPr="002D4FB7">
        <w:rPr>
          <w:rFonts w:ascii="Times New Roman" w:hAnsi="Times New Roman" w:cs="Times New Roman"/>
          <w:sz w:val="24"/>
          <w:szCs w:val="24"/>
        </w:rPr>
        <w:t>Из Извештаја о напретку Србије у ЕУ интеграцијама и други</w:t>
      </w:r>
      <w:r w:rsidR="00030BFE" w:rsidRPr="002D4FB7">
        <w:rPr>
          <w:rFonts w:ascii="Times New Roman" w:hAnsi="Times New Roman" w:cs="Times New Roman"/>
          <w:sz w:val="24"/>
          <w:szCs w:val="24"/>
        </w:rPr>
        <w:t>х</w:t>
      </w:r>
      <w:r w:rsidRPr="002D4FB7">
        <w:rPr>
          <w:rFonts w:ascii="Times New Roman" w:hAnsi="Times New Roman" w:cs="Times New Roman"/>
          <w:sz w:val="24"/>
          <w:szCs w:val="24"/>
        </w:rPr>
        <w:t xml:space="preserve"> евалуациј</w:t>
      </w:r>
      <w:r w:rsidR="00030BFE" w:rsidRPr="002D4FB7">
        <w:rPr>
          <w:rFonts w:ascii="Times New Roman" w:hAnsi="Times New Roman" w:cs="Times New Roman"/>
          <w:sz w:val="24"/>
          <w:szCs w:val="24"/>
        </w:rPr>
        <w:t>а</w:t>
      </w:r>
      <w:r w:rsidRPr="002D4FB7">
        <w:rPr>
          <w:rFonts w:ascii="Times New Roman" w:hAnsi="Times New Roman" w:cs="Times New Roman"/>
          <w:sz w:val="24"/>
          <w:szCs w:val="24"/>
        </w:rPr>
        <w:t xml:space="preserve"> јавних набавки од стране Европске комисије произлази да ЕК посматра учешће неконкурентних поступака као један од два кључна </w:t>
      </w:r>
      <w:r w:rsidR="006F0FE4" w:rsidRPr="002D4FB7">
        <w:rPr>
          <w:rFonts w:ascii="Times New Roman" w:hAnsi="Times New Roman" w:cs="Times New Roman"/>
          <w:sz w:val="24"/>
          <w:szCs w:val="24"/>
        </w:rPr>
        <w:t>параметра</w:t>
      </w:r>
      <w:r w:rsidR="00867110" w:rsidRPr="002D4FB7">
        <w:rPr>
          <w:rStyle w:val="FootnoteReference"/>
          <w:rFonts w:ascii="Times New Roman" w:hAnsi="Times New Roman" w:cs="Times New Roman"/>
          <w:sz w:val="24"/>
          <w:szCs w:val="24"/>
        </w:rPr>
        <w:footnoteReference w:id="4"/>
      </w:r>
      <w:r w:rsidR="00B1711B">
        <w:rPr>
          <w:rFonts w:ascii="Times New Roman" w:hAnsi="Times New Roman" w:cs="Times New Roman"/>
          <w:sz w:val="24"/>
          <w:szCs w:val="24"/>
          <w:lang w:val="sr-Cyrl-RS"/>
        </w:rPr>
        <w:t xml:space="preserve"> </w:t>
      </w:r>
      <w:r w:rsidRPr="002D4FB7">
        <w:rPr>
          <w:rFonts w:ascii="Times New Roman" w:hAnsi="Times New Roman" w:cs="Times New Roman"/>
          <w:sz w:val="24"/>
          <w:szCs w:val="24"/>
        </w:rPr>
        <w:t>за оцену напретка Србије</w:t>
      </w:r>
      <w:r w:rsidR="000C1119" w:rsidRPr="002D4FB7">
        <w:rPr>
          <w:rFonts w:ascii="Times New Roman" w:hAnsi="Times New Roman" w:cs="Times New Roman"/>
          <w:sz w:val="24"/>
          <w:szCs w:val="24"/>
        </w:rPr>
        <w:t xml:space="preserve">. Ови показатељи свакако ће бити у фокусу </w:t>
      </w:r>
      <w:r w:rsidR="007C4246" w:rsidRPr="002D4FB7">
        <w:rPr>
          <w:rFonts w:ascii="Times New Roman" w:hAnsi="Times New Roman" w:cs="Times New Roman"/>
          <w:sz w:val="24"/>
          <w:szCs w:val="24"/>
        </w:rPr>
        <w:t xml:space="preserve">даљег </w:t>
      </w:r>
      <w:r w:rsidR="000C1119" w:rsidRPr="002D4FB7">
        <w:rPr>
          <w:rFonts w:ascii="Times New Roman" w:hAnsi="Times New Roman" w:cs="Times New Roman"/>
          <w:sz w:val="24"/>
          <w:szCs w:val="24"/>
        </w:rPr>
        <w:t xml:space="preserve">праћења Србије у оквиру преговарачког процеса, имајући у виду циљ ЕУ да </w:t>
      </w:r>
      <w:r w:rsidR="00030BFE" w:rsidRPr="002D4FB7">
        <w:rPr>
          <w:rFonts w:ascii="Times New Roman" w:hAnsi="Times New Roman" w:cs="Times New Roman"/>
          <w:sz w:val="24"/>
          <w:szCs w:val="24"/>
        </w:rPr>
        <w:t xml:space="preserve">се на територији држава чланица </w:t>
      </w:r>
      <w:r w:rsidR="0032145B" w:rsidRPr="002D4FB7">
        <w:rPr>
          <w:rFonts w:ascii="Times New Roman" w:hAnsi="Times New Roman" w:cs="Times New Roman"/>
          <w:sz w:val="24"/>
          <w:szCs w:val="24"/>
        </w:rPr>
        <w:t>успостав</w:t>
      </w:r>
      <w:r w:rsidR="00030BFE" w:rsidRPr="002D4FB7">
        <w:rPr>
          <w:rFonts w:ascii="Times New Roman" w:hAnsi="Times New Roman" w:cs="Times New Roman"/>
          <w:sz w:val="24"/>
          <w:szCs w:val="24"/>
        </w:rPr>
        <w:t xml:space="preserve">и </w:t>
      </w:r>
      <w:r w:rsidR="0032145B" w:rsidRPr="002D4FB7">
        <w:rPr>
          <w:rFonts w:ascii="Times New Roman" w:hAnsi="Times New Roman" w:cs="Times New Roman"/>
          <w:sz w:val="24"/>
          <w:szCs w:val="24"/>
        </w:rPr>
        <w:t>јединствено унутрашње тржишт</w:t>
      </w:r>
      <w:r w:rsidR="00030BFE" w:rsidRPr="002D4FB7">
        <w:rPr>
          <w:rFonts w:ascii="Times New Roman" w:hAnsi="Times New Roman" w:cs="Times New Roman"/>
          <w:sz w:val="24"/>
          <w:szCs w:val="24"/>
        </w:rPr>
        <w:t xml:space="preserve">е </w:t>
      </w:r>
      <w:r w:rsidR="00B1711B">
        <w:rPr>
          <w:rFonts w:ascii="Times New Roman" w:hAnsi="Times New Roman" w:cs="Times New Roman"/>
          <w:sz w:val="24"/>
          <w:szCs w:val="24"/>
        </w:rPr>
        <w:t>на</w:t>
      </w:r>
      <w:r w:rsidR="00B1711B">
        <w:rPr>
          <w:rFonts w:ascii="Times New Roman" w:hAnsi="Times New Roman" w:cs="Times New Roman"/>
          <w:sz w:val="24"/>
          <w:szCs w:val="24"/>
          <w:lang w:val="sr-Cyrl-RS"/>
        </w:rPr>
        <w:t xml:space="preserve"> </w:t>
      </w:r>
      <w:r w:rsidR="0032145B" w:rsidRPr="002D4FB7">
        <w:rPr>
          <w:rFonts w:ascii="Times New Roman" w:hAnsi="Times New Roman" w:cs="Times New Roman"/>
          <w:sz w:val="24"/>
          <w:szCs w:val="24"/>
        </w:rPr>
        <w:t>коме неће бити препрека слободном деловању конкуренције за добијање послова. У том контексту</w:t>
      </w:r>
      <w:r w:rsidR="00C2377B" w:rsidRPr="002D4FB7">
        <w:rPr>
          <w:rFonts w:ascii="Times New Roman" w:hAnsi="Times New Roman" w:cs="Times New Roman"/>
          <w:sz w:val="24"/>
          <w:szCs w:val="24"/>
        </w:rPr>
        <w:t>,</w:t>
      </w:r>
      <w:r w:rsidR="0032145B" w:rsidRPr="002D4FB7">
        <w:rPr>
          <w:rFonts w:ascii="Times New Roman" w:hAnsi="Times New Roman" w:cs="Times New Roman"/>
          <w:sz w:val="24"/>
          <w:szCs w:val="24"/>
        </w:rPr>
        <w:t xml:space="preserve"> важно је </w:t>
      </w:r>
      <w:r w:rsidR="00C2377B" w:rsidRPr="002D4FB7">
        <w:rPr>
          <w:rFonts w:ascii="Times New Roman" w:hAnsi="Times New Roman" w:cs="Times New Roman"/>
          <w:sz w:val="24"/>
          <w:szCs w:val="24"/>
        </w:rPr>
        <w:t>одржати остварену заступљеност</w:t>
      </w:r>
      <w:r w:rsidR="00030BFE" w:rsidRPr="002D4FB7">
        <w:rPr>
          <w:rFonts w:ascii="Times New Roman" w:hAnsi="Times New Roman" w:cs="Times New Roman"/>
          <w:sz w:val="24"/>
          <w:szCs w:val="24"/>
        </w:rPr>
        <w:t xml:space="preserve"> преговарачког</w:t>
      </w:r>
      <w:r w:rsidR="0032145B" w:rsidRPr="002D4FB7">
        <w:rPr>
          <w:rFonts w:ascii="Times New Roman" w:hAnsi="Times New Roman" w:cs="Times New Roman"/>
          <w:sz w:val="24"/>
          <w:szCs w:val="24"/>
        </w:rPr>
        <w:t xml:space="preserve"> поступака без објављивања</w:t>
      </w:r>
      <w:r w:rsidR="00030BFE" w:rsidRPr="002D4FB7">
        <w:rPr>
          <w:rFonts w:ascii="Times New Roman" w:hAnsi="Times New Roman" w:cs="Times New Roman"/>
          <w:sz w:val="24"/>
          <w:szCs w:val="24"/>
        </w:rPr>
        <w:t xml:space="preserve"> на нивоу </w:t>
      </w:r>
      <w:r w:rsidR="0024609E" w:rsidRPr="002D4FB7">
        <w:rPr>
          <w:rFonts w:ascii="Times New Roman" w:hAnsi="Times New Roman" w:cs="Times New Roman"/>
          <w:sz w:val="24"/>
          <w:szCs w:val="24"/>
        </w:rPr>
        <w:t xml:space="preserve">просека у државама </w:t>
      </w:r>
      <w:r w:rsidR="00030BFE" w:rsidRPr="002D4FB7">
        <w:rPr>
          <w:rFonts w:ascii="Times New Roman" w:hAnsi="Times New Roman" w:cs="Times New Roman"/>
          <w:sz w:val="24"/>
          <w:szCs w:val="24"/>
        </w:rPr>
        <w:t>ЕУ</w:t>
      </w:r>
      <w:r w:rsidR="0024609E" w:rsidRPr="002D4FB7">
        <w:rPr>
          <w:rFonts w:ascii="Times New Roman" w:hAnsi="Times New Roman" w:cs="Times New Roman"/>
          <w:sz w:val="24"/>
          <w:szCs w:val="24"/>
        </w:rPr>
        <w:t>.</w:t>
      </w:r>
    </w:p>
    <w:p w:rsidR="008C7E90" w:rsidRPr="002D4FB7" w:rsidRDefault="00030BFE" w:rsidP="00F55A41">
      <w:pPr>
        <w:jc w:val="both"/>
        <w:rPr>
          <w:rFonts w:ascii="Times New Roman" w:hAnsi="Times New Roman" w:cs="Times New Roman"/>
          <w:sz w:val="24"/>
          <w:szCs w:val="24"/>
        </w:rPr>
      </w:pPr>
      <w:r w:rsidRPr="002D4FB7">
        <w:rPr>
          <w:rFonts w:ascii="Times New Roman" w:hAnsi="Times New Roman" w:cs="Times New Roman"/>
          <w:sz w:val="24"/>
          <w:szCs w:val="24"/>
        </w:rPr>
        <w:t xml:space="preserve">Слична ситуација је и у државама из региона. У Црној Гори која је, почетком године, отворила преговоре за поглавље 5, без предуслова (“benchmarks”), према подацима из Годишњег извештаја за </w:t>
      </w:r>
      <w:r w:rsidRPr="002D4FB7">
        <w:rPr>
          <w:rFonts w:ascii="Times New Roman" w:hAnsi="Times New Roman" w:cs="Times New Roman"/>
          <w:sz w:val="24"/>
          <w:szCs w:val="24"/>
        </w:rPr>
        <w:lastRenderedPageBreak/>
        <w:t>2013. годину</w:t>
      </w:r>
      <w:r w:rsidR="005577A1" w:rsidRPr="002D4FB7">
        <w:rPr>
          <w:rStyle w:val="FootnoteReference"/>
          <w:rFonts w:ascii="Times New Roman" w:hAnsi="Times New Roman" w:cs="Times New Roman"/>
          <w:sz w:val="24"/>
          <w:szCs w:val="24"/>
        </w:rPr>
        <w:footnoteReference w:id="5"/>
      </w:r>
      <w:r w:rsidRPr="002D4FB7">
        <w:rPr>
          <w:rFonts w:ascii="Times New Roman" w:hAnsi="Times New Roman" w:cs="Times New Roman"/>
          <w:sz w:val="24"/>
          <w:szCs w:val="24"/>
        </w:rPr>
        <w:t xml:space="preserve">, преговарачки поступак без претходног објављивања учествовао је са 3,3%, а отворени поступак са 81%.  У Хрватској је, у 2012. </w:t>
      </w:r>
      <w:r w:rsidR="00786876" w:rsidRPr="002D4FB7">
        <w:rPr>
          <w:rFonts w:ascii="Times New Roman" w:hAnsi="Times New Roman" w:cs="Times New Roman"/>
          <w:sz w:val="24"/>
          <w:szCs w:val="24"/>
        </w:rPr>
        <w:t>г</w:t>
      </w:r>
      <w:r w:rsidRPr="002D4FB7">
        <w:rPr>
          <w:rFonts w:ascii="Times New Roman" w:hAnsi="Times New Roman" w:cs="Times New Roman"/>
          <w:sz w:val="24"/>
          <w:szCs w:val="24"/>
        </w:rPr>
        <w:t xml:space="preserve">одини, </w:t>
      </w:r>
      <w:r w:rsidR="001D5EC8" w:rsidRPr="002D4FB7">
        <w:rPr>
          <w:rFonts w:ascii="Times New Roman" w:hAnsi="Times New Roman" w:cs="Times New Roman"/>
          <w:sz w:val="24"/>
          <w:szCs w:val="24"/>
        </w:rPr>
        <w:t>учешће преговарачког поступка без објављ</w:t>
      </w:r>
      <w:r w:rsidR="00786876" w:rsidRPr="002D4FB7">
        <w:rPr>
          <w:rFonts w:ascii="Times New Roman" w:hAnsi="Times New Roman" w:cs="Times New Roman"/>
          <w:sz w:val="24"/>
          <w:szCs w:val="24"/>
        </w:rPr>
        <w:t xml:space="preserve">ивања јавног позива износило </w:t>
      </w:r>
      <w:r w:rsidR="0032145B" w:rsidRPr="002D4FB7">
        <w:rPr>
          <w:rFonts w:ascii="Times New Roman" w:hAnsi="Times New Roman" w:cs="Times New Roman"/>
          <w:sz w:val="24"/>
          <w:szCs w:val="24"/>
        </w:rPr>
        <w:t>6,9%</w:t>
      </w:r>
      <w:r w:rsidR="00B1711B">
        <w:rPr>
          <w:rFonts w:ascii="Times New Roman" w:hAnsi="Times New Roman" w:cs="Times New Roman"/>
          <w:sz w:val="24"/>
          <w:szCs w:val="24"/>
        </w:rPr>
        <w:t>,</w:t>
      </w:r>
      <w:r w:rsidR="00B1711B">
        <w:rPr>
          <w:rFonts w:ascii="Times New Roman" w:hAnsi="Times New Roman" w:cs="Times New Roman"/>
          <w:sz w:val="24"/>
          <w:szCs w:val="24"/>
          <w:lang w:val="sr-Cyrl-RS"/>
        </w:rPr>
        <w:t xml:space="preserve"> </w:t>
      </w:r>
      <w:r w:rsidR="001D5EC8" w:rsidRPr="002D4FB7">
        <w:rPr>
          <w:rFonts w:ascii="Times New Roman" w:hAnsi="Times New Roman" w:cs="Times New Roman"/>
          <w:sz w:val="24"/>
          <w:szCs w:val="24"/>
        </w:rPr>
        <w:t xml:space="preserve">док је </w:t>
      </w:r>
      <w:r w:rsidR="0098735A" w:rsidRPr="002D4FB7">
        <w:rPr>
          <w:rFonts w:ascii="Times New Roman" w:hAnsi="Times New Roman" w:cs="Times New Roman"/>
          <w:sz w:val="24"/>
          <w:szCs w:val="24"/>
        </w:rPr>
        <w:t>отворени поступак учествовао са 89,5%</w:t>
      </w:r>
      <w:r w:rsidR="0024609E" w:rsidRPr="002D4FB7">
        <w:rPr>
          <w:rStyle w:val="FootnoteReference"/>
          <w:rFonts w:ascii="Times New Roman" w:hAnsi="Times New Roman" w:cs="Times New Roman"/>
          <w:sz w:val="24"/>
          <w:szCs w:val="24"/>
        </w:rPr>
        <w:footnoteReference w:id="6"/>
      </w:r>
      <w:r w:rsidR="0098735A" w:rsidRPr="002D4FB7">
        <w:rPr>
          <w:rFonts w:ascii="Times New Roman" w:hAnsi="Times New Roman" w:cs="Times New Roman"/>
          <w:sz w:val="24"/>
          <w:szCs w:val="24"/>
        </w:rPr>
        <w:t>.</w:t>
      </w:r>
    </w:p>
    <w:p w:rsidR="00DF0138" w:rsidRDefault="00B43E94" w:rsidP="00F55A41">
      <w:pPr>
        <w:jc w:val="both"/>
        <w:rPr>
          <w:rFonts w:ascii="Times New Roman" w:hAnsi="Times New Roman" w:cs="Times New Roman"/>
          <w:sz w:val="24"/>
          <w:szCs w:val="24"/>
        </w:rPr>
      </w:pPr>
      <w:r>
        <w:rPr>
          <w:rFonts w:ascii="Times New Roman" w:hAnsi="Times New Roman" w:cs="Times New Roman"/>
          <w:sz w:val="24"/>
          <w:szCs w:val="24"/>
        </w:rPr>
        <w:t>С</w:t>
      </w:r>
      <w:r w:rsidR="00D56073">
        <w:rPr>
          <w:rFonts w:ascii="Times New Roman" w:hAnsi="Times New Roman" w:cs="Times New Roman"/>
          <w:sz w:val="24"/>
          <w:szCs w:val="24"/>
        </w:rPr>
        <w:t>ледеће важно питање везано за преговарачк</w:t>
      </w:r>
      <w:r w:rsidR="00062F5B">
        <w:rPr>
          <w:rFonts w:ascii="Times New Roman" w:hAnsi="Times New Roman" w:cs="Times New Roman"/>
          <w:sz w:val="24"/>
          <w:szCs w:val="24"/>
        </w:rPr>
        <w:t>и</w:t>
      </w:r>
      <w:r w:rsidR="00D56073">
        <w:rPr>
          <w:rFonts w:ascii="Times New Roman" w:hAnsi="Times New Roman" w:cs="Times New Roman"/>
          <w:sz w:val="24"/>
          <w:szCs w:val="24"/>
        </w:rPr>
        <w:t xml:space="preserve"> поступ</w:t>
      </w:r>
      <w:r w:rsidR="00062F5B">
        <w:rPr>
          <w:rFonts w:ascii="Times New Roman" w:hAnsi="Times New Roman" w:cs="Times New Roman"/>
          <w:sz w:val="24"/>
          <w:szCs w:val="24"/>
        </w:rPr>
        <w:t>а</w:t>
      </w:r>
      <w:r w:rsidR="00D56073">
        <w:rPr>
          <w:rFonts w:ascii="Times New Roman" w:hAnsi="Times New Roman" w:cs="Times New Roman"/>
          <w:sz w:val="24"/>
          <w:szCs w:val="24"/>
        </w:rPr>
        <w:t xml:space="preserve">к без објављивања јесте како </w:t>
      </w:r>
      <w:r w:rsidR="00062F5B">
        <w:rPr>
          <w:rFonts w:ascii="Times New Roman" w:hAnsi="Times New Roman" w:cs="Times New Roman"/>
          <w:sz w:val="24"/>
          <w:szCs w:val="24"/>
        </w:rPr>
        <w:t xml:space="preserve">је </w:t>
      </w:r>
      <w:r w:rsidR="00390A04" w:rsidRPr="00DF0138">
        <w:rPr>
          <w:rFonts w:ascii="Times New Roman" w:hAnsi="Times New Roman" w:cs="Times New Roman"/>
          <w:sz w:val="24"/>
          <w:szCs w:val="24"/>
        </w:rPr>
        <w:t xml:space="preserve">његово учешће </w:t>
      </w:r>
      <w:r w:rsidR="00062F5B">
        <w:rPr>
          <w:rFonts w:ascii="Times New Roman" w:hAnsi="Times New Roman" w:cs="Times New Roman"/>
          <w:sz w:val="24"/>
          <w:szCs w:val="24"/>
        </w:rPr>
        <w:t>распоређен</w:t>
      </w:r>
      <w:r w:rsidR="00390A04">
        <w:rPr>
          <w:rFonts w:ascii="Times New Roman" w:hAnsi="Times New Roman" w:cs="Times New Roman"/>
          <w:sz w:val="24"/>
          <w:szCs w:val="24"/>
        </w:rPr>
        <w:t>о</w:t>
      </w:r>
      <w:r w:rsidR="00D56073">
        <w:rPr>
          <w:rFonts w:ascii="Times New Roman" w:hAnsi="Times New Roman" w:cs="Times New Roman"/>
          <w:sz w:val="24"/>
          <w:szCs w:val="24"/>
        </w:rPr>
        <w:t xml:space="preserve"> по категоријама наручилаца.</w:t>
      </w:r>
      <w:r w:rsidR="008D1F00">
        <w:rPr>
          <w:rFonts w:ascii="Times New Roman" w:hAnsi="Times New Roman" w:cs="Times New Roman"/>
          <w:sz w:val="24"/>
          <w:szCs w:val="24"/>
        </w:rPr>
        <w:t xml:space="preserve"> Другим речима, </w:t>
      </w:r>
      <w:r>
        <w:rPr>
          <w:rFonts w:ascii="Times New Roman" w:hAnsi="Times New Roman" w:cs="Times New Roman"/>
          <w:sz w:val="24"/>
          <w:szCs w:val="24"/>
        </w:rPr>
        <w:t xml:space="preserve">битно је </w:t>
      </w:r>
      <w:r w:rsidR="008D1F00">
        <w:rPr>
          <w:rFonts w:ascii="Times New Roman" w:hAnsi="Times New Roman" w:cs="Times New Roman"/>
          <w:sz w:val="24"/>
          <w:szCs w:val="24"/>
        </w:rPr>
        <w:t xml:space="preserve">да се сагледа код којих категорија наручилаца </w:t>
      </w:r>
      <w:r w:rsidR="00390A04" w:rsidRPr="00DF0138">
        <w:rPr>
          <w:rFonts w:ascii="Times New Roman" w:hAnsi="Times New Roman" w:cs="Times New Roman"/>
          <w:sz w:val="24"/>
          <w:szCs w:val="24"/>
        </w:rPr>
        <w:t>се</w:t>
      </w:r>
      <w:r w:rsidR="00251296">
        <w:rPr>
          <w:rFonts w:ascii="Times New Roman" w:hAnsi="Times New Roman" w:cs="Times New Roman"/>
          <w:sz w:val="24"/>
          <w:szCs w:val="24"/>
          <w:lang w:val="sr-Cyrl-RS"/>
        </w:rPr>
        <w:t xml:space="preserve"> </w:t>
      </w:r>
      <w:r w:rsidR="007D123A">
        <w:rPr>
          <w:rFonts w:ascii="Times New Roman" w:hAnsi="Times New Roman" w:cs="Times New Roman"/>
          <w:sz w:val="24"/>
          <w:szCs w:val="24"/>
        </w:rPr>
        <w:t xml:space="preserve">ова врста поступка </w:t>
      </w:r>
      <w:r w:rsidR="00390A04" w:rsidRPr="00DF0138">
        <w:rPr>
          <w:rFonts w:ascii="Times New Roman" w:hAnsi="Times New Roman" w:cs="Times New Roman"/>
          <w:sz w:val="24"/>
          <w:szCs w:val="24"/>
        </w:rPr>
        <w:t>највише примењивала</w:t>
      </w:r>
      <w:r w:rsidR="00251296">
        <w:rPr>
          <w:rFonts w:ascii="Times New Roman" w:hAnsi="Times New Roman" w:cs="Times New Roman"/>
          <w:sz w:val="24"/>
          <w:szCs w:val="24"/>
          <w:lang w:val="sr-Cyrl-RS"/>
        </w:rPr>
        <w:t xml:space="preserve"> </w:t>
      </w:r>
      <w:r w:rsidR="008D1F00">
        <w:rPr>
          <w:rFonts w:ascii="Times New Roman" w:hAnsi="Times New Roman" w:cs="Times New Roman"/>
          <w:sz w:val="24"/>
          <w:szCs w:val="24"/>
        </w:rPr>
        <w:t>(</w:t>
      </w:r>
      <w:r w:rsidR="008D1F00" w:rsidRPr="00FF31E5">
        <w:rPr>
          <w:rFonts w:ascii="Times New Roman" w:hAnsi="Times New Roman" w:cs="Times New Roman"/>
          <w:sz w:val="24"/>
          <w:szCs w:val="24"/>
        </w:rPr>
        <w:t xml:space="preserve">Табела </w:t>
      </w:r>
      <w:r w:rsidR="00062F5B">
        <w:rPr>
          <w:rFonts w:ascii="Times New Roman" w:hAnsi="Times New Roman" w:cs="Times New Roman"/>
          <w:sz w:val="24"/>
          <w:szCs w:val="24"/>
        </w:rPr>
        <w:t>5</w:t>
      </w:r>
      <w:r w:rsidR="008D1F00">
        <w:rPr>
          <w:rFonts w:ascii="Times New Roman" w:hAnsi="Times New Roman" w:cs="Times New Roman"/>
          <w:sz w:val="24"/>
          <w:szCs w:val="24"/>
        </w:rPr>
        <w:t>).</w:t>
      </w:r>
    </w:p>
    <w:p w:rsidR="00BE519C" w:rsidRDefault="00062F5B" w:rsidP="00F55A41">
      <w:pPr>
        <w:jc w:val="both"/>
        <w:rPr>
          <w:rFonts w:ascii="Times New Roman" w:hAnsi="Times New Roman" w:cs="Times New Roman"/>
          <w:b/>
          <w:color w:val="000000" w:themeColor="text1"/>
          <w:sz w:val="24"/>
          <w:szCs w:val="24"/>
        </w:rPr>
      </w:pPr>
      <w:r w:rsidRPr="00062F5B">
        <w:rPr>
          <w:rFonts w:ascii="Times New Roman" w:hAnsi="Times New Roman" w:cs="Times New Roman"/>
          <w:b/>
          <w:color w:val="000000" w:themeColor="text1"/>
          <w:sz w:val="24"/>
          <w:szCs w:val="24"/>
        </w:rPr>
        <w:t>Табела 5</w:t>
      </w:r>
    </w:p>
    <w:tbl>
      <w:tblPr>
        <w:tblStyle w:val="TableGrid"/>
        <w:tblW w:w="9440" w:type="dxa"/>
        <w:jc w:val="center"/>
        <w:tblLook w:val="04A0" w:firstRow="1" w:lastRow="0" w:firstColumn="1" w:lastColumn="0" w:noHBand="0" w:noVBand="1"/>
      </w:tblPr>
      <w:tblGrid>
        <w:gridCol w:w="1945"/>
        <w:gridCol w:w="973"/>
        <w:gridCol w:w="846"/>
        <w:gridCol w:w="1329"/>
        <w:gridCol w:w="846"/>
        <w:gridCol w:w="973"/>
        <w:gridCol w:w="551"/>
        <w:gridCol w:w="1252"/>
        <w:gridCol w:w="725"/>
      </w:tblGrid>
      <w:tr w:rsidR="00A07EAF" w:rsidRPr="00A07EAF" w:rsidTr="00A07EAF">
        <w:trPr>
          <w:jc w:val="center"/>
        </w:trPr>
        <w:tc>
          <w:tcPr>
            <w:tcW w:w="9440" w:type="dxa"/>
            <w:gridSpan w:val="9"/>
            <w:tcBorders>
              <w:top w:val="single" w:sz="18" w:space="0" w:color="auto"/>
              <w:left w:val="single" w:sz="18" w:space="0" w:color="auto"/>
              <w:bottom w:val="single" w:sz="18" w:space="0" w:color="auto"/>
              <w:right w:val="single" w:sz="18" w:space="0" w:color="auto"/>
            </w:tcBorders>
          </w:tcPr>
          <w:p w:rsidR="00A07EAF" w:rsidRPr="00A07EAF" w:rsidRDefault="00A07EAF" w:rsidP="00A07EAF">
            <w:pPr>
              <w:jc w:val="center"/>
              <w:rPr>
                <w:rFonts w:ascii="Times New Roman" w:eastAsiaTheme="minorEastAsia" w:hAnsi="Times New Roman" w:cs="Times New Roman"/>
                <w:b/>
                <w:sz w:val="24"/>
                <w:szCs w:val="24"/>
                <w:lang w:val="sr-Cyrl-CS"/>
              </w:rPr>
            </w:pPr>
            <w:r w:rsidRPr="00A07EAF">
              <w:rPr>
                <w:rFonts w:ascii="Times New Roman" w:eastAsiaTheme="minorEastAsia" w:hAnsi="Times New Roman" w:cs="Times New Roman"/>
                <w:b/>
                <w:sz w:val="24"/>
                <w:szCs w:val="24"/>
                <w:lang w:val="sr-Cyrl-CS"/>
              </w:rPr>
              <w:t>Упоредни преглед бројчане и вредносне структуре</w:t>
            </w:r>
          </w:p>
          <w:p w:rsidR="00A07EAF" w:rsidRDefault="00A07EAF" w:rsidP="00A07EAF">
            <w:pPr>
              <w:jc w:val="center"/>
              <w:rPr>
                <w:rFonts w:ascii="Times New Roman" w:eastAsiaTheme="minorEastAsia" w:hAnsi="Times New Roman" w:cs="Times New Roman"/>
                <w:b/>
                <w:sz w:val="24"/>
                <w:szCs w:val="24"/>
                <w:lang w:val="sr-Cyrl-CS"/>
              </w:rPr>
            </w:pPr>
            <w:r w:rsidRPr="00A07EAF">
              <w:rPr>
                <w:rFonts w:ascii="Times New Roman" w:eastAsiaTheme="minorEastAsia" w:hAnsi="Times New Roman" w:cs="Times New Roman"/>
                <w:b/>
                <w:sz w:val="24"/>
                <w:szCs w:val="24"/>
                <w:lang w:val="sr-Cyrl-CS"/>
              </w:rPr>
              <w:t xml:space="preserve">преговарачког поступка без објављивања позива за подношење понуда </w:t>
            </w:r>
          </w:p>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4"/>
                <w:szCs w:val="24"/>
                <w:lang w:val="sr-Cyrl-CS"/>
              </w:rPr>
              <w:t xml:space="preserve">по категоријама </w:t>
            </w:r>
            <w:r w:rsidR="00B1711B">
              <w:rPr>
                <w:rFonts w:ascii="Times New Roman" w:eastAsiaTheme="minorEastAsia" w:hAnsi="Times New Roman" w:cs="Times New Roman"/>
                <w:b/>
                <w:sz w:val="24"/>
                <w:szCs w:val="24"/>
                <w:lang w:val="sr-Cyrl-CS"/>
              </w:rPr>
              <w:t>наручилаца</w:t>
            </w:r>
          </w:p>
        </w:tc>
      </w:tr>
      <w:tr w:rsidR="00A07EAF" w:rsidRPr="00A07EAF" w:rsidTr="00A07EAF">
        <w:trPr>
          <w:jc w:val="center"/>
        </w:trPr>
        <w:tc>
          <w:tcPr>
            <w:tcW w:w="1945" w:type="dxa"/>
            <w:tcBorders>
              <w:top w:val="single" w:sz="18"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4"/>
                <w:szCs w:val="24"/>
              </w:rPr>
            </w:pPr>
            <w:r w:rsidRPr="00A07EAF">
              <w:rPr>
                <w:rFonts w:ascii="Times New Roman" w:eastAsiaTheme="minorEastAsia" w:hAnsi="Times New Roman" w:cs="Times New Roman"/>
                <w:b/>
                <w:sz w:val="24"/>
                <w:szCs w:val="24"/>
              </w:rPr>
              <w:t>Период</w:t>
            </w:r>
          </w:p>
        </w:tc>
        <w:tc>
          <w:tcPr>
            <w:tcW w:w="3994" w:type="dxa"/>
            <w:gridSpan w:val="4"/>
            <w:tcBorders>
              <w:top w:val="single" w:sz="18" w:space="0" w:color="auto"/>
              <w:left w:val="single" w:sz="18" w:space="0" w:color="auto"/>
              <w:bottom w:val="single" w:sz="18" w:space="0" w:color="auto"/>
              <w:right w:val="single" w:sz="18" w:space="0" w:color="auto"/>
            </w:tcBorders>
          </w:tcPr>
          <w:p w:rsidR="00A07EAF" w:rsidRPr="00A07EAF" w:rsidRDefault="00A07EAF" w:rsidP="00A07EAF">
            <w:pPr>
              <w:jc w:val="center"/>
              <w:rPr>
                <w:rFonts w:ascii="Times New Roman" w:eastAsiaTheme="minorEastAsia" w:hAnsi="Times New Roman" w:cs="Times New Roman"/>
                <w:b/>
                <w:sz w:val="24"/>
                <w:szCs w:val="24"/>
              </w:rPr>
            </w:pPr>
            <w:r w:rsidRPr="00A07EAF">
              <w:rPr>
                <w:rFonts w:ascii="Times New Roman" w:eastAsiaTheme="minorEastAsia" w:hAnsi="Times New Roman" w:cs="Times New Roman"/>
                <w:b/>
                <w:sz w:val="24"/>
                <w:szCs w:val="24"/>
              </w:rPr>
              <w:t>2013. година</w:t>
            </w:r>
          </w:p>
        </w:tc>
        <w:tc>
          <w:tcPr>
            <w:tcW w:w="3501" w:type="dxa"/>
            <w:gridSpan w:val="4"/>
            <w:tcBorders>
              <w:top w:val="single" w:sz="18"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4"/>
                <w:szCs w:val="24"/>
              </w:rPr>
            </w:pPr>
            <w:r w:rsidRPr="00A07EAF">
              <w:rPr>
                <w:rFonts w:ascii="Times New Roman" w:eastAsiaTheme="minorEastAsia" w:hAnsi="Times New Roman" w:cs="Times New Roman"/>
                <w:b/>
                <w:sz w:val="24"/>
                <w:szCs w:val="24"/>
              </w:rPr>
              <w:t>201</w:t>
            </w:r>
            <w:r w:rsidRPr="00A07EAF">
              <w:rPr>
                <w:rFonts w:ascii="Times New Roman" w:eastAsiaTheme="minorEastAsia" w:hAnsi="Times New Roman" w:cs="Times New Roman"/>
                <w:b/>
                <w:sz w:val="24"/>
                <w:szCs w:val="24"/>
                <w:lang w:val="sr-Cyrl-CS"/>
              </w:rPr>
              <w:t>4.</w:t>
            </w:r>
            <w:r w:rsidRPr="00A07EAF">
              <w:rPr>
                <w:rFonts w:ascii="Times New Roman" w:eastAsiaTheme="minorEastAsia" w:hAnsi="Times New Roman" w:cs="Times New Roman"/>
                <w:b/>
                <w:sz w:val="24"/>
                <w:szCs w:val="24"/>
              </w:rPr>
              <w:t xml:space="preserve"> година</w:t>
            </w:r>
          </w:p>
        </w:tc>
      </w:tr>
      <w:tr w:rsidR="00A07EAF" w:rsidRPr="00A07EAF" w:rsidTr="00A07EAF">
        <w:trPr>
          <w:jc w:val="center"/>
        </w:trPr>
        <w:tc>
          <w:tcPr>
            <w:tcW w:w="1945" w:type="dxa"/>
            <w:tcBorders>
              <w:top w:val="single" w:sz="18" w:space="0" w:color="auto"/>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Категорија</w:t>
            </w:r>
          </w:p>
        </w:tc>
        <w:tc>
          <w:tcPr>
            <w:tcW w:w="973" w:type="dxa"/>
            <w:tcBorders>
              <w:top w:val="single" w:sz="18" w:space="0" w:color="auto"/>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Број</w:t>
            </w:r>
          </w:p>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Уговора</w:t>
            </w:r>
          </w:p>
        </w:tc>
        <w:tc>
          <w:tcPr>
            <w:tcW w:w="846" w:type="dxa"/>
            <w:tcBorders>
              <w:top w:val="single" w:sz="18" w:space="0" w:color="auto"/>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w:t>
            </w:r>
          </w:p>
        </w:tc>
        <w:tc>
          <w:tcPr>
            <w:tcW w:w="1329" w:type="dxa"/>
            <w:tcBorders>
              <w:top w:val="single" w:sz="18" w:space="0" w:color="auto"/>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Уговорена</w:t>
            </w:r>
          </w:p>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вредност</w:t>
            </w:r>
          </w:p>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без ПДВ-а*</w:t>
            </w:r>
          </w:p>
        </w:tc>
        <w:tc>
          <w:tcPr>
            <w:tcW w:w="846" w:type="dxa"/>
            <w:tcBorders>
              <w:top w:val="single" w:sz="18" w:space="0" w:color="auto"/>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w:t>
            </w:r>
          </w:p>
        </w:tc>
        <w:tc>
          <w:tcPr>
            <w:tcW w:w="973" w:type="dxa"/>
            <w:tcBorders>
              <w:top w:val="single" w:sz="18" w:space="0" w:color="auto"/>
              <w:lef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Број</w:t>
            </w:r>
          </w:p>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Уговора</w:t>
            </w:r>
          </w:p>
        </w:tc>
        <w:tc>
          <w:tcPr>
            <w:tcW w:w="551" w:type="dxa"/>
            <w:tcBorders>
              <w:top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w:t>
            </w:r>
          </w:p>
        </w:tc>
        <w:tc>
          <w:tcPr>
            <w:tcW w:w="1252" w:type="dxa"/>
            <w:tcBorders>
              <w:top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Уговорена</w:t>
            </w:r>
          </w:p>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вредност</w:t>
            </w:r>
          </w:p>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без ПДВ-а*</w:t>
            </w:r>
          </w:p>
        </w:tc>
        <w:tc>
          <w:tcPr>
            <w:tcW w:w="725" w:type="dxa"/>
            <w:tcBorders>
              <w:top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20"/>
                <w:szCs w:val="20"/>
              </w:rPr>
            </w:pPr>
            <w:r w:rsidRPr="00A07EAF">
              <w:rPr>
                <w:rFonts w:ascii="Times New Roman" w:eastAsiaTheme="minorEastAsia" w:hAnsi="Times New Roman" w:cs="Times New Roman"/>
                <w:b/>
                <w:sz w:val="20"/>
                <w:szCs w:val="20"/>
              </w:rPr>
              <w:t>%</w:t>
            </w:r>
          </w:p>
        </w:tc>
      </w:tr>
      <w:tr w:rsidR="00A07EAF" w:rsidRPr="00A07EAF" w:rsidTr="00A07EAF">
        <w:trPr>
          <w:jc w:val="center"/>
        </w:trPr>
        <w:tc>
          <w:tcPr>
            <w:tcW w:w="1945" w:type="dxa"/>
            <w:tcBorders>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Органи државне управе</w:t>
            </w:r>
          </w:p>
        </w:tc>
        <w:tc>
          <w:tcPr>
            <w:tcW w:w="973"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428</w:t>
            </w:r>
          </w:p>
        </w:tc>
        <w:tc>
          <w:tcPr>
            <w:tcW w:w="846"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8</w:t>
            </w:r>
          </w:p>
        </w:tc>
        <w:tc>
          <w:tcPr>
            <w:tcW w:w="1329"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3.038.129</w:t>
            </w:r>
          </w:p>
        </w:tc>
        <w:tc>
          <w:tcPr>
            <w:tcW w:w="846" w:type="dxa"/>
            <w:tcBorders>
              <w:left w:val="single" w:sz="18"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8</w:t>
            </w:r>
          </w:p>
        </w:tc>
        <w:tc>
          <w:tcPr>
            <w:tcW w:w="973" w:type="dxa"/>
            <w:tcBorders>
              <w:left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249</w:t>
            </w:r>
          </w:p>
        </w:tc>
        <w:tc>
          <w:tcPr>
            <w:tcW w:w="551" w:type="dxa"/>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8</w:t>
            </w:r>
          </w:p>
        </w:tc>
        <w:tc>
          <w:tcPr>
            <w:tcW w:w="1252" w:type="dxa"/>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1.810.747</w:t>
            </w:r>
          </w:p>
        </w:tc>
        <w:tc>
          <w:tcPr>
            <w:tcW w:w="725" w:type="dxa"/>
            <w:tcBorders>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13</w:t>
            </w:r>
          </w:p>
        </w:tc>
      </w:tr>
      <w:tr w:rsidR="00A07EAF" w:rsidRPr="00A07EAF" w:rsidTr="00A07EAF">
        <w:trPr>
          <w:jc w:val="center"/>
        </w:trPr>
        <w:tc>
          <w:tcPr>
            <w:tcW w:w="1945" w:type="dxa"/>
            <w:tcBorders>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Правосуђе</w:t>
            </w:r>
          </w:p>
        </w:tc>
        <w:tc>
          <w:tcPr>
            <w:tcW w:w="973"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17</w:t>
            </w:r>
          </w:p>
        </w:tc>
        <w:tc>
          <w:tcPr>
            <w:tcW w:w="846"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0</w:t>
            </w:r>
          </w:p>
        </w:tc>
        <w:tc>
          <w:tcPr>
            <w:tcW w:w="1329"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13.870</w:t>
            </w:r>
          </w:p>
        </w:tc>
        <w:tc>
          <w:tcPr>
            <w:tcW w:w="846" w:type="dxa"/>
            <w:tcBorders>
              <w:left w:val="single" w:sz="18"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0</w:t>
            </w:r>
          </w:p>
        </w:tc>
        <w:tc>
          <w:tcPr>
            <w:tcW w:w="973" w:type="dxa"/>
            <w:tcBorders>
              <w:left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29</w:t>
            </w:r>
          </w:p>
        </w:tc>
        <w:tc>
          <w:tcPr>
            <w:tcW w:w="551" w:type="dxa"/>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1</w:t>
            </w:r>
          </w:p>
        </w:tc>
        <w:tc>
          <w:tcPr>
            <w:tcW w:w="1252" w:type="dxa"/>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57.876</w:t>
            </w:r>
          </w:p>
        </w:tc>
        <w:tc>
          <w:tcPr>
            <w:tcW w:w="725" w:type="dxa"/>
            <w:tcBorders>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0</w:t>
            </w:r>
          </w:p>
        </w:tc>
      </w:tr>
      <w:tr w:rsidR="00A07EAF" w:rsidRPr="00A07EAF" w:rsidTr="00A07EAF">
        <w:trPr>
          <w:jc w:val="center"/>
        </w:trPr>
        <w:tc>
          <w:tcPr>
            <w:tcW w:w="1945" w:type="dxa"/>
            <w:tcBorders>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Здравство и социјална заштита</w:t>
            </w:r>
          </w:p>
        </w:tc>
        <w:tc>
          <w:tcPr>
            <w:tcW w:w="973"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3.316</w:t>
            </w:r>
          </w:p>
        </w:tc>
        <w:tc>
          <w:tcPr>
            <w:tcW w:w="846"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59</w:t>
            </w:r>
          </w:p>
        </w:tc>
        <w:tc>
          <w:tcPr>
            <w:tcW w:w="1329"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19.274.950</w:t>
            </w:r>
          </w:p>
        </w:tc>
        <w:tc>
          <w:tcPr>
            <w:tcW w:w="846" w:type="dxa"/>
            <w:tcBorders>
              <w:left w:val="single" w:sz="18"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49</w:t>
            </w:r>
          </w:p>
        </w:tc>
        <w:tc>
          <w:tcPr>
            <w:tcW w:w="973" w:type="dxa"/>
            <w:tcBorders>
              <w:left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1.199</w:t>
            </w:r>
          </w:p>
        </w:tc>
        <w:tc>
          <w:tcPr>
            <w:tcW w:w="551" w:type="dxa"/>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37</w:t>
            </w:r>
          </w:p>
        </w:tc>
        <w:tc>
          <w:tcPr>
            <w:tcW w:w="1252" w:type="dxa"/>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2.677.938</w:t>
            </w:r>
          </w:p>
        </w:tc>
        <w:tc>
          <w:tcPr>
            <w:tcW w:w="725" w:type="dxa"/>
            <w:tcBorders>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19</w:t>
            </w:r>
          </w:p>
        </w:tc>
      </w:tr>
      <w:tr w:rsidR="00A07EAF" w:rsidRPr="00A07EAF" w:rsidTr="00A07EAF">
        <w:trPr>
          <w:jc w:val="center"/>
        </w:trPr>
        <w:tc>
          <w:tcPr>
            <w:tcW w:w="1945" w:type="dxa"/>
            <w:tcBorders>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Култура</w:t>
            </w:r>
          </w:p>
        </w:tc>
        <w:tc>
          <w:tcPr>
            <w:tcW w:w="973"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373</w:t>
            </w:r>
          </w:p>
        </w:tc>
        <w:tc>
          <w:tcPr>
            <w:tcW w:w="846"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7</w:t>
            </w:r>
          </w:p>
        </w:tc>
        <w:tc>
          <w:tcPr>
            <w:tcW w:w="1329"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488.646</w:t>
            </w:r>
          </w:p>
        </w:tc>
        <w:tc>
          <w:tcPr>
            <w:tcW w:w="846" w:type="dxa"/>
            <w:tcBorders>
              <w:left w:val="single" w:sz="18"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1</w:t>
            </w:r>
          </w:p>
        </w:tc>
        <w:tc>
          <w:tcPr>
            <w:tcW w:w="973" w:type="dxa"/>
            <w:tcBorders>
              <w:left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604</w:t>
            </w:r>
          </w:p>
        </w:tc>
        <w:tc>
          <w:tcPr>
            <w:tcW w:w="551" w:type="dxa"/>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19</w:t>
            </w:r>
          </w:p>
        </w:tc>
        <w:tc>
          <w:tcPr>
            <w:tcW w:w="1252" w:type="dxa"/>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208.129</w:t>
            </w:r>
          </w:p>
        </w:tc>
        <w:tc>
          <w:tcPr>
            <w:tcW w:w="725" w:type="dxa"/>
            <w:tcBorders>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2</w:t>
            </w:r>
          </w:p>
        </w:tc>
      </w:tr>
      <w:tr w:rsidR="00A07EAF" w:rsidRPr="00A07EAF" w:rsidTr="00A07EAF">
        <w:trPr>
          <w:jc w:val="center"/>
        </w:trPr>
        <w:tc>
          <w:tcPr>
            <w:tcW w:w="1945" w:type="dxa"/>
            <w:tcBorders>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Просвета и наука</w:t>
            </w:r>
          </w:p>
        </w:tc>
        <w:tc>
          <w:tcPr>
            <w:tcW w:w="973"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133</w:t>
            </w:r>
          </w:p>
        </w:tc>
        <w:tc>
          <w:tcPr>
            <w:tcW w:w="846"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2</w:t>
            </w:r>
          </w:p>
        </w:tc>
        <w:tc>
          <w:tcPr>
            <w:tcW w:w="1329"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261.206</w:t>
            </w:r>
          </w:p>
        </w:tc>
        <w:tc>
          <w:tcPr>
            <w:tcW w:w="846" w:type="dxa"/>
            <w:tcBorders>
              <w:left w:val="single" w:sz="18"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1</w:t>
            </w:r>
          </w:p>
        </w:tc>
        <w:tc>
          <w:tcPr>
            <w:tcW w:w="973" w:type="dxa"/>
            <w:tcBorders>
              <w:left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230</w:t>
            </w:r>
          </w:p>
        </w:tc>
        <w:tc>
          <w:tcPr>
            <w:tcW w:w="551" w:type="dxa"/>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7</w:t>
            </w:r>
          </w:p>
        </w:tc>
        <w:tc>
          <w:tcPr>
            <w:tcW w:w="1252" w:type="dxa"/>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251.148</w:t>
            </w:r>
          </w:p>
        </w:tc>
        <w:tc>
          <w:tcPr>
            <w:tcW w:w="725" w:type="dxa"/>
            <w:tcBorders>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2</w:t>
            </w:r>
          </w:p>
        </w:tc>
      </w:tr>
      <w:tr w:rsidR="00A07EAF" w:rsidRPr="00A07EAF" w:rsidTr="00A07EAF">
        <w:trPr>
          <w:jc w:val="center"/>
        </w:trPr>
        <w:tc>
          <w:tcPr>
            <w:tcW w:w="1945" w:type="dxa"/>
            <w:tcBorders>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Државна јавна предузећа/привредна друштва</w:t>
            </w:r>
          </w:p>
        </w:tc>
        <w:tc>
          <w:tcPr>
            <w:tcW w:w="973"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746</w:t>
            </w:r>
          </w:p>
        </w:tc>
        <w:tc>
          <w:tcPr>
            <w:tcW w:w="846"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13</w:t>
            </w:r>
          </w:p>
        </w:tc>
        <w:tc>
          <w:tcPr>
            <w:tcW w:w="1329"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12.279.565</w:t>
            </w:r>
          </w:p>
        </w:tc>
        <w:tc>
          <w:tcPr>
            <w:tcW w:w="846" w:type="dxa"/>
            <w:tcBorders>
              <w:left w:val="single" w:sz="18"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31</w:t>
            </w:r>
          </w:p>
        </w:tc>
        <w:tc>
          <w:tcPr>
            <w:tcW w:w="973" w:type="dxa"/>
            <w:tcBorders>
              <w:left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491</w:t>
            </w:r>
          </w:p>
        </w:tc>
        <w:tc>
          <w:tcPr>
            <w:tcW w:w="551" w:type="dxa"/>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15</w:t>
            </w:r>
          </w:p>
        </w:tc>
        <w:tc>
          <w:tcPr>
            <w:tcW w:w="1252" w:type="dxa"/>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6.821.263</w:t>
            </w:r>
          </w:p>
        </w:tc>
        <w:tc>
          <w:tcPr>
            <w:tcW w:w="725" w:type="dxa"/>
            <w:tcBorders>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49</w:t>
            </w:r>
          </w:p>
        </w:tc>
      </w:tr>
      <w:tr w:rsidR="00A07EAF" w:rsidRPr="00A07EAF" w:rsidTr="00A07EAF">
        <w:trPr>
          <w:jc w:val="center"/>
        </w:trPr>
        <w:tc>
          <w:tcPr>
            <w:tcW w:w="1945" w:type="dxa"/>
            <w:tcBorders>
              <w:left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Јавна предузећа-локална самоуправа</w:t>
            </w:r>
          </w:p>
        </w:tc>
        <w:tc>
          <w:tcPr>
            <w:tcW w:w="973"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380</w:t>
            </w:r>
          </w:p>
        </w:tc>
        <w:tc>
          <w:tcPr>
            <w:tcW w:w="846"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7</w:t>
            </w:r>
          </w:p>
        </w:tc>
        <w:tc>
          <w:tcPr>
            <w:tcW w:w="1329" w:type="dxa"/>
            <w:tcBorders>
              <w:left w:val="single" w:sz="18"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2.405.663</w:t>
            </w:r>
          </w:p>
        </w:tc>
        <w:tc>
          <w:tcPr>
            <w:tcW w:w="846" w:type="dxa"/>
            <w:tcBorders>
              <w:left w:val="single" w:sz="18"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6</w:t>
            </w:r>
          </w:p>
        </w:tc>
        <w:tc>
          <w:tcPr>
            <w:tcW w:w="973" w:type="dxa"/>
            <w:tcBorders>
              <w:left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242</w:t>
            </w:r>
          </w:p>
        </w:tc>
        <w:tc>
          <w:tcPr>
            <w:tcW w:w="551" w:type="dxa"/>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7</w:t>
            </w:r>
          </w:p>
        </w:tc>
        <w:tc>
          <w:tcPr>
            <w:tcW w:w="1252" w:type="dxa"/>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1.266.262</w:t>
            </w:r>
          </w:p>
        </w:tc>
        <w:tc>
          <w:tcPr>
            <w:tcW w:w="725" w:type="dxa"/>
            <w:tcBorders>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9</w:t>
            </w:r>
          </w:p>
        </w:tc>
      </w:tr>
      <w:tr w:rsidR="00A07EAF" w:rsidRPr="00A07EAF" w:rsidTr="00A07EAF">
        <w:trPr>
          <w:jc w:val="center"/>
        </w:trPr>
        <w:tc>
          <w:tcPr>
            <w:tcW w:w="1945" w:type="dxa"/>
            <w:tcBorders>
              <w:left w:val="single" w:sz="18" w:space="0" w:color="auto"/>
              <w:bottom w:val="single" w:sz="4"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Градска и општинска управа</w:t>
            </w:r>
          </w:p>
        </w:tc>
        <w:tc>
          <w:tcPr>
            <w:tcW w:w="973" w:type="dxa"/>
            <w:tcBorders>
              <w:left w:val="single" w:sz="18" w:space="0" w:color="auto"/>
              <w:bottom w:val="single" w:sz="4"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195</w:t>
            </w:r>
          </w:p>
        </w:tc>
        <w:tc>
          <w:tcPr>
            <w:tcW w:w="846" w:type="dxa"/>
            <w:tcBorders>
              <w:left w:val="single" w:sz="18" w:space="0" w:color="auto"/>
              <w:bottom w:val="single" w:sz="4"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4</w:t>
            </w:r>
          </w:p>
        </w:tc>
        <w:tc>
          <w:tcPr>
            <w:tcW w:w="1329" w:type="dxa"/>
            <w:tcBorders>
              <w:left w:val="single" w:sz="18" w:space="0" w:color="auto"/>
              <w:bottom w:val="single" w:sz="4" w:space="0" w:color="auto"/>
              <w:right w:val="single" w:sz="18" w:space="0" w:color="auto"/>
            </w:tcBorders>
            <w:vAlign w:val="center"/>
          </w:tcPr>
          <w:p w:rsidR="00A07EAF" w:rsidRPr="00A07EAF" w:rsidRDefault="00A07EAF" w:rsidP="00A07EAF">
            <w:pPr>
              <w:jc w:val="center"/>
              <w:rPr>
                <w:color w:val="000000"/>
                <w:sz w:val="18"/>
                <w:szCs w:val="18"/>
                <w:lang w:val="sr-Cyrl-CS"/>
              </w:rPr>
            </w:pPr>
            <w:r w:rsidRPr="00A07EAF">
              <w:rPr>
                <w:color w:val="000000"/>
                <w:sz w:val="18"/>
                <w:szCs w:val="18"/>
                <w:lang w:val="sr-Cyrl-CS"/>
              </w:rPr>
              <w:t>1.456.170</w:t>
            </w:r>
          </w:p>
        </w:tc>
        <w:tc>
          <w:tcPr>
            <w:tcW w:w="846" w:type="dxa"/>
            <w:tcBorders>
              <w:left w:val="single" w:sz="18" w:space="0" w:color="auto"/>
              <w:bottom w:val="single" w:sz="4" w:space="0" w:color="auto"/>
              <w:right w:val="single" w:sz="18" w:space="0" w:color="auto"/>
            </w:tcBorders>
            <w:vAlign w:val="center"/>
          </w:tcPr>
          <w:p w:rsidR="00A07EAF" w:rsidRPr="00A07EAF" w:rsidRDefault="00A07EAF" w:rsidP="00A07EAF">
            <w:pPr>
              <w:jc w:val="center"/>
              <w:rPr>
                <w:rFonts w:cstheme="minorHAnsi"/>
                <w:color w:val="000000"/>
                <w:sz w:val="18"/>
                <w:szCs w:val="18"/>
              </w:rPr>
            </w:pPr>
            <w:r w:rsidRPr="00A07EAF">
              <w:rPr>
                <w:rFonts w:cstheme="minorHAnsi"/>
                <w:color w:val="000000"/>
                <w:sz w:val="18"/>
                <w:szCs w:val="18"/>
              </w:rPr>
              <w:t>4</w:t>
            </w:r>
          </w:p>
        </w:tc>
        <w:tc>
          <w:tcPr>
            <w:tcW w:w="973" w:type="dxa"/>
            <w:tcBorders>
              <w:left w:val="single" w:sz="18" w:space="0" w:color="auto"/>
              <w:bottom w:val="single" w:sz="4"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187</w:t>
            </w:r>
          </w:p>
        </w:tc>
        <w:tc>
          <w:tcPr>
            <w:tcW w:w="551" w:type="dxa"/>
            <w:tcBorders>
              <w:bottom w:val="single" w:sz="4"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6</w:t>
            </w:r>
          </w:p>
        </w:tc>
        <w:tc>
          <w:tcPr>
            <w:tcW w:w="1252" w:type="dxa"/>
            <w:tcBorders>
              <w:bottom w:val="single" w:sz="4" w:space="0" w:color="auto"/>
            </w:tcBorders>
            <w:vAlign w:val="center"/>
          </w:tcPr>
          <w:p w:rsidR="00A07EAF" w:rsidRPr="00A07EAF" w:rsidRDefault="00A07EAF" w:rsidP="00A07EAF">
            <w:pPr>
              <w:jc w:val="center"/>
              <w:rPr>
                <w:rFonts w:ascii="Calibri" w:eastAsiaTheme="minorEastAsia" w:hAnsi="Calibri" w:cs="Calibri"/>
                <w:color w:val="000000"/>
                <w:sz w:val="20"/>
                <w:szCs w:val="20"/>
                <w:lang w:val="sr-Cyrl-CS"/>
              </w:rPr>
            </w:pPr>
            <w:r w:rsidRPr="00A07EAF">
              <w:rPr>
                <w:rFonts w:ascii="Calibri" w:eastAsiaTheme="minorEastAsia" w:hAnsi="Calibri" w:cs="Calibri"/>
                <w:color w:val="000000"/>
                <w:sz w:val="20"/>
                <w:szCs w:val="20"/>
                <w:lang w:val="sr-Cyrl-CS"/>
              </w:rPr>
              <w:t>891.939</w:t>
            </w:r>
          </w:p>
        </w:tc>
        <w:tc>
          <w:tcPr>
            <w:tcW w:w="725" w:type="dxa"/>
            <w:tcBorders>
              <w:bottom w:val="single" w:sz="4" w:space="0" w:color="auto"/>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6</w:t>
            </w:r>
          </w:p>
        </w:tc>
      </w:tr>
      <w:tr w:rsidR="00A07EAF" w:rsidRPr="00A07EAF" w:rsidTr="00A07EAF">
        <w:trPr>
          <w:jc w:val="center"/>
        </w:trPr>
        <w:tc>
          <w:tcPr>
            <w:tcW w:w="1945" w:type="dxa"/>
            <w:tcBorders>
              <w:top w:val="single" w:sz="4" w:space="0" w:color="auto"/>
              <w:left w:val="single" w:sz="18" w:space="0" w:color="auto"/>
              <w:bottom w:val="single" w:sz="4"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Удружења</w:t>
            </w:r>
          </w:p>
        </w:tc>
        <w:tc>
          <w:tcPr>
            <w:tcW w:w="973" w:type="dxa"/>
            <w:tcBorders>
              <w:top w:val="single" w:sz="4" w:space="0" w:color="auto"/>
              <w:left w:val="single" w:sz="18" w:space="0" w:color="auto"/>
              <w:bottom w:val="single" w:sz="4" w:space="0" w:color="auto"/>
              <w:right w:val="single" w:sz="18" w:space="0" w:color="auto"/>
            </w:tcBorders>
            <w:vAlign w:val="center"/>
          </w:tcPr>
          <w:p w:rsidR="00A07EAF" w:rsidRPr="00A07EAF" w:rsidRDefault="00A07EAF" w:rsidP="00A07EAF">
            <w:pPr>
              <w:jc w:val="center"/>
              <w:rPr>
                <w:rFonts w:ascii="Calibri" w:eastAsiaTheme="minorEastAsia" w:hAnsi="Calibri" w:cs="Calibri"/>
                <w:bCs/>
                <w:color w:val="000000"/>
                <w:sz w:val="20"/>
                <w:szCs w:val="20"/>
                <w:lang w:val="en-US"/>
              </w:rPr>
            </w:pPr>
            <w:r w:rsidRPr="00A07EAF">
              <w:rPr>
                <w:rFonts w:ascii="Calibri" w:eastAsiaTheme="minorEastAsia" w:hAnsi="Calibri" w:cs="Calibri"/>
                <w:bCs/>
                <w:color w:val="000000"/>
                <w:sz w:val="20"/>
                <w:szCs w:val="20"/>
                <w:lang w:val="en-US"/>
              </w:rPr>
              <w:t>/</w:t>
            </w:r>
          </w:p>
        </w:tc>
        <w:tc>
          <w:tcPr>
            <w:tcW w:w="846" w:type="dxa"/>
            <w:tcBorders>
              <w:top w:val="single" w:sz="4" w:space="0" w:color="auto"/>
              <w:left w:val="single" w:sz="18" w:space="0" w:color="auto"/>
              <w:bottom w:val="single" w:sz="4" w:space="0" w:color="auto"/>
              <w:right w:val="single" w:sz="18" w:space="0" w:color="auto"/>
            </w:tcBorders>
            <w:vAlign w:val="center"/>
          </w:tcPr>
          <w:p w:rsidR="00A07EAF" w:rsidRPr="00A07EAF" w:rsidRDefault="00A07EAF" w:rsidP="00A07EAF">
            <w:pPr>
              <w:jc w:val="center"/>
              <w:rPr>
                <w:rFonts w:ascii="Calibri" w:eastAsiaTheme="minorEastAsia" w:hAnsi="Calibri" w:cs="Calibri"/>
                <w:bCs/>
                <w:color w:val="000000"/>
                <w:sz w:val="20"/>
                <w:szCs w:val="20"/>
                <w:lang w:val="en-US"/>
              </w:rPr>
            </w:pPr>
            <w:r w:rsidRPr="00A07EAF">
              <w:rPr>
                <w:rFonts w:ascii="Calibri" w:eastAsiaTheme="minorEastAsia" w:hAnsi="Calibri" w:cs="Calibri"/>
                <w:bCs/>
                <w:color w:val="000000"/>
                <w:sz w:val="20"/>
                <w:szCs w:val="20"/>
                <w:lang w:val="en-US"/>
              </w:rPr>
              <w:t>/</w:t>
            </w:r>
          </w:p>
        </w:tc>
        <w:tc>
          <w:tcPr>
            <w:tcW w:w="1329" w:type="dxa"/>
            <w:tcBorders>
              <w:top w:val="single" w:sz="4" w:space="0" w:color="auto"/>
              <w:left w:val="single" w:sz="18" w:space="0" w:color="auto"/>
              <w:bottom w:val="single" w:sz="4" w:space="0" w:color="auto"/>
              <w:right w:val="single" w:sz="18" w:space="0" w:color="auto"/>
            </w:tcBorders>
            <w:vAlign w:val="center"/>
          </w:tcPr>
          <w:p w:rsidR="00A07EAF" w:rsidRPr="00A07EAF" w:rsidRDefault="00A07EAF" w:rsidP="00A07EAF">
            <w:pPr>
              <w:jc w:val="center"/>
              <w:rPr>
                <w:rFonts w:ascii="Calibri" w:eastAsiaTheme="minorEastAsia" w:hAnsi="Calibri" w:cs="Calibri"/>
                <w:bCs/>
                <w:color w:val="000000"/>
                <w:sz w:val="20"/>
                <w:szCs w:val="20"/>
                <w:lang w:val="en-US"/>
              </w:rPr>
            </w:pPr>
            <w:r w:rsidRPr="00A07EAF">
              <w:rPr>
                <w:rFonts w:ascii="Calibri" w:eastAsiaTheme="minorEastAsia" w:hAnsi="Calibri" w:cs="Calibri"/>
                <w:bCs/>
                <w:color w:val="000000"/>
                <w:sz w:val="20"/>
                <w:szCs w:val="20"/>
                <w:lang w:val="en-US"/>
              </w:rPr>
              <w:t>/</w:t>
            </w:r>
          </w:p>
        </w:tc>
        <w:tc>
          <w:tcPr>
            <w:tcW w:w="846" w:type="dxa"/>
            <w:tcBorders>
              <w:top w:val="single" w:sz="4" w:space="0" w:color="auto"/>
              <w:left w:val="single" w:sz="18" w:space="0" w:color="auto"/>
              <w:bottom w:val="single" w:sz="4" w:space="0" w:color="auto"/>
              <w:right w:val="single" w:sz="18" w:space="0" w:color="auto"/>
            </w:tcBorders>
            <w:vAlign w:val="center"/>
          </w:tcPr>
          <w:p w:rsidR="00A07EAF" w:rsidRPr="00A07EAF" w:rsidRDefault="00A07EAF" w:rsidP="00A07EAF">
            <w:pPr>
              <w:jc w:val="center"/>
              <w:rPr>
                <w:rFonts w:ascii="Calibri" w:eastAsiaTheme="minorEastAsia" w:hAnsi="Calibri" w:cs="Calibri"/>
                <w:bCs/>
                <w:color w:val="000000"/>
                <w:sz w:val="20"/>
                <w:szCs w:val="20"/>
                <w:lang w:val="en-US"/>
              </w:rPr>
            </w:pPr>
            <w:r w:rsidRPr="00A07EAF">
              <w:rPr>
                <w:rFonts w:ascii="Calibri" w:eastAsiaTheme="minorEastAsia" w:hAnsi="Calibri" w:cs="Calibri"/>
                <w:bCs/>
                <w:color w:val="000000"/>
                <w:sz w:val="20"/>
                <w:szCs w:val="20"/>
                <w:lang w:val="en-US"/>
              </w:rPr>
              <w:t>/</w:t>
            </w:r>
          </w:p>
        </w:tc>
        <w:tc>
          <w:tcPr>
            <w:tcW w:w="973" w:type="dxa"/>
            <w:tcBorders>
              <w:top w:val="single" w:sz="4" w:space="0" w:color="auto"/>
              <w:left w:val="single" w:sz="18" w:space="0" w:color="auto"/>
              <w:bottom w:val="single" w:sz="4" w:space="0" w:color="auto"/>
            </w:tcBorders>
            <w:vAlign w:val="center"/>
          </w:tcPr>
          <w:p w:rsidR="00A07EAF" w:rsidRPr="00A07EAF" w:rsidRDefault="00A07EAF" w:rsidP="00A07EAF">
            <w:pPr>
              <w:jc w:val="center"/>
              <w:rPr>
                <w:rFonts w:ascii="Calibri" w:eastAsiaTheme="minorEastAsia" w:hAnsi="Calibri" w:cs="Calibri"/>
                <w:bCs/>
                <w:color w:val="000000"/>
                <w:sz w:val="20"/>
                <w:szCs w:val="20"/>
                <w:lang w:val="sr-Cyrl-CS"/>
              </w:rPr>
            </w:pPr>
            <w:r w:rsidRPr="00A07EAF">
              <w:rPr>
                <w:rFonts w:ascii="Calibri" w:eastAsiaTheme="minorEastAsia" w:hAnsi="Calibri" w:cs="Calibri"/>
                <w:bCs/>
                <w:color w:val="000000"/>
                <w:sz w:val="20"/>
                <w:szCs w:val="20"/>
                <w:lang w:val="sr-Cyrl-CS"/>
              </w:rPr>
              <w:t>3</w:t>
            </w:r>
          </w:p>
        </w:tc>
        <w:tc>
          <w:tcPr>
            <w:tcW w:w="551" w:type="dxa"/>
            <w:tcBorders>
              <w:top w:val="single" w:sz="4" w:space="0" w:color="auto"/>
              <w:bottom w:val="single" w:sz="4"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0</w:t>
            </w:r>
          </w:p>
        </w:tc>
        <w:tc>
          <w:tcPr>
            <w:tcW w:w="1252" w:type="dxa"/>
            <w:tcBorders>
              <w:top w:val="single" w:sz="4" w:space="0" w:color="auto"/>
              <w:bottom w:val="single" w:sz="4" w:space="0" w:color="auto"/>
            </w:tcBorders>
            <w:vAlign w:val="center"/>
          </w:tcPr>
          <w:p w:rsidR="00A07EAF" w:rsidRPr="00A07EAF" w:rsidRDefault="00A07EAF" w:rsidP="00A07EAF">
            <w:pPr>
              <w:jc w:val="center"/>
              <w:rPr>
                <w:rFonts w:ascii="Calibri" w:eastAsiaTheme="minorEastAsia" w:hAnsi="Calibri" w:cs="Calibri"/>
                <w:bCs/>
                <w:color w:val="000000"/>
                <w:sz w:val="20"/>
                <w:szCs w:val="20"/>
                <w:lang w:val="sr-Cyrl-CS"/>
              </w:rPr>
            </w:pPr>
            <w:r w:rsidRPr="00A07EAF">
              <w:rPr>
                <w:rFonts w:ascii="Calibri" w:eastAsiaTheme="minorEastAsia" w:hAnsi="Calibri" w:cs="Calibri"/>
                <w:bCs/>
                <w:color w:val="000000"/>
                <w:sz w:val="20"/>
                <w:szCs w:val="20"/>
                <w:lang w:val="sr-Cyrl-CS"/>
              </w:rPr>
              <w:t>37.883</w:t>
            </w:r>
          </w:p>
        </w:tc>
        <w:tc>
          <w:tcPr>
            <w:tcW w:w="725" w:type="dxa"/>
            <w:tcBorders>
              <w:top w:val="single" w:sz="4" w:space="0" w:color="auto"/>
              <w:bottom w:val="single" w:sz="4" w:space="0" w:color="auto"/>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0</w:t>
            </w:r>
          </w:p>
        </w:tc>
      </w:tr>
      <w:tr w:rsidR="00A07EAF" w:rsidRPr="00A07EAF" w:rsidTr="00A07EAF">
        <w:trPr>
          <w:jc w:val="center"/>
        </w:trPr>
        <w:tc>
          <w:tcPr>
            <w:tcW w:w="1945" w:type="dxa"/>
            <w:tcBorders>
              <w:top w:val="single" w:sz="4"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Фондације и задужбине</w:t>
            </w:r>
          </w:p>
        </w:tc>
        <w:tc>
          <w:tcPr>
            <w:tcW w:w="973" w:type="dxa"/>
            <w:tcBorders>
              <w:top w:val="single" w:sz="4"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eastAsiaTheme="minorEastAsia"/>
                <w:color w:val="000000"/>
                <w:sz w:val="20"/>
                <w:szCs w:val="20"/>
                <w:lang w:val="en-US"/>
              </w:rPr>
            </w:pPr>
            <w:r w:rsidRPr="00A07EAF">
              <w:rPr>
                <w:rFonts w:eastAsiaTheme="minorEastAsia"/>
                <w:color w:val="000000"/>
                <w:sz w:val="20"/>
                <w:szCs w:val="20"/>
                <w:lang w:val="en-US"/>
              </w:rPr>
              <w:t>/</w:t>
            </w:r>
          </w:p>
        </w:tc>
        <w:tc>
          <w:tcPr>
            <w:tcW w:w="846" w:type="dxa"/>
            <w:tcBorders>
              <w:top w:val="single" w:sz="4"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eastAsiaTheme="minorEastAsia"/>
                <w:color w:val="000000"/>
                <w:sz w:val="20"/>
                <w:szCs w:val="20"/>
                <w:lang w:val="en-US"/>
              </w:rPr>
            </w:pPr>
            <w:r w:rsidRPr="00A07EAF">
              <w:rPr>
                <w:rFonts w:eastAsiaTheme="minorEastAsia"/>
                <w:color w:val="000000"/>
                <w:sz w:val="20"/>
                <w:szCs w:val="20"/>
                <w:lang w:val="en-US"/>
              </w:rPr>
              <w:t>/</w:t>
            </w:r>
          </w:p>
        </w:tc>
        <w:tc>
          <w:tcPr>
            <w:tcW w:w="1329" w:type="dxa"/>
            <w:tcBorders>
              <w:top w:val="single" w:sz="4"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eastAsiaTheme="minorEastAsia"/>
                <w:color w:val="000000"/>
                <w:sz w:val="20"/>
                <w:szCs w:val="20"/>
                <w:lang w:val="en-US"/>
              </w:rPr>
            </w:pPr>
            <w:r w:rsidRPr="00A07EAF">
              <w:rPr>
                <w:rFonts w:eastAsiaTheme="minorEastAsia"/>
                <w:color w:val="000000"/>
                <w:sz w:val="20"/>
                <w:szCs w:val="20"/>
                <w:lang w:val="en-US"/>
              </w:rPr>
              <w:t>/</w:t>
            </w:r>
          </w:p>
        </w:tc>
        <w:tc>
          <w:tcPr>
            <w:tcW w:w="846" w:type="dxa"/>
            <w:tcBorders>
              <w:top w:val="single" w:sz="4"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eastAsiaTheme="minorEastAsia"/>
                <w:color w:val="000000"/>
                <w:sz w:val="20"/>
                <w:szCs w:val="20"/>
                <w:lang w:val="en-US"/>
              </w:rPr>
            </w:pPr>
            <w:r w:rsidRPr="00A07EAF">
              <w:rPr>
                <w:rFonts w:eastAsiaTheme="minorEastAsia"/>
                <w:color w:val="000000"/>
                <w:sz w:val="20"/>
                <w:szCs w:val="20"/>
                <w:lang w:val="en-US"/>
              </w:rPr>
              <w:t>/</w:t>
            </w:r>
          </w:p>
        </w:tc>
        <w:tc>
          <w:tcPr>
            <w:tcW w:w="973" w:type="dxa"/>
            <w:tcBorders>
              <w:top w:val="single" w:sz="4" w:space="0" w:color="auto"/>
              <w:left w:val="single" w:sz="18" w:space="0" w:color="auto"/>
              <w:bottom w:val="single" w:sz="18" w:space="0" w:color="auto"/>
            </w:tcBorders>
            <w:vAlign w:val="center"/>
          </w:tcPr>
          <w:p w:rsidR="00A07EAF" w:rsidRPr="00A07EAF" w:rsidRDefault="00A07EAF" w:rsidP="00A07EAF">
            <w:pPr>
              <w:jc w:val="center"/>
              <w:rPr>
                <w:rFonts w:eastAsiaTheme="minorEastAsia"/>
                <w:color w:val="000000"/>
                <w:sz w:val="20"/>
                <w:szCs w:val="20"/>
                <w:lang w:val="sr-Cyrl-CS"/>
              </w:rPr>
            </w:pPr>
            <w:r w:rsidRPr="00A07EAF">
              <w:rPr>
                <w:rFonts w:eastAsiaTheme="minorEastAsia"/>
                <w:color w:val="000000"/>
                <w:sz w:val="20"/>
                <w:szCs w:val="20"/>
                <w:lang w:val="sr-Cyrl-CS"/>
              </w:rPr>
              <w:t>2</w:t>
            </w:r>
          </w:p>
        </w:tc>
        <w:tc>
          <w:tcPr>
            <w:tcW w:w="551" w:type="dxa"/>
            <w:tcBorders>
              <w:top w:val="single" w:sz="4" w:space="0" w:color="auto"/>
              <w:bottom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0</w:t>
            </w:r>
          </w:p>
        </w:tc>
        <w:tc>
          <w:tcPr>
            <w:tcW w:w="1252" w:type="dxa"/>
            <w:tcBorders>
              <w:top w:val="single" w:sz="4" w:space="0" w:color="auto"/>
              <w:bottom w:val="single" w:sz="18" w:space="0" w:color="auto"/>
            </w:tcBorders>
            <w:vAlign w:val="center"/>
          </w:tcPr>
          <w:p w:rsidR="00A07EAF" w:rsidRPr="00A07EAF" w:rsidRDefault="00A07EAF" w:rsidP="00A07EAF">
            <w:pPr>
              <w:jc w:val="center"/>
              <w:rPr>
                <w:rFonts w:ascii="Calibri" w:eastAsiaTheme="minorEastAsia" w:hAnsi="Calibri" w:cs="Calibri"/>
                <w:color w:val="000000"/>
                <w:sz w:val="20"/>
                <w:szCs w:val="20"/>
              </w:rPr>
            </w:pPr>
            <w:r w:rsidRPr="00A07EAF">
              <w:rPr>
                <w:rFonts w:ascii="Calibri" w:eastAsiaTheme="minorEastAsia" w:hAnsi="Calibri" w:cs="Calibri"/>
                <w:color w:val="000000"/>
                <w:sz w:val="20"/>
                <w:szCs w:val="20"/>
              </w:rPr>
              <w:t>12.435</w:t>
            </w:r>
          </w:p>
        </w:tc>
        <w:tc>
          <w:tcPr>
            <w:tcW w:w="725" w:type="dxa"/>
            <w:tcBorders>
              <w:top w:val="single" w:sz="4" w:space="0" w:color="auto"/>
              <w:bottom w:val="single" w:sz="18" w:space="0" w:color="auto"/>
              <w:right w:val="single" w:sz="18" w:space="0" w:color="auto"/>
            </w:tcBorders>
            <w:vAlign w:val="center"/>
          </w:tcPr>
          <w:p w:rsidR="00A07EAF" w:rsidRPr="00A07EAF" w:rsidRDefault="00A07EAF" w:rsidP="00A07EAF">
            <w:pPr>
              <w:jc w:val="center"/>
              <w:rPr>
                <w:rFonts w:ascii="Calibri" w:eastAsiaTheme="minorEastAsia" w:hAnsi="Calibri" w:cs="Calibri"/>
                <w:color w:val="000000"/>
              </w:rPr>
            </w:pPr>
            <w:r w:rsidRPr="00A07EAF">
              <w:rPr>
                <w:rFonts w:ascii="Calibri" w:eastAsiaTheme="minorEastAsia" w:hAnsi="Calibri" w:cs="Calibri"/>
                <w:color w:val="000000"/>
              </w:rPr>
              <w:t>0</w:t>
            </w:r>
          </w:p>
        </w:tc>
      </w:tr>
      <w:tr w:rsidR="00A07EAF" w:rsidRPr="00A07EAF" w:rsidTr="00A07EAF">
        <w:trPr>
          <w:jc w:val="center"/>
        </w:trPr>
        <w:tc>
          <w:tcPr>
            <w:tcW w:w="1945" w:type="dxa"/>
            <w:tcBorders>
              <w:top w:val="single" w:sz="18"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ascii="Times New Roman" w:eastAsiaTheme="minorEastAsia" w:hAnsi="Times New Roman" w:cs="Times New Roman"/>
                <w:b/>
                <w:sz w:val="18"/>
                <w:szCs w:val="18"/>
              </w:rPr>
            </w:pPr>
            <w:r w:rsidRPr="00A07EAF">
              <w:rPr>
                <w:rFonts w:ascii="Times New Roman" w:eastAsiaTheme="minorEastAsia" w:hAnsi="Times New Roman" w:cs="Times New Roman"/>
                <w:b/>
                <w:sz w:val="18"/>
                <w:szCs w:val="18"/>
              </w:rPr>
              <w:t>Укупно</w:t>
            </w:r>
          </w:p>
        </w:tc>
        <w:tc>
          <w:tcPr>
            <w:tcW w:w="973" w:type="dxa"/>
            <w:tcBorders>
              <w:top w:val="single" w:sz="18"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b/>
                <w:bCs/>
                <w:color w:val="000000"/>
                <w:sz w:val="18"/>
                <w:szCs w:val="18"/>
                <w:lang w:val="sr-Cyrl-CS"/>
              </w:rPr>
            </w:pPr>
            <w:r w:rsidRPr="00A07EAF">
              <w:rPr>
                <w:b/>
                <w:bCs/>
                <w:color w:val="000000"/>
                <w:sz w:val="18"/>
                <w:szCs w:val="18"/>
                <w:lang w:val="sr-Cyrl-CS"/>
              </w:rPr>
              <w:t>5.588</w:t>
            </w:r>
          </w:p>
        </w:tc>
        <w:tc>
          <w:tcPr>
            <w:tcW w:w="846" w:type="dxa"/>
            <w:tcBorders>
              <w:top w:val="single" w:sz="18"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b/>
                <w:color w:val="000000"/>
                <w:sz w:val="18"/>
                <w:szCs w:val="18"/>
                <w:lang w:val="sr-Cyrl-CS"/>
              </w:rPr>
            </w:pPr>
            <w:r w:rsidRPr="00A07EAF">
              <w:rPr>
                <w:b/>
                <w:color w:val="000000"/>
                <w:sz w:val="18"/>
                <w:szCs w:val="18"/>
                <w:lang w:val="sr-Cyrl-CS"/>
              </w:rPr>
              <w:t>100</w:t>
            </w:r>
          </w:p>
        </w:tc>
        <w:tc>
          <w:tcPr>
            <w:tcW w:w="1329" w:type="dxa"/>
            <w:tcBorders>
              <w:top w:val="single" w:sz="18"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b/>
                <w:bCs/>
                <w:color w:val="000000"/>
                <w:sz w:val="18"/>
                <w:szCs w:val="18"/>
                <w:lang w:val="sr-Cyrl-CS"/>
              </w:rPr>
            </w:pPr>
            <w:r w:rsidRPr="00A07EAF">
              <w:rPr>
                <w:b/>
                <w:bCs/>
                <w:color w:val="000000"/>
                <w:sz w:val="18"/>
                <w:szCs w:val="18"/>
                <w:lang w:val="sr-Cyrl-CS"/>
              </w:rPr>
              <w:t>39.218.199</w:t>
            </w:r>
          </w:p>
        </w:tc>
        <w:tc>
          <w:tcPr>
            <w:tcW w:w="846" w:type="dxa"/>
            <w:tcBorders>
              <w:top w:val="single" w:sz="18" w:space="0" w:color="auto"/>
              <w:left w:val="single" w:sz="18" w:space="0" w:color="auto"/>
              <w:bottom w:val="single" w:sz="18" w:space="0" w:color="auto"/>
              <w:right w:val="single" w:sz="18" w:space="0" w:color="auto"/>
            </w:tcBorders>
            <w:vAlign w:val="center"/>
          </w:tcPr>
          <w:p w:rsidR="00A07EAF" w:rsidRPr="00A07EAF" w:rsidRDefault="00A07EAF" w:rsidP="00A07EAF">
            <w:pPr>
              <w:jc w:val="center"/>
              <w:rPr>
                <w:rFonts w:cstheme="minorHAnsi"/>
                <w:b/>
                <w:color w:val="000000"/>
                <w:sz w:val="18"/>
                <w:szCs w:val="18"/>
              </w:rPr>
            </w:pPr>
            <w:r w:rsidRPr="00A07EAF">
              <w:rPr>
                <w:rFonts w:cstheme="minorHAnsi"/>
                <w:b/>
                <w:color w:val="000000"/>
                <w:sz w:val="18"/>
                <w:szCs w:val="18"/>
              </w:rPr>
              <w:t>100</w:t>
            </w:r>
          </w:p>
        </w:tc>
        <w:tc>
          <w:tcPr>
            <w:tcW w:w="973" w:type="dxa"/>
            <w:tcBorders>
              <w:top w:val="single" w:sz="18" w:space="0" w:color="auto"/>
              <w:left w:val="single" w:sz="18" w:space="0" w:color="auto"/>
              <w:bottom w:val="single" w:sz="18" w:space="0" w:color="auto"/>
            </w:tcBorders>
            <w:vAlign w:val="center"/>
          </w:tcPr>
          <w:p w:rsidR="00A07EAF" w:rsidRPr="00A07EAF" w:rsidRDefault="00A07EAF" w:rsidP="00A07EAF">
            <w:pPr>
              <w:jc w:val="center"/>
              <w:rPr>
                <w:rFonts w:ascii="Calibri" w:eastAsiaTheme="minorEastAsia" w:hAnsi="Calibri" w:cs="Calibri"/>
                <w:b/>
                <w:bCs/>
                <w:color w:val="000000"/>
                <w:sz w:val="20"/>
                <w:szCs w:val="20"/>
                <w:lang w:val="sr-Cyrl-CS"/>
              </w:rPr>
            </w:pPr>
            <w:r w:rsidRPr="00A07EAF">
              <w:rPr>
                <w:rFonts w:ascii="Calibri" w:eastAsiaTheme="minorEastAsia" w:hAnsi="Calibri" w:cs="Calibri"/>
                <w:b/>
                <w:bCs/>
                <w:color w:val="000000"/>
                <w:sz w:val="20"/>
                <w:szCs w:val="20"/>
                <w:lang w:val="sr-Cyrl-CS"/>
              </w:rPr>
              <w:t>3.236</w:t>
            </w:r>
          </w:p>
        </w:tc>
        <w:tc>
          <w:tcPr>
            <w:tcW w:w="551" w:type="dxa"/>
            <w:tcBorders>
              <w:top w:val="single" w:sz="18" w:space="0" w:color="auto"/>
              <w:bottom w:val="single" w:sz="18" w:space="0" w:color="auto"/>
            </w:tcBorders>
            <w:vAlign w:val="center"/>
          </w:tcPr>
          <w:p w:rsidR="00A07EAF" w:rsidRPr="00A07EAF" w:rsidRDefault="00A07EAF" w:rsidP="00A07EAF">
            <w:pPr>
              <w:jc w:val="center"/>
              <w:rPr>
                <w:rFonts w:ascii="Calibri" w:eastAsiaTheme="minorEastAsia" w:hAnsi="Calibri" w:cs="Calibri"/>
                <w:b/>
                <w:color w:val="000000"/>
              </w:rPr>
            </w:pPr>
            <w:r w:rsidRPr="00A07EAF">
              <w:rPr>
                <w:rFonts w:ascii="Calibri" w:eastAsiaTheme="minorEastAsia" w:hAnsi="Calibri" w:cs="Calibri"/>
                <w:b/>
                <w:color w:val="000000"/>
              </w:rPr>
              <w:t>100</w:t>
            </w:r>
          </w:p>
        </w:tc>
        <w:tc>
          <w:tcPr>
            <w:tcW w:w="1252" w:type="dxa"/>
            <w:tcBorders>
              <w:top w:val="single" w:sz="18" w:space="0" w:color="auto"/>
              <w:bottom w:val="single" w:sz="18" w:space="0" w:color="auto"/>
            </w:tcBorders>
            <w:vAlign w:val="center"/>
          </w:tcPr>
          <w:p w:rsidR="00A07EAF" w:rsidRPr="00A07EAF" w:rsidRDefault="00A07EAF" w:rsidP="00A07EAF">
            <w:pPr>
              <w:jc w:val="center"/>
              <w:rPr>
                <w:rFonts w:ascii="Calibri" w:eastAsiaTheme="minorEastAsia" w:hAnsi="Calibri" w:cs="Calibri"/>
                <w:b/>
                <w:bCs/>
                <w:color w:val="000000"/>
                <w:sz w:val="20"/>
                <w:szCs w:val="20"/>
                <w:lang w:val="en-US"/>
              </w:rPr>
            </w:pPr>
            <w:r w:rsidRPr="00A07EAF">
              <w:rPr>
                <w:rFonts w:ascii="Calibri" w:eastAsiaTheme="minorEastAsia" w:hAnsi="Calibri" w:cs="Calibri"/>
                <w:b/>
                <w:bCs/>
                <w:color w:val="000000"/>
                <w:sz w:val="20"/>
                <w:szCs w:val="20"/>
                <w:lang w:val="sr-Cyrl-CS"/>
              </w:rPr>
              <w:t>14.0</w:t>
            </w:r>
            <w:r w:rsidRPr="00A07EAF">
              <w:rPr>
                <w:rFonts w:ascii="Calibri" w:eastAsiaTheme="minorEastAsia" w:hAnsi="Calibri" w:cs="Calibri"/>
                <w:b/>
                <w:bCs/>
                <w:color w:val="000000"/>
                <w:sz w:val="20"/>
                <w:szCs w:val="20"/>
                <w:lang w:val="en-US"/>
              </w:rPr>
              <w:t>35.620</w:t>
            </w:r>
          </w:p>
        </w:tc>
        <w:tc>
          <w:tcPr>
            <w:tcW w:w="725" w:type="dxa"/>
            <w:tcBorders>
              <w:top w:val="single" w:sz="18" w:space="0" w:color="auto"/>
              <w:bottom w:val="single" w:sz="18" w:space="0" w:color="auto"/>
              <w:right w:val="single" w:sz="18" w:space="0" w:color="auto"/>
            </w:tcBorders>
            <w:vAlign w:val="center"/>
          </w:tcPr>
          <w:p w:rsidR="00A07EAF" w:rsidRPr="00A07EAF" w:rsidRDefault="00A07EAF" w:rsidP="00A07EAF">
            <w:pPr>
              <w:jc w:val="center"/>
              <w:rPr>
                <w:rFonts w:ascii="Calibri" w:eastAsiaTheme="minorEastAsia" w:hAnsi="Calibri" w:cs="Calibri"/>
                <w:b/>
                <w:color w:val="000000"/>
              </w:rPr>
            </w:pPr>
            <w:r w:rsidRPr="00A07EAF">
              <w:rPr>
                <w:rFonts w:ascii="Calibri" w:eastAsiaTheme="minorEastAsia" w:hAnsi="Calibri" w:cs="Calibri"/>
                <w:b/>
                <w:color w:val="000000"/>
              </w:rPr>
              <w:t>100</w:t>
            </w:r>
          </w:p>
        </w:tc>
      </w:tr>
    </w:tbl>
    <w:p w:rsidR="00C2341E" w:rsidRDefault="004E5018" w:rsidP="005C207B">
      <w:pPr>
        <w:rPr>
          <w:rFonts w:ascii="Times New Roman" w:hAnsi="Times New Roman" w:cs="Times New Roman"/>
        </w:rPr>
        <w:sectPr w:rsidR="00C2341E" w:rsidSect="00DA3688">
          <w:pgSz w:w="12240" w:h="15840"/>
          <w:pgMar w:top="720" w:right="720" w:bottom="720" w:left="720" w:header="708" w:footer="708" w:gutter="0"/>
          <w:cols w:space="708"/>
          <w:docGrid w:linePitch="360"/>
        </w:sectPr>
      </w:pPr>
      <w:r w:rsidRPr="00BE14E5">
        <w:rPr>
          <w:rFonts w:ascii="Times New Roman" w:hAnsi="Times New Roman" w:cs="Times New Roman"/>
        </w:rPr>
        <w:t>*вреднос</w:t>
      </w:r>
      <w:r w:rsidR="00C922D1" w:rsidRPr="00BE14E5">
        <w:rPr>
          <w:rFonts w:ascii="Times New Roman" w:hAnsi="Times New Roman" w:cs="Times New Roman"/>
        </w:rPr>
        <w:t>ти су изражене</w:t>
      </w:r>
      <w:r w:rsidR="00FC3DDD" w:rsidRPr="00BE14E5">
        <w:rPr>
          <w:rFonts w:ascii="Times New Roman" w:hAnsi="Times New Roman" w:cs="Times New Roman"/>
        </w:rPr>
        <w:t xml:space="preserve"> у хиљадама динар</w:t>
      </w:r>
      <w:r w:rsidR="00C922D1" w:rsidRPr="00BE14E5">
        <w:rPr>
          <w:rFonts w:ascii="Times New Roman" w:hAnsi="Times New Roman" w:cs="Times New Roman"/>
        </w:rPr>
        <w:t>а</w:t>
      </w:r>
    </w:p>
    <w:p w:rsidR="006B04BB" w:rsidRPr="00F9719B" w:rsidRDefault="007D123A" w:rsidP="00F55A41">
      <w:pPr>
        <w:jc w:val="both"/>
        <w:rPr>
          <w:rFonts w:ascii="Times New Roman" w:hAnsi="Times New Roman" w:cs="Times New Roman"/>
          <w:sz w:val="24"/>
          <w:szCs w:val="24"/>
        </w:rPr>
      </w:pPr>
      <w:r w:rsidRPr="00F9719B">
        <w:rPr>
          <w:rFonts w:ascii="Times New Roman" w:hAnsi="Times New Roman" w:cs="Times New Roman"/>
          <w:sz w:val="24"/>
          <w:szCs w:val="24"/>
        </w:rPr>
        <w:lastRenderedPageBreak/>
        <w:t xml:space="preserve">Из Табеле 5 може </w:t>
      </w:r>
      <w:r w:rsidR="0000012F" w:rsidRPr="00F9719B">
        <w:rPr>
          <w:rFonts w:ascii="Times New Roman" w:hAnsi="Times New Roman" w:cs="Times New Roman"/>
          <w:sz w:val="24"/>
          <w:szCs w:val="24"/>
        </w:rPr>
        <w:t xml:space="preserve">се </w:t>
      </w:r>
      <w:r w:rsidR="006B04BB" w:rsidRPr="00F9719B">
        <w:rPr>
          <w:rFonts w:ascii="Times New Roman" w:hAnsi="Times New Roman" w:cs="Times New Roman"/>
          <w:sz w:val="24"/>
          <w:szCs w:val="24"/>
        </w:rPr>
        <w:t>видети да су</w:t>
      </w:r>
      <w:r w:rsidRPr="00F9719B">
        <w:rPr>
          <w:rFonts w:ascii="Times New Roman" w:hAnsi="Times New Roman" w:cs="Times New Roman"/>
          <w:sz w:val="24"/>
          <w:szCs w:val="24"/>
        </w:rPr>
        <w:t xml:space="preserve">, у </w:t>
      </w:r>
      <w:r w:rsidR="006B04BB" w:rsidRPr="00F9719B">
        <w:rPr>
          <w:rFonts w:ascii="Times New Roman" w:hAnsi="Times New Roman" w:cs="Times New Roman"/>
          <w:sz w:val="24"/>
          <w:szCs w:val="24"/>
        </w:rPr>
        <w:t xml:space="preserve">структури вредности преговарачког поступка у </w:t>
      </w:r>
      <w:r w:rsidRPr="00F9719B">
        <w:rPr>
          <w:rFonts w:ascii="Times New Roman" w:hAnsi="Times New Roman" w:cs="Times New Roman"/>
          <w:sz w:val="24"/>
          <w:szCs w:val="24"/>
        </w:rPr>
        <w:t xml:space="preserve">2014. </w:t>
      </w:r>
      <w:r w:rsidR="006B04BB" w:rsidRPr="00F9719B">
        <w:rPr>
          <w:rFonts w:ascii="Times New Roman" w:hAnsi="Times New Roman" w:cs="Times New Roman"/>
          <w:sz w:val="24"/>
          <w:szCs w:val="24"/>
        </w:rPr>
        <w:t>г</w:t>
      </w:r>
      <w:r w:rsidRPr="00F9719B">
        <w:rPr>
          <w:rFonts w:ascii="Times New Roman" w:hAnsi="Times New Roman" w:cs="Times New Roman"/>
          <w:sz w:val="24"/>
          <w:szCs w:val="24"/>
        </w:rPr>
        <w:t>один</w:t>
      </w:r>
      <w:r w:rsidR="006B04BB" w:rsidRPr="00F9719B">
        <w:rPr>
          <w:rFonts w:ascii="Times New Roman" w:hAnsi="Times New Roman" w:cs="Times New Roman"/>
          <w:sz w:val="24"/>
          <w:szCs w:val="24"/>
        </w:rPr>
        <w:t>и доминирала јавна предузећа која су реализовала половину укупне вредности преговарачког поступка</w:t>
      </w:r>
      <w:r w:rsidRPr="00F9719B">
        <w:rPr>
          <w:rFonts w:ascii="Times New Roman" w:hAnsi="Times New Roman" w:cs="Times New Roman"/>
          <w:sz w:val="24"/>
          <w:szCs w:val="24"/>
        </w:rPr>
        <w:t>,</w:t>
      </w:r>
      <w:r w:rsidR="006B04BB" w:rsidRPr="00F9719B">
        <w:rPr>
          <w:rFonts w:ascii="Times New Roman" w:hAnsi="Times New Roman" w:cs="Times New Roman"/>
          <w:sz w:val="24"/>
          <w:szCs w:val="24"/>
        </w:rPr>
        <w:t xml:space="preserve"> док је на другом месту било здравство са 1/5 укупне вредности преговарачког поступка. Важно је напоменути да је код здравства дошло до значајн</w:t>
      </w:r>
      <w:r w:rsidR="00A83FB5" w:rsidRPr="00F9719B">
        <w:rPr>
          <w:rFonts w:ascii="Times New Roman" w:hAnsi="Times New Roman" w:cs="Times New Roman"/>
          <w:sz w:val="24"/>
          <w:szCs w:val="24"/>
        </w:rPr>
        <w:t xml:space="preserve">ог смањења учешћа у укупној вредности преговарачког поступка са 49% у 2013. години на 19% у 2014. години. Када се овај пад учешћа посматра у контексту значајног смањивања укупне вредности преговарачког поступка у 2014. у односу на 2013. годину (слика 5), произлази да је здравтсво реализовало седам пута мању вредност уговора закључених у преговарачком поступку у 2014. у односу на 2013. годину. </w:t>
      </w:r>
      <w:r w:rsidR="00064181" w:rsidRPr="00F9719B">
        <w:rPr>
          <w:rFonts w:ascii="Times New Roman" w:hAnsi="Times New Roman" w:cs="Times New Roman"/>
          <w:sz w:val="24"/>
          <w:szCs w:val="24"/>
        </w:rPr>
        <w:t>Разлог за то је и централизација набавки у здравству од стране РФЗО-а. Наиме, оквирним споразумима које је закључивао РФЗО обухваћене су и набавке за које су здравствене установе у претходном периоду најчешће спроводиле преговарачки поступ</w:t>
      </w:r>
      <w:r w:rsidR="00251296" w:rsidRPr="00F9719B">
        <w:rPr>
          <w:rFonts w:ascii="Times New Roman" w:hAnsi="Times New Roman" w:cs="Times New Roman"/>
          <w:sz w:val="24"/>
          <w:szCs w:val="24"/>
          <w:lang w:val="sr-Cyrl-RS"/>
        </w:rPr>
        <w:t>ак</w:t>
      </w:r>
      <w:r w:rsidR="00064181" w:rsidRPr="00F9719B">
        <w:rPr>
          <w:rFonts w:ascii="Times New Roman" w:hAnsi="Times New Roman" w:cs="Times New Roman"/>
          <w:sz w:val="24"/>
          <w:szCs w:val="24"/>
        </w:rPr>
        <w:t xml:space="preserve"> због постојања искључивих права понуђача на тржишту. </w:t>
      </w:r>
      <w:r w:rsidR="00CE6508" w:rsidRPr="00F9719B">
        <w:rPr>
          <w:rFonts w:ascii="Times New Roman" w:hAnsi="Times New Roman" w:cs="Times New Roman"/>
          <w:sz w:val="24"/>
          <w:szCs w:val="24"/>
        </w:rPr>
        <w:t>Јавна предузећа</w:t>
      </w:r>
      <w:r w:rsidR="00A83FB5" w:rsidRPr="00F9719B">
        <w:rPr>
          <w:rFonts w:ascii="Times New Roman" w:hAnsi="Times New Roman" w:cs="Times New Roman"/>
          <w:sz w:val="24"/>
          <w:szCs w:val="24"/>
        </w:rPr>
        <w:t xml:space="preserve">, </w:t>
      </w:r>
      <w:r w:rsidR="00CE6508" w:rsidRPr="00F9719B">
        <w:rPr>
          <w:rFonts w:ascii="Times New Roman" w:hAnsi="Times New Roman" w:cs="Times New Roman"/>
          <w:sz w:val="24"/>
          <w:szCs w:val="24"/>
        </w:rPr>
        <w:t>иако имају доминантн</w:t>
      </w:r>
      <w:r w:rsidR="00A83FB5" w:rsidRPr="00F9719B">
        <w:rPr>
          <w:rFonts w:ascii="Times New Roman" w:hAnsi="Times New Roman" w:cs="Times New Roman"/>
          <w:sz w:val="24"/>
          <w:szCs w:val="24"/>
        </w:rPr>
        <w:t xml:space="preserve">о </w:t>
      </w:r>
      <w:r w:rsidR="00CE6508" w:rsidRPr="00F9719B">
        <w:rPr>
          <w:rFonts w:ascii="Times New Roman" w:hAnsi="Times New Roman" w:cs="Times New Roman"/>
          <w:sz w:val="24"/>
          <w:szCs w:val="24"/>
        </w:rPr>
        <w:t xml:space="preserve">учешће у укупној вредности преговарачког поступка, преполовила су вредност уговора додељених у овој врсти поступка у 2014. у односу на 2013. годину што </w:t>
      </w:r>
      <w:r w:rsidR="008A5A10" w:rsidRPr="00F9719B">
        <w:rPr>
          <w:rFonts w:ascii="Times New Roman" w:hAnsi="Times New Roman" w:cs="Times New Roman"/>
          <w:sz w:val="24"/>
          <w:szCs w:val="24"/>
        </w:rPr>
        <w:t xml:space="preserve">јасно </w:t>
      </w:r>
      <w:r w:rsidR="00CE6508" w:rsidRPr="00F9719B">
        <w:rPr>
          <w:rFonts w:ascii="Times New Roman" w:hAnsi="Times New Roman" w:cs="Times New Roman"/>
          <w:sz w:val="24"/>
          <w:szCs w:val="24"/>
        </w:rPr>
        <w:t xml:space="preserve">указује на значајну промену у примени </w:t>
      </w:r>
      <w:r w:rsidR="008A5A10" w:rsidRPr="00F9719B">
        <w:rPr>
          <w:rFonts w:ascii="Times New Roman" w:hAnsi="Times New Roman" w:cs="Times New Roman"/>
          <w:sz w:val="24"/>
          <w:szCs w:val="24"/>
        </w:rPr>
        <w:t>неконкурентног поступка што је био један од приорит</w:t>
      </w:r>
      <w:r w:rsidR="00251296" w:rsidRPr="00F9719B">
        <w:rPr>
          <w:rFonts w:ascii="Times New Roman" w:hAnsi="Times New Roman" w:cs="Times New Roman"/>
          <w:sz w:val="24"/>
          <w:szCs w:val="24"/>
          <w:lang w:val="sr-Cyrl-RS"/>
        </w:rPr>
        <w:t>ета</w:t>
      </w:r>
      <w:r w:rsidR="008A5A10" w:rsidRPr="00F9719B">
        <w:rPr>
          <w:rFonts w:ascii="Times New Roman" w:hAnsi="Times New Roman" w:cs="Times New Roman"/>
          <w:sz w:val="24"/>
          <w:szCs w:val="24"/>
        </w:rPr>
        <w:t xml:space="preserve"> у раду Управе за јавне набавке. </w:t>
      </w:r>
    </w:p>
    <w:p w:rsidR="00FE45ED" w:rsidRPr="00F26787" w:rsidRDefault="00FE45ED" w:rsidP="00F55A41">
      <w:pPr>
        <w:jc w:val="both"/>
        <w:rPr>
          <w:rFonts w:ascii="Times New Roman" w:hAnsi="Times New Roman" w:cs="Times New Roman"/>
          <w:sz w:val="24"/>
          <w:szCs w:val="24"/>
        </w:rPr>
      </w:pPr>
      <w:r>
        <w:rPr>
          <w:rFonts w:ascii="Times New Roman" w:hAnsi="Times New Roman" w:cs="Times New Roman"/>
          <w:sz w:val="24"/>
          <w:szCs w:val="24"/>
        </w:rPr>
        <w:t xml:space="preserve">Полазећи од тога да је смањивање учешћа преговарачког </w:t>
      </w:r>
      <w:r w:rsidR="0090117B">
        <w:rPr>
          <w:rFonts w:ascii="Times New Roman" w:hAnsi="Times New Roman" w:cs="Times New Roman"/>
          <w:sz w:val="24"/>
          <w:szCs w:val="24"/>
        </w:rPr>
        <w:t>поступка без објављивања, као не</w:t>
      </w:r>
      <w:r>
        <w:rPr>
          <w:rFonts w:ascii="Times New Roman" w:hAnsi="Times New Roman" w:cs="Times New Roman"/>
          <w:sz w:val="24"/>
          <w:szCs w:val="24"/>
        </w:rPr>
        <w:t>транспарентног и неконкурентног поступка, постављен</w:t>
      </w:r>
      <w:r w:rsidR="00D563B4">
        <w:rPr>
          <w:rFonts w:ascii="Times New Roman" w:hAnsi="Times New Roman" w:cs="Times New Roman"/>
          <w:sz w:val="24"/>
          <w:szCs w:val="24"/>
        </w:rPr>
        <w:t>о</w:t>
      </w:r>
      <w:r>
        <w:rPr>
          <w:rFonts w:ascii="Times New Roman" w:hAnsi="Times New Roman" w:cs="Times New Roman"/>
          <w:sz w:val="24"/>
          <w:szCs w:val="24"/>
        </w:rPr>
        <w:t xml:space="preserve"> као циљ у </w:t>
      </w:r>
      <w:r w:rsidR="000C4D92">
        <w:rPr>
          <w:rFonts w:ascii="Times New Roman" w:hAnsi="Times New Roman" w:cs="Times New Roman"/>
          <w:sz w:val="24"/>
          <w:szCs w:val="24"/>
        </w:rPr>
        <w:t>Годишњем плану рада Владе за 2015. годину и</w:t>
      </w:r>
      <w:r>
        <w:rPr>
          <w:rFonts w:ascii="Times New Roman" w:hAnsi="Times New Roman" w:cs="Times New Roman"/>
          <w:sz w:val="24"/>
          <w:szCs w:val="24"/>
        </w:rPr>
        <w:t xml:space="preserve"> као обавеза у спровођењу Акционог плана за испуњавање препорука из Годишњег извештаја о напретку Европске комисије, важно је </w:t>
      </w:r>
      <w:r w:rsidR="00D563B4">
        <w:rPr>
          <w:rFonts w:ascii="Times New Roman" w:hAnsi="Times New Roman" w:cs="Times New Roman"/>
          <w:sz w:val="24"/>
          <w:szCs w:val="24"/>
        </w:rPr>
        <w:t xml:space="preserve">да се </w:t>
      </w:r>
      <w:r w:rsidR="001A74A8">
        <w:rPr>
          <w:rFonts w:ascii="Times New Roman" w:hAnsi="Times New Roman" w:cs="Times New Roman"/>
          <w:sz w:val="24"/>
          <w:szCs w:val="24"/>
        </w:rPr>
        <w:t xml:space="preserve">и </w:t>
      </w:r>
      <w:r w:rsidR="00D563B4">
        <w:rPr>
          <w:rFonts w:ascii="Times New Roman" w:hAnsi="Times New Roman" w:cs="Times New Roman"/>
          <w:sz w:val="24"/>
          <w:szCs w:val="24"/>
        </w:rPr>
        <w:t xml:space="preserve">у </w:t>
      </w:r>
      <w:r w:rsidR="001A74A8">
        <w:rPr>
          <w:rFonts w:ascii="Times New Roman" w:hAnsi="Times New Roman" w:cs="Times New Roman"/>
          <w:sz w:val="24"/>
          <w:szCs w:val="24"/>
        </w:rPr>
        <w:t xml:space="preserve">предстојећем периоду </w:t>
      </w:r>
      <w:r w:rsidR="00D563B4">
        <w:rPr>
          <w:rFonts w:ascii="Times New Roman" w:hAnsi="Times New Roman" w:cs="Times New Roman"/>
          <w:sz w:val="24"/>
          <w:szCs w:val="24"/>
        </w:rPr>
        <w:t xml:space="preserve">пажња посвети </w:t>
      </w:r>
      <w:r w:rsidR="00355DAF">
        <w:rPr>
          <w:rFonts w:ascii="Times New Roman" w:hAnsi="Times New Roman" w:cs="Times New Roman"/>
          <w:sz w:val="24"/>
          <w:szCs w:val="24"/>
        </w:rPr>
        <w:t xml:space="preserve">правилној процени оправданости </w:t>
      </w:r>
      <w:r w:rsidR="00D563B4">
        <w:rPr>
          <w:rFonts w:ascii="Times New Roman" w:hAnsi="Times New Roman" w:cs="Times New Roman"/>
          <w:sz w:val="24"/>
          <w:szCs w:val="24"/>
        </w:rPr>
        <w:t>преговарачког поступка</w:t>
      </w:r>
      <w:r w:rsidR="00355DAF">
        <w:rPr>
          <w:rFonts w:ascii="Times New Roman" w:hAnsi="Times New Roman" w:cs="Times New Roman"/>
          <w:sz w:val="24"/>
          <w:szCs w:val="24"/>
        </w:rPr>
        <w:t xml:space="preserve"> и превенцији </w:t>
      </w:r>
      <w:r w:rsidR="001C4CC4">
        <w:rPr>
          <w:rFonts w:ascii="Times New Roman" w:hAnsi="Times New Roman" w:cs="Times New Roman"/>
          <w:sz w:val="24"/>
          <w:szCs w:val="24"/>
        </w:rPr>
        <w:t xml:space="preserve">његове </w:t>
      </w:r>
      <w:r w:rsidR="00355DAF">
        <w:rPr>
          <w:rFonts w:ascii="Times New Roman" w:hAnsi="Times New Roman" w:cs="Times New Roman"/>
          <w:sz w:val="24"/>
          <w:szCs w:val="24"/>
        </w:rPr>
        <w:t>неоправдане примене</w:t>
      </w:r>
      <w:r w:rsidR="00F26787">
        <w:rPr>
          <w:rFonts w:ascii="Times New Roman" w:hAnsi="Times New Roman" w:cs="Times New Roman"/>
          <w:sz w:val="24"/>
          <w:szCs w:val="24"/>
        </w:rPr>
        <w:t>.</w:t>
      </w:r>
    </w:p>
    <w:p w:rsidR="00BF0CEA" w:rsidRPr="00390A04" w:rsidRDefault="003837F0" w:rsidP="00BE7463">
      <w:pPr>
        <w:jc w:val="center"/>
        <w:rPr>
          <w:rFonts w:ascii="Times New Roman" w:hAnsi="Times New Roman" w:cs="Times New Roman"/>
          <w:sz w:val="24"/>
          <w:szCs w:val="24"/>
        </w:rPr>
      </w:pPr>
      <w:r w:rsidRPr="00555D0D">
        <w:rPr>
          <w:rFonts w:ascii="Times New Roman" w:hAnsi="Times New Roman" w:cs="Times New Roman"/>
          <w:b/>
          <w:color w:val="000000" w:themeColor="text1"/>
          <w:sz w:val="24"/>
          <w:szCs w:val="24"/>
        </w:rPr>
        <w:t xml:space="preserve">Слика </w:t>
      </w:r>
      <w:r w:rsidR="001A74A8" w:rsidRPr="00555D0D">
        <w:rPr>
          <w:rFonts w:ascii="Times New Roman" w:hAnsi="Times New Roman" w:cs="Times New Roman"/>
          <w:b/>
          <w:color w:val="000000" w:themeColor="text1"/>
          <w:sz w:val="24"/>
          <w:szCs w:val="24"/>
        </w:rPr>
        <w:t>5</w:t>
      </w:r>
    </w:p>
    <w:bookmarkStart w:id="6" w:name="_MON_1489926798"/>
    <w:bookmarkEnd w:id="6"/>
    <w:p w:rsidR="00555D0D" w:rsidRDefault="001B0459" w:rsidP="00BE7463">
      <w:pPr>
        <w:jc w:val="center"/>
        <w:rPr>
          <w:rFonts w:ascii="Times New Roman" w:hAnsi="Times New Roman" w:cs="Times New Roman"/>
          <w:color w:val="FF0000"/>
          <w:sz w:val="24"/>
          <w:szCs w:val="24"/>
        </w:rPr>
      </w:pPr>
      <w:r>
        <w:object w:dxaOrig="7898" w:dyaOrig="5111">
          <v:shape id="_x0000_i1034" type="#_x0000_t75" style="width:394.5pt;height:226.5pt" o:ole="">
            <v:imagedata r:id="rId23" o:title=""/>
          </v:shape>
          <o:OLEObject Type="Embed" ProgID="Excel.Sheet.12" ShapeID="_x0000_i1034" DrawAspect="Content" ObjectID="_1491048513" r:id="rId24"/>
        </w:object>
      </w:r>
    </w:p>
    <w:p w:rsidR="00831576" w:rsidRPr="005F10EF" w:rsidRDefault="00BF0CEA" w:rsidP="00F55A41">
      <w:pPr>
        <w:jc w:val="both"/>
        <w:rPr>
          <w:rFonts w:ascii="Times New Roman" w:hAnsi="Times New Roman" w:cs="Times New Roman"/>
          <w:color w:val="000000" w:themeColor="text1"/>
          <w:sz w:val="24"/>
          <w:szCs w:val="24"/>
        </w:rPr>
      </w:pPr>
      <w:r w:rsidRPr="005F10EF">
        <w:rPr>
          <w:rFonts w:ascii="Times New Roman" w:hAnsi="Times New Roman" w:cs="Times New Roman"/>
          <w:color w:val="000000" w:themeColor="text1"/>
          <w:sz w:val="24"/>
          <w:szCs w:val="24"/>
        </w:rPr>
        <w:t xml:space="preserve">Као што се на Слици </w:t>
      </w:r>
      <w:r w:rsidR="001A74A8" w:rsidRPr="005F10EF">
        <w:rPr>
          <w:rFonts w:ascii="Times New Roman" w:hAnsi="Times New Roman" w:cs="Times New Roman"/>
          <w:color w:val="000000" w:themeColor="text1"/>
          <w:sz w:val="24"/>
          <w:szCs w:val="24"/>
        </w:rPr>
        <w:t>5</w:t>
      </w:r>
      <w:r w:rsidRPr="005F10EF">
        <w:rPr>
          <w:rFonts w:ascii="Times New Roman" w:hAnsi="Times New Roman" w:cs="Times New Roman"/>
          <w:color w:val="000000" w:themeColor="text1"/>
          <w:sz w:val="24"/>
          <w:szCs w:val="24"/>
        </w:rPr>
        <w:t xml:space="preserve"> може видети, вредност преговарачког поступка без објављивања јавног позива </w:t>
      </w:r>
      <w:r w:rsidR="005F10EF" w:rsidRPr="005F10EF">
        <w:rPr>
          <w:rFonts w:ascii="Times New Roman" w:hAnsi="Times New Roman" w:cs="Times New Roman"/>
          <w:color w:val="000000" w:themeColor="text1"/>
          <w:sz w:val="24"/>
          <w:szCs w:val="24"/>
        </w:rPr>
        <w:t>смањена је</w:t>
      </w:r>
      <w:r w:rsidR="001D7527" w:rsidRPr="005F10EF">
        <w:rPr>
          <w:rFonts w:ascii="Times New Roman" w:hAnsi="Times New Roman" w:cs="Times New Roman"/>
          <w:color w:val="000000" w:themeColor="text1"/>
          <w:sz w:val="24"/>
          <w:szCs w:val="24"/>
        </w:rPr>
        <w:t xml:space="preserve"> у </w:t>
      </w:r>
      <w:r w:rsidR="00555D0D" w:rsidRPr="005F10EF">
        <w:rPr>
          <w:rFonts w:ascii="Times New Roman" w:hAnsi="Times New Roman" w:cs="Times New Roman"/>
          <w:color w:val="000000" w:themeColor="text1"/>
          <w:sz w:val="24"/>
          <w:szCs w:val="24"/>
        </w:rPr>
        <w:t>2014. години</w:t>
      </w:r>
      <w:r w:rsidR="001D7527" w:rsidRPr="005F10EF">
        <w:rPr>
          <w:rFonts w:ascii="Times New Roman" w:hAnsi="Times New Roman" w:cs="Times New Roman"/>
          <w:color w:val="000000" w:themeColor="text1"/>
          <w:sz w:val="24"/>
          <w:szCs w:val="24"/>
        </w:rPr>
        <w:t xml:space="preserve"> за </w:t>
      </w:r>
      <w:r w:rsidR="00555D0D" w:rsidRPr="005F10EF">
        <w:rPr>
          <w:rFonts w:ascii="Times New Roman" w:hAnsi="Times New Roman" w:cs="Times New Roman"/>
          <w:color w:val="000000" w:themeColor="text1"/>
          <w:sz w:val="24"/>
          <w:szCs w:val="24"/>
        </w:rPr>
        <w:t xml:space="preserve">скоро три пута </w:t>
      </w:r>
      <w:r w:rsidR="001D7527" w:rsidRPr="005F10EF">
        <w:rPr>
          <w:rFonts w:ascii="Times New Roman" w:hAnsi="Times New Roman" w:cs="Times New Roman"/>
          <w:color w:val="000000" w:themeColor="text1"/>
          <w:sz w:val="24"/>
          <w:szCs w:val="24"/>
        </w:rPr>
        <w:t>у односу на 2013. годин</w:t>
      </w:r>
      <w:r w:rsidR="00555D0D" w:rsidRPr="005F10EF">
        <w:rPr>
          <w:rFonts w:ascii="Times New Roman" w:hAnsi="Times New Roman" w:cs="Times New Roman"/>
          <w:color w:val="000000" w:themeColor="text1"/>
          <w:sz w:val="24"/>
          <w:szCs w:val="24"/>
        </w:rPr>
        <w:t>у</w:t>
      </w:r>
      <w:r w:rsidR="001D7527" w:rsidRPr="005F10EF">
        <w:rPr>
          <w:rFonts w:ascii="Times New Roman" w:hAnsi="Times New Roman" w:cs="Times New Roman"/>
          <w:color w:val="000000" w:themeColor="text1"/>
          <w:sz w:val="24"/>
          <w:szCs w:val="24"/>
        </w:rPr>
        <w:t>. П</w:t>
      </w:r>
      <w:r w:rsidR="00EF15C0" w:rsidRPr="005F10EF">
        <w:rPr>
          <w:rFonts w:ascii="Times New Roman" w:hAnsi="Times New Roman" w:cs="Times New Roman"/>
          <w:color w:val="000000" w:themeColor="text1"/>
          <w:sz w:val="24"/>
          <w:szCs w:val="24"/>
        </w:rPr>
        <w:t>роиз</w:t>
      </w:r>
      <w:r w:rsidR="00C62D8D" w:rsidRPr="005F10EF">
        <w:rPr>
          <w:rFonts w:ascii="Times New Roman" w:hAnsi="Times New Roman" w:cs="Times New Roman"/>
          <w:color w:val="000000" w:themeColor="text1"/>
          <w:sz w:val="24"/>
          <w:szCs w:val="24"/>
        </w:rPr>
        <w:t>и</w:t>
      </w:r>
      <w:r w:rsidR="00EF15C0" w:rsidRPr="005F10EF">
        <w:rPr>
          <w:rFonts w:ascii="Times New Roman" w:hAnsi="Times New Roman" w:cs="Times New Roman"/>
          <w:color w:val="000000" w:themeColor="text1"/>
          <w:sz w:val="24"/>
          <w:szCs w:val="24"/>
        </w:rPr>
        <w:t xml:space="preserve">лази да </w:t>
      </w:r>
      <w:r w:rsidR="003624D9" w:rsidRPr="005F10EF">
        <w:rPr>
          <w:rFonts w:ascii="Times New Roman" w:hAnsi="Times New Roman" w:cs="Times New Roman"/>
          <w:color w:val="000000" w:themeColor="text1"/>
          <w:sz w:val="24"/>
          <w:szCs w:val="24"/>
        </w:rPr>
        <w:t xml:space="preserve">је </w:t>
      </w:r>
      <w:r w:rsidR="005F10EF" w:rsidRPr="005F10EF">
        <w:rPr>
          <w:rFonts w:ascii="Times New Roman" w:hAnsi="Times New Roman" w:cs="Times New Roman"/>
          <w:color w:val="000000" w:themeColor="text1"/>
          <w:sz w:val="24"/>
          <w:szCs w:val="24"/>
        </w:rPr>
        <w:t xml:space="preserve">значајно мање новца трошено кроз неконкурентни поступак </w:t>
      </w:r>
      <w:r w:rsidR="005F10EF">
        <w:rPr>
          <w:rFonts w:ascii="Times New Roman" w:hAnsi="Times New Roman" w:cs="Times New Roman"/>
          <w:color w:val="000000" w:themeColor="text1"/>
          <w:sz w:val="24"/>
          <w:szCs w:val="24"/>
        </w:rPr>
        <w:t xml:space="preserve">као резултат </w:t>
      </w:r>
      <w:r w:rsidR="00E27757">
        <w:rPr>
          <w:rFonts w:ascii="Times New Roman" w:hAnsi="Times New Roman" w:cs="Times New Roman"/>
          <w:color w:val="000000" w:themeColor="text1"/>
          <w:sz w:val="24"/>
          <w:szCs w:val="24"/>
        </w:rPr>
        <w:t>приорит</w:t>
      </w:r>
      <w:r w:rsidR="004913EF">
        <w:rPr>
          <w:rFonts w:ascii="Times New Roman" w:hAnsi="Times New Roman" w:cs="Times New Roman"/>
          <w:color w:val="000000" w:themeColor="text1"/>
          <w:sz w:val="24"/>
          <w:szCs w:val="24"/>
          <w:lang w:val="sr-Cyrl-RS"/>
        </w:rPr>
        <w:t>ет</w:t>
      </w:r>
      <w:r w:rsidR="00E27757">
        <w:rPr>
          <w:rFonts w:ascii="Times New Roman" w:hAnsi="Times New Roman" w:cs="Times New Roman"/>
          <w:color w:val="000000" w:themeColor="text1"/>
          <w:sz w:val="24"/>
          <w:szCs w:val="24"/>
        </w:rPr>
        <w:t xml:space="preserve">ног значаја који је Управа за јавне набавке дала овој превентивној регулаторној активности из своје надлежности. </w:t>
      </w:r>
    </w:p>
    <w:p w:rsidR="006F77C5" w:rsidRPr="00F9719B" w:rsidRDefault="00D74155" w:rsidP="00F55A4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Поред смањења вредности уговора додељених у преговарачком поступку, важно је сагледати и промене у структури, посматрано по основама за преговарање. У 2014. години </w:t>
      </w:r>
      <w:r w:rsidR="002A4357">
        <w:rPr>
          <w:rFonts w:ascii="Times New Roman" w:hAnsi="Times New Roman" w:cs="Times New Roman"/>
          <w:sz w:val="24"/>
          <w:szCs w:val="24"/>
        </w:rPr>
        <w:t xml:space="preserve">најзаступљенији је био преговарачки поступак </w:t>
      </w:r>
      <w:r w:rsidR="00B71124">
        <w:rPr>
          <w:rFonts w:ascii="Times New Roman" w:hAnsi="Times New Roman" w:cs="Times New Roman"/>
          <w:sz w:val="24"/>
          <w:szCs w:val="24"/>
        </w:rPr>
        <w:t xml:space="preserve">по </w:t>
      </w:r>
      <w:r w:rsidR="00F87BE7">
        <w:rPr>
          <w:rFonts w:ascii="Times New Roman" w:hAnsi="Times New Roman" w:cs="Times New Roman"/>
          <w:sz w:val="24"/>
          <w:szCs w:val="24"/>
        </w:rPr>
        <w:t>основу „ванредних и непредвиђених околности“ (тзв.„хитност“)</w:t>
      </w:r>
      <w:r w:rsidR="004913EF">
        <w:rPr>
          <w:rFonts w:ascii="Times New Roman" w:hAnsi="Times New Roman" w:cs="Times New Roman"/>
          <w:sz w:val="24"/>
          <w:szCs w:val="24"/>
          <w:lang w:val="sr-Cyrl-RS"/>
        </w:rPr>
        <w:t xml:space="preserve"> </w:t>
      </w:r>
      <w:r w:rsidR="00F87BE7">
        <w:rPr>
          <w:rFonts w:ascii="Times New Roman" w:hAnsi="Times New Roman" w:cs="Times New Roman"/>
          <w:sz w:val="24"/>
          <w:szCs w:val="24"/>
        </w:rPr>
        <w:t xml:space="preserve">са </w:t>
      </w:r>
      <w:r w:rsidR="00B71124">
        <w:rPr>
          <w:rFonts w:ascii="Times New Roman" w:hAnsi="Times New Roman" w:cs="Times New Roman"/>
          <w:sz w:val="24"/>
          <w:szCs w:val="24"/>
        </w:rPr>
        <w:t xml:space="preserve">6,8 милијарди динара </w:t>
      </w:r>
      <w:r w:rsidR="005B1D42">
        <w:rPr>
          <w:rFonts w:ascii="Times New Roman" w:hAnsi="Times New Roman" w:cs="Times New Roman"/>
          <w:sz w:val="24"/>
          <w:szCs w:val="24"/>
        </w:rPr>
        <w:t xml:space="preserve">што је </w:t>
      </w:r>
      <w:r>
        <w:rPr>
          <w:rFonts w:ascii="Times New Roman" w:hAnsi="Times New Roman" w:cs="Times New Roman"/>
          <w:sz w:val="24"/>
          <w:szCs w:val="24"/>
        </w:rPr>
        <w:t xml:space="preserve">значило </w:t>
      </w:r>
      <w:r w:rsidR="005B1D42">
        <w:rPr>
          <w:rFonts w:ascii="Times New Roman" w:hAnsi="Times New Roman" w:cs="Times New Roman"/>
          <w:sz w:val="24"/>
          <w:szCs w:val="24"/>
        </w:rPr>
        <w:t xml:space="preserve">двоструко мање потрошеног новца по овом основу него у 2013. години (Слика 6). Ово је значајно јер је, у </w:t>
      </w:r>
      <w:r w:rsidR="00527B97">
        <w:rPr>
          <w:rFonts w:ascii="Times New Roman" w:hAnsi="Times New Roman" w:cs="Times New Roman"/>
          <w:sz w:val="24"/>
          <w:szCs w:val="24"/>
        </w:rPr>
        <w:t xml:space="preserve">другом полугодишту </w:t>
      </w:r>
      <w:r w:rsidR="005B1D42">
        <w:rPr>
          <w:rFonts w:ascii="Times New Roman" w:hAnsi="Times New Roman" w:cs="Times New Roman"/>
          <w:sz w:val="24"/>
          <w:szCs w:val="24"/>
        </w:rPr>
        <w:t xml:space="preserve">2013. </w:t>
      </w:r>
      <w:r w:rsidR="00527B97">
        <w:rPr>
          <w:rFonts w:ascii="Times New Roman" w:hAnsi="Times New Roman" w:cs="Times New Roman"/>
          <w:sz w:val="24"/>
          <w:szCs w:val="24"/>
        </w:rPr>
        <w:t>г</w:t>
      </w:r>
      <w:r w:rsidR="005B1D42">
        <w:rPr>
          <w:rFonts w:ascii="Times New Roman" w:hAnsi="Times New Roman" w:cs="Times New Roman"/>
          <w:sz w:val="24"/>
          <w:szCs w:val="24"/>
        </w:rPr>
        <w:t>один</w:t>
      </w:r>
      <w:r w:rsidR="00527B97">
        <w:rPr>
          <w:rFonts w:ascii="Times New Roman" w:hAnsi="Times New Roman" w:cs="Times New Roman"/>
          <w:sz w:val="24"/>
          <w:szCs w:val="24"/>
        </w:rPr>
        <w:t>е, од када с</w:t>
      </w:r>
      <w:r w:rsidR="00981C0E">
        <w:rPr>
          <w:rFonts w:ascii="Times New Roman" w:hAnsi="Times New Roman" w:cs="Times New Roman"/>
          <w:sz w:val="24"/>
          <w:szCs w:val="24"/>
        </w:rPr>
        <w:t>у почели да с</w:t>
      </w:r>
      <w:r w:rsidR="00527B97">
        <w:rPr>
          <w:rFonts w:ascii="Times New Roman" w:hAnsi="Times New Roman" w:cs="Times New Roman"/>
          <w:sz w:val="24"/>
          <w:szCs w:val="24"/>
        </w:rPr>
        <w:t>е региструју ефекти претходно датих</w:t>
      </w:r>
      <w:r w:rsidR="001C7626">
        <w:rPr>
          <w:rFonts w:ascii="Times New Roman" w:hAnsi="Times New Roman" w:cs="Times New Roman"/>
          <w:sz w:val="24"/>
          <w:szCs w:val="24"/>
        </w:rPr>
        <w:t xml:space="preserve"> мишљења Управе</w:t>
      </w:r>
      <w:r w:rsidR="00527B97">
        <w:rPr>
          <w:rFonts w:ascii="Times New Roman" w:hAnsi="Times New Roman" w:cs="Times New Roman"/>
          <w:sz w:val="24"/>
          <w:szCs w:val="24"/>
        </w:rPr>
        <w:t>, већ остварено смањење од око 50% у односу на прво полугодиште 2013</w:t>
      </w:r>
      <w:r w:rsidR="004913EF">
        <w:rPr>
          <w:rFonts w:ascii="Times New Roman" w:hAnsi="Times New Roman" w:cs="Times New Roman"/>
          <w:sz w:val="24"/>
          <w:szCs w:val="24"/>
          <w:lang w:val="sr-Cyrl-RS"/>
        </w:rPr>
        <w:t>.</w:t>
      </w:r>
      <w:r w:rsidR="00981C0E">
        <w:rPr>
          <w:rStyle w:val="FootnoteReference"/>
          <w:rFonts w:ascii="Times New Roman" w:hAnsi="Times New Roman" w:cs="Times New Roman"/>
          <w:sz w:val="24"/>
          <w:szCs w:val="24"/>
        </w:rPr>
        <w:footnoteReference w:id="7"/>
      </w:r>
      <w:r w:rsidR="00527B97">
        <w:rPr>
          <w:rFonts w:ascii="Times New Roman" w:hAnsi="Times New Roman" w:cs="Times New Roman"/>
          <w:sz w:val="24"/>
          <w:szCs w:val="24"/>
        </w:rPr>
        <w:t xml:space="preserve">. Произлази да су </w:t>
      </w:r>
      <w:r w:rsidR="006F77C5">
        <w:rPr>
          <w:rFonts w:ascii="Times New Roman" w:hAnsi="Times New Roman" w:cs="Times New Roman"/>
          <w:sz w:val="24"/>
          <w:szCs w:val="24"/>
        </w:rPr>
        <w:t xml:space="preserve">се </w:t>
      </w:r>
      <w:r w:rsidR="00527B97">
        <w:rPr>
          <w:rFonts w:ascii="Times New Roman" w:hAnsi="Times New Roman" w:cs="Times New Roman"/>
          <w:sz w:val="24"/>
          <w:szCs w:val="24"/>
        </w:rPr>
        <w:t>позитивни ефекти ограничавања трошења средстава у преговарачком поступку</w:t>
      </w:r>
      <w:r w:rsidR="004913EF">
        <w:rPr>
          <w:rFonts w:ascii="Times New Roman" w:hAnsi="Times New Roman" w:cs="Times New Roman"/>
          <w:sz w:val="24"/>
          <w:szCs w:val="24"/>
          <w:lang w:val="sr-Cyrl-RS"/>
        </w:rPr>
        <w:t xml:space="preserve">, </w:t>
      </w:r>
      <w:r w:rsidR="006F77C5">
        <w:rPr>
          <w:rFonts w:ascii="Times New Roman" w:hAnsi="Times New Roman" w:cs="Times New Roman"/>
          <w:sz w:val="24"/>
          <w:szCs w:val="24"/>
        </w:rPr>
        <w:t>по основу превентивних мера Управе</w:t>
      </w:r>
      <w:r w:rsidR="00CF4373">
        <w:rPr>
          <w:rFonts w:ascii="Times New Roman" w:hAnsi="Times New Roman" w:cs="Times New Roman"/>
          <w:sz w:val="24"/>
          <w:szCs w:val="24"/>
        </w:rPr>
        <w:t>,</w:t>
      </w:r>
      <w:r w:rsidR="006F77C5">
        <w:rPr>
          <w:rFonts w:ascii="Times New Roman" w:hAnsi="Times New Roman" w:cs="Times New Roman"/>
          <w:sz w:val="24"/>
          <w:szCs w:val="24"/>
        </w:rPr>
        <w:t xml:space="preserve"> наставили и у 2014. години, што указује да је успостављен системски и одржив регулаторни механизам, односно да није реч о </w:t>
      </w:r>
      <w:r w:rsidR="006F77C5" w:rsidRPr="006F77C5">
        <w:rPr>
          <w:rFonts w:ascii="Times New Roman" w:hAnsi="Times New Roman" w:cs="Times New Roman"/>
          <w:i/>
          <w:sz w:val="24"/>
          <w:szCs w:val="24"/>
        </w:rPr>
        <w:t>ad hoc</w:t>
      </w:r>
      <w:r w:rsidR="004913EF">
        <w:rPr>
          <w:rFonts w:ascii="Times New Roman" w:hAnsi="Times New Roman" w:cs="Times New Roman"/>
          <w:i/>
          <w:sz w:val="24"/>
          <w:szCs w:val="24"/>
          <w:lang w:val="sr-Cyrl-RS"/>
        </w:rPr>
        <w:t xml:space="preserve"> </w:t>
      </w:r>
      <w:r w:rsidR="006F77C5">
        <w:rPr>
          <w:rFonts w:ascii="Times New Roman" w:hAnsi="Times New Roman" w:cs="Times New Roman"/>
          <w:sz w:val="24"/>
          <w:szCs w:val="24"/>
        </w:rPr>
        <w:t>ефектима.</w:t>
      </w:r>
      <w:r w:rsidR="004913EF">
        <w:rPr>
          <w:rFonts w:ascii="Times New Roman" w:hAnsi="Times New Roman" w:cs="Times New Roman"/>
          <w:sz w:val="24"/>
          <w:szCs w:val="24"/>
          <w:lang w:val="sr-Cyrl-RS"/>
        </w:rPr>
        <w:t xml:space="preserve"> </w:t>
      </w:r>
      <w:r w:rsidR="00D93812" w:rsidRPr="00F9719B">
        <w:rPr>
          <w:rFonts w:ascii="Times New Roman" w:hAnsi="Times New Roman" w:cs="Times New Roman"/>
          <w:sz w:val="24"/>
          <w:szCs w:val="24"/>
        </w:rPr>
        <w:t xml:space="preserve">Примери уштеда остварених применом отвореног уместо преговарачког поступка бројни су. Здравствени центар „Драгиша Мишовић“ Чачак, ОЈ Општа болница Чачак набављала је у преговарачком поступку лабораторијски потрошни материјал </w:t>
      </w:r>
      <w:r w:rsidR="00DC1129" w:rsidRPr="00F9719B">
        <w:rPr>
          <w:rFonts w:ascii="Times New Roman" w:hAnsi="Times New Roman" w:cs="Times New Roman"/>
          <w:sz w:val="24"/>
          <w:szCs w:val="24"/>
        </w:rPr>
        <w:t xml:space="preserve">за </w:t>
      </w:r>
      <w:r w:rsidR="00D93812" w:rsidRPr="00F9719B">
        <w:rPr>
          <w:rFonts w:ascii="Times New Roman" w:hAnsi="Times New Roman" w:cs="Times New Roman"/>
          <w:sz w:val="24"/>
          <w:szCs w:val="24"/>
        </w:rPr>
        <w:t>31,2 милиона динара</w:t>
      </w:r>
      <w:r w:rsidR="00DC1129" w:rsidRPr="00F9719B">
        <w:rPr>
          <w:rFonts w:ascii="Times New Roman" w:hAnsi="Times New Roman" w:cs="Times New Roman"/>
          <w:sz w:val="24"/>
          <w:szCs w:val="24"/>
        </w:rPr>
        <w:t xml:space="preserve"> у 2013. години</w:t>
      </w:r>
      <w:r w:rsidR="00D93812" w:rsidRPr="00F9719B">
        <w:rPr>
          <w:rFonts w:ascii="Times New Roman" w:hAnsi="Times New Roman" w:cs="Times New Roman"/>
          <w:sz w:val="24"/>
          <w:szCs w:val="24"/>
        </w:rPr>
        <w:t xml:space="preserve">, да би у 2014. </w:t>
      </w:r>
      <w:r w:rsidR="00DC1129" w:rsidRPr="00F9719B">
        <w:rPr>
          <w:rFonts w:ascii="Times New Roman" w:hAnsi="Times New Roman" w:cs="Times New Roman"/>
          <w:sz w:val="24"/>
          <w:szCs w:val="24"/>
        </w:rPr>
        <w:t>г</w:t>
      </w:r>
      <w:r w:rsidR="00D93812" w:rsidRPr="00F9719B">
        <w:rPr>
          <w:rFonts w:ascii="Times New Roman" w:hAnsi="Times New Roman" w:cs="Times New Roman"/>
          <w:sz w:val="24"/>
          <w:szCs w:val="24"/>
        </w:rPr>
        <w:t>одини</w:t>
      </w:r>
      <w:r w:rsidR="00DC1129" w:rsidRPr="00F9719B">
        <w:rPr>
          <w:rFonts w:ascii="Times New Roman" w:hAnsi="Times New Roman" w:cs="Times New Roman"/>
          <w:sz w:val="24"/>
          <w:szCs w:val="24"/>
        </w:rPr>
        <w:t>,</w:t>
      </w:r>
      <w:r w:rsidR="004913EF" w:rsidRPr="00F9719B">
        <w:rPr>
          <w:rFonts w:ascii="Times New Roman" w:hAnsi="Times New Roman" w:cs="Times New Roman"/>
          <w:sz w:val="24"/>
          <w:szCs w:val="24"/>
          <w:lang w:val="sr-Cyrl-RS"/>
        </w:rPr>
        <w:t xml:space="preserve"> </w:t>
      </w:r>
      <w:r w:rsidR="00DC1129" w:rsidRPr="00F9719B">
        <w:rPr>
          <w:rFonts w:ascii="Times New Roman" w:hAnsi="Times New Roman" w:cs="Times New Roman"/>
          <w:sz w:val="24"/>
          <w:szCs w:val="24"/>
        </w:rPr>
        <w:t xml:space="preserve">исти предмет набавке, у истим количинама, у отвореном поступку, набавила за 19,3 милиона динара што је за 11,9 милиона динара (односно 38%) јефтиније. </w:t>
      </w:r>
      <w:r w:rsidR="00DF3CF1" w:rsidRPr="00F9719B">
        <w:rPr>
          <w:rFonts w:ascii="Times New Roman" w:hAnsi="Times New Roman" w:cs="Times New Roman"/>
          <w:sz w:val="24"/>
          <w:szCs w:val="24"/>
        </w:rPr>
        <w:t>Републички фонд за здравствено осигурање је, у 2013. години, у преговарачком поступку, набављао лек Капецитабин (</w:t>
      </w:r>
      <w:r w:rsidR="00DF3CF1" w:rsidRPr="00F9719B">
        <w:rPr>
          <w:rFonts w:ascii="Times New Roman" w:hAnsi="Times New Roman" w:cs="Times New Roman"/>
          <w:sz w:val="24"/>
          <w:szCs w:val="24"/>
          <w:lang w:val="en-US"/>
        </w:rPr>
        <w:t xml:space="preserve">Xeloda) </w:t>
      </w:r>
      <w:r w:rsidR="00DF3CF1" w:rsidRPr="00F9719B">
        <w:rPr>
          <w:rFonts w:ascii="Times New Roman" w:hAnsi="Times New Roman" w:cs="Times New Roman"/>
          <w:sz w:val="24"/>
          <w:szCs w:val="24"/>
        </w:rPr>
        <w:t xml:space="preserve">по цени од 239 динара по таблети, да би наредне године, у отвореном поступку исти лек набављао по 62 динара по таблети и то од истог понуђача, али који је био изложен ефективној конкуренцији. </w:t>
      </w:r>
    </w:p>
    <w:p w:rsidR="00D01A25" w:rsidRDefault="00CF4373" w:rsidP="00F55A41">
      <w:pPr>
        <w:jc w:val="both"/>
        <w:rPr>
          <w:rFonts w:ascii="Times New Roman" w:hAnsi="Times New Roman" w:cs="Times New Roman"/>
          <w:sz w:val="24"/>
          <w:szCs w:val="24"/>
          <w:lang w:val="sr-Cyrl-RS"/>
        </w:rPr>
      </w:pPr>
      <w:r>
        <w:rPr>
          <w:rFonts w:ascii="Times New Roman" w:hAnsi="Times New Roman" w:cs="Times New Roman"/>
          <w:sz w:val="24"/>
          <w:szCs w:val="24"/>
        </w:rPr>
        <w:t>Највеће смањење</w:t>
      </w:r>
      <w:r w:rsidR="00D01A25">
        <w:rPr>
          <w:rFonts w:ascii="Times New Roman" w:hAnsi="Times New Roman" w:cs="Times New Roman"/>
          <w:sz w:val="24"/>
          <w:szCs w:val="24"/>
          <w:lang w:val="sr-Cyrl-RS"/>
        </w:rPr>
        <w:t xml:space="preserve"> </w:t>
      </w:r>
      <w:r w:rsidR="00AF0E61">
        <w:rPr>
          <w:rFonts w:ascii="Times New Roman" w:hAnsi="Times New Roman" w:cs="Times New Roman"/>
          <w:sz w:val="24"/>
          <w:szCs w:val="24"/>
        </w:rPr>
        <w:t xml:space="preserve">вредности преговарачког поступка </w:t>
      </w:r>
      <w:r w:rsidR="00D74155">
        <w:rPr>
          <w:rFonts w:ascii="Times New Roman" w:hAnsi="Times New Roman" w:cs="Times New Roman"/>
          <w:sz w:val="24"/>
          <w:szCs w:val="24"/>
        </w:rPr>
        <w:t>у 2014. години у односу на 2013</w:t>
      </w:r>
      <w:r w:rsidR="00D82219">
        <w:rPr>
          <w:rFonts w:ascii="Times New Roman" w:hAnsi="Times New Roman" w:cs="Times New Roman"/>
          <w:sz w:val="24"/>
          <w:szCs w:val="24"/>
        </w:rPr>
        <w:t xml:space="preserve">, захваљујући негативним мишљењима Управе, </w:t>
      </w:r>
      <w:r>
        <w:rPr>
          <w:rFonts w:ascii="Times New Roman" w:hAnsi="Times New Roman" w:cs="Times New Roman"/>
          <w:sz w:val="24"/>
          <w:szCs w:val="24"/>
        </w:rPr>
        <w:t xml:space="preserve">остварено је </w:t>
      </w:r>
      <w:r w:rsidR="00D74155">
        <w:rPr>
          <w:rFonts w:ascii="Times New Roman" w:hAnsi="Times New Roman" w:cs="Times New Roman"/>
          <w:sz w:val="24"/>
          <w:szCs w:val="24"/>
        </w:rPr>
        <w:t>по основу</w:t>
      </w:r>
      <w:r>
        <w:rPr>
          <w:rFonts w:ascii="Times New Roman" w:hAnsi="Times New Roman" w:cs="Times New Roman"/>
          <w:sz w:val="24"/>
          <w:szCs w:val="24"/>
        </w:rPr>
        <w:t xml:space="preserve"> „техничких или уметничких разлога“ </w:t>
      </w:r>
      <w:r w:rsidR="00AF0E61">
        <w:rPr>
          <w:rFonts w:ascii="Times New Roman" w:hAnsi="Times New Roman" w:cs="Times New Roman"/>
          <w:sz w:val="24"/>
          <w:szCs w:val="24"/>
        </w:rPr>
        <w:t>и то с</w:t>
      </w:r>
      <w:r>
        <w:rPr>
          <w:rFonts w:ascii="Times New Roman" w:hAnsi="Times New Roman" w:cs="Times New Roman"/>
          <w:sz w:val="24"/>
          <w:szCs w:val="24"/>
        </w:rPr>
        <w:t>а 16,9 на 4,8 милијарде динара (Слика 6). Имајући у виду да је у овом случају искључена конкуренција и да се преговара само са једним понуђачем, смањење вредности закључених уговора по овом основу за три и по пута има</w:t>
      </w:r>
      <w:r w:rsidR="00D82219">
        <w:rPr>
          <w:rFonts w:ascii="Times New Roman" w:hAnsi="Times New Roman" w:cs="Times New Roman"/>
          <w:sz w:val="24"/>
          <w:szCs w:val="24"/>
        </w:rPr>
        <w:t xml:space="preserve">лоје </w:t>
      </w:r>
      <w:r>
        <w:rPr>
          <w:rFonts w:ascii="Times New Roman" w:hAnsi="Times New Roman" w:cs="Times New Roman"/>
          <w:sz w:val="24"/>
          <w:szCs w:val="24"/>
        </w:rPr>
        <w:t>велики значај за остваривање начела обезбеђивања конкуренције.</w:t>
      </w:r>
      <w:r w:rsidR="00DC1129">
        <w:rPr>
          <w:rFonts w:ascii="Times New Roman" w:hAnsi="Times New Roman" w:cs="Times New Roman"/>
          <w:sz w:val="24"/>
          <w:szCs w:val="24"/>
        </w:rPr>
        <w:t xml:space="preserve"> На тај начин је елиминисан један од значајних извора ограничења за слободну конкуренцију који настаје на страни наручиоца неоснованом применом преговарачког поступка. </w:t>
      </w: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Default="004C45C3" w:rsidP="004C45C3">
      <w:pPr>
        <w:tabs>
          <w:tab w:val="left" w:pos="1635"/>
        </w:tabs>
        <w:jc w:val="center"/>
        <w:rPr>
          <w:rFonts w:ascii="Times New Roman" w:hAnsi="Times New Roman" w:cs="Times New Roman"/>
          <w:b/>
          <w:sz w:val="24"/>
          <w:szCs w:val="24"/>
          <w:lang w:val="sr-Cyrl-RS"/>
        </w:rPr>
      </w:pPr>
    </w:p>
    <w:p w:rsidR="004C45C3" w:rsidRPr="004C45C3" w:rsidRDefault="004C45C3" w:rsidP="004C45C3">
      <w:pPr>
        <w:jc w:val="center"/>
        <w:rPr>
          <w:rFonts w:ascii="Times New Roman" w:hAnsi="Times New Roman" w:cs="Times New Roman"/>
          <w:sz w:val="24"/>
          <w:szCs w:val="24"/>
          <w:lang w:val="sr-Cyrl-RS"/>
        </w:rPr>
      </w:pPr>
      <w:r w:rsidRPr="00555D0D">
        <w:rPr>
          <w:rFonts w:ascii="Times New Roman" w:hAnsi="Times New Roman" w:cs="Times New Roman"/>
          <w:b/>
          <w:color w:val="000000" w:themeColor="text1"/>
          <w:sz w:val="24"/>
          <w:szCs w:val="24"/>
        </w:rPr>
        <w:lastRenderedPageBreak/>
        <w:t xml:space="preserve">Слика </w:t>
      </w:r>
      <w:r>
        <w:rPr>
          <w:rFonts w:ascii="Times New Roman" w:hAnsi="Times New Roman" w:cs="Times New Roman"/>
          <w:b/>
          <w:color w:val="000000" w:themeColor="text1"/>
          <w:sz w:val="24"/>
          <w:szCs w:val="24"/>
          <w:lang w:val="sr-Cyrl-RS"/>
        </w:rPr>
        <w:t>6</w:t>
      </w:r>
    </w:p>
    <w:p w:rsidR="00751D47" w:rsidRPr="00D01A25" w:rsidRDefault="004C45C3" w:rsidP="004C45C3">
      <w:pPr>
        <w:tabs>
          <w:tab w:val="left" w:pos="1635"/>
        </w:tabs>
        <w:rPr>
          <w:rFonts w:ascii="Times New Roman" w:hAnsi="Times New Roman" w:cs="Times New Roman"/>
          <w:b/>
          <w:sz w:val="24"/>
          <w:szCs w:val="24"/>
          <w:lang w:val="sr-Cyrl-RS"/>
        </w:rPr>
      </w:pPr>
      <w:r>
        <w:rPr>
          <w:rFonts w:ascii="Times New Roman" w:hAnsi="Times New Roman" w:cs="Times New Roman"/>
          <w:noProof/>
          <w:sz w:val="24"/>
          <w:szCs w:val="24"/>
        </w:rPr>
        <w:pict>
          <v:shape id="_x0000_s1039" type="#_x0000_t75" style="position:absolute;margin-left:72.75pt;margin-top:13.4pt;width:363pt;height:245pt;z-index:251659264">
            <v:imagedata r:id="rId25" o:title=""/>
            <w10:wrap type="square" side="right"/>
          </v:shape>
          <o:OLEObject Type="Embed" ProgID="Excel.Sheet.12" ShapeID="_x0000_s1039" DrawAspect="Content" ObjectID="_1491048522" r:id="rId26"/>
        </w:pict>
      </w:r>
    </w:p>
    <w:p w:rsidR="00751D47" w:rsidRDefault="00751D47" w:rsidP="00751D47">
      <w:pPr>
        <w:rPr>
          <w:rFonts w:ascii="Times New Roman" w:hAnsi="Times New Roman" w:cs="Times New Roman"/>
          <w:sz w:val="24"/>
          <w:szCs w:val="24"/>
          <w:lang w:val="sr-Cyrl-CS"/>
        </w:rPr>
      </w:pPr>
    </w:p>
    <w:p w:rsidR="00751D47" w:rsidRPr="00751D47" w:rsidRDefault="00751D47" w:rsidP="00751D47">
      <w:pPr>
        <w:rPr>
          <w:rFonts w:ascii="Times New Roman" w:hAnsi="Times New Roman" w:cs="Times New Roman"/>
          <w:b/>
          <w:sz w:val="24"/>
          <w:szCs w:val="24"/>
          <w:lang w:val="sr-Cyrl-CS"/>
        </w:rPr>
      </w:pPr>
      <w:r w:rsidRPr="00751D47">
        <w:rPr>
          <w:rFonts w:ascii="Times New Roman" w:hAnsi="Times New Roman" w:cs="Times New Roman"/>
          <w:b/>
          <w:sz w:val="24"/>
          <w:szCs w:val="24"/>
          <w:lang w:val="sr-Cyrl-CS"/>
        </w:rPr>
        <w:br/>
      </w:r>
      <w:bookmarkStart w:id="7" w:name="_MON_1490006160"/>
      <w:bookmarkEnd w:id="7"/>
    </w:p>
    <w:p w:rsidR="002A4357" w:rsidRPr="004C45C3" w:rsidRDefault="00AF2124" w:rsidP="00AF2124">
      <w:pPr>
        <w:rPr>
          <w:rFonts w:ascii="Times New Roman" w:hAnsi="Times New Roman" w:cs="Times New Roman"/>
          <w:sz w:val="24"/>
          <w:szCs w:val="24"/>
          <w:lang w:val="sr-Cyrl-RS"/>
        </w:rPr>
      </w:pPr>
      <w:r>
        <w:rPr>
          <w:rFonts w:ascii="Times New Roman" w:hAnsi="Times New Roman" w:cs="Times New Roman"/>
          <w:sz w:val="24"/>
          <w:szCs w:val="24"/>
        </w:rPr>
        <w:br w:type="textWrapping" w:clear="all"/>
      </w:r>
      <w:r w:rsidR="004C45C3">
        <w:rPr>
          <w:rFonts w:ascii="Times New Roman" w:hAnsi="Times New Roman" w:cs="Times New Roman"/>
          <w:sz w:val="24"/>
          <w:szCs w:val="24"/>
          <w:lang w:val="sr-Cyrl-RS"/>
        </w:rPr>
        <w:t xml:space="preserve">      </w:t>
      </w:r>
    </w:p>
    <w:p w:rsidR="00106E5F" w:rsidRPr="00106E5F" w:rsidRDefault="00AA5994" w:rsidP="00F55A41">
      <w:pPr>
        <w:jc w:val="both"/>
        <w:rPr>
          <w:rFonts w:ascii="Times New Roman" w:hAnsi="Times New Roman" w:cs="Times New Roman"/>
          <w:sz w:val="24"/>
          <w:szCs w:val="24"/>
          <w:lang w:val="sr-Cyrl-RS"/>
        </w:rPr>
      </w:pPr>
      <w:r>
        <w:rPr>
          <w:rFonts w:ascii="Times New Roman" w:hAnsi="Times New Roman" w:cs="Times New Roman"/>
          <w:color w:val="000000" w:themeColor="text1"/>
          <w:sz w:val="24"/>
          <w:szCs w:val="24"/>
        </w:rPr>
        <w:t xml:space="preserve">Ова два основа („преговарање са тачно одређеним понуђачем“ и „хитност“) чинила су </w:t>
      </w:r>
      <w:r w:rsidR="00F87BE7">
        <w:rPr>
          <w:rFonts w:ascii="Times New Roman" w:hAnsi="Times New Roman" w:cs="Times New Roman"/>
          <w:color w:val="000000" w:themeColor="text1"/>
          <w:sz w:val="24"/>
          <w:szCs w:val="24"/>
        </w:rPr>
        <w:t>97%</w:t>
      </w:r>
      <w:r>
        <w:rPr>
          <w:rFonts w:ascii="Times New Roman" w:hAnsi="Times New Roman" w:cs="Times New Roman"/>
          <w:color w:val="000000" w:themeColor="text1"/>
          <w:sz w:val="24"/>
          <w:szCs w:val="24"/>
        </w:rPr>
        <w:t xml:space="preserve"> укупне вредности </w:t>
      </w:r>
      <w:r w:rsidR="00003717">
        <w:rPr>
          <w:rFonts w:ascii="Times New Roman" w:hAnsi="Times New Roman" w:cs="Times New Roman"/>
          <w:color w:val="000000" w:themeColor="text1"/>
          <w:sz w:val="24"/>
          <w:szCs w:val="24"/>
        </w:rPr>
        <w:t xml:space="preserve">најзаступљенијих основа за примену </w:t>
      </w:r>
      <w:r>
        <w:rPr>
          <w:rFonts w:ascii="Times New Roman" w:hAnsi="Times New Roman" w:cs="Times New Roman"/>
          <w:color w:val="000000" w:themeColor="text1"/>
          <w:sz w:val="24"/>
          <w:szCs w:val="24"/>
        </w:rPr>
        <w:t xml:space="preserve">преговарачких поступака без објављивања јавног позива.  </w:t>
      </w:r>
      <w:r w:rsidR="00493943">
        <w:rPr>
          <w:rFonts w:ascii="Times New Roman" w:hAnsi="Times New Roman" w:cs="Times New Roman"/>
          <w:color w:val="000000" w:themeColor="text1"/>
          <w:sz w:val="24"/>
          <w:szCs w:val="24"/>
        </w:rPr>
        <w:t xml:space="preserve">Од посебног је значаја </w:t>
      </w:r>
      <w:r w:rsidR="00F87BE7">
        <w:rPr>
          <w:rFonts w:ascii="Times New Roman" w:hAnsi="Times New Roman" w:cs="Times New Roman"/>
          <w:color w:val="000000" w:themeColor="text1"/>
          <w:sz w:val="24"/>
          <w:szCs w:val="24"/>
        </w:rPr>
        <w:t xml:space="preserve">било то </w:t>
      </w:r>
      <w:r w:rsidR="00493943">
        <w:rPr>
          <w:rFonts w:ascii="Times New Roman" w:hAnsi="Times New Roman" w:cs="Times New Roman"/>
          <w:color w:val="000000" w:themeColor="text1"/>
          <w:sz w:val="24"/>
          <w:szCs w:val="24"/>
        </w:rPr>
        <w:t xml:space="preserve">што је Управа </w:t>
      </w:r>
      <w:r w:rsidR="007E7BA6">
        <w:rPr>
          <w:rFonts w:ascii="Times New Roman" w:hAnsi="Times New Roman" w:cs="Times New Roman"/>
          <w:color w:val="000000" w:themeColor="text1"/>
          <w:sz w:val="24"/>
          <w:szCs w:val="24"/>
        </w:rPr>
        <w:t xml:space="preserve">могла </w:t>
      </w:r>
      <w:r w:rsidR="00493943">
        <w:rPr>
          <w:rFonts w:ascii="Times New Roman" w:hAnsi="Times New Roman" w:cs="Times New Roman"/>
          <w:color w:val="000000" w:themeColor="text1"/>
          <w:sz w:val="24"/>
          <w:szCs w:val="24"/>
        </w:rPr>
        <w:t xml:space="preserve">да, давањем мишљења </w:t>
      </w:r>
      <w:r w:rsidR="00493943" w:rsidRPr="00DC2501">
        <w:rPr>
          <w:rFonts w:ascii="Times New Roman" w:hAnsi="Times New Roman" w:cs="Times New Roman"/>
          <w:color w:val="000000" w:themeColor="text1"/>
          <w:sz w:val="24"/>
          <w:szCs w:val="24"/>
        </w:rPr>
        <w:t xml:space="preserve">пре </w:t>
      </w:r>
      <w:r w:rsidR="00493943">
        <w:rPr>
          <w:rFonts w:ascii="Times New Roman" w:hAnsi="Times New Roman" w:cs="Times New Roman"/>
          <w:color w:val="000000" w:themeColor="text1"/>
          <w:sz w:val="24"/>
          <w:szCs w:val="24"/>
        </w:rPr>
        <w:t xml:space="preserve">покретања поступка, делује превентивно  </w:t>
      </w:r>
      <w:r w:rsidR="00493943" w:rsidRPr="00374908">
        <w:rPr>
          <w:rFonts w:ascii="Times New Roman" w:hAnsi="Times New Roman" w:cs="Times New Roman"/>
          <w:i/>
          <w:sz w:val="24"/>
          <w:szCs w:val="24"/>
        </w:rPr>
        <w:t>(„ex ante”</w:t>
      </w:r>
      <w:r w:rsidR="00493943">
        <w:rPr>
          <w:rFonts w:ascii="Times New Roman" w:hAnsi="Times New Roman" w:cs="Times New Roman"/>
          <w:sz w:val="24"/>
          <w:szCs w:val="24"/>
        </w:rPr>
        <w:t>)  и да спречи покретање неоснованих поступака</w:t>
      </w:r>
      <w:r w:rsidR="00163151">
        <w:rPr>
          <w:rFonts w:ascii="Times New Roman" w:hAnsi="Times New Roman" w:cs="Times New Roman"/>
          <w:sz w:val="24"/>
          <w:szCs w:val="24"/>
        </w:rPr>
        <w:t xml:space="preserve"> и тиме преокрене негативну тенденцију п</w:t>
      </w:r>
      <w:r w:rsidR="00B13236">
        <w:rPr>
          <w:rFonts w:ascii="Times New Roman" w:hAnsi="Times New Roman" w:cs="Times New Roman"/>
          <w:sz w:val="24"/>
          <w:szCs w:val="24"/>
        </w:rPr>
        <w:t>рисутну више од једне деценије.</w:t>
      </w:r>
    </w:p>
    <w:p w:rsidR="00423371" w:rsidRPr="00622F21" w:rsidRDefault="00423371" w:rsidP="00F55A41">
      <w:pPr>
        <w:pStyle w:val="ListParagraph"/>
        <w:numPr>
          <w:ilvl w:val="0"/>
          <w:numId w:val="2"/>
        </w:numPr>
        <w:jc w:val="both"/>
        <w:rPr>
          <w:rFonts w:ascii="Times New Roman" w:hAnsi="Times New Roman" w:cs="Times New Roman"/>
          <w:b/>
          <w:sz w:val="24"/>
          <w:szCs w:val="24"/>
        </w:rPr>
      </w:pPr>
      <w:r w:rsidRPr="00622F21">
        <w:rPr>
          <w:rFonts w:ascii="Times New Roman" w:hAnsi="Times New Roman" w:cs="Times New Roman"/>
          <w:b/>
          <w:sz w:val="24"/>
          <w:szCs w:val="24"/>
        </w:rPr>
        <w:t>КОНКУРЕН</w:t>
      </w:r>
      <w:r w:rsidR="00607EFC" w:rsidRPr="00622F21">
        <w:rPr>
          <w:rFonts w:ascii="Times New Roman" w:hAnsi="Times New Roman" w:cs="Times New Roman"/>
          <w:b/>
          <w:sz w:val="24"/>
          <w:szCs w:val="24"/>
        </w:rPr>
        <w:t>ЦИЈА</w:t>
      </w:r>
    </w:p>
    <w:p w:rsidR="00172360" w:rsidRDefault="002B428A" w:rsidP="00F55A41">
      <w:pPr>
        <w:jc w:val="both"/>
        <w:rPr>
          <w:rFonts w:ascii="Times New Roman" w:hAnsi="Times New Roman" w:cs="Times New Roman"/>
          <w:sz w:val="24"/>
          <w:szCs w:val="24"/>
        </w:rPr>
      </w:pPr>
      <w:r>
        <w:rPr>
          <w:rFonts w:ascii="Times New Roman" w:hAnsi="Times New Roman" w:cs="Times New Roman"/>
          <w:sz w:val="24"/>
          <w:szCs w:val="24"/>
        </w:rPr>
        <w:t xml:space="preserve">Слободно деловање конкуренције је једно од најважнијих обележја </w:t>
      </w:r>
      <w:r w:rsidR="00607EFC">
        <w:rPr>
          <w:rFonts w:ascii="Times New Roman" w:hAnsi="Times New Roman" w:cs="Times New Roman"/>
          <w:sz w:val="24"/>
          <w:szCs w:val="24"/>
        </w:rPr>
        <w:t>развијено</w:t>
      </w:r>
      <w:r>
        <w:rPr>
          <w:rFonts w:ascii="Times New Roman" w:hAnsi="Times New Roman" w:cs="Times New Roman"/>
          <w:sz w:val="24"/>
          <w:szCs w:val="24"/>
        </w:rPr>
        <w:t xml:space="preserve">г и ефикасног </w:t>
      </w:r>
      <w:r w:rsidR="00607EFC">
        <w:rPr>
          <w:rFonts w:ascii="Times New Roman" w:hAnsi="Times New Roman" w:cs="Times New Roman"/>
          <w:sz w:val="24"/>
          <w:szCs w:val="24"/>
        </w:rPr>
        <w:t xml:space="preserve">система јавних набавки. </w:t>
      </w:r>
      <w:r>
        <w:rPr>
          <w:rFonts w:ascii="Times New Roman" w:hAnsi="Times New Roman" w:cs="Times New Roman"/>
          <w:sz w:val="24"/>
          <w:szCs w:val="24"/>
        </w:rPr>
        <w:t xml:space="preserve">Разлог је </w:t>
      </w:r>
      <w:r w:rsidR="00C45F86">
        <w:rPr>
          <w:rFonts w:ascii="Times New Roman" w:hAnsi="Times New Roman" w:cs="Times New Roman"/>
          <w:sz w:val="24"/>
          <w:szCs w:val="24"/>
        </w:rPr>
        <w:t xml:space="preserve">тај </w:t>
      </w:r>
      <w:r>
        <w:rPr>
          <w:rFonts w:ascii="Times New Roman" w:hAnsi="Times New Roman" w:cs="Times New Roman"/>
          <w:sz w:val="24"/>
          <w:szCs w:val="24"/>
        </w:rPr>
        <w:t>што слободна конкуренција међу понуђачима омогућава купцу, у овом случају држави</w:t>
      </w:r>
      <w:r w:rsidR="00C162DC">
        <w:rPr>
          <w:rFonts w:ascii="Times New Roman" w:hAnsi="Times New Roman" w:cs="Times New Roman"/>
          <w:sz w:val="24"/>
          <w:szCs w:val="24"/>
        </w:rPr>
        <w:t>,</w:t>
      </w:r>
      <w:r>
        <w:rPr>
          <w:rFonts w:ascii="Times New Roman" w:hAnsi="Times New Roman" w:cs="Times New Roman"/>
          <w:sz w:val="24"/>
          <w:szCs w:val="24"/>
        </w:rPr>
        <w:t xml:space="preserve"> најповољније услове набавке. Стога су к</w:t>
      </w:r>
      <w:r w:rsidR="00607EFC">
        <w:rPr>
          <w:rFonts w:ascii="Times New Roman" w:hAnsi="Times New Roman" w:cs="Times New Roman"/>
          <w:sz w:val="24"/>
          <w:szCs w:val="24"/>
        </w:rPr>
        <w:t>ључна начела јавних набавки, попут трансп</w:t>
      </w:r>
      <w:r w:rsidR="006A7E33">
        <w:rPr>
          <w:rFonts w:ascii="Times New Roman" w:hAnsi="Times New Roman" w:cs="Times New Roman"/>
          <w:sz w:val="24"/>
          <w:szCs w:val="24"/>
        </w:rPr>
        <w:t>а</w:t>
      </w:r>
      <w:r w:rsidR="00607EFC">
        <w:rPr>
          <w:rFonts w:ascii="Times New Roman" w:hAnsi="Times New Roman" w:cs="Times New Roman"/>
          <w:sz w:val="24"/>
          <w:szCs w:val="24"/>
        </w:rPr>
        <w:t>рентности и недискриминације, односно обезбеђивања једнаких услова за све учеснике у по</w:t>
      </w:r>
      <w:r>
        <w:rPr>
          <w:rFonts w:ascii="Times New Roman" w:hAnsi="Times New Roman" w:cs="Times New Roman"/>
          <w:sz w:val="24"/>
          <w:szCs w:val="24"/>
        </w:rPr>
        <w:t>с</w:t>
      </w:r>
      <w:r w:rsidR="00607EFC">
        <w:rPr>
          <w:rFonts w:ascii="Times New Roman" w:hAnsi="Times New Roman" w:cs="Times New Roman"/>
          <w:sz w:val="24"/>
          <w:szCs w:val="24"/>
        </w:rPr>
        <w:t xml:space="preserve">тупку </w:t>
      </w:r>
      <w:r w:rsidR="003F24BD">
        <w:rPr>
          <w:rFonts w:ascii="Times New Roman" w:hAnsi="Times New Roman" w:cs="Times New Roman"/>
          <w:sz w:val="24"/>
          <w:szCs w:val="24"/>
        </w:rPr>
        <w:t>заправо</w:t>
      </w:r>
      <w:r>
        <w:rPr>
          <w:rFonts w:ascii="Times New Roman" w:hAnsi="Times New Roman" w:cs="Times New Roman"/>
          <w:sz w:val="24"/>
          <w:szCs w:val="24"/>
        </w:rPr>
        <w:t xml:space="preserve"> у функцији остваривања једног ширег циља, а то је </w:t>
      </w:r>
      <w:r w:rsidR="00607EFC">
        <w:rPr>
          <w:rFonts w:ascii="Times New Roman" w:hAnsi="Times New Roman" w:cs="Times New Roman"/>
          <w:sz w:val="24"/>
          <w:szCs w:val="24"/>
        </w:rPr>
        <w:t>обезбе</w:t>
      </w:r>
      <w:r>
        <w:rPr>
          <w:rFonts w:ascii="Times New Roman" w:hAnsi="Times New Roman" w:cs="Times New Roman"/>
          <w:sz w:val="24"/>
          <w:szCs w:val="24"/>
        </w:rPr>
        <w:t>ђивање</w:t>
      </w:r>
      <w:r w:rsidR="00607EFC">
        <w:rPr>
          <w:rFonts w:ascii="Times New Roman" w:hAnsi="Times New Roman" w:cs="Times New Roman"/>
          <w:sz w:val="24"/>
          <w:szCs w:val="24"/>
        </w:rPr>
        <w:t xml:space="preserve"> пун</w:t>
      </w:r>
      <w:r>
        <w:rPr>
          <w:rFonts w:ascii="Times New Roman" w:hAnsi="Times New Roman" w:cs="Times New Roman"/>
          <w:sz w:val="24"/>
          <w:szCs w:val="24"/>
        </w:rPr>
        <w:t>е конкуренције</w:t>
      </w:r>
      <w:r w:rsidR="00607EFC">
        <w:rPr>
          <w:rFonts w:ascii="Times New Roman" w:hAnsi="Times New Roman" w:cs="Times New Roman"/>
          <w:sz w:val="24"/>
          <w:szCs w:val="24"/>
        </w:rPr>
        <w:t xml:space="preserve"> у поступцима јавних </w:t>
      </w:r>
      <w:r w:rsidR="00740B7E">
        <w:rPr>
          <w:rFonts w:ascii="Times New Roman" w:hAnsi="Times New Roman" w:cs="Times New Roman"/>
          <w:sz w:val="24"/>
          <w:szCs w:val="24"/>
        </w:rPr>
        <w:t xml:space="preserve">набавки. </w:t>
      </w:r>
      <w:r>
        <w:rPr>
          <w:rFonts w:ascii="Times New Roman" w:hAnsi="Times New Roman" w:cs="Times New Roman"/>
          <w:sz w:val="24"/>
          <w:szCs w:val="24"/>
        </w:rPr>
        <w:t xml:space="preserve">Зато се успешност </w:t>
      </w:r>
      <w:r w:rsidR="00FF2D0F">
        <w:rPr>
          <w:rFonts w:ascii="Times New Roman" w:hAnsi="Times New Roman" w:cs="Times New Roman"/>
          <w:sz w:val="24"/>
          <w:szCs w:val="24"/>
        </w:rPr>
        <w:t xml:space="preserve">(ефекти) </w:t>
      </w:r>
      <w:r>
        <w:rPr>
          <w:rFonts w:ascii="Times New Roman" w:hAnsi="Times New Roman" w:cs="Times New Roman"/>
          <w:sz w:val="24"/>
          <w:szCs w:val="24"/>
        </w:rPr>
        <w:t xml:space="preserve">примене транспарентности и обезбеђивања једнаких услова у поступцима јавних набавки </w:t>
      </w:r>
      <w:r w:rsidR="00FF2D0F">
        <w:rPr>
          <w:rFonts w:ascii="Times New Roman" w:hAnsi="Times New Roman" w:cs="Times New Roman"/>
          <w:sz w:val="24"/>
          <w:szCs w:val="24"/>
        </w:rPr>
        <w:t xml:space="preserve">у пракси </w:t>
      </w:r>
      <w:r>
        <w:rPr>
          <w:rFonts w:ascii="Times New Roman" w:hAnsi="Times New Roman" w:cs="Times New Roman"/>
          <w:sz w:val="24"/>
          <w:szCs w:val="24"/>
        </w:rPr>
        <w:t xml:space="preserve">могу оцењивати и пратити преко интензитета конкуренције међу понуђачима. </w:t>
      </w:r>
      <w:r w:rsidR="006D79F5">
        <w:rPr>
          <w:rFonts w:ascii="Times New Roman" w:hAnsi="Times New Roman" w:cs="Times New Roman"/>
          <w:sz w:val="24"/>
          <w:szCs w:val="24"/>
        </w:rPr>
        <w:t>Другим речима, ако су транспарентност и једн</w:t>
      </w:r>
      <w:r w:rsidR="006463F1">
        <w:rPr>
          <w:rFonts w:ascii="Times New Roman" w:hAnsi="Times New Roman" w:cs="Times New Roman"/>
          <w:sz w:val="24"/>
          <w:szCs w:val="24"/>
        </w:rPr>
        <w:t>а</w:t>
      </w:r>
      <w:r w:rsidR="006D79F5">
        <w:rPr>
          <w:rFonts w:ascii="Times New Roman" w:hAnsi="Times New Roman" w:cs="Times New Roman"/>
          <w:sz w:val="24"/>
          <w:szCs w:val="24"/>
        </w:rPr>
        <w:t>к третман понуђача обезбеђени у пракси, конкуренција ће бити интензивн</w:t>
      </w:r>
      <w:r w:rsidR="0037097C">
        <w:rPr>
          <w:rFonts w:ascii="Times New Roman" w:hAnsi="Times New Roman" w:cs="Times New Roman"/>
          <w:sz w:val="24"/>
          <w:szCs w:val="24"/>
        </w:rPr>
        <w:t>иј</w:t>
      </w:r>
      <w:r w:rsidR="006D79F5">
        <w:rPr>
          <w:rFonts w:ascii="Times New Roman" w:hAnsi="Times New Roman" w:cs="Times New Roman"/>
          <w:sz w:val="24"/>
          <w:szCs w:val="24"/>
        </w:rPr>
        <w:t>а. И обрнуто, ако су начела присутна само у З</w:t>
      </w:r>
      <w:r w:rsidR="00955A24">
        <w:rPr>
          <w:rFonts w:ascii="Times New Roman" w:hAnsi="Times New Roman" w:cs="Times New Roman"/>
          <w:sz w:val="24"/>
          <w:szCs w:val="24"/>
        </w:rPr>
        <w:t>акону</w:t>
      </w:r>
      <w:r w:rsidR="006D79F5">
        <w:rPr>
          <w:rFonts w:ascii="Times New Roman" w:hAnsi="Times New Roman" w:cs="Times New Roman"/>
          <w:sz w:val="24"/>
          <w:szCs w:val="24"/>
        </w:rPr>
        <w:t>, а постоје слабости у њиховој примени, понуђачи ће одустајати од учешћа у поступцима јавних набавки.</w:t>
      </w:r>
      <w:r w:rsidR="006463F1">
        <w:rPr>
          <w:rFonts w:ascii="Times New Roman" w:hAnsi="Times New Roman" w:cs="Times New Roman"/>
          <w:sz w:val="24"/>
          <w:szCs w:val="24"/>
        </w:rPr>
        <w:t xml:space="preserve"> Разлог је што њихова одлука о учешћу у поступку јавне набавке зависи</w:t>
      </w:r>
      <w:r w:rsidR="00345FD7">
        <w:rPr>
          <w:rFonts w:ascii="Times New Roman" w:hAnsi="Times New Roman" w:cs="Times New Roman"/>
          <w:sz w:val="24"/>
          <w:szCs w:val="24"/>
          <w:lang w:val="sr-Cyrl-RS"/>
        </w:rPr>
        <w:t>,</w:t>
      </w:r>
      <w:r w:rsidR="006463F1">
        <w:rPr>
          <w:rFonts w:ascii="Times New Roman" w:hAnsi="Times New Roman" w:cs="Times New Roman"/>
          <w:sz w:val="24"/>
          <w:szCs w:val="24"/>
        </w:rPr>
        <w:t xml:space="preserve"> пре свега</w:t>
      </w:r>
      <w:r w:rsidR="00345FD7">
        <w:rPr>
          <w:rFonts w:ascii="Times New Roman" w:hAnsi="Times New Roman" w:cs="Times New Roman"/>
          <w:sz w:val="24"/>
          <w:szCs w:val="24"/>
          <w:lang w:val="sr-Cyrl-RS"/>
        </w:rPr>
        <w:t>,</w:t>
      </w:r>
      <w:r w:rsidR="006463F1">
        <w:rPr>
          <w:rFonts w:ascii="Times New Roman" w:hAnsi="Times New Roman" w:cs="Times New Roman"/>
          <w:sz w:val="24"/>
          <w:szCs w:val="24"/>
        </w:rPr>
        <w:t xml:space="preserve"> од процене да ли је поступак </w:t>
      </w:r>
      <w:r w:rsidR="00172360">
        <w:rPr>
          <w:rFonts w:ascii="Times New Roman" w:hAnsi="Times New Roman" w:cs="Times New Roman"/>
          <w:sz w:val="24"/>
          <w:szCs w:val="24"/>
        </w:rPr>
        <w:t>„</w:t>
      </w:r>
      <w:r w:rsidR="006463F1">
        <w:rPr>
          <w:rFonts w:ascii="Times New Roman" w:hAnsi="Times New Roman" w:cs="Times New Roman"/>
          <w:sz w:val="24"/>
          <w:szCs w:val="24"/>
        </w:rPr>
        <w:t>намештен</w:t>
      </w:r>
      <w:r w:rsidR="00172360">
        <w:rPr>
          <w:rFonts w:ascii="Times New Roman" w:hAnsi="Times New Roman" w:cs="Times New Roman"/>
          <w:sz w:val="24"/>
          <w:szCs w:val="24"/>
        </w:rPr>
        <w:t>“</w:t>
      </w:r>
      <w:r w:rsidR="006463F1">
        <w:rPr>
          <w:rFonts w:ascii="Times New Roman" w:hAnsi="Times New Roman" w:cs="Times New Roman"/>
          <w:sz w:val="24"/>
          <w:szCs w:val="24"/>
        </w:rPr>
        <w:t xml:space="preserve"> или не за одређеног понуђача. </w:t>
      </w:r>
      <w:r w:rsidR="00172360">
        <w:rPr>
          <w:rFonts w:ascii="Times New Roman" w:hAnsi="Times New Roman" w:cs="Times New Roman"/>
          <w:sz w:val="24"/>
          <w:szCs w:val="24"/>
        </w:rPr>
        <w:t>Уколико процене да јесте или да њихова права у поступку не могу бити ефикасно заштићена, понуђачи неће уопште ни учествовати у поступку. Самим тим ће и број поднетих понуда бити нижи.</w:t>
      </w:r>
    </w:p>
    <w:p w:rsidR="00B52C7D" w:rsidRPr="00D90F54" w:rsidRDefault="00172360" w:rsidP="00F55A41">
      <w:pPr>
        <w:jc w:val="both"/>
        <w:rPr>
          <w:rFonts w:ascii="Times New Roman" w:hAnsi="Times New Roman" w:cs="Times New Roman"/>
          <w:sz w:val="24"/>
          <w:szCs w:val="24"/>
        </w:rPr>
      </w:pPr>
      <w:r>
        <w:rPr>
          <w:rFonts w:ascii="Times New Roman" w:hAnsi="Times New Roman" w:cs="Times New Roman"/>
          <w:sz w:val="24"/>
          <w:szCs w:val="24"/>
        </w:rPr>
        <w:t>Просечан број понуда по закљученом уговору, као с</w:t>
      </w:r>
      <w:r w:rsidR="00607EFC">
        <w:rPr>
          <w:rFonts w:ascii="Times New Roman" w:hAnsi="Times New Roman" w:cs="Times New Roman"/>
          <w:sz w:val="24"/>
          <w:szCs w:val="24"/>
        </w:rPr>
        <w:t>тандардан показатељ интензитета конкуренције у јавним набавкама</w:t>
      </w:r>
      <w:r>
        <w:rPr>
          <w:rFonts w:ascii="Times New Roman" w:hAnsi="Times New Roman" w:cs="Times New Roman"/>
          <w:sz w:val="24"/>
          <w:szCs w:val="24"/>
        </w:rPr>
        <w:t>,</w:t>
      </w:r>
      <w:r w:rsidR="00345FD7">
        <w:rPr>
          <w:rFonts w:ascii="Times New Roman" w:hAnsi="Times New Roman" w:cs="Times New Roman"/>
          <w:sz w:val="24"/>
          <w:szCs w:val="24"/>
          <w:lang w:val="sr-Cyrl-RS"/>
        </w:rPr>
        <w:t xml:space="preserve"> </w:t>
      </w:r>
      <w:r>
        <w:rPr>
          <w:rFonts w:ascii="Times New Roman" w:hAnsi="Times New Roman" w:cs="Times New Roman"/>
          <w:sz w:val="24"/>
          <w:szCs w:val="24"/>
        </w:rPr>
        <w:t xml:space="preserve">приказан је у </w:t>
      </w:r>
      <w:r w:rsidR="00FF2D0F" w:rsidRPr="00A93681">
        <w:rPr>
          <w:rFonts w:ascii="Times New Roman" w:hAnsi="Times New Roman" w:cs="Times New Roman"/>
          <w:sz w:val="24"/>
          <w:szCs w:val="24"/>
        </w:rPr>
        <w:t>Табел</w:t>
      </w:r>
      <w:r w:rsidRPr="00A93681">
        <w:rPr>
          <w:rFonts w:ascii="Times New Roman" w:hAnsi="Times New Roman" w:cs="Times New Roman"/>
          <w:sz w:val="24"/>
          <w:szCs w:val="24"/>
        </w:rPr>
        <w:t>и</w:t>
      </w:r>
      <w:r w:rsidR="00F87BE7">
        <w:rPr>
          <w:rFonts w:ascii="Times New Roman" w:hAnsi="Times New Roman" w:cs="Times New Roman"/>
          <w:sz w:val="24"/>
          <w:szCs w:val="24"/>
        </w:rPr>
        <w:t xml:space="preserve"> 6</w:t>
      </w:r>
      <w:r w:rsidR="00607EFC">
        <w:rPr>
          <w:rFonts w:ascii="Times New Roman" w:hAnsi="Times New Roman" w:cs="Times New Roman"/>
          <w:sz w:val="24"/>
          <w:szCs w:val="24"/>
        </w:rPr>
        <w:t xml:space="preserve">. </w:t>
      </w:r>
    </w:p>
    <w:p w:rsidR="00FF2D0F" w:rsidRDefault="00D75D9C" w:rsidP="00F55A41">
      <w:pPr>
        <w:jc w:val="both"/>
        <w:rPr>
          <w:rFonts w:ascii="Times New Roman" w:hAnsi="Times New Roman" w:cs="Times New Roman"/>
          <w:b/>
          <w:color w:val="000000" w:themeColor="text1"/>
          <w:sz w:val="24"/>
          <w:szCs w:val="24"/>
        </w:rPr>
      </w:pPr>
      <w:r w:rsidRPr="00F87BE7">
        <w:rPr>
          <w:rFonts w:ascii="Times New Roman" w:hAnsi="Times New Roman" w:cs="Times New Roman"/>
          <w:b/>
          <w:color w:val="000000" w:themeColor="text1"/>
          <w:sz w:val="24"/>
          <w:szCs w:val="24"/>
        </w:rPr>
        <w:lastRenderedPageBreak/>
        <w:t xml:space="preserve">Табела </w:t>
      </w:r>
      <w:r w:rsidR="001A19E7" w:rsidRPr="00F87BE7">
        <w:rPr>
          <w:rFonts w:ascii="Times New Roman" w:hAnsi="Times New Roman" w:cs="Times New Roman"/>
          <w:b/>
          <w:color w:val="000000" w:themeColor="text1"/>
          <w:sz w:val="24"/>
          <w:szCs w:val="24"/>
        </w:rPr>
        <w:t>6</w:t>
      </w:r>
    </w:p>
    <w:tbl>
      <w:tblPr>
        <w:tblW w:w="43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7"/>
        <w:gridCol w:w="2459"/>
        <w:gridCol w:w="2300"/>
        <w:gridCol w:w="2118"/>
      </w:tblGrid>
      <w:tr w:rsidR="00B22FFA" w:rsidRPr="000725E8" w:rsidTr="00E01E9B">
        <w:trPr>
          <w:trHeight w:val="713"/>
          <w:jc w:val="center"/>
        </w:trPr>
        <w:tc>
          <w:tcPr>
            <w:tcW w:w="5000" w:type="pct"/>
            <w:gridSpan w:val="4"/>
            <w:vAlign w:val="center"/>
          </w:tcPr>
          <w:p w:rsidR="00B22FFA" w:rsidRPr="000725E8" w:rsidRDefault="00B22FFA" w:rsidP="00E01E9B">
            <w:pPr>
              <w:tabs>
                <w:tab w:val="left" w:pos="1885"/>
              </w:tabs>
              <w:spacing w:after="0" w:line="240" w:lineRule="auto"/>
              <w:jc w:val="center"/>
              <w:rPr>
                <w:rFonts w:ascii="Times New Roman" w:eastAsia="Times New Roman" w:hAnsi="Times New Roman" w:cs="Times New Roman"/>
                <w:b/>
                <w:sz w:val="24"/>
                <w:szCs w:val="24"/>
              </w:rPr>
            </w:pPr>
            <w:r w:rsidRPr="000725E8">
              <w:rPr>
                <w:rFonts w:ascii="Times New Roman" w:eastAsia="Times New Roman" w:hAnsi="Times New Roman" w:cs="Times New Roman"/>
                <w:b/>
                <w:sz w:val="24"/>
                <w:szCs w:val="24"/>
              </w:rPr>
              <w:t>Просечан број понуда по закљученом уговору</w:t>
            </w:r>
          </w:p>
          <w:p w:rsidR="00B22FFA" w:rsidRPr="000725E8" w:rsidRDefault="00B22FFA" w:rsidP="00E01E9B">
            <w:pPr>
              <w:tabs>
                <w:tab w:val="left" w:pos="1885"/>
              </w:tabs>
              <w:spacing w:after="0" w:line="240" w:lineRule="auto"/>
              <w:jc w:val="center"/>
              <w:rPr>
                <w:rFonts w:ascii="Times New Roman" w:eastAsia="Times New Roman" w:hAnsi="Times New Roman" w:cs="Times New Roman"/>
                <w:b/>
                <w:sz w:val="24"/>
                <w:szCs w:val="24"/>
              </w:rPr>
            </w:pPr>
            <w:r w:rsidRPr="000725E8">
              <w:rPr>
                <w:rFonts w:ascii="Times New Roman" w:eastAsia="Times New Roman" w:hAnsi="Times New Roman" w:cs="Times New Roman"/>
                <w:b/>
                <w:sz w:val="24"/>
                <w:szCs w:val="24"/>
              </w:rPr>
              <w:t>у поступцима јавних набавки</w:t>
            </w:r>
            <w:r>
              <w:rPr>
                <w:rFonts w:ascii="Times New Roman" w:eastAsia="Times New Roman" w:hAnsi="Times New Roman" w:cs="Times New Roman"/>
                <w:b/>
                <w:sz w:val="24"/>
                <w:szCs w:val="24"/>
              </w:rPr>
              <w:t>по кварталима</w:t>
            </w:r>
          </w:p>
        </w:tc>
      </w:tr>
      <w:tr w:rsidR="00B22FFA" w:rsidRPr="000725E8" w:rsidTr="00E01E9B">
        <w:tblPrEx>
          <w:tblLook w:val="04A0" w:firstRow="1" w:lastRow="0" w:firstColumn="1" w:lastColumn="0" w:noHBand="0" w:noVBand="1"/>
        </w:tblPrEx>
        <w:trPr>
          <w:trHeight w:val="425"/>
          <w:jc w:val="center"/>
        </w:trPr>
        <w:tc>
          <w:tcPr>
            <w:tcW w:w="1412" w:type="pct"/>
            <w:shd w:val="clear" w:color="auto" w:fill="auto"/>
            <w:vAlign w:val="center"/>
          </w:tcPr>
          <w:p w:rsidR="00B22FFA" w:rsidRPr="00EA5A81" w:rsidRDefault="00B22FFA" w:rsidP="00E01E9B">
            <w:pPr>
              <w:tabs>
                <w:tab w:val="left" w:pos="1885"/>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201</w:t>
            </w:r>
            <w:r>
              <w:rPr>
                <w:rFonts w:ascii="Times New Roman" w:eastAsia="Times New Roman" w:hAnsi="Times New Roman" w:cs="Times New Roman"/>
                <w:b/>
                <w:lang w:val="en-US"/>
              </w:rPr>
              <w:t>1</w:t>
            </w:r>
            <w:r w:rsidR="00EA5A81">
              <w:rPr>
                <w:rFonts w:ascii="Times New Roman" w:eastAsia="Times New Roman" w:hAnsi="Times New Roman" w:cs="Times New Roman"/>
                <w:b/>
              </w:rPr>
              <w:t>.</w:t>
            </w:r>
            <w:r w:rsidR="00CC39E5">
              <w:rPr>
                <w:rFonts w:ascii="Times New Roman" w:eastAsia="Times New Roman" w:hAnsi="Times New Roman" w:cs="Times New Roman"/>
                <w:b/>
                <w:sz w:val="24"/>
                <w:szCs w:val="24"/>
              </w:rPr>
              <w:t xml:space="preserve"> година</w:t>
            </w:r>
          </w:p>
        </w:tc>
        <w:tc>
          <w:tcPr>
            <w:tcW w:w="1283" w:type="pct"/>
            <w:shd w:val="clear" w:color="auto" w:fill="auto"/>
            <w:vAlign w:val="center"/>
          </w:tcPr>
          <w:p w:rsidR="00B22FFA" w:rsidRPr="00EA5A81" w:rsidRDefault="00B22FFA" w:rsidP="00E01E9B">
            <w:pPr>
              <w:tabs>
                <w:tab w:val="left" w:pos="1885"/>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201</w:t>
            </w:r>
            <w:r>
              <w:rPr>
                <w:rFonts w:ascii="Times New Roman" w:eastAsia="Times New Roman" w:hAnsi="Times New Roman" w:cs="Times New Roman"/>
                <w:b/>
                <w:lang w:val="en-US"/>
              </w:rPr>
              <w:t>2</w:t>
            </w:r>
            <w:r w:rsidR="00EA5A81">
              <w:rPr>
                <w:rFonts w:ascii="Times New Roman" w:eastAsia="Times New Roman" w:hAnsi="Times New Roman" w:cs="Times New Roman"/>
                <w:b/>
              </w:rPr>
              <w:t>.</w:t>
            </w:r>
            <w:r w:rsidR="00CC39E5">
              <w:rPr>
                <w:rFonts w:ascii="Times New Roman" w:eastAsia="Times New Roman" w:hAnsi="Times New Roman" w:cs="Times New Roman"/>
                <w:b/>
                <w:sz w:val="24"/>
                <w:szCs w:val="24"/>
              </w:rPr>
              <w:t xml:space="preserve"> година</w:t>
            </w:r>
          </w:p>
        </w:tc>
        <w:tc>
          <w:tcPr>
            <w:tcW w:w="1200" w:type="pct"/>
            <w:shd w:val="clear" w:color="auto" w:fill="auto"/>
            <w:vAlign w:val="center"/>
          </w:tcPr>
          <w:p w:rsidR="00B22FFA" w:rsidRPr="00EA5A81" w:rsidRDefault="00B22FFA" w:rsidP="00E01E9B">
            <w:pPr>
              <w:tabs>
                <w:tab w:val="left" w:pos="1885"/>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2013</w:t>
            </w:r>
            <w:r w:rsidR="00EA5A81">
              <w:rPr>
                <w:rFonts w:ascii="Times New Roman" w:eastAsia="Times New Roman" w:hAnsi="Times New Roman" w:cs="Times New Roman"/>
                <w:b/>
              </w:rPr>
              <w:t>.</w:t>
            </w:r>
            <w:r w:rsidR="00CC39E5">
              <w:rPr>
                <w:rFonts w:ascii="Times New Roman" w:eastAsia="Times New Roman" w:hAnsi="Times New Roman" w:cs="Times New Roman"/>
                <w:b/>
                <w:sz w:val="24"/>
                <w:szCs w:val="24"/>
              </w:rPr>
              <w:t xml:space="preserve"> година</w:t>
            </w:r>
          </w:p>
        </w:tc>
        <w:tc>
          <w:tcPr>
            <w:tcW w:w="1105" w:type="pct"/>
            <w:vAlign w:val="center"/>
          </w:tcPr>
          <w:p w:rsidR="00B22FFA" w:rsidRPr="00EA5A81" w:rsidRDefault="00B22FFA" w:rsidP="00E01E9B">
            <w:pPr>
              <w:tabs>
                <w:tab w:val="left" w:pos="1885"/>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2014</w:t>
            </w:r>
            <w:r w:rsidR="00EA5A81">
              <w:rPr>
                <w:rFonts w:ascii="Times New Roman" w:eastAsia="Times New Roman" w:hAnsi="Times New Roman" w:cs="Times New Roman"/>
                <w:b/>
              </w:rPr>
              <w:t>.</w:t>
            </w:r>
            <w:r w:rsidR="00CC39E5">
              <w:rPr>
                <w:rFonts w:ascii="Times New Roman" w:eastAsia="Times New Roman" w:hAnsi="Times New Roman" w:cs="Times New Roman"/>
                <w:b/>
                <w:sz w:val="24"/>
                <w:szCs w:val="24"/>
              </w:rPr>
              <w:t xml:space="preserve"> година</w:t>
            </w:r>
          </w:p>
        </w:tc>
      </w:tr>
      <w:tr w:rsidR="00B22FFA" w:rsidRPr="000725E8" w:rsidTr="00E01E9B">
        <w:tblPrEx>
          <w:tblLook w:val="04A0" w:firstRow="1" w:lastRow="0" w:firstColumn="1" w:lastColumn="0" w:noHBand="0" w:noVBand="1"/>
        </w:tblPrEx>
        <w:trPr>
          <w:jc w:val="center"/>
        </w:trPr>
        <w:tc>
          <w:tcPr>
            <w:tcW w:w="1412" w:type="pct"/>
            <w:shd w:val="clear" w:color="auto" w:fill="auto"/>
            <w:vAlign w:val="center"/>
          </w:tcPr>
          <w:p w:rsidR="00B22FFA" w:rsidRPr="00596720" w:rsidRDefault="00B22FFA" w:rsidP="00E01E9B">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283" w:type="pct"/>
            <w:shd w:val="clear" w:color="auto" w:fill="auto"/>
            <w:vAlign w:val="center"/>
          </w:tcPr>
          <w:p w:rsidR="00B22FFA" w:rsidRPr="00917F6C" w:rsidRDefault="00B22FFA" w:rsidP="00E01E9B">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17F6C">
              <w:rPr>
                <w:rFonts w:ascii="Times New Roman" w:eastAsia="Times New Roman" w:hAnsi="Times New Roman" w:cs="Times New Roman"/>
                <w:sz w:val="24"/>
                <w:szCs w:val="24"/>
              </w:rPr>
              <w:t>7</w:t>
            </w:r>
          </w:p>
        </w:tc>
        <w:tc>
          <w:tcPr>
            <w:tcW w:w="1200" w:type="pct"/>
            <w:shd w:val="clear" w:color="auto" w:fill="auto"/>
            <w:vAlign w:val="center"/>
          </w:tcPr>
          <w:p w:rsidR="00B22FFA" w:rsidRPr="00190CC8" w:rsidRDefault="00B22FFA" w:rsidP="00E01E9B">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105" w:type="pct"/>
            <w:vAlign w:val="center"/>
          </w:tcPr>
          <w:p w:rsidR="00B22FFA" w:rsidRPr="00596720" w:rsidRDefault="00B22FFA" w:rsidP="00E01E9B">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r>
    </w:tbl>
    <w:p w:rsidR="00B22FFA" w:rsidRDefault="00B22FFA" w:rsidP="00F55A41">
      <w:pPr>
        <w:jc w:val="both"/>
      </w:pPr>
    </w:p>
    <w:p w:rsidR="00FF2D0F" w:rsidRPr="00FF2D0F" w:rsidRDefault="00FF2D0F" w:rsidP="00F55A41">
      <w:pPr>
        <w:jc w:val="both"/>
        <w:rPr>
          <w:rFonts w:ascii="Times New Roman" w:hAnsi="Times New Roman" w:cs="Times New Roman"/>
          <w:sz w:val="24"/>
          <w:szCs w:val="24"/>
        </w:rPr>
      </w:pPr>
      <w:r>
        <w:rPr>
          <w:rFonts w:ascii="Times New Roman" w:hAnsi="Times New Roman" w:cs="Times New Roman"/>
          <w:sz w:val="24"/>
          <w:szCs w:val="24"/>
        </w:rPr>
        <w:t xml:space="preserve">Као што се из </w:t>
      </w:r>
      <w:r w:rsidRPr="00FF31E5">
        <w:rPr>
          <w:rFonts w:ascii="Times New Roman" w:hAnsi="Times New Roman" w:cs="Times New Roman"/>
          <w:sz w:val="24"/>
          <w:szCs w:val="24"/>
        </w:rPr>
        <w:t xml:space="preserve">Табеле </w:t>
      </w:r>
      <w:r w:rsidR="009E0B20">
        <w:rPr>
          <w:rFonts w:ascii="Times New Roman" w:hAnsi="Times New Roman" w:cs="Times New Roman"/>
          <w:sz w:val="24"/>
          <w:szCs w:val="24"/>
        </w:rPr>
        <w:t>6</w:t>
      </w:r>
      <w:r>
        <w:rPr>
          <w:rFonts w:ascii="Times New Roman" w:hAnsi="Times New Roman" w:cs="Times New Roman"/>
          <w:sz w:val="24"/>
          <w:szCs w:val="24"/>
        </w:rPr>
        <w:t xml:space="preserve"> може видети, интензитет конкуренције </w:t>
      </w:r>
      <w:r w:rsidR="00F53080">
        <w:rPr>
          <w:rFonts w:ascii="Times New Roman" w:hAnsi="Times New Roman" w:cs="Times New Roman"/>
          <w:sz w:val="24"/>
          <w:szCs w:val="24"/>
        </w:rPr>
        <w:t>ј</w:t>
      </w:r>
      <w:r>
        <w:rPr>
          <w:rFonts w:ascii="Times New Roman" w:hAnsi="Times New Roman" w:cs="Times New Roman"/>
          <w:sz w:val="24"/>
          <w:szCs w:val="24"/>
        </w:rPr>
        <w:t xml:space="preserve">е, у </w:t>
      </w:r>
      <w:r w:rsidR="00F35FCC">
        <w:rPr>
          <w:rFonts w:ascii="Times New Roman" w:hAnsi="Times New Roman" w:cs="Times New Roman"/>
          <w:sz w:val="24"/>
          <w:szCs w:val="24"/>
        </w:rPr>
        <w:t>201</w:t>
      </w:r>
      <w:r w:rsidR="00C60758">
        <w:rPr>
          <w:rFonts w:ascii="Times New Roman" w:hAnsi="Times New Roman" w:cs="Times New Roman"/>
          <w:sz w:val="24"/>
          <w:szCs w:val="24"/>
        </w:rPr>
        <w:t>4</w:t>
      </w:r>
      <w:r w:rsidR="00F35FCC">
        <w:rPr>
          <w:rFonts w:ascii="Times New Roman" w:hAnsi="Times New Roman" w:cs="Times New Roman"/>
          <w:sz w:val="24"/>
          <w:szCs w:val="24"/>
        </w:rPr>
        <w:t xml:space="preserve">. </w:t>
      </w:r>
      <w:r w:rsidR="00587396">
        <w:rPr>
          <w:rFonts w:ascii="Times New Roman" w:hAnsi="Times New Roman" w:cs="Times New Roman"/>
          <w:sz w:val="24"/>
          <w:szCs w:val="24"/>
        </w:rPr>
        <w:t>г</w:t>
      </w:r>
      <w:r w:rsidR="00F35FCC">
        <w:rPr>
          <w:rFonts w:ascii="Times New Roman" w:hAnsi="Times New Roman" w:cs="Times New Roman"/>
          <w:sz w:val="24"/>
          <w:szCs w:val="24"/>
        </w:rPr>
        <w:t>один</w:t>
      </w:r>
      <w:r w:rsidR="009E0B20">
        <w:rPr>
          <w:rFonts w:ascii="Times New Roman" w:hAnsi="Times New Roman" w:cs="Times New Roman"/>
          <w:sz w:val="24"/>
          <w:szCs w:val="24"/>
        </w:rPr>
        <w:t>и</w:t>
      </w:r>
      <w:r w:rsidR="00587396">
        <w:rPr>
          <w:rFonts w:ascii="Times New Roman" w:hAnsi="Times New Roman" w:cs="Times New Roman"/>
          <w:sz w:val="24"/>
          <w:szCs w:val="24"/>
        </w:rPr>
        <w:t xml:space="preserve">, </w:t>
      </w:r>
      <w:r w:rsidR="00F53080">
        <w:rPr>
          <w:rFonts w:ascii="Times New Roman" w:hAnsi="Times New Roman" w:cs="Times New Roman"/>
          <w:sz w:val="24"/>
          <w:szCs w:val="24"/>
        </w:rPr>
        <w:t xml:space="preserve">био </w:t>
      </w:r>
      <w:r w:rsidR="00B22FFA">
        <w:rPr>
          <w:rFonts w:ascii="Times New Roman" w:hAnsi="Times New Roman" w:cs="Times New Roman"/>
          <w:sz w:val="24"/>
          <w:szCs w:val="24"/>
        </w:rPr>
        <w:t xml:space="preserve">свега </w:t>
      </w:r>
      <w:r w:rsidR="00F53080">
        <w:rPr>
          <w:rFonts w:ascii="Times New Roman" w:hAnsi="Times New Roman" w:cs="Times New Roman"/>
          <w:sz w:val="24"/>
          <w:szCs w:val="24"/>
        </w:rPr>
        <w:t>2,</w:t>
      </w:r>
      <w:r w:rsidR="00B22FFA">
        <w:rPr>
          <w:rFonts w:ascii="Times New Roman" w:hAnsi="Times New Roman" w:cs="Times New Roman"/>
          <w:sz w:val="24"/>
          <w:szCs w:val="24"/>
        </w:rPr>
        <w:t xml:space="preserve">6 што је најнижи ниво у протекле четири године. </w:t>
      </w:r>
    </w:p>
    <w:p w:rsidR="00587386" w:rsidRDefault="00587386" w:rsidP="00F55A41">
      <w:pPr>
        <w:jc w:val="both"/>
        <w:rPr>
          <w:rFonts w:ascii="Times New Roman" w:hAnsi="Times New Roman" w:cs="Times New Roman"/>
          <w:sz w:val="24"/>
          <w:szCs w:val="24"/>
        </w:rPr>
      </w:pPr>
      <w:r>
        <w:rPr>
          <w:rFonts w:ascii="Times New Roman" w:hAnsi="Times New Roman" w:cs="Times New Roman"/>
          <w:sz w:val="24"/>
          <w:szCs w:val="24"/>
        </w:rPr>
        <w:t>П</w:t>
      </w:r>
      <w:r w:rsidR="00D90F54">
        <w:rPr>
          <w:rFonts w:ascii="Times New Roman" w:hAnsi="Times New Roman" w:cs="Times New Roman"/>
          <w:sz w:val="24"/>
          <w:szCs w:val="24"/>
        </w:rPr>
        <w:t>оказ</w:t>
      </w:r>
      <w:r w:rsidR="00A20355">
        <w:rPr>
          <w:rFonts w:ascii="Times New Roman" w:hAnsi="Times New Roman" w:cs="Times New Roman"/>
          <w:sz w:val="24"/>
          <w:szCs w:val="24"/>
        </w:rPr>
        <w:t>а</w:t>
      </w:r>
      <w:r w:rsidR="00D90F54">
        <w:rPr>
          <w:rFonts w:ascii="Times New Roman" w:hAnsi="Times New Roman" w:cs="Times New Roman"/>
          <w:sz w:val="24"/>
          <w:szCs w:val="24"/>
        </w:rPr>
        <w:t>тељ интензитета конкуренције у Србији</w:t>
      </w:r>
      <w:r>
        <w:rPr>
          <w:rFonts w:ascii="Times New Roman" w:hAnsi="Times New Roman" w:cs="Times New Roman"/>
          <w:sz w:val="24"/>
          <w:szCs w:val="24"/>
        </w:rPr>
        <w:t xml:space="preserve"> двоструко је нижи од </w:t>
      </w:r>
      <w:r w:rsidR="000E6412">
        <w:rPr>
          <w:rFonts w:ascii="Times New Roman" w:hAnsi="Times New Roman" w:cs="Times New Roman"/>
          <w:sz w:val="24"/>
          <w:szCs w:val="24"/>
        </w:rPr>
        <w:t>просек</w:t>
      </w:r>
      <w:r>
        <w:rPr>
          <w:rFonts w:ascii="Times New Roman" w:hAnsi="Times New Roman" w:cs="Times New Roman"/>
          <w:sz w:val="24"/>
          <w:szCs w:val="24"/>
        </w:rPr>
        <w:t>а</w:t>
      </w:r>
      <w:r w:rsidR="000E6412">
        <w:rPr>
          <w:rFonts w:ascii="Times New Roman" w:hAnsi="Times New Roman" w:cs="Times New Roman"/>
          <w:sz w:val="24"/>
          <w:szCs w:val="24"/>
        </w:rPr>
        <w:t xml:space="preserve"> ЕУ где ј</w:t>
      </w:r>
      <w:r w:rsidR="00D90F54">
        <w:rPr>
          <w:rFonts w:ascii="Times New Roman" w:hAnsi="Times New Roman" w:cs="Times New Roman"/>
          <w:sz w:val="24"/>
          <w:szCs w:val="24"/>
        </w:rPr>
        <w:t xml:space="preserve">е </w:t>
      </w:r>
      <w:r w:rsidR="000E6412">
        <w:rPr>
          <w:rFonts w:ascii="Times New Roman" w:hAnsi="Times New Roman" w:cs="Times New Roman"/>
          <w:sz w:val="24"/>
          <w:szCs w:val="24"/>
        </w:rPr>
        <w:t xml:space="preserve">на нивоу од </w:t>
      </w:r>
      <w:r>
        <w:rPr>
          <w:rFonts w:ascii="Times New Roman" w:hAnsi="Times New Roman" w:cs="Times New Roman"/>
          <w:sz w:val="24"/>
          <w:szCs w:val="24"/>
        </w:rPr>
        <w:t>5,</w:t>
      </w:r>
      <w:r w:rsidR="00D90F54">
        <w:rPr>
          <w:rFonts w:ascii="Times New Roman" w:hAnsi="Times New Roman" w:cs="Times New Roman"/>
          <w:sz w:val="24"/>
          <w:szCs w:val="24"/>
        </w:rPr>
        <w:t>4</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Поређење </w:t>
      </w:r>
      <w:r w:rsidR="00D90F54">
        <w:rPr>
          <w:rFonts w:ascii="Times New Roman" w:hAnsi="Times New Roman" w:cs="Times New Roman"/>
          <w:sz w:val="24"/>
          <w:szCs w:val="24"/>
        </w:rPr>
        <w:t xml:space="preserve">са </w:t>
      </w:r>
      <w:r w:rsidR="007734EF">
        <w:rPr>
          <w:rFonts w:ascii="Times New Roman" w:hAnsi="Times New Roman" w:cs="Times New Roman"/>
          <w:sz w:val="24"/>
          <w:szCs w:val="24"/>
        </w:rPr>
        <w:t>земљама из региона</w:t>
      </w:r>
      <w:r w:rsidR="000E6412">
        <w:rPr>
          <w:rFonts w:ascii="Times New Roman" w:hAnsi="Times New Roman" w:cs="Times New Roman"/>
          <w:sz w:val="24"/>
          <w:szCs w:val="24"/>
        </w:rPr>
        <w:t xml:space="preserve"> (Табела7), </w:t>
      </w:r>
      <w:r>
        <w:rPr>
          <w:rFonts w:ascii="Times New Roman" w:hAnsi="Times New Roman" w:cs="Times New Roman"/>
          <w:sz w:val="24"/>
          <w:szCs w:val="24"/>
        </w:rPr>
        <w:t xml:space="preserve">такође </w:t>
      </w:r>
      <w:r w:rsidR="000E6412">
        <w:rPr>
          <w:rFonts w:ascii="Times New Roman" w:hAnsi="Times New Roman" w:cs="Times New Roman"/>
          <w:sz w:val="24"/>
          <w:szCs w:val="24"/>
        </w:rPr>
        <w:t xml:space="preserve">показује да је </w:t>
      </w:r>
      <w:r>
        <w:rPr>
          <w:rFonts w:ascii="Times New Roman" w:hAnsi="Times New Roman" w:cs="Times New Roman"/>
          <w:sz w:val="24"/>
          <w:szCs w:val="24"/>
        </w:rPr>
        <w:t xml:space="preserve">интензитет конкуренције у Србији </w:t>
      </w:r>
      <w:r w:rsidR="000E6412">
        <w:rPr>
          <w:rFonts w:ascii="Times New Roman" w:hAnsi="Times New Roman" w:cs="Times New Roman"/>
          <w:sz w:val="24"/>
          <w:szCs w:val="24"/>
        </w:rPr>
        <w:t xml:space="preserve">на незадовољавајуће ниском нивоу. </w:t>
      </w:r>
    </w:p>
    <w:p w:rsidR="00884CB7" w:rsidRPr="00C41DA4" w:rsidRDefault="00884CB7" w:rsidP="00F55A41">
      <w:pPr>
        <w:jc w:val="both"/>
        <w:rPr>
          <w:rFonts w:ascii="Times New Roman" w:hAnsi="Times New Roman" w:cs="Times New Roman"/>
          <w:b/>
          <w:sz w:val="24"/>
          <w:szCs w:val="24"/>
        </w:rPr>
      </w:pPr>
      <w:r w:rsidRPr="00B52C7D">
        <w:rPr>
          <w:rFonts w:ascii="Times New Roman" w:hAnsi="Times New Roman" w:cs="Times New Roman"/>
          <w:b/>
          <w:sz w:val="24"/>
          <w:szCs w:val="24"/>
        </w:rPr>
        <w:t>Табела</w:t>
      </w:r>
      <w:r w:rsidR="009E0B20">
        <w:rPr>
          <w:rFonts w:ascii="Times New Roman" w:hAnsi="Times New Roman" w:cs="Times New Roman"/>
          <w:b/>
          <w:sz w:val="24"/>
          <w:szCs w:val="24"/>
        </w:rPr>
        <w:t xml:space="preserve"> 7</w:t>
      </w:r>
    </w:p>
    <w:tbl>
      <w:tblPr>
        <w:tblStyle w:val="TableGrid"/>
        <w:tblW w:w="0" w:type="auto"/>
        <w:tblInd w:w="817" w:type="dxa"/>
        <w:tblLook w:val="04A0" w:firstRow="1" w:lastRow="0" w:firstColumn="1" w:lastColumn="0" w:noHBand="0" w:noVBand="1"/>
      </w:tblPr>
      <w:tblGrid>
        <w:gridCol w:w="2977"/>
        <w:gridCol w:w="3538"/>
        <w:gridCol w:w="2982"/>
      </w:tblGrid>
      <w:tr w:rsidR="00884CB7" w:rsidTr="00E01E9B">
        <w:tc>
          <w:tcPr>
            <w:tcW w:w="9497" w:type="dxa"/>
            <w:gridSpan w:val="3"/>
            <w:vAlign w:val="center"/>
          </w:tcPr>
          <w:p w:rsidR="00884CB7" w:rsidRPr="0037097C" w:rsidRDefault="00884CB7" w:rsidP="00E01E9B">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Просечан број понуда по закљученом уговору</w:t>
            </w:r>
          </w:p>
        </w:tc>
      </w:tr>
      <w:tr w:rsidR="00884CB7" w:rsidTr="00E01E9B">
        <w:tc>
          <w:tcPr>
            <w:tcW w:w="2977" w:type="dxa"/>
            <w:vAlign w:val="center"/>
          </w:tcPr>
          <w:p w:rsidR="00884CB7" w:rsidRPr="00646862" w:rsidRDefault="00646862" w:rsidP="00E01E9B">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Словенија*</w:t>
            </w:r>
          </w:p>
        </w:tc>
        <w:tc>
          <w:tcPr>
            <w:tcW w:w="3538" w:type="dxa"/>
            <w:vAlign w:val="center"/>
          </w:tcPr>
          <w:p w:rsidR="00884CB7" w:rsidRPr="007734EF" w:rsidRDefault="00884CB7" w:rsidP="00E01E9B">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Хрватска*</w:t>
            </w:r>
            <w:r w:rsidR="007734EF">
              <w:rPr>
                <w:rFonts w:ascii="Times New Roman CYR" w:hAnsi="Times New Roman CYR" w:cs="Times New Roman CYR"/>
                <w:b/>
                <w:color w:val="000000"/>
                <w:sz w:val="24"/>
                <w:szCs w:val="24"/>
              </w:rPr>
              <w:t>*</w:t>
            </w:r>
          </w:p>
        </w:tc>
        <w:tc>
          <w:tcPr>
            <w:tcW w:w="2982" w:type="dxa"/>
            <w:vAlign w:val="center"/>
          </w:tcPr>
          <w:p w:rsidR="00884CB7" w:rsidRPr="00B52C7D" w:rsidRDefault="00646862" w:rsidP="00E01E9B">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Црна Гора</w:t>
            </w:r>
            <w:r w:rsidR="007734EF">
              <w:rPr>
                <w:rFonts w:ascii="Times New Roman CYR" w:hAnsi="Times New Roman CYR" w:cs="Times New Roman CYR"/>
                <w:b/>
                <w:color w:val="000000"/>
                <w:sz w:val="24"/>
                <w:szCs w:val="24"/>
              </w:rPr>
              <w:t>***</w:t>
            </w:r>
          </w:p>
        </w:tc>
      </w:tr>
      <w:tr w:rsidR="00884CB7" w:rsidTr="00E01E9B">
        <w:tc>
          <w:tcPr>
            <w:tcW w:w="2977" w:type="dxa"/>
            <w:vAlign w:val="center"/>
          </w:tcPr>
          <w:p w:rsidR="00884CB7" w:rsidRPr="00646862" w:rsidRDefault="007734EF" w:rsidP="00E01E9B">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3,6</w:t>
            </w:r>
          </w:p>
        </w:tc>
        <w:tc>
          <w:tcPr>
            <w:tcW w:w="3538" w:type="dxa"/>
            <w:vAlign w:val="center"/>
          </w:tcPr>
          <w:p w:rsidR="00884CB7" w:rsidRPr="00AB3BCC" w:rsidRDefault="00884CB7" w:rsidP="00E01E9B">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3,3</w:t>
            </w:r>
          </w:p>
        </w:tc>
        <w:tc>
          <w:tcPr>
            <w:tcW w:w="2982" w:type="dxa"/>
            <w:vAlign w:val="center"/>
          </w:tcPr>
          <w:p w:rsidR="00884CB7" w:rsidRPr="007734EF" w:rsidRDefault="00EB7114" w:rsidP="00E01E9B">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r w:rsidR="007734EF">
              <w:rPr>
                <w:rFonts w:ascii="Times New Roman CYR" w:hAnsi="Times New Roman CYR" w:cs="Times New Roman CYR"/>
                <w:color w:val="000000"/>
                <w:sz w:val="24"/>
                <w:szCs w:val="24"/>
              </w:rPr>
              <w:t>,1</w:t>
            </w:r>
          </w:p>
        </w:tc>
      </w:tr>
    </w:tbl>
    <w:p w:rsidR="00740B7E" w:rsidRDefault="00740B7E" w:rsidP="00F55A41">
      <w:pPr>
        <w:jc w:val="both"/>
        <w:rPr>
          <w:rFonts w:ascii="Times New Roman" w:hAnsi="Times New Roman" w:cs="Times New Roman"/>
        </w:rPr>
      </w:pPr>
    </w:p>
    <w:p w:rsidR="005948EB" w:rsidRDefault="005948EB" w:rsidP="00F55A41">
      <w:pPr>
        <w:jc w:val="both"/>
        <w:rPr>
          <w:rFonts w:ascii="Times New Roman" w:hAnsi="Times New Roman" w:cs="Times New Roman"/>
          <w:sz w:val="20"/>
          <w:szCs w:val="20"/>
        </w:rPr>
      </w:pPr>
    </w:p>
    <w:p w:rsidR="007734EF" w:rsidRPr="00FB58EA" w:rsidRDefault="00884CB7" w:rsidP="00F55A41">
      <w:pPr>
        <w:jc w:val="both"/>
        <w:rPr>
          <w:rFonts w:ascii="Times New Roman" w:hAnsi="Times New Roman" w:cs="Times New Roman"/>
          <w:sz w:val="20"/>
          <w:szCs w:val="20"/>
        </w:rPr>
      </w:pPr>
      <w:r w:rsidRPr="00FB58EA">
        <w:rPr>
          <w:rFonts w:ascii="Times New Roman" w:hAnsi="Times New Roman" w:cs="Times New Roman"/>
          <w:sz w:val="20"/>
          <w:szCs w:val="20"/>
        </w:rPr>
        <w:t xml:space="preserve">* </w:t>
      </w:r>
      <w:r w:rsidR="007734EF" w:rsidRPr="00FB58EA">
        <w:rPr>
          <w:rFonts w:ascii="Times New Roman" w:hAnsi="Times New Roman" w:cs="Times New Roman"/>
          <w:sz w:val="20"/>
          <w:szCs w:val="20"/>
        </w:rPr>
        <w:t xml:space="preserve">2012. година, Извор: Статистички извештај о јавним набавкама реализованим у 2012. години, Директорат за јавне набавке, Република Словенија, линк: </w:t>
      </w:r>
      <w:hyperlink r:id="rId27" w:tgtFrame="_blank" w:history="1">
        <w:r w:rsidR="007734EF" w:rsidRPr="00FB58EA">
          <w:rPr>
            <w:rStyle w:val="Hyperlink"/>
            <w:rFonts w:ascii="Times New Roman" w:hAnsi="Times New Roman" w:cs="Times New Roman"/>
            <w:sz w:val="20"/>
            <w:szCs w:val="20"/>
          </w:rPr>
          <w:t>http://www.djn.mf.gov.si/resources/files/Sistem_javnega_narocanja/Stat_por_JN2012_IN.pdf</w:t>
        </w:r>
      </w:hyperlink>
    </w:p>
    <w:p w:rsidR="00884CB7" w:rsidRPr="00FB58EA" w:rsidRDefault="007734EF" w:rsidP="00587386">
      <w:pPr>
        <w:rPr>
          <w:rFonts w:ascii="Times New Roman" w:hAnsi="Times New Roman" w:cs="Times New Roman"/>
          <w:sz w:val="20"/>
          <w:szCs w:val="20"/>
        </w:rPr>
      </w:pPr>
      <w:r w:rsidRPr="00FB58EA">
        <w:rPr>
          <w:rFonts w:ascii="Times New Roman" w:hAnsi="Times New Roman" w:cs="Times New Roman"/>
          <w:sz w:val="20"/>
          <w:szCs w:val="20"/>
        </w:rPr>
        <w:t>**</w:t>
      </w:r>
      <w:r w:rsidR="00884CB7" w:rsidRPr="00FB58EA">
        <w:rPr>
          <w:rFonts w:ascii="Times New Roman" w:hAnsi="Times New Roman" w:cs="Times New Roman"/>
          <w:sz w:val="20"/>
          <w:szCs w:val="20"/>
        </w:rPr>
        <w:t>2011</w:t>
      </w:r>
      <w:r w:rsidR="002415F4" w:rsidRPr="00FB58EA">
        <w:rPr>
          <w:rFonts w:ascii="Times New Roman" w:hAnsi="Times New Roman" w:cs="Times New Roman"/>
          <w:sz w:val="20"/>
          <w:szCs w:val="20"/>
        </w:rPr>
        <w:t>.</w:t>
      </w:r>
      <w:r w:rsidR="00884CB7" w:rsidRPr="00FB58EA">
        <w:rPr>
          <w:rFonts w:ascii="Times New Roman" w:hAnsi="Times New Roman" w:cs="Times New Roman"/>
          <w:sz w:val="20"/>
          <w:szCs w:val="20"/>
        </w:rPr>
        <w:t xml:space="preserve"> година, Извор: Статистички годишњи извештај о јавним набавкама за 2011. годину, Портал јавнихнабавки, РепубликаХрватска</w:t>
      </w:r>
      <w:r w:rsidR="007E1FAD" w:rsidRPr="00FB58EA">
        <w:rPr>
          <w:rFonts w:ascii="Times New Roman" w:hAnsi="Times New Roman" w:cs="Times New Roman"/>
          <w:sz w:val="20"/>
          <w:szCs w:val="20"/>
        </w:rPr>
        <w:t xml:space="preserve">, </w:t>
      </w:r>
      <w:r w:rsidR="009F3C49" w:rsidRPr="00FB58EA">
        <w:rPr>
          <w:rFonts w:ascii="Times New Roman" w:hAnsi="Times New Roman" w:cs="Times New Roman"/>
          <w:sz w:val="20"/>
          <w:szCs w:val="20"/>
        </w:rPr>
        <w:t xml:space="preserve">страна 45, </w:t>
      </w:r>
      <w:r w:rsidR="007E1FAD" w:rsidRPr="00FB58EA">
        <w:rPr>
          <w:rFonts w:ascii="Times New Roman" w:hAnsi="Times New Roman" w:cs="Times New Roman"/>
          <w:sz w:val="20"/>
          <w:szCs w:val="20"/>
        </w:rPr>
        <w:t xml:space="preserve">линк: </w:t>
      </w:r>
      <w:hyperlink r:id="rId28" w:history="1">
        <w:r w:rsidR="007E1FAD" w:rsidRPr="00FB58EA">
          <w:rPr>
            <w:rStyle w:val="Hyperlink"/>
            <w:rFonts w:ascii="Times New Roman" w:hAnsi="Times New Roman" w:cs="Times New Roman"/>
            <w:sz w:val="20"/>
            <w:szCs w:val="20"/>
          </w:rPr>
          <w:t>http://www.javnanabava.hr/userdocsimages/userfiles/file/Statistička%20izvješća/Godišnja/Statisticko_izvjesce_JN-2011.pdf</w:t>
        </w:r>
      </w:hyperlink>
    </w:p>
    <w:p w:rsidR="007E1FAD" w:rsidRDefault="007734EF" w:rsidP="00F55A41">
      <w:pPr>
        <w:pStyle w:val="FootnoteText"/>
        <w:jc w:val="both"/>
        <w:rPr>
          <w:rFonts w:ascii="Times New Roman" w:hAnsi="Times New Roman" w:cs="Times New Roman"/>
        </w:rPr>
      </w:pPr>
      <w:r w:rsidRPr="00FB58EA">
        <w:rPr>
          <w:rFonts w:ascii="Times New Roman" w:hAnsi="Times New Roman" w:cs="Times New Roman"/>
        </w:rPr>
        <w:t>***201</w:t>
      </w:r>
      <w:r w:rsidR="00EB7114">
        <w:rPr>
          <w:rFonts w:ascii="Times New Roman" w:hAnsi="Times New Roman" w:cs="Times New Roman"/>
        </w:rPr>
        <w:t>3</w:t>
      </w:r>
      <w:r w:rsidRPr="00FB58EA">
        <w:rPr>
          <w:rFonts w:ascii="Times New Roman" w:hAnsi="Times New Roman" w:cs="Times New Roman"/>
        </w:rPr>
        <w:t>. година, Извор:  Извештај о јавним набавкама у Црној Гори за 201</w:t>
      </w:r>
      <w:r w:rsidR="00EB7114">
        <w:rPr>
          <w:rFonts w:ascii="Times New Roman" w:hAnsi="Times New Roman" w:cs="Times New Roman"/>
        </w:rPr>
        <w:t>3</w:t>
      </w:r>
      <w:r w:rsidRPr="00FB58EA">
        <w:rPr>
          <w:rFonts w:ascii="Times New Roman" w:hAnsi="Times New Roman" w:cs="Times New Roman"/>
        </w:rPr>
        <w:t xml:space="preserve">. годину, Управа за јавне набавке Црне Горе, линк: </w:t>
      </w:r>
      <w:hyperlink r:id="rId29" w:history="1">
        <w:r w:rsidR="00EB7114" w:rsidRPr="00A62A86">
          <w:rPr>
            <w:rStyle w:val="Hyperlink"/>
          </w:rPr>
          <w:t>http://www.ujn.gov.me/wp-content/uploads/2014/06/Izvjestaj2013.pdf</w:t>
        </w:r>
      </w:hyperlink>
      <w:r w:rsidR="00C73F33">
        <w:rPr>
          <w:rStyle w:val="Hyperlink"/>
        </w:rPr>
        <w:t xml:space="preserve">, </w:t>
      </w:r>
      <w:r w:rsidR="00EB7114">
        <w:rPr>
          <w:rFonts w:ascii="Times New Roman" w:hAnsi="Times New Roman" w:cs="Times New Roman"/>
        </w:rPr>
        <w:t>Табела 26</w:t>
      </w:r>
      <w:r w:rsidRPr="00FB58EA">
        <w:rPr>
          <w:rFonts w:ascii="Times New Roman" w:hAnsi="Times New Roman" w:cs="Times New Roman"/>
        </w:rPr>
        <w:t xml:space="preserve">, стр. </w:t>
      </w:r>
      <w:r w:rsidR="00EB7114">
        <w:rPr>
          <w:rFonts w:ascii="Times New Roman" w:hAnsi="Times New Roman" w:cs="Times New Roman"/>
        </w:rPr>
        <w:t>7</w:t>
      </w:r>
      <w:r w:rsidRPr="00FB58EA">
        <w:rPr>
          <w:rFonts w:ascii="Times New Roman" w:hAnsi="Times New Roman" w:cs="Times New Roman"/>
        </w:rPr>
        <w:t xml:space="preserve">1 </w:t>
      </w:r>
    </w:p>
    <w:p w:rsidR="00FB58EA" w:rsidRPr="00FB58EA" w:rsidRDefault="00FB58EA" w:rsidP="00F55A41">
      <w:pPr>
        <w:pStyle w:val="FootnoteText"/>
        <w:jc w:val="both"/>
        <w:rPr>
          <w:rFonts w:ascii="Times New Roman" w:hAnsi="Times New Roman" w:cs="Times New Roman"/>
        </w:rPr>
      </w:pPr>
    </w:p>
    <w:p w:rsidR="004169ED" w:rsidRPr="001E1F62" w:rsidRDefault="004169ED" w:rsidP="00F55A41">
      <w:pPr>
        <w:jc w:val="both"/>
        <w:rPr>
          <w:rFonts w:ascii="Times New Roman" w:hAnsi="Times New Roman" w:cs="Times New Roman"/>
          <w:color w:val="FF0000"/>
          <w:sz w:val="24"/>
          <w:szCs w:val="24"/>
        </w:rPr>
      </w:pPr>
      <w:r>
        <w:rPr>
          <w:rFonts w:ascii="Times New Roman" w:hAnsi="Times New Roman" w:cs="Times New Roman"/>
          <w:sz w:val="24"/>
          <w:szCs w:val="24"/>
        </w:rPr>
        <w:t>Као извор података за Словенију</w:t>
      </w:r>
      <w:r w:rsidR="007734EF">
        <w:rPr>
          <w:rFonts w:ascii="Times New Roman" w:hAnsi="Times New Roman" w:cs="Times New Roman"/>
          <w:sz w:val="24"/>
          <w:szCs w:val="24"/>
        </w:rPr>
        <w:t xml:space="preserve">, </w:t>
      </w:r>
      <w:r>
        <w:rPr>
          <w:rFonts w:ascii="Times New Roman" w:hAnsi="Times New Roman" w:cs="Times New Roman"/>
          <w:sz w:val="24"/>
          <w:szCs w:val="24"/>
        </w:rPr>
        <w:t>Хрватску</w:t>
      </w:r>
      <w:r w:rsidR="001B0459">
        <w:rPr>
          <w:rFonts w:ascii="Times New Roman" w:hAnsi="Times New Roman" w:cs="Times New Roman"/>
          <w:sz w:val="24"/>
          <w:szCs w:val="24"/>
          <w:lang w:val="sr-Cyrl-RS"/>
        </w:rPr>
        <w:t xml:space="preserve"> </w:t>
      </w:r>
      <w:r w:rsidR="007734EF">
        <w:rPr>
          <w:rFonts w:ascii="Times New Roman" w:hAnsi="Times New Roman" w:cs="Times New Roman"/>
          <w:sz w:val="24"/>
          <w:szCs w:val="24"/>
        </w:rPr>
        <w:t xml:space="preserve">и Црну Гору </w:t>
      </w:r>
      <w:r>
        <w:rPr>
          <w:rFonts w:ascii="Times New Roman" w:hAnsi="Times New Roman" w:cs="Times New Roman"/>
          <w:sz w:val="24"/>
          <w:szCs w:val="24"/>
        </w:rPr>
        <w:t xml:space="preserve">коришћени су последњи доступни статистички извештаји о јавним набавкама који садрже податак о просечном броју понуда по закљученом уговору. </w:t>
      </w:r>
    </w:p>
    <w:p w:rsidR="00042423" w:rsidRPr="00F9719B" w:rsidRDefault="00042423" w:rsidP="00F55A41">
      <w:pPr>
        <w:jc w:val="both"/>
        <w:rPr>
          <w:rFonts w:ascii="Times New Roman" w:hAnsi="Times New Roman" w:cs="Times New Roman"/>
          <w:sz w:val="24"/>
          <w:szCs w:val="24"/>
        </w:rPr>
      </w:pPr>
      <w:r w:rsidRPr="00F9719B">
        <w:rPr>
          <w:rFonts w:ascii="Times New Roman" w:hAnsi="Times New Roman" w:cs="Times New Roman"/>
          <w:sz w:val="24"/>
          <w:szCs w:val="24"/>
        </w:rPr>
        <w:t xml:space="preserve">Колико је избор поступка значајан за интензитет конкуренције говори и податак да је просечан број понуда у отвореном поступку у 2014. години био 2,7, док је просечан број понуда у преговарачком поступку без објављивања јавног позива износио готово двоструко мање (1,4). То јасно </w:t>
      </w:r>
      <w:r w:rsidR="001878AB" w:rsidRPr="00F9719B">
        <w:rPr>
          <w:rFonts w:ascii="Times New Roman" w:hAnsi="Times New Roman" w:cs="Times New Roman"/>
          <w:sz w:val="24"/>
          <w:szCs w:val="24"/>
          <w:lang w:val="sr-Cyrl-RS"/>
        </w:rPr>
        <w:t>показује</w:t>
      </w:r>
      <w:r w:rsidRPr="00F9719B">
        <w:rPr>
          <w:rFonts w:ascii="Times New Roman" w:hAnsi="Times New Roman" w:cs="Times New Roman"/>
          <w:sz w:val="24"/>
          <w:szCs w:val="24"/>
        </w:rPr>
        <w:t xml:space="preserve"> колики је </w:t>
      </w:r>
      <w:r w:rsidR="00E12CD2" w:rsidRPr="00F9719B">
        <w:rPr>
          <w:rFonts w:ascii="Times New Roman" w:hAnsi="Times New Roman" w:cs="Times New Roman"/>
          <w:sz w:val="24"/>
          <w:szCs w:val="24"/>
          <w:lang w:val="sr-Cyrl-RS"/>
        </w:rPr>
        <w:t>утицај</w:t>
      </w:r>
      <w:r w:rsidRPr="00F9719B">
        <w:rPr>
          <w:rFonts w:ascii="Times New Roman" w:hAnsi="Times New Roman" w:cs="Times New Roman"/>
          <w:sz w:val="24"/>
          <w:szCs w:val="24"/>
        </w:rPr>
        <w:t xml:space="preserve"> имало повећање учешћа отвореног поступка у односу на преговарачки на показатељ интензитета конкуренције. Другим речима, да није било промена у структури поступака, пад у интензитету конкуренције би био засигурно већи. </w:t>
      </w:r>
    </w:p>
    <w:p w:rsidR="00A70DA5" w:rsidRPr="00F9719B" w:rsidRDefault="00042423" w:rsidP="00F55A41">
      <w:pPr>
        <w:jc w:val="both"/>
        <w:rPr>
          <w:rFonts w:ascii="Times New Roman" w:hAnsi="Times New Roman" w:cs="Times New Roman"/>
          <w:sz w:val="24"/>
          <w:szCs w:val="24"/>
        </w:rPr>
      </w:pPr>
      <w:r w:rsidRPr="00F9719B">
        <w:rPr>
          <w:rFonts w:ascii="Times New Roman" w:hAnsi="Times New Roman" w:cs="Times New Roman"/>
          <w:sz w:val="24"/>
          <w:szCs w:val="24"/>
        </w:rPr>
        <w:t xml:space="preserve">У </w:t>
      </w:r>
      <w:r w:rsidR="00345FD7" w:rsidRPr="00F9719B">
        <w:rPr>
          <w:rFonts w:ascii="Times New Roman" w:hAnsi="Times New Roman" w:cs="Times New Roman"/>
          <w:sz w:val="24"/>
          <w:szCs w:val="24"/>
          <w:lang w:val="sr-Cyrl-RS"/>
        </w:rPr>
        <w:t>Т</w:t>
      </w:r>
      <w:r w:rsidRPr="00F9719B">
        <w:rPr>
          <w:rFonts w:ascii="Times New Roman" w:hAnsi="Times New Roman" w:cs="Times New Roman"/>
          <w:sz w:val="24"/>
          <w:szCs w:val="24"/>
        </w:rPr>
        <w:t>абели 8 приказано је како се кретало учешће уговора у поступцима код којих је била поднета само јед</w:t>
      </w:r>
      <w:r w:rsidR="00D806CD" w:rsidRPr="00F9719B">
        <w:rPr>
          <w:rFonts w:ascii="Times New Roman" w:hAnsi="Times New Roman" w:cs="Times New Roman"/>
          <w:sz w:val="24"/>
          <w:szCs w:val="24"/>
          <w:lang w:val="sr-Cyrl-RS"/>
        </w:rPr>
        <w:t>на</w:t>
      </w:r>
      <w:r w:rsidRPr="00F9719B">
        <w:rPr>
          <w:rFonts w:ascii="Times New Roman" w:hAnsi="Times New Roman" w:cs="Times New Roman"/>
          <w:sz w:val="24"/>
          <w:szCs w:val="24"/>
        </w:rPr>
        <w:t xml:space="preserve"> понуда. У 2014. години је достигнут рекордно висок ниво </w:t>
      </w:r>
      <w:r w:rsidR="00A70DA5" w:rsidRPr="00F9719B">
        <w:rPr>
          <w:rFonts w:ascii="Times New Roman" w:hAnsi="Times New Roman" w:cs="Times New Roman"/>
          <w:sz w:val="24"/>
          <w:szCs w:val="24"/>
        </w:rPr>
        <w:t>од 42,6%</w:t>
      </w:r>
      <w:r w:rsidR="00D806CD" w:rsidRPr="00F9719B">
        <w:rPr>
          <w:rFonts w:ascii="Times New Roman" w:hAnsi="Times New Roman" w:cs="Times New Roman"/>
          <w:sz w:val="24"/>
          <w:szCs w:val="24"/>
          <w:lang w:val="sr-Cyrl-RS"/>
        </w:rPr>
        <w:t xml:space="preserve">, </w:t>
      </w:r>
      <w:r w:rsidR="00A70DA5" w:rsidRPr="00F9719B">
        <w:rPr>
          <w:rFonts w:ascii="Times New Roman" w:hAnsi="Times New Roman" w:cs="Times New Roman"/>
          <w:sz w:val="24"/>
          <w:szCs w:val="24"/>
        </w:rPr>
        <w:t xml:space="preserve"> што јасно </w:t>
      </w:r>
      <w:r w:rsidR="00D806CD" w:rsidRPr="00F9719B">
        <w:rPr>
          <w:rFonts w:ascii="Times New Roman" w:hAnsi="Times New Roman" w:cs="Times New Roman"/>
          <w:sz w:val="24"/>
          <w:szCs w:val="24"/>
          <w:lang w:val="sr-Cyrl-RS"/>
        </w:rPr>
        <w:t>указује на</w:t>
      </w:r>
      <w:r w:rsidR="00A70DA5" w:rsidRPr="00F9719B">
        <w:rPr>
          <w:rFonts w:ascii="Times New Roman" w:hAnsi="Times New Roman" w:cs="Times New Roman"/>
          <w:sz w:val="24"/>
          <w:szCs w:val="24"/>
        </w:rPr>
        <w:t xml:space="preserve"> одсуство </w:t>
      </w:r>
      <w:r w:rsidR="00A70DA5" w:rsidRPr="00F9719B">
        <w:rPr>
          <w:rFonts w:ascii="Times New Roman" w:hAnsi="Times New Roman" w:cs="Times New Roman"/>
          <w:sz w:val="24"/>
          <w:szCs w:val="24"/>
        </w:rPr>
        <w:lastRenderedPageBreak/>
        <w:t xml:space="preserve">интересовања понуђача да учествују у поступцима јавних набавки. Алармантна вредност од преко 40% учешћа поступака са само једном понудом забележена је само 2012. године, с тим да је тада просечан број понуда у отвореном поступку износи 3,00, наспрам 2,7 колико је био у 2014. години. </w:t>
      </w:r>
    </w:p>
    <w:p w:rsidR="00042423" w:rsidRPr="00F9719B" w:rsidRDefault="00A70DA5" w:rsidP="00F55A41">
      <w:pPr>
        <w:jc w:val="both"/>
        <w:rPr>
          <w:rFonts w:ascii="Times New Roman" w:hAnsi="Times New Roman" w:cs="Times New Roman"/>
          <w:sz w:val="24"/>
          <w:szCs w:val="24"/>
        </w:rPr>
      </w:pPr>
      <w:r w:rsidRPr="00F9719B">
        <w:rPr>
          <w:rFonts w:ascii="Times New Roman" w:hAnsi="Times New Roman" w:cs="Times New Roman"/>
          <w:sz w:val="24"/>
          <w:szCs w:val="24"/>
        </w:rPr>
        <w:t>Наведени подаци јасно упућују да су на тржишту јавних набавки присутни системски фактори који ограничавају учешће понуђача у поступцима јавних набавки, тако да је ефекат регулаторне мере усмерен ка повећању конкурентних поступака имао ограничен домет, прецизније речено</w:t>
      </w:r>
      <w:r w:rsidR="00B13236" w:rsidRPr="00F9719B">
        <w:rPr>
          <w:rFonts w:ascii="Times New Roman" w:hAnsi="Times New Roman" w:cs="Times New Roman"/>
          <w:sz w:val="24"/>
          <w:szCs w:val="24"/>
          <w:lang w:val="sr-Cyrl-RS"/>
        </w:rPr>
        <w:t>,</w:t>
      </w:r>
      <w:r w:rsidRPr="00F9719B">
        <w:rPr>
          <w:rFonts w:ascii="Times New Roman" w:hAnsi="Times New Roman" w:cs="Times New Roman"/>
          <w:sz w:val="24"/>
          <w:szCs w:val="24"/>
        </w:rPr>
        <w:t xml:space="preserve"> ублажио је пад просечног броја понуда по закљученом уговору. </w:t>
      </w:r>
    </w:p>
    <w:p w:rsidR="00042423" w:rsidRPr="00F9719B" w:rsidRDefault="002A24AC" w:rsidP="002A24AC">
      <w:pPr>
        <w:jc w:val="both"/>
        <w:rPr>
          <w:rFonts w:ascii="Times New Roman" w:hAnsi="Times New Roman" w:cs="Times New Roman"/>
          <w:b/>
          <w:sz w:val="24"/>
          <w:szCs w:val="24"/>
          <w:lang w:val="sr-Cyrl-RS"/>
        </w:rPr>
      </w:pPr>
      <w:r w:rsidRPr="00F9719B">
        <w:rPr>
          <w:rFonts w:ascii="Times New Roman" w:hAnsi="Times New Roman" w:cs="Times New Roman"/>
          <w:b/>
          <w:sz w:val="24"/>
          <w:szCs w:val="24"/>
        </w:rPr>
        <w:t xml:space="preserve">Табела 8     </w:t>
      </w:r>
    </w:p>
    <w:tbl>
      <w:tblPr>
        <w:tblStyle w:val="TableGrid"/>
        <w:tblW w:w="0" w:type="auto"/>
        <w:tblInd w:w="108" w:type="dxa"/>
        <w:tblLook w:val="0000" w:firstRow="0" w:lastRow="0" w:firstColumn="0" w:lastColumn="0" w:noHBand="0" w:noVBand="0"/>
      </w:tblPr>
      <w:tblGrid>
        <w:gridCol w:w="973"/>
        <w:gridCol w:w="816"/>
        <w:gridCol w:w="816"/>
        <w:gridCol w:w="816"/>
        <w:gridCol w:w="816"/>
        <w:gridCol w:w="816"/>
        <w:gridCol w:w="816"/>
        <w:gridCol w:w="816"/>
        <w:gridCol w:w="816"/>
        <w:gridCol w:w="816"/>
        <w:gridCol w:w="816"/>
        <w:gridCol w:w="816"/>
        <w:gridCol w:w="816"/>
      </w:tblGrid>
      <w:tr w:rsidR="00F9719B" w:rsidRPr="00F9719B" w:rsidTr="002A24AC">
        <w:tblPrEx>
          <w:tblCellMar>
            <w:top w:w="0" w:type="dxa"/>
            <w:bottom w:w="0" w:type="dxa"/>
          </w:tblCellMar>
        </w:tblPrEx>
        <w:trPr>
          <w:trHeight w:val="540"/>
        </w:trPr>
        <w:tc>
          <w:tcPr>
            <w:tcW w:w="10765" w:type="dxa"/>
            <w:gridSpan w:val="13"/>
            <w:vAlign w:val="center"/>
          </w:tcPr>
          <w:p w:rsidR="002A24AC" w:rsidRPr="00F9719B" w:rsidRDefault="002A24AC" w:rsidP="002A24AC">
            <w:pPr>
              <w:jc w:val="center"/>
            </w:pPr>
            <w:r w:rsidRPr="00F9719B">
              <w:rPr>
                <w:rFonts w:ascii="Arial" w:hAnsi="Arial" w:cs="Arial"/>
                <w:b/>
                <w:bCs/>
              </w:rPr>
              <w:t>Заступљеност уговора са једном пристиглом понудом ( у %), по годинама</w:t>
            </w:r>
          </w:p>
        </w:tc>
      </w:tr>
      <w:tr w:rsidR="00F9719B" w:rsidRPr="00F9719B" w:rsidTr="002A24AC">
        <w:tblPrEx>
          <w:tblCellMar>
            <w:top w:w="0" w:type="dxa"/>
            <w:bottom w:w="0" w:type="dxa"/>
          </w:tblCellMar>
          <w:tblLook w:val="04A0" w:firstRow="1" w:lastRow="0" w:firstColumn="1" w:lastColumn="0" w:noHBand="0" w:noVBand="1"/>
        </w:tblPrEx>
        <w:trPr>
          <w:trHeight w:val="300"/>
        </w:trPr>
        <w:tc>
          <w:tcPr>
            <w:tcW w:w="973"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Година</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2003</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2004</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2005</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2006</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2007</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2008</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2009</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2010</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2011</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2012</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2013</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2014</w:t>
            </w:r>
          </w:p>
        </w:tc>
      </w:tr>
      <w:tr w:rsidR="00F9719B" w:rsidRPr="00F9719B" w:rsidTr="002A24AC">
        <w:tblPrEx>
          <w:tblCellMar>
            <w:top w:w="0" w:type="dxa"/>
            <w:bottom w:w="0" w:type="dxa"/>
          </w:tblCellMar>
          <w:tblLook w:val="04A0" w:firstRow="1" w:lastRow="0" w:firstColumn="1" w:lastColumn="0" w:noHBand="0" w:noVBand="1"/>
        </w:tblPrEx>
        <w:trPr>
          <w:trHeight w:val="300"/>
        </w:trPr>
        <w:tc>
          <w:tcPr>
            <w:tcW w:w="973"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13,8</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18,1</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27,2</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26,9</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28,6</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31,3</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30,7</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34,6</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39,7</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41,8</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36,8</w:t>
            </w:r>
          </w:p>
        </w:tc>
        <w:tc>
          <w:tcPr>
            <w:tcW w:w="816" w:type="dxa"/>
            <w:noWrap/>
            <w:hideMark/>
          </w:tcPr>
          <w:p w:rsidR="00D87B44" w:rsidRPr="00F9719B" w:rsidRDefault="00D87B44" w:rsidP="002A24AC">
            <w:pPr>
              <w:jc w:val="center"/>
              <w:rPr>
                <w:rFonts w:ascii="Times New Roman" w:hAnsi="Times New Roman" w:cs="Times New Roman"/>
                <w:sz w:val="24"/>
                <w:szCs w:val="24"/>
              </w:rPr>
            </w:pPr>
            <w:r w:rsidRPr="00F9719B">
              <w:rPr>
                <w:rFonts w:ascii="Times New Roman" w:hAnsi="Times New Roman" w:cs="Times New Roman"/>
                <w:sz w:val="24"/>
                <w:szCs w:val="24"/>
              </w:rPr>
              <w:t>42,6</w:t>
            </w:r>
          </w:p>
        </w:tc>
      </w:tr>
    </w:tbl>
    <w:p w:rsidR="00042423" w:rsidRPr="002A24AC" w:rsidRDefault="00042423" w:rsidP="00D87B44">
      <w:pPr>
        <w:rPr>
          <w:rFonts w:ascii="Times New Roman" w:hAnsi="Times New Roman" w:cs="Times New Roman"/>
          <w:sz w:val="24"/>
          <w:szCs w:val="24"/>
          <w:lang w:val="sr-Cyrl-RS"/>
        </w:rPr>
      </w:pPr>
    </w:p>
    <w:p w:rsidR="00DF0138" w:rsidRPr="00070C23" w:rsidRDefault="0082151A" w:rsidP="00F55A41">
      <w:pPr>
        <w:jc w:val="both"/>
        <w:rPr>
          <w:rFonts w:ascii="Times New Roman" w:hAnsi="Times New Roman" w:cs="Times New Roman"/>
          <w:sz w:val="24"/>
          <w:szCs w:val="24"/>
        </w:rPr>
      </w:pPr>
      <w:r>
        <w:rPr>
          <w:rFonts w:ascii="Times New Roman" w:hAnsi="Times New Roman" w:cs="Times New Roman"/>
          <w:sz w:val="24"/>
          <w:szCs w:val="24"/>
        </w:rPr>
        <w:t>Стога се као један од приоритета у наредном периоду намеће идентификовање и отклањање препрека за веће учешће понуђача у поступцима јавних набавки, а пре свега малих и сре</w:t>
      </w:r>
      <w:r w:rsidR="00C61911">
        <w:rPr>
          <w:rFonts w:ascii="Times New Roman" w:hAnsi="Times New Roman" w:cs="Times New Roman"/>
          <w:sz w:val="24"/>
          <w:szCs w:val="24"/>
        </w:rPr>
        <w:t>д</w:t>
      </w:r>
      <w:r>
        <w:rPr>
          <w:rFonts w:ascii="Times New Roman" w:hAnsi="Times New Roman" w:cs="Times New Roman"/>
          <w:sz w:val="24"/>
          <w:szCs w:val="24"/>
        </w:rPr>
        <w:t xml:space="preserve">њих предузећа. </w:t>
      </w:r>
    </w:p>
    <w:p w:rsidR="001453FB" w:rsidRPr="00CC5D30" w:rsidRDefault="001453FB" w:rsidP="00F55A41">
      <w:pPr>
        <w:pStyle w:val="ListParagraph"/>
        <w:numPr>
          <w:ilvl w:val="0"/>
          <w:numId w:val="2"/>
        </w:numPr>
        <w:jc w:val="both"/>
        <w:rPr>
          <w:rFonts w:ascii="Times New Roman" w:hAnsi="Times New Roman" w:cs="Times New Roman"/>
          <w:b/>
          <w:sz w:val="24"/>
          <w:szCs w:val="24"/>
        </w:rPr>
      </w:pPr>
      <w:r w:rsidRPr="00CC5D30">
        <w:rPr>
          <w:rFonts w:ascii="Times New Roman" w:hAnsi="Times New Roman" w:cs="Times New Roman"/>
          <w:b/>
          <w:sz w:val="24"/>
          <w:szCs w:val="24"/>
        </w:rPr>
        <w:t>РЕГИСТАР ПОНУЂАЧА</w:t>
      </w:r>
    </w:p>
    <w:p w:rsidR="000E4D09" w:rsidRDefault="000E4D09" w:rsidP="00F55A41">
      <w:pPr>
        <w:jc w:val="both"/>
        <w:rPr>
          <w:rFonts w:ascii="Times New Roman" w:hAnsi="Times New Roman" w:cs="Times New Roman"/>
          <w:sz w:val="24"/>
          <w:szCs w:val="24"/>
        </w:rPr>
      </w:pPr>
      <w:r>
        <w:rPr>
          <w:rFonts w:ascii="Times New Roman" w:hAnsi="Times New Roman" w:cs="Times New Roman"/>
          <w:sz w:val="24"/>
          <w:szCs w:val="24"/>
        </w:rPr>
        <w:t>Један од значајних фактора који олакшавају учешће понуђачима у поступцима јавних набавки јесте смањивање ад</w:t>
      </w:r>
      <w:r w:rsidR="000A277D">
        <w:rPr>
          <w:rFonts w:ascii="Times New Roman" w:hAnsi="Times New Roman" w:cs="Times New Roman"/>
          <w:sz w:val="24"/>
          <w:szCs w:val="24"/>
        </w:rPr>
        <w:t>министративног терета и трошка, и то како времена тако и новца. Дакле, с</w:t>
      </w:r>
      <w:r>
        <w:rPr>
          <w:rFonts w:ascii="Times New Roman" w:hAnsi="Times New Roman" w:cs="Times New Roman"/>
          <w:sz w:val="24"/>
          <w:szCs w:val="24"/>
        </w:rPr>
        <w:t xml:space="preserve">мањивање овог оптерећења </w:t>
      </w:r>
      <w:r w:rsidR="000A277D">
        <w:rPr>
          <w:rFonts w:ascii="Times New Roman" w:hAnsi="Times New Roman" w:cs="Times New Roman"/>
          <w:sz w:val="24"/>
          <w:szCs w:val="24"/>
        </w:rPr>
        <w:t xml:space="preserve">треба да </w:t>
      </w:r>
      <w:r>
        <w:rPr>
          <w:rFonts w:ascii="Times New Roman" w:hAnsi="Times New Roman" w:cs="Times New Roman"/>
          <w:sz w:val="24"/>
          <w:szCs w:val="24"/>
        </w:rPr>
        <w:t>делује подстицајно на понуђач</w:t>
      </w:r>
      <w:r w:rsidR="000A277D">
        <w:rPr>
          <w:rFonts w:ascii="Times New Roman" w:hAnsi="Times New Roman" w:cs="Times New Roman"/>
          <w:sz w:val="24"/>
          <w:szCs w:val="24"/>
        </w:rPr>
        <w:t>е, а самим тим и на јачање конку</w:t>
      </w:r>
      <w:r w:rsidR="00E01E9B">
        <w:rPr>
          <w:rFonts w:ascii="Times New Roman" w:hAnsi="Times New Roman" w:cs="Times New Roman"/>
          <w:sz w:val="24"/>
          <w:szCs w:val="24"/>
        </w:rPr>
        <w:t>ренције</w:t>
      </w:r>
      <w:r>
        <w:rPr>
          <w:rFonts w:ascii="Times New Roman" w:hAnsi="Times New Roman" w:cs="Times New Roman"/>
          <w:sz w:val="24"/>
          <w:szCs w:val="24"/>
        </w:rPr>
        <w:t xml:space="preserve">. </w:t>
      </w:r>
    </w:p>
    <w:p w:rsidR="00830FC5" w:rsidRDefault="00326D82" w:rsidP="00F55A41">
      <w:pPr>
        <w:jc w:val="both"/>
        <w:rPr>
          <w:rFonts w:ascii="Times New Roman" w:hAnsi="Times New Roman" w:cs="Times New Roman"/>
          <w:sz w:val="24"/>
          <w:szCs w:val="24"/>
        </w:rPr>
      </w:pPr>
      <w:r>
        <w:rPr>
          <w:rFonts w:ascii="Times New Roman" w:hAnsi="Times New Roman" w:cs="Times New Roman"/>
          <w:sz w:val="24"/>
          <w:szCs w:val="24"/>
        </w:rPr>
        <w:t xml:space="preserve">Важећим </w:t>
      </w:r>
      <w:r w:rsidRPr="00F46340">
        <w:rPr>
          <w:rFonts w:ascii="Times New Roman" w:hAnsi="Times New Roman" w:cs="Times New Roman"/>
          <w:sz w:val="24"/>
          <w:szCs w:val="24"/>
        </w:rPr>
        <w:t>Законом пре</w:t>
      </w:r>
      <w:r w:rsidR="00F46340" w:rsidRPr="00F46340">
        <w:rPr>
          <w:rFonts w:ascii="Times New Roman" w:hAnsi="Times New Roman" w:cs="Times New Roman"/>
          <w:sz w:val="24"/>
          <w:szCs w:val="24"/>
        </w:rPr>
        <w:t>д</w:t>
      </w:r>
      <w:r w:rsidRPr="00F46340">
        <w:rPr>
          <w:rFonts w:ascii="Times New Roman" w:hAnsi="Times New Roman" w:cs="Times New Roman"/>
          <w:sz w:val="24"/>
          <w:szCs w:val="24"/>
        </w:rPr>
        <w:t xml:space="preserve">виђено </w:t>
      </w:r>
      <w:r>
        <w:rPr>
          <w:rFonts w:ascii="Times New Roman" w:hAnsi="Times New Roman" w:cs="Times New Roman"/>
          <w:sz w:val="24"/>
          <w:szCs w:val="24"/>
        </w:rPr>
        <w:t>је да понуђачи могу да доставе доказе о испуњености обавезних услова из члана 75, став</w:t>
      </w:r>
      <w:r w:rsidR="00C61911">
        <w:rPr>
          <w:rFonts w:ascii="Times New Roman" w:hAnsi="Times New Roman" w:cs="Times New Roman"/>
          <w:sz w:val="24"/>
          <w:szCs w:val="24"/>
        </w:rPr>
        <w:t xml:space="preserve"> 1</w:t>
      </w:r>
      <w:r>
        <w:rPr>
          <w:rFonts w:ascii="Times New Roman" w:hAnsi="Times New Roman" w:cs="Times New Roman"/>
          <w:sz w:val="24"/>
          <w:szCs w:val="24"/>
        </w:rPr>
        <w:t>, тачке 1-4</w:t>
      </w:r>
      <w:r w:rsidR="00D2757B">
        <w:rPr>
          <w:rFonts w:ascii="Times New Roman" w:hAnsi="Times New Roman" w:cs="Times New Roman"/>
          <w:sz w:val="24"/>
          <w:szCs w:val="24"/>
        </w:rPr>
        <w:t>,</w:t>
      </w:r>
      <w:r>
        <w:rPr>
          <w:rFonts w:ascii="Times New Roman" w:hAnsi="Times New Roman" w:cs="Times New Roman"/>
          <w:sz w:val="24"/>
          <w:szCs w:val="24"/>
        </w:rPr>
        <w:t xml:space="preserve"> Агенцији за привредне регистре (АПР) на основу којих их </w:t>
      </w:r>
      <w:r w:rsidR="00D2757B">
        <w:rPr>
          <w:rFonts w:ascii="Times New Roman" w:hAnsi="Times New Roman" w:cs="Times New Roman"/>
          <w:sz w:val="24"/>
          <w:szCs w:val="24"/>
        </w:rPr>
        <w:t>АПР уписује у Р</w:t>
      </w:r>
      <w:r>
        <w:rPr>
          <w:rFonts w:ascii="Times New Roman" w:hAnsi="Times New Roman" w:cs="Times New Roman"/>
          <w:sz w:val="24"/>
          <w:szCs w:val="24"/>
        </w:rPr>
        <w:t xml:space="preserve">егистар понуђача. Понуђачи који су уписани у Регистар, уместо да за сваки поступак јавне набавке прибављају доказе о испуњености ова четири </w:t>
      </w:r>
      <w:r w:rsidR="00830FC5">
        <w:rPr>
          <w:rFonts w:ascii="Times New Roman" w:hAnsi="Times New Roman" w:cs="Times New Roman"/>
          <w:sz w:val="24"/>
          <w:szCs w:val="24"/>
        </w:rPr>
        <w:t xml:space="preserve">обавезна </w:t>
      </w:r>
      <w:r>
        <w:rPr>
          <w:rFonts w:ascii="Times New Roman" w:hAnsi="Times New Roman" w:cs="Times New Roman"/>
          <w:sz w:val="24"/>
          <w:szCs w:val="24"/>
        </w:rPr>
        <w:t xml:space="preserve">услова, </w:t>
      </w:r>
      <w:r w:rsidR="00830FC5">
        <w:rPr>
          <w:rFonts w:ascii="Times New Roman" w:hAnsi="Times New Roman" w:cs="Times New Roman"/>
          <w:sz w:val="24"/>
          <w:szCs w:val="24"/>
        </w:rPr>
        <w:t xml:space="preserve">треба само да у поднесеној понуди наведу </w:t>
      </w:r>
      <w:r>
        <w:rPr>
          <w:rFonts w:ascii="Times New Roman" w:hAnsi="Times New Roman" w:cs="Times New Roman"/>
          <w:sz w:val="24"/>
          <w:szCs w:val="24"/>
        </w:rPr>
        <w:t xml:space="preserve">да су уписани у </w:t>
      </w:r>
      <w:r w:rsidR="001B30C0">
        <w:rPr>
          <w:rFonts w:ascii="Times New Roman" w:hAnsi="Times New Roman" w:cs="Times New Roman"/>
          <w:sz w:val="24"/>
          <w:szCs w:val="24"/>
        </w:rPr>
        <w:t>исти</w:t>
      </w:r>
      <w:r>
        <w:rPr>
          <w:rFonts w:ascii="Times New Roman" w:hAnsi="Times New Roman" w:cs="Times New Roman"/>
          <w:sz w:val="24"/>
          <w:szCs w:val="24"/>
        </w:rPr>
        <w:t xml:space="preserve">, како би наручилац </w:t>
      </w:r>
      <w:r w:rsidR="001B30C0">
        <w:rPr>
          <w:rFonts w:ascii="Times New Roman" w:hAnsi="Times New Roman" w:cs="Times New Roman"/>
          <w:sz w:val="24"/>
          <w:szCs w:val="24"/>
        </w:rPr>
        <w:t xml:space="preserve">тај навод </w:t>
      </w:r>
      <w:r>
        <w:rPr>
          <w:rFonts w:ascii="Times New Roman" w:hAnsi="Times New Roman" w:cs="Times New Roman"/>
          <w:sz w:val="24"/>
          <w:szCs w:val="24"/>
        </w:rPr>
        <w:t xml:space="preserve">могао </w:t>
      </w:r>
      <w:r w:rsidR="00DF1D0B">
        <w:rPr>
          <w:rFonts w:ascii="Times New Roman" w:hAnsi="Times New Roman" w:cs="Times New Roman"/>
          <w:sz w:val="24"/>
          <w:szCs w:val="24"/>
        </w:rPr>
        <w:t xml:space="preserve">и </w:t>
      </w:r>
      <w:r>
        <w:rPr>
          <w:rFonts w:ascii="Times New Roman" w:hAnsi="Times New Roman" w:cs="Times New Roman"/>
          <w:sz w:val="24"/>
          <w:szCs w:val="24"/>
        </w:rPr>
        <w:t xml:space="preserve">да провери. </w:t>
      </w:r>
      <w:r w:rsidR="00830FC5">
        <w:rPr>
          <w:rFonts w:ascii="Times New Roman" w:hAnsi="Times New Roman" w:cs="Times New Roman"/>
          <w:sz w:val="24"/>
          <w:szCs w:val="24"/>
        </w:rPr>
        <w:t xml:space="preserve">На тај начин се понуђачи ослобађају обавезе да за сваки поступак </w:t>
      </w:r>
      <w:r w:rsidR="00D2757B">
        <w:rPr>
          <w:rFonts w:ascii="Times New Roman" w:hAnsi="Times New Roman" w:cs="Times New Roman"/>
          <w:sz w:val="24"/>
          <w:szCs w:val="24"/>
        </w:rPr>
        <w:t xml:space="preserve">јавне набавке </w:t>
      </w:r>
      <w:r w:rsidR="00830FC5">
        <w:rPr>
          <w:rFonts w:ascii="Times New Roman" w:hAnsi="Times New Roman" w:cs="Times New Roman"/>
          <w:sz w:val="24"/>
          <w:szCs w:val="24"/>
        </w:rPr>
        <w:t xml:space="preserve">прибављају доказе </w:t>
      </w:r>
      <w:r w:rsidR="00D2757B">
        <w:rPr>
          <w:rFonts w:ascii="Times New Roman" w:hAnsi="Times New Roman" w:cs="Times New Roman"/>
          <w:sz w:val="24"/>
          <w:szCs w:val="24"/>
        </w:rPr>
        <w:t xml:space="preserve">о испуњености поменута четири обавезна услова, </w:t>
      </w:r>
      <w:r w:rsidR="00830FC5">
        <w:rPr>
          <w:rFonts w:ascii="Times New Roman" w:hAnsi="Times New Roman" w:cs="Times New Roman"/>
          <w:sz w:val="24"/>
          <w:szCs w:val="24"/>
        </w:rPr>
        <w:t xml:space="preserve">што је посебно корисно за </w:t>
      </w:r>
      <w:r w:rsidR="00C52784">
        <w:rPr>
          <w:rFonts w:ascii="Times New Roman" w:hAnsi="Times New Roman" w:cs="Times New Roman"/>
          <w:sz w:val="24"/>
          <w:szCs w:val="24"/>
        </w:rPr>
        <w:t xml:space="preserve">оне </w:t>
      </w:r>
      <w:r w:rsidR="00830FC5">
        <w:rPr>
          <w:rFonts w:ascii="Times New Roman" w:hAnsi="Times New Roman" w:cs="Times New Roman"/>
          <w:sz w:val="24"/>
          <w:szCs w:val="24"/>
        </w:rPr>
        <w:t>наручиоце</w:t>
      </w:r>
      <w:r w:rsidR="00151C94">
        <w:rPr>
          <w:rFonts w:ascii="Times New Roman" w:hAnsi="Times New Roman" w:cs="Times New Roman"/>
          <w:sz w:val="24"/>
          <w:szCs w:val="24"/>
        </w:rPr>
        <w:t xml:space="preserve"> и понуђаче</w:t>
      </w:r>
      <w:r w:rsidR="00830FC5">
        <w:rPr>
          <w:rFonts w:ascii="Times New Roman" w:hAnsi="Times New Roman" w:cs="Times New Roman"/>
          <w:sz w:val="24"/>
          <w:szCs w:val="24"/>
        </w:rPr>
        <w:t xml:space="preserve"> који учествују у већем броју поступака</w:t>
      </w:r>
      <w:r w:rsidR="00D2757B">
        <w:rPr>
          <w:rFonts w:ascii="Times New Roman" w:hAnsi="Times New Roman" w:cs="Times New Roman"/>
          <w:sz w:val="24"/>
          <w:szCs w:val="24"/>
        </w:rPr>
        <w:t xml:space="preserve"> и који, на овај начин, штед</w:t>
      </w:r>
      <w:r w:rsidR="00BA798F">
        <w:rPr>
          <w:rFonts w:ascii="Times New Roman" w:hAnsi="Times New Roman" w:cs="Times New Roman"/>
          <w:sz w:val="24"/>
          <w:szCs w:val="24"/>
        </w:rPr>
        <w:t>е</w:t>
      </w:r>
      <w:r w:rsidR="00D2757B">
        <w:rPr>
          <w:rFonts w:ascii="Times New Roman" w:hAnsi="Times New Roman" w:cs="Times New Roman"/>
          <w:sz w:val="24"/>
          <w:szCs w:val="24"/>
        </w:rPr>
        <w:t xml:space="preserve"> доста времена и новца. </w:t>
      </w:r>
    </w:p>
    <w:p w:rsidR="00707351" w:rsidRDefault="00E9515B" w:rsidP="00F55A41">
      <w:pPr>
        <w:jc w:val="both"/>
        <w:rPr>
          <w:rFonts w:ascii="Times New Roman" w:hAnsi="Times New Roman" w:cs="Times New Roman"/>
          <w:sz w:val="24"/>
          <w:szCs w:val="24"/>
        </w:rPr>
      </w:pPr>
      <w:r w:rsidRPr="00AD1811">
        <w:rPr>
          <w:rFonts w:ascii="Times New Roman" w:hAnsi="Times New Roman" w:cs="Times New Roman"/>
          <w:sz w:val="24"/>
          <w:szCs w:val="24"/>
        </w:rPr>
        <w:t xml:space="preserve">Регистар понуђача почео је са радом 1. </w:t>
      </w:r>
      <w:r>
        <w:rPr>
          <w:rFonts w:ascii="Times New Roman" w:hAnsi="Times New Roman" w:cs="Times New Roman"/>
          <w:sz w:val="24"/>
          <w:szCs w:val="24"/>
        </w:rPr>
        <w:t>с</w:t>
      </w:r>
      <w:r w:rsidRPr="00AD1811">
        <w:rPr>
          <w:rFonts w:ascii="Times New Roman" w:hAnsi="Times New Roman" w:cs="Times New Roman"/>
          <w:sz w:val="24"/>
          <w:szCs w:val="24"/>
        </w:rPr>
        <w:t>ептембра</w:t>
      </w:r>
      <w:r>
        <w:rPr>
          <w:rFonts w:ascii="Times New Roman" w:hAnsi="Times New Roman" w:cs="Times New Roman"/>
          <w:sz w:val="24"/>
          <w:szCs w:val="24"/>
        </w:rPr>
        <w:t xml:space="preserve"> 2013. године </w:t>
      </w:r>
      <w:r w:rsidRPr="00AD1811">
        <w:rPr>
          <w:rFonts w:ascii="Times New Roman" w:hAnsi="Times New Roman" w:cs="Times New Roman"/>
          <w:sz w:val="24"/>
          <w:szCs w:val="24"/>
        </w:rPr>
        <w:t>и</w:t>
      </w:r>
      <w:r>
        <w:rPr>
          <w:rFonts w:ascii="Times New Roman" w:hAnsi="Times New Roman" w:cs="Times New Roman"/>
          <w:sz w:val="24"/>
          <w:szCs w:val="24"/>
        </w:rPr>
        <w:t xml:space="preserve"> води га </w:t>
      </w:r>
      <w:r w:rsidR="00BD496A">
        <w:rPr>
          <w:rFonts w:ascii="Times New Roman" w:hAnsi="Times New Roman" w:cs="Times New Roman"/>
          <w:sz w:val="24"/>
          <w:szCs w:val="24"/>
        </w:rPr>
        <w:t>АПР, а о</w:t>
      </w:r>
      <w:r w:rsidRPr="00AD1811">
        <w:rPr>
          <w:rFonts w:ascii="Times New Roman" w:hAnsi="Times New Roman" w:cs="Times New Roman"/>
          <w:sz w:val="24"/>
          <w:szCs w:val="24"/>
        </w:rPr>
        <w:t xml:space="preserve"> томе колико је Регистар користан понуђачима сведочи њихово велико</w:t>
      </w:r>
      <w:r w:rsidR="00BD496A">
        <w:rPr>
          <w:rFonts w:ascii="Times New Roman" w:hAnsi="Times New Roman" w:cs="Times New Roman"/>
          <w:sz w:val="24"/>
          <w:szCs w:val="24"/>
        </w:rPr>
        <w:t>, и у сталном порасту</w:t>
      </w:r>
      <w:r w:rsidRPr="00AD1811">
        <w:rPr>
          <w:rFonts w:ascii="Times New Roman" w:hAnsi="Times New Roman" w:cs="Times New Roman"/>
          <w:sz w:val="24"/>
          <w:szCs w:val="24"/>
        </w:rPr>
        <w:t xml:space="preserve"> интересовање </w:t>
      </w:r>
      <w:r w:rsidR="001B30C0">
        <w:rPr>
          <w:rFonts w:ascii="Times New Roman" w:hAnsi="Times New Roman" w:cs="Times New Roman"/>
          <w:sz w:val="24"/>
          <w:szCs w:val="24"/>
        </w:rPr>
        <w:t>за упис у исти.</w:t>
      </w:r>
    </w:p>
    <w:p w:rsidR="00C2341E" w:rsidRPr="00DF0138" w:rsidRDefault="00C2341E" w:rsidP="00F55A41">
      <w:pPr>
        <w:jc w:val="both"/>
        <w:rPr>
          <w:rFonts w:ascii="Times New Roman" w:hAnsi="Times New Roman" w:cs="Times New Roman"/>
          <w:sz w:val="24"/>
          <w:szCs w:val="24"/>
        </w:rPr>
      </w:pPr>
      <w:r w:rsidRPr="002C5091">
        <w:rPr>
          <w:rFonts w:ascii="Times New Roman" w:hAnsi="Times New Roman" w:cs="Times New Roman"/>
          <w:sz w:val="24"/>
          <w:szCs w:val="24"/>
          <w:lang w:val="en-US"/>
        </w:rPr>
        <w:t>До 30. марта 2015. године, ре</w:t>
      </w:r>
      <w:r w:rsidR="00265D9F">
        <w:rPr>
          <w:rFonts w:ascii="Times New Roman" w:hAnsi="Times New Roman" w:cs="Times New Roman"/>
          <w:sz w:val="24"/>
          <w:szCs w:val="24"/>
          <w:lang w:val="en-US"/>
        </w:rPr>
        <w:t>гистровано је 5.930 понуђача, с</w:t>
      </w:r>
      <w:r w:rsidR="00CB197F">
        <w:rPr>
          <w:rFonts w:ascii="Times New Roman" w:hAnsi="Times New Roman" w:cs="Times New Roman"/>
          <w:sz w:val="24"/>
          <w:szCs w:val="24"/>
          <w:lang w:val="sr-Cyrl-RS"/>
        </w:rPr>
        <w:t xml:space="preserve"> </w:t>
      </w:r>
      <w:r w:rsidRPr="002C5091">
        <w:rPr>
          <w:rFonts w:ascii="Times New Roman" w:hAnsi="Times New Roman" w:cs="Times New Roman"/>
          <w:sz w:val="24"/>
          <w:szCs w:val="24"/>
          <w:lang w:val="en-US"/>
        </w:rPr>
        <w:t xml:space="preserve">тим да је њихов број растао из месеца у месец што јасно показује како понуђачи оцењују корисност наведеног Регистра, имајући у виду да упис у исти није обавезан.  </w:t>
      </w:r>
    </w:p>
    <w:p w:rsidR="0090382C" w:rsidRPr="00CC5D30" w:rsidRDefault="00B63848" w:rsidP="00F55A41">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ПОРТАЛ</w:t>
      </w:r>
      <w:r w:rsidR="00F62E82">
        <w:rPr>
          <w:rFonts w:ascii="Times New Roman" w:hAnsi="Times New Roman" w:cs="Times New Roman"/>
          <w:b/>
          <w:sz w:val="24"/>
          <w:szCs w:val="24"/>
        </w:rPr>
        <w:t xml:space="preserve"> </w:t>
      </w:r>
      <w:r w:rsidR="00265D9F">
        <w:rPr>
          <w:rFonts w:ascii="Times New Roman" w:hAnsi="Times New Roman" w:cs="Times New Roman"/>
          <w:b/>
          <w:sz w:val="24"/>
          <w:szCs w:val="24"/>
        </w:rPr>
        <w:t>ЈАВНИХ</w:t>
      </w:r>
      <w:r w:rsidR="00F62E82">
        <w:rPr>
          <w:rFonts w:ascii="Times New Roman" w:hAnsi="Times New Roman" w:cs="Times New Roman"/>
          <w:b/>
          <w:sz w:val="24"/>
          <w:szCs w:val="24"/>
        </w:rPr>
        <w:t xml:space="preserve"> </w:t>
      </w:r>
      <w:r w:rsidR="0090382C" w:rsidRPr="00CC5D30">
        <w:rPr>
          <w:rFonts w:ascii="Times New Roman" w:hAnsi="Times New Roman" w:cs="Times New Roman"/>
          <w:b/>
          <w:sz w:val="24"/>
          <w:szCs w:val="24"/>
        </w:rPr>
        <w:t>НАБАВКИ</w:t>
      </w:r>
    </w:p>
    <w:p w:rsidR="006E087E" w:rsidRPr="002C5D8C" w:rsidRDefault="00265D9F" w:rsidP="00F55A41">
      <w:pPr>
        <w:jc w:val="both"/>
        <w:rPr>
          <w:rFonts w:ascii="Times New Roman" w:hAnsi="Times New Roman" w:cs="Times New Roman"/>
          <w:sz w:val="24"/>
          <w:szCs w:val="24"/>
        </w:rPr>
      </w:pPr>
      <w:r>
        <w:rPr>
          <w:rFonts w:ascii="Times New Roman" w:hAnsi="Times New Roman" w:cs="Times New Roman"/>
          <w:sz w:val="24"/>
          <w:szCs w:val="24"/>
        </w:rPr>
        <w:t xml:space="preserve">На </w:t>
      </w:r>
      <w:r w:rsidR="006E087E" w:rsidRPr="002C5D8C">
        <w:rPr>
          <w:rFonts w:ascii="Times New Roman" w:hAnsi="Times New Roman" w:cs="Times New Roman"/>
          <w:sz w:val="24"/>
          <w:szCs w:val="24"/>
        </w:rPr>
        <w:t xml:space="preserve">Порталу </w:t>
      </w:r>
      <w:r w:rsidR="00CB197F">
        <w:rPr>
          <w:rFonts w:ascii="Times New Roman" w:hAnsi="Times New Roman" w:cs="Times New Roman"/>
          <w:sz w:val="24"/>
          <w:szCs w:val="24"/>
          <w:lang w:val="sr-Cyrl-RS"/>
        </w:rPr>
        <w:t xml:space="preserve">су </w:t>
      </w:r>
      <w:r>
        <w:rPr>
          <w:rFonts w:ascii="Times New Roman" w:hAnsi="Times New Roman" w:cs="Times New Roman"/>
          <w:sz w:val="24"/>
          <w:szCs w:val="24"/>
        </w:rPr>
        <w:t>н</w:t>
      </w:r>
      <w:r w:rsidRPr="002C5D8C">
        <w:rPr>
          <w:rFonts w:ascii="Times New Roman" w:hAnsi="Times New Roman" w:cs="Times New Roman"/>
          <w:sz w:val="24"/>
          <w:szCs w:val="24"/>
        </w:rPr>
        <w:t>овим Законом уведене значајне измене</w:t>
      </w:r>
      <w:r>
        <w:rPr>
          <w:rFonts w:ascii="Times New Roman" w:hAnsi="Times New Roman" w:cs="Times New Roman"/>
          <w:sz w:val="24"/>
          <w:szCs w:val="24"/>
        </w:rPr>
        <w:t>.</w:t>
      </w:r>
      <w:r w:rsidR="002C234C">
        <w:rPr>
          <w:rFonts w:ascii="Times New Roman" w:hAnsi="Times New Roman" w:cs="Times New Roman"/>
          <w:sz w:val="24"/>
          <w:szCs w:val="24"/>
          <w:lang w:val="sr-Cyrl-RS"/>
        </w:rPr>
        <w:t xml:space="preserve"> </w:t>
      </w:r>
      <w:r w:rsidR="006E087E" w:rsidRPr="002C5D8C">
        <w:rPr>
          <w:rFonts w:ascii="Times New Roman" w:hAnsi="Times New Roman" w:cs="Times New Roman"/>
          <w:sz w:val="24"/>
          <w:szCs w:val="24"/>
        </w:rPr>
        <w:t>Пре свега, прописана је обавезна објава конкурс</w:t>
      </w:r>
      <w:r>
        <w:rPr>
          <w:rFonts w:ascii="Times New Roman" w:hAnsi="Times New Roman" w:cs="Times New Roman"/>
          <w:sz w:val="24"/>
          <w:szCs w:val="24"/>
        </w:rPr>
        <w:t xml:space="preserve">не документације коју понуђачи, као </w:t>
      </w:r>
      <w:r w:rsidR="006E087E" w:rsidRPr="002C5D8C">
        <w:rPr>
          <w:rFonts w:ascii="Times New Roman" w:hAnsi="Times New Roman" w:cs="Times New Roman"/>
          <w:sz w:val="24"/>
          <w:szCs w:val="24"/>
        </w:rPr>
        <w:t xml:space="preserve">и остали заинтересовани могу преузети без накнаде. Увођењем обавезне објаве јавних набавки мале вредности, </w:t>
      </w:r>
      <w:r w:rsidR="00C469B9">
        <w:rPr>
          <w:rFonts w:ascii="Times New Roman" w:hAnsi="Times New Roman" w:cs="Times New Roman"/>
          <w:sz w:val="24"/>
          <w:szCs w:val="24"/>
        </w:rPr>
        <w:t>знатно</w:t>
      </w:r>
      <w:r w:rsidR="006E087E" w:rsidRPr="002C5D8C">
        <w:rPr>
          <w:rFonts w:ascii="Times New Roman" w:hAnsi="Times New Roman" w:cs="Times New Roman"/>
          <w:sz w:val="24"/>
          <w:szCs w:val="24"/>
        </w:rPr>
        <w:t xml:space="preserve"> се унапредила транспарентност </w:t>
      </w:r>
      <w:r w:rsidR="006E087E" w:rsidRPr="002C5D8C">
        <w:rPr>
          <w:rFonts w:ascii="Times New Roman" w:hAnsi="Times New Roman" w:cs="Times New Roman"/>
          <w:sz w:val="24"/>
          <w:szCs w:val="24"/>
        </w:rPr>
        <w:lastRenderedPageBreak/>
        <w:t xml:space="preserve">поступака. Такође, изузетно је значајно и прописивање објављивања обавештења о покретању преговарачког поступка без </w:t>
      </w:r>
      <w:r w:rsidR="00917F6C">
        <w:rPr>
          <w:rFonts w:ascii="Times New Roman" w:hAnsi="Times New Roman" w:cs="Times New Roman"/>
          <w:sz w:val="24"/>
          <w:szCs w:val="24"/>
        </w:rPr>
        <w:t>објављивања позива за подношење понуда</w:t>
      </w:r>
      <w:r w:rsidR="006E087E" w:rsidRPr="002C5D8C">
        <w:rPr>
          <w:rFonts w:ascii="Times New Roman" w:hAnsi="Times New Roman" w:cs="Times New Roman"/>
          <w:sz w:val="24"/>
          <w:szCs w:val="24"/>
        </w:rPr>
        <w:t>, како би се јавност што више информисала о овим најмање транспарентним поступцима, где се уобичајено крије и највећи број нерегуларности.</w:t>
      </w:r>
    </w:p>
    <w:p w:rsidR="006E087E" w:rsidRPr="002C5D8C" w:rsidRDefault="006E087E" w:rsidP="00F55A41">
      <w:pPr>
        <w:jc w:val="both"/>
        <w:rPr>
          <w:rFonts w:ascii="Times New Roman" w:hAnsi="Times New Roman" w:cs="Times New Roman"/>
          <w:sz w:val="24"/>
          <w:szCs w:val="24"/>
        </w:rPr>
      </w:pPr>
      <w:r w:rsidRPr="002C5D8C">
        <w:rPr>
          <w:rFonts w:ascii="Times New Roman" w:hAnsi="Times New Roman" w:cs="Times New Roman"/>
          <w:sz w:val="24"/>
          <w:szCs w:val="24"/>
        </w:rPr>
        <w:t>Посебно су значајне новине по питању унапређења система претраге објављених набавки на Порталу, чиме се знатно олакшава понуђачима да пронађу набавку за коју су заинтересовани. У том смислу, уведена је п</w:t>
      </w:r>
      <w:r w:rsidR="008844FD">
        <w:rPr>
          <w:rFonts w:ascii="Times New Roman" w:hAnsi="Times New Roman" w:cs="Times New Roman"/>
          <w:sz w:val="24"/>
          <w:szCs w:val="24"/>
        </w:rPr>
        <w:t>ретрага „последњих 100 набавки“</w:t>
      </w:r>
      <w:r w:rsidR="002C234C">
        <w:rPr>
          <w:rFonts w:ascii="Times New Roman" w:hAnsi="Times New Roman" w:cs="Times New Roman"/>
          <w:sz w:val="24"/>
          <w:szCs w:val="24"/>
          <w:lang w:val="sr-Cyrl-RS"/>
        </w:rPr>
        <w:t xml:space="preserve"> </w:t>
      </w:r>
      <w:r w:rsidR="008844FD">
        <w:rPr>
          <w:rFonts w:ascii="Times New Roman" w:hAnsi="Times New Roman" w:cs="Times New Roman"/>
          <w:sz w:val="24"/>
          <w:szCs w:val="24"/>
        </w:rPr>
        <w:t>захв</w:t>
      </w:r>
      <w:r w:rsidR="00AC4222">
        <w:rPr>
          <w:rFonts w:ascii="Times New Roman" w:hAnsi="Times New Roman" w:cs="Times New Roman"/>
          <w:sz w:val="24"/>
          <w:szCs w:val="24"/>
        </w:rPr>
        <w:t>а</w:t>
      </w:r>
      <w:r w:rsidR="008844FD">
        <w:rPr>
          <w:rFonts w:ascii="Times New Roman" w:hAnsi="Times New Roman" w:cs="Times New Roman"/>
          <w:sz w:val="24"/>
          <w:szCs w:val="24"/>
        </w:rPr>
        <w:t>љујући којој</w:t>
      </w:r>
      <w:r w:rsidRPr="002C5D8C">
        <w:rPr>
          <w:rFonts w:ascii="Times New Roman" w:hAnsi="Times New Roman" w:cs="Times New Roman"/>
          <w:sz w:val="24"/>
          <w:szCs w:val="24"/>
        </w:rPr>
        <w:t xml:space="preserve"> се повећала  ажурност у праћењу дневно  објављених тендера, а поготово је значајна обавеза наручилаца да своје набавке оглашавају преко шифара из општег речника набавки, чиме се на јединствен и препознатљив  начин дефинишу предмети уговора о јавној набавци.</w:t>
      </w:r>
    </w:p>
    <w:p w:rsidR="006E087E" w:rsidRPr="002C5D8C" w:rsidRDefault="006E087E" w:rsidP="00F55A41">
      <w:pPr>
        <w:jc w:val="both"/>
        <w:rPr>
          <w:rFonts w:ascii="Times New Roman" w:hAnsi="Times New Roman" w:cs="Times New Roman"/>
          <w:sz w:val="24"/>
          <w:szCs w:val="24"/>
        </w:rPr>
      </w:pPr>
      <w:r w:rsidRPr="002C5D8C">
        <w:rPr>
          <w:rFonts w:ascii="Times New Roman" w:hAnsi="Times New Roman" w:cs="Times New Roman"/>
          <w:sz w:val="24"/>
          <w:szCs w:val="24"/>
        </w:rPr>
        <w:t>Када је реч о претрази закључених уговора из кварталних извештаја наручилаца које Управа објављује на Порталу, значајна је предност што се сада по сваком податку из уговора може вршити претрага од стране заинтересованих лица (наручилац, понуђач, датум, шифра из општег речника набавки, вредност уговора....).</w:t>
      </w:r>
    </w:p>
    <w:p w:rsidR="00A34158" w:rsidRPr="00FE35A5" w:rsidRDefault="006E087E" w:rsidP="00F55A41">
      <w:pPr>
        <w:jc w:val="both"/>
        <w:rPr>
          <w:rFonts w:ascii="Times New Roman" w:hAnsi="Times New Roman" w:cs="Times New Roman"/>
          <w:sz w:val="24"/>
          <w:szCs w:val="24"/>
        </w:rPr>
      </w:pPr>
      <w:r w:rsidRPr="002C5D8C">
        <w:rPr>
          <w:rFonts w:ascii="Times New Roman" w:hAnsi="Times New Roman" w:cs="Times New Roman"/>
          <w:sz w:val="24"/>
          <w:szCs w:val="24"/>
        </w:rPr>
        <w:t>Број јавни</w:t>
      </w:r>
      <w:r w:rsidR="00345AA6">
        <w:rPr>
          <w:rFonts w:ascii="Times New Roman" w:hAnsi="Times New Roman" w:cs="Times New Roman"/>
          <w:sz w:val="24"/>
          <w:szCs w:val="24"/>
        </w:rPr>
        <w:t xml:space="preserve">х набавки </w:t>
      </w:r>
      <w:r w:rsidR="00CC39E5">
        <w:rPr>
          <w:rFonts w:ascii="Times New Roman" w:hAnsi="Times New Roman" w:cs="Times New Roman"/>
          <w:sz w:val="24"/>
          <w:szCs w:val="24"/>
        </w:rPr>
        <w:t>објављених</w:t>
      </w:r>
      <w:r w:rsidR="00345AA6">
        <w:rPr>
          <w:rFonts w:ascii="Times New Roman" w:hAnsi="Times New Roman" w:cs="Times New Roman"/>
          <w:sz w:val="24"/>
          <w:szCs w:val="24"/>
        </w:rPr>
        <w:t xml:space="preserve"> на Порталу </w:t>
      </w:r>
      <w:r w:rsidR="00CC39E5">
        <w:rPr>
          <w:rFonts w:ascii="Times New Roman" w:hAnsi="Times New Roman" w:cs="Times New Roman"/>
          <w:sz w:val="24"/>
          <w:szCs w:val="24"/>
        </w:rPr>
        <w:t>битно</w:t>
      </w:r>
      <w:r w:rsidR="00345AA6">
        <w:rPr>
          <w:rFonts w:ascii="Times New Roman" w:hAnsi="Times New Roman" w:cs="Times New Roman"/>
          <w:sz w:val="24"/>
          <w:szCs w:val="24"/>
        </w:rPr>
        <w:t xml:space="preserve"> се </w:t>
      </w:r>
      <w:r w:rsidRPr="002C5D8C">
        <w:rPr>
          <w:rFonts w:ascii="Times New Roman" w:hAnsi="Times New Roman" w:cs="Times New Roman"/>
          <w:sz w:val="24"/>
          <w:szCs w:val="24"/>
        </w:rPr>
        <w:t>повећавао од почетка његовог рада</w:t>
      </w:r>
      <w:r w:rsidR="002E28CE">
        <w:rPr>
          <w:rFonts w:ascii="Times New Roman" w:hAnsi="Times New Roman" w:cs="Times New Roman"/>
          <w:sz w:val="24"/>
          <w:szCs w:val="24"/>
        </w:rPr>
        <w:t>,</w:t>
      </w:r>
      <w:r w:rsidRPr="002C5D8C">
        <w:rPr>
          <w:rFonts w:ascii="Times New Roman" w:hAnsi="Times New Roman" w:cs="Times New Roman"/>
          <w:sz w:val="24"/>
          <w:szCs w:val="24"/>
        </w:rPr>
        <w:t xml:space="preserve"> чиме је значајно порасла транспарентност јавних набавки у Србији, с обзиром да се на једном месту </w:t>
      </w:r>
      <w:r w:rsidR="002E28CE">
        <w:rPr>
          <w:rFonts w:ascii="Times New Roman" w:hAnsi="Times New Roman" w:cs="Times New Roman"/>
          <w:sz w:val="24"/>
          <w:szCs w:val="24"/>
        </w:rPr>
        <w:t xml:space="preserve">сада </w:t>
      </w:r>
      <w:r w:rsidRPr="002C5D8C">
        <w:rPr>
          <w:rFonts w:ascii="Times New Roman" w:hAnsi="Times New Roman" w:cs="Times New Roman"/>
          <w:sz w:val="24"/>
          <w:szCs w:val="24"/>
        </w:rPr>
        <w:t>могу наћи све релевантне информације везане за поступак јавне набавке и да се до тих информација долази лако и без накнаде</w:t>
      </w:r>
      <w:r w:rsidR="002C234C">
        <w:rPr>
          <w:rFonts w:ascii="Times New Roman" w:hAnsi="Times New Roman" w:cs="Times New Roman"/>
          <w:sz w:val="24"/>
          <w:szCs w:val="24"/>
          <w:lang w:val="sr-Cyrl-RS"/>
        </w:rPr>
        <w:t xml:space="preserve"> </w:t>
      </w:r>
      <w:r w:rsidR="00345AA6" w:rsidRPr="002C5D8C">
        <w:rPr>
          <w:rFonts w:ascii="Times New Roman" w:hAnsi="Times New Roman" w:cs="Times New Roman"/>
          <w:sz w:val="24"/>
          <w:szCs w:val="24"/>
        </w:rPr>
        <w:t>(Слика</w:t>
      </w:r>
      <w:r w:rsidR="0002495E">
        <w:rPr>
          <w:rFonts w:ascii="Times New Roman" w:hAnsi="Times New Roman" w:cs="Times New Roman"/>
          <w:sz w:val="24"/>
          <w:szCs w:val="24"/>
        </w:rPr>
        <w:t xml:space="preserve"> 7</w:t>
      </w:r>
      <w:r w:rsidR="00345AA6">
        <w:rPr>
          <w:rFonts w:ascii="Times New Roman" w:hAnsi="Times New Roman" w:cs="Times New Roman"/>
          <w:sz w:val="24"/>
          <w:szCs w:val="24"/>
        </w:rPr>
        <w:t>).</w:t>
      </w:r>
    </w:p>
    <w:p w:rsidR="00F32666" w:rsidRPr="00023266" w:rsidRDefault="00F32666" w:rsidP="00265D9F">
      <w:pPr>
        <w:jc w:val="center"/>
        <w:rPr>
          <w:rFonts w:ascii="Times New Roman" w:hAnsi="Times New Roman" w:cs="Times New Roman"/>
          <w:color w:val="000000" w:themeColor="text1"/>
          <w:sz w:val="24"/>
          <w:szCs w:val="24"/>
        </w:rPr>
      </w:pPr>
      <w:r w:rsidRPr="00023266">
        <w:rPr>
          <w:rFonts w:ascii="Times New Roman" w:hAnsi="Times New Roman" w:cs="Times New Roman"/>
          <w:b/>
          <w:color w:val="000000" w:themeColor="text1"/>
          <w:sz w:val="24"/>
          <w:szCs w:val="24"/>
        </w:rPr>
        <w:t xml:space="preserve">Слика </w:t>
      </w:r>
      <w:r w:rsidR="00FE35A5" w:rsidRPr="00023266">
        <w:rPr>
          <w:rFonts w:ascii="Times New Roman" w:hAnsi="Times New Roman" w:cs="Times New Roman"/>
          <w:b/>
          <w:color w:val="000000" w:themeColor="text1"/>
          <w:sz w:val="24"/>
          <w:szCs w:val="24"/>
        </w:rPr>
        <w:t>7</w:t>
      </w:r>
    </w:p>
    <w:bookmarkStart w:id="8" w:name="_MON_1491039690"/>
    <w:bookmarkEnd w:id="8"/>
    <w:p w:rsidR="006E087E" w:rsidRDefault="001B0459" w:rsidP="00265D9F">
      <w:pPr>
        <w:jc w:val="center"/>
        <w:rPr>
          <w:rFonts w:ascii="Times New Roman" w:hAnsi="Times New Roman" w:cs="Times New Roman"/>
          <w:sz w:val="24"/>
          <w:szCs w:val="24"/>
        </w:rPr>
      </w:pPr>
      <w:r w:rsidRPr="00EF7490">
        <w:rPr>
          <w:rFonts w:ascii="Times New Roman" w:hAnsi="Times New Roman" w:cs="Times New Roman"/>
          <w:sz w:val="24"/>
          <w:szCs w:val="24"/>
        </w:rPr>
        <w:object w:dxaOrig="8237" w:dyaOrig="6190">
          <v:shape id="_x0000_i1035" type="#_x0000_t75" style="width:373.5pt;height:220.5pt" o:ole="">
            <v:imagedata r:id="rId30" o:title=""/>
          </v:shape>
          <o:OLEObject Type="Embed" ProgID="Excel.Sheet.12" ShapeID="_x0000_i1035" DrawAspect="Content" ObjectID="_1491048514" r:id="rId31"/>
        </w:object>
      </w:r>
    </w:p>
    <w:p w:rsidR="00023266" w:rsidRDefault="00023266" w:rsidP="00F55A41">
      <w:pPr>
        <w:jc w:val="both"/>
        <w:rPr>
          <w:rFonts w:ascii="Times New Roman" w:hAnsi="Times New Roman" w:cs="Times New Roman"/>
          <w:b/>
          <w:color w:val="FF0000"/>
          <w:sz w:val="24"/>
          <w:szCs w:val="24"/>
        </w:rPr>
      </w:pPr>
      <w:r w:rsidRPr="002C5D8C">
        <w:rPr>
          <w:rFonts w:ascii="Times New Roman" w:hAnsi="Times New Roman" w:cs="Times New Roman"/>
          <w:sz w:val="24"/>
          <w:szCs w:val="24"/>
        </w:rPr>
        <w:t>Број посета Порталу значајно је порастао од 1. априла 2013. године захваљујући</w:t>
      </w:r>
      <w:r>
        <w:rPr>
          <w:rFonts w:ascii="Times New Roman" w:hAnsi="Times New Roman" w:cs="Times New Roman"/>
          <w:sz w:val="24"/>
          <w:szCs w:val="24"/>
        </w:rPr>
        <w:t>,</w:t>
      </w:r>
      <w:r w:rsidRPr="002C5D8C">
        <w:rPr>
          <w:rFonts w:ascii="Times New Roman" w:hAnsi="Times New Roman" w:cs="Times New Roman"/>
          <w:sz w:val="24"/>
          <w:szCs w:val="24"/>
        </w:rPr>
        <w:t xml:space="preserve"> не само укључивању набавки мале вредности, већ и објављивању читавог низа докумената у поступку јавне набавке, као што су: конкурсн</w:t>
      </w:r>
      <w:r>
        <w:rPr>
          <w:rFonts w:ascii="Times New Roman" w:hAnsi="Times New Roman" w:cs="Times New Roman"/>
          <w:sz w:val="24"/>
          <w:szCs w:val="24"/>
        </w:rPr>
        <w:t>а</w:t>
      </w:r>
      <w:r w:rsidRPr="002C5D8C">
        <w:rPr>
          <w:rFonts w:ascii="Times New Roman" w:hAnsi="Times New Roman" w:cs="Times New Roman"/>
          <w:sz w:val="24"/>
          <w:szCs w:val="24"/>
        </w:rPr>
        <w:t xml:space="preserve"> документациј</w:t>
      </w:r>
      <w:r>
        <w:rPr>
          <w:rFonts w:ascii="Times New Roman" w:hAnsi="Times New Roman" w:cs="Times New Roman"/>
          <w:sz w:val="24"/>
          <w:szCs w:val="24"/>
        </w:rPr>
        <w:t>а</w:t>
      </w:r>
      <w:r w:rsidRPr="002C5D8C">
        <w:rPr>
          <w:rFonts w:ascii="Times New Roman" w:hAnsi="Times New Roman" w:cs="Times New Roman"/>
          <w:sz w:val="24"/>
          <w:szCs w:val="24"/>
        </w:rPr>
        <w:t>, мишљењ</w:t>
      </w:r>
      <w:r>
        <w:rPr>
          <w:rFonts w:ascii="Times New Roman" w:hAnsi="Times New Roman" w:cs="Times New Roman"/>
          <w:sz w:val="24"/>
          <w:szCs w:val="24"/>
        </w:rPr>
        <w:t>е</w:t>
      </w:r>
      <w:r w:rsidRPr="002C5D8C">
        <w:rPr>
          <w:rFonts w:ascii="Times New Roman" w:hAnsi="Times New Roman" w:cs="Times New Roman"/>
          <w:sz w:val="24"/>
          <w:szCs w:val="24"/>
        </w:rPr>
        <w:t xml:space="preserve"> Управе за </w:t>
      </w:r>
      <w:r w:rsidR="00CC39E5">
        <w:rPr>
          <w:rFonts w:ascii="Times New Roman" w:hAnsi="Times New Roman" w:cs="Times New Roman"/>
          <w:sz w:val="24"/>
          <w:szCs w:val="24"/>
        </w:rPr>
        <w:t xml:space="preserve">примену </w:t>
      </w:r>
      <w:r w:rsidRPr="002C5D8C">
        <w:rPr>
          <w:rFonts w:ascii="Times New Roman" w:hAnsi="Times New Roman" w:cs="Times New Roman"/>
          <w:sz w:val="24"/>
          <w:szCs w:val="24"/>
        </w:rPr>
        <w:t>преговарачк</w:t>
      </w:r>
      <w:r w:rsidR="00CC39E5">
        <w:rPr>
          <w:rFonts w:ascii="Times New Roman" w:hAnsi="Times New Roman" w:cs="Times New Roman"/>
          <w:sz w:val="24"/>
          <w:szCs w:val="24"/>
        </w:rPr>
        <w:t>ог</w:t>
      </w:r>
      <w:r w:rsidRPr="002C5D8C">
        <w:rPr>
          <w:rFonts w:ascii="Times New Roman" w:hAnsi="Times New Roman" w:cs="Times New Roman"/>
          <w:sz w:val="24"/>
          <w:szCs w:val="24"/>
        </w:rPr>
        <w:t xml:space="preserve"> поступк</w:t>
      </w:r>
      <w:r w:rsidR="00CC39E5">
        <w:rPr>
          <w:rFonts w:ascii="Times New Roman" w:hAnsi="Times New Roman" w:cs="Times New Roman"/>
          <w:sz w:val="24"/>
          <w:szCs w:val="24"/>
        </w:rPr>
        <w:t>а</w:t>
      </w:r>
      <w:r w:rsidRPr="002C5D8C">
        <w:rPr>
          <w:rFonts w:ascii="Times New Roman" w:hAnsi="Times New Roman" w:cs="Times New Roman"/>
          <w:sz w:val="24"/>
          <w:szCs w:val="24"/>
        </w:rPr>
        <w:t xml:space="preserve">, измене уговора и сл. Значајан раст броја посета </w:t>
      </w:r>
      <w:r>
        <w:rPr>
          <w:rFonts w:ascii="Times New Roman" w:hAnsi="Times New Roman" w:cs="Times New Roman"/>
          <w:sz w:val="24"/>
          <w:szCs w:val="24"/>
        </w:rPr>
        <w:t xml:space="preserve">јасно указује на корисност </w:t>
      </w:r>
      <w:r w:rsidRPr="002C5D8C">
        <w:rPr>
          <w:rFonts w:ascii="Times New Roman" w:hAnsi="Times New Roman" w:cs="Times New Roman"/>
          <w:sz w:val="24"/>
          <w:szCs w:val="24"/>
        </w:rPr>
        <w:t xml:space="preserve">Портала </w:t>
      </w:r>
      <w:r>
        <w:rPr>
          <w:rFonts w:ascii="Times New Roman" w:hAnsi="Times New Roman" w:cs="Times New Roman"/>
          <w:sz w:val="24"/>
          <w:szCs w:val="24"/>
        </w:rPr>
        <w:t>за најшири круг заинтересованих лица</w:t>
      </w:r>
      <w:r w:rsidRPr="002C5D8C">
        <w:rPr>
          <w:rFonts w:ascii="Times New Roman" w:hAnsi="Times New Roman" w:cs="Times New Roman"/>
          <w:sz w:val="24"/>
          <w:szCs w:val="24"/>
        </w:rPr>
        <w:t xml:space="preserve"> (Слика </w:t>
      </w:r>
      <w:r>
        <w:rPr>
          <w:rFonts w:ascii="Times New Roman" w:hAnsi="Times New Roman" w:cs="Times New Roman"/>
          <w:sz w:val="24"/>
          <w:szCs w:val="24"/>
        </w:rPr>
        <w:t>8</w:t>
      </w:r>
      <w:r w:rsidRPr="002C5D8C">
        <w:rPr>
          <w:rFonts w:ascii="Times New Roman" w:hAnsi="Times New Roman" w:cs="Times New Roman"/>
          <w:sz w:val="24"/>
          <w:szCs w:val="24"/>
        </w:rPr>
        <w:t>).</w:t>
      </w:r>
    </w:p>
    <w:p w:rsidR="00265D9F" w:rsidRPr="00CB197F" w:rsidRDefault="009C1D7F" w:rsidP="00CB197F">
      <w:pPr>
        <w:jc w:val="both"/>
        <w:rPr>
          <w:rFonts w:ascii="Times New Roman" w:hAnsi="Times New Roman" w:cs="Times New Roman"/>
          <w:sz w:val="24"/>
          <w:szCs w:val="24"/>
          <w:lang w:val="sr-Cyrl-RS"/>
        </w:rPr>
      </w:pPr>
      <w:r>
        <w:rPr>
          <w:rFonts w:ascii="Times New Roman" w:hAnsi="Times New Roman" w:cs="Times New Roman"/>
          <w:sz w:val="24"/>
          <w:szCs w:val="24"/>
        </w:rPr>
        <w:lastRenderedPageBreak/>
        <w:t>Осетан п</w:t>
      </w:r>
      <w:r w:rsidR="00023266">
        <w:rPr>
          <w:rFonts w:ascii="Times New Roman" w:hAnsi="Times New Roman" w:cs="Times New Roman"/>
          <w:sz w:val="24"/>
          <w:szCs w:val="24"/>
        </w:rPr>
        <w:t xml:space="preserve">ад </w:t>
      </w:r>
      <w:r w:rsidR="00023266" w:rsidRPr="00786677">
        <w:rPr>
          <w:rFonts w:ascii="Times New Roman" w:hAnsi="Times New Roman" w:cs="Times New Roman"/>
          <w:sz w:val="24"/>
          <w:szCs w:val="24"/>
        </w:rPr>
        <w:t>број</w:t>
      </w:r>
      <w:r>
        <w:rPr>
          <w:rFonts w:ascii="Times New Roman" w:hAnsi="Times New Roman" w:cs="Times New Roman"/>
          <w:sz w:val="24"/>
          <w:szCs w:val="24"/>
        </w:rPr>
        <w:t>а</w:t>
      </w:r>
      <w:r w:rsidR="00023266" w:rsidRPr="00786677">
        <w:rPr>
          <w:rFonts w:ascii="Times New Roman" w:hAnsi="Times New Roman" w:cs="Times New Roman"/>
          <w:sz w:val="24"/>
          <w:szCs w:val="24"/>
        </w:rPr>
        <w:t xml:space="preserve"> посета </w:t>
      </w:r>
      <w:r w:rsidR="00023266">
        <w:rPr>
          <w:rFonts w:ascii="Times New Roman" w:hAnsi="Times New Roman" w:cs="Times New Roman"/>
          <w:sz w:val="24"/>
          <w:szCs w:val="24"/>
        </w:rPr>
        <w:t>П</w:t>
      </w:r>
      <w:r w:rsidR="00023266" w:rsidRPr="00786677">
        <w:rPr>
          <w:rFonts w:ascii="Times New Roman" w:hAnsi="Times New Roman" w:cs="Times New Roman"/>
          <w:sz w:val="24"/>
          <w:szCs w:val="24"/>
        </w:rPr>
        <w:t>орталу</w:t>
      </w:r>
      <w:r w:rsidR="00023266">
        <w:rPr>
          <w:rFonts w:ascii="Times New Roman" w:hAnsi="Times New Roman" w:cs="Times New Roman"/>
          <w:sz w:val="24"/>
          <w:szCs w:val="24"/>
        </w:rPr>
        <w:t>,</w:t>
      </w:r>
      <w:r w:rsidR="00023266" w:rsidRPr="00786677">
        <w:rPr>
          <w:rFonts w:ascii="Times New Roman" w:hAnsi="Times New Roman" w:cs="Times New Roman"/>
          <w:sz w:val="24"/>
          <w:szCs w:val="24"/>
        </w:rPr>
        <w:t xml:space="preserve"> у првом кварталу 2014. </w:t>
      </w:r>
      <w:r w:rsidR="00023266">
        <w:rPr>
          <w:rFonts w:ascii="Times New Roman" w:hAnsi="Times New Roman" w:cs="Times New Roman"/>
          <w:sz w:val="24"/>
          <w:szCs w:val="24"/>
        </w:rPr>
        <w:t>г</w:t>
      </w:r>
      <w:r w:rsidR="00023266" w:rsidRPr="00786677">
        <w:rPr>
          <w:rFonts w:ascii="Times New Roman" w:hAnsi="Times New Roman" w:cs="Times New Roman"/>
          <w:sz w:val="24"/>
          <w:szCs w:val="24"/>
        </w:rPr>
        <w:t>одине</w:t>
      </w:r>
      <w:r w:rsidR="00023266">
        <w:rPr>
          <w:rFonts w:ascii="Times New Roman" w:hAnsi="Times New Roman" w:cs="Times New Roman"/>
          <w:sz w:val="24"/>
          <w:szCs w:val="24"/>
        </w:rPr>
        <w:t xml:space="preserve">, резултат </w:t>
      </w:r>
      <w:r>
        <w:rPr>
          <w:rFonts w:ascii="Times New Roman" w:hAnsi="Times New Roman" w:cs="Times New Roman"/>
          <w:sz w:val="24"/>
          <w:szCs w:val="24"/>
        </w:rPr>
        <w:t>је</w:t>
      </w:r>
      <w:r w:rsidR="002C234C">
        <w:rPr>
          <w:rFonts w:ascii="Times New Roman" w:hAnsi="Times New Roman" w:cs="Times New Roman"/>
          <w:sz w:val="24"/>
          <w:szCs w:val="24"/>
          <w:lang w:val="sr-Cyrl-RS"/>
        </w:rPr>
        <w:t xml:space="preserve"> </w:t>
      </w:r>
      <w:r>
        <w:rPr>
          <w:rFonts w:ascii="Times New Roman" w:hAnsi="Times New Roman" w:cs="Times New Roman"/>
          <w:sz w:val="24"/>
          <w:szCs w:val="24"/>
        </w:rPr>
        <w:t xml:space="preserve">већег броја </w:t>
      </w:r>
      <w:r w:rsidR="00023266">
        <w:rPr>
          <w:rFonts w:ascii="Times New Roman" w:hAnsi="Times New Roman" w:cs="Times New Roman"/>
          <w:sz w:val="24"/>
          <w:szCs w:val="24"/>
        </w:rPr>
        <w:t xml:space="preserve">нерадних дана </w:t>
      </w:r>
      <w:r>
        <w:rPr>
          <w:rFonts w:ascii="Times New Roman" w:hAnsi="Times New Roman" w:cs="Times New Roman"/>
          <w:sz w:val="24"/>
          <w:szCs w:val="24"/>
        </w:rPr>
        <w:t xml:space="preserve">због </w:t>
      </w:r>
      <w:r w:rsidR="00023266">
        <w:rPr>
          <w:rFonts w:ascii="Times New Roman" w:hAnsi="Times New Roman" w:cs="Times New Roman"/>
          <w:sz w:val="24"/>
          <w:szCs w:val="24"/>
        </w:rPr>
        <w:t>новогодишњих и божићних празника</w:t>
      </w:r>
      <w:r w:rsidR="00265D9F">
        <w:rPr>
          <w:rFonts w:ascii="Times New Roman" w:hAnsi="Times New Roman" w:cs="Times New Roman"/>
          <w:sz w:val="24"/>
          <w:szCs w:val="24"/>
        </w:rPr>
        <w:t>.</w:t>
      </w:r>
    </w:p>
    <w:p w:rsidR="00023266" w:rsidRDefault="007B4037" w:rsidP="00265D9F">
      <w:pPr>
        <w:jc w:val="center"/>
        <w:rPr>
          <w:rFonts w:ascii="Times New Roman" w:hAnsi="Times New Roman" w:cs="Times New Roman"/>
          <w:b/>
          <w:color w:val="000000" w:themeColor="text1"/>
          <w:sz w:val="24"/>
          <w:szCs w:val="24"/>
          <w:lang w:val="sr-Cyrl-CS"/>
        </w:rPr>
      </w:pPr>
      <w:r w:rsidRPr="00023266">
        <w:rPr>
          <w:rFonts w:ascii="Times New Roman" w:hAnsi="Times New Roman" w:cs="Times New Roman"/>
          <w:b/>
          <w:color w:val="000000" w:themeColor="text1"/>
          <w:sz w:val="24"/>
          <w:szCs w:val="24"/>
        </w:rPr>
        <w:t>Слика</w:t>
      </w:r>
      <w:r w:rsidRPr="00023266">
        <w:rPr>
          <w:rFonts w:ascii="Times New Roman" w:hAnsi="Times New Roman" w:cs="Times New Roman"/>
          <w:b/>
          <w:color w:val="000000" w:themeColor="text1"/>
          <w:sz w:val="24"/>
          <w:szCs w:val="24"/>
          <w:lang w:val="sr-Cyrl-CS"/>
        </w:rPr>
        <w:t xml:space="preserve"> 8</w:t>
      </w:r>
    </w:p>
    <w:bookmarkStart w:id="9" w:name="_MON_1490526933"/>
    <w:bookmarkEnd w:id="9"/>
    <w:p w:rsidR="00D16263" w:rsidRPr="00B43F51" w:rsidRDefault="00CB197F" w:rsidP="00265D9F">
      <w:pPr>
        <w:jc w:val="center"/>
        <w:rPr>
          <w:rFonts w:ascii="Times New Roman" w:hAnsi="Times New Roman" w:cs="Times New Roman"/>
          <w:b/>
          <w:color w:val="FF0000"/>
          <w:sz w:val="24"/>
          <w:szCs w:val="24"/>
        </w:rPr>
      </w:pPr>
      <w:r w:rsidRPr="00305690">
        <w:rPr>
          <w:lang w:val="en-US"/>
        </w:rPr>
        <w:object w:dxaOrig="10613" w:dyaOrig="4814">
          <v:shape id="_x0000_i1036" type="#_x0000_t75" style="width:504.75pt;height:228.75pt" o:ole="">
            <v:imagedata r:id="rId32" o:title=""/>
          </v:shape>
          <o:OLEObject Type="Embed" ProgID="Excel.Sheet.12" ShapeID="_x0000_i1036" DrawAspect="Content" ObjectID="_1491048515" r:id="rId33"/>
        </w:object>
      </w:r>
    </w:p>
    <w:p w:rsidR="00A734C3" w:rsidRPr="00107999" w:rsidRDefault="00753F20" w:rsidP="00F55A41">
      <w:pPr>
        <w:pStyle w:val="ListParagraph"/>
        <w:numPr>
          <w:ilvl w:val="0"/>
          <w:numId w:val="2"/>
        </w:numPr>
        <w:jc w:val="both"/>
        <w:rPr>
          <w:rFonts w:ascii="Times New Roman" w:hAnsi="Times New Roman" w:cs="Times New Roman"/>
          <w:b/>
          <w:sz w:val="24"/>
          <w:szCs w:val="24"/>
        </w:rPr>
      </w:pPr>
      <w:r w:rsidRPr="00107999">
        <w:rPr>
          <w:rFonts w:ascii="Times New Roman" w:hAnsi="Times New Roman" w:cs="Times New Roman"/>
          <w:b/>
          <w:sz w:val="24"/>
          <w:szCs w:val="24"/>
        </w:rPr>
        <w:t>УЧЕШЋЕ ДОМАЋИХ И СТРАНИХ ПОНУЂАЧА</w:t>
      </w:r>
    </w:p>
    <w:p w:rsidR="00B43F51" w:rsidRPr="008F74F3" w:rsidRDefault="00753F20" w:rsidP="008F74F3">
      <w:pPr>
        <w:jc w:val="both"/>
        <w:rPr>
          <w:rFonts w:ascii="Times New Roman" w:hAnsi="Times New Roman" w:cs="Times New Roman"/>
          <w:sz w:val="24"/>
          <w:szCs w:val="24"/>
          <w:lang w:val="sr-Cyrl-RS"/>
        </w:rPr>
      </w:pPr>
      <w:r>
        <w:rPr>
          <w:rFonts w:ascii="Times New Roman" w:hAnsi="Times New Roman" w:cs="Times New Roman"/>
          <w:sz w:val="24"/>
          <w:szCs w:val="24"/>
        </w:rPr>
        <w:t xml:space="preserve">Учешће страних понуђача </w:t>
      </w:r>
      <w:r w:rsidR="00D5059D">
        <w:rPr>
          <w:rFonts w:ascii="Times New Roman" w:hAnsi="Times New Roman" w:cs="Times New Roman"/>
          <w:sz w:val="24"/>
          <w:szCs w:val="24"/>
        </w:rPr>
        <w:t xml:space="preserve">се, </w:t>
      </w:r>
      <w:r>
        <w:rPr>
          <w:rFonts w:ascii="Times New Roman" w:hAnsi="Times New Roman" w:cs="Times New Roman"/>
          <w:sz w:val="24"/>
          <w:szCs w:val="24"/>
        </w:rPr>
        <w:t>у 201</w:t>
      </w:r>
      <w:r w:rsidR="003643CD">
        <w:rPr>
          <w:rFonts w:ascii="Times New Roman" w:hAnsi="Times New Roman" w:cs="Times New Roman"/>
          <w:sz w:val="24"/>
          <w:szCs w:val="24"/>
        </w:rPr>
        <w:t>4</w:t>
      </w:r>
      <w:r>
        <w:rPr>
          <w:rFonts w:ascii="Times New Roman" w:hAnsi="Times New Roman" w:cs="Times New Roman"/>
          <w:sz w:val="24"/>
          <w:szCs w:val="24"/>
        </w:rPr>
        <w:t xml:space="preserve">. </w:t>
      </w:r>
      <w:r w:rsidR="00D5059D">
        <w:rPr>
          <w:rFonts w:ascii="Times New Roman" w:hAnsi="Times New Roman" w:cs="Times New Roman"/>
          <w:sz w:val="24"/>
          <w:szCs w:val="24"/>
        </w:rPr>
        <w:t>г</w:t>
      </w:r>
      <w:r w:rsidR="003643CD">
        <w:rPr>
          <w:rFonts w:ascii="Times New Roman" w:hAnsi="Times New Roman" w:cs="Times New Roman"/>
          <w:sz w:val="24"/>
          <w:szCs w:val="24"/>
        </w:rPr>
        <w:t>один</w:t>
      </w:r>
      <w:r w:rsidR="009C1D7F">
        <w:rPr>
          <w:rFonts w:ascii="Times New Roman" w:hAnsi="Times New Roman" w:cs="Times New Roman"/>
          <w:sz w:val="24"/>
          <w:szCs w:val="24"/>
        </w:rPr>
        <w:t>и</w:t>
      </w:r>
      <w:r w:rsidR="00D5059D">
        <w:rPr>
          <w:rFonts w:ascii="Times New Roman" w:hAnsi="Times New Roman" w:cs="Times New Roman"/>
          <w:sz w:val="24"/>
          <w:szCs w:val="24"/>
        </w:rPr>
        <w:t>,</w:t>
      </w:r>
      <w:r w:rsidR="00B92EF5">
        <w:rPr>
          <w:rFonts w:ascii="Times New Roman" w:hAnsi="Times New Roman" w:cs="Times New Roman"/>
          <w:sz w:val="24"/>
          <w:szCs w:val="24"/>
        </w:rPr>
        <w:t xml:space="preserve"> смањило у односу на 201</w:t>
      </w:r>
      <w:r w:rsidR="003643CD">
        <w:rPr>
          <w:rFonts w:ascii="Times New Roman" w:hAnsi="Times New Roman" w:cs="Times New Roman"/>
          <w:sz w:val="24"/>
          <w:szCs w:val="24"/>
        </w:rPr>
        <w:t>3</w:t>
      </w:r>
      <w:r w:rsidR="00B92EF5">
        <w:rPr>
          <w:rFonts w:ascii="Times New Roman" w:hAnsi="Times New Roman" w:cs="Times New Roman"/>
          <w:sz w:val="24"/>
          <w:szCs w:val="24"/>
        </w:rPr>
        <w:t xml:space="preserve">. годину </w:t>
      </w:r>
      <w:r w:rsidR="003643CD">
        <w:rPr>
          <w:rFonts w:ascii="Times New Roman" w:hAnsi="Times New Roman" w:cs="Times New Roman"/>
          <w:sz w:val="24"/>
          <w:szCs w:val="24"/>
        </w:rPr>
        <w:t>с</w:t>
      </w:r>
      <w:r w:rsidR="00B92EF5">
        <w:rPr>
          <w:rFonts w:ascii="Times New Roman" w:hAnsi="Times New Roman" w:cs="Times New Roman"/>
          <w:sz w:val="24"/>
          <w:szCs w:val="24"/>
        </w:rPr>
        <w:t>а  4</w:t>
      </w:r>
      <w:r w:rsidR="0047587D">
        <w:rPr>
          <w:rFonts w:ascii="Times New Roman" w:hAnsi="Times New Roman" w:cs="Times New Roman"/>
          <w:sz w:val="24"/>
          <w:szCs w:val="24"/>
        </w:rPr>
        <w:t>%</w:t>
      </w:r>
      <w:r w:rsidR="003643CD">
        <w:rPr>
          <w:rFonts w:ascii="Times New Roman" w:hAnsi="Times New Roman" w:cs="Times New Roman"/>
          <w:sz w:val="24"/>
          <w:szCs w:val="24"/>
        </w:rPr>
        <w:t xml:space="preserve"> на </w:t>
      </w:r>
      <w:r w:rsidR="009C1D7F">
        <w:rPr>
          <w:rFonts w:ascii="Times New Roman" w:hAnsi="Times New Roman" w:cs="Times New Roman"/>
          <w:sz w:val="24"/>
          <w:szCs w:val="24"/>
        </w:rPr>
        <w:t>3</w:t>
      </w:r>
      <w:r w:rsidR="003643CD">
        <w:rPr>
          <w:rFonts w:ascii="Times New Roman" w:hAnsi="Times New Roman" w:cs="Times New Roman"/>
          <w:sz w:val="24"/>
          <w:szCs w:val="24"/>
        </w:rPr>
        <w:t>%</w:t>
      </w:r>
      <w:r w:rsidR="002C234C">
        <w:rPr>
          <w:rFonts w:ascii="Times New Roman" w:hAnsi="Times New Roman" w:cs="Times New Roman"/>
          <w:sz w:val="24"/>
          <w:szCs w:val="24"/>
          <w:lang w:val="sr-Cyrl-RS"/>
        </w:rPr>
        <w:t xml:space="preserve"> </w:t>
      </w:r>
      <w:r w:rsidR="003643CD">
        <w:rPr>
          <w:rFonts w:ascii="Times New Roman" w:hAnsi="Times New Roman" w:cs="Times New Roman"/>
          <w:sz w:val="24"/>
          <w:szCs w:val="24"/>
        </w:rPr>
        <w:t xml:space="preserve">од </w:t>
      </w:r>
      <w:r w:rsidR="00C350A5">
        <w:rPr>
          <w:rFonts w:ascii="Times New Roman" w:hAnsi="Times New Roman" w:cs="Times New Roman"/>
          <w:sz w:val="24"/>
          <w:szCs w:val="24"/>
        </w:rPr>
        <w:t xml:space="preserve">укупне </w:t>
      </w:r>
      <w:r w:rsidR="003643CD">
        <w:rPr>
          <w:rFonts w:ascii="Times New Roman" w:hAnsi="Times New Roman" w:cs="Times New Roman"/>
          <w:sz w:val="24"/>
          <w:szCs w:val="24"/>
        </w:rPr>
        <w:t>вредности закључених уговора</w:t>
      </w:r>
      <w:r w:rsidR="008F74F3">
        <w:rPr>
          <w:rFonts w:ascii="Times New Roman" w:hAnsi="Times New Roman" w:cs="Times New Roman"/>
          <w:sz w:val="24"/>
          <w:szCs w:val="24"/>
          <w:lang w:val="sr-Cyrl-RS"/>
        </w:rPr>
        <w:t xml:space="preserve"> </w:t>
      </w:r>
      <w:r>
        <w:rPr>
          <w:rFonts w:ascii="Times New Roman" w:hAnsi="Times New Roman" w:cs="Times New Roman"/>
          <w:sz w:val="24"/>
          <w:szCs w:val="24"/>
        </w:rPr>
        <w:t>(</w:t>
      </w:r>
      <w:r w:rsidRPr="00DD3560">
        <w:rPr>
          <w:rFonts w:ascii="Times New Roman" w:hAnsi="Times New Roman" w:cs="Times New Roman"/>
          <w:color w:val="000000" w:themeColor="text1"/>
          <w:sz w:val="24"/>
          <w:szCs w:val="24"/>
        </w:rPr>
        <w:t xml:space="preserve">Слика </w:t>
      </w:r>
      <w:r w:rsidR="009C1D7F" w:rsidRPr="00DD3560">
        <w:rPr>
          <w:rFonts w:ascii="Times New Roman" w:hAnsi="Times New Roman" w:cs="Times New Roman"/>
          <w:color w:val="000000" w:themeColor="text1"/>
          <w:sz w:val="24"/>
          <w:szCs w:val="24"/>
        </w:rPr>
        <w:t>9</w:t>
      </w:r>
      <w:r w:rsidRPr="00DD3560">
        <w:rPr>
          <w:rFonts w:ascii="Times New Roman" w:hAnsi="Times New Roman" w:cs="Times New Roman"/>
          <w:color w:val="000000" w:themeColor="text1"/>
          <w:sz w:val="24"/>
          <w:szCs w:val="24"/>
        </w:rPr>
        <w:t xml:space="preserve">, Табела </w:t>
      </w:r>
      <w:r w:rsidR="008F74F3">
        <w:rPr>
          <w:rFonts w:ascii="Times New Roman" w:hAnsi="Times New Roman" w:cs="Times New Roman"/>
          <w:color w:val="000000" w:themeColor="text1"/>
          <w:sz w:val="24"/>
          <w:szCs w:val="24"/>
          <w:lang w:val="sr-Cyrl-RS"/>
        </w:rPr>
        <w:t>9</w:t>
      </w:r>
      <w:r>
        <w:rPr>
          <w:rFonts w:ascii="Times New Roman" w:hAnsi="Times New Roman" w:cs="Times New Roman"/>
          <w:sz w:val="24"/>
          <w:szCs w:val="24"/>
        </w:rPr>
        <w:t>)</w:t>
      </w:r>
      <w:r w:rsidR="00F40367">
        <w:rPr>
          <w:rFonts w:ascii="Times New Roman" w:hAnsi="Times New Roman" w:cs="Times New Roman"/>
          <w:sz w:val="24"/>
          <w:szCs w:val="24"/>
        </w:rPr>
        <w:t>.</w:t>
      </w:r>
    </w:p>
    <w:p w:rsidR="00753F20" w:rsidRPr="00DD3560" w:rsidRDefault="00C41DA4" w:rsidP="00070C23">
      <w:pPr>
        <w:jc w:val="center"/>
        <w:rPr>
          <w:rFonts w:ascii="Times New Roman" w:hAnsi="Times New Roman" w:cs="Times New Roman"/>
          <w:color w:val="000000" w:themeColor="text1"/>
          <w:sz w:val="24"/>
          <w:szCs w:val="24"/>
        </w:rPr>
      </w:pPr>
      <w:r w:rsidRPr="00DD3560">
        <w:rPr>
          <w:rFonts w:ascii="Times New Roman" w:hAnsi="Times New Roman" w:cs="Times New Roman"/>
          <w:b/>
          <w:color w:val="000000" w:themeColor="text1"/>
          <w:sz w:val="24"/>
          <w:szCs w:val="24"/>
        </w:rPr>
        <w:t xml:space="preserve">Слика </w:t>
      </w:r>
      <w:r w:rsidR="009C1D7F" w:rsidRPr="00DD3560">
        <w:rPr>
          <w:rFonts w:ascii="Times New Roman" w:hAnsi="Times New Roman" w:cs="Times New Roman"/>
          <w:b/>
          <w:color w:val="000000" w:themeColor="text1"/>
          <w:sz w:val="24"/>
          <w:szCs w:val="24"/>
        </w:rPr>
        <w:t>9</w:t>
      </w:r>
    </w:p>
    <w:p w:rsidR="00EA609F" w:rsidRPr="008F74F3" w:rsidRDefault="00EA609F" w:rsidP="008F74F3">
      <w:pPr>
        <w:jc w:val="center"/>
        <w:rPr>
          <w:rFonts w:ascii="Times New Roman" w:hAnsi="Times New Roman" w:cs="Times New Roman"/>
          <w:sz w:val="24"/>
          <w:szCs w:val="24"/>
          <w:lang w:val="sr-Cyrl-RS"/>
        </w:rPr>
      </w:pPr>
      <w:r w:rsidRPr="00EF7490">
        <w:rPr>
          <w:rFonts w:ascii="Times New Roman" w:hAnsi="Times New Roman" w:cs="Times New Roman"/>
          <w:sz w:val="24"/>
          <w:szCs w:val="24"/>
        </w:rPr>
        <w:object w:dxaOrig="7838" w:dyaOrig="6305">
          <v:shape id="_x0000_i1030" type="#_x0000_t75" style="width:370.5pt;height:261.75pt" o:ole="">
            <v:imagedata r:id="rId34" o:title=""/>
          </v:shape>
          <o:OLEObject Type="Embed" ProgID="Excel.Sheet.12" ShapeID="_x0000_i1030" DrawAspect="Content" ObjectID="_1491048516" r:id="rId35"/>
        </w:object>
      </w:r>
    </w:p>
    <w:p w:rsidR="00EA609F" w:rsidRPr="00CA2DAF" w:rsidRDefault="00EA609F" w:rsidP="00F55A41">
      <w:pPr>
        <w:jc w:val="both"/>
        <w:rPr>
          <w:rFonts w:ascii="Times New Roman" w:hAnsi="Times New Roman" w:cs="Times New Roman"/>
          <w:b/>
          <w:color w:val="000000" w:themeColor="text1"/>
          <w:sz w:val="24"/>
          <w:szCs w:val="24"/>
        </w:rPr>
      </w:pPr>
    </w:p>
    <w:p w:rsidR="00837EA8" w:rsidRPr="008F74F3" w:rsidRDefault="009C1D7F" w:rsidP="00F55A41">
      <w:pPr>
        <w:jc w:val="both"/>
        <w:rPr>
          <w:rFonts w:ascii="Times New Roman" w:hAnsi="Times New Roman" w:cs="Times New Roman"/>
          <w:b/>
          <w:color w:val="000000" w:themeColor="text1"/>
          <w:sz w:val="24"/>
          <w:szCs w:val="24"/>
          <w:lang w:val="sr-Cyrl-RS"/>
        </w:rPr>
      </w:pPr>
      <w:r w:rsidRPr="00DD3560">
        <w:rPr>
          <w:rFonts w:ascii="Times New Roman" w:hAnsi="Times New Roman" w:cs="Times New Roman"/>
          <w:b/>
          <w:color w:val="000000" w:themeColor="text1"/>
          <w:sz w:val="24"/>
          <w:szCs w:val="24"/>
        </w:rPr>
        <w:lastRenderedPageBreak/>
        <w:t xml:space="preserve">Табела </w:t>
      </w:r>
      <w:r w:rsidR="008F74F3">
        <w:rPr>
          <w:rFonts w:ascii="Times New Roman" w:hAnsi="Times New Roman" w:cs="Times New Roman"/>
          <w:b/>
          <w:color w:val="000000" w:themeColor="text1"/>
          <w:sz w:val="24"/>
          <w:szCs w:val="24"/>
          <w:lang w:val="sr-Cyrl-RS"/>
        </w:rPr>
        <w:t>9</w:t>
      </w:r>
    </w:p>
    <w:tbl>
      <w:tblPr>
        <w:tblW w:w="9579" w:type="dxa"/>
        <w:jc w:val="center"/>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711"/>
        <w:gridCol w:w="711"/>
        <w:gridCol w:w="711"/>
        <w:gridCol w:w="711"/>
        <w:gridCol w:w="711"/>
        <w:gridCol w:w="711"/>
        <w:gridCol w:w="711"/>
        <w:gridCol w:w="711"/>
        <w:gridCol w:w="711"/>
        <w:gridCol w:w="711"/>
        <w:gridCol w:w="711"/>
        <w:gridCol w:w="711"/>
        <w:gridCol w:w="711"/>
      </w:tblGrid>
      <w:tr w:rsidR="007100BF" w:rsidRPr="007100BF" w:rsidTr="00705520">
        <w:trPr>
          <w:trHeight w:val="915"/>
          <w:jc w:val="center"/>
        </w:trPr>
        <w:tc>
          <w:tcPr>
            <w:tcW w:w="9579" w:type="dxa"/>
            <w:gridSpan w:val="14"/>
            <w:vAlign w:val="center"/>
          </w:tcPr>
          <w:p w:rsidR="007100BF" w:rsidRPr="007100BF" w:rsidRDefault="007100BF" w:rsidP="00EA609F">
            <w:pPr>
              <w:tabs>
                <w:tab w:val="left" w:pos="1885"/>
              </w:tabs>
              <w:spacing w:after="0" w:line="240" w:lineRule="auto"/>
              <w:jc w:val="center"/>
              <w:rPr>
                <w:rFonts w:ascii="Times New Roman" w:eastAsia="Times New Roman" w:hAnsi="Times New Roman" w:cs="Times New Roman"/>
                <w:b/>
                <w:sz w:val="24"/>
                <w:szCs w:val="24"/>
              </w:rPr>
            </w:pPr>
            <w:r w:rsidRPr="007100BF">
              <w:rPr>
                <w:rFonts w:ascii="Times New Roman" w:eastAsia="Times New Roman" w:hAnsi="Times New Roman" w:cs="Times New Roman"/>
                <w:b/>
                <w:sz w:val="24"/>
                <w:szCs w:val="24"/>
              </w:rPr>
              <w:t>Упоредни преглед набавки према вредности уговора додељених</w:t>
            </w:r>
          </w:p>
          <w:p w:rsidR="007100BF" w:rsidRPr="007100BF" w:rsidRDefault="007100BF" w:rsidP="00917F6C">
            <w:pPr>
              <w:tabs>
                <w:tab w:val="left" w:pos="1885"/>
              </w:tabs>
              <w:spacing w:after="0" w:line="240" w:lineRule="auto"/>
              <w:jc w:val="center"/>
              <w:rPr>
                <w:rFonts w:ascii="Times New Roman" w:eastAsia="Times New Roman" w:hAnsi="Times New Roman" w:cs="Times New Roman"/>
                <w:b/>
                <w:sz w:val="20"/>
                <w:szCs w:val="20"/>
              </w:rPr>
            </w:pPr>
            <w:r w:rsidRPr="007100BF">
              <w:rPr>
                <w:rFonts w:ascii="Times New Roman" w:eastAsia="Times New Roman" w:hAnsi="Times New Roman" w:cs="Times New Roman"/>
                <w:b/>
                <w:sz w:val="24"/>
                <w:szCs w:val="24"/>
              </w:rPr>
              <w:t xml:space="preserve">страним и домаћим понуђачима у </w:t>
            </w:r>
            <w:r w:rsidR="00917F6C">
              <w:rPr>
                <w:rFonts w:ascii="Times New Roman" w:eastAsia="Times New Roman" w:hAnsi="Times New Roman" w:cs="Times New Roman"/>
                <w:b/>
                <w:sz w:val="24"/>
                <w:szCs w:val="24"/>
              </w:rPr>
              <w:t>периоду 2002-</w:t>
            </w:r>
            <w:r w:rsidR="00DD3560">
              <w:rPr>
                <w:rFonts w:ascii="Times New Roman" w:eastAsia="Times New Roman" w:hAnsi="Times New Roman" w:cs="Times New Roman"/>
                <w:b/>
                <w:sz w:val="24"/>
                <w:szCs w:val="24"/>
              </w:rPr>
              <w:t xml:space="preserve">2014. </w:t>
            </w:r>
            <w:r w:rsidR="00917F6C">
              <w:rPr>
                <w:rFonts w:ascii="Times New Roman" w:eastAsia="Times New Roman" w:hAnsi="Times New Roman" w:cs="Times New Roman"/>
                <w:b/>
                <w:sz w:val="24"/>
                <w:szCs w:val="24"/>
              </w:rPr>
              <w:t>г</w:t>
            </w:r>
            <w:r w:rsidR="00DD3560">
              <w:rPr>
                <w:rFonts w:ascii="Times New Roman" w:eastAsia="Times New Roman" w:hAnsi="Times New Roman" w:cs="Times New Roman"/>
                <w:b/>
                <w:sz w:val="24"/>
                <w:szCs w:val="24"/>
              </w:rPr>
              <w:t>один</w:t>
            </w:r>
            <w:r w:rsidR="00917F6C">
              <w:rPr>
                <w:rFonts w:ascii="Times New Roman" w:eastAsia="Times New Roman" w:hAnsi="Times New Roman" w:cs="Times New Roman"/>
                <w:b/>
                <w:sz w:val="24"/>
                <w:szCs w:val="24"/>
              </w:rPr>
              <w:t xml:space="preserve">а </w:t>
            </w:r>
            <w:r w:rsidRPr="007100BF">
              <w:rPr>
                <w:rFonts w:ascii="Times New Roman" w:eastAsia="Times New Roman" w:hAnsi="Times New Roman" w:cs="Times New Roman"/>
                <w:b/>
                <w:sz w:val="24"/>
                <w:szCs w:val="24"/>
              </w:rPr>
              <w:t>(у %)</w:t>
            </w:r>
          </w:p>
        </w:tc>
      </w:tr>
      <w:tr w:rsidR="007100BF" w:rsidRPr="007100BF" w:rsidTr="00705520">
        <w:tblPrEx>
          <w:tblLook w:val="04A0" w:firstRow="1" w:lastRow="0" w:firstColumn="1" w:lastColumn="0" w:noHBand="0" w:noVBand="1"/>
        </w:tblPrEx>
        <w:trPr>
          <w:jc w:val="center"/>
        </w:trPr>
        <w:tc>
          <w:tcPr>
            <w:tcW w:w="1083"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Година</w:t>
            </w:r>
          </w:p>
        </w:tc>
        <w:tc>
          <w:tcPr>
            <w:tcW w:w="655"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2002.</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2003.</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2004.</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2005.</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2006.</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2007.</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2008.</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2009.</w:t>
            </w:r>
          </w:p>
        </w:tc>
        <w:tc>
          <w:tcPr>
            <w:tcW w:w="576"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2010.</w:t>
            </w:r>
          </w:p>
        </w:tc>
        <w:tc>
          <w:tcPr>
            <w:tcW w:w="651"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2011.</w:t>
            </w:r>
          </w:p>
        </w:tc>
        <w:tc>
          <w:tcPr>
            <w:tcW w:w="599"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2012.</w:t>
            </w:r>
          </w:p>
        </w:tc>
        <w:tc>
          <w:tcPr>
            <w:tcW w:w="781"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lang w:val="sr-Cyrl-CS"/>
              </w:rPr>
            </w:pPr>
            <w:r w:rsidRPr="008F74F3">
              <w:rPr>
                <w:rFonts w:ascii="Times New Roman" w:eastAsia="Times New Roman" w:hAnsi="Times New Roman" w:cs="Times New Roman"/>
                <w:b/>
                <w:lang w:val="sr-Cyrl-CS"/>
              </w:rPr>
              <w:t>2013.</w:t>
            </w:r>
          </w:p>
        </w:tc>
        <w:tc>
          <w:tcPr>
            <w:tcW w:w="656" w:type="dxa"/>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2014.</w:t>
            </w:r>
          </w:p>
        </w:tc>
      </w:tr>
      <w:tr w:rsidR="007100BF" w:rsidRPr="007100BF" w:rsidTr="00705520">
        <w:tblPrEx>
          <w:tblLook w:val="04A0" w:firstRow="1" w:lastRow="0" w:firstColumn="1" w:lastColumn="0" w:noHBand="0" w:noVBand="1"/>
        </w:tblPrEx>
        <w:trPr>
          <w:jc w:val="center"/>
        </w:trPr>
        <w:tc>
          <w:tcPr>
            <w:tcW w:w="1083"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Домаћи понуђачи</w:t>
            </w:r>
          </w:p>
        </w:tc>
        <w:tc>
          <w:tcPr>
            <w:tcW w:w="655"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80</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84</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91</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91</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90</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96</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93</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96</w:t>
            </w:r>
          </w:p>
        </w:tc>
        <w:tc>
          <w:tcPr>
            <w:tcW w:w="576"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97</w:t>
            </w:r>
          </w:p>
        </w:tc>
        <w:tc>
          <w:tcPr>
            <w:tcW w:w="651"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98</w:t>
            </w:r>
          </w:p>
        </w:tc>
        <w:tc>
          <w:tcPr>
            <w:tcW w:w="599"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88</w:t>
            </w:r>
          </w:p>
        </w:tc>
        <w:tc>
          <w:tcPr>
            <w:tcW w:w="781"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lang w:val="sr-Cyrl-CS"/>
              </w:rPr>
            </w:pPr>
            <w:r w:rsidRPr="008F74F3">
              <w:rPr>
                <w:rFonts w:ascii="Times New Roman" w:eastAsia="Times New Roman" w:hAnsi="Times New Roman" w:cs="Times New Roman"/>
              </w:rPr>
              <w:t>9</w:t>
            </w:r>
            <w:r w:rsidRPr="008F74F3">
              <w:rPr>
                <w:rFonts w:ascii="Times New Roman" w:eastAsia="Times New Roman" w:hAnsi="Times New Roman" w:cs="Times New Roman"/>
                <w:lang w:val="sr-Cyrl-CS"/>
              </w:rPr>
              <w:t>6</w:t>
            </w:r>
          </w:p>
        </w:tc>
        <w:tc>
          <w:tcPr>
            <w:tcW w:w="656" w:type="dxa"/>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97</w:t>
            </w:r>
          </w:p>
        </w:tc>
      </w:tr>
      <w:tr w:rsidR="007100BF" w:rsidRPr="007100BF" w:rsidTr="00705520">
        <w:tblPrEx>
          <w:tblLook w:val="04A0" w:firstRow="1" w:lastRow="0" w:firstColumn="1" w:lastColumn="0" w:noHBand="0" w:noVBand="1"/>
        </w:tblPrEx>
        <w:trPr>
          <w:jc w:val="center"/>
        </w:trPr>
        <w:tc>
          <w:tcPr>
            <w:tcW w:w="1083"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b/>
              </w:rPr>
            </w:pPr>
            <w:r w:rsidRPr="008F74F3">
              <w:rPr>
                <w:rFonts w:ascii="Times New Roman" w:eastAsia="Times New Roman" w:hAnsi="Times New Roman" w:cs="Times New Roman"/>
                <w:b/>
              </w:rPr>
              <w:t>Страни понуђачи</w:t>
            </w:r>
          </w:p>
        </w:tc>
        <w:tc>
          <w:tcPr>
            <w:tcW w:w="655"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20</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16</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9</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10</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4</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7</w:t>
            </w:r>
          </w:p>
        </w:tc>
        <w:tc>
          <w:tcPr>
            <w:tcW w:w="654"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4</w:t>
            </w:r>
          </w:p>
        </w:tc>
        <w:tc>
          <w:tcPr>
            <w:tcW w:w="576"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3</w:t>
            </w:r>
          </w:p>
        </w:tc>
        <w:tc>
          <w:tcPr>
            <w:tcW w:w="651"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2</w:t>
            </w:r>
          </w:p>
        </w:tc>
        <w:tc>
          <w:tcPr>
            <w:tcW w:w="599"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12</w:t>
            </w:r>
          </w:p>
        </w:tc>
        <w:tc>
          <w:tcPr>
            <w:tcW w:w="781" w:type="dxa"/>
            <w:shd w:val="clear" w:color="auto" w:fill="auto"/>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lang w:val="sr-Cyrl-CS"/>
              </w:rPr>
            </w:pPr>
            <w:r w:rsidRPr="008F74F3">
              <w:rPr>
                <w:rFonts w:ascii="Times New Roman" w:eastAsia="Times New Roman" w:hAnsi="Times New Roman" w:cs="Times New Roman"/>
                <w:lang w:val="sr-Cyrl-CS"/>
              </w:rPr>
              <w:t>4</w:t>
            </w:r>
          </w:p>
        </w:tc>
        <w:tc>
          <w:tcPr>
            <w:tcW w:w="656" w:type="dxa"/>
            <w:vAlign w:val="center"/>
          </w:tcPr>
          <w:p w:rsidR="007100BF" w:rsidRPr="008F74F3" w:rsidRDefault="007100BF" w:rsidP="00EA609F">
            <w:pPr>
              <w:tabs>
                <w:tab w:val="left" w:pos="1885"/>
              </w:tabs>
              <w:spacing w:after="0" w:line="240" w:lineRule="auto"/>
              <w:jc w:val="center"/>
              <w:rPr>
                <w:rFonts w:ascii="Times New Roman" w:eastAsia="Times New Roman" w:hAnsi="Times New Roman" w:cs="Times New Roman"/>
              </w:rPr>
            </w:pPr>
            <w:r w:rsidRPr="008F74F3">
              <w:rPr>
                <w:rFonts w:ascii="Times New Roman" w:eastAsia="Times New Roman" w:hAnsi="Times New Roman" w:cs="Times New Roman"/>
              </w:rPr>
              <w:t>3</w:t>
            </w:r>
          </w:p>
        </w:tc>
      </w:tr>
    </w:tbl>
    <w:p w:rsidR="008F74F3" w:rsidRDefault="008F74F3" w:rsidP="008F74F3">
      <w:pPr>
        <w:jc w:val="both"/>
        <w:rPr>
          <w:rFonts w:ascii="Times New Roman" w:hAnsi="Times New Roman" w:cs="Times New Roman"/>
          <w:b/>
          <w:color w:val="FF0000"/>
          <w:sz w:val="24"/>
          <w:szCs w:val="24"/>
          <w:lang w:val="sr-Cyrl-RS"/>
        </w:rPr>
      </w:pPr>
    </w:p>
    <w:p w:rsidR="008F74F3" w:rsidRPr="008F74F3" w:rsidRDefault="00B55F55" w:rsidP="008F74F3">
      <w:pPr>
        <w:jc w:val="both"/>
        <w:rPr>
          <w:rFonts w:ascii="Times New Roman" w:hAnsi="Times New Roman" w:cs="Times New Roman"/>
          <w:sz w:val="24"/>
          <w:szCs w:val="24"/>
          <w:lang w:val="sr-Cyrl-RS"/>
        </w:rPr>
      </w:pPr>
      <w:r w:rsidRPr="00B55F55">
        <w:rPr>
          <w:rFonts w:ascii="Times New Roman" w:hAnsi="Times New Roman" w:cs="Times New Roman"/>
          <w:sz w:val="24"/>
          <w:szCs w:val="24"/>
        </w:rPr>
        <w:t>Удео понуђача из ЕУ</w:t>
      </w:r>
      <w:r w:rsidR="00B92EF5">
        <w:rPr>
          <w:rFonts w:ascii="Times New Roman" w:hAnsi="Times New Roman" w:cs="Times New Roman"/>
          <w:sz w:val="24"/>
          <w:szCs w:val="24"/>
        </w:rPr>
        <w:t>,</w:t>
      </w:r>
      <w:r w:rsidRPr="00B55F55">
        <w:rPr>
          <w:rFonts w:ascii="Times New Roman" w:hAnsi="Times New Roman" w:cs="Times New Roman"/>
          <w:sz w:val="24"/>
          <w:szCs w:val="24"/>
        </w:rPr>
        <w:t xml:space="preserve"> у </w:t>
      </w:r>
      <w:r w:rsidR="00BE2126">
        <w:rPr>
          <w:rFonts w:ascii="Times New Roman" w:hAnsi="Times New Roman" w:cs="Times New Roman"/>
          <w:sz w:val="24"/>
          <w:szCs w:val="24"/>
        </w:rPr>
        <w:t xml:space="preserve">укупној </w:t>
      </w:r>
      <w:r w:rsidRPr="00B55F55">
        <w:rPr>
          <w:rFonts w:ascii="Times New Roman" w:hAnsi="Times New Roman" w:cs="Times New Roman"/>
          <w:sz w:val="24"/>
          <w:szCs w:val="24"/>
        </w:rPr>
        <w:t>вредности закључених уговора</w:t>
      </w:r>
      <w:r w:rsidR="00B92EF5">
        <w:rPr>
          <w:rFonts w:ascii="Times New Roman" w:hAnsi="Times New Roman" w:cs="Times New Roman"/>
          <w:sz w:val="24"/>
          <w:szCs w:val="24"/>
        </w:rPr>
        <w:t>,</w:t>
      </w:r>
      <w:r w:rsidRPr="00B55F55">
        <w:rPr>
          <w:rFonts w:ascii="Times New Roman" w:hAnsi="Times New Roman" w:cs="Times New Roman"/>
          <w:sz w:val="24"/>
          <w:szCs w:val="24"/>
        </w:rPr>
        <w:t xml:space="preserve"> износио је </w:t>
      </w:r>
      <w:r w:rsidR="00DD3560">
        <w:rPr>
          <w:rFonts w:ascii="Times New Roman" w:hAnsi="Times New Roman" w:cs="Times New Roman"/>
          <w:sz w:val="24"/>
          <w:szCs w:val="24"/>
        </w:rPr>
        <w:t>2</w:t>
      </w:r>
      <w:r w:rsidRPr="00B55F55">
        <w:rPr>
          <w:rFonts w:ascii="Times New Roman" w:hAnsi="Times New Roman" w:cs="Times New Roman"/>
          <w:sz w:val="24"/>
          <w:szCs w:val="24"/>
        </w:rPr>
        <w:t>%</w:t>
      </w:r>
      <w:r w:rsidR="00DD3560">
        <w:rPr>
          <w:rFonts w:ascii="Times New Roman" w:hAnsi="Times New Roman" w:cs="Times New Roman"/>
          <w:sz w:val="24"/>
          <w:szCs w:val="24"/>
        </w:rPr>
        <w:t xml:space="preserve"> (</w:t>
      </w:r>
      <w:r w:rsidR="00DD3560" w:rsidRPr="00DD3560">
        <w:rPr>
          <w:rFonts w:ascii="Times New Roman" w:hAnsi="Times New Roman" w:cs="Times New Roman"/>
          <w:color w:val="000000" w:themeColor="text1"/>
          <w:sz w:val="24"/>
          <w:szCs w:val="24"/>
        </w:rPr>
        <w:t>Слика 10</w:t>
      </w:r>
      <w:r w:rsidR="00DD3560">
        <w:rPr>
          <w:rFonts w:ascii="Times New Roman" w:hAnsi="Times New Roman" w:cs="Times New Roman"/>
          <w:sz w:val="24"/>
          <w:szCs w:val="24"/>
        </w:rPr>
        <w:t>)</w:t>
      </w:r>
      <w:r w:rsidRPr="00B55F55">
        <w:rPr>
          <w:rFonts w:ascii="Times New Roman" w:hAnsi="Times New Roman" w:cs="Times New Roman"/>
          <w:sz w:val="24"/>
          <w:szCs w:val="24"/>
        </w:rPr>
        <w:t xml:space="preserve">, </w:t>
      </w:r>
      <w:r w:rsidR="00B92EF5">
        <w:rPr>
          <w:rFonts w:ascii="Times New Roman" w:hAnsi="Times New Roman" w:cs="Times New Roman"/>
          <w:sz w:val="24"/>
          <w:szCs w:val="24"/>
        </w:rPr>
        <w:t xml:space="preserve">колико </w:t>
      </w:r>
      <w:r w:rsidR="00DD3560">
        <w:rPr>
          <w:rFonts w:ascii="Times New Roman" w:hAnsi="Times New Roman" w:cs="Times New Roman"/>
          <w:sz w:val="24"/>
          <w:szCs w:val="24"/>
        </w:rPr>
        <w:t xml:space="preserve">је био </w:t>
      </w:r>
      <w:r w:rsidR="00B92EF5">
        <w:rPr>
          <w:rFonts w:ascii="Times New Roman" w:hAnsi="Times New Roman" w:cs="Times New Roman"/>
          <w:sz w:val="24"/>
          <w:szCs w:val="24"/>
        </w:rPr>
        <w:t xml:space="preserve">и </w:t>
      </w:r>
      <w:r w:rsidR="00DD3560">
        <w:rPr>
          <w:rFonts w:ascii="Times New Roman" w:hAnsi="Times New Roman" w:cs="Times New Roman"/>
          <w:sz w:val="24"/>
          <w:szCs w:val="24"/>
        </w:rPr>
        <w:t xml:space="preserve">2013. </w:t>
      </w:r>
      <w:r w:rsidR="00CA0568">
        <w:rPr>
          <w:rFonts w:ascii="Times New Roman" w:hAnsi="Times New Roman" w:cs="Times New Roman"/>
          <w:sz w:val="24"/>
          <w:szCs w:val="24"/>
        </w:rPr>
        <w:t>г</w:t>
      </w:r>
      <w:r w:rsidR="00DD3560">
        <w:rPr>
          <w:rFonts w:ascii="Times New Roman" w:hAnsi="Times New Roman" w:cs="Times New Roman"/>
          <w:sz w:val="24"/>
          <w:szCs w:val="24"/>
        </w:rPr>
        <w:t>одине</w:t>
      </w:r>
      <w:r w:rsidR="00CA0568">
        <w:rPr>
          <w:rFonts w:ascii="Times New Roman" w:hAnsi="Times New Roman" w:cs="Times New Roman"/>
          <w:sz w:val="24"/>
          <w:szCs w:val="24"/>
        </w:rPr>
        <w:t>, док се учешће понуђача из земаља ван ЕУ смањило са 2 на 1%</w:t>
      </w:r>
      <w:r w:rsidR="00EA609F">
        <w:rPr>
          <w:rStyle w:val="FootnoteReference"/>
          <w:rFonts w:ascii="Times New Roman" w:hAnsi="Times New Roman" w:cs="Times New Roman"/>
          <w:sz w:val="24"/>
          <w:szCs w:val="24"/>
        </w:rPr>
        <w:footnoteReference w:id="9"/>
      </w:r>
      <w:r w:rsidR="00CA0568">
        <w:rPr>
          <w:rFonts w:ascii="Times New Roman" w:hAnsi="Times New Roman" w:cs="Times New Roman"/>
          <w:sz w:val="24"/>
          <w:szCs w:val="24"/>
        </w:rPr>
        <w:t>.</w:t>
      </w:r>
    </w:p>
    <w:p w:rsidR="00637BC6" w:rsidRPr="00DD3560" w:rsidRDefault="00FD42B3" w:rsidP="00EA609F">
      <w:pPr>
        <w:jc w:val="center"/>
        <w:rPr>
          <w:rFonts w:ascii="Times New Roman" w:hAnsi="Times New Roman" w:cs="Times New Roman"/>
          <w:color w:val="000000" w:themeColor="text1"/>
          <w:sz w:val="24"/>
          <w:szCs w:val="24"/>
        </w:rPr>
      </w:pPr>
      <w:r w:rsidRPr="00DD3560">
        <w:rPr>
          <w:rFonts w:ascii="Times New Roman" w:hAnsi="Times New Roman" w:cs="Times New Roman"/>
          <w:b/>
          <w:color w:val="000000" w:themeColor="text1"/>
          <w:sz w:val="24"/>
          <w:szCs w:val="24"/>
        </w:rPr>
        <w:t>Слика 1</w:t>
      </w:r>
      <w:r w:rsidR="00DD3560">
        <w:rPr>
          <w:rFonts w:ascii="Times New Roman" w:hAnsi="Times New Roman" w:cs="Times New Roman"/>
          <w:b/>
          <w:color w:val="000000" w:themeColor="text1"/>
          <w:sz w:val="24"/>
          <w:szCs w:val="24"/>
        </w:rPr>
        <w:t>0</w:t>
      </w:r>
    </w:p>
    <w:bookmarkStart w:id="10" w:name="_MON_1491030173"/>
    <w:bookmarkEnd w:id="10"/>
    <w:p w:rsidR="00D14DA3" w:rsidRDefault="002C234C" w:rsidP="00EA609F">
      <w:pPr>
        <w:jc w:val="center"/>
        <w:rPr>
          <w:rFonts w:ascii="Times New Roman" w:hAnsi="Times New Roman" w:cs="Times New Roman"/>
          <w:sz w:val="24"/>
          <w:szCs w:val="24"/>
        </w:rPr>
      </w:pPr>
      <w:r w:rsidRPr="00EF7490">
        <w:rPr>
          <w:rFonts w:ascii="Times New Roman" w:hAnsi="Times New Roman" w:cs="Times New Roman"/>
          <w:sz w:val="24"/>
          <w:szCs w:val="24"/>
        </w:rPr>
        <w:object w:dxaOrig="7848" w:dyaOrig="6310">
          <v:shape id="_x0000_i1031" type="#_x0000_t75" style="width:394.5pt;height:266.25pt" o:ole="">
            <v:imagedata r:id="rId36" o:title=""/>
          </v:shape>
          <o:OLEObject Type="Embed" ProgID="Excel.Sheet.12" ShapeID="_x0000_i1031" DrawAspect="Content" ObjectID="_1491048517" r:id="rId37"/>
        </w:object>
      </w:r>
    </w:p>
    <w:p w:rsidR="008449E3" w:rsidRDefault="008449E3" w:rsidP="00F55A41">
      <w:pPr>
        <w:jc w:val="both"/>
        <w:rPr>
          <w:rFonts w:ascii="Times New Roman" w:hAnsi="Times New Roman" w:cs="Times New Roman"/>
          <w:sz w:val="24"/>
          <w:szCs w:val="24"/>
          <w:lang w:val="sr-Cyrl-CS"/>
        </w:rPr>
      </w:pPr>
    </w:p>
    <w:p w:rsidR="008F74F3" w:rsidRDefault="008F74F3" w:rsidP="00F55A41">
      <w:pPr>
        <w:jc w:val="both"/>
        <w:rPr>
          <w:rFonts w:ascii="Times New Roman" w:hAnsi="Times New Roman" w:cs="Times New Roman"/>
          <w:sz w:val="24"/>
          <w:szCs w:val="24"/>
          <w:lang w:val="sr-Cyrl-CS"/>
        </w:rPr>
      </w:pPr>
    </w:p>
    <w:p w:rsidR="008F74F3" w:rsidRDefault="008F74F3" w:rsidP="00F55A41">
      <w:pPr>
        <w:jc w:val="both"/>
        <w:rPr>
          <w:rFonts w:ascii="Times New Roman" w:hAnsi="Times New Roman" w:cs="Times New Roman"/>
          <w:sz w:val="24"/>
          <w:szCs w:val="24"/>
          <w:lang w:val="sr-Cyrl-CS"/>
        </w:rPr>
      </w:pPr>
    </w:p>
    <w:p w:rsidR="008F74F3" w:rsidRDefault="008F74F3" w:rsidP="00F55A41">
      <w:pPr>
        <w:jc w:val="both"/>
        <w:rPr>
          <w:rFonts w:ascii="Times New Roman" w:hAnsi="Times New Roman" w:cs="Times New Roman"/>
          <w:sz w:val="24"/>
          <w:szCs w:val="24"/>
          <w:lang w:val="sr-Cyrl-CS"/>
        </w:rPr>
      </w:pPr>
    </w:p>
    <w:p w:rsidR="007508D7" w:rsidRDefault="007508D7" w:rsidP="00F55A41">
      <w:pPr>
        <w:jc w:val="both"/>
        <w:rPr>
          <w:rFonts w:ascii="Times New Roman" w:hAnsi="Times New Roman" w:cs="Times New Roman"/>
          <w:sz w:val="24"/>
          <w:szCs w:val="24"/>
          <w:lang w:val="sr-Cyrl-CS"/>
        </w:rPr>
      </w:pPr>
    </w:p>
    <w:p w:rsidR="008F74F3" w:rsidRPr="007508D7" w:rsidRDefault="008F74F3" w:rsidP="00F55A41">
      <w:pPr>
        <w:jc w:val="both"/>
        <w:rPr>
          <w:rFonts w:ascii="Times New Roman" w:hAnsi="Times New Roman" w:cs="Times New Roman"/>
          <w:sz w:val="24"/>
          <w:szCs w:val="24"/>
          <w:lang w:val="sr-Cyrl-CS"/>
        </w:rPr>
      </w:pPr>
    </w:p>
    <w:p w:rsidR="00023ACB" w:rsidRPr="007B4B66" w:rsidRDefault="00786C64" w:rsidP="00F55A41">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lastRenderedPageBreak/>
        <w:t>ИЗВРШЕЊЕ И ИЗМЕНЕ УГОВОРА</w:t>
      </w:r>
    </w:p>
    <w:p w:rsidR="007B4B66" w:rsidRDefault="003722B3" w:rsidP="00F55A41">
      <w:pPr>
        <w:jc w:val="both"/>
        <w:rPr>
          <w:rFonts w:ascii="Times New Roman" w:hAnsi="Times New Roman" w:cs="Times New Roman"/>
          <w:sz w:val="24"/>
          <w:szCs w:val="24"/>
        </w:rPr>
      </w:pPr>
      <w:r>
        <w:rPr>
          <w:rFonts w:ascii="Times New Roman" w:hAnsi="Times New Roman" w:cs="Times New Roman"/>
          <w:sz w:val="24"/>
          <w:szCs w:val="24"/>
        </w:rPr>
        <w:t xml:space="preserve">Закон је </w:t>
      </w:r>
      <w:r w:rsidR="007B4B66" w:rsidRPr="007B4B66">
        <w:rPr>
          <w:rFonts w:ascii="Times New Roman" w:hAnsi="Times New Roman" w:cs="Times New Roman"/>
          <w:sz w:val="24"/>
          <w:szCs w:val="24"/>
        </w:rPr>
        <w:t>предвидео обавез</w:t>
      </w:r>
      <w:r>
        <w:rPr>
          <w:rFonts w:ascii="Times New Roman" w:hAnsi="Times New Roman" w:cs="Times New Roman"/>
          <w:sz w:val="24"/>
          <w:szCs w:val="24"/>
        </w:rPr>
        <w:t>у</w:t>
      </w:r>
      <w:r w:rsidR="002C234C">
        <w:rPr>
          <w:rFonts w:ascii="Times New Roman" w:hAnsi="Times New Roman" w:cs="Times New Roman"/>
          <w:sz w:val="24"/>
          <w:szCs w:val="24"/>
          <w:lang w:val="sr-Cyrl-RS"/>
        </w:rPr>
        <w:t xml:space="preserve"> </w:t>
      </w:r>
      <w:r>
        <w:rPr>
          <w:rFonts w:ascii="Times New Roman" w:hAnsi="Times New Roman" w:cs="Times New Roman"/>
          <w:sz w:val="24"/>
          <w:szCs w:val="24"/>
        </w:rPr>
        <w:t xml:space="preserve">наручиоца </w:t>
      </w:r>
      <w:r w:rsidR="007B4B66" w:rsidRPr="007B4B66">
        <w:rPr>
          <w:rFonts w:ascii="Times New Roman" w:hAnsi="Times New Roman" w:cs="Times New Roman"/>
          <w:sz w:val="24"/>
          <w:szCs w:val="24"/>
        </w:rPr>
        <w:t xml:space="preserve">да </w:t>
      </w:r>
      <w:r>
        <w:rPr>
          <w:rFonts w:ascii="Times New Roman" w:hAnsi="Times New Roman" w:cs="Times New Roman"/>
          <w:sz w:val="24"/>
          <w:szCs w:val="24"/>
        </w:rPr>
        <w:t xml:space="preserve">објави </w:t>
      </w:r>
      <w:r w:rsidR="008F74F3">
        <w:rPr>
          <w:rFonts w:ascii="Times New Roman" w:hAnsi="Times New Roman" w:cs="Times New Roman"/>
          <w:sz w:val="24"/>
          <w:szCs w:val="24"/>
          <w:lang w:val="sr-Cyrl-RS"/>
        </w:rPr>
        <w:t>о</w:t>
      </w:r>
      <w:r w:rsidR="007B4B66" w:rsidRPr="007B4B66">
        <w:rPr>
          <w:rFonts w:ascii="Times New Roman" w:hAnsi="Times New Roman" w:cs="Times New Roman"/>
          <w:sz w:val="24"/>
          <w:szCs w:val="24"/>
        </w:rPr>
        <w:t>длуку о измени уговора на Порталу, уз истовремено достављање извештаја о измени уговора У</w:t>
      </w:r>
      <w:r w:rsidR="003D0488">
        <w:rPr>
          <w:rFonts w:ascii="Times New Roman" w:hAnsi="Times New Roman" w:cs="Times New Roman"/>
          <w:sz w:val="24"/>
          <w:szCs w:val="24"/>
        </w:rPr>
        <w:t>п</w:t>
      </w:r>
      <w:r w:rsidR="007B4B66" w:rsidRPr="007B4B66">
        <w:rPr>
          <w:rFonts w:ascii="Times New Roman" w:hAnsi="Times New Roman" w:cs="Times New Roman"/>
          <w:sz w:val="24"/>
          <w:szCs w:val="24"/>
        </w:rPr>
        <w:t xml:space="preserve">рави и Државној ревизорској институцији (ДРИ). На тај начин се значајно повећала транспарентност финалне </w:t>
      </w:r>
      <w:r w:rsidR="003E12CB">
        <w:rPr>
          <w:rFonts w:ascii="Times New Roman" w:hAnsi="Times New Roman" w:cs="Times New Roman"/>
          <w:sz w:val="24"/>
          <w:szCs w:val="24"/>
        </w:rPr>
        <w:t>фазе јавне набавке (реализације</w:t>
      </w:r>
      <w:r w:rsidR="002C234C">
        <w:rPr>
          <w:rFonts w:ascii="Times New Roman" w:hAnsi="Times New Roman" w:cs="Times New Roman"/>
          <w:sz w:val="24"/>
          <w:szCs w:val="24"/>
          <w:lang w:val="sr-Cyrl-RS"/>
        </w:rPr>
        <w:t xml:space="preserve"> </w:t>
      </w:r>
      <w:r w:rsidR="007B4B66" w:rsidRPr="007B4B66">
        <w:rPr>
          <w:rFonts w:ascii="Times New Roman" w:hAnsi="Times New Roman" w:cs="Times New Roman"/>
          <w:sz w:val="24"/>
          <w:szCs w:val="24"/>
        </w:rPr>
        <w:t xml:space="preserve">уговора) и омогућило реаговање на накнадна одступања од услова из конкурсне документације и уговора која су раније често била присутна, управо услед одсуства праћења и контроле. Уколико Управа или ДРИ утврде да је дошло до недозвољене промене уговора, Закон предвиђа </w:t>
      </w:r>
      <w:r w:rsidR="00936D4F">
        <w:rPr>
          <w:rFonts w:ascii="Times New Roman" w:hAnsi="Times New Roman" w:cs="Times New Roman"/>
          <w:sz w:val="24"/>
          <w:szCs w:val="24"/>
        </w:rPr>
        <w:t xml:space="preserve">обавезу  подношења </w:t>
      </w:r>
      <w:r w:rsidR="007B4B66" w:rsidRPr="007B4B66">
        <w:rPr>
          <w:rFonts w:ascii="Times New Roman" w:hAnsi="Times New Roman" w:cs="Times New Roman"/>
          <w:sz w:val="24"/>
          <w:szCs w:val="24"/>
        </w:rPr>
        <w:t>прекршајне пријаве против наручиоца.</w:t>
      </w:r>
    </w:p>
    <w:p w:rsidR="00B43F51" w:rsidRPr="00070C23" w:rsidRDefault="00DD7D04" w:rsidP="00F55A41">
      <w:pPr>
        <w:jc w:val="both"/>
        <w:rPr>
          <w:rFonts w:ascii="Times New Roman" w:hAnsi="Times New Roman" w:cs="Times New Roman"/>
          <w:sz w:val="24"/>
          <w:szCs w:val="24"/>
        </w:rPr>
      </w:pPr>
      <w:r w:rsidRPr="00DD7D04">
        <w:rPr>
          <w:rFonts w:ascii="Times New Roman" w:hAnsi="Times New Roman" w:cs="Times New Roman"/>
          <w:sz w:val="24"/>
          <w:szCs w:val="24"/>
        </w:rPr>
        <w:t>У Табели</w:t>
      </w:r>
      <w:r w:rsidR="003722B3">
        <w:rPr>
          <w:rFonts w:ascii="Times New Roman" w:hAnsi="Times New Roman" w:cs="Times New Roman"/>
          <w:sz w:val="24"/>
          <w:szCs w:val="24"/>
        </w:rPr>
        <w:t xml:space="preserve"> </w:t>
      </w:r>
      <w:r w:rsidR="008F74F3">
        <w:rPr>
          <w:rFonts w:ascii="Times New Roman" w:hAnsi="Times New Roman" w:cs="Times New Roman"/>
          <w:sz w:val="24"/>
          <w:szCs w:val="24"/>
          <w:lang w:val="sr-Cyrl-RS"/>
        </w:rPr>
        <w:t>10</w:t>
      </w:r>
      <w:r w:rsidR="002C234C">
        <w:rPr>
          <w:rFonts w:ascii="Times New Roman" w:hAnsi="Times New Roman" w:cs="Times New Roman"/>
          <w:sz w:val="24"/>
          <w:szCs w:val="24"/>
          <w:lang w:val="sr-Cyrl-RS"/>
        </w:rPr>
        <w:t xml:space="preserve"> </w:t>
      </w:r>
      <w:r>
        <w:rPr>
          <w:rFonts w:ascii="Times New Roman" w:hAnsi="Times New Roman" w:cs="Times New Roman"/>
          <w:sz w:val="24"/>
          <w:szCs w:val="24"/>
        </w:rPr>
        <w:t xml:space="preserve">дати су подаци о броју </w:t>
      </w:r>
      <w:r w:rsidR="003E12CB">
        <w:rPr>
          <w:rFonts w:ascii="Times New Roman" w:hAnsi="Times New Roman" w:cs="Times New Roman"/>
          <w:sz w:val="24"/>
          <w:szCs w:val="24"/>
        </w:rPr>
        <w:t xml:space="preserve">уговора који су </w:t>
      </w:r>
      <w:r>
        <w:rPr>
          <w:rFonts w:ascii="Times New Roman" w:hAnsi="Times New Roman" w:cs="Times New Roman"/>
          <w:sz w:val="24"/>
          <w:szCs w:val="24"/>
        </w:rPr>
        <w:t>реал</w:t>
      </w:r>
      <w:r w:rsidR="003E12CB">
        <w:rPr>
          <w:rFonts w:ascii="Times New Roman" w:hAnsi="Times New Roman" w:cs="Times New Roman"/>
          <w:sz w:val="24"/>
          <w:szCs w:val="24"/>
        </w:rPr>
        <w:t>изовани</w:t>
      </w:r>
      <w:r>
        <w:rPr>
          <w:rFonts w:ascii="Times New Roman" w:hAnsi="Times New Roman" w:cs="Times New Roman"/>
          <w:sz w:val="24"/>
          <w:szCs w:val="24"/>
        </w:rPr>
        <w:t xml:space="preserve"> у </w:t>
      </w:r>
      <w:r w:rsidR="00ED277B">
        <w:rPr>
          <w:rFonts w:ascii="Times New Roman" w:hAnsi="Times New Roman" w:cs="Times New Roman"/>
          <w:sz w:val="24"/>
          <w:szCs w:val="24"/>
        </w:rPr>
        <w:t>201</w:t>
      </w:r>
      <w:r w:rsidR="00505BD3">
        <w:rPr>
          <w:rFonts w:ascii="Times New Roman" w:hAnsi="Times New Roman" w:cs="Times New Roman"/>
          <w:sz w:val="24"/>
          <w:szCs w:val="24"/>
        </w:rPr>
        <w:t>4</w:t>
      </w:r>
      <w:r w:rsidR="00ED277B">
        <w:rPr>
          <w:rFonts w:ascii="Times New Roman" w:hAnsi="Times New Roman" w:cs="Times New Roman"/>
          <w:sz w:val="24"/>
          <w:szCs w:val="24"/>
        </w:rPr>
        <w:t>. годин</w:t>
      </w:r>
      <w:r w:rsidR="003722B3">
        <w:rPr>
          <w:rFonts w:ascii="Times New Roman" w:hAnsi="Times New Roman" w:cs="Times New Roman"/>
          <w:sz w:val="24"/>
          <w:szCs w:val="24"/>
        </w:rPr>
        <w:t>и</w:t>
      </w:r>
      <w:r>
        <w:rPr>
          <w:rFonts w:ascii="Times New Roman" w:hAnsi="Times New Roman" w:cs="Times New Roman"/>
          <w:sz w:val="24"/>
          <w:szCs w:val="24"/>
        </w:rPr>
        <w:t xml:space="preserve">, </w:t>
      </w:r>
      <w:r w:rsidR="003E12CB">
        <w:rPr>
          <w:rFonts w:ascii="Times New Roman" w:hAnsi="Times New Roman" w:cs="Times New Roman"/>
          <w:sz w:val="24"/>
          <w:szCs w:val="24"/>
        </w:rPr>
        <w:t xml:space="preserve">без обзира на датум </w:t>
      </w:r>
      <w:r w:rsidR="00C1387D">
        <w:rPr>
          <w:rFonts w:ascii="Times New Roman" w:hAnsi="Times New Roman" w:cs="Times New Roman"/>
          <w:sz w:val="24"/>
          <w:szCs w:val="24"/>
        </w:rPr>
        <w:t xml:space="preserve">њиховог </w:t>
      </w:r>
      <w:r w:rsidR="003E12CB">
        <w:rPr>
          <w:rFonts w:ascii="Times New Roman" w:hAnsi="Times New Roman" w:cs="Times New Roman"/>
          <w:sz w:val="24"/>
          <w:szCs w:val="24"/>
        </w:rPr>
        <w:t xml:space="preserve">закључења, </w:t>
      </w:r>
      <w:r>
        <w:rPr>
          <w:rFonts w:ascii="Times New Roman" w:hAnsi="Times New Roman" w:cs="Times New Roman"/>
          <w:sz w:val="24"/>
          <w:szCs w:val="24"/>
        </w:rPr>
        <w:t>при чему се под реализованим уговором подр</w:t>
      </w:r>
      <w:r w:rsidR="002F4C79">
        <w:rPr>
          <w:rFonts w:ascii="Times New Roman" w:hAnsi="Times New Roman" w:cs="Times New Roman"/>
          <w:sz w:val="24"/>
          <w:szCs w:val="24"/>
        </w:rPr>
        <w:t>а</w:t>
      </w:r>
      <w:r>
        <w:rPr>
          <w:rFonts w:ascii="Times New Roman" w:hAnsi="Times New Roman" w:cs="Times New Roman"/>
          <w:sz w:val="24"/>
          <w:szCs w:val="24"/>
        </w:rPr>
        <w:t>зумева да је</w:t>
      </w:r>
      <w:r w:rsidR="002C234C">
        <w:rPr>
          <w:rFonts w:ascii="Times New Roman" w:hAnsi="Times New Roman" w:cs="Times New Roman"/>
          <w:sz w:val="24"/>
          <w:szCs w:val="24"/>
          <w:lang w:val="sr-Cyrl-RS"/>
        </w:rPr>
        <w:t xml:space="preserve"> </w:t>
      </w:r>
      <w:r w:rsidR="00F46340" w:rsidRPr="00F46340">
        <w:rPr>
          <w:rFonts w:ascii="Times New Roman" w:hAnsi="Times New Roman" w:cs="Times New Roman"/>
          <w:sz w:val="24"/>
          <w:szCs w:val="24"/>
        </w:rPr>
        <w:t>извршена</w:t>
      </w:r>
      <w:r>
        <w:rPr>
          <w:rFonts w:ascii="Times New Roman" w:hAnsi="Times New Roman" w:cs="Times New Roman"/>
          <w:sz w:val="24"/>
          <w:szCs w:val="24"/>
        </w:rPr>
        <w:t xml:space="preserve"> исплата</w:t>
      </w:r>
      <w:r w:rsidR="0047587D">
        <w:rPr>
          <w:rFonts w:ascii="Times New Roman" w:hAnsi="Times New Roman" w:cs="Times New Roman"/>
          <w:sz w:val="24"/>
          <w:szCs w:val="24"/>
        </w:rPr>
        <w:t xml:space="preserve"> од стране научиоца</w:t>
      </w:r>
      <w:r>
        <w:rPr>
          <w:rFonts w:ascii="Times New Roman" w:hAnsi="Times New Roman" w:cs="Times New Roman"/>
          <w:sz w:val="24"/>
          <w:szCs w:val="24"/>
        </w:rPr>
        <w:t xml:space="preserve"> (колона 2 </w:t>
      </w:r>
      <w:r w:rsidR="00A01819">
        <w:rPr>
          <w:rFonts w:ascii="Times New Roman" w:hAnsi="Times New Roman" w:cs="Times New Roman"/>
          <w:sz w:val="24"/>
          <w:szCs w:val="24"/>
        </w:rPr>
        <w:t xml:space="preserve">у </w:t>
      </w:r>
      <w:r w:rsidR="00A01819" w:rsidRPr="00A93681">
        <w:rPr>
          <w:rFonts w:ascii="Times New Roman" w:hAnsi="Times New Roman" w:cs="Times New Roman"/>
          <w:sz w:val="24"/>
          <w:szCs w:val="24"/>
        </w:rPr>
        <w:t xml:space="preserve">Табели </w:t>
      </w:r>
      <w:r w:rsidR="008F74F3">
        <w:rPr>
          <w:rFonts w:ascii="Times New Roman" w:hAnsi="Times New Roman" w:cs="Times New Roman"/>
          <w:sz w:val="24"/>
          <w:szCs w:val="24"/>
          <w:lang w:val="sr-Cyrl-RS"/>
        </w:rPr>
        <w:t>10</w:t>
      </w:r>
      <w:r w:rsidR="00A01819">
        <w:rPr>
          <w:rFonts w:ascii="Times New Roman" w:hAnsi="Times New Roman" w:cs="Times New Roman"/>
          <w:sz w:val="24"/>
          <w:szCs w:val="24"/>
        </w:rPr>
        <w:t xml:space="preserve">). </w:t>
      </w:r>
      <w:r w:rsidR="00A01819" w:rsidRPr="00A93681">
        <w:rPr>
          <w:rFonts w:ascii="Times New Roman" w:hAnsi="Times New Roman" w:cs="Times New Roman"/>
          <w:sz w:val="24"/>
          <w:szCs w:val="24"/>
        </w:rPr>
        <w:t xml:space="preserve">Табела </w:t>
      </w:r>
      <w:r w:rsidR="008F74F3">
        <w:rPr>
          <w:rFonts w:ascii="Times New Roman" w:hAnsi="Times New Roman" w:cs="Times New Roman"/>
          <w:sz w:val="24"/>
          <w:szCs w:val="24"/>
          <w:lang w:val="sr-Cyrl-RS"/>
        </w:rPr>
        <w:t>10</w:t>
      </w:r>
      <w:r w:rsidR="003722B3">
        <w:rPr>
          <w:rFonts w:ascii="Times New Roman" w:hAnsi="Times New Roman" w:cs="Times New Roman"/>
          <w:sz w:val="24"/>
          <w:szCs w:val="24"/>
        </w:rPr>
        <w:t xml:space="preserve"> </w:t>
      </w:r>
      <w:r w:rsidR="00A01819">
        <w:rPr>
          <w:rFonts w:ascii="Times New Roman" w:hAnsi="Times New Roman" w:cs="Times New Roman"/>
          <w:sz w:val="24"/>
          <w:szCs w:val="24"/>
        </w:rPr>
        <w:t>такође са</w:t>
      </w:r>
      <w:r>
        <w:rPr>
          <w:rFonts w:ascii="Times New Roman" w:hAnsi="Times New Roman" w:cs="Times New Roman"/>
          <w:sz w:val="24"/>
          <w:szCs w:val="24"/>
        </w:rPr>
        <w:t xml:space="preserve">држи и податке о броју извршених измена </w:t>
      </w:r>
      <w:r w:rsidR="003E12CB">
        <w:rPr>
          <w:rFonts w:ascii="Times New Roman" w:hAnsi="Times New Roman" w:cs="Times New Roman"/>
          <w:sz w:val="24"/>
          <w:szCs w:val="24"/>
        </w:rPr>
        <w:t xml:space="preserve">наведених </w:t>
      </w:r>
      <w:r>
        <w:rPr>
          <w:rFonts w:ascii="Times New Roman" w:hAnsi="Times New Roman" w:cs="Times New Roman"/>
          <w:sz w:val="24"/>
          <w:szCs w:val="24"/>
        </w:rPr>
        <w:t xml:space="preserve">уговора (колона 3). </w:t>
      </w:r>
      <w:r w:rsidR="002F4C79" w:rsidRPr="005047A3">
        <w:rPr>
          <w:rFonts w:ascii="Times New Roman" w:hAnsi="Times New Roman" w:cs="Times New Roman"/>
          <w:sz w:val="24"/>
          <w:szCs w:val="24"/>
        </w:rPr>
        <w:t>Произ</w:t>
      </w:r>
      <w:r w:rsidR="003E12CB">
        <w:rPr>
          <w:rFonts w:ascii="Times New Roman" w:hAnsi="Times New Roman" w:cs="Times New Roman"/>
          <w:sz w:val="24"/>
          <w:szCs w:val="24"/>
        </w:rPr>
        <w:t>илази</w:t>
      </w:r>
      <w:r w:rsidR="002F4C79" w:rsidRPr="005047A3">
        <w:rPr>
          <w:rFonts w:ascii="Times New Roman" w:hAnsi="Times New Roman" w:cs="Times New Roman"/>
          <w:sz w:val="24"/>
          <w:szCs w:val="24"/>
        </w:rPr>
        <w:t xml:space="preserve"> да је б</w:t>
      </w:r>
      <w:r w:rsidR="00ED277B" w:rsidRPr="005047A3">
        <w:rPr>
          <w:rFonts w:ascii="Times New Roman" w:hAnsi="Times New Roman" w:cs="Times New Roman"/>
          <w:sz w:val="24"/>
          <w:szCs w:val="24"/>
        </w:rPr>
        <w:t xml:space="preserve">рој измена </w:t>
      </w:r>
      <w:r w:rsidR="0028619F">
        <w:rPr>
          <w:rFonts w:ascii="Times New Roman" w:hAnsi="Times New Roman" w:cs="Times New Roman"/>
          <w:sz w:val="24"/>
          <w:szCs w:val="24"/>
        </w:rPr>
        <w:t>по уговору</w:t>
      </w:r>
      <w:r w:rsidR="00ED277B" w:rsidRPr="005047A3">
        <w:rPr>
          <w:rFonts w:ascii="Times New Roman" w:hAnsi="Times New Roman" w:cs="Times New Roman"/>
          <w:sz w:val="24"/>
          <w:szCs w:val="24"/>
        </w:rPr>
        <w:t xml:space="preserve"> чинио свега </w:t>
      </w:r>
      <w:r w:rsidR="003E12CB">
        <w:rPr>
          <w:rFonts w:ascii="Times New Roman" w:hAnsi="Times New Roman" w:cs="Times New Roman"/>
          <w:sz w:val="24"/>
          <w:szCs w:val="24"/>
        </w:rPr>
        <w:t>2</w:t>
      </w:r>
      <w:r w:rsidR="002F4C79" w:rsidRPr="005047A3">
        <w:rPr>
          <w:rFonts w:ascii="Times New Roman" w:hAnsi="Times New Roman" w:cs="Times New Roman"/>
          <w:sz w:val="24"/>
          <w:szCs w:val="24"/>
        </w:rPr>
        <w:t xml:space="preserve">% од укупног броја реализованих уговора у </w:t>
      </w:r>
      <w:r w:rsidR="003722B3">
        <w:rPr>
          <w:rFonts w:ascii="Times New Roman" w:hAnsi="Times New Roman" w:cs="Times New Roman"/>
          <w:sz w:val="24"/>
          <w:szCs w:val="24"/>
        </w:rPr>
        <w:t xml:space="preserve">2014. години </w:t>
      </w:r>
      <w:r w:rsidRPr="005047A3">
        <w:rPr>
          <w:rFonts w:ascii="Times New Roman" w:hAnsi="Times New Roman" w:cs="Times New Roman"/>
          <w:sz w:val="24"/>
          <w:szCs w:val="24"/>
        </w:rPr>
        <w:t>(колона 4</w:t>
      </w:r>
      <w:r w:rsidR="002F4C79" w:rsidRPr="005047A3">
        <w:rPr>
          <w:rFonts w:ascii="Times New Roman" w:hAnsi="Times New Roman" w:cs="Times New Roman"/>
          <w:sz w:val="24"/>
          <w:szCs w:val="24"/>
        </w:rPr>
        <w:t xml:space="preserve">, </w:t>
      </w:r>
      <w:r w:rsidR="002F4C79" w:rsidRPr="00A93681">
        <w:rPr>
          <w:rFonts w:ascii="Times New Roman" w:hAnsi="Times New Roman" w:cs="Times New Roman"/>
          <w:sz w:val="24"/>
          <w:szCs w:val="24"/>
        </w:rPr>
        <w:t xml:space="preserve">Табела </w:t>
      </w:r>
      <w:r w:rsidR="008F74F3">
        <w:rPr>
          <w:rFonts w:ascii="Times New Roman" w:hAnsi="Times New Roman" w:cs="Times New Roman"/>
          <w:sz w:val="24"/>
          <w:szCs w:val="24"/>
          <w:lang w:val="sr-Cyrl-RS"/>
        </w:rPr>
        <w:t>10</w:t>
      </w:r>
      <w:r w:rsidR="003E12CB">
        <w:rPr>
          <w:rFonts w:ascii="Times New Roman" w:hAnsi="Times New Roman" w:cs="Times New Roman"/>
          <w:sz w:val="24"/>
          <w:szCs w:val="24"/>
        </w:rPr>
        <w:t xml:space="preserve">), односно да је на сваких 100 закључених уговора </w:t>
      </w:r>
      <w:r w:rsidR="00C07973">
        <w:rPr>
          <w:rFonts w:ascii="Times New Roman" w:hAnsi="Times New Roman" w:cs="Times New Roman"/>
          <w:sz w:val="24"/>
          <w:szCs w:val="24"/>
        </w:rPr>
        <w:t xml:space="preserve">о јавним набавкама </w:t>
      </w:r>
      <w:r w:rsidR="0028619F">
        <w:rPr>
          <w:rFonts w:ascii="Times New Roman" w:hAnsi="Times New Roman" w:cs="Times New Roman"/>
          <w:sz w:val="24"/>
          <w:szCs w:val="24"/>
        </w:rPr>
        <w:t xml:space="preserve">у просеку </w:t>
      </w:r>
      <w:r w:rsidR="003E12CB">
        <w:rPr>
          <w:rFonts w:ascii="Times New Roman" w:hAnsi="Times New Roman" w:cs="Times New Roman"/>
          <w:sz w:val="24"/>
          <w:szCs w:val="24"/>
        </w:rPr>
        <w:t>било 2 измене.</w:t>
      </w:r>
    </w:p>
    <w:p w:rsidR="00DD7D04" w:rsidRPr="008F74F3" w:rsidRDefault="00C41DA4" w:rsidP="00F55A41">
      <w:pPr>
        <w:jc w:val="both"/>
        <w:rPr>
          <w:rFonts w:ascii="Times New Roman" w:hAnsi="Times New Roman" w:cs="Times New Roman"/>
          <w:b/>
          <w:sz w:val="24"/>
          <w:szCs w:val="24"/>
          <w:lang w:val="sr-Cyrl-RS"/>
        </w:rPr>
      </w:pPr>
      <w:r w:rsidRPr="003722B3">
        <w:rPr>
          <w:rFonts w:ascii="Times New Roman" w:hAnsi="Times New Roman" w:cs="Times New Roman"/>
          <w:b/>
          <w:sz w:val="24"/>
          <w:szCs w:val="24"/>
        </w:rPr>
        <w:t>Табела</w:t>
      </w:r>
      <w:r w:rsidR="003722B3" w:rsidRPr="003722B3">
        <w:rPr>
          <w:rFonts w:ascii="Times New Roman" w:hAnsi="Times New Roman" w:cs="Times New Roman"/>
          <w:b/>
          <w:sz w:val="24"/>
          <w:szCs w:val="24"/>
        </w:rPr>
        <w:t xml:space="preserve"> </w:t>
      </w:r>
      <w:r w:rsidR="008F74F3">
        <w:rPr>
          <w:rFonts w:ascii="Times New Roman" w:hAnsi="Times New Roman" w:cs="Times New Roman"/>
          <w:b/>
          <w:sz w:val="24"/>
          <w:szCs w:val="24"/>
          <w:lang w:val="sr-Cyrl-RS"/>
        </w:rPr>
        <w:t>10</w:t>
      </w:r>
    </w:p>
    <w:tbl>
      <w:tblPr>
        <w:tblpPr w:leftFromText="141" w:rightFromText="141" w:vertAnchor="text" w:horzAnchor="margin" w:tblpX="108"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251"/>
        <w:gridCol w:w="2264"/>
        <w:gridCol w:w="2849"/>
      </w:tblGrid>
      <w:tr w:rsidR="00245533" w:rsidRPr="00245533" w:rsidTr="00EA609F">
        <w:trPr>
          <w:trHeight w:val="724"/>
        </w:trPr>
        <w:tc>
          <w:tcPr>
            <w:tcW w:w="11016" w:type="dxa"/>
            <w:gridSpan w:val="4"/>
            <w:shd w:val="clear" w:color="auto" w:fill="auto"/>
            <w:vAlign w:val="center"/>
          </w:tcPr>
          <w:p w:rsidR="00245533" w:rsidRPr="00EA609F" w:rsidRDefault="00245533" w:rsidP="00EA609F">
            <w:pPr>
              <w:tabs>
                <w:tab w:val="left" w:pos="1885"/>
              </w:tabs>
              <w:spacing w:after="0" w:line="240" w:lineRule="auto"/>
              <w:jc w:val="center"/>
              <w:rPr>
                <w:rFonts w:ascii="Times New Roman" w:eastAsia="Times New Roman" w:hAnsi="Times New Roman" w:cs="Times New Roman"/>
                <w:b/>
                <w:color w:val="000000"/>
                <w:sz w:val="24"/>
                <w:szCs w:val="24"/>
              </w:rPr>
            </w:pPr>
            <w:r w:rsidRPr="00EA609F">
              <w:rPr>
                <w:rFonts w:ascii="Times New Roman" w:eastAsia="Times New Roman" w:hAnsi="Times New Roman" w:cs="Times New Roman"/>
                <w:b/>
                <w:color w:val="000000"/>
                <w:sz w:val="24"/>
                <w:szCs w:val="24"/>
              </w:rPr>
              <w:t>Преглед измена уговора који су извршени</w:t>
            </w:r>
          </w:p>
          <w:p w:rsidR="00245533" w:rsidRPr="00245533" w:rsidRDefault="00245533" w:rsidP="00EA609F">
            <w:pPr>
              <w:tabs>
                <w:tab w:val="left" w:pos="1885"/>
              </w:tabs>
              <w:spacing w:after="0" w:line="240" w:lineRule="auto"/>
              <w:jc w:val="center"/>
              <w:rPr>
                <w:rFonts w:ascii="Times New Roman" w:eastAsia="Times New Roman" w:hAnsi="Times New Roman" w:cs="Times New Roman"/>
                <w:b/>
                <w:color w:val="000000"/>
                <w:sz w:val="28"/>
                <w:szCs w:val="28"/>
                <w:lang w:val="sr-Cyrl-CS"/>
              </w:rPr>
            </w:pPr>
            <w:r w:rsidRPr="00EA609F">
              <w:rPr>
                <w:rFonts w:ascii="Times New Roman" w:eastAsia="Times New Roman" w:hAnsi="Times New Roman" w:cs="Times New Roman"/>
                <w:b/>
                <w:color w:val="000000"/>
                <w:sz w:val="24"/>
                <w:szCs w:val="24"/>
              </w:rPr>
              <w:t>у 2014. годин</w:t>
            </w:r>
            <w:r w:rsidRPr="00EA609F">
              <w:rPr>
                <w:rFonts w:ascii="Times New Roman" w:eastAsia="Times New Roman" w:hAnsi="Times New Roman" w:cs="Times New Roman"/>
                <w:b/>
                <w:color w:val="000000"/>
                <w:sz w:val="24"/>
                <w:szCs w:val="24"/>
                <w:lang w:val="sr-Cyrl-CS"/>
              </w:rPr>
              <w:t>и, по категоријама</w:t>
            </w:r>
            <w:r w:rsidR="008F74F3">
              <w:rPr>
                <w:rFonts w:ascii="Times New Roman" w:eastAsia="Times New Roman" w:hAnsi="Times New Roman" w:cs="Times New Roman"/>
                <w:b/>
                <w:color w:val="000000"/>
                <w:sz w:val="24"/>
                <w:szCs w:val="24"/>
                <w:lang w:val="sr-Cyrl-CS"/>
              </w:rPr>
              <w:t xml:space="preserve"> наручилаца</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Категорија</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color w:val="000000"/>
                <w:sz w:val="24"/>
                <w:szCs w:val="20"/>
              </w:rPr>
            </w:pPr>
            <w:r w:rsidRPr="00245533">
              <w:rPr>
                <w:rFonts w:ascii="Times New Roman" w:eastAsia="Times New Roman" w:hAnsi="Times New Roman" w:cs="Times New Roman"/>
                <w:b/>
                <w:color w:val="000000"/>
                <w:sz w:val="24"/>
                <w:szCs w:val="20"/>
              </w:rPr>
              <w:t>Број извршених уговора</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color w:val="000000"/>
                <w:sz w:val="24"/>
                <w:szCs w:val="20"/>
              </w:rPr>
            </w:pPr>
            <w:r w:rsidRPr="00245533">
              <w:rPr>
                <w:rFonts w:ascii="Times New Roman" w:eastAsia="Times New Roman" w:hAnsi="Times New Roman" w:cs="Times New Roman"/>
                <w:b/>
                <w:color w:val="000000"/>
                <w:sz w:val="24"/>
                <w:szCs w:val="20"/>
              </w:rPr>
              <w:t>Број измена уговора</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color w:val="000000"/>
                <w:sz w:val="24"/>
                <w:szCs w:val="20"/>
              </w:rPr>
            </w:pPr>
            <w:r w:rsidRPr="00245533">
              <w:rPr>
                <w:rFonts w:ascii="Times New Roman" w:eastAsia="Times New Roman" w:hAnsi="Times New Roman" w:cs="Times New Roman"/>
                <w:b/>
                <w:color w:val="000000"/>
                <w:sz w:val="24"/>
                <w:szCs w:val="20"/>
              </w:rPr>
              <w:t>Просечан број измена</w:t>
            </w:r>
          </w:p>
          <w:p w:rsidR="00245533" w:rsidRPr="00245533" w:rsidRDefault="00245533" w:rsidP="00EA609F">
            <w:pPr>
              <w:tabs>
                <w:tab w:val="left" w:pos="1885"/>
              </w:tabs>
              <w:spacing w:after="0" w:line="240" w:lineRule="auto"/>
              <w:jc w:val="center"/>
              <w:rPr>
                <w:rFonts w:ascii="Times New Roman" w:eastAsia="Times New Roman" w:hAnsi="Times New Roman" w:cs="Times New Roman"/>
                <w:b/>
                <w:color w:val="000000"/>
                <w:sz w:val="24"/>
                <w:szCs w:val="20"/>
              </w:rPr>
            </w:pPr>
            <w:r w:rsidRPr="00245533">
              <w:rPr>
                <w:rFonts w:ascii="Times New Roman" w:eastAsia="Times New Roman" w:hAnsi="Times New Roman" w:cs="Times New Roman"/>
                <w:b/>
                <w:color w:val="000000"/>
                <w:sz w:val="24"/>
                <w:szCs w:val="20"/>
              </w:rPr>
              <w:t>по уговору</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Органи државне управе</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1.381</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26</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0,02</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Правосуђе</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38</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lang w:val="sr-Cyrl-CS"/>
              </w:rPr>
            </w:pPr>
            <w:r w:rsidRPr="00245533">
              <w:rPr>
                <w:rFonts w:ascii="Times New Roman" w:eastAsia="Times New Roman" w:hAnsi="Times New Roman" w:cs="Times New Roman"/>
                <w:color w:val="000000"/>
                <w:sz w:val="24"/>
                <w:szCs w:val="20"/>
                <w:lang w:val="sr-Cyrl-CS"/>
              </w:rPr>
              <w:t>0</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Здравство и социјална заштита</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4.805</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129</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0,03</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Култура</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715</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6</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0,01</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Просвета, наука и спорт</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1.072</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85</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0,08</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Државна јавна предузећа/ /привредна друштва</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3.167</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26</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0,01</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Јавна предузећа-локална самоуправа</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4.008</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73</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0,02</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Градска и општинска управа</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519</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15</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0,03</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Удружења</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62</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1</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0,02</w:t>
            </w:r>
          </w:p>
        </w:tc>
      </w:tr>
      <w:tr w:rsidR="00245533" w:rsidRPr="00245533" w:rsidTr="00EA609F">
        <w:tc>
          <w:tcPr>
            <w:tcW w:w="3652"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b/>
                <w:sz w:val="24"/>
                <w:szCs w:val="20"/>
              </w:rPr>
            </w:pPr>
            <w:r w:rsidRPr="00245533">
              <w:rPr>
                <w:rFonts w:ascii="Times New Roman" w:eastAsia="Times New Roman" w:hAnsi="Times New Roman" w:cs="Times New Roman"/>
                <w:b/>
                <w:sz w:val="24"/>
                <w:szCs w:val="20"/>
              </w:rPr>
              <w:t>Укупно</w:t>
            </w:r>
          </w:p>
        </w:tc>
        <w:tc>
          <w:tcPr>
            <w:tcW w:w="2251"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15.767</w:t>
            </w:r>
          </w:p>
        </w:tc>
        <w:tc>
          <w:tcPr>
            <w:tcW w:w="0" w:type="auto"/>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361</w:t>
            </w:r>
          </w:p>
        </w:tc>
        <w:tc>
          <w:tcPr>
            <w:tcW w:w="2849" w:type="dxa"/>
            <w:shd w:val="clear" w:color="auto" w:fill="auto"/>
            <w:vAlign w:val="center"/>
          </w:tcPr>
          <w:p w:rsidR="00245533" w:rsidRPr="00245533" w:rsidRDefault="00245533" w:rsidP="00EA609F">
            <w:pPr>
              <w:tabs>
                <w:tab w:val="left" w:pos="1885"/>
              </w:tabs>
              <w:spacing w:after="0" w:line="240" w:lineRule="auto"/>
              <w:jc w:val="center"/>
              <w:rPr>
                <w:rFonts w:ascii="Times New Roman" w:eastAsia="Times New Roman" w:hAnsi="Times New Roman" w:cs="Times New Roman"/>
                <w:color w:val="000000"/>
                <w:sz w:val="24"/>
                <w:szCs w:val="20"/>
              </w:rPr>
            </w:pPr>
            <w:r w:rsidRPr="00245533">
              <w:rPr>
                <w:rFonts w:ascii="Times New Roman" w:eastAsia="Times New Roman" w:hAnsi="Times New Roman" w:cs="Times New Roman"/>
                <w:color w:val="000000"/>
                <w:sz w:val="24"/>
                <w:szCs w:val="20"/>
              </w:rPr>
              <w:t>0,02</w:t>
            </w:r>
          </w:p>
        </w:tc>
      </w:tr>
    </w:tbl>
    <w:p w:rsidR="00D631F1" w:rsidRPr="006F2AD4" w:rsidRDefault="00D631F1" w:rsidP="00F55A41">
      <w:pPr>
        <w:jc w:val="both"/>
        <w:rPr>
          <w:rFonts w:ascii="Times New Roman" w:hAnsi="Times New Roman" w:cs="Times New Roman"/>
          <w:b/>
          <w:sz w:val="24"/>
          <w:szCs w:val="24"/>
        </w:rPr>
      </w:pPr>
    </w:p>
    <w:p w:rsidR="00637BC6" w:rsidRPr="003C3BC0" w:rsidRDefault="00637BC6" w:rsidP="00F55A41">
      <w:pPr>
        <w:pStyle w:val="ListParagraph"/>
        <w:numPr>
          <w:ilvl w:val="0"/>
          <w:numId w:val="2"/>
        </w:numPr>
        <w:jc w:val="both"/>
        <w:rPr>
          <w:rFonts w:ascii="Times New Roman" w:hAnsi="Times New Roman" w:cs="Times New Roman"/>
          <w:b/>
          <w:sz w:val="24"/>
          <w:szCs w:val="24"/>
        </w:rPr>
      </w:pPr>
      <w:r w:rsidRPr="003C3BC0">
        <w:rPr>
          <w:rFonts w:ascii="Times New Roman" w:hAnsi="Times New Roman" w:cs="Times New Roman"/>
          <w:b/>
          <w:sz w:val="24"/>
          <w:szCs w:val="24"/>
        </w:rPr>
        <w:t>ИСХОДИ ПОСТУПАКА</w:t>
      </w:r>
    </w:p>
    <w:p w:rsidR="008D04C0" w:rsidRPr="00B43F51" w:rsidRDefault="00637BC6" w:rsidP="00F55A41">
      <w:pPr>
        <w:jc w:val="both"/>
        <w:rPr>
          <w:rFonts w:ascii="Times New Roman" w:hAnsi="Times New Roman" w:cs="Times New Roman"/>
          <w:sz w:val="24"/>
          <w:szCs w:val="24"/>
        </w:rPr>
      </w:pPr>
      <w:r>
        <w:rPr>
          <w:rFonts w:ascii="Times New Roman" w:hAnsi="Times New Roman" w:cs="Times New Roman"/>
          <w:sz w:val="24"/>
          <w:szCs w:val="24"/>
        </w:rPr>
        <w:t xml:space="preserve">Преглед исхода поступака јавних </w:t>
      </w:r>
      <w:r w:rsidRPr="00F46340">
        <w:rPr>
          <w:rFonts w:ascii="Times New Roman" w:hAnsi="Times New Roman" w:cs="Times New Roman"/>
          <w:sz w:val="24"/>
          <w:szCs w:val="24"/>
        </w:rPr>
        <w:t>набавки</w:t>
      </w:r>
      <w:r w:rsidR="00F46340" w:rsidRPr="00F46340">
        <w:rPr>
          <w:rFonts w:ascii="Times New Roman" w:hAnsi="Times New Roman" w:cs="Times New Roman"/>
          <w:sz w:val="24"/>
          <w:szCs w:val="24"/>
        </w:rPr>
        <w:t xml:space="preserve"> у</w:t>
      </w:r>
      <w:r w:rsidR="002C234C">
        <w:rPr>
          <w:rFonts w:ascii="Times New Roman" w:hAnsi="Times New Roman" w:cs="Times New Roman"/>
          <w:sz w:val="24"/>
          <w:szCs w:val="24"/>
          <w:lang w:val="sr-Cyrl-RS"/>
        </w:rPr>
        <w:t xml:space="preserve"> </w:t>
      </w:r>
      <w:r w:rsidR="00ED277B" w:rsidRPr="00F46340">
        <w:rPr>
          <w:rFonts w:ascii="Times New Roman" w:hAnsi="Times New Roman" w:cs="Times New Roman"/>
          <w:sz w:val="24"/>
          <w:szCs w:val="24"/>
        </w:rPr>
        <w:t>201</w:t>
      </w:r>
      <w:r w:rsidR="00505BD3" w:rsidRPr="00F46340">
        <w:rPr>
          <w:rFonts w:ascii="Times New Roman" w:hAnsi="Times New Roman" w:cs="Times New Roman"/>
          <w:sz w:val="24"/>
          <w:szCs w:val="24"/>
        </w:rPr>
        <w:t>4</w:t>
      </w:r>
      <w:r w:rsidR="00ED277B" w:rsidRPr="00F46340">
        <w:rPr>
          <w:rFonts w:ascii="Times New Roman" w:hAnsi="Times New Roman" w:cs="Times New Roman"/>
          <w:sz w:val="24"/>
          <w:szCs w:val="24"/>
        </w:rPr>
        <w:t xml:space="preserve">. </w:t>
      </w:r>
      <w:r w:rsidR="002C234C">
        <w:rPr>
          <w:rFonts w:ascii="Times New Roman" w:hAnsi="Times New Roman" w:cs="Times New Roman"/>
          <w:sz w:val="24"/>
          <w:szCs w:val="24"/>
          <w:lang w:val="sr-Cyrl-RS"/>
        </w:rPr>
        <w:t>г</w:t>
      </w:r>
      <w:r w:rsidR="00ED277B" w:rsidRPr="00F46340">
        <w:rPr>
          <w:rFonts w:ascii="Times New Roman" w:hAnsi="Times New Roman" w:cs="Times New Roman"/>
          <w:sz w:val="24"/>
          <w:szCs w:val="24"/>
        </w:rPr>
        <w:t>один</w:t>
      </w:r>
      <w:r w:rsidR="008D04C0" w:rsidRPr="00F46340">
        <w:rPr>
          <w:rFonts w:ascii="Times New Roman" w:hAnsi="Times New Roman" w:cs="Times New Roman"/>
          <w:sz w:val="24"/>
          <w:szCs w:val="24"/>
        </w:rPr>
        <w:t>и</w:t>
      </w:r>
      <w:r w:rsidR="002C234C">
        <w:rPr>
          <w:rFonts w:ascii="Times New Roman" w:hAnsi="Times New Roman" w:cs="Times New Roman"/>
          <w:sz w:val="24"/>
          <w:szCs w:val="24"/>
          <w:lang w:val="sr-Cyrl-RS"/>
        </w:rPr>
        <w:t xml:space="preserve"> </w:t>
      </w:r>
      <w:r>
        <w:rPr>
          <w:rFonts w:ascii="Times New Roman" w:hAnsi="Times New Roman" w:cs="Times New Roman"/>
          <w:sz w:val="24"/>
          <w:szCs w:val="24"/>
        </w:rPr>
        <w:t>(</w:t>
      </w:r>
      <w:r w:rsidRPr="004153ED">
        <w:rPr>
          <w:rFonts w:ascii="Times New Roman" w:hAnsi="Times New Roman" w:cs="Times New Roman"/>
          <w:sz w:val="24"/>
          <w:szCs w:val="24"/>
        </w:rPr>
        <w:t xml:space="preserve">Табела </w:t>
      </w:r>
      <w:r w:rsidR="008F74F3">
        <w:rPr>
          <w:rFonts w:ascii="Times New Roman" w:hAnsi="Times New Roman" w:cs="Times New Roman"/>
          <w:sz w:val="24"/>
          <w:szCs w:val="24"/>
          <w:lang w:val="sr-Cyrl-RS"/>
        </w:rPr>
        <w:t>11</w:t>
      </w:r>
      <w:r w:rsidR="00A92087">
        <w:rPr>
          <w:rFonts w:ascii="Times New Roman" w:hAnsi="Times New Roman" w:cs="Times New Roman"/>
          <w:sz w:val="24"/>
          <w:szCs w:val="24"/>
        </w:rPr>
        <w:t>, С</w:t>
      </w:r>
      <w:r w:rsidR="00120C2B">
        <w:rPr>
          <w:rFonts w:ascii="Times New Roman" w:hAnsi="Times New Roman" w:cs="Times New Roman"/>
          <w:sz w:val="24"/>
          <w:szCs w:val="24"/>
        </w:rPr>
        <w:t>лика 1</w:t>
      </w:r>
      <w:r w:rsidR="003722B3">
        <w:rPr>
          <w:rFonts w:ascii="Times New Roman" w:hAnsi="Times New Roman" w:cs="Times New Roman"/>
          <w:sz w:val="24"/>
          <w:szCs w:val="24"/>
        </w:rPr>
        <w:t>1</w:t>
      </w:r>
      <w:r w:rsidR="008F74F3">
        <w:rPr>
          <w:rFonts w:ascii="Times New Roman" w:hAnsi="Times New Roman" w:cs="Times New Roman"/>
          <w:sz w:val="24"/>
          <w:szCs w:val="24"/>
          <w:lang w:val="sr-Cyrl-RS"/>
        </w:rPr>
        <w:t>,11а</w:t>
      </w:r>
      <w:r>
        <w:rPr>
          <w:rFonts w:ascii="Times New Roman" w:hAnsi="Times New Roman" w:cs="Times New Roman"/>
          <w:sz w:val="24"/>
          <w:szCs w:val="24"/>
        </w:rPr>
        <w:t xml:space="preserve">) показује да је </w:t>
      </w:r>
      <w:r w:rsidR="00E9515B">
        <w:rPr>
          <w:rFonts w:ascii="Times New Roman" w:hAnsi="Times New Roman" w:cs="Times New Roman"/>
          <w:sz w:val="24"/>
          <w:szCs w:val="24"/>
        </w:rPr>
        <w:t>8</w:t>
      </w:r>
      <w:r w:rsidR="003722B3">
        <w:rPr>
          <w:rFonts w:ascii="Times New Roman" w:hAnsi="Times New Roman" w:cs="Times New Roman"/>
          <w:sz w:val="24"/>
          <w:szCs w:val="24"/>
        </w:rPr>
        <w:t>6</w:t>
      </w:r>
      <w:r w:rsidR="00E9515B">
        <w:rPr>
          <w:rFonts w:ascii="Times New Roman" w:hAnsi="Times New Roman" w:cs="Times New Roman"/>
          <w:sz w:val="24"/>
          <w:szCs w:val="24"/>
        </w:rPr>
        <w:t xml:space="preserve">% </w:t>
      </w:r>
      <w:r>
        <w:rPr>
          <w:rFonts w:ascii="Times New Roman" w:hAnsi="Times New Roman" w:cs="Times New Roman"/>
          <w:sz w:val="24"/>
          <w:szCs w:val="24"/>
        </w:rPr>
        <w:t>запо</w:t>
      </w:r>
      <w:r w:rsidR="005F5974">
        <w:rPr>
          <w:rFonts w:ascii="Times New Roman" w:hAnsi="Times New Roman" w:cs="Times New Roman"/>
          <w:sz w:val="24"/>
          <w:szCs w:val="24"/>
        </w:rPr>
        <w:t xml:space="preserve">четих поступака успешно </w:t>
      </w:r>
      <w:r w:rsidR="00B71CA1">
        <w:rPr>
          <w:rFonts w:ascii="Times New Roman" w:hAnsi="Times New Roman" w:cs="Times New Roman"/>
          <w:sz w:val="24"/>
          <w:szCs w:val="24"/>
        </w:rPr>
        <w:t xml:space="preserve">и </w:t>
      </w:r>
      <w:r w:rsidR="005F5974">
        <w:rPr>
          <w:rFonts w:ascii="Times New Roman" w:hAnsi="Times New Roman" w:cs="Times New Roman"/>
          <w:sz w:val="24"/>
          <w:szCs w:val="24"/>
        </w:rPr>
        <w:t>окончано</w:t>
      </w:r>
      <w:r>
        <w:rPr>
          <w:rFonts w:ascii="Times New Roman" w:hAnsi="Times New Roman" w:cs="Times New Roman"/>
          <w:sz w:val="24"/>
          <w:szCs w:val="24"/>
        </w:rPr>
        <w:t xml:space="preserve">. </w:t>
      </w:r>
      <w:r w:rsidR="007A00D3">
        <w:rPr>
          <w:rFonts w:ascii="Times New Roman" w:hAnsi="Times New Roman" w:cs="Times New Roman"/>
          <w:sz w:val="24"/>
          <w:szCs w:val="24"/>
        </w:rPr>
        <w:t>У</w:t>
      </w:r>
      <w:r w:rsidR="002C234C">
        <w:rPr>
          <w:rFonts w:ascii="Times New Roman" w:hAnsi="Times New Roman" w:cs="Times New Roman"/>
          <w:sz w:val="24"/>
          <w:szCs w:val="24"/>
          <w:lang w:val="sr-Cyrl-RS"/>
        </w:rPr>
        <w:t xml:space="preserve"> </w:t>
      </w:r>
      <w:r w:rsidR="00846B41">
        <w:rPr>
          <w:rFonts w:ascii="Times New Roman" w:hAnsi="Times New Roman" w:cs="Times New Roman"/>
          <w:sz w:val="24"/>
          <w:szCs w:val="24"/>
        </w:rPr>
        <w:t>случају да</w:t>
      </w:r>
      <w:r w:rsidR="002C234C">
        <w:rPr>
          <w:rFonts w:ascii="Times New Roman" w:hAnsi="Times New Roman" w:cs="Times New Roman"/>
          <w:sz w:val="24"/>
          <w:szCs w:val="24"/>
          <w:lang w:val="sr-Cyrl-RS"/>
        </w:rPr>
        <w:t xml:space="preserve"> </w:t>
      </w:r>
      <w:r w:rsidR="007A00D3">
        <w:rPr>
          <w:rFonts w:ascii="Times New Roman" w:hAnsi="Times New Roman" w:cs="Times New Roman"/>
          <w:sz w:val="24"/>
          <w:szCs w:val="24"/>
        </w:rPr>
        <w:t xml:space="preserve">је набавка </w:t>
      </w:r>
      <w:r w:rsidR="00846B41">
        <w:rPr>
          <w:rFonts w:ascii="Times New Roman" w:hAnsi="Times New Roman" w:cs="Times New Roman"/>
          <w:sz w:val="24"/>
          <w:szCs w:val="24"/>
        </w:rPr>
        <w:t>обликована</w:t>
      </w:r>
      <w:r w:rsidR="007A00D3">
        <w:rPr>
          <w:rFonts w:ascii="Times New Roman" w:hAnsi="Times New Roman" w:cs="Times New Roman"/>
          <w:sz w:val="24"/>
          <w:szCs w:val="24"/>
        </w:rPr>
        <w:t xml:space="preserve"> по партијама, успешно спроведен</w:t>
      </w:r>
      <w:r w:rsidR="00846B41">
        <w:rPr>
          <w:rFonts w:ascii="Times New Roman" w:hAnsi="Times New Roman" w:cs="Times New Roman"/>
          <w:sz w:val="24"/>
          <w:szCs w:val="24"/>
        </w:rPr>
        <w:t>им</w:t>
      </w:r>
      <w:r w:rsidR="002C234C">
        <w:rPr>
          <w:rFonts w:ascii="Times New Roman" w:hAnsi="Times New Roman" w:cs="Times New Roman"/>
          <w:sz w:val="24"/>
          <w:szCs w:val="24"/>
          <w:lang w:val="sr-Cyrl-RS"/>
        </w:rPr>
        <w:t xml:space="preserve"> </w:t>
      </w:r>
      <w:r w:rsidR="00846B41">
        <w:rPr>
          <w:rFonts w:ascii="Times New Roman" w:hAnsi="Times New Roman" w:cs="Times New Roman"/>
          <w:sz w:val="24"/>
          <w:szCs w:val="24"/>
        </w:rPr>
        <w:t>поступком</w:t>
      </w:r>
      <w:r w:rsidR="007A00D3">
        <w:rPr>
          <w:rFonts w:ascii="Times New Roman" w:hAnsi="Times New Roman" w:cs="Times New Roman"/>
          <w:sz w:val="24"/>
          <w:szCs w:val="24"/>
        </w:rPr>
        <w:t xml:space="preserve"> се сматра </w:t>
      </w:r>
      <w:r w:rsidR="00846B41">
        <w:rPr>
          <w:rFonts w:ascii="Times New Roman" w:hAnsi="Times New Roman" w:cs="Times New Roman"/>
          <w:sz w:val="24"/>
          <w:szCs w:val="24"/>
        </w:rPr>
        <w:t xml:space="preserve">онај код кога преовладава број партија за које је закључен уговор, у односу на </w:t>
      </w:r>
      <w:r w:rsidR="00B71CA1">
        <w:rPr>
          <w:rFonts w:ascii="Times New Roman" w:hAnsi="Times New Roman" w:cs="Times New Roman"/>
          <w:sz w:val="24"/>
          <w:szCs w:val="24"/>
        </w:rPr>
        <w:t xml:space="preserve">број </w:t>
      </w:r>
      <w:r w:rsidR="00846B41">
        <w:rPr>
          <w:rFonts w:ascii="Times New Roman" w:hAnsi="Times New Roman" w:cs="Times New Roman"/>
          <w:sz w:val="24"/>
          <w:szCs w:val="24"/>
        </w:rPr>
        <w:t>партиј</w:t>
      </w:r>
      <w:r w:rsidR="003722B3">
        <w:rPr>
          <w:rFonts w:ascii="Times New Roman" w:hAnsi="Times New Roman" w:cs="Times New Roman"/>
          <w:sz w:val="24"/>
          <w:szCs w:val="24"/>
        </w:rPr>
        <w:t>а</w:t>
      </w:r>
      <w:r w:rsidR="00846B41">
        <w:rPr>
          <w:rFonts w:ascii="Times New Roman" w:hAnsi="Times New Roman" w:cs="Times New Roman"/>
          <w:sz w:val="24"/>
          <w:szCs w:val="24"/>
        </w:rPr>
        <w:t xml:space="preserve"> које су обустављене или поништене.</w:t>
      </w:r>
    </w:p>
    <w:p w:rsidR="00070C23" w:rsidRDefault="00070C23" w:rsidP="00F55A41">
      <w:pPr>
        <w:jc w:val="both"/>
        <w:rPr>
          <w:rFonts w:ascii="Times New Roman" w:hAnsi="Times New Roman" w:cs="Times New Roman"/>
          <w:b/>
          <w:sz w:val="24"/>
          <w:szCs w:val="24"/>
        </w:rPr>
      </w:pPr>
    </w:p>
    <w:p w:rsidR="00CA2DAF" w:rsidRDefault="00CA2DAF" w:rsidP="00F55A41">
      <w:pPr>
        <w:jc w:val="both"/>
        <w:rPr>
          <w:rFonts w:ascii="Times New Roman" w:hAnsi="Times New Roman" w:cs="Times New Roman"/>
          <w:b/>
          <w:sz w:val="24"/>
          <w:szCs w:val="24"/>
        </w:rPr>
      </w:pPr>
    </w:p>
    <w:p w:rsidR="00637BC6" w:rsidRPr="008F74F3" w:rsidRDefault="00637BC6" w:rsidP="00F55A41">
      <w:pPr>
        <w:jc w:val="both"/>
        <w:rPr>
          <w:rFonts w:ascii="Times New Roman" w:hAnsi="Times New Roman" w:cs="Times New Roman"/>
          <w:b/>
          <w:sz w:val="24"/>
          <w:szCs w:val="24"/>
          <w:lang w:val="sr-Cyrl-RS"/>
        </w:rPr>
      </w:pPr>
      <w:r w:rsidRPr="003722B3">
        <w:rPr>
          <w:rFonts w:ascii="Times New Roman" w:hAnsi="Times New Roman" w:cs="Times New Roman"/>
          <w:b/>
          <w:sz w:val="24"/>
          <w:szCs w:val="24"/>
        </w:rPr>
        <w:lastRenderedPageBreak/>
        <w:t>Табела</w:t>
      </w:r>
      <w:r w:rsidR="003722B3" w:rsidRPr="003722B3">
        <w:rPr>
          <w:rFonts w:ascii="Times New Roman" w:hAnsi="Times New Roman" w:cs="Times New Roman"/>
          <w:b/>
          <w:sz w:val="24"/>
          <w:szCs w:val="24"/>
        </w:rPr>
        <w:t xml:space="preserve"> </w:t>
      </w:r>
      <w:r w:rsidR="008F74F3">
        <w:rPr>
          <w:rFonts w:ascii="Times New Roman" w:hAnsi="Times New Roman" w:cs="Times New Roman"/>
          <w:b/>
          <w:sz w:val="24"/>
          <w:szCs w:val="24"/>
          <w:lang w:val="sr-Cyrl-RS"/>
        </w:rPr>
        <w:t>11</w:t>
      </w:r>
    </w:p>
    <w:tbl>
      <w:tblPr>
        <w:tblW w:w="0" w:type="auto"/>
        <w:jc w:val="center"/>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1336"/>
        <w:gridCol w:w="1015"/>
        <w:gridCol w:w="1336"/>
        <w:gridCol w:w="1015"/>
        <w:gridCol w:w="1047"/>
        <w:gridCol w:w="966"/>
      </w:tblGrid>
      <w:tr w:rsidR="00B87FCF" w:rsidRPr="00B87FCF" w:rsidTr="008D04C0">
        <w:trPr>
          <w:trHeight w:val="615"/>
          <w:jc w:val="center"/>
        </w:trPr>
        <w:tc>
          <w:tcPr>
            <w:tcW w:w="8853" w:type="dxa"/>
            <w:gridSpan w:val="7"/>
            <w:shd w:val="clear" w:color="auto" w:fill="auto"/>
            <w:vAlign w:val="center"/>
          </w:tcPr>
          <w:p w:rsidR="00B87FCF" w:rsidRPr="00B87FCF" w:rsidRDefault="00B87FCF" w:rsidP="008D04C0">
            <w:pPr>
              <w:tabs>
                <w:tab w:val="left" w:pos="1885"/>
              </w:tabs>
              <w:jc w:val="center"/>
              <w:rPr>
                <w:rFonts w:ascii="Times New Roman" w:hAnsi="Times New Roman" w:cs="Times New Roman"/>
                <w:b/>
                <w:sz w:val="24"/>
                <w:szCs w:val="24"/>
                <w:lang w:val="sr-Cyrl-CS"/>
              </w:rPr>
            </w:pPr>
            <w:r w:rsidRPr="00B87FCF">
              <w:rPr>
                <w:rFonts w:ascii="Times New Roman" w:hAnsi="Times New Roman" w:cs="Times New Roman"/>
                <w:b/>
                <w:sz w:val="24"/>
                <w:szCs w:val="24"/>
              </w:rPr>
              <w:t>Преглед исхода поступака у  2014. годин</w:t>
            </w:r>
            <w:r w:rsidRPr="00B87FCF">
              <w:rPr>
                <w:rFonts w:ascii="Times New Roman" w:hAnsi="Times New Roman" w:cs="Times New Roman"/>
                <w:b/>
                <w:sz w:val="24"/>
                <w:szCs w:val="24"/>
                <w:lang w:val="sr-Cyrl-CS"/>
              </w:rPr>
              <w:t>и</w:t>
            </w:r>
          </w:p>
        </w:tc>
      </w:tr>
      <w:tr w:rsidR="00B87FCF" w:rsidRPr="00B87FCF" w:rsidTr="008D04C0">
        <w:trPr>
          <w:trHeight w:val="981"/>
          <w:jc w:val="center"/>
        </w:trPr>
        <w:tc>
          <w:tcPr>
            <w:tcW w:w="2138"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Исход поступка</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Број поступака велике вредности</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Број поступака мале вредности</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w:t>
            </w:r>
          </w:p>
        </w:tc>
        <w:tc>
          <w:tcPr>
            <w:tcW w:w="1047"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Укупно</w:t>
            </w:r>
          </w:p>
        </w:tc>
        <w:tc>
          <w:tcPr>
            <w:tcW w:w="966"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w:t>
            </w:r>
          </w:p>
        </w:tc>
      </w:tr>
      <w:tr w:rsidR="00B87FCF" w:rsidRPr="00B87FCF" w:rsidTr="008D04C0">
        <w:trPr>
          <w:trHeight w:val="699"/>
          <w:jc w:val="center"/>
        </w:trPr>
        <w:tc>
          <w:tcPr>
            <w:tcW w:w="2138"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Успешно спроведени</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26.046</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84</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25.328</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88</w:t>
            </w:r>
          </w:p>
        </w:tc>
        <w:tc>
          <w:tcPr>
            <w:tcW w:w="1047"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51.374</w:t>
            </w:r>
          </w:p>
        </w:tc>
        <w:tc>
          <w:tcPr>
            <w:tcW w:w="96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86</w:t>
            </w:r>
          </w:p>
        </w:tc>
      </w:tr>
      <w:tr w:rsidR="00B87FCF" w:rsidRPr="00B87FCF" w:rsidTr="008D04C0">
        <w:trPr>
          <w:trHeight w:val="486"/>
          <w:jc w:val="center"/>
        </w:trPr>
        <w:tc>
          <w:tcPr>
            <w:tcW w:w="2138"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Обустављени</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4.632</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15</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3.097</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11</w:t>
            </w:r>
          </w:p>
        </w:tc>
        <w:tc>
          <w:tcPr>
            <w:tcW w:w="1047"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7.729</w:t>
            </w:r>
          </w:p>
        </w:tc>
        <w:tc>
          <w:tcPr>
            <w:tcW w:w="96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13</w:t>
            </w:r>
          </w:p>
        </w:tc>
      </w:tr>
      <w:tr w:rsidR="00B87FCF" w:rsidRPr="00B87FCF" w:rsidTr="008D04C0">
        <w:trPr>
          <w:trHeight w:val="576"/>
          <w:jc w:val="center"/>
        </w:trPr>
        <w:tc>
          <w:tcPr>
            <w:tcW w:w="2138"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Поништени делимично</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28</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0</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13</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0</w:t>
            </w:r>
          </w:p>
        </w:tc>
        <w:tc>
          <w:tcPr>
            <w:tcW w:w="1047"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41</w:t>
            </w:r>
          </w:p>
        </w:tc>
        <w:tc>
          <w:tcPr>
            <w:tcW w:w="96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0</w:t>
            </w:r>
          </w:p>
        </w:tc>
      </w:tr>
      <w:tr w:rsidR="00B87FCF" w:rsidRPr="00B87FCF" w:rsidTr="008D04C0">
        <w:trPr>
          <w:trHeight w:val="762"/>
          <w:jc w:val="center"/>
        </w:trPr>
        <w:tc>
          <w:tcPr>
            <w:tcW w:w="2138"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Поништени у целини</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191</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186</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w:t>
            </w:r>
          </w:p>
        </w:tc>
        <w:tc>
          <w:tcPr>
            <w:tcW w:w="1047"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377</w:t>
            </w:r>
          </w:p>
        </w:tc>
        <w:tc>
          <w:tcPr>
            <w:tcW w:w="966" w:type="dxa"/>
            <w:shd w:val="clear" w:color="auto" w:fill="auto"/>
            <w:vAlign w:val="center"/>
          </w:tcPr>
          <w:p w:rsidR="00B87FCF" w:rsidRPr="00B87FCF" w:rsidRDefault="00B87FCF" w:rsidP="008D04C0">
            <w:pPr>
              <w:tabs>
                <w:tab w:val="left" w:pos="1885"/>
              </w:tabs>
              <w:jc w:val="center"/>
              <w:rPr>
                <w:rFonts w:ascii="Times New Roman" w:hAnsi="Times New Roman" w:cs="Times New Roman"/>
                <w:lang w:val="sr-Cyrl-CS"/>
              </w:rPr>
            </w:pPr>
            <w:r w:rsidRPr="00B87FCF">
              <w:rPr>
                <w:rFonts w:ascii="Times New Roman" w:hAnsi="Times New Roman" w:cs="Times New Roman"/>
                <w:lang w:val="sr-Cyrl-CS"/>
              </w:rPr>
              <w:t>1</w:t>
            </w:r>
          </w:p>
        </w:tc>
      </w:tr>
      <w:tr w:rsidR="00B87FCF" w:rsidRPr="00B87FCF" w:rsidTr="008D04C0">
        <w:trPr>
          <w:trHeight w:val="262"/>
          <w:jc w:val="center"/>
        </w:trPr>
        <w:tc>
          <w:tcPr>
            <w:tcW w:w="2138" w:type="dxa"/>
            <w:shd w:val="clear" w:color="auto" w:fill="auto"/>
            <w:vAlign w:val="center"/>
          </w:tcPr>
          <w:p w:rsidR="00B87FCF" w:rsidRPr="00B87FCF" w:rsidRDefault="00B87FCF" w:rsidP="008D04C0">
            <w:pPr>
              <w:tabs>
                <w:tab w:val="left" w:pos="1885"/>
              </w:tabs>
              <w:jc w:val="center"/>
              <w:rPr>
                <w:rFonts w:ascii="Times New Roman" w:hAnsi="Times New Roman" w:cs="Times New Roman"/>
                <w:b/>
              </w:rPr>
            </w:pPr>
            <w:r w:rsidRPr="00B87FCF">
              <w:rPr>
                <w:rFonts w:ascii="Times New Roman" w:hAnsi="Times New Roman" w:cs="Times New Roman"/>
                <w:b/>
              </w:rPr>
              <w:t>Укупно</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b/>
                <w:lang w:val="sr-Cyrl-CS"/>
              </w:rPr>
            </w:pPr>
            <w:r w:rsidRPr="00B87FCF">
              <w:rPr>
                <w:rFonts w:ascii="Times New Roman" w:hAnsi="Times New Roman" w:cs="Times New Roman"/>
                <w:b/>
                <w:lang w:val="sr-Cyrl-CS"/>
              </w:rPr>
              <w:t>30.897</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b/>
                <w:lang w:val="sr-Cyrl-CS"/>
              </w:rPr>
            </w:pPr>
            <w:r w:rsidRPr="00B87FCF">
              <w:rPr>
                <w:rFonts w:ascii="Times New Roman" w:hAnsi="Times New Roman" w:cs="Times New Roman"/>
                <w:b/>
                <w:lang w:val="sr-Cyrl-CS"/>
              </w:rPr>
              <w:t>100</w:t>
            </w:r>
          </w:p>
        </w:tc>
        <w:tc>
          <w:tcPr>
            <w:tcW w:w="1336" w:type="dxa"/>
            <w:shd w:val="clear" w:color="auto" w:fill="auto"/>
            <w:vAlign w:val="center"/>
          </w:tcPr>
          <w:p w:rsidR="00B87FCF" w:rsidRPr="00B87FCF" w:rsidRDefault="00B87FCF" w:rsidP="008D04C0">
            <w:pPr>
              <w:tabs>
                <w:tab w:val="left" w:pos="1885"/>
              </w:tabs>
              <w:jc w:val="center"/>
              <w:rPr>
                <w:rFonts w:ascii="Times New Roman" w:hAnsi="Times New Roman" w:cs="Times New Roman"/>
                <w:b/>
                <w:lang w:val="sr-Cyrl-CS"/>
              </w:rPr>
            </w:pPr>
            <w:r w:rsidRPr="00B87FCF">
              <w:rPr>
                <w:rFonts w:ascii="Times New Roman" w:hAnsi="Times New Roman" w:cs="Times New Roman"/>
                <w:b/>
                <w:lang w:val="sr-Cyrl-CS"/>
              </w:rPr>
              <w:t>28.624</w:t>
            </w:r>
          </w:p>
        </w:tc>
        <w:tc>
          <w:tcPr>
            <w:tcW w:w="1015" w:type="dxa"/>
            <w:shd w:val="clear" w:color="auto" w:fill="auto"/>
            <w:vAlign w:val="center"/>
          </w:tcPr>
          <w:p w:rsidR="00B87FCF" w:rsidRPr="00B87FCF" w:rsidRDefault="00B87FCF" w:rsidP="008D04C0">
            <w:pPr>
              <w:tabs>
                <w:tab w:val="left" w:pos="1885"/>
              </w:tabs>
              <w:jc w:val="center"/>
              <w:rPr>
                <w:rFonts w:ascii="Times New Roman" w:hAnsi="Times New Roman" w:cs="Times New Roman"/>
                <w:b/>
                <w:lang w:val="sr-Cyrl-CS"/>
              </w:rPr>
            </w:pPr>
            <w:r w:rsidRPr="00B87FCF">
              <w:rPr>
                <w:rFonts w:ascii="Times New Roman" w:hAnsi="Times New Roman" w:cs="Times New Roman"/>
                <w:b/>
                <w:lang w:val="sr-Cyrl-CS"/>
              </w:rPr>
              <w:t>100</w:t>
            </w:r>
          </w:p>
        </w:tc>
        <w:tc>
          <w:tcPr>
            <w:tcW w:w="1047" w:type="dxa"/>
            <w:shd w:val="clear" w:color="auto" w:fill="auto"/>
            <w:vAlign w:val="center"/>
          </w:tcPr>
          <w:p w:rsidR="00B87FCF" w:rsidRPr="00B87FCF" w:rsidRDefault="00B87FCF" w:rsidP="008D04C0">
            <w:pPr>
              <w:tabs>
                <w:tab w:val="left" w:pos="1885"/>
              </w:tabs>
              <w:jc w:val="center"/>
              <w:rPr>
                <w:rFonts w:ascii="Times New Roman" w:hAnsi="Times New Roman" w:cs="Times New Roman"/>
                <w:b/>
                <w:lang w:val="sr-Cyrl-CS"/>
              </w:rPr>
            </w:pPr>
            <w:r w:rsidRPr="00B87FCF">
              <w:rPr>
                <w:rFonts w:ascii="Times New Roman" w:hAnsi="Times New Roman" w:cs="Times New Roman"/>
                <w:b/>
                <w:lang w:val="sr-Cyrl-CS"/>
              </w:rPr>
              <w:t>59.521</w:t>
            </w:r>
          </w:p>
        </w:tc>
        <w:tc>
          <w:tcPr>
            <w:tcW w:w="966" w:type="dxa"/>
            <w:shd w:val="clear" w:color="auto" w:fill="auto"/>
            <w:vAlign w:val="center"/>
          </w:tcPr>
          <w:p w:rsidR="00B87FCF" w:rsidRPr="00B87FCF" w:rsidRDefault="00B87FCF" w:rsidP="008D04C0">
            <w:pPr>
              <w:tabs>
                <w:tab w:val="left" w:pos="1885"/>
              </w:tabs>
              <w:jc w:val="center"/>
              <w:rPr>
                <w:rFonts w:ascii="Times New Roman" w:hAnsi="Times New Roman" w:cs="Times New Roman"/>
                <w:b/>
                <w:lang w:val="sr-Cyrl-CS"/>
              </w:rPr>
            </w:pPr>
            <w:r w:rsidRPr="00B87FCF">
              <w:rPr>
                <w:rFonts w:ascii="Times New Roman" w:hAnsi="Times New Roman" w:cs="Times New Roman"/>
                <w:b/>
                <w:lang w:val="sr-Cyrl-CS"/>
              </w:rPr>
              <w:t>100</w:t>
            </w:r>
          </w:p>
        </w:tc>
      </w:tr>
    </w:tbl>
    <w:p w:rsidR="003C54F7" w:rsidRDefault="003C54F7" w:rsidP="003C54F7">
      <w:pPr>
        <w:jc w:val="center"/>
        <w:rPr>
          <w:rFonts w:ascii="Times New Roman" w:hAnsi="Times New Roman" w:cs="Times New Roman"/>
          <w:b/>
          <w:color w:val="000000" w:themeColor="text1"/>
          <w:sz w:val="24"/>
          <w:szCs w:val="24"/>
        </w:rPr>
      </w:pPr>
    </w:p>
    <w:p w:rsidR="008F74F3" w:rsidRPr="008F74F3" w:rsidRDefault="008B1816" w:rsidP="008F74F3">
      <w:pPr>
        <w:jc w:val="center"/>
        <w:rPr>
          <w:rFonts w:ascii="Times New Roman" w:hAnsi="Times New Roman" w:cs="Times New Roman"/>
          <w:b/>
          <w:color w:val="000000" w:themeColor="text1"/>
          <w:sz w:val="24"/>
          <w:szCs w:val="24"/>
          <w:lang w:val="sr-Cyrl-RS"/>
        </w:rPr>
      </w:pPr>
      <w:r w:rsidRPr="003722B3">
        <w:rPr>
          <w:rFonts w:ascii="Times New Roman" w:hAnsi="Times New Roman" w:cs="Times New Roman"/>
          <w:b/>
          <w:color w:val="000000" w:themeColor="text1"/>
          <w:sz w:val="24"/>
          <w:szCs w:val="24"/>
        </w:rPr>
        <w:t>С</w:t>
      </w:r>
      <w:r w:rsidR="005F5974" w:rsidRPr="003722B3">
        <w:rPr>
          <w:rFonts w:ascii="Times New Roman" w:hAnsi="Times New Roman" w:cs="Times New Roman"/>
          <w:b/>
          <w:color w:val="000000" w:themeColor="text1"/>
          <w:sz w:val="24"/>
          <w:szCs w:val="24"/>
        </w:rPr>
        <w:t xml:space="preserve">лика </w:t>
      </w:r>
      <w:r w:rsidR="00C41DA4" w:rsidRPr="003722B3">
        <w:rPr>
          <w:rFonts w:ascii="Times New Roman" w:hAnsi="Times New Roman" w:cs="Times New Roman"/>
          <w:b/>
          <w:color w:val="000000" w:themeColor="text1"/>
          <w:sz w:val="24"/>
          <w:szCs w:val="24"/>
        </w:rPr>
        <w:t>1</w:t>
      </w:r>
      <w:r w:rsidR="003722B3" w:rsidRPr="003722B3">
        <w:rPr>
          <w:rFonts w:ascii="Times New Roman" w:hAnsi="Times New Roman" w:cs="Times New Roman"/>
          <w:b/>
          <w:color w:val="000000" w:themeColor="text1"/>
          <w:sz w:val="24"/>
          <w:szCs w:val="24"/>
        </w:rPr>
        <w:t>1</w:t>
      </w:r>
    </w:p>
    <w:bookmarkStart w:id="11" w:name="_MON_1490620377"/>
    <w:bookmarkEnd w:id="11"/>
    <w:p w:rsidR="00637BC6" w:rsidRDefault="008F74F3" w:rsidP="003C54F7">
      <w:pPr>
        <w:jc w:val="center"/>
        <w:rPr>
          <w:lang w:val="sr-Cyrl-RS"/>
        </w:rPr>
      </w:pPr>
      <w:r w:rsidRPr="00770BDF">
        <w:rPr>
          <w:lang w:val="en-US"/>
        </w:rPr>
        <w:object w:dxaOrig="6468" w:dyaOrig="6310">
          <v:shape id="_x0000_i1032" type="#_x0000_t75" style="width:347.25pt;height:268.5pt" o:ole="">
            <v:imagedata r:id="rId38" o:title=""/>
          </v:shape>
          <o:OLEObject Type="Embed" ProgID="Excel.Sheet.12" ShapeID="_x0000_i1032" DrawAspect="Content" ObjectID="_1491048518" r:id="rId39"/>
        </w:object>
      </w:r>
    </w:p>
    <w:p w:rsidR="008F74F3" w:rsidRDefault="008F74F3" w:rsidP="003C54F7">
      <w:pPr>
        <w:jc w:val="center"/>
        <w:rPr>
          <w:lang w:val="sr-Cyrl-RS"/>
        </w:rPr>
      </w:pPr>
    </w:p>
    <w:p w:rsidR="008F74F3" w:rsidRPr="008F74F3" w:rsidRDefault="008F74F3" w:rsidP="003C54F7">
      <w:pPr>
        <w:jc w:val="center"/>
        <w:rPr>
          <w:lang w:val="sr-Cyrl-RS"/>
        </w:rPr>
      </w:pPr>
    </w:p>
    <w:p w:rsidR="00964786" w:rsidRDefault="00964786" w:rsidP="00964786">
      <w:pPr>
        <w:rPr>
          <w:b/>
          <w:szCs w:val="24"/>
        </w:rPr>
      </w:pPr>
    </w:p>
    <w:p w:rsidR="00964786" w:rsidRPr="005B7ED4" w:rsidRDefault="00964786" w:rsidP="00964786">
      <w:pPr>
        <w:rPr>
          <w:b/>
          <w:szCs w:val="24"/>
          <w:lang w:val="sr-Cyrl-CS"/>
        </w:rPr>
      </w:pPr>
    </w:p>
    <w:p w:rsidR="00964786" w:rsidRPr="008F74F3" w:rsidRDefault="008F74F3" w:rsidP="008F74F3">
      <w:pPr>
        <w:jc w:val="center"/>
        <w:rPr>
          <w:rFonts w:ascii="Times New Roman" w:hAnsi="Times New Roman" w:cs="Times New Roman"/>
          <w:b/>
          <w:color w:val="000000" w:themeColor="text1"/>
          <w:sz w:val="24"/>
          <w:szCs w:val="24"/>
          <w:lang w:val="sr-Cyrl-RS"/>
        </w:rPr>
      </w:pPr>
      <w:r w:rsidRPr="003722B3">
        <w:rPr>
          <w:rFonts w:ascii="Times New Roman" w:hAnsi="Times New Roman" w:cs="Times New Roman"/>
          <w:b/>
          <w:color w:val="000000" w:themeColor="text1"/>
          <w:sz w:val="24"/>
          <w:szCs w:val="24"/>
        </w:rPr>
        <w:t>Слика 11</w:t>
      </w:r>
      <w:r>
        <w:rPr>
          <w:rFonts w:ascii="Times New Roman" w:hAnsi="Times New Roman" w:cs="Times New Roman"/>
          <w:b/>
          <w:color w:val="000000" w:themeColor="text1"/>
          <w:sz w:val="24"/>
          <w:szCs w:val="24"/>
          <w:lang w:val="sr-Cyrl-RS"/>
        </w:rPr>
        <w:t>а</w:t>
      </w:r>
    </w:p>
    <w:p w:rsidR="00402B95" w:rsidRPr="00402B95" w:rsidRDefault="00D5227D" w:rsidP="00964786">
      <w:pPr>
        <w:jc w:val="center"/>
        <w:rPr>
          <w:lang w:val="sr-Cyrl-CS"/>
        </w:rPr>
      </w:pPr>
      <w:r w:rsidRPr="009015A4">
        <w:rPr>
          <w:lang w:val="sr-Cyrl-CS"/>
        </w:rPr>
        <w:object w:dxaOrig="6460" w:dyaOrig="6305">
          <v:shape id="_x0000_i1033" type="#_x0000_t75" style="width:352.5pt;height:249.75pt" o:ole="">
            <v:imagedata r:id="rId40" o:title=""/>
            <o:lock v:ext="edit" aspectratio="f"/>
          </v:shape>
          <o:OLEObject Type="Embed" ProgID="Excel.Sheet.12" ShapeID="_x0000_i1033" DrawAspect="Content" ObjectID="_1491048519" r:id="rId41"/>
        </w:object>
      </w:r>
    </w:p>
    <w:p w:rsidR="00367F37" w:rsidRPr="00F9719B" w:rsidRDefault="007A00D3" w:rsidP="00F55A41">
      <w:pPr>
        <w:jc w:val="both"/>
        <w:rPr>
          <w:rFonts w:ascii="Times New Roman" w:hAnsi="Times New Roman" w:cs="Times New Roman"/>
          <w:sz w:val="24"/>
          <w:szCs w:val="24"/>
        </w:rPr>
      </w:pPr>
      <w:r w:rsidRPr="00F9719B">
        <w:rPr>
          <w:rFonts w:ascii="Times New Roman" w:hAnsi="Times New Roman" w:cs="Times New Roman"/>
          <w:sz w:val="24"/>
          <w:szCs w:val="24"/>
        </w:rPr>
        <w:t>Наручиоци су сами обуставили 1</w:t>
      </w:r>
      <w:r w:rsidR="00AC33A4" w:rsidRPr="00F9719B">
        <w:rPr>
          <w:rFonts w:ascii="Times New Roman" w:hAnsi="Times New Roman" w:cs="Times New Roman"/>
          <w:sz w:val="24"/>
          <w:szCs w:val="24"/>
        </w:rPr>
        <w:t>3</w:t>
      </w:r>
      <w:r w:rsidRPr="00F9719B">
        <w:rPr>
          <w:rFonts w:ascii="Times New Roman" w:hAnsi="Times New Roman" w:cs="Times New Roman"/>
          <w:sz w:val="24"/>
          <w:szCs w:val="24"/>
        </w:rPr>
        <w:t xml:space="preserve">% поступака, </w:t>
      </w:r>
      <w:r w:rsidR="00F62E82" w:rsidRPr="00F9719B">
        <w:rPr>
          <w:rFonts w:ascii="Times New Roman" w:hAnsi="Times New Roman" w:cs="Times New Roman"/>
          <w:sz w:val="24"/>
          <w:szCs w:val="24"/>
        </w:rPr>
        <w:t xml:space="preserve">што је за 50% више него у 2012. години, у време важења претходног закона </w:t>
      </w:r>
      <w:r w:rsidR="00A92087" w:rsidRPr="00F9719B">
        <w:rPr>
          <w:rFonts w:ascii="Times New Roman" w:hAnsi="Times New Roman" w:cs="Times New Roman"/>
          <w:sz w:val="24"/>
          <w:szCs w:val="24"/>
        </w:rPr>
        <w:t>(Слика 1</w:t>
      </w:r>
      <w:r w:rsidR="00F62E82" w:rsidRPr="00F9719B">
        <w:rPr>
          <w:rFonts w:ascii="Times New Roman" w:hAnsi="Times New Roman" w:cs="Times New Roman"/>
          <w:sz w:val="24"/>
          <w:szCs w:val="24"/>
        </w:rPr>
        <w:t>2</w:t>
      </w:r>
      <w:r w:rsidR="00A92087" w:rsidRPr="00F9719B">
        <w:rPr>
          <w:rFonts w:ascii="Times New Roman" w:hAnsi="Times New Roman" w:cs="Times New Roman"/>
          <w:sz w:val="24"/>
          <w:szCs w:val="24"/>
        </w:rPr>
        <w:t>).</w:t>
      </w:r>
    </w:p>
    <w:p w:rsidR="0047587D" w:rsidRDefault="0047587D" w:rsidP="00F55A41">
      <w:pPr>
        <w:jc w:val="both"/>
        <w:rPr>
          <w:rFonts w:ascii="Times New Roman" w:hAnsi="Times New Roman" w:cs="Times New Roman"/>
          <w:b/>
          <w:color w:val="000000" w:themeColor="text1"/>
          <w:sz w:val="24"/>
          <w:szCs w:val="24"/>
        </w:rPr>
      </w:pPr>
    </w:p>
    <w:p w:rsidR="00F62E82" w:rsidRPr="00D5227D" w:rsidRDefault="008B1816" w:rsidP="00D5227D">
      <w:pPr>
        <w:jc w:val="center"/>
        <w:rPr>
          <w:rFonts w:ascii="Times New Roman" w:hAnsi="Times New Roman" w:cs="Times New Roman"/>
          <w:b/>
          <w:color w:val="000000" w:themeColor="text1"/>
          <w:sz w:val="24"/>
          <w:szCs w:val="24"/>
          <w:lang w:val="sr-Cyrl-RS"/>
        </w:rPr>
      </w:pPr>
      <w:r w:rsidRPr="00AC33A4">
        <w:rPr>
          <w:rFonts w:ascii="Times New Roman" w:hAnsi="Times New Roman" w:cs="Times New Roman"/>
          <w:b/>
          <w:color w:val="000000" w:themeColor="text1"/>
          <w:sz w:val="24"/>
          <w:szCs w:val="24"/>
        </w:rPr>
        <w:t>Слика</w:t>
      </w:r>
      <w:r w:rsidR="00505BD3" w:rsidRPr="00AC33A4">
        <w:rPr>
          <w:rFonts w:ascii="Times New Roman" w:hAnsi="Times New Roman" w:cs="Times New Roman"/>
          <w:b/>
          <w:color w:val="000000" w:themeColor="text1"/>
          <w:sz w:val="24"/>
          <w:szCs w:val="24"/>
        </w:rPr>
        <w:t xml:space="preserve"> 1</w:t>
      </w:r>
      <w:r w:rsidR="00AC33A4" w:rsidRPr="00AC33A4">
        <w:rPr>
          <w:rFonts w:ascii="Times New Roman" w:hAnsi="Times New Roman" w:cs="Times New Roman"/>
          <w:b/>
          <w:color w:val="000000" w:themeColor="text1"/>
          <w:sz w:val="24"/>
          <w:szCs w:val="24"/>
        </w:rPr>
        <w:t>2</w:t>
      </w:r>
    </w:p>
    <w:bookmarkStart w:id="12" w:name="_MON_1491042172"/>
    <w:bookmarkEnd w:id="12"/>
    <w:p w:rsidR="00F62E82" w:rsidRDefault="00D5227D" w:rsidP="008D04C0">
      <w:pPr>
        <w:jc w:val="center"/>
        <w:rPr>
          <w:rFonts w:ascii="Times New Roman" w:hAnsi="Times New Roman" w:cs="Times New Roman"/>
          <w:b/>
          <w:color w:val="FF0000"/>
          <w:sz w:val="24"/>
          <w:szCs w:val="24"/>
          <w:lang w:val="sr-Cyrl-CS"/>
        </w:rPr>
      </w:pPr>
      <w:r w:rsidRPr="009015A4">
        <w:rPr>
          <w:rFonts w:ascii="Times New Roman" w:hAnsi="Times New Roman" w:cs="Times New Roman"/>
          <w:b/>
          <w:color w:val="FF0000"/>
          <w:sz w:val="24"/>
          <w:szCs w:val="24"/>
          <w:lang w:val="sr-Cyrl-CS"/>
        </w:rPr>
        <w:object w:dxaOrig="7202" w:dyaOrig="5339">
          <v:shape id="_x0000_i1037" type="#_x0000_t75" style="width:344.25pt;height:255pt" o:ole="">
            <v:imagedata r:id="rId42" o:title=""/>
          </v:shape>
          <o:OLEObject Type="Embed" ProgID="Excel.Sheet.12" ShapeID="_x0000_i1037" DrawAspect="Content" ObjectID="_1491048520" r:id="rId43"/>
        </w:object>
      </w:r>
    </w:p>
    <w:p w:rsidR="00235935" w:rsidRDefault="00235935" w:rsidP="008D04C0">
      <w:pPr>
        <w:jc w:val="center"/>
        <w:rPr>
          <w:rFonts w:ascii="Times New Roman" w:hAnsi="Times New Roman" w:cs="Times New Roman"/>
          <w:b/>
          <w:color w:val="FF0000"/>
          <w:sz w:val="24"/>
          <w:szCs w:val="24"/>
          <w:lang w:val="sr-Cyrl-CS"/>
        </w:rPr>
      </w:pPr>
      <w:bookmarkStart w:id="13" w:name="_GoBack"/>
    </w:p>
    <w:bookmarkEnd w:id="13"/>
    <w:p w:rsidR="00F62E82" w:rsidRPr="00235935" w:rsidRDefault="00235935" w:rsidP="00235935">
      <w:pPr>
        <w:jc w:val="center"/>
        <w:rPr>
          <w:rFonts w:ascii="Times New Roman" w:hAnsi="Times New Roman" w:cs="Times New Roman"/>
          <w:b/>
          <w:sz w:val="24"/>
          <w:szCs w:val="24"/>
          <w:lang w:val="sr-Cyrl-CS"/>
        </w:rPr>
      </w:pPr>
      <w:r w:rsidRPr="00794A94">
        <w:rPr>
          <w:rFonts w:ascii="Times New Roman" w:hAnsi="Times New Roman" w:cs="Times New Roman"/>
          <w:b/>
          <w:sz w:val="24"/>
          <w:szCs w:val="24"/>
          <w:lang w:val="sr-Cyrl-CS"/>
        </w:rPr>
        <w:lastRenderedPageBreak/>
        <w:t>Слика 13</w:t>
      </w:r>
    </w:p>
    <w:bookmarkStart w:id="14" w:name="_MON_1491026183"/>
    <w:bookmarkEnd w:id="14"/>
    <w:p w:rsidR="00F62E82" w:rsidRDefault="00014917" w:rsidP="00235935">
      <w:pPr>
        <w:jc w:val="center"/>
        <w:rPr>
          <w:rFonts w:ascii="Times New Roman" w:hAnsi="Times New Roman" w:cs="Times New Roman"/>
          <w:b/>
          <w:color w:val="FF0000"/>
          <w:sz w:val="24"/>
          <w:szCs w:val="24"/>
          <w:lang w:val="sr-Cyrl-CS"/>
        </w:rPr>
      </w:pPr>
      <w:r>
        <w:rPr>
          <w:lang w:val="en-US"/>
        </w:rPr>
        <w:object w:dxaOrig="14529" w:dyaOrig="7756">
          <v:shape id="_x0000_i1038" type="#_x0000_t75" style="width:454.5pt;height:292.5pt" o:ole="">
            <v:imagedata r:id="rId44" o:title=""/>
          </v:shape>
          <o:OLEObject Type="Embed" ProgID="Excel.Sheet.12" ShapeID="_x0000_i1038" DrawAspect="Content" ObjectID="_1491048521" r:id="rId45"/>
        </w:object>
      </w:r>
    </w:p>
    <w:p w:rsidR="00E27DC2" w:rsidRPr="00F9719B" w:rsidRDefault="00E27DC2" w:rsidP="00E27DC2">
      <w:pPr>
        <w:jc w:val="both"/>
        <w:rPr>
          <w:rFonts w:ascii="Times New Roman" w:hAnsi="Times New Roman" w:cs="Times New Roman"/>
          <w:b/>
          <w:sz w:val="24"/>
          <w:szCs w:val="24"/>
          <w:lang w:val="sr-Cyrl-CS"/>
        </w:rPr>
      </w:pPr>
      <w:r w:rsidRPr="00F9719B">
        <w:rPr>
          <w:rFonts w:ascii="Times New Roman" w:hAnsi="Times New Roman" w:cs="Times New Roman"/>
          <w:sz w:val="24"/>
          <w:szCs w:val="24"/>
        </w:rPr>
        <w:t>Преглед обустављених поступака</w:t>
      </w:r>
      <w:r w:rsidR="00336544" w:rsidRPr="00F9719B">
        <w:rPr>
          <w:rFonts w:ascii="Times New Roman" w:hAnsi="Times New Roman" w:cs="Times New Roman"/>
          <w:sz w:val="24"/>
          <w:szCs w:val="24"/>
          <w:lang w:val="sr-Cyrl-RS"/>
        </w:rPr>
        <w:t xml:space="preserve"> од стране наручилаца</w:t>
      </w:r>
      <w:r w:rsidRPr="00F9719B">
        <w:rPr>
          <w:rFonts w:ascii="Times New Roman" w:hAnsi="Times New Roman" w:cs="Times New Roman"/>
          <w:sz w:val="24"/>
          <w:szCs w:val="24"/>
        </w:rPr>
        <w:t xml:space="preserve"> указује да је и даље</w:t>
      </w:r>
      <w:r w:rsidR="00336544" w:rsidRPr="00F9719B">
        <w:rPr>
          <w:rFonts w:ascii="Times New Roman" w:hAnsi="Times New Roman" w:cs="Times New Roman"/>
          <w:sz w:val="24"/>
          <w:szCs w:val="24"/>
          <w:lang w:val="sr-Cyrl-RS"/>
        </w:rPr>
        <w:t>,</w:t>
      </w:r>
      <w:r w:rsidRPr="00F9719B">
        <w:rPr>
          <w:rFonts w:ascii="Times New Roman" w:hAnsi="Times New Roman" w:cs="Times New Roman"/>
          <w:sz w:val="24"/>
          <w:szCs w:val="24"/>
        </w:rPr>
        <w:t xml:space="preserve"> преко 50% обустављених поступака </w:t>
      </w:r>
      <w:r w:rsidR="00E51295" w:rsidRPr="00F9719B">
        <w:rPr>
          <w:rFonts w:ascii="Times New Roman" w:hAnsi="Times New Roman" w:cs="Times New Roman"/>
          <w:sz w:val="24"/>
          <w:szCs w:val="24"/>
          <w:lang w:val="sr-Cyrl-RS"/>
        </w:rPr>
        <w:t xml:space="preserve">у 2014. години, </w:t>
      </w:r>
      <w:r w:rsidRPr="00F9719B">
        <w:rPr>
          <w:rFonts w:ascii="Times New Roman" w:hAnsi="Times New Roman" w:cs="Times New Roman"/>
          <w:sz w:val="24"/>
          <w:szCs w:val="24"/>
        </w:rPr>
        <w:t xml:space="preserve">последица </w:t>
      </w:r>
      <w:r w:rsidR="00E51295" w:rsidRPr="00F9719B">
        <w:rPr>
          <w:rFonts w:ascii="Times New Roman" w:hAnsi="Times New Roman" w:cs="Times New Roman"/>
          <w:sz w:val="24"/>
          <w:szCs w:val="24"/>
          <w:lang w:val="sr-Cyrl-RS"/>
        </w:rPr>
        <w:t xml:space="preserve">одбијања неодговарјућих и </w:t>
      </w:r>
      <w:r w:rsidRPr="00F9719B">
        <w:rPr>
          <w:rFonts w:ascii="Times New Roman" w:hAnsi="Times New Roman" w:cs="Times New Roman"/>
          <w:sz w:val="24"/>
          <w:szCs w:val="24"/>
        </w:rPr>
        <w:t>неприхватљивих понуда (</w:t>
      </w:r>
      <w:r w:rsidR="00794A94" w:rsidRPr="00F9719B">
        <w:rPr>
          <w:rFonts w:ascii="Times New Roman" w:hAnsi="Times New Roman" w:cs="Times New Roman"/>
          <w:sz w:val="24"/>
          <w:szCs w:val="24"/>
          <w:lang w:val="sr-Cyrl-RS"/>
        </w:rPr>
        <w:t>С</w:t>
      </w:r>
      <w:r w:rsidRPr="00F9719B">
        <w:rPr>
          <w:rFonts w:ascii="Times New Roman" w:hAnsi="Times New Roman" w:cs="Times New Roman"/>
          <w:sz w:val="24"/>
          <w:szCs w:val="24"/>
        </w:rPr>
        <w:t xml:space="preserve">лика 13). </w:t>
      </w:r>
      <w:r w:rsidR="00E51295" w:rsidRPr="00F9719B">
        <w:rPr>
          <w:rFonts w:ascii="Times New Roman" w:hAnsi="Times New Roman" w:cs="Times New Roman"/>
          <w:sz w:val="24"/>
          <w:szCs w:val="24"/>
          <w:lang w:val="sr-Cyrl-RS"/>
        </w:rPr>
        <w:t xml:space="preserve">Као други по значају разлог за обуставу поступка, истиче се </w:t>
      </w:r>
      <w:r w:rsidR="00336544" w:rsidRPr="00F9719B">
        <w:rPr>
          <w:rFonts w:ascii="Times New Roman" w:hAnsi="Times New Roman" w:cs="Times New Roman"/>
          <w:sz w:val="24"/>
          <w:szCs w:val="24"/>
          <w:lang w:val="sr-Cyrl-RS"/>
        </w:rPr>
        <w:t>недостављање ниједне понуде од стране понуђача. Н</w:t>
      </w:r>
      <w:r w:rsidRPr="00F9719B">
        <w:rPr>
          <w:rFonts w:ascii="Times New Roman" w:hAnsi="Times New Roman" w:cs="Times New Roman"/>
          <w:sz w:val="24"/>
          <w:szCs w:val="24"/>
        </w:rPr>
        <w:t>аиме, од укупно</w:t>
      </w:r>
      <w:r w:rsidR="00336544" w:rsidRPr="00F9719B">
        <w:rPr>
          <w:rFonts w:ascii="Times New Roman" w:hAnsi="Times New Roman" w:cs="Times New Roman"/>
          <w:sz w:val="24"/>
          <w:szCs w:val="24"/>
        </w:rPr>
        <w:t>г броја обустављених поступака</w:t>
      </w:r>
      <w:r w:rsidR="00336544" w:rsidRPr="00F9719B">
        <w:rPr>
          <w:rFonts w:ascii="Times New Roman" w:hAnsi="Times New Roman" w:cs="Times New Roman"/>
          <w:sz w:val="24"/>
          <w:szCs w:val="24"/>
          <w:lang w:val="sr-Cyrl-RS"/>
        </w:rPr>
        <w:t xml:space="preserve"> </w:t>
      </w:r>
      <w:r w:rsidRPr="00F9719B">
        <w:rPr>
          <w:rFonts w:ascii="Times New Roman" w:hAnsi="Times New Roman" w:cs="Times New Roman"/>
          <w:sz w:val="24"/>
          <w:szCs w:val="24"/>
        </w:rPr>
        <w:t xml:space="preserve">у 2014. години, чак 21% обустављен је </w:t>
      </w:r>
      <w:r w:rsidR="00336544" w:rsidRPr="00F9719B">
        <w:rPr>
          <w:rFonts w:ascii="Times New Roman" w:hAnsi="Times New Roman" w:cs="Times New Roman"/>
          <w:sz w:val="24"/>
          <w:szCs w:val="24"/>
          <w:lang w:val="sr-Cyrl-RS"/>
        </w:rPr>
        <w:t>услед тога</w:t>
      </w:r>
      <w:r w:rsidRPr="00F9719B">
        <w:rPr>
          <w:rFonts w:ascii="Times New Roman" w:hAnsi="Times New Roman" w:cs="Times New Roman"/>
          <w:sz w:val="24"/>
          <w:szCs w:val="24"/>
        </w:rPr>
        <w:t xml:space="preserve"> што није прибављена ниједна понуда, док је из истог разлога у 2012. години обустављено </w:t>
      </w:r>
      <w:r w:rsidR="00336544" w:rsidRPr="00F9719B">
        <w:rPr>
          <w:rFonts w:ascii="Times New Roman" w:hAnsi="Times New Roman" w:cs="Times New Roman"/>
          <w:sz w:val="24"/>
          <w:szCs w:val="24"/>
          <w:lang w:val="sr-Cyrl-RS"/>
        </w:rPr>
        <w:t>15</w:t>
      </w:r>
      <w:r w:rsidRPr="00F9719B">
        <w:rPr>
          <w:rFonts w:ascii="Times New Roman" w:hAnsi="Times New Roman" w:cs="Times New Roman"/>
          <w:sz w:val="24"/>
          <w:szCs w:val="24"/>
        </w:rPr>
        <w:t xml:space="preserve">% </w:t>
      </w:r>
      <w:r w:rsidR="00336544" w:rsidRPr="00F9719B">
        <w:rPr>
          <w:rFonts w:ascii="Times New Roman" w:hAnsi="Times New Roman" w:cs="Times New Roman"/>
          <w:sz w:val="24"/>
          <w:szCs w:val="24"/>
          <w:lang w:val="sr-Cyrl-RS"/>
        </w:rPr>
        <w:t xml:space="preserve"> </w:t>
      </w:r>
      <w:r w:rsidRPr="00F9719B">
        <w:rPr>
          <w:rFonts w:ascii="Times New Roman" w:hAnsi="Times New Roman" w:cs="Times New Roman"/>
          <w:sz w:val="24"/>
          <w:szCs w:val="24"/>
        </w:rPr>
        <w:t>поступака.</w:t>
      </w:r>
    </w:p>
    <w:p w:rsidR="00E6374C" w:rsidRPr="00AD4B56" w:rsidRDefault="00AA7DBD" w:rsidP="00AD4B56">
      <w:pPr>
        <w:jc w:val="both"/>
        <w:rPr>
          <w:rFonts w:ascii="Times New Roman" w:hAnsi="Times New Roman" w:cs="Times New Roman"/>
          <w:color w:val="FF0000"/>
          <w:sz w:val="24"/>
          <w:szCs w:val="24"/>
          <w:lang w:val="sr-Cyrl-RS"/>
        </w:rPr>
      </w:pPr>
      <w:bookmarkStart w:id="15" w:name="_MON_1490007006"/>
      <w:bookmarkEnd w:id="15"/>
      <w:r>
        <w:rPr>
          <w:rFonts w:ascii="Times New Roman" w:hAnsi="Times New Roman" w:cs="Times New Roman"/>
          <w:sz w:val="24"/>
          <w:szCs w:val="24"/>
        </w:rPr>
        <w:t xml:space="preserve">Као што подаци у </w:t>
      </w:r>
      <w:r w:rsidRPr="004153ED">
        <w:rPr>
          <w:rFonts w:ascii="Times New Roman" w:hAnsi="Times New Roman" w:cs="Times New Roman"/>
          <w:sz w:val="24"/>
          <w:szCs w:val="24"/>
        </w:rPr>
        <w:t xml:space="preserve">Табели </w:t>
      </w:r>
      <w:r w:rsidR="00AD4B56">
        <w:rPr>
          <w:rFonts w:ascii="Times New Roman" w:hAnsi="Times New Roman" w:cs="Times New Roman"/>
          <w:sz w:val="24"/>
          <w:szCs w:val="24"/>
          <w:lang w:val="sr-Cyrl-RS"/>
        </w:rPr>
        <w:t>11</w:t>
      </w:r>
      <w:r w:rsidR="00072DBF">
        <w:rPr>
          <w:rFonts w:ascii="Times New Roman" w:hAnsi="Times New Roman" w:cs="Times New Roman"/>
          <w:sz w:val="24"/>
          <w:szCs w:val="24"/>
        </w:rPr>
        <w:t>, Слика 1</w:t>
      </w:r>
      <w:r w:rsidR="00AC33A4">
        <w:rPr>
          <w:rFonts w:ascii="Times New Roman" w:hAnsi="Times New Roman" w:cs="Times New Roman"/>
          <w:sz w:val="24"/>
          <w:szCs w:val="24"/>
        </w:rPr>
        <w:t>1</w:t>
      </w:r>
      <w:r w:rsidR="0053269D">
        <w:rPr>
          <w:rFonts w:ascii="Times New Roman" w:hAnsi="Times New Roman" w:cs="Times New Roman"/>
          <w:sz w:val="24"/>
          <w:szCs w:val="24"/>
          <w:lang w:val="sr-Cyrl-RS"/>
        </w:rPr>
        <w:t xml:space="preserve"> </w:t>
      </w:r>
      <w:r>
        <w:rPr>
          <w:rFonts w:ascii="Times New Roman" w:hAnsi="Times New Roman" w:cs="Times New Roman"/>
          <w:sz w:val="24"/>
          <w:szCs w:val="24"/>
        </w:rPr>
        <w:t>показују, с</w:t>
      </w:r>
      <w:r w:rsidR="00A92087">
        <w:rPr>
          <w:rFonts w:ascii="Times New Roman" w:hAnsi="Times New Roman" w:cs="Times New Roman"/>
          <w:sz w:val="24"/>
          <w:szCs w:val="24"/>
        </w:rPr>
        <w:t>вега 1% поступака је поништено (делимично или у целини) од стране Републичке комисије за заштиту права.</w:t>
      </w:r>
      <w:r w:rsidR="00E27DC2">
        <w:rPr>
          <w:rFonts w:ascii="Times New Roman" w:hAnsi="Times New Roman" w:cs="Times New Roman"/>
          <w:color w:val="FF0000"/>
          <w:sz w:val="24"/>
          <w:szCs w:val="24"/>
        </w:rPr>
        <w:t xml:space="preserve"> </w:t>
      </w:r>
      <w:r w:rsidR="00E27DC2" w:rsidRPr="00F9719B">
        <w:rPr>
          <w:rFonts w:ascii="Times New Roman" w:hAnsi="Times New Roman" w:cs="Times New Roman"/>
          <w:sz w:val="24"/>
          <w:szCs w:val="24"/>
        </w:rPr>
        <w:t xml:space="preserve">То указује на </w:t>
      </w:r>
      <w:r w:rsidR="00A92087">
        <w:rPr>
          <w:rFonts w:ascii="Times New Roman" w:hAnsi="Times New Roman" w:cs="Times New Roman"/>
          <w:sz w:val="24"/>
          <w:szCs w:val="24"/>
        </w:rPr>
        <w:t xml:space="preserve">низак степен поништавања поступака јавних набавки: </w:t>
      </w:r>
      <w:r w:rsidR="00CA1F8B">
        <w:rPr>
          <w:rFonts w:ascii="Times New Roman" w:hAnsi="Times New Roman" w:cs="Times New Roman"/>
          <w:sz w:val="24"/>
          <w:szCs w:val="24"/>
        </w:rPr>
        <w:t xml:space="preserve">тек сваки стоти поступак </w:t>
      </w:r>
      <w:r w:rsidR="00A92087">
        <w:rPr>
          <w:rFonts w:ascii="Times New Roman" w:hAnsi="Times New Roman" w:cs="Times New Roman"/>
          <w:sz w:val="24"/>
          <w:szCs w:val="24"/>
        </w:rPr>
        <w:t xml:space="preserve">је </w:t>
      </w:r>
      <w:r w:rsidR="00CA1F8B">
        <w:rPr>
          <w:rFonts w:ascii="Times New Roman" w:hAnsi="Times New Roman" w:cs="Times New Roman"/>
          <w:sz w:val="24"/>
          <w:szCs w:val="24"/>
        </w:rPr>
        <w:t>пониш</w:t>
      </w:r>
      <w:r w:rsidR="00A92087">
        <w:rPr>
          <w:rFonts w:ascii="Times New Roman" w:hAnsi="Times New Roman" w:cs="Times New Roman"/>
          <w:sz w:val="24"/>
          <w:szCs w:val="24"/>
        </w:rPr>
        <w:t>е</w:t>
      </w:r>
      <w:r w:rsidR="00CA1F8B">
        <w:rPr>
          <w:rFonts w:ascii="Times New Roman" w:hAnsi="Times New Roman" w:cs="Times New Roman"/>
          <w:sz w:val="24"/>
          <w:szCs w:val="24"/>
        </w:rPr>
        <w:t xml:space="preserve">н пред </w:t>
      </w:r>
      <w:r w:rsidR="00355D60">
        <w:rPr>
          <w:rFonts w:ascii="Times New Roman" w:hAnsi="Times New Roman" w:cs="Times New Roman"/>
          <w:sz w:val="24"/>
          <w:szCs w:val="24"/>
        </w:rPr>
        <w:t>Републичком к</w:t>
      </w:r>
      <w:r w:rsidR="00CA1F8B">
        <w:rPr>
          <w:rFonts w:ascii="Times New Roman" w:hAnsi="Times New Roman" w:cs="Times New Roman"/>
          <w:sz w:val="24"/>
          <w:szCs w:val="24"/>
        </w:rPr>
        <w:t>омисијом</w:t>
      </w:r>
      <w:r w:rsidR="00A92087">
        <w:rPr>
          <w:rFonts w:ascii="Times New Roman" w:hAnsi="Times New Roman" w:cs="Times New Roman"/>
          <w:sz w:val="24"/>
          <w:szCs w:val="24"/>
        </w:rPr>
        <w:t xml:space="preserve"> за заштиту права у поступцима јавних набавки. </w:t>
      </w:r>
      <w:r w:rsidR="00D954B5">
        <w:rPr>
          <w:rFonts w:ascii="Times New Roman" w:hAnsi="Times New Roman" w:cs="Times New Roman"/>
          <w:sz w:val="24"/>
          <w:szCs w:val="24"/>
        </w:rPr>
        <w:t>Поређења ради, у Републици Словенији је, у 2012. години, било</w:t>
      </w:r>
      <w:r w:rsidR="00E27DC2">
        <w:rPr>
          <w:rFonts w:ascii="Times New Roman" w:hAnsi="Times New Roman" w:cs="Times New Roman"/>
          <w:sz w:val="24"/>
          <w:szCs w:val="24"/>
        </w:rPr>
        <w:t xml:space="preserve"> поништено</w:t>
      </w:r>
      <w:r w:rsidR="00D954B5">
        <w:rPr>
          <w:rFonts w:ascii="Times New Roman" w:hAnsi="Times New Roman" w:cs="Times New Roman"/>
          <w:sz w:val="24"/>
          <w:szCs w:val="24"/>
        </w:rPr>
        <w:t xml:space="preserve"> </w:t>
      </w:r>
      <w:r w:rsidR="00E27DC2">
        <w:rPr>
          <w:rFonts w:ascii="Times New Roman" w:hAnsi="Times New Roman" w:cs="Times New Roman"/>
          <w:sz w:val="24"/>
          <w:szCs w:val="24"/>
        </w:rPr>
        <w:t xml:space="preserve">4% </w:t>
      </w:r>
      <w:r w:rsidR="00D954B5">
        <w:rPr>
          <w:rFonts w:ascii="Times New Roman" w:hAnsi="Times New Roman" w:cs="Times New Roman"/>
          <w:sz w:val="24"/>
          <w:szCs w:val="24"/>
        </w:rPr>
        <w:t>поступака</w:t>
      </w:r>
      <w:r w:rsidR="00D954B5">
        <w:rPr>
          <w:rStyle w:val="FootnoteReference"/>
          <w:rFonts w:ascii="Times New Roman" w:hAnsi="Times New Roman" w:cs="Times New Roman"/>
          <w:sz w:val="24"/>
          <w:szCs w:val="24"/>
        </w:rPr>
        <w:footnoteReference w:id="10"/>
      </w:r>
      <w:r w:rsidR="0031212A">
        <w:rPr>
          <w:rFonts w:ascii="Times New Roman" w:hAnsi="Times New Roman" w:cs="Times New Roman"/>
          <w:sz w:val="24"/>
          <w:szCs w:val="24"/>
        </w:rPr>
        <w:t>.</w:t>
      </w:r>
    </w:p>
    <w:p w:rsidR="00BB0B9A" w:rsidRPr="00C27A51" w:rsidRDefault="00BB0B9A" w:rsidP="00F55A41">
      <w:pPr>
        <w:pStyle w:val="ListParagraph"/>
        <w:numPr>
          <w:ilvl w:val="0"/>
          <w:numId w:val="2"/>
        </w:numPr>
        <w:jc w:val="both"/>
        <w:rPr>
          <w:rFonts w:ascii="Times New Roman" w:hAnsi="Times New Roman" w:cs="Times New Roman"/>
          <w:b/>
          <w:sz w:val="24"/>
          <w:szCs w:val="24"/>
        </w:rPr>
      </w:pPr>
      <w:r w:rsidRPr="00C27A51">
        <w:rPr>
          <w:rFonts w:ascii="Times New Roman" w:hAnsi="Times New Roman" w:cs="Times New Roman"/>
          <w:b/>
          <w:sz w:val="24"/>
          <w:szCs w:val="24"/>
        </w:rPr>
        <w:t>НАБАВКЕ ИЗУЗЕТЕ ОД ПРИМЕНЕ ЗАКОНА</w:t>
      </w:r>
    </w:p>
    <w:p w:rsidR="00B43F51" w:rsidRPr="00070C23" w:rsidRDefault="00BB0B9A" w:rsidP="00F55A41">
      <w:pPr>
        <w:jc w:val="both"/>
        <w:rPr>
          <w:rFonts w:ascii="Times New Roman" w:hAnsi="Times New Roman" w:cs="Times New Roman"/>
          <w:sz w:val="24"/>
          <w:szCs w:val="24"/>
        </w:rPr>
      </w:pPr>
      <w:r>
        <w:rPr>
          <w:rFonts w:ascii="Times New Roman" w:hAnsi="Times New Roman" w:cs="Times New Roman"/>
          <w:sz w:val="24"/>
          <w:szCs w:val="24"/>
        </w:rPr>
        <w:t xml:space="preserve">Набавке на које се није примењивао Закон </w:t>
      </w:r>
      <w:r w:rsidR="0002432C">
        <w:rPr>
          <w:rFonts w:ascii="Times New Roman" w:hAnsi="Times New Roman" w:cs="Times New Roman"/>
          <w:sz w:val="24"/>
          <w:szCs w:val="24"/>
        </w:rPr>
        <w:t xml:space="preserve">повећале су учешће у укупној уговореној вредности са </w:t>
      </w:r>
      <w:r w:rsidR="0060326C">
        <w:rPr>
          <w:rFonts w:ascii="Times New Roman" w:hAnsi="Times New Roman" w:cs="Times New Roman"/>
          <w:sz w:val="24"/>
          <w:szCs w:val="24"/>
        </w:rPr>
        <w:t>18</w:t>
      </w:r>
      <w:r>
        <w:rPr>
          <w:rFonts w:ascii="Times New Roman" w:hAnsi="Times New Roman" w:cs="Times New Roman"/>
          <w:sz w:val="24"/>
          <w:szCs w:val="24"/>
        </w:rPr>
        <w:t>% у</w:t>
      </w:r>
      <w:r w:rsidR="002369A3">
        <w:rPr>
          <w:rFonts w:ascii="Times New Roman" w:hAnsi="Times New Roman" w:cs="Times New Roman"/>
          <w:sz w:val="24"/>
          <w:szCs w:val="24"/>
          <w:lang w:val="sr-Cyrl-RS"/>
        </w:rPr>
        <w:t xml:space="preserve"> </w:t>
      </w:r>
      <w:r w:rsidR="0060326C">
        <w:rPr>
          <w:rFonts w:ascii="Times New Roman" w:hAnsi="Times New Roman" w:cs="Times New Roman"/>
          <w:sz w:val="24"/>
          <w:szCs w:val="24"/>
        </w:rPr>
        <w:t>2013. години</w:t>
      </w:r>
      <w:r w:rsidR="0002432C">
        <w:rPr>
          <w:rFonts w:ascii="Times New Roman" w:hAnsi="Times New Roman" w:cs="Times New Roman"/>
          <w:sz w:val="24"/>
          <w:szCs w:val="24"/>
        </w:rPr>
        <w:t xml:space="preserve"> на </w:t>
      </w:r>
      <w:r w:rsidR="0050401B">
        <w:rPr>
          <w:rFonts w:ascii="Times New Roman" w:hAnsi="Times New Roman" w:cs="Times New Roman"/>
          <w:sz w:val="24"/>
          <w:szCs w:val="24"/>
        </w:rPr>
        <w:t>30</w:t>
      </w:r>
      <w:r w:rsidR="0002432C">
        <w:rPr>
          <w:rFonts w:ascii="Times New Roman" w:hAnsi="Times New Roman" w:cs="Times New Roman"/>
          <w:sz w:val="24"/>
          <w:szCs w:val="24"/>
        </w:rPr>
        <w:t xml:space="preserve">% у </w:t>
      </w:r>
      <w:r w:rsidR="0050401B">
        <w:rPr>
          <w:rFonts w:ascii="Times New Roman" w:hAnsi="Times New Roman" w:cs="Times New Roman"/>
          <w:sz w:val="24"/>
          <w:szCs w:val="24"/>
        </w:rPr>
        <w:t xml:space="preserve">2014. години </w:t>
      </w:r>
      <w:r>
        <w:rPr>
          <w:rFonts w:ascii="Times New Roman" w:hAnsi="Times New Roman" w:cs="Times New Roman"/>
          <w:sz w:val="24"/>
          <w:szCs w:val="24"/>
        </w:rPr>
        <w:t>(</w:t>
      </w:r>
      <w:r w:rsidRPr="001A588E">
        <w:rPr>
          <w:rFonts w:ascii="Times New Roman" w:hAnsi="Times New Roman" w:cs="Times New Roman"/>
          <w:sz w:val="24"/>
          <w:szCs w:val="24"/>
        </w:rPr>
        <w:t xml:space="preserve">Табела </w:t>
      </w:r>
      <w:r w:rsidR="008F74F3">
        <w:rPr>
          <w:rFonts w:ascii="Times New Roman" w:hAnsi="Times New Roman" w:cs="Times New Roman"/>
          <w:sz w:val="24"/>
          <w:szCs w:val="24"/>
          <w:lang w:val="sr-Cyrl-RS"/>
        </w:rPr>
        <w:t>12</w:t>
      </w:r>
      <w:r w:rsidR="003B1779">
        <w:rPr>
          <w:rFonts w:ascii="Times New Roman" w:hAnsi="Times New Roman" w:cs="Times New Roman"/>
          <w:sz w:val="24"/>
          <w:szCs w:val="24"/>
        </w:rPr>
        <w:t>).</w:t>
      </w:r>
    </w:p>
    <w:p w:rsidR="00AD4B56" w:rsidRDefault="00AD4B56" w:rsidP="00F55A41">
      <w:pPr>
        <w:jc w:val="both"/>
        <w:rPr>
          <w:rFonts w:ascii="Times New Roman" w:hAnsi="Times New Roman" w:cs="Times New Roman"/>
          <w:b/>
          <w:color w:val="000000" w:themeColor="text1"/>
          <w:sz w:val="24"/>
          <w:szCs w:val="24"/>
          <w:lang w:val="sr-Cyrl-RS"/>
        </w:rPr>
      </w:pPr>
    </w:p>
    <w:p w:rsidR="00AD4B56" w:rsidRDefault="00AD4B56" w:rsidP="00F55A41">
      <w:pPr>
        <w:jc w:val="both"/>
        <w:rPr>
          <w:rFonts w:ascii="Times New Roman" w:hAnsi="Times New Roman" w:cs="Times New Roman"/>
          <w:b/>
          <w:color w:val="000000" w:themeColor="text1"/>
          <w:sz w:val="24"/>
          <w:szCs w:val="24"/>
          <w:lang w:val="sr-Cyrl-RS"/>
        </w:rPr>
      </w:pPr>
    </w:p>
    <w:p w:rsidR="00BB0B9A" w:rsidRPr="008F74F3" w:rsidRDefault="00BB0B9A" w:rsidP="00F55A41">
      <w:pPr>
        <w:jc w:val="both"/>
        <w:rPr>
          <w:rFonts w:ascii="Times New Roman" w:hAnsi="Times New Roman" w:cs="Times New Roman"/>
          <w:b/>
          <w:color w:val="000000" w:themeColor="text1"/>
          <w:sz w:val="24"/>
          <w:szCs w:val="24"/>
          <w:lang w:val="sr-Cyrl-RS"/>
        </w:rPr>
      </w:pPr>
      <w:r w:rsidRPr="0031212A">
        <w:rPr>
          <w:rFonts w:ascii="Times New Roman" w:hAnsi="Times New Roman" w:cs="Times New Roman"/>
          <w:b/>
          <w:color w:val="000000" w:themeColor="text1"/>
          <w:sz w:val="24"/>
          <w:szCs w:val="24"/>
        </w:rPr>
        <w:lastRenderedPageBreak/>
        <w:t xml:space="preserve">Табела </w:t>
      </w:r>
      <w:r w:rsidR="008F74F3">
        <w:rPr>
          <w:rFonts w:ascii="Times New Roman" w:hAnsi="Times New Roman" w:cs="Times New Roman"/>
          <w:b/>
          <w:color w:val="000000" w:themeColor="text1"/>
          <w:sz w:val="24"/>
          <w:szCs w:val="24"/>
          <w:lang w:val="sr-Cyrl-RS"/>
        </w:rPr>
        <w:t>12</w:t>
      </w:r>
    </w:p>
    <w:tbl>
      <w:tblPr>
        <w:tblStyle w:val="TableGrid1"/>
        <w:tblW w:w="5000" w:type="pct"/>
        <w:tblLook w:val="0000" w:firstRow="0" w:lastRow="0" w:firstColumn="0" w:lastColumn="0" w:noHBand="0" w:noVBand="0"/>
      </w:tblPr>
      <w:tblGrid>
        <w:gridCol w:w="2146"/>
        <w:gridCol w:w="2214"/>
        <w:gridCol w:w="2353"/>
        <w:gridCol w:w="2091"/>
        <w:gridCol w:w="2212"/>
      </w:tblGrid>
      <w:tr w:rsidR="00CA3D4E" w:rsidRPr="00CA3D4E" w:rsidTr="00F55A41">
        <w:trPr>
          <w:trHeight w:val="638"/>
        </w:trPr>
        <w:tc>
          <w:tcPr>
            <w:tcW w:w="5000" w:type="pct"/>
            <w:gridSpan w:val="5"/>
            <w:vAlign w:val="center"/>
          </w:tcPr>
          <w:p w:rsidR="00CA3D4E" w:rsidRPr="00CA3D4E" w:rsidRDefault="00CA3D4E" w:rsidP="00F55A41">
            <w:pPr>
              <w:jc w:val="center"/>
              <w:rPr>
                <w:rFonts w:eastAsiaTheme="minorEastAsia"/>
                <w:b/>
                <w:sz w:val="24"/>
                <w:szCs w:val="24"/>
                <w:lang w:val="sr-Cyrl-CS"/>
              </w:rPr>
            </w:pPr>
            <w:r w:rsidRPr="00CA3D4E">
              <w:rPr>
                <w:rFonts w:ascii="Times New Roman" w:eastAsiaTheme="minorEastAsia" w:hAnsi="Times New Roman" w:cs="Times New Roman"/>
                <w:b/>
                <w:sz w:val="24"/>
                <w:szCs w:val="24"/>
              </w:rPr>
              <w:t>Преглед свих набавки у Републици Србији у 2014. годин</w:t>
            </w:r>
            <w:r w:rsidRPr="00CA3D4E">
              <w:rPr>
                <w:rFonts w:ascii="Times New Roman" w:eastAsiaTheme="minorEastAsia" w:hAnsi="Times New Roman" w:cs="Times New Roman"/>
                <w:b/>
                <w:sz w:val="24"/>
                <w:szCs w:val="24"/>
                <w:lang w:val="sr-Cyrl-CS"/>
              </w:rPr>
              <w:t>и</w:t>
            </w:r>
          </w:p>
        </w:tc>
      </w:tr>
      <w:tr w:rsidR="00CA3D4E" w:rsidRPr="00CA3D4E" w:rsidTr="00F55A41">
        <w:tblPrEx>
          <w:tblLook w:val="04A0" w:firstRow="1" w:lastRow="0" w:firstColumn="1" w:lastColumn="0" w:noHBand="0" w:noVBand="1"/>
        </w:tblPrEx>
        <w:tc>
          <w:tcPr>
            <w:tcW w:w="974" w:type="pct"/>
            <w:vMerge w:val="restar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Врста набавки</w:t>
            </w:r>
          </w:p>
        </w:tc>
        <w:tc>
          <w:tcPr>
            <w:tcW w:w="1005" w:type="pct"/>
            <w:vMerge w:val="restar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Укупан број уговора</w:t>
            </w:r>
          </w:p>
        </w:tc>
        <w:tc>
          <w:tcPr>
            <w:tcW w:w="1068" w:type="pct"/>
            <w:vMerge w:val="restar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Укупна уговорена вредност*</w:t>
            </w:r>
          </w:p>
        </w:tc>
        <w:tc>
          <w:tcPr>
            <w:tcW w:w="1953" w:type="pct"/>
            <w:gridSpan w:val="2"/>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Заступљеност у свим набавкама</w:t>
            </w:r>
          </w:p>
        </w:tc>
      </w:tr>
      <w:tr w:rsidR="00CA3D4E" w:rsidRPr="00CA3D4E" w:rsidTr="00F55A41">
        <w:tblPrEx>
          <w:tblLook w:val="04A0" w:firstRow="1" w:lastRow="0" w:firstColumn="1" w:lastColumn="0" w:noHBand="0" w:noVBand="1"/>
        </w:tblPrEx>
        <w:tc>
          <w:tcPr>
            <w:tcW w:w="974" w:type="pct"/>
            <w:vMerge/>
            <w:vAlign w:val="center"/>
          </w:tcPr>
          <w:p w:rsidR="00CA3D4E" w:rsidRPr="00CA3D4E" w:rsidRDefault="00CA3D4E" w:rsidP="00F55A41">
            <w:pPr>
              <w:jc w:val="center"/>
              <w:rPr>
                <w:rFonts w:ascii="Times New Roman" w:eastAsiaTheme="minorEastAsia" w:hAnsi="Times New Roman" w:cs="Times New Roman"/>
                <w:b/>
              </w:rPr>
            </w:pPr>
          </w:p>
        </w:tc>
        <w:tc>
          <w:tcPr>
            <w:tcW w:w="1005" w:type="pct"/>
            <w:vMerge/>
            <w:vAlign w:val="center"/>
          </w:tcPr>
          <w:p w:rsidR="00CA3D4E" w:rsidRPr="00CA3D4E" w:rsidRDefault="00CA3D4E" w:rsidP="00F55A41">
            <w:pPr>
              <w:jc w:val="center"/>
              <w:rPr>
                <w:rFonts w:ascii="Times New Roman" w:eastAsiaTheme="minorEastAsia" w:hAnsi="Times New Roman" w:cs="Times New Roman"/>
                <w:b/>
              </w:rPr>
            </w:pPr>
          </w:p>
        </w:tc>
        <w:tc>
          <w:tcPr>
            <w:tcW w:w="1068" w:type="pct"/>
            <w:vMerge/>
            <w:vAlign w:val="center"/>
          </w:tcPr>
          <w:p w:rsidR="00CA3D4E" w:rsidRPr="00CA3D4E" w:rsidRDefault="00CA3D4E" w:rsidP="00F55A41">
            <w:pPr>
              <w:jc w:val="center"/>
              <w:rPr>
                <w:rFonts w:ascii="Times New Roman" w:eastAsiaTheme="minorEastAsia" w:hAnsi="Times New Roman" w:cs="Times New Roman"/>
                <w:b/>
              </w:rPr>
            </w:pPr>
          </w:p>
        </w:tc>
        <w:tc>
          <w:tcPr>
            <w:tcW w:w="949" w:type="pc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По броју у %</w:t>
            </w:r>
          </w:p>
        </w:tc>
        <w:tc>
          <w:tcPr>
            <w:tcW w:w="1004" w:type="pc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По вредности у %</w:t>
            </w:r>
          </w:p>
        </w:tc>
      </w:tr>
      <w:tr w:rsidR="00CA3D4E" w:rsidRPr="00CA3D4E" w:rsidTr="00F55A41">
        <w:tblPrEx>
          <w:tblLook w:val="04A0" w:firstRow="1" w:lastRow="0" w:firstColumn="1" w:lastColumn="0" w:noHBand="0" w:noVBand="1"/>
        </w:tblPrEx>
        <w:tc>
          <w:tcPr>
            <w:tcW w:w="974" w:type="pc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Велике набавке</w:t>
            </w:r>
          </w:p>
        </w:tc>
        <w:tc>
          <w:tcPr>
            <w:tcW w:w="1005"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49.910</w:t>
            </w:r>
          </w:p>
        </w:tc>
        <w:tc>
          <w:tcPr>
            <w:tcW w:w="1068"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275.067.034</w:t>
            </w:r>
          </w:p>
        </w:tc>
        <w:tc>
          <w:tcPr>
            <w:tcW w:w="949"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13</w:t>
            </w:r>
          </w:p>
        </w:tc>
        <w:tc>
          <w:tcPr>
            <w:tcW w:w="1004"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64</w:t>
            </w:r>
          </w:p>
        </w:tc>
      </w:tr>
      <w:tr w:rsidR="00CA3D4E" w:rsidRPr="00CA3D4E" w:rsidTr="00F55A41">
        <w:tblPrEx>
          <w:tblLook w:val="04A0" w:firstRow="1" w:lastRow="0" w:firstColumn="1" w:lastColumn="0" w:noHBand="0" w:noVBand="1"/>
        </w:tblPrEx>
        <w:tc>
          <w:tcPr>
            <w:tcW w:w="974" w:type="pc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Мале набавке</w:t>
            </w:r>
          </w:p>
        </w:tc>
        <w:tc>
          <w:tcPr>
            <w:tcW w:w="1005"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37.802</w:t>
            </w:r>
          </w:p>
        </w:tc>
        <w:tc>
          <w:tcPr>
            <w:tcW w:w="1068"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23.307.329</w:t>
            </w:r>
          </w:p>
        </w:tc>
        <w:tc>
          <w:tcPr>
            <w:tcW w:w="949"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10</w:t>
            </w:r>
          </w:p>
        </w:tc>
        <w:tc>
          <w:tcPr>
            <w:tcW w:w="1004"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6</w:t>
            </w:r>
          </w:p>
        </w:tc>
      </w:tr>
      <w:tr w:rsidR="00CA3D4E" w:rsidRPr="00CA3D4E" w:rsidTr="00F55A41">
        <w:tblPrEx>
          <w:tblLook w:val="04A0" w:firstRow="1" w:lastRow="0" w:firstColumn="1" w:lastColumn="0" w:noHBand="0" w:noVBand="1"/>
        </w:tblPrEx>
        <w:tc>
          <w:tcPr>
            <w:tcW w:w="974" w:type="pc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Изузете набавке</w:t>
            </w:r>
          </w:p>
        </w:tc>
        <w:tc>
          <w:tcPr>
            <w:tcW w:w="1005"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307.803</w:t>
            </w:r>
          </w:p>
        </w:tc>
        <w:tc>
          <w:tcPr>
            <w:tcW w:w="1068"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128.577.453</w:t>
            </w:r>
          </w:p>
        </w:tc>
        <w:tc>
          <w:tcPr>
            <w:tcW w:w="949"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77</w:t>
            </w:r>
          </w:p>
        </w:tc>
        <w:tc>
          <w:tcPr>
            <w:tcW w:w="1004"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30</w:t>
            </w:r>
          </w:p>
        </w:tc>
      </w:tr>
      <w:tr w:rsidR="00CA3D4E" w:rsidRPr="00CA3D4E" w:rsidTr="00F55A41">
        <w:tblPrEx>
          <w:tblLook w:val="04A0" w:firstRow="1" w:lastRow="0" w:firstColumn="1" w:lastColumn="0" w:noHBand="0" w:noVBand="1"/>
        </w:tblPrEx>
        <w:tc>
          <w:tcPr>
            <w:tcW w:w="974" w:type="pct"/>
            <w:vAlign w:val="center"/>
          </w:tcPr>
          <w:p w:rsidR="00CA3D4E" w:rsidRPr="00CA3D4E" w:rsidRDefault="00CA3D4E" w:rsidP="00F55A41">
            <w:pPr>
              <w:jc w:val="center"/>
              <w:rPr>
                <w:rFonts w:ascii="Times New Roman" w:eastAsiaTheme="minorEastAsia" w:hAnsi="Times New Roman" w:cs="Times New Roman"/>
                <w:b/>
              </w:rPr>
            </w:pPr>
            <w:r w:rsidRPr="00CA3D4E">
              <w:rPr>
                <w:rFonts w:ascii="Times New Roman" w:eastAsiaTheme="minorEastAsia" w:hAnsi="Times New Roman" w:cs="Times New Roman"/>
                <w:b/>
              </w:rPr>
              <w:t>Укупно</w:t>
            </w:r>
          </w:p>
        </w:tc>
        <w:tc>
          <w:tcPr>
            <w:tcW w:w="1005"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395.515</w:t>
            </w:r>
          </w:p>
        </w:tc>
        <w:tc>
          <w:tcPr>
            <w:tcW w:w="1068"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426.951.816</w:t>
            </w:r>
          </w:p>
        </w:tc>
        <w:tc>
          <w:tcPr>
            <w:tcW w:w="949"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100</w:t>
            </w:r>
          </w:p>
        </w:tc>
        <w:tc>
          <w:tcPr>
            <w:tcW w:w="1004" w:type="pct"/>
            <w:vAlign w:val="center"/>
          </w:tcPr>
          <w:p w:rsidR="00CA3D4E" w:rsidRPr="00CA3D4E" w:rsidRDefault="00CA3D4E" w:rsidP="00F55A41">
            <w:pPr>
              <w:jc w:val="center"/>
              <w:rPr>
                <w:rFonts w:ascii="Times New Roman" w:eastAsiaTheme="minorEastAsia" w:hAnsi="Times New Roman" w:cs="Times New Roman"/>
              </w:rPr>
            </w:pPr>
            <w:r w:rsidRPr="00CA3D4E">
              <w:rPr>
                <w:rFonts w:ascii="Times New Roman" w:eastAsiaTheme="minorEastAsia" w:hAnsi="Times New Roman" w:cs="Times New Roman"/>
              </w:rPr>
              <w:t>100</w:t>
            </w:r>
          </w:p>
        </w:tc>
      </w:tr>
    </w:tbl>
    <w:p w:rsidR="00BB0B9A" w:rsidRPr="00124460" w:rsidRDefault="008F6182" w:rsidP="00F55A41">
      <w:pPr>
        <w:jc w:val="both"/>
        <w:rPr>
          <w:rFonts w:ascii="Times New Roman" w:hAnsi="Times New Roman" w:cs="Times New Roman"/>
        </w:rPr>
      </w:pPr>
      <w:r w:rsidRPr="00124460">
        <w:rPr>
          <w:rFonts w:ascii="Times New Roman" w:hAnsi="Times New Roman" w:cs="Times New Roman"/>
        </w:rPr>
        <w:t>*вредности су изражене у хиљадама динара</w:t>
      </w:r>
    </w:p>
    <w:p w:rsidR="006149F0" w:rsidRDefault="00696CCB" w:rsidP="00F55A41">
      <w:pPr>
        <w:jc w:val="both"/>
        <w:rPr>
          <w:rFonts w:ascii="Times New Roman" w:hAnsi="Times New Roman" w:cs="Times New Roman"/>
          <w:sz w:val="24"/>
          <w:szCs w:val="24"/>
        </w:rPr>
      </w:pPr>
      <w:r>
        <w:rPr>
          <w:rFonts w:ascii="Times New Roman" w:hAnsi="Times New Roman" w:cs="Times New Roman"/>
          <w:sz w:val="24"/>
          <w:szCs w:val="24"/>
        </w:rPr>
        <w:t>Заступљеност појединих основа за изузећ</w:t>
      </w:r>
      <w:r w:rsidR="006A1736">
        <w:rPr>
          <w:rFonts w:ascii="Times New Roman" w:hAnsi="Times New Roman" w:cs="Times New Roman"/>
          <w:sz w:val="24"/>
          <w:szCs w:val="24"/>
        </w:rPr>
        <w:t>е</w:t>
      </w:r>
      <w:r>
        <w:rPr>
          <w:rFonts w:ascii="Times New Roman" w:hAnsi="Times New Roman" w:cs="Times New Roman"/>
          <w:sz w:val="24"/>
          <w:szCs w:val="24"/>
        </w:rPr>
        <w:t xml:space="preserve"> од примене Закона, приказан</w:t>
      </w:r>
      <w:r w:rsidR="006A1736">
        <w:rPr>
          <w:rFonts w:ascii="Times New Roman" w:hAnsi="Times New Roman" w:cs="Times New Roman"/>
          <w:sz w:val="24"/>
          <w:szCs w:val="24"/>
        </w:rPr>
        <w:t>а</w:t>
      </w:r>
      <w:r>
        <w:rPr>
          <w:rFonts w:ascii="Times New Roman" w:hAnsi="Times New Roman" w:cs="Times New Roman"/>
          <w:sz w:val="24"/>
          <w:szCs w:val="24"/>
        </w:rPr>
        <w:t xml:space="preserve"> је у Табели </w:t>
      </w:r>
      <w:r w:rsidR="008F74F3">
        <w:rPr>
          <w:rFonts w:ascii="Times New Roman" w:hAnsi="Times New Roman" w:cs="Times New Roman"/>
          <w:sz w:val="24"/>
          <w:szCs w:val="24"/>
          <w:lang w:val="sr-Cyrl-RS"/>
        </w:rPr>
        <w:t>13</w:t>
      </w:r>
      <w:r>
        <w:rPr>
          <w:rFonts w:ascii="Times New Roman" w:hAnsi="Times New Roman" w:cs="Times New Roman"/>
          <w:sz w:val="24"/>
          <w:szCs w:val="24"/>
        </w:rPr>
        <w:t xml:space="preserve">. </w:t>
      </w:r>
      <w:r w:rsidR="006A1736">
        <w:rPr>
          <w:rFonts w:ascii="Times New Roman" w:hAnsi="Times New Roman" w:cs="Times New Roman"/>
          <w:sz w:val="24"/>
          <w:szCs w:val="24"/>
        </w:rPr>
        <w:t xml:space="preserve">Може се закључити да </w:t>
      </w:r>
      <w:r w:rsidR="00760333">
        <w:rPr>
          <w:rFonts w:ascii="Times New Roman" w:hAnsi="Times New Roman" w:cs="Times New Roman"/>
          <w:sz w:val="24"/>
          <w:szCs w:val="24"/>
        </w:rPr>
        <w:t xml:space="preserve">преко </w:t>
      </w:r>
      <w:r w:rsidR="006A1736">
        <w:rPr>
          <w:rFonts w:ascii="Times New Roman" w:hAnsi="Times New Roman" w:cs="Times New Roman"/>
          <w:sz w:val="24"/>
          <w:szCs w:val="24"/>
        </w:rPr>
        <w:t>половин</w:t>
      </w:r>
      <w:r w:rsidR="00760333">
        <w:rPr>
          <w:rFonts w:ascii="Times New Roman" w:hAnsi="Times New Roman" w:cs="Times New Roman"/>
          <w:sz w:val="24"/>
          <w:szCs w:val="24"/>
        </w:rPr>
        <w:t>е</w:t>
      </w:r>
      <w:r w:rsidR="006A1736">
        <w:rPr>
          <w:rFonts w:ascii="Times New Roman" w:hAnsi="Times New Roman" w:cs="Times New Roman"/>
          <w:sz w:val="24"/>
          <w:szCs w:val="24"/>
        </w:rPr>
        <w:t xml:space="preserve"> од укупне вредности изузетака (</w:t>
      </w:r>
      <w:r w:rsidR="00760333">
        <w:rPr>
          <w:rFonts w:ascii="Times New Roman" w:hAnsi="Times New Roman" w:cs="Times New Roman"/>
          <w:sz w:val="24"/>
          <w:szCs w:val="24"/>
        </w:rPr>
        <w:t>57</w:t>
      </w:r>
      <w:r w:rsidR="006A1736">
        <w:rPr>
          <w:rFonts w:ascii="Times New Roman" w:hAnsi="Times New Roman" w:cs="Times New Roman"/>
          <w:sz w:val="24"/>
          <w:szCs w:val="24"/>
        </w:rPr>
        <w:t xml:space="preserve">%) чине уговори који су закључени по следећа </w:t>
      </w:r>
      <w:r w:rsidR="00760333">
        <w:rPr>
          <w:rFonts w:ascii="Times New Roman" w:hAnsi="Times New Roman" w:cs="Times New Roman"/>
          <w:sz w:val="24"/>
          <w:szCs w:val="24"/>
        </w:rPr>
        <w:t xml:space="preserve">три </w:t>
      </w:r>
      <w:r w:rsidR="006A1736">
        <w:rPr>
          <w:rFonts w:ascii="Times New Roman" w:hAnsi="Times New Roman" w:cs="Times New Roman"/>
          <w:sz w:val="24"/>
          <w:szCs w:val="24"/>
        </w:rPr>
        <w:t xml:space="preserve">основа предвиђена чланом 7. </w:t>
      </w:r>
      <w:r w:rsidR="005A6B10">
        <w:rPr>
          <w:rFonts w:ascii="Times New Roman" w:hAnsi="Times New Roman" w:cs="Times New Roman"/>
          <w:sz w:val="24"/>
          <w:szCs w:val="24"/>
        </w:rPr>
        <w:t xml:space="preserve">и 122. </w:t>
      </w:r>
      <w:r w:rsidR="006A1736">
        <w:rPr>
          <w:rFonts w:ascii="Times New Roman" w:hAnsi="Times New Roman" w:cs="Times New Roman"/>
          <w:sz w:val="24"/>
          <w:szCs w:val="24"/>
        </w:rPr>
        <w:t xml:space="preserve">Закона: 1) </w:t>
      </w:r>
      <w:r w:rsidR="00760333" w:rsidRPr="00760333">
        <w:rPr>
          <w:rFonts w:ascii="Times New Roman" w:hAnsi="Times New Roman" w:cs="Times New Roman"/>
          <w:sz w:val="24"/>
          <w:szCs w:val="24"/>
        </w:rPr>
        <w:t>Набавка ен</w:t>
      </w:r>
      <w:r w:rsidR="00760333">
        <w:rPr>
          <w:rFonts w:ascii="Times New Roman" w:hAnsi="Times New Roman" w:cs="Times New Roman"/>
          <w:sz w:val="24"/>
          <w:szCs w:val="24"/>
        </w:rPr>
        <w:t xml:space="preserve">ергије или горива за производњу </w:t>
      </w:r>
      <w:r w:rsidR="00760333" w:rsidRPr="00760333">
        <w:rPr>
          <w:rFonts w:ascii="Times New Roman" w:hAnsi="Times New Roman" w:cs="Times New Roman"/>
          <w:sz w:val="24"/>
          <w:szCs w:val="24"/>
        </w:rPr>
        <w:t xml:space="preserve">енергије у области енергетике </w:t>
      </w:r>
      <w:r w:rsidR="00760333">
        <w:rPr>
          <w:rFonts w:ascii="Times New Roman" w:hAnsi="Times New Roman" w:cs="Times New Roman"/>
          <w:sz w:val="24"/>
          <w:szCs w:val="24"/>
        </w:rPr>
        <w:t xml:space="preserve">(29%),  </w:t>
      </w:r>
      <w:r w:rsidR="006A1736">
        <w:rPr>
          <w:rFonts w:ascii="Times New Roman" w:hAnsi="Times New Roman" w:cs="Times New Roman"/>
          <w:sz w:val="24"/>
          <w:szCs w:val="24"/>
        </w:rPr>
        <w:t>2)</w:t>
      </w:r>
      <w:r w:rsidR="00760333" w:rsidRPr="00760333">
        <w:rPr>
          <w:rFonts w:ascii="Times New Roman" w:hAnsi="Times New Roman" w:cs="Times New Roman"/>
          <w:sz w:val="24"/>
          <w:szCs w:val="24"/>
        </w:rPr>
        <w:t>Искључиво право на обављање делатности која је предмет јавне набавке</w:t>
      </w:r>
      <w:r w:rsidR="0053269D">
        <w:rPr>
          <w:rFonts w:ascii="Times New Roman" w:hAnsi="Times New Roman" w:cs="Times New Roman"/>
          <w:sz w:val="24"/>
          <w:szCs w:val="24"/>
          <w:lang w:val="sr-Cyrl-RS"/>
        </w:rPr>
        <w:t xml:space="preserve"> </w:t>
      </w:r>
      <w:r w:rsidR="00760333">
        <w:rPr>
          <w:rFonts w:ascii="Times New Roman" w:hAnsi="Times New Roman" w:cs="Times New Roman"/>
          <w:sz w:val="24"/>
          <w:szCs w:val="24"/>
        </w:rPr>
        <w:t xml:space="preserve">(15%) и 3) </w:t>
      </w:r>
      <w:r w:rsidR="00760333" w:rsidRPr="00760333">
        <w:rPr>
          <w:rFonts w:ascii="Times New Roman" w:hAnsi="Times New Roman" w:cs="Times New Roman"/>
          <w:sz w:val="24"/>
          <w:szCs w:val="24"/>
        </w:rPr>
        <w:t>Набавке из средстава страних кредита добијених од међународних организација и међународних финансијских институција</w:t>
      </w:r>
      <w:r w:rsidR="00760333">
        <w:rPr>
          <w:rFonts w:ascii="Times New Roman" w:hAnsi="Times New Roman" w:cs="Times New Roman"/>
          <w:sz w:val="24"/>
          <w:szCs w:val="24"/>
        </w:rPr>
        <w:t xml:space="preserve"> (13%).</w:t>
      </w:r>
    </w:p>
    <w:p w:rsidR="003B1779" w:rsidRPr="005925DE" w:rsidRDefault="006149F0" w:rsidP="00F55A41">
      <w:pPr>
        <w:jc w:val="both"/>
        <w:rPr>
          <w:rFonts w:ascii="Times New Roman" w:hAnsi="Times New Roman" w:cs="Times New Roman"/>
          <w:sz w:val="24"/>
          <w:szCs w:val="24"/>
        </w:rPr>
      </w:pPr>
      <w:r>
        <w:rPr>
          <w:rFonts w:ascii="Times New Roman" w:hAnsi="Times New Roman" w:cs="Times New Roman"/>
          <w:sz w:val="24"/>
          <w:szCs w:val="24"/>
        </w:rPr>
        <w:t>Имајући у виду значајан пораст заступљености изузећа од примене Закона у укупној вредности јавних набавки (са 18 на 30%) у 2014. у односу на 2013. годину, намеће се потреба</w:t>
      </w:r>
      <w:r w:rsidR="0053269D">
        <w:rPr>
          <w:rFonts w:ascii="Times New Roman" w:hAnsi="Times New Roman" w:cs="Times New Roman"/>
          <w:sz w:val="24"/>
          <w:szCs w:val="24"/>
          <w:lang w:val="sr-Cyrl-RS"/>
        </w:rPr>
        <w:t xml:space="preserve"> да</w:t>
      </w:r>
      <w:r>
        <w:rPr>
          <w:rFonts w:ascii="Times New Roman" w:hAnsi="Times New Roman" w:cs="Times New Roman"/>
          <w:sz w:val="24"/>
          <w:szCs w:val="24"/>
        </w:rPr>
        <w:t xml:space="preserve"> надлежне институције провере оправданост примене члана 7. </w:t>
      </w:r>
      <w:r w:rsidR="005A6B10">
        <w:rPr>
          <w:rFonts w:ascii="Times New Roman" w:hAnsi="Times New Roman" w:cs="Times New Roman"/>
          <w:sz w:val="24"/>
          <w:szCs w:val="24"/>
        </w:rPr>
        <w:t xml:space="preserve">и 122. Закона. </w:t>
      </w:r>
      <w:r>
        <w:rPr>
          <w:rFonts w:ascii="Times New Roman" w:hAnsi="Times New Roman" w:cs="Times New Roman"/>
          <w:sz w:val="24"/>
          <w:szCs w:val="24"/>
        </w:rPr>
        <w:t>Такође, приликом измена и допуна Закона о јавним набавкама које су, по Акционом плану за спровођење Стр</w:t>
      </w:r>
      <w:r w:rsidR="0053269D">
        <w:rPr>
          <w:rFonts w:ascii="Times New Roman" w:hAnsi="Times New Roman" w:cs="Times New Roman"/>
          <w:sz w:val="24"/>
          <w:szCs w:val="24"/>
        </w:rPr>
        <w:t>атегије развоја јавних набавки</w:t>
      </w:r>
      <w:r w:rsidR="0053269D">
        <w:rPr>
          <w:rFonts w:ascii="Times New Roman" w:hAnsi="Times New Roman" w:cs="Times New Roman"/>
          <w:sz w:val="24"/>
          <w:szCs w:val="24"/>
          <w:lang w:val="sr-Cyrl-RS"/>
        </w:rPr>
        <w:t xml:space="preserve"> </w:t>
      </w:r>
      <w:r>
        <w:rPr>
          <w:rFonts w:ascii="Times New Roman" w:hAnsi="Times New Roman" w:cs="Times New Roman"/>
          <w:sz w:val="24"/>
          <w:szCs w:val="24"/>
        </w:rPr>
        <w:t>предвиђене да се ураде до краја 2015. године, потребно је преиспитати постојеће основе за изузећа од примене Закона у смислу сужавања, као што је наведено у препорукама ЕУ у Извештају о напретку</w:t>
      </w:r>
      <w:r w:rsidR="005A6B10">
        <w:rPr>
          <w:rFonts w:ascii="Times New Roman" w:hAnsi="Times New Roman" w:cs="Times New Roman"/>
          <w:sz w:val="24"/>
          <w:szCs w:val="24"/>
        </w:rPr>
        <w:t xml:space="preserve"> и евентуалног увођења нових изузетака у складу са директивама ЕУ</w:t>
      </w:r>
      <w:r>
        <w:rPr>
          <w:rFonts w:ascii="Times New Roman" w:hAnsi="Times New Roman" w:cs="Times New Roman"/>
          <w:sz w:val="24"/>
          <w:szCs w:val="24"/>
        </w:rPr>
        <w:t>.</w:t>
      </w:r>
    </w:p>
    <w:p w:rsidR="00070C23" w:rsidRDefault="00070C23" w:rsidP="00F55A41">
      <w:pPr>
        <w:jc w:val="both"/>
        <w:rPr>
          <w:rFonts w:ascii="Times New Roman" w:hAnsi="Times New Roman" w:cs="Times New Roman"/>
          <w:b/>
          <w:color w:val="000000" w:themeColor="text1"/>
          <w:sz w:val="24"/>
          <w:szCs w:val="24"/>
          <w:lang w:val="sr-Cyrl-RS"/>
        </w:rPr>
      </w:pPr>
    </w:p>
    <w:p w:rsidR="002369A3" w:rsidRDefault="002369A3" w:rsidP="00F55A41">
      <w:pPr>
        <w:jc w:val="both"/>
        <w:rPr>
          <w:rFonts w:ascii="Times New Roman" w:hAnsi="Times New Roman" w:cs="Times New Roman"/>
          <w:b/>
          <w:color w:val="000000" w:themeColor="text1"/>
          <w:sz w:val="24"/>
          <w:szCs w:val="24"/>
          <w:lang w:val="sr-Cyrl-RS"/>
        </w:rPr>
      </w:pPr>
    </w:p>
    <w:p w:rsidR="002369A3" w:rsidRDefault="002369A3" w:rsidP="00F55A41">
      <w:pPr>
        <w:jc w:val="both"/>
        <w:rPr>
          <w:rFonts w:ascii="Times New Roman" w:hAnsi="Times New Roman" w:cs="Times New Roman"/>
          <w:b/>
          <w:color w:val="000000" w:themeColor="text1"/>
          <w:sz w:val="24"/>
          <w:szCs w:val="24"/>
          <w:lang w:val="sr-Cyrl-RS"/>
        </w:rPr>
      </w:pPr>
    </w:p>
    <w:p w:rsidR="002369A3" w:rsidRDefault="002369A3" w:rsidP="00F55A41">
      <w:pPr>
        <w:jc w:val="both"/>
        <w:rPr>
          <w:rFonts w:ascii="Times New Roman" w:hAnsi="Times New Roman" w:cs="Times New Roman"/>
          <w:b/>
          <w:color w:val="000000" w:themeColor="text1"/>
          <w:sz w:val="24"/>
          <w:szCs w:val="24"/>
          <w:lang w:val="sr-Cyrl-RS"/>
        </w:rPr>
      </w:pPr>
    </w:p>
    <w:p w:rsidR="002369A3" w:rsidRDefault="002369A3" w:rsidP="00F55A41">
      <w:pPr>
        <w:jc w:val="both"/>
        <w:rPr>
          <w:rFonts w:ascii="Times New Roman" w:hAnsi="Times New Roman" w:cs="Times New Roman"/>
          <w:b/>
          <w:color w:val="000000" w:themeColor="text1"/>
          <w:sz w:val="24"/>
          <w:szCs w:val="24"/>
          <w:lang w:val="sr-Cyrl-RS"/>
        </w:rPr>
      </w:pPr>
    </w:p>
    <w:p w:rsidR="002369A3" w:rsidRDefault="002369A3" w:rsidP="00F55A41">
      <w:pPr>
        <w:jc w:val="both"/>
        <w:rPr>
          <w:rFonts w:ascii="Times New Roman" w:hAnsi="Times New Roman" w:cs="Times New Roman"/>
          <w:b/>
          <w:color w:val="000000" w:themeColor="text1"/>
          <w:sz w:val="24"/>
          <w:szCs w:val="24"/>
          <w:lang w:val="sr-Cyrl-RS"/>
        </w:rPr>
      </w:pPr>
    </w:p>
    <w:p w:rsidR="002369A3" w:rsidRDefault="002369A3" w:rsidP="00F55A41">
      <w:pPr>
        <w:jc w:val="both"/>
        <w:rPr>
          <w:rFonts w:ascii="Times New Roman" w:hAnsi="Times New Roman" w:cs="Times New Roman"/>
          <w:b/>
          <w:color w:val="000000" w:themeColor="text1"/>
          <w:sz w:val="24"/>
          <w:szCs w:val="24"/>
          <w:lang w:val="sr-Cyrl-RS"/>
        </w:rPr>
      </w:pPr>
    </w:p>
    <w:p w:rsidR="0053269D" w:rsidRDefault="0053269D" w:rsidP="00F55A41">
      <w:pPr>
        <w:jc w:val="both"/>
        <w:rPr>
          <w:rFonts w:ascii="Times New Roman" w:hAnsi="Times New Roman" w:cs="Times New Roman"/>
          <w:b/>
          <w:color w:val="000000" w:themeColor="text1"/>
          <w:sz w:val="24"/>
          <w:szCs w:val="24"/>
          <w:lang w:val="sr-Cyrl-RS"/>
        </w:rPr>
      </w:pPr>
    </w:p>
    <w:p w:rsidR="00C72615" w:rsidRDefault="00C72615" w:rsidP="00F55A41">
      <w:pPr>
        <w:jc w:val="both"/>
        <w:rPr>
          <w:rFonts w:ascii="Times New Roman" w:hAnsi="Times New Roman" w:cs="Times New Roman"/>
          <w:b/>
          <w:color w:val="000000" w:themeColor="text1"/>
          <w:sz w:val="24"/>
          <w:szCs w:val="24"/>
          <w:lang w:val="sr-Cyrl-RS"/>
        </w:rPr>
      </w:pPr>
    </w:p>
    <w:p w:rsidR="00C72615" w:rsidRDefault="00C72615" w:rsidP="00F55A41">
      <w:pPr>
        <w:jc w:val="both"/>
        <w:rPr>
          <w:rFonts w:ascii="Times New Roman" w:hAnsi="Times New Roman" w:cs="Times New Roman"/>
          <w:b/>
          <w:color w:val="000000" w:themeColor="text1"/>
          <w:sz w:val="24"/>
          <w:szCs w:val="24"/>
          <w:lang w:val="sr-Cyrl-RS"/>
        </w:rPr>
      </w:pPr>
    </w:p>
    <w:p w:rsidR="00C72615" w:rsidRDefault="00C72615" w:rsidP="00F55A41">
      <w:pPr>
        <w:jc w:val="both"/>
        <w:rPr>
          <w:rFonts w:ascii="Times New Roman" w:hAnsi="Times New Roman" w:cs="Times New Roman"/>
          <w:b/>
          <w:color w:val="000000" w:themeColor="text1"/>
          <w:sz w:val="24"/>
          <w:szCs w:val="24"/>
          <w:lang w:val="sr-Cyrl-RS"/>
        </w:rPr>
      </w:pPr>
    </w:p>
    <w:p w:rsidR="002369A3" w:rsidRPr="002369A3" w:rsidRDefault="002369A3" w:rsidP="00F55A41">
      <w:pPr>
        <w:jc w:val="both"/>
        <w:rPr>
          <w:rFonts w:ascii="Times New Roman" w:hAnsi="Times New Roman" w:cs="Times New Roman"/>
          <w:b/>
          <w:color w:val="000000" w:themeColor="text1"/>
          <w:sz w:val="24"/>
          <w:szCs w:val="24"/>
          <w:lang w:val="sr-Cyrl-RS"/>
        </w:rPr>
      </w:pPr>
    </w:p>
    <w:p w:rsidR="00E3384D" w:rsidRPr="008F74F3" w:rsidRDefault="00E3384D" w:rsidP="00F55A41">
      <w:pPr>
        <w:jc w:val="both"/>
        <w:rPr>
          <w:rFonts w:ascii="Times New Roman" w:hAnsi="Times New Roman" w:cs="Times New Roman"/>
          <w:color w:val="000000" w:themeColor="text1"/>
          <w:sz w:val="24"/>
          <w:szCs w:val="24"/>
          <w:lang w:val="sr-Cyrl-RS"/>
        </w:rPr>
      </w:pPr>
      <w:r w:rsidRPr="0050401B">
        <w:rPr>
          <w:rFonts w:ascii="Times New Roman" w:hAnsi="Times New Roman" w:cs="Times New Roman"/>
          <w:b/>
          <w:color w:val="000000" w:themeColor="text1"/>
          <w:sz w:val="24"/>
          <w:szCs w:val="24"/>
        </w:rPr>
        <w:lastRenderedPageBreak/>
        <w:t xml:space="preserve">Табела </w:t>
      </w:r>
      <w:r w:rsidR="008F74F3">
        <w:rPr>
          <w:rFonts w:ascii="Times New Roman" w:hAnsi="Times New Roman" w:cs="Times New Roman"/>
          <w:b/>
          <w:color w:val="000000" w:themeColor="text1"/>
          <w:sz w:val="24"/>
          <w:szCs w:val="24"/>
          <w:lang w:val="sr-Cyrl-RS"/>
        </w:rPr>
        <w:t>13</w:t>
      </w:r>
    </w:p>
    <w:tbl>
      <w:tblPr>
        <w:tblStyle w:val="TableGrid2"/>
        <w:tblW w:w="9747" w:type="dxa"/>
        <w:jc w:val="center"/>
        <w:tblLayout w:type="fixed"/>
        <w:tblLook w:val="04A0" w:firstRow="1" w:lastRow="0" w:firstColumn="1" w:lastColumn="0" w:noHBand="0" w:noVBand="1"/>
      </w:tblPr>
      <w:tblGrid>
        <w:gridCol w:w="3510"/>
        <w:gridCol w:w="1229"/>
        <w:gridCol w:w="1417"/>
        <w:gridCol w:w="1843"/>
        <w:gridCol w:w="1748"/>
      </w:tblGrid>
      <w:tr w:rsidR="00D81946" w:rsidRPr="00D81946" w:rsidTr="00F55A41">
        <w:trPr>
          <w:jc w:val="center"/>
        </w:trPr>
        <w:tc>
          <w:tcPr>
            <w:tcW w:w="9747" w:type="dxa"/>
            <w:gridSpan w:val="5"/>
            <w:vAlign w:val="center"/>
          </w:tcPr>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Подаци о набавкама на које се Закон не примењује по основама за изузеће</w:t>
            </w:r>
          </w:p>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 xml:space="preserve">у  2014. </w:t>
            </w:r>
            <w:r w:rsidR="00BA7D20">
              <w:rPr>
                <w:rFonts w:ascii="Times New Roman" w:eastAsiaTheme="minorEastAsia" w:hAnsi="Times New Roman" w:cs="Times New Roman"/>
                <w:b/>
                <w:sz w:val="24"/>
                <w:szCs w:val="24"/>
              </w:rPr>
              <w:t>г</w:t>
            </w:r>
            <w:r w:rsidRPr="00D81946">
              <w:rPr>
                <w:rFonts w:ascii="Times New Roman" w:eastAsiaTheme="minorEastAsia" w:hAnsi="Times New Roman" w:cs="Times New Roman"/>
                <w:b/>
                <w:sz w:val="24"/>
                <w:szCs w:val="24"/>
              </w:rPr>
              <w:t>одини</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Основ за изузеће</w:t>
            </w:r>
          </w:p>
          <w:p w:rsidR="00D81946" w:rsidRPr="00BA7D20" w:rsidRDefault="00BA7D20" w:rsidP="00F55A41">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од примене Закона </w:t>
            </w:r>
          </w:p>
        </w:tc>
        <w:tc>
          <w:tcPr>
            <w:tcW w:w="1229" w:type="dxa"/>
            <w:vAlign w:val="center"/>
          </w:tcPr>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Укупан број</w:t>
            </w:r>
          </w:p>
        </w:tc>
        <w:tc>
          <w:tcPr>
            <w:tcW w:w="1417" w:type="dxa"/>
            <w:vAlign w:val="center"/>
          </w:tcPr>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Укупна вредност</w:t>
            </w:r>
          </w:p>
        </w:tc>
        <w:tc>
          <w:tcPr>
            <w:tcW w:w="1843" w:type="dxa"/>
            <w:vAlign w:val="center"/>
          </w:tcPr>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Бројчана заступљеност</w:t>
            </w:r>
          </w:p>
        </w:tc>
        <w:tc>
          <w:tcPr>
            <w:tcW w:w="1748" w:type="dxa"/>
            <w:vAlign w:val="center"/>
          </w:tcPr>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Вредносна заступљеност</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Искључиво право на обављање делатности која је предмет</w:t>
            </w:r>
          </w:p>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јавне набавке</w:t>
            </w:r>
          </w:p>
        </w:tc>
        <w:tc>
          <w:tcPr>
            <w:tcW w:w="1229" w:type="dxa"/>
            <w:vAlign w:val="center"/>
          </w:tcPr>
          <w:p w:rsidR="00D81946" w:rsidRPr="00D81946" w:rsidRDefault="00D81946" w:rsidP="00F55A41">
            <w:pPr>
              <w:jc w:val="center"/>
              <w:rPr>
                <w:rFonts w:eastAsiaTheme="minorEastAsia"/>
              </w:rPr>
            </w:pPr>
            <w:r w:rsidRPr="00D81946">
              <w:rPr>
                <w:rFonts w:eastAsiaTheme="minorEastAsia"/>
              </w:rPr>
              <w:t>34.932</w:t>
            </w:r>
          </w:p>
        </w:tc>
        <w:tc>
          <w:tcPr>
            <w:tcW w:w="1417" w:type="dxa"/>
            <w:vAlign w:val="center"/>
          </w:tcPr>
          <w:p w:rsidR="00D81946" w:rsidRPr="00D81946" w:rsidRDefault="00D81946" w:rsidP="00F55A41">
            <w:pPr>
              <w:jc w:val="center"/>
              <w:rPr>
                <w:rFonts w:eastAsiaTheme="minorEastAsia"/>
              </w:rPr>
            </w:pPr>
            <w:r w:rsidRPr="00D81946">
              <w:rPr>
                <w:rFonts w:eastAsiaTheme="minorEastAsia"/>
              </w:rPr>
              <w:t>19.254.563</w:t>
            </w:r>
          </w:p>
        </w:tc>
        <w:tc>
          <w:tcPr>
            <w:tcW w:w="1843" w:type="dxa"/>
            <w:vAlign w:val="center"/>
          </w:tcPr>
          <w:p w:rsidR="00D81946" w:rsidRPr="00D81946" w:rsidRDefault="00D81946" w:rsidP="00F55A41">
            <w:pPr>
              <w:jc w:val="center"/>
              <w:rPr>
                <w:rFonts w:eastAsiaTheme="minorEastAsia"/>
              </w:rPr>
            </w:pPr>
            <w:r w:rsidRPr="00D81946">
              <w:rPr>
                <w:rFonts w:eastAsiaTheme="minorEastAsia"/>
              </w:rPr>
              <w:t>11%</w:t>
            </w:r>
          </w:p>
        </w:tc>
        <w:tc>
          <w:tcPr>
            <w:tcW w:w="1748" w:type="dxa"/>
            <w:vAlign w:val="center"/>
          </w:tcPr>
          <w:p w:rsidR="00D81946" w:rsidRPr="00D81946" w:rsidRDefault="00D81946" w:rsidP="00F55A41">
            <w:pPr>
              <w:jc w:val="center"/>
              <w:rPr>
                <w:rFonts w:eastAsiaTheme="minorEastAsia"/>
              </w:rPr>
            </w:pPr>
            <w:r w:rsidRPr="00D81946">
              <w:rPr>
                <w:rFonts w:eastAsiaTheme="minorEastAsia"/>
              </w:rPr>
              <w:t>15%</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Набавке из средстава страних кредита добијених од међународних организација и међународних финансијских институција</w:t>
            </w:r>
          </w:p>
        </w:tc>
        <w:tc>
          <w:tcPr>
            <w:tcW w:w="1229" w:type="dxa"/>
            <w:vAlign w:val="center"/>
          </w:tcPr>
          <w:p w:rsidR="00D81946" w:rsidRPr="00D81946" w:rsidRDefault="00D81946" w:rsidP="00F55A41">
            <w:pPr>
              <w:jc w:val="center"/>
              <w:rPr>
                <w:rFonts w:eastAsiaTheme="minorEastAsia"/>
              </w:rPr>
            </w:pPr>
            <w:r w:rsidRPr="00D81946">
              <w:rPr>
                <w:rFonts w:eastAsiaTheme="minorEastAsia"/>
              </w:rPr>
              <w:t>322</w:t>
            </w:r>
          </w:p>
        </w:tc>
        <w:tc>
          <w:tcPr>
            <w:tcW w:w="1417" w:type="dxa"/>
            <w:vAlign w:val="center"/>
          </w:tcPr>
          <w:p w:rsidR="00D81946" w:rsidRPr="00D81946" w:rsidRDefault="00D81946" w:rsidP="00F55A41">
            <w:pPr>
              <w:jc w:val="center"/>
              <w:rPr>
                <w:rFonts w:eastAsiaTheme="minorEastAsia"/>
              </w:rPr>
            </w:pPr>
            <w:r w:rsidRPr="00D81946">
              <w:rPr>
                <w:rFonts w:eastAsiaTheme="minorEastAsia"/>
              </w:rPr>
              <w:t>16.243.247</w:t>
            </w:r>
          </w:p>
        </w:tc>
        <w:tc>
          <w:tcPr>
            <w:tcW w:w="1843" w:type="dxa"/>
            <w:vAlign w:val="center"/>
          </w:tcPr>
          <w:p w:rsidR="00D81946" w:rsidRPr="00D81946" w:rsidRDefault="00D81946" w:rsidP="00F55A41">
            <w:pPr>
              <w:jc w:val="center"/>
              <w:rPr>
                <w:rFonts w:eastAsiaTheme="minorEastAsia"/>
              </w:rPr>
            </w:pPr>
            <w:r w:rsidRPr="00D81946">
              <w:rPr>
                <w:rFonts w:eastAsiaTheme="minorEastAsia"/>
              </w:rPr>
              <w:t>0%</w:t>
            </w:r>
          </w:p>
        </w:tc>
        <w:tc>
          <w:tcPr>
            <w:tcW w:w="1748" w:type="dxa"/>
            <w:vAlign w:val="center"/>
          </w:tcPr>
          <w:p w:rsidR="00D81946" w:rsidRPr="00D81946" w:rsidRDefault="00D81946" w:rsidP="00F55A41">
            <w:pPr>
              <w:jc w:val="center"/>
              <w:rPr>
                <w:rFonts w:eastAsiaTheme="minorEastAsia"/>
              </w:rPr>
            </w:pPr>
            <w:r w:rsidRPr="00D81946">
              <w:rPr>
                <w:rFonts w:eastAsiaTheme="minorEastAsia"/>
              </w:rPr>
              <w:t>13%</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Набавке чија је намена обављање делатности електронских комуникација и продаја електронских комуникационих услуга</w:t>
            </w:r>
          </w:p>
        </w:tc>
        <w:tc>
          <w:tcPr>
            <w:tcW w:w="1229" w:type="dxa"/>
            <w:vAlign w:val="center"/>
          </w:tcPr>
          <w:p w:rsidR="00D81946" w:rsidRPr="00D81946" w:rsidRDefault="00D81946" w:rsidP="00F55A41">
            <w:pPr>
              <w:jc w:val="center"/>
              <w:rPr>
                <w:rFonts w:eastAsiaTheme="minorEastAsia"/>
              </w:rPr>
            </w:pPr>
            <w:r w:rsidRPr="00D81946">
              <w:rPr>
                <w:rFonts w:eastAsiaTheme="minorEastAsia"/>
              </w:rPr>
              <w:t>1.714</w:t>
            </w:r>
          </w:p>
        </w:tc>
        <w:tc>
          <w:tcPr>
            <w:tcW w:w="1417" w:type="dxa"/>
            <w:vAlign w:val="center"/>
          </w:tcPr>
          <w:p w:rsidR="00D81946" w:rsidRPr="00D81946" w:rsidRDefault="00D81946" w:rsidP="00F55A41">
            <w:pPr>
              <w:jc w:val="center"/>
              <w:rPr>
                <w:rFonts w:eastAsiaTheme="minorEastAsia"/>
              </w:rPr>
            </w:pPr>
            <w:r w:rsidRPr="00D81946">
              <w:rPr>
                <w:rFonts w:eastAsiaTheme="minorEastAsia"/>
              </w:rPr>
              <w:t>14.604.344</w:t>
            </w:r>
          </w:p>
        </w:tc>
        <w:tc>
          <w:tcPr>
            <w:tcW w:w="1843" w:type="dxa"/>
            <w:vAlign w:val="center"/>
          </w:tcPr>
          <w:p w:rsidR="00D81946" w:rsidRPr="00D81946" w:rsidRDefault="00D81946" w:rsidP="00F55A41">
            <w:pPr>
              <w:jc w:val="center"/>
              <w:rPr>
                <w:rFonts w:eastAsiaTheme="minorEastAsia"/>
              </w:rPr>
            </w:pPr>
            <w:r w:rsidRPr="00D81946">
              <w:rPr>
                <w:rFonts w:eastAsiaTheme="minorEastAsia"/>
              </w:rPr>
              <w:t>1%</w:t>
            </w:r>
          </w:p>
        </w:tc>
        <w:tc>
          <w:tcPr>
            <w:tcW w:w="1748" w:type="dxa"/>
            <w:vAlign w:val="center"/>
          </w:tcPr>
          <w:p w:rsidR="00D81946" w:rsidRPr="00D81946" w:rsidRDefault="00D81946" w:rsidP="00F55A41">
            <w:pPr>
              <w:jc w:val="center"/>
              <w:rPr>
                <w:rFonts w:eastAsiaTheme="minorEastAsia"/>
              </w:rPr>
            </w:pPr>
            <w:r w:rsidRPr="00D81946">
              <w:rPr>
                <w:rFonts w:eastAsiaTheme="minorEastAsia"/>
              </w:rPr>
              <w:t>11%</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Набавке добара и услуга ради даље продаје, ради прераде и продаје</w:t>
            </w:r>
          </w:p>
        </w:tc>
        <w:tc>
          <w:tcPr>
            <w:tcW w:w="1229" w:type="dxa"/>
            <w:vAlign w:val="center"/>
          </w:tcPr>
          <w:p w:rsidR="00D81946" w:rsidRPr="00D81946" w:rsidRDefault="00D81946" w:rsidP="00F55A41">
            <w:pPr>
              <w:jc w:val="center"/>
              <w:rPr>
                <w:rFonts w:eastAsiaTheme="minorEastAsia"/>
              </w:rPr>
            </w:pPr>
            <w:r w:rsidRPr="00D81946">
              <w:rPr>
                <w:rFonts w:eastAsiaTheme="minorEastAsia"/>
              </w:rPr>
              <w:t>23.163</w:t>
            </w:r>
          </w:p>
        </w:tc>
        <w:tc>
          <w:tcPr>
            <w:tcW w:w="1417" w:type="dxa"/>
            <w:vAlign w:val="center"/>
          </w:tcPr>
          <w:p w:rsidR="00D81946" w:rsidRPr="00D81946" w:rsidRDefault="00D81946" w:rsidP="00F55A41">
            <w:pPr>
              <w:jc w:val="center"/>
              <w:rPr>
                <w:rFonts w:eastAsiaTheme="minorEastAsia"/>
              </w:rPr>
            </w:pPr>
            <w:r w:rsidRPr="00D81946">
              <w:rPr>
                <w:rFonts w:eastAsiaTheme="minorEastAsia"/>
              </w:rPr>
              <w:t>9.379.028</w:t>
            </w:r>
          </w:p>
        </w:tc>
        <w:tc>
          <w:tcPr>
            <w:tcW w:w="1843" w:type="dxa"/>
            <w:vAlign w:val="center"/>
          </w:tcPr>
          <w:p w:rsidR="00D81946" w:rsidRPr="00D81946" w:rsidRDefault="00D81946" w:rsidP="00F55A41">
            <w:pPr>
              <w:jc w:val="center"/>
              <w:rPr>
                <w:rFonts w:eastAsiaTheme="minorEastAsia"/>
              </w:rPr>
            </w:pPr>
            <w:r w:rsidRPr="00D81946">
              <w:rPr>
                <w:rFonts w:eastAsiaTheme="minorEastAsia"/>
              </w:rPr>
              <w:t>8%</w:t>
            </w:r>
          </w:p>
        </w:tc>
        <w:tc>
          <w:tcPr>
            <w:tcW w:w="1748" w:type="dxa"/>
            <w:vAlign w:val="center"/>
          </w:tcPr>
          <w:p w:rsidR="00D81946" w:rsidRPr="00D81946" w:rsidRDefault="00D81946" w:rsidP="00F55A41">
            <w:pPr>
              <w:jc w:val="center"/>
              <w:rPr>
                <w:rFonts w:eastAsiaTheme="minorEastAsia"/>
              </w:rPr>
            </w:pPr>
            <w:r w:rsidRPr="00D81946">
              <w:rPr>
                <w:rFonts w:eastAsiaTheme="minorEastAsia"/>
              </w:rPr>
              <w:t>7%</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Набавке испод доњег лимита за јавне набавке мале вредности</w:t>
            </w:r>
          </w:p>
        </w:tc>
        <w:tc>
          <w:tcPr>
            <w:tcW w:w="1229" w:type="dxa"/>
            <w:vAlign w:val="center"/>
          </w:tcPr>
          <w:p w:rsidR="00D81946" w:rsidRPr="00D81946" w:rsidRDefault="00D81946" w:rsidP="00F55A41">
            <w:pPr>
              <w:jc w:val="center"/>
              <w:rPr>
                <w:rFonts w:eastAsiaTheme="minorEastAsia"/>
              </w:rPr>
            </w:pPr>
            <w:r w:rsidRPr="00D81946">
              <w:rPr>
                <w:rFonts w:eastAsiaTheme="minorEastAsia"/>
              </w:rPr>
              <w:t>228.131</w:t>
            </w:r>
          </w:p>
        </w:tc>
        <w:tc>
          <w:tcPr>
            <w:tcW w:w="1417" w:type="dxa"/>
            <w:vAlign w:val="center"/>
          </w:tcPr>
          <w:p w:rsidR="00D81946" w:rsidRPr="00D81946" w:rsidRDefault="00D81946" w:rsidP="00F55A41">
            <w:pPr>
              <w:jc w:val="center"/>
              <w:rPr>
                <w:rFonts w:eastAsiaTheme="minorEastAsia"/>
              </w:rPr>
            </w:pPr>
            <w:r w:rsidRPr="00D81946">
              <w:rPr>
                <w:rFonts w:eastAsiaTheme="minorEastAsia"/>
              </w:rPr>
              <w:t>14.122.156</w:t>
            </w:r>
          </w:p>
        </w:tc>
        <w:tc>
          <w:tcPr>
            <w:tcW w:w="1843" w:type="dxa"/>
            <w:vAlign w:val="center"/>
          </w:tcPr>
          <w:p w:rsidR="00D81946" w:rsidRPr="00D81946" w:rsidRDefault="00D81946" w:rsidP="00F55A41">
            <w:pPr>
              <w:jc w:val="center"/>
              <w:rPr>
                <w:rFonts w:eastAsiaTheme="minorEastAsia"/>
              </w:rPr>
            </w:pPr>
            <w:r w:rsidRPr="00D81946">
              <w:rPr>
                <w:rFonts w:eastAsiaTheme="minorEastAsia"/>
              </w:rPr>
              <w:t>74%</w:t>
            </w:r>
          </w:p>
        </w:tc>
        <w:tc>
          <w:tcPr>
            <w:tcW w:w="1748" w:type="dxa"/>
            <w:vAlign w:val="center"/>
          </w:tcPr>
          <w:p w:rsidR="00D81946" w:rsidRPr="00D81946" w:rsidRDefault="00D81946" w:rsidP="00F55A41">
            <w:pPr>
              <w:jc w:val="center"/>
              <w:rPr>
                <w:rFonts w:eastAsiaTheme="minorEastAsia"/>
              </w:rPr>
            </w:pPr>
            <w:r w:rsidRPr="00D81946">
              <w:rPr>
                <w:rFonts w:eastAsiaTheme="minorEastAsia"/>
              </w:rPr>
              <w:t>11%</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Набавка енергије или горива за производњу енергије</w:t>
            </w:r>
          </w:p>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у области енергетике</w:t>
            </w:r>
          </w:p>
        </w:tc>
        <w:tc>
          <w:tcPr>
            <w:tcW w:w="1229" w:type="dxa"/>
            <w:vAlign w:val="center"/>
          </w:tcPr>
          <w:p w:rsidR="00D81946" w:rsidRPr="00D81946" w:rsidRDefault="00D81946" w:rsidP="00F55A41">
            <w:pPr>
              <w:jc w:val="center"/>
              <w:rPr>
                <w:rFonts w:eastAsiaTheme="minorEastAsia"/>
              </w:rPr>
            </w:pPr>
            <w:r w:rsidRPr="00D81946">
              <w:rPr>
                <w:rFonts w:eastAsiaTheme="minorEastAsia"/>
              </w:rPr>
              <w:t>92</w:t>
            </w:r>
          </w:p>
        </w:tc>
        <w:tc>
          <w:tcPr>
            <w:tcW w:w="1417" w:type="dxa"/>
            <w:vAlign w:val="center"/>
          </w:tcPr>
          <w:p w:rsidR="00D81946" w:rsidRPr="00D81946" w:rsidRDefault="00D81946" w:rsidP="00F55A41">
            <w:pPr>
              <w:jc w:val="center"/>
              <w:rPr>
                <w:rFonts w:eastAsiaTheme="minorEastAsia"/>
              </w:rPr>
            </w:pPr>
            <w:r w:rsidRPr="00D81946">
              <w:rPr>
                <w:rFonts w:eastAsiaTheme="minorEastAsia"/>
              </w:rPr>
              <w:t>37.272.874</w:t>
            </w:r>
          </w:p>
        </w:tc>
        <w:tc>
          <w:tcPr>
            <w:tcW w:w="1843" w:type="dxa"/>
            <w:vAlign w:val="center"/>
          </w:tcPr>
          <w:p w:rsidR="00D81946" w:rsidRPr="00D81946" w:rsidRDefault="00D81946" w:rsidP="00F55A41">
            <w:pPr>
              <w:jc w:val="center"/>
              <w:rPr>
                <w:rFonts w:eastAsiaTheme="minorEastAsia"/>
              </w:rPr>
            </w:pPr>
            <w:r w:rsidRPr="00D81946">
              <w:rPr>
                <w:rFonts w:eastAsiaTheme="minorEastAsia"/>
              </w:rPr>
              <w:t>0%</w:t>
            </w:r>
          </w:p>
        </w:tc>
        <w:tc>
          <w:tcPr>
            <w:tcW w:w="1748" w:type="dxa"/>
            <w:vAlign w:val="center"/>
          </w:tcPr>
          <w:p w:rsidR="00D81946" w:rsidRPr="00D81946" w:rsidRDefault="00D81946" w:rsidP="00F55A41">
            <w:pPr>
              <w:jc w:val="center"/>
              <w:rPr>
                <w:rFonts w:eastAsiaTheme="minorEastAsia"/>
              </w:rPr>
            </w:pPr>
            <w:r w:rsidRPr="00D81946">
              <w:rPr>
                <w:rFonts w:eastAsiaTheme="minorEastAsia"/>
              </w:rPr>
              <w:t>29%</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rPr>
            </w:pPr>
            <w:r w:rsidRPr="00D81946">
              <w:rPr>
                <w:rFonts w:ascii="Times New Roman" w:eastAsiaTheme="minorEastAsia" w:hAnsi="Times New Roman" w:cs="Times New Roman"/>
                <w:b/>
              </w:rPr>
              <w:t>Остало</w:t>
            </w:r>
          </w:p>
        </w:tc>
        <w:tc>
          <w:tcPr>
            <w:tcW w:w="1229" w:type="dxa"/>
            <w:vAlign w:val="center"/>
          </w:tcPr>
          <w:p w:rsidR="00D81946" w:rsidRPr="00D81946" w:rsidRDefault="00D81946" w:rsidP="00F55A41">
            <w:pPr>
              <w:jc w:val="center"/>
              <w:rPr>
                <w:rFonts w:eastAsiaTheme="minorEastAsia"/>
              </w:rPr>
            </w:pPr>
            <w:r w:rsidRPr="00D81946">
              <w:rPr>
                <w:rFonts w:eastAsiaTheme="minorEastAsia"/>
              </w:rPr>
              <w:t>19.449</w:t>
            </w:r>
          </w:p>
        </w:tc>
        <w:tc>
          <w:tcPr>
            <w:tcW w:w="1417" w:type="dxa"/>
            <w:vAlign w:val="center"/>
          </w:tcPr>
          <w:p w:rsidR="00D81946" w:rsidRPr="00D81946" w:rsidRDefault="00D81946" w:rsidP="00F55A41">
            <w:pPr>
              <w:jc w:val="center"/>
              <w:rPr>
                <w:rFonts w:eastAsiaTheme="minorEastAsia"/>
              </w:rPr>
            </w:pPr>
            <w:r w:rsidRPr="00D81946">
              <w:rPr>
                <w:rFonts w:eastAsiaTheme="minorEastAsia"/>
              </w:rPr>
              <w:t>17.701.241</w:t>
            </w:r>
          </w:p>
        </w:tc>
        <w:tc>
          <w:tcPr>
            <w:tcW w:w="1843" w:type="dxa"/>
            <w:vAlign w:val="center"/>
          </w:tcPr>
          <w:p w:rsidR="00D81946" w:rsidRPr="00D81946" w:rsidRDefault="00D81946" w:rsidP="00F55A41">
            <w:pPr>
              <w:jc w:val="center"/>
              <w:rPr>
                <w:rFonts w:eastAsiaTheme="minorEastAsia"/>
              </w:rPr>
            </w:pPr>
            <w:r w:rsidRPr="00D81946">
              <w:rPr>
                <w:rFonts w:eastAsiaTheme="minorEastAsia"/>
              </w:rPr>
              <w:t>6%</w:t>
            </w:r>
          </w:p>
        </w:tc>
        <w:tc>
          <w:tcPr>
            <w:tcW w:w="1748" w:type="dxa"/>
            <w:vAlign w:val="center"/>
          </w:tcPr>
          <w:p w:rsidR="00D81946" w:rsidRPr="00D81946" w:rsidRDefault="00D81946" w:rsidP="00F55A41">
            <w:pPr>
              <w:jc w:val="center"/>
              <w:rPr>
                <w:rFonts w:eastAsiaTheme="minorEastAsia"/>
              </w:rPr>
            </w:pPr>
            <w:r w:rsidRPr="00D81946">
              <w:rPr>
                <w:rFonts w:eastAsiaTheme="minorEastAsia"/>
              </w:rPr>
              <w:t>14%</w:t>
            </w:r>
          </w:p>
        </w:tc>
      </w:tr>
      <w:tr w:rsidR="00D81946" w:rsidRPr="00D81946" w:rsidTr="00F55A41">
        <w:trPr>
          <w:jc w:val="center"/>
        </w:trPr>
        <w:tc>
          <w:tcPr>
            <w:tcW w:w="3510" w:type="dxa"/>
            <w:vAlign w:val="center"/>
          </w:tcPr>
          <w:p w:rsidR="00D81946" w:rsidRPr="00D81946" w:rsidRDefault="00D81946" w:rsidP="00F55A41">
            <w:pPr>
              <w:jc w:val="center"/>
              <w:rPr>
                <w:rFonts w:ascii="Times New Roman" w:eastAsiaTheme="minorEastAsia" w:hAnsi="Times New Roman" w:cs="Times New Roman"/>
                <w:b/>
                <w:sz w:val="24"/>
                <w:szCs w:val="24"/>
              </w:rPr>
            </w:pPr>
            <w:r w:rsidRPr="00D81946">
              <w:rPr>
                <w:rFonts w:ascii="Times New Roman" w:eastAsiaTheme="minorEastAsia" w:hAnsi="Times New Roman" w:cs="Times New Roman"/>
                <w:b/>
                <w:sz w:val="24"/>
                <w:szCs w:val="24"/>
              </w:rPr>
              <w:t>Укупно</w:t>
            </w:r>
          </w:p>
        </w:tc>
        <w:tc>
          <w:tcPr>
            <w:tcW w:w="1229" w:type="dxa"/>
            <w:vAlign w:val="center"/>
          </w:tcPr>
          <w:p w:rsidR="00D81946" w:rsidRPr="00D81946" w:rsidRDefault="00D81946" w:rsidP="00F55A41">
            <w:pPr>
              <w:jc w:val="center"/>
              <w:rPr>
                <w:rFonts w:eastAsiaTheme="minorEastAsia"/>
                <w:b/>
              </w:rPr>
            </w:pPr>
            <w:r w:rsidRPr="00D81946">
              <w:rPr>
                <w:rFonts w:eastAsiaTheme="minorEastAsia"/>
                <w:b/>
              </w:rPr>
              <w:t>307.803</w:t>
            </w:r>
          </w:p>
        </w:tc>
        <w:tc>
          <w:tcPr>
            <w:tcW w:w="1417" w:type="dxa"/>
            <w:vAlign w:val="center"/>
          </w:tcPr>
          <w:p w:rsidR="00D81946" w:rsidRPr="00D81946" w:rsidRDefault="00D81946" w:rsidP="00F55A41">
            <w:pPr>
              <w:jc w:val="center"/>
              <w:rPr>
                <w:rFonts w:eastAsiaTheme="minorEastAsia"/>
                <w:b/>
              </w:rPr>
            </w:pPr>
            <w:r w:rsidRPr="00D81946">
              <w:rPr>
                <w:rFonts w:eastAsiaTheme="minorEastAsia"/>
                <w:b/>
              </w:rPr>
              <w:t>128.577.453</w:t>
            </w:r>
          </w:p>
        </w:tc>
        <w:tc>
          <w:tcPr>
            <w:tcW w:w="1843" w:type="dxa"/>
            <w:vAlign w:val="center"/>
          </w:tcPr>
          <w:p w:rsidR="00D81946" w:rsidRPr="00D81946" w:rsidRDefault="00D81946" w:rsidP="00F55A41">
            <w:pPr>
              <w:jc w:val="center"/>
              <w:rPr>
                <w:rFonts w:eastAsiaTheme="minorEastAsia"/>
                <w:b/>
              </w:rPr>
            </w:pPr>
            <w:r w:rsidRPr="00D81946">
              <w:rPr>
                <w:rFonts w:eastAsiaTheme="minorEastAsia"/>
                <w:b/>
              </w:rPr>
              <w:t>100%</w:t>
            </w:r>
          </w:p>
        </w:tc>
        <w:tc>
          <w:tcPr>
            <w:tcW w:w="1748" w:type="dxa"/>
            <w:vAlign w:val="center"/>
          </w:tcPr>
          <w:p w:rsidR="00D81946" w:rsidRPr="00D81946" w:rsidRDefault="00D81946" w:rsidP="00F55A41">
            <w:pPr>
              <w:jc w:val="center"/>
              <w:rPr>
                <w:rFonts w:eastAsiaTheme="minorEastAsia"/>
                <w:b/>
              </w:rPr>
            </w:pPr>
            <w:r w:rsidRPr="00D81946">
              <w:rPr>
                <w:rFonts w:eastAsiaTheme="minorEastAsia"/>
                <w:b/>
              </w:rPr>
              <w:t>100%</w:t>
            </w:r>
          </w:p>
        </w:tc>
      </w:tr>
    </w:tbl>
    <w:p w:rsidR="00E3384D" w:rsidRPr="0081508B" w:rsidRDefault="00E3384D" w:rsidP="00F55A41">
      <w:pPr>
        <w:jc w:val="both"/>
        <w:rPr>
          <w:rFonts w:ascii="Times New Roman" w:hAnsi="Times New Roman" w:cs="Times New Roman"/>
          <w:b/>
          <w:color w:val="FF0000"/>
          <w:sz w:val="24"/>
          <w:szCs w:val="24"/>
        </w:rPr>
      </w:pPr>
    </w:p>
    <w:p w:rsidR="00BA7D20" w:rsidRDefault="00F75E25" w:rsidP="00F55A41">
      <w:pPr>
        <w:jc w:val="both"/>
        <w:rPr>
          <w:rFonts w:ascii="Times New Roman" w:hAnsi="Times New Roman" w:cs="Times New Roman"/>
          <w:sz w:val="24"/>
          <w:szCs w:val="24"/>
          <w:lang w:val="sr-Cyrl-RS"/>
        </w:rPr>
      </w:pPr>
      <w:r>
        <w:rPr>
          <w:rFonts w:ascii="Times New Roman" w:hAnsi="Times New Roman" w:cs="Times New Roman"/>
          <w:sz w:val="24"/>
          <w:szCs w:val="24"/>
        </w:rPr>
        <w:t>Набавке на које се није примењивао Закон биле су најзаступљеније код јавних предузећа</w:t>
      </w:r>
      <w:r w:rsidR="00CA1FBD">
        <w:rPr>
          <w:rFonts w:ascii="Times New Roman" w:hAnsi="Times New Roman" w:cs="Times New Roman"/>
          <w:sz w:val="24"/>
          <w:szCs w:val="24"/>
        </w:rPr>
        <w:t xml:space="preserve"> (45%)</w:t>
      </w:r>
      <w:r>
        <w:rPr>
          <w:rFonts w:ascii="Times New Roman" w:hAnsi="Times New Roman" w:cs="Times New Roman"/>
          <w:sz w:val="24"/>
          <w:szCs w:val="24"/>
        </w:rPr>
        <w:t xml:space="preserve">, </w:t>
      </w:r>
      <w:r w:rsidR="00CA1FBD">
        <w:rPr>
          <w:rFonts w:ascii="Times New Roman" w:hAnsi="Times New Roman" w:cs="Times New Roman"/>
          <w:sz w:val="24"/>
          <w:szCs w:val="24"/>
        </w:rPr>
        <w:t xml:space="preserve">јавних комуналних предузећа (27%) и </w:t>
      </w:r>
      <w:r>
        <w:rPr>
          <w:rFonts w:ascii="Times New Roman" w:hAnsi="Times New Roman" w:cs="Times New Roman"/>
          <w:sz w:val="24"/>
          <w:szCs w:val="24"/>
        </w:rPr>
        <w:t xml:space="preserve">локалних самоуправа </w:t>
      </w:r>
      <w:r w:rsidR="00CA1FBD">
        <w:rPr>
          <w:rFonts w:ascii="Times New Roman" w:hAnsi="Times New Roman" w:cs="Times New Roman"/>
          <w:sz w:val="24"/>
          <w:szCs w:val="24"/>
        </w:rPr>
        <w:t xml:space="preserve">(10%) </w:t>
      </w:r>
      <w:r>
        <w:rPr>
          <w:rFonts w:ascii="Times New Roman" w:hAnsi="Times New Roman" w:cs="Times New Roman"/>
          <w:sz w:val="24"/>
          <w:szCs w:val="24"/>
        </w:rPr>
        <w:t>кој</w:t>
      </w:r>
      <w:r w:rsidR="00CC0F5C">
        <w:rPr>
          <w:rFonts w:ascii="Times New Roman" w:hAnsi="Times New Roman" w:cs="Times New Roman"/>
          <w:sz w:val="24"/>
          <w:szCs w:val="24"/>
        </w:rPr>
        <w:t>и</w:t>
      </w:r>
      <w:r>
        <w:rPr>
          <w:rFonts w:ascii="Times New Roman" w:hAnsi="Times New Roman" w:cs="Times New Roman"/>
          <w:sz w:val="24"/>
          <w:szCs w:val="24"/>
        </w:rPr>
        <w:t xml:space="preserve"> су збирно учествовал</w:t>
      </w:r>
      <w:r w:rsidR="00CC0F5C">
        <w:rPr>
          <w:rFonts w:ascii="Times New Roman" w:hAnsi="Times New Roman" w:cs="Times New Roman"/>
          <w:sz w:val="24"/>
          <w:szCs w:val="24"/>
        </w:rPr>
        <w:t>и</w:t>
      </w:r>
      <w:r>
        <w:rPr>
          <w:rFonts w:ascii="Times New Roman" w:hAnsi="Times New Roman" w:cs="Times New Roman"/>
          <w:sz w:val="24"/>
          <w:szCs w:val="24"/>
        </w:rPr>
        <w:t xml:space="preserve"> са </w:t>
      </w:r>
      <w:r w:rsidR="00357F04" w:rsidRPr="00CA1FBD">
        <w:rPr>
          <w:rFonts w:ascii="Times New Roman" w:hAnsi="Times New Roman" w:cs="Times New Roman"/>
          <w:color w:val="000000" w:themeColor="text1"/>
          <w:sz w:val="24"/>
          <w:szCs w:val="24"/>
        </w:rPr>
        <w:t>82</w:t>
      </w:r>
      <w:r w:rsidRPr="00CA1FBD">
        <w:rPr>
          <w:rFonts w:ascii="Times New Roman" w:hAnsi="Times New Roman" w:cs="Times New Roman"/>
          <w:color w:val="000000" w:themeColor="text1"/>
          <w:sz w:val="24"/>
          <w:szCs w:val="24"/>
        </w:rPr>
        <w:t>%</w:t>
      </w:r>
      <w:r w:rsidR="002369A3">
        <w:rPr>
          <w:rFonts w:ascii="Times New Roman" w:hAnsi="Times New Roman" w:cs="Times New Roman"/>
          <w:color w:val="000000" w:themeColor="text1"/>
          <w:sz w:val="24"/>
          <w:szCs w:val="24"/>
          <w:lang w:val="sr-Cyrl-RS"/>
        </w:rPr>
        <w:t xml:space="preserve"> </w:t>
      </w:r>
      <w:r>
        <w:rPr>
          <w:rFonts w:ascii="Times New Roman" w:hAnsi="Times New Roman" w:cs="Times New Roman"/>
          <w:sz w:val="24"/>
          <w:szCs w:val="24"/>
        </w:rPr>
        <w:t>у укупној вредности набавки изузетих од примене Закона (</w:t>
      </w:r>
      <w:r w:rsidRPr="00A40C0D">
        <w:rPr>
          <w:rFonts w:ascii="Times New Roman" w:hAnsi="Times New Roman" w:cs="Times New Roman"/>
          <w:sz w:val="24"/>
          <w:szCs w:val="24"/>
        </w:rPr>
        <w:t xml:space="preserve">Табела </w:t>
      </w:r>
      <w:r w:rsidR="008F74F3">
        <w:rPr>
          <w:rFonts w:ascii="Times New Roman" w:hAnsi="Times New Roman" w:cs="Times New Roman"/>
          <w:sz w:val="24"/>
          <w:szCs w:val="24"/>
          <w:lang w:val="sr-Cyrl-RS"/>
        </w:rPr>
        <w:t>14</w:t>
      </w:r>
      <w:r w:rsidRPr="00A40C0D">
        <w:rPr>
          <w:rFonts w:ascii="Times New Roman" w:hAnsi="Times New Roman" w:cs="Times New Roman"/>
          <w:sz w:val="24"/>
          <w:szCs w:val="24"/>
        </w:rPr>
        <w:t>).</w:t>
      </w:r>
    </w:p>
    <w:p w:rsidR="002369A3" w:rsidRDefault="002369A3" w:rsidP="00F55A41">
      <w:pPr>
        <w:jc w:val="both"/>
        <w:rPr>
          <w:rFonts w:ascii="Times New Roman" w:hAnsi="Times New Roman" w:cs="Times New Roman"/>
          <w:sz w:val="24"/>
          <w:szCs w:val="24"/>
          <w:lang w:val="sr-Cyrl-RS"/>
        </w:rPr>
      </w:pPr>
    </w:p>
    <w:p w:rsidR="002369A3" w:rsidRDefault="002369A3" w:rsidP="00F55A41">
      <w:pPr>
        <w:jc w:val="both"/>
        <w:rPr>
          <w:rFonts w:ascii="Times New Roman" w:hAnsi="Times New Roman" w:cs="Times New Roman"/>
          <w:sz w:val="24"/>
          <w:szCs w:val="24"/>
          <w:lang w:val="sr-Cyrl-RS"/>
        </w:rPr>
      </w:pPr>
    </w:p>
    <w:p w:rsidR="002369A3" w:rsidRDefault="002369A3" w:rsidP="00F55A41">
      <w:pPr>
        <w:jc w:val="both"/>
        <w:rPr>
          <w:rFonts w:ascii="Times New Roman" w:hAnsi="Times New Roman" w:cs="Times New Roman"/>
          <w:sz w:val="24"/>
          <w:szCs w:val="24"/>
          <w:lang w:val="sr-Cyrl-RS"/>
        </w:rPr>
      </w:pPr>
    </w:p>
    <w:p w:rsidR="002369A3" w:rsidRDefault="002369A3" w:rsidP="00F55A41">
      <w:pPr>
        <w:jc w:val="both"/>
        <w:rPr>
          <w:rFonts w:ascii="Times New Roman" w:hAnsi="Times New Roman" w:cs="Times New Roman"/>
          <w:sz w:val="24"/>
          <w:szCs w:val="24"/>
          <w:lang w:val="sr-Cyrl-RS"/>
        </w:rPr>
      </w:pPr>
    </w:p>
    <w:p w:rsidR="002369A3" w:rsidRDefault="002369A3" w:rsidP="00F55A41">
      <w:pPr>
        <w:jc w:val="both"/>
        <w:rPr>
          <w:rFonts w:ascii="Times New Roman" w:hAnsi="Times New Roman" w:cs="Times New Roman"/>
          <w:sz w:val="24"/>
          <w:szCs w:val="24"/>
          <w:lang w:val="sr-Cyrl-RS"/>
        </w:rPr>
      </w:pPr>
    </w:p>
    <w:p w:rsidR="002369A3" w:rsidRDefault="002369A3" w:rsidP="00F55A41">
      <w:pPr>
        <w:jc w:val="both"/>
        <w:rPr>
          <w:rFonts w:ascii="Times New Roman" w:hAnsi="Times New Roman" w:cs="Times New Roman"/>
          <w:sz w:val="24"/>
          <w:szCs w:val="24"/>
          <w:lang w:val="sr-Cyrl-RS"/>
        </w:rPr>
      </w:pPr>
    </w:p>
    <w:p w:rsidR="002369A3" w:rsidRDefault="002369A3" w:rsidP="00F55A41">
      <w:pPr>
        <w:jc w:val="both"/>
        <w:rPr>
          <w:rFonts w:ascii="Times New Roman" w:hAnsi="Times New Roman" w:cs="Times New Roman"/>
          <w:sz w:val="24"/>
          <w:szCs w:val="24"/>
          <w:lang w:val="sr-Cyrl-RS"/>
        </w:rPr>
      </w:pPr>
    </w:p>
    <w:p w:rsidR="002369A3" w:rsidRDefault="002369A3" w:rsidP="00F55A41">
      <w:pPr>
        <w:jc w:val="both"/>
        <w:rPr>
          <w:rFonts w:ascii="Times New Roman" w:hAnsi="Times New Roman" w:cs="Times New Roman"/>
          <w:sz w:val="24"/>
          <w:szCs w:val="24"/>
          <w:lang w:val="sr-Cyrl-RS"/>
        </w:rPr>
      </w:pPr>
    </w:p>
    <w:p w:rsidR="002369A3" w:rsidRPr="002369A3" w:rsidRDefault="002369A3" w:rsidP="00F55A41">
      <w:pPr>
        <w:jc w:val="both"/>
        <w:rPr>
          <w:rFonts w:ascii="Times New Roman" w:hAnsi="Times New Roman" w:cs="Times New Roman"/>
          <w:b/>
          <w:sz w:val="24"/>
          <w:szCs w:val="24"/>
          <w:lang w:val="sr-Cyrl-RS"/>
        </w:rPr>
      </w:pPr>
    </w:p>
    <w:p w:rsidR="00280F6B" w:rsidRPr="008F74F3" w:rsidRDefault="00C013A0" w:rsidP="00F55A41">
      <w:pPr>
        <w:jc w:val="both"/>
        <w:rPr>
          <w:rFonts w:ascii="Times New Roman" w:hAnsi="Times New Roman" w:cs="Times New Roman"/>
          <w:color w:val="000000" w:themeColor="text1"/>
          <w:sz w:val="24"/>
          <w:szCs w:val="24"/>
          <w:lang w:val="sr-Cyrl-RS"/>
        </w:rPr>
      </w:pPr>
      <w:r w:rsidRPr="006149F0">
        <w:rPr>
          <w:rFonts w:ascii="Times New Roman" w:hAnsi="Times New Roman" w:cs="Times New Roman"/>
          <w:b/>
          <w:color w:val="000000" w:themeColor="text1"/>
          <w:sz w:val="24"/>
          <w:szCs w:val="24"/>
        </w:rPr>
        <w:lastRenderedPageBreak/>
        <w:t xml:space="preserve">Табела </w:t>
      </w:r>
      <w:r w:rsidR="008F74F3">
        <w:rPr>
          <w:rFonts w:ascii="Times New Roman" w:hAnsi="Times New Roman" w:cs="Times New Roman"/>
          <w:b/>
          <w:color w:val="000000" w:themeColor="text1"/>
          <w:sz w:val="24"/>
          <w:szCs w:val="24"/>
          <w:lang w:val="sr-Cyrl-RS"/>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2410"/>
        <w:gridCol w:w="1417"/>
        <w:gridCol w:w="1667"/>
      </w:tblGrid>
      <w:tr w:rsidR="00D81946" w:rsidRPr="00D81946" w:rsidTr="005925DE">
        <w:trPr>
          <w:trHeight w:val="858"/>
          <w:jc w:val="center"/>
        </w:trPr>
        <w:tc>
          <w:tcPr>
            <w:tcW w:w="9288" w:type="dxa"/>
            <w:gridSpan w:val="5"/>
            <w:shd w:val="clear" w:color="auto" w:fill="auto"/>
            <w:vAlign w:val="center"/>
          </w:tcPr>
          <w:p w:rsidR="005925DE" w:rsidRDefault="00D81946" w:rsidP="005925DE">
            <w:pPr>
              <w:tabs>
                <w:tab w:val="left" w:pos="1885"/>
              </w:tabs>
              <w:spacing w:after="0" w:line="240" w:lineRule="auto"/>
              <w:jc w:val="center"/>
              <w:rPr>
                <w:rFonts w:ascii="Times New Roman" w:eastAsia="Times New Roman" w:hAnsi="Times New Roman" w:cs="Times New Roman"/>
                <w:b/>
                <w:sz w:val="24"/>
                <w:szCs w:val="24"/>
              </w:rPr>
            </w:pPr>
            <w:r w:rsidRPr="00D81946">
              <w:rPr>
                <w:rFonts w:ascii="Times New Roman" w:eastAsia="Times New Roman" w:hAnsi="Times New Roman" w:cs="Times New Roman"/>
                <w:b/>
                <w:sz w:val="24"/>
                <w:szCs w:val="24"/>
              </w:rPr>
              <w:t xml:space="preserve">Преглед набавки изузетих од примене Закона </w:t>
            </w:r>
          </w:p>
          <w:p w:rsidR="00D81946" w:rsidRPr="00BE5201" w:rsidRDefault="00D81946" w:rsidP="00BE5201">
            <w:pPr>
              <w:tabs>
                <w:tab w:val="left" w:pos="1885"/>
              </w:tabs>
              <w:spacing w:after="0" w:line="240" w:lineRule="auto"/>
              <w:jc w:val="center"/>
              <w:rPr>
                <w:rFonts w:ascii="Times New Roman" w:eastAsia="Times New Roman" w:hAnsi="Times New Roman" w:cs="Times New Roman"/>
                <w:b/>
                <w:sz w:val="24"/>
                <w:szCs w:val="24"/>
                <w:lang w:val="sr-Cyrl-RS"/>
              </w:rPr>
            </w:pPr>
            <w:r w:rsidRPr="00D81946">
              <w:rPr>
                <w:rFonts w:ascii="Times New Roman" w:eastAsia="Times New Roman" w:hAnsi="Times New Roman" w:cs="Times New Roman"/>
                <w:b/>
                <w:sz w:val="24"/>
                <w:szCs w:val="24"/>
              </w:rPr>
              <w:t>по категоријама наручилаца</w:t>
            </w:r>
            <w:r w:rsidR="00BE5201">
              <w:rPr>
                <w:rFonts w:ascii="Times New Roman" w:eastAsia="Times New Roman" w:hAnsi="Times New Roman" w:cs="Times New Roman"/>
                <w:b/>
                <w:sz w:val="24"/>
                <w:szCs w:val="24"/>
                <w:lang w:val="sr-Cyrl-RS"/>
              </w:rPr>
              <w:t xml:space="preserve"> </w:t>
            </w:r>
            <w:r w:rsidRPr="00D81946">
              <w:rPr>
                <w:rFonts w:ascii="Times New Roman" w:eastAsia="Times New Roman" w:hAnsi="Times New Roman" w:cs="Times New Roman"/>
                <w:b/>
                <w:sz w:val="24"/>
                <w:szCs w:val="24"/>
              </w:rPr>
              <w:t xml:space="preserve">у  2014. </w:t>
            </w:r>
            <w:r w:rsidR="005925DE">
              <w:rPr>
                <w:rFonts w:ascii="Times New Roman" w:eastAsia="Times New Roman" w:hAnsi="Times New Roman" w:cs="Times New Roman"/>
                <w:b/>
                <w:sz w:val="24"/>
                <w:szCs w:val="24"/>
              </w:rPr>
              <w:t>г</w:t>
            </w:r>
            <w:r w:rsidRPr="00D81946">
              <w:rPr>
                <w:rFonts w:ascii="Times New Roman" w:eastAsia="Times New Roman" w:hAnsi="Times New Roman" w:cs="Times New Roman"/>
                <w:b/>
                <w:sz w:val="24"/>
                <w:szCs w:val="24"/>
              </w:rPr>
              <w:t>одини</w:t>
            </w:r>
          </w:p>
        </w:tc>
      </w:tr>
      <w:tr w:rsidR="00D81946" w:rsidRPr="00D81946" w:rsidTr="005925DE">
        <w:trPr>
          <w:trHeight w:val="772"/>
          <w:jc w:val="center"/>
        </w:trPr>
        <w:tc>
          <w:tcPr>
            <w:tcW w:w="2607" w:type="dxa"/>
            <w:vMerge w:val="restart"/>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Категорија</w:t>
            </w:r>
          </w:p>
        </w:tc>
        <w:tc>
          <w:tcPr>
            <w:tcW w:w="1187" w:type="dxa"/>
            <w:vMerge w:val="restart"/>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Број уговора</w:t>
            </w:r>
          </w:p>
        </w:tc>
        <w:tc>
          <w:tcPr>
            <w:tcW w:w="2410" w:type="dxa"/>
            <w:vMerge w:val="restart"/>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Уговорена вредност без ПДВ-а</w:t>
            </w:r>
          </w:p>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(у хиљадама динара)</w:t>
            </w:r>
          </w:p>
        </w:tc>
        <w:tc>
          <w:tcPr>
            <w:tcW w:w="3084" w:type="dxa"/>
            <w:gridSpan w:val="2"/>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Заступљеност у укупном броју/вредности</w:t>
            </w:r>
          </w:p>
        </w:tc>
      </w:tr>
      <w:tr w:rsidR="00D81946" w:rsidRPr="00D81946" w:rsidTr="005925DE">
        <w:trPr>
          <w:trHeight w:val="891"/>
          <w:jc w:val="center"/>
        </w:trPr>
        <w:tc>
          <w:tcPr>
            <w:tcW w:w="2607" w:type="dxa"/>
            <w:vMerge/>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p>
        </w:tc>
        <w:tc>
          <w:tcPr>
            <w:tcW w:w="1187" w:type="dxa"/>
            <w:vMerge/>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p>
        </w:tc>
        <w:tc>
          <w:tcPr>
            <w:tcW w:w="2410" w:type="dxa"/>
            <w:vMerge/>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по броју</w:t>
            </w:r>
          </w:p>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(у %)</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по вредности (у %)</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Органи државне управе</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14.016</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3.118.813</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5</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3</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Правосуђе</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2.788</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349.442</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0</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Здравство и социјална заштита</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37.976</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7.702.331</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12</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6</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Култура</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27.619</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1.792.026</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9</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Просвета и наука</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124.486</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10.000.618</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41</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8</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Државна јавна предузећа/привредна друштва</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19.174</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57.955.125</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6</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45</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Јавна предузећа-локална самоуправа</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52.442</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34.342.270</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17</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27</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Градска и општинска управа</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25.435</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13.143.434</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8</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10</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Удружења</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3.471</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158.725</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0</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Фондације и задужбине</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396</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14.669</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0</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rPr>
            </w:pPr>
            <w:r w:rsidRPr="00D81946">
              <w:rPr>
                <w:rFonts w:ascii="Times New Roman" w:eastAsia="Times New Roman" w:hAnsi="Times New Roman" w:cs="Times New Roman"/>
              </w:rPr>
              <w:t>0</w:t>
            </w:r>
          </w:p>
        </w:tc>
      </w:tr>
      <w:tr w:rsidR="00D81946" w:rsidRPr="00D81946" w:rsidTr="005925DE">
        <w:trPr>
          <w:jc w:val="center"/>
        </w:trPr>
        <w:tc>
          <w:tcPr>
            <w:tcW w:w="260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Укупно</w:t>
            </w:r>
          </w:p>
        </w:tc>
        <w:tc>
          <w:tcPr>
            <w:tcW w:w="118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307.803</w:t>
            </w:r>
          </w:p>
        </w:tc>
        <w:tc>
          <w:tcPr>
            <w:tcW w:w="2410"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128.577.453</w:t>
            </w:r>
          </w:p>
        </w:tc>
        <w:tc>
          <w:tcPr>
            <w:tcW w:w="141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100</w:t>
            </w:r>
          </w:p>
        </w:tc>
        <w:tc>
          <w:tcPr>
            <w:tcW w:w="1667" w:type="dxa"/>
            <w:shd w:val="clear" w:color="auto" w:fill="auto"/>
            <w:vAlign w:val="center"/>
          </w:tcPr>
          <w:p w:rsidR="00D81946" w:rsidRPr="00D81946" w:rsidRDefault="00D81946" w:rsidP="005925DE">
            <w:pPr>
              <w:tabs>
                <w:tab w:val="left" w:pos="1885"/>
              </w:tabs>
              <w:spacing w:after="0" w:line="240" w:lineRule="auto"/>
              <w:jc w:val="center"/>
              <w:rPr>
                <w:rFonts w:ascii="Times New Roman" w:eastAsia="Times New Roman" w:hAnsi="Times New Roman" w:cs="Times New Roman"/>
                <w:b/>
              </w:rPr>
            </w:pPr>
            <w:r w:rsidRPr="00D81946">
              <w:rPr>
                <w:rFonts w:ascii="Times New Roman" w:eastAsia="Times New Roman" w:hAnsi="Times New Roman" w:cs="Times New Roman"/>
                <w:b/>
              </w:rPr>
              <w:t>100</w:t>
            </w:r>
          </w:p>
        </w:tc>
      </w:tr>
    </w:tbl>
    <w:p w:rsidR="00BB0B9A" w:rsidRPr="00E5224C" w:rsidRDefault="00BB0B9A" w:rsidP="00F55A41">
      <w:pPr>
        <w:jc w:val="both"/>
        <w:rPr>
          <w:rFonts w:ascii="Times New Roman" w:hAnsi="Times New Roman" w:cs="Times New Roman"/>
          <w:b/>
          <w:sz w:val="24"/>
          <w:szCs w:val="24"/>
        </w:rPr>
      </w:pPr>
    </w:p>
    <w:p w:rsidR="00BF3283" w:rsidRDefault="00DA4317" w:rsidP="00F55A41">
      <w:pPr>
        <w:jc w:val="both"/>
        <w:rPr>
          <w:rFonts w:ascii="Times New Roman" w:hAnsi="Times New Roman" w:cs="Times New Roman"/>
          <w:sz w:val="24"/>
          <w:szCs w:val="24"/>
          <w:lang w:val="sr-Cyrl-RS"/>
        </w:rPr>
      </w:pPr>
      <w:r w:rsidRPr="00CA1FBD">
        <w:rPr>
          <w:rFonts w:ascii="Times New Roman" w:hAnsi="Times New Roman" w:cs="Times New Roman"/>
          <w:sz w:val="24"/>
          <w:szCs w:val="24"/>
        </w:rPr>
        <w:t>Јав</w:t>
      </w:r>
      <w:r w:rsidR="0060326C" w:rsidRPr="00CA1FBD">
        <w:rPr>
          <w:rFonts w:ascii="Times New Roman" w:hAnsi="Times New Roman" w:cs="Times New Roman"/>
          <w:sz w:val="24"/>
          <w:szCs w:val="24"/>
        </w:rPr>
        <w:t>на предузећа су 8</w:t>
      </w:r>
      <w:r w:rsidR="00A76FD5" w:rsidRPr="00CA1FBD">
        <w:rPr>
          <w:rFonts w:ascii="Times New Roman" w:hAnsi="Times New Roman" w:cs="Times New Roman"/>
          <w:sz w:val="24"/>
          <w:szCs w:val="24"/>
        </w:rPr>
        <w:t>1</w:t>
      </w:r>
      <w:r w:rsidRPr="00CA1FBD">
        <w:rPr>
          <w:rFonts w:ascii="Times New Roman" w:hAnsi="Times New Roman" w:cs="Times New Roman"/>
          <w:sz w:val="24"/>
          <w:szCs w:val="24"/>
        </w:rPr>
        <w:t xml:space="preserve">% ових набавки спровела по </w:t>
      </w:r>
      <w:r w:rsidR="00A76FD5" w:rsidRPr="00CA1FBD">
        <w:rPr>
          <w:rFonts w:ascii="Times New Roman" w:hAnsi="Times New Roman" w:cs="Times New Roman"/>
          <w:sz w:val="24"/>
          <w:szCs w:val="24"/>
        </w:rPr>
        <w:t>четири</w:t>
      </w:r>
      <w:r w:rsidRPr="00CA1FBD">
        <w:rPr>
          <w:rFonts w:ascii="Times New Roman" w:hAnsi="Times New Roman" w:cs="Times New Roman"/>
          <w:sz w:val="24"/>
          <w:szCs w:val="24"/>
        </w:rPr>
        <w:t xml:space="preserve"> основа: </w:t>
      </w:r>
      <w:r w:rsidR="00221A36" w:rsidRPr="00CA1FBD">
        <w:rPr>
          <w:rFonts w:ascii="Times New Roman" w:hAnsi="Times New Roman" w:cs="Times New Roman"/>
          <w:sz w:val="24"/>
          <w:szCs w:val="24"/>
        </w:rPr>
        <w:t>1</w:t>
      </w:r>
      <w:r w:rsidRPr="00CA1FBD">
        <w:rPr>
          <w:rFonts w:ascii="Times New Roman" w:hAnsi="Times New Roman" w:cs="Times New Roman"/>
          <w:sz w:val="24"/>
          <w:szCs w:val="24"/>
        </w:rPr>
        <w:t>)</w:t>
      </w:r>
      <w:r w:rsidR="00C12C3B" w:rsidRPr="00CA1FBD">
        <w:rPr>
          <w:rFonts w:ascii="Times New Roman" w:hAnsi="Times New Roman" w:cs="Times New Roman"/>
          <w:sz w:val="24"/>
          <w:szCs w:val="24"/>
        </w:rPr>
        <w:t xml:space="preserve"> где је искључива и непосредна намена обављање делатности електронских комуникација и продаја електронских комуникационих услуга у смислу закона којим се уређују електронске комуникације, под условом да други привредни субјекти пружају те услуге на релевантном тржишту (</w:t>
      </w:r>
      <w:r w:rsidR="00A76FD5" w:rsidRPr="00CA1FBD">
        <w:rPr>
          <w:rFonts w:ascii="Times New Roman" w:hAnsi="Times New Roman" w:cs="Times New Roman"/>
          <w:sz w:val="24"/>
          <w:szCs w:val="24"/>
        </w:rPr>
        <w:t>25</w:t>
      </w:r>
      <w:r w:rsidR="00C12C3B" w:rsidRPr="00CA1FBD">
        <w:rPr>
          <w:rFonts w:ascii="Times New Roman" w:hAnsi="Times New Roman" w:cs="Times New Roman"/>
          <w:sz w:val="24"/>
          <w:szCs w:val="24"/>
        </w:rPr>
        <w:t>%)</w:t>
      </w:r>
      <w:r w:rsidR="00CA1FBD">
        <w:rPr>
          <w:rStyle w:val="FootnoteReference"/>
          <w:rFonts w:ascii="Times New Roman" w:hAnsi="Times New Roman" w:cs="Times New Roman"/>
          <w:sz w:val="24"/>
          <w:szCs w:val="24"/>
        </w:rPr>
        <w:footnoteReference w:id="11"/>
      </w:r>
      <w:r w:rsidR="00C12C3B" w:rsidRPr="00CA1FBD">
        <w:rPr>
          <w:rFonts w:ascii="Times New Roman" w:hAnsi="Times New Roman" w:cs="Times New Roman"/>
          <w:sz w:val="24"/>
          <w:szCs w:val="24"/>
        </w:rPr>
        <w:t>,</w:t>
      </w:r>
      <w:r w:rsidR="00A833B2">
        <w:rPr>
          <w:rFonts w:ascii="Times New Roman" w:hAnsi="Times New Roman" w:cs="Times New Roman"/>
          <w:sz w:val="24"/>
          <w:szCs w:val="24"/>
          <w:lang w:val="sr-Cyrl-RS"/>
        </w:rPr>
        <w:t xml:space="preserve"> </w:t>
      </w:r>
      <w:r w:rsidR="00C12C3B" w:rsidRPr="00CA1FBD">
        <w:rPr>
          <w:rFonts w:ascii="Times New Roman" w:hAnsi="Times New Roman" w:cs="Times New Roman"/>
          <w:sz w:val="24"/>
          <w:szCs w:val="24"/>
        </w:rPr>
        <w:t xml:space="preserve">2) </w:t>
      </w:r>
      <w:r w:rsidRPr="00CA1FBD">
        <w:rPr>
          <w:rFonts w:ascii="Times New Roman" w:hAnsi="Times New Roman" w:cs="Times New Roman"/>
          <w:sz w:val="24"/>
          <w:szCs w:val="24"/>
        </w:rPr>
        <w:t>код финансирања из средстава страних кредита (зајмова) добијених од међународних организација и међународних финансијских институција у складу са ус</w:t>
      </w:r>
      <w:r w:rsidR="00C12C3B" w:rsidRPr="00CA1FBD">
        <w:rPr>
          <w:rFonts w:ascii="Times New Roman" w:hAnsi="Times New Roman" w:cs="Times New Roman"/>
          <w:sz w:val="24"/>
          <w:szCs w:val="24"/>
        </w:rPr>
        <w:t>ловима из међународног уговора,</w:t>
      </w:r>
      <w:r w:rsidR="00BE5201">
        <w:rPr>
          <w:rFonts w:ascii="Times New Roman" w:hAnsi="Times New Roman" w:cs="Times New Roman"/>
          <w:sz w:val="24"/>
          <w:szCs w:val="24"/>
          <w:lang w:val="sr-Cyrl-RS"/>
        </w:rPr>
        <w:t xml:space="preserve"> </w:t>
      </w:r>
      <w:r w:rsidRPr="00CA1FBD">
        <w:rPr>
          <w:rFonts w:ascii="Times New Roman" w:hAnsi="Times New Roman" w:cs="Times New Roman"/>
          <w:sz w:val="24"/>
          <w:szCs w:val="24"/>
        </w:rPr>
        <w:t>односно посебним поступцима међународних организациј</w:t>
      </w:r>
      <w:r w:rsidR="00EB6DB3" w:rsidRPr="00CA1FBD">
        <w:rPr>
          <w:rFonts w:ascii="Times New Roman" w:hAnsi="Times New Roman" w:cs="Times New Roman"/>
          <w:sz w:val="24"/>
          <w:szCs w:val="24"/>
        </w:rPr>
        <w:t>а и финансијских институција (</w:t>
      </w:r>
      <w:r w:rsidR="00A76FD5" w:rsidRPr="00CA1FBD">
        <w:rPr>
          <w:rFonts w:ascii="Times New Roman" w:hAnsi="Times New Roman" w:cs="Times New Roman"/>
          <w:sz w:val="24"/>
          <w:szCs w:val="24"/>
        </w:rPr>
        <w:t>23</w:t>
      </w:r>
      <w:r w:rsidRPr="00CA1FBD">
        <w:rPr>
          <w:rFonts w:ascii="Times New Roman" w:hAnsi="Times New Roman" w:cs="Times New Roman"/>
          <w:sz w:val="24"/>
          <w:szCs w:val="24"/>
        </w:rPr>
        <w:t>%</w:t>
      </w:r>
      <w:r w:rsidR="00C12C3B" w:rsidRPr="00CA1FBD">
        <w:rPr>
          <w:rFonts w:ascii="Times New Roman" w:hAnsi="Times New Roman" w:cs="Times New Roman"/>
          <w:sz w:val="24"/>
          <w:szCs w:val="24"/>
        </w:rPr>
        <w:t xml:space="preserve">), </w:t>
      </w:r>
      <w:r w:rsidR="00A76FD5" w:rsidRPr="00CA1FBD">
        <w:rPr>
          <w:rFonts w:ascii="Times New Roman" w:hAnsi="Times New Roman" w:cs="Times New Roman"/>
          <w:sz w:val="24"/>
          <w:szCs w:val="24"/>
        </w:rPr>
        <w:t>3</w:t>
      </w:r>
      <w:r w:rsidRPr="00CA1FBD">
        <w:rPr>
          <w:rFonts w:ascii="Times New Roman" w:hAnsi="Times New Roman" w:cs="Times New Roman"/>
          <w:sz w:val="24"/>
          <w:szCs w:val="24"/>
        </w:rPr>
        <w:t>)</w:t>
      </w:r>
      <w:r w:rsidR="00D20A41">
        <w:rPr>
          <w:rFonts w:ascii="Times New Roman" w:hAnsi="Times New Roman" w:cs="Times New Roman"/>
          <w:sz w:val="24"/>
          <w:szCs w:val="24"/>
          <w:lang w:val="sr-Cyrl-RS"/>
        </w:rPr>
        <w:t xml:space="preserve"> </w:t>
      </w:r>
      <w:r w:rsidR="00A76FD5" w:rsidRPr="00CA1FBD">
        <w:rPr>
          <w:rFonts w:ascii="Times New Roman" w:hAnsi="Times New Roman" w:cs="Times New Roman"/>
          <w:sz w:val="24"/>
          <w:szCs w:val="24"/>
        </w:rPr>
        <w:t xml:space="preserve">када наручилац који се бави делатношћу из члана 119. став 1. Закона о јавним набавкама набавља енергију или гориво за производњу енергије </w:t>
      </w:r>
      <w:r w:rsidR="00C12C3B" w:rsidRPr="00CA1FBD">
        <w:rPr>
          <w:rFonts w:ascii="Times New Roman" w:hAnsi="Times New Roman" w:cs="Times New Roman"/>
          <w:sz w:val="24"/>
          <w:szCs w:val="24"/>
        </w:rPr>
        <w:t>(</w:t>
      </w:r>
      <w:r w:rsidR="00A76FD5" w:rsidRPr="00CA1FBD">
        <w:rPr>
          <w:rFonts w:ascii="Times New Roman" w:hAnsi="Times New Roman" w:cs="Times New Roman"/>
          <w:sz w:val="24"/>
          <w:szCs w:val="24"/>
        </w:rPr>
        <w:t>23</w:t>
      </w:r>
      <w:r w:rsidR="009B28CC" w:rsidRPr="00CA1FBD">
        <w:rPr>
          <w:rFonts w:ascii="Times New Roman" w:hAnsi="Times New Roman" w:cs="Times New Roman"/>
          <w:sz w:val="24"/>
          <w:szCs w:val="24"/>
        </w:rPr>
        <w:t>%)</w:t>
      </w:r>
      <w:r w:rsidR="00BE5201">
        <w:rPr>
          <w:rFonts w:ascii="Times New Roman" w:hAnsi="Times New Roman" w:cs="Times New Roman"/>
          <w:sz w:val="24"/>
          <w:szCs w:val="24"/>
          <w:lang w:val="sr-Cyrl-RS"/>
        </w:rPr>
        <w:t>,</w:t>
      </w:r>
      <w:r w:rsidR="00A76FD5" w:rsidRPr="00CA1FBD">
        <w:rPr>
          <w:rFonts w:ascii="Times New Roman" w:hAnsi="Times New Roman" w:cs="Times New Roman"/>
          <w:sz w:val="24"/>
          <w:szCs w:val="24"/>
        </w:rPr>
        <w:t xml:space="preserve"> 4</w:t>
      </w:r>
      <w:r w:rsidR="00B67C3A" w:rsidRPr="00CA1FBD">
        <w:rPr>
          <w:rFonts w:ascii="Times New Roman" w:hAnsi="Times New Roman" w:cs="Times New Roman"/>
          <w:sz w:val="24"/>
          <w:szCs w:val="24"/>
        </w:rPr>
        <w:t xml:space="preserve">) </w:t>
      </w:r>
      <w:r w:rsidR="002B183B" w:rsidRPr="00CA1FBD">
        <w:rPr>
          <w:rFonts w:ascii="Times New Roman" w:hAnsi="Times New Roman" w:cs="Times New Roman"/>
          <w:sz w:val="24"/>
          <w:szCs w:val="24"/>
        </w:rPr>
        <w:t>када група друштава коју чине наручиоци у смислу Закона којим се уређују привредна друштва, врши набавку од члана групе друштава искључиво за потребе обављања делатности водопривреде, енергетике, саобраћаја и поштанских услуга (10</w:t>
      </w:r>
      <w:r w:rsidR="00B67C3A" w:rsidRPr="00CA1FBD">
        <w:rPr>
          <w:rFonts w:ascii="Times New Roman" w:hAnsi="Times New Roman" w:cs="Times New Roman"/>
          <w:sz w:val="24"/>
          <w:szCs w:val="24"/>
        </w:rPr>
        <w:t>%)</w:t>
      </w:r>
      <w:r w:rsidR="009B28CC" w:rsidRPr="00CA1FBD">
        <w:rPr>
          <w:rFonts w:ascii="Times New Roman" w:hAnsi="Times New Roman" w:cs="Times New Roman"/>
          <w:sz w:val="24"/>
          <w:szCs w:val="24"/>
        </w:rPr>
        <w:t>.</w:t>
      </w:r>
      <w:r w:rsidR="00BE5201">
        <w:rPr>
          <w:rFonts w:ascii="Times New Roman" w:hAnsi="Times New Roman" w:cs="Times New Roman"/>
          <w:sz w:val="24"/>
          <w:szCs w:val="24"/>
          <w:lang w:val="sr-Cyrl-RS"/>
        </w:rPr>
        <w:t xml:space="preserve"> </w:t>
      </w:r>
      <w:r w:rsidRPr="00546E57">
        <w:rPr>
          <w:rFonts w:ascii="Times New Roman" w:hAnsi="Times New Roman" w:cs="Times New Roman"/>
          <w:sz w:val="24"/>
          <w:szCs w:val="24"/>
        </w:rPr>
        <w:t>Остали изузеци од при</w:t>
      </w:r>
      <w:r>
        <w:rPr>
          <w:rFonts w:ascii="Times New Roman" w:hAnsi="Times New Roman" w:cs="Times New Roman"/>
          <w:sz w:val="24"/>
          <w:szCs w:val="24"/>
        </w:rPr>
        <w:t xml:space="preserve">мене </w:t>
      </w:r>
      <w:r w:rsidR="000C5B8C">
        <w:rPr>
          <w:rFonts w:ascii="Times New Roman" w:hAnsi="Times New Roman" w:cs="Times New Roman"/>
          <w:sz w:val="24"/>
          <w:szCs w:val="24"/>
        </w:rPr>
        <w:t>Закона</w:t>
      </w:r>
      <w:r>
        <w:rPr>
          <w:rFonts w:ascii="Times New Roman" w:hAnsi="Times New Roman" w:cs="Times New Roman"/>
          <w:sz w:val="24"/>
          <w:szCs w:val="24"/>
        </w:rPr>
        <w:t>, појединачно узев, имали су минимално учешће.</w:t>
      </w:r>
    </w:p>
    <w:p w:rsidR="002369A3" w:rsidRDefault="002369A3" w:rsidP="00F55A41">
      <w:pPr>
        <w:jc w:val="both"/>
        <w:rPr>
          <w:rFonts w:ascii="Times New Roman" w:hAnsi="Times New Roman" w:cs="Times New Roman"/>
          <w:sz w:val="24"/>
          <w:szCs w:val="24"/>
          <w:lang w:val="sr-Cyrl-RS"/>
        </w:rPr>
      </w:pPr>
    </w:p>
    <w:p w:rsidR="002369A3" w:rsidRPr="002369A3" w:rsidRDefault="002369A3" w:rsidP="00F55A41">
      <w:pPr>
        <w:jc w:val="both"/>
        <w:rPr>
          <w:rFonts w:ascii="Times New Roman" w:hAnsi="Times New Roman" w:cs="Times New Roman"/>
          <w:color w:val="FF0000"/>
          <w:sz w:val="24"/>
          <w:szCs w:val="24"/>
          <w:lang w:val="sr-Cyrl-RS"/>
        </w:rPr>
      </w:pPr>
    </w:p>
    <w:p w:rsidR="000E318F" w:rsidRPr="00DF0138" w:rsidRDefault="000E318F" w:rsidP="000E318F">
      <w:pPr>
        <w:numPr>
          <w:ilvl w:val="0"/>
          <w:numId w:val="5"/>
        </w:numPr>
        <w:contextualSpacing/>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lang w:val="sr-Cyrl-CS"/>
        </w:rPr>
        <w:lastRenderedPageBreak/>
        <w:t>АКТИВНОСТИ УПРАВЕ</w:t>
      </w:r>
    </w:p>
    <w:p w:rsidR="00DF0138" w:rsidRPr="000E318F" w:rsidRDefault="00DF0138" w:rsidP="00DF0138">
      <w:pPr>
        <w:ind w:left="720"/>
        <w:contextualSpacing/>
        <w:rPr>
          <w:rFonts w:ascii="Times New Roman" w:eastAsia="Times New Roman" w:hAnsi="Times New Roman" w:cs="Times New Roman"/>
          <w:b/>
          <w:sz w:val="24"/>
          <w:szCs w:val="24"/>
        </w:rPr>
      </w:pP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 xml:space="preserve">Процес придруживања ЕУ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2014. години, започет је процес преговора у оквиру поглавља 5, јавне набавке. Припреме за преговоре почеле су формирањем Преговарачке групе за поглавље 5, одлуком Владе од 23. 9. 2013. године којом је оформљено Координационо тело за процес приступања Републике Србије ЕУ. Експланаторни скрининг одржан је у Бриселу</w:t>
      </w:r>
      <w:r w:rsidR="00095BCE">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21. марта 2014. године. Након тога, одржан је билатерални скрининг 13. маја у Бриселу на коме су чланови Преговарачке групе са успехом представили систем јавних набавки у Републици Србији и начин на који ће Република Србија</w:t>
      </w:r>
      <w:r w:rsidR="008962B0">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до 2018. године извршити пуно усклађивање са правним тековинама ЕУ у овој области.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Током скрининга, представници Европске комисије су истакли да је важан предуслов за успешно спровођење реформи у области јавних набавки и остваривање пуног усклађивања са тековинама ЕУ да Влада Србије усвоји Стратегију развоја јавних набавки у Србији и Акциони план за њено спровођење. У супротном, то би постао предуслов (</w:t>
      </w:r>
      <w:r w:rsidRPr="000E318F">
        <w:rPr>
          <w:rFonts w:ascii="Calibri" w:eastAsia="Times New Roman" w:hAnsi="Calibri" w:cs="Times New Roman"/>
        </w:rPr>
        <w:t>„</w:t>
      </w:r>
      <w:r w:rsidRPr="000E318F">
        <w:rPr>
          <w:rFonts w:ascii="Times New Roman" w:eastAsia="Times New Roman" w:hAnsi="Times New Roman" w:cs="Times New Roman"/>
          <w:sz w:val="24"/>
          <w:szCs w:val="24"/>
        </w:rPr>
        <w:t xml:space="preserve">benchmark“) за отварање поглавља 5, што значи да се преговори о поглављу 5 не би могли отворити све док Влада не усвоји Стратегију. </w:t>
      </w:r>
    </w:p>
    <w:p w:rsidR="000E318F" w:rsidRPr="000E318F" w:rsidRDefault="000E318F" w:rsidP="000E318F">
      <w:pPr>
        <w:jc w:val="both"/>
        <w:rPr>
          <w:rFonts w:ascii="Times New Roman" w:eastAsia="Times New Roman" w:hAnsi="Times New Roman" w:cs="Times New Roman"/>
          <w:color w:val="000000"/>
          <w:sz w:val="24"/>
          <w:szCs w:val="24"/>
          <w:lang w:val="sr-Cyrl-CS"/>
        </w:rPr>
      </w:pPr>
      <w:r w:rsidRPr="000E318F">
        <w:rPr>
          <w:rFonts w:ascii="Times New Roman" w:eastAsia="Times New Roman" w:hAnsi="Times New Roman" w:cs="Times New Roman"/>
          <w:sz w:val="24"/>
          <w:szCs w:val="24"/>
        </w:rPr>
        <w:t>Поред поглавља 5, представници Управе учествују и у Преговарачк</w:t>
      </w:r>
      <w:r w:rsidRPr="000E318F">
        <w:rPr>
          <w:rFonts w:ascii="Times New Roman" w:eastAsia="Times New Roman" w:hAnsi="Times New Roman" w:cs="Times New Roman"/>
          <w:sz w:val="24"/>
          <w:szCs w:val="24"/>
          <w:lang w:val="sr-Cyrl-CS"/>
        </w:rPr>
        <w:t>им</w:t>
      </w:r>
      <w:r w:rsidRPr="000E318F">
        <w:rPr>
          <w:rFonts w:ascii="Times New Roman" w:eastAsia="Times New Roman" w:hAnsi="Times New Roman" w:cs="Times New Roman"/>
          <w:sz w:val="24"/>
          <w:szCs w:val="24"/>
        </w:rPr>
        <w:t xml:space="preserve"> груп</w:t>
      </w:r>
      <w:r w:rsidRPr="000E318F">
        <w:rPr>
          <w:rFonts w:ascii="Times New Roman" w:eastAsia="Times New Roman" w:hAnsi="Times New Roman" w:cs="Times New Roman"/>
          <w:sz w:val="24"/>
          <w:szCs w:val="24"/>
          <w:lang w:val="sr-Cyrl-CS"/>
        </w:rPr>
        <w:t>ама</w:t>
      </w:r>
      <w:r w:rsidRPr="000E318F">
        <w:rPr>
          <w:rFonts w:ascii="Times New Roman" w:eastAsia="Times New Roman" w:hAnsi="Times New Roman" w:cs="Times New Roman"/>
          <w:sz w:val="24"/>
          <w:szCs w:val="24"/>
        </w:rPr>
        <w:t xml:space="preserve"> за поглављ</w:t>
      </w:r>
      <w:r w:rsidRPr="000E318F">
        <w:rPr>
          <w:rFonts w:ascii="Times New Roman" w:eastAsia="Times New Roman" w:hAnsi="Times New Roman" w:cs="Times New Roman"/>
          <w:sz w:val="24"/>
          <w:szCs w:val="24"/>
          <w:lang w:val="sr-Cyrl-CS"/>
        </w:rPr>
        <w:t>а</w:t>
      </w:r>
      <w:r w:rsidRPr="000E318F">
        <w:rPr>
          <w:rFonts w:ascii="Times New Roman" w:eastAsia="Times New Roman" w:hAnsi="Times New Roman" w:cs="Times New Roman"/>
          <w:sz w:val="24"/>
          <w:szCs w:val="24"/>
        </w:rPr>
        <w:t xml:space="preserve"> 2</w:t>
      </w:r>
      <w:r w:rsidRPr="000E318F">
        <w:rPr>
          <w:rFonts w:ascii="Times New Roman" w:eastAsia="Times New Roman" w:hAnsi="Times New Roman" w:cs="Times New Roman"/>
          <w:sz w:val="24"/>
          <w:szCs w:val="24"/>
          <w:lang w:val="sr-Cyrl-CS"/>
        </w:rPr>
        <w:t>0</w:t>
      </w:r>
      <w:r w:rsidRPr="000E318F">
        <w:rPr>
          <w:rFonts w:ascii="Times New Roman" w:eastAsia="Times New Roman" w:hAnsi="Times New Roman" w:cs="Times New Roman"/>
          <w:sz w:val="24"/>
          <w:szCs w:val="24"/>
        </w:rPr>
        <w:t xml:space="preserve"> и 2</w:t>
      </w:r>
      <w:r w:rsidRPr="000E318F">
        <w:rPr>
          <w:rFonts w:ascii="Times New Roman" w:eastAsia="Times New Roman" w:hAnsi="Times New Roman" w:cs="Times New Roman"/>
          <w:sz w:val="24"/>
          <w:szCs w:val="24"/>
          <w:lang w:val="sr-Cyrl-CS"/>
        </w:rPr>
        <w:t xml:space="preserve">3, </w:t>
      </w:r>
      <w:r w:rsidRPr="000E318F">
        <w:rPr>
          <w:rFonts w:ascii="Times New Roman" w:eastAsia="Times New Roman" w:hAnsi="Times New Roman" w:cs="Times New Roman"/>
          <w:color w:val="000000"/>
          <w:sz w:val="24"/>
          <w:szCs w:val="24"/>
          <w:lang w:val="sr-Cyrl-CS"/>
        </w:rPr>
        <w:t>која се односе на област предузетништва, односно правосуђа.</w:t>
      </w:r>
    </w:p>
    <w:p w:rsidR="000E318F" w:rsidRPr="000E318F" w:rsidRDefault="000E318F" w:rsidP="000E318F">
      <w:pPr>
        <w:shd w:val="clear" w:color="auto" w:fill="FFFFFF"/>
        <w:spacing w:after="0" w:line="270" w:lineRule="atLeast"/>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О току преговора у оквиру поглавља 5, </w:t>
      </w:r>
      <w:r w:rsidRPr="000E318F">
        <w:rPr>
          <w:rFonts w:ascii="Times New Roman" w:eastAsia="Times New Roman" w:hAnsi="Times New Roman" w:cs="Times New Roman"/>
          <w:sz w:val="24"/>
          <w:szCs w:val="24"/>
          <w:lang w:val="sr-Cyrl-CS"/>
        </w:rPr>
        <w:t xml:space="preserve">односно са детаљима билатералног скрининга, </w:t>
      </w:r>
      <w:r w:rsidRPr="000E318F">
        <w:rPr>
          <w:rFonts w:ascii="Times New Roman" w:eastAsia="Times New Roman" w:hAnsi="Times New Roman" w:cs="Times New Roman"/>
          <w:sz w:val="24"/>
          <w:szCs w:val="24"/>
        </w:rPr>
        <w:t xml:space="preserve">информисани су и представници </w:t>
      </w:r>
      <w:r w:rsidRPr="000E318F">
        <w:rPr>
          <w:rFonts w:ascii="Times New Roman" w:eastAsia="Times New Roman" w:hAnsi="Times New Roman" w:cs="Times New Roman"/>
          <w:sz w:val="24"/>
          <w:szCs w:val="24"/>
          <w:lang w:val="sr-Cyrl-CS"/>
        </w:rPr>
        <w:t>цивилног</w:t>
      </w:r>
      <w:r w:rsidRPr="000E318F">
        <w:rPr>
          <w:rFonts w:ascii="Times New Roman" w:eastAsia="Times New Roman" w:hAnsi="Times New Roman" w:cs="Times New Roman"/>
          <w:sz w:val="24"/>
          <w:szCs w:val="24"/>
        </w:rPr>
        <w:t xml:space="preserve"> друштва у Србији</w:t>
      </w:r>
      <w:r w:rsidRPr="000E318F">
        <w:rPr>
          <w:rFonts w:ascii="Times New Roman" w:eastAsia="Times New Roman" w:hAnsi="Times New Roman" w:cs="Times New Roman"/>
          <w:sz w:val="24"/>
          <w:szCs w:val="24"/>
          <w:lang w:val="sr-Cyrl-CS"/>
        </w:rPr>
        <w:t>, на с</w:t>
      </w:r>
      <w:r w:rsidRPr="000E318F">
        <w:rPr>
          <w:rFonts w:ascii="Times New Roman" w:eastAsia="Times New Roman" w:hAnsi="Times New Roman" w:cs="Times New Roman"/>
          <w:sz w:val="24"/>
          <w:szCs w:val="24"/>
        </w:rPr>
        <w:t>астанк</w:t>
      </w:r>
      <w:r w:rsidRPr="000E318F">
        <w:rPr>
          <w:rFonts w:ascii="Times New Roman" w:eastAsia="Times New Roman" w:hAnsi="Times New Roman" w:cs="Times New Roman"/>
          <w:sz w:val="24"/>
          <w:szCs w:val="24"/>
          <w:lang w:val="sr-Cyrl-CS"/>
        </w:rPr>
        <w:t>у</w:t>
      </w:r>
      <w:r w:rsidR="00894CD0">
        <w:rPr>
          <w:rFonts w:ascii="Times New Roman" w:eastAsia="Times New Roman" w:hAnsi="Times New Roman" w:cs="Times New Roman"/>
          <w:sz w:val="24"/>
          <w:szCs w:val="24"/>
          <w:lang w:val="sr-Cyrl-CS"/>
        </w:rPr>
        <w:t xml:space="preserve"> </w:t>
      </w:r>
      <w:r w:rsidRPr="000E318F">
        <w:rPr>
          <w:rFonts w:ascii="Times New Roman" w:eastAsia="Times New Roman" w:hAnsi="Times New Roman" w:cs="Times New Roman"/>
          <w:sz w:val="24"/>
          <w:szCs w:val="24"/>
          <w:lang w:val="sr-Cyrl-CS"/>
        </w:rPr>
        <w:t xml:space="preserve">који је </w:t>
      </w:r>
      <w:r w:rsidRPr="000E318F">
        <w:rPr>
          <w:rFonts w:ascii="Times New Roman" w:eastAsia="Times New Roman" w:hAnsi="Times New Roman" w:cs="Times New Roman"/>
          <w:sz w:val="24"/>
          <w:szCs w:val="24"/>
        </w:rPr>
        <w:t>одржан је 17. јула 2014. године у Београду. Скуп</w:t>
      </w:r>
      <w:r w:rsidRPr="000E318F">
        <w:rPr>
          <w:rFonts w:ascii="Times New Roman" w:eastAsia="Times New Roman" w:hAnsi="Times New Roman" w:cs="Times New Roman"/>
          <w:sz w:val="24"/>
          <w:szCs w:val="24"/>
          <w:lang w:val="sr-Cyrl-CS"/>
        </w:rPr>
        <w:t xml:space="preserve">ом су </w:t>
      </w:r>
      <w:r w:rsidRPr="000E318F">
        <w:rPr>
          <w:rFonts w:ascii="Times New Roman" w:eastAsia="Times New Roman" w:hAnsi="Times New Roman" w:cs="Times New Roman"/>
          <w:sz w:val="24"/>
          <w:szCs w:val="24"/>
        </w:rPr>
        <w:t>председавали проф. др Тања Мишчевић, шефица Преговарачког тима за вођење преговора о приступању Републике Србије Европској унији и др Предраг Јовановић, директор Управе за јавне набавке и председник Преговарачке групе 5.</w:t>
      </w:r>
    </w:p>
    <w:p w:rsidR="000E318F" w:rsidRPr="000E318F" w:rsidRDefault="000E318F" w:rsidP="000E318F">
      <w:pPr>
        <w:shd w:val="clear" w:color="auto" w:fill="FFFFFF"/>
        <w:spacing w:after="0" w:line="270" w:lineRule="atLeast"/>
        <w:jc w:val="both"/>
        <w:rPr>
          <w:rFonts w:ascii="Times New Roman" w:eastAsia="Times New Roman" w:hAnsi="Times New Roman" w:cs="Times New Roman"/>
          <w:sz w:val="24"/>
          <w:szCs w:val="24"/>
        </w:rPr>
      </w:pP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Управа је</w:t>
      </w:r>
      <w:r w:rsidR="008962B0">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такође</w:t>
      </w:r>
      <w:r w:rsidR="008962B0">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учествовала у ревизији</w:t>
      </w:r>
      <w:r w:rsidR="008962B0">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Националног програма за усвајање правних тековина ЕУ (НПАА). У овом документу, Управа је представила план са роковима за потпуно усклађивање са правним тековинама ЕУ у области јавних набавки, укључујући концесије и јавно-приватно партнерство.</w:t>
      </w:r>
    </w:p>
    <w:p w:rsidR="000E318F" w:rsidRPr="000E318F" w:rsidRDefault="000E318F" w:rsidP="000E318F">
      <w:pPr>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 xml:space="preserve">Стратегија развоја јавних набавки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Полазећи од значаја који Стратегија има за унапређивање система јавних набавки у Републици Србији и процес преговора са ЕУ, Управа је, у јануару 2014. године</w:t>
      </w:r>
      <w:r w:rsidRPr="000E318F">
        <w:rPr>
          <w:rFonts w:ascii="Times New Roman" w:eastAsia="Times New Roman" w:hAnsi="Times New Roman" w:cs="Times New Roman"/>
          <w:sz w:val="24"/>
          <w:szCs w:val="24"/>
          <w:lang w:val="sr-Cyrl-CS"/>
        </w:rPr>
        <w:t xml:space="preserve">, </w:t>
      </w:r>
      <w:r w:rsidRPr="000E318F">
        <w:rPr>
          <w:rFonts w:ascii="Times New Roman" w:eastAsia="Times New Roman" w:hAnsi="Times New Roman" w:cs="Times New Roman"/>
          <w:sz w:val="24"/>
          <w:szCs w:val="24"/>
        </w:rPr>
        <w:t>започела рад на Стратегији развоја јавних набавки у Србији и Акционом плану за њено спровођење.</w:t>
      </w:r>
      <w:r w:rsidR="00894CD0">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Стратегија се односи на период од 2014. до 2018. године, до када је планирано да се оствари пуно усклађивање са правним тековинама ЕУ у области јавних набавки, а Акциони план за период до краја 2015. године, да би се, потом, нови акциони планови доносили на годишњем нивоу.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изради Стратегије, Управи су помагала три стручњака ЕУ ангажована у оквиру ПЛАК пројекта: један из Грчке и два из Хрватске. Прва Радна верзија стратегије достављена је почетком јуна, електронским путем, свим заинтересованим странама ради давања предлога, примедби и сугестија. При томе, Радна верзија стратегије представљена је и на конференцији одржаној 20.6.2014. године и објављена на интернет</w:t>
      </w:r>
      <w:r w:rsidR="00D2670C">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страници Управе, како би се обезбедио транспарентан приступ изради документа. </w:t>
      </w:r>
    </w:p>
    <w:p w:rsidR="000E318F" w:rsidRPr="000E318F" w:rsidRDefault="000E318F" w:rsidP="000E318F">
      <w:pPr>
        <w:jc w:val="both"/>
        <w:rPr>
          <w:rFonts w:ascii="Times New Roman" w:eastAsia="Times New Roman" w:hAnsi="Times New Roman" w:cs="Times New Roman"/>
          <w:color w:val="000000"/>
          <w:sz w:val="24"/>
          <w:szCs w:val="24"/>
          <w:lang w:eastAsia="en-US"/>
        </w:rPr>
      </w:pPr>
      <w:r w:rsidRPr="000E318F">
        <w:rPr>
          <w:rFonts w:ascii="Times New Roman" w:eastAsia="Times New Roman" w:hAnsi="Times New Roman" w:cs="Times New Roman"/>
          <w:sz w:val="24"/>
          <w:szCs w:val="24"/>
        </w:rPr>
        <w:lastRenderedPageBreak/>
        <w:t>Радна верзија стратегије  послата је Европској комисији на оцену. Након добијених сугестија од стране Европске комисије, сачињен је Предлог стратегије на који су затражена мишљења свих релевантних институција и која је, након прибављених мишљења, послата у форми</w:t>
      </w:r>
      <w:r w:rsidR="008962B0">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Предлога стратегије Влади 2. септембра 2014. године на усвајање. Влада је усвојила Стратегију 30. октобра 2014. године </w:t>
      </w:r>
      <w:r w:rsidRPr="000E318F">
        <w:rPr>
          <w:rFonts w:ascii="Times New Roman" w:eastAsia="Calibri" w:hAnsi="Times New Roman" w:cs="Times New Roman"/>
          <w:color w:val="000000"/>
          <w:sz w:val="24"/>
          <w:szCs w:val="24"/>
          <w:lang w:eastAsia="en-US"/>
        </w:rPr>
        <w:t>(„Службени гласник РС“, бр. 122/14).</w:t>
      </w:r>
    </w:p>
    <w:p w:rsidR="000E318F" w:rsidRPr="000E318F" w:rsidRDefault="000E318F" w:rsidP="000E318F">
      <w:pPr>
        <w:jc w:val="both"/>
        <w:rPr>
          <w:rFonts w:ascii="Times New Roman" w:eastAsia="Times New Roman" w:hAnsi="Times New Roman" w:cs="Times New Roman"/>
          <w:color w:val="000000"/>
          <w:sz w:val="24"/>
          <w:szCs w:val="24"/>
          <w:lang w:eastAsia="en-US"/>
        </w:rPr>
      </w:pPr>
      <w:r w:rsidRPr="000E318F">
        <w:rPr>
          <w:rFonts w:ascii="Times New Roman" w:eastAsia="Times New Roman" w:hAnsi="Times New Roman" w:cs="Times New Roman"/>
          <w:b/>
          <w:sz w:val="24"/>
          <w:szCs w:val="24"/>
        </w:rPr>
        <w:t>Законодавна и регулаторна питања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Први Извештај о спроведеном надзору над применом Закона о јавним набавкама у 2013. години,Управа је доставила Народној скупштини и Влади</w:t>
      </w:r>
      <w:r w:rsidR="00D37701">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Републике Србије 30. априла 2014, у складу са чланом 136</w:t>
      </w:r>
      <w:r w:rsidRPr="000E318F">
        <w:rPr>
          <w:rFonts w:ascii="Times New Roman" w:eastAsia="Times New Roman" w:hAnsi="Times New Roman" w:cs="Times New Roman"/>
          <w:sz w:val="24"/>
          <w:szCs w:val="24"/>
          <w:lang w:val="sr-Cyrl-CS"/>
        </w:rPr>
        <w:t xml:space="preserve">. </w:t>
      </w:r>
      <w:r w:rsidRPr="000E318F">
        <w:rPr>
          <w:rFonts w:ascii="Times New Roman" w:eastAsia="Times New Roman" w:hAnsi="Times New Roman" w:cs="Times New Roman"/>
          <w:sz w:val="24"/>
          <w:szCs w:val="24"/>
        </w:rPr>
        <w:t>Закона.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На основу Закона, Управа је, у складу са повереним надлежностима, </w:t>
      </w:r>
      <w:r w:rsidR="005A6B10">
        <w:rPr>
          <w:rFonts w:ascii="Times New Roman" w:eastAsia="Times New Roman" w:hAnsi="Times New Roman" w:cs="Times New Roman"/>
          <w:sz w:val="24"/>
          <w:szCs w:val="24"/>
        </w:rPr>
        <w:t>у 2014. години донела</w:t>
      </w:r>
      <w:r w:rsidRPr="000E318F">
        <w:rPr>
          <w:rFonts w:ascii="Times New Roman" w:eastAsia="Times New Roman" w:hAnsi="Times New Roman" w:cs="Times New Roman"/>
          <w:sz w:val="24"/>
          <w:szCs w:val="24"/>
        </w:rPr>
        <w:t xml:space="preserve"> следеће подзаконске акте:</w:t>
      </w:r>
    </w:p>
    <w:p w:rsidR="000E318F" w:rsidRPr="000E318F" w:rsidRDefault="000E318F" w:rsidP="000E318F">
      <w:pPr>
        <w:numPr>
          <w:ilvl w:val="0"/>
          <w:numId w:val="6"/>
        </w:numPr>
        <w:contextualSpacing/>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Правилник о начину и програму стручног оспособљавања и начину полагања стручног испита за службеника за јавне набавке (“Службени гласник РС”, бр. 77/2014) и</w:t>
      </w:r>
    </w:p>
    <w:p w:rsidR="000E318F" w:rsidRPr="00D37701" w:rsidRDefault="000E318F" w:rsidP="000E318F">
      <w:pPr>
        <w:numPr>
          <w:ilvl w:val="0"/>
          <w:numId w:val="6"/>
        </w:numPr>
        <w:contextualSpacing/>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Правилник о садржини одлуке о заједничком спровођењу поступка јавне набавке од стране више наручилаца (“Службени гласник РС”, бр. 44/2014).</w:t>
      </w:r>
    </w:p>
    <w:p w:rsidR="00D37701" w:rsidRPr="000E318F" w:rsidRDefault="00D37701" w:rsidP="00D37701">
      <w:pPr>
        <w:ind w:left="720"/>
        <w:contextualSpacing/>
        <w:jc w:val="both"/>
        <w:rPr>
          <w:rFonts w:ascii="Times New Roman" w:eastAsia="Times New Roman" w:hAnsi="Times New Roman" w:cs="Times New Roman"/>
          <w:sz w:val="24"/>
          <w:szCs w:val="24"/>
        </w:rPr>
      </w:pP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Напомена:</w:t>
      </w:r>
      <w:r w:rsidR="00C400DA">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Управа организује и спроводи испите за службенике за јавне набавке, у складу са усвојеним подзаконским актом.</w:t>
      </w:r>
    </w:p>
    <w:p w:rsidR="000E318F" w:rsidRPr="000E318F" w:rsidRDefault="000E318F" w:rsidP="000E318F">
      <w:pPr>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На основу Закона, Влада Републике Србије усвојила је следеће подзаконске акте:</w:t>
      </w:r>
    </w:p>
    <w:p w:rsidR="000E318F" w:rsidRPr="000E318F" w:rsidRDefault="000E318F" w:rsidP="000E318F">
      <w:pPr>
        <w:numPr>
          <w:ilvl w:val="0"/>
          <w:numId w:val="9"/>
        </w:numPr>
        <w:contextualSpacing/>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Уредбу о утврђивању општег речника набавке (“Службени гласник”, бр. 56/2014)</w:t>
      </w:r>
    </w:p>
    <w:p w:rsidR="000E318F" w:rsidRPr="000E318F" w:rsidRDefault="000E318F" w:rsidP="000E318F">
      <w:pPr>
        <w:numPr>
          <w:ilvl w:val="0"/>
          <w:numId w:val="9"/>
        </w:numPr>
        <w:contextualSpacing/>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Уредбу о поступку јавне набавке у области одбране и безбедности  (“Службени гласник РС”, бр. 82/2014)</w:t>
      </w:r>
    </w:p>
    <w:p w:rsidR="000E318F" w:rsidRPr="000E318F" w:rsidRDefault="000E318F" w:rsidP="000E318F">
      <w:pPr>
        <w:numPr>
          <w:ilvl w:val="0"/>
          <w:numId w:val="9"/>
        </w:numPr>
        <w:contextualSpacing/>
        <w:jc w:val="both"/>
        <w:rPr>
          <w:rFonts w:ascii="Times New Roman" w:eastAsia="Times New Roman" w:hAnsi="Times New Roman" w:cs="Times New Roman"/>
          <w:color w:val="000000"/>
          <w:sz w:val="24"/>
          <w:szCs w:val="24"/>
          <w:lang w:val="ru-RU"/>
        </w:rPr>
      </w:pPr>
      <w:r w:rsidRPr="000E318F">
        <w:rPr>
          <w:rFonts w:ascii="Times New Roman" w:eastAsia="Times New Roman" w:hAnsi="Times New Roman" w:cs="Times New Roman"/>
          <w:color w:val="000000"/>
          <w:sz w:val="24"/>
          <w:szCs w:val="24"/>
          <w:lang w:val="ru-RU"/>
        </w:rPr>
        <w:t>Уредбу о условима и начину спровођења поступка јавне набавке од стране Управе за заједничке послове републичких органа и утврђивању списка предмета јавне набавке („Службени гласник РС", бр. 110/13, 13/14) и</w:t>
      </w:r>
    </w:p>
    <w:p w:rsidR="000E318F" w:rsidRPr="000E318F" w:rsidRDefault="000E318F" w:rsidP="000E318F">
      <w:pPr>
        <w:numPr>
          <w:ilvl w:val="0"/>
          <w:numId w:val="9"/>
        </w:numPr>
        <w:contextualSpacing/>
        <w:jc w:val="both"/>
        <w:rPr>
          <w:rFonts w:ascii="Times New Roman" w:eastAsia="Times New Roman" w:hAnsi="Times New Roman" w:cs="Times New Roman"/>
          <w:color w:val="000000"/>
          <w:sz w:val="24"/>
          <w:szCs w:val="24"/>
          <w:lang w:val="ru-RU"/>
        </w:rPr>
      </w:pPr>
      <w:r w:rsidRPr="000E318F">
        <w:rPr>
          <w:rFonts w:ascii="Times New Roman" w:eastAsia="Times New Roman" w:hAnsi="Times New Roman" w:cs="Times New Roman"/>
          <w:color w:val="000000"/>
          <w:sz w:val="24"/>
          <w:szCs w:val="24"/>
          <w:lang w:val="ru-RU"/>
        </w:rPr>
        <w:t>Одлуку о утврђивању списка наручилаца за чије потребе Управа за заједничке послове републичких органа спроводи централизоване јавне набавке („Службени гласник РС", бр. 13/14 и 12/15).</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На основу Закона о буџетском систему, Влада Републике Србије усвојила је следећи подзаконски акт</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који се односи на област јавних набавки (закључење вишегодишњих уговора):</w:t>
      </w:r>
    </w:p>
    <w:p w:rsidR="000E318F" w:rsidRPr="00625B21" w:rsidRDefault="000E318F" w:rsidP="000E318F">
      <w:pPr>
        <w:numPr>
          <w:ilvl w:val="0"/>
          <w:numId w:val="7"/>
        </w:numPr>
        <w:contextualSpacing/>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Уредбу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 (“Службени гласник”, бр.21/2014)</w:t>
      </w:r>
    </w:p>
    <w:p w:rsidR="00625B21" w:rsidRPr="000E318F" w:rsidRDefault="00625B21" w:rsidP="00625B21">
      <w:pPr>
        <w:ind w:left="720"/>
        <w:contextualSpacing/>
        <w:jc w:val="both"/>
        <w:rPr>
          <w:rFonts w:ascii="Times New Roman" w:eastAsia="Times New Roman" w:hAnsi="Times New Roman" w:cs="Times New Roman"/>
          <w:sz w:val="24"/>
          <w:szCs w:val="24"/>
        </w:rPr>
      </w:pP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припреми свих поменутих подзаконских аката, Управа</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је активно учествовала као централно тело за спровођење политике јавних набавки.</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Произлази да су</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усвојени сви подзаконски акти неопходни за примену Закона</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(укупно 16),</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изузев следећа два:</w:t>
      </w:r>
    </w:p>
    <w:p w:rsidR="000E318F" w:rsidRPr="000E318F" w:rsidRDefault="000E318F" w:rsidP="000E318F">
      <w:pPr>
        <w:numPr>
          <w:ilvl w:val="0"/>
          <w:numId w:val="8"/>
        </w:numPr>
        <w:contextualSpacing/>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lastRenderedPageBreak/>
        <w:t>Списак наручилаца, из чл. 2. и 117.</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Закона</w:t>
      </w:r>
      <w:r w:rsidRPr="000E318F">
        <w:rPr>
          <w:rFonts w:ascii="Times New Roman" w:eastAsia="Times New Roman" w:hAnsi="Times New Roman" w:cs="Times New Roman"/>
          <w:sz w:val="24"/>
          <w:szCs w:val="24"/>
          <w:lang w:val="sr-Cyrl-CS"/>
        </w:rPr>
        <w:t xml:space="preserve"> који </w:t>
      </w:r>
      <w:r w:rsidRPr="000E318F">
        <w:rPr>
          <w:rFonts w:ascii="Times New Roman" w:eastAsia="Times New Roman" w:hAnsi="Times New Roman" w:cs="Times New Roman"/>
          <w:sz w:val="24"/>
          <w:szCs w:val="24"/>
        </w:rPr>
        <w:t>утврђује Влада на предлог Министарства финансија и Управе за јавне набавке на почетку буџетске године и</w:t>
      </w:r>
    </w:p>
    <w:p w:rsidR="000E318F" w:rsidRPr="000E318F" w:rsidRDefault="000E318F" w:rsidP="000E318F">
      <w:pPr>
        <w:numPr>
          <w:ilvl w:val="0"/>
          <w:numId w:val="8"/>
        </w:numPr>
        <w:tabs>
          <w:tab w:val="left" w:pos="720"/>
          <w:tab w:val="left" w:pos="8460"/>
        </w:tabs>
        <w:spacing w:after="0" w:line="240" w:lineRule="auto"/>
        <w:ind w:right="45"/>
        <w:contextualSpacing/>
        <w:jc w:val="both"/>
        <w:rPr>
          <w:rFonts w:ascii="Times New Roman" w:eastAsia="Calibri" w:hAnsi="Times New Roman" w:cs="Times New Roman"/>
          <w:color w:val="FF0000"/>
          <w:sz w:val="24"/>
          <w:szCs w:val="24"/>
          <w:lang w:eastAsia="en-US"/>
        </w:rPr>
      </w:pPr>
      <w:r w:rsidRPr="000E318F">
        <w:rPr>
          <w:rFonts w:ascii="Times New Roman" w:eastAsia="Times New Roman" w:hAnsi="Times New Roman" w:cs="Times New Roman"/>
          <w:sz w:val="24"/>
          <w:szCs w:val="24"/>
        </w:rPr>
        <w:t>Списак наручилаца  на које се примењују изузеци према члану 7, став 1, тач. 1), 6) и 7) Закона</w:t>
      </w:r>
      <w:r w:rsidRPr="000E318F">
        <w:rPr>
          <w:rFonts w:ascii="Times New Roman" w:eastAsia="Times New Roman" w:hAnsi="Times New Roman" w:cs="Times New Roman"/>
          <w:sz w:val="24"/>
          <w:szCs w:val="24"/>
          <w:lang w:val="sr-Cyrl-CS"/>
        </w:rPr>
        <w:t xml:space="preserve">, који </w:t>
      </w:r>
      <w:r w:rsidRPr="000E318F">
        <w:rPr>
          <w:rFonts w:ascii="Times New Roman" w:eastAsia="Times New Roman" w:hAnsi="Times New Roman" w:cs="Times New Roman"/>
          <w:sz w:val="24"/>
          <w:szCs w:val="24"/>
        </w:rPr>
        <w:t>усваја Влада Републике Србије.</w:t>
      </w:r>
    </w:p>
    <w:p w:rsidR="000E318F" w:rsidRPr="000E318F" w:rsidRDefault="000E318F" w:rsidP="000E318F">
      <w:pPr>
        <w:tabs>
          <w:tab w:val="left" w:pos="720"/>
          <w:tab w:val="left" w:pos="8460"/>
        </w:tabs>
        <w:spacing w:after="0" w:line="240" w:lineRule="auto"/>
        <w:ind w:left="360" w:right="45"/>
        <w:contextualSpacing/>
        <w:jc w:val="both"/>
        <w:rPr>
          <w:rFonts w:ascii="Times New Roman" w:eastAsia="Calibri" w:hAnsi="Times New Roman" w:cs="Times New Roman"/>
          <w:color w:val="FF0000"/>
          <w:sz w:val="24"/>
          <w:szCs w:val="24"/>
          <w:lang w:eastAsia="en-US"/>
        </w:rPr>
      </w:pPr>
    </w:p>
    <w:p w:rsidR="000E318F" w:rsidRPr="000E318F" w:rsidRDefault="000E318F" w:rsidP="000E318F">
      <w:pPr>
        <w:tabs>
          <w:tab w:val="left" w:pos="720"/>
          <w:tab w:val="left" w:pos="8460"/>
        </w:tabs>
        <w:spacing w:after="0" w:line="240" w:lineRule="auto"/>
        <w:ind w:right="45"/>
        <w:contextualSpacing/>
        <w:jc w:val="both"/>
        <w:rPr>
          <w:rFonts w:ascii="Times New Roman" w:eastAsia="Calibri" w:hAnsi="Times New Roman" w:cs="Times New Roman"/>
          <w:color w:val="000000"/>
          <w:sz w:val="24"/>
          <w:szCs w:val="24"/>
          <w:lang w:eastAsia="en-US"/>
        </w:rPr>
      </w:pPr>
      <w:r w:rsidRPr="000E318F">
        <w:rPr>
          <w:rFonts w:ascii="Times New Roman" w:eastAsia="Calibri" w:hAnsi="Times New Roman" w:cs="Times New Roman"/>
          <w:color w:val="000000"/>
          <w:sz w:val="24"/>
          <w:szCs w:val="24"/>
          <w:lang w:eastAsia="en-US"/>
        </w:rPr>
        <w:t>У складу са чланом 21. став 6. Закона, Управа за јавне набавке је, у сарадњи са Агенцијом за борбу против корупције, припремила и доставила Генералном секретаријату Владе Предлог уредбе о утврђивању плана за борбу против корупције у јавним набавкама.</w:t>
      </w:r>
    </w:p>
    <w:p w:rsidR="000E318F" w:rsidRPr="000E318F" w:rsidRDefault="000E318F" w:rsidP="000E318F">
      <w:pPr>
        <w:tabs>
          <w:tab w:val="left" w:pos="720"/>
          <w:tab w:val="left" w:pos="8460"/>
        </w:tabs>
        <w:spacing w:after="0" w:line="240" w:lineRule="auto"/>
        <w:ind w:right="45"/>
        <w:contextualSpacing/>
        <w:jc w:val="both"/>
        <w:rPr>
          <w:rFonts w:ascii="Times New Roman" w:eastAsia="Calibri" w:hAnsi="Times New Roman" w:cs="Times New Roman"/>
          <w:color w:val="000000"/>
          <w:sz w:val="24"/>
          <w:szCs w:val="24"/>
          <w:lang w:eastAsia="en-US"/>
        </w:rPr>
      </w:pPr>
    </w:p>
    <w:p w:rsidR="000E318F" w:rsidRPr="000E318F" w:rsidRDefault="000E318F" w:rsidP="000E318F">
      <w:pPr>
        <w:tabs>
          <w:tab w:val="left" w:pos="720"/>
          <w:tab w:val="left" w:pos="8460"/>
        </w:tabs>
        <w:spacing w:after="0" w:line="240" w:lineRule="auto"/>
        <w:ind w:right="45"/>
        <w:contextualSpacing/>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Moдели, упутства и приручници</w:t>
      </w:r>
    </w:p>
    <w:p w:rsidR="000E318F" w:rsidRPr="000E318F" w:rsidRDefault="000E318F" w:rsidP="000E318F">
      <w:pPr>
        <w:tabs>
          <w:tab w:val="left" w:pos="720"/>
          <w:tab w:val="left" w:pos="8460"/>
        </w:tabs>
        <w:spacing w:after="0" w:line="240" w:lineRule="auto"/>
        <w:ind w:right="45"/>
        <w:contextualSpacing/>
        <w:jc w:val="both"/>
        <w:rPr>
          <w:rFonts w:ascii="Times New Roman" w:eastAsia="Calibri" w:hAnsi="Times New Roman" w:cs="Times New Roman"/>
          <w:color w:val="000000"/>
          <w:sz w:val="24"/>
          <w:szCs w:val="24"/>
          <w:lang w:eastAsia="en-US"/>
        </w:rPr>
      </w:pPr>
    </w:p>
    <w:p w:rsidR="000E318F" w:rsidRPr="000E318F" w:rsidRDefault="000E318F" w:rsidP="000E318F">
      <w:pPr>
        <w:jc w:val="both"/>
        <w:rPr>
          <w:rFonts w:ascii="Times New Roman" w:eastAsia="Times New Roman" w:hAnsi="Times New Roman" w:cs="Times New Roman"/>
          <w:color w:val="FF0000"/>
          <w:sz w:val="24"/>
          <w:szCs w:val="24"/>
        </w:rPr>
      </w:pPr>
      <w:r w:rsidRPr="000E318F">
        <w:rPr>
          <w:rFonts w:ascii="Times New Roman" w:eastAsia="Times New Roman" w:hAnsi="Times New Roman" w:cs="Times New Roman"/>
          <w:color w:val="000000"/>
          <w:sz w:val="24"/>
          <w:szCs w:val="24"/>
        </w:rPr>
        <w:t xml:space="preserve">У складу са активностима предвиђеним Акционим планом за спровођење Националне стратегије за борбу против корупције у Републици Србији за период од 2013. до 2018. године, </w:t>
      </w:r>
      <w:r w:rsidRPr="000E318F">
        <w:rPr>
          <w:rFonts w:ascii="Times New Roman" w:eastAsia="Times New Roman" w:hAnsi="Times New Roman" w:cs="Times New Roman"/>
          <w:sz w:val="24"/>
          <w:szCs w:val="24"/>
        </w:rPr>
        <w:t xml:space="preserve">Управа за јавне набавке је </w:t>
      </w:r>
      <w:r w:rsidRPr="000E318F">
        <w:rPr>
          <w:rFonts w:ascii="Times New Roman" w:eastAsia="Times New Roman" w:hAnsi="Times New Roman" w:cs="Times New Roman"/>
          <w:color w:val="000000"/>
          <w:sz w:val="24"/>
          <w:szCs w:val="24"/>
        </w:rPr>
        <w:t>припремила и на својој интернет страници објавила Модел интерног акта и Модел интерног плана за спречавање корупције у јавним набавкама, како би се наручиоцима пружила помоћ при изради интерних правилника и планова што чини укупно</w:t>
      </w:r>
      <w:r w:rsidR="00A974D4">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sz w:val="24"/>
          <w:szCs w:val="24"/>
        </w:rPr>
        <w:t xml:space="preserve">14 модела и упутстава припремљених и објављених од стране УЈН у 2014. години. </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Поред наведених модела, Управа је припремила и Приручник за обуку и полагање испита за стицање сертификата за службеника за јавне набавке, како би се кандидатима олакшала припрема за полагање испита.</w:t>
      </w:r>
    </w:p>
    <w:p w:rsidR="000E318F" w:rsidRPr="000E318F" w:rsidRDefault="000E318F" w:rsidP="000E318F">
      <w:pPr>
        <w:jc w:val="both"/>
        <w:rPr>
          <w:rFonts w:ascii="Times New Roman" w:eastAsia="Times New Roman" w:hAnsi="Times New Roman" w:cs="Times New Roman"/>
          <w:color w:val="FF0000"/>
          <w:sz w:val="24"/>
          <w:szCs w:val="24"/>
        </w:rPr>
      </w:pPr>
      <w:r w:rsidRPr="00953133">
        <w:rPr>
          <w:rFonts w:ascii="Times New Roman" w:eastAsia="Times New Roman" w:hAnsi="Times New Roman" w:cs="Times New Roman"/>
          <w:sz w:val="24"/>
          <w:szCs w:val="24"/>
        </w:rPr>
        <w:t xml:space="preserve">У складу са Законом и пратећом подзаконском регулативом која ближе уређује систем планирања набавки и кварталног извештавања наручилаца о спроведеним јавним набавкама, Управа је израдила софтвер за планирање набавки и квартално извештавање са пратећим корисничким упутством који су, почетком 2014. године, постављени на сајт Управе. Крајем исте године, Управа је </w:t>
      </w:r>
      <w:r w:rsidR="00DB7F70" w:rsidRPr="00953133">
        <w:rPr>
          <w:rFonts w:ascii="Times New Roman" w:eastAsia="Times New Roman" w:hAnsi="Times New Roman" w:cs="Times New Roman"/>
          <w:sz w:val="24"/>
          <w:szCs w:val="24"/>
        </w:rPr>
        <w:t>доставила</w:t>
      </w:r>
      <w:r w:rsidRPr="00953133">
        <w:rPr>
          <w:rFonts w:ascii="Times New Roman" w:eastAsia="Times New Roman" w:hAnsi="Times New Roman" w:cs="Times New Roman"/>
          <w:sz w:val="24"/>
          <w:szCs w:val="24"/>
        </w:rPr>
        <w:t xml:space="preserve"> Државној ревизорској институцији базу података планова набавки, измена и допуна планова и закључених уговора о јавним набавкама од стране наручилаца за 2014. годину, као помоћ у вршењу контролних активности од стране наведеног органа</w:t>
      </w:r>
      <w:r w:rsidRPr="000E318F">
        <w:rPr>
          <w:rFonts w:ascii="Times New Roman" w:eastAsia="Times New Roman" w:hAnsi="Times New Roman" w:cs="Times New Roman"/>
          <w:color w:val="FF0000"/>
          <w:sz w:val="24"/>
          <w:szCs w:val="24"/>
        </w:rPr>
        <w:t>.</w:t>
      </w:r>
    </w:p>
    <w:p w:rsidR="000E318F" w:rsidRPr="000E318F" w:rsidRDefault="000E318F" w:rsidP="000E318F">
      <w:pPr>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Преговарачки поступак без објављивања позива за подношење понуда</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У 2014. години Управа</w:t>
      </w:r>
      <w:r w:rsidR="0043579D">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color w:val="000000"/>
          <w:sz w:val="24"/>
          <w:szCs w:val="24"/>
        </w:rPr>
        <w:t>је примила и урадила 4.338 мишљења о оправданости спровођења преговарачког поступка. Наручиоци су се најчешће обраћали захтевима за примену преговарачког поступка са тачно одређеним понуђачем (члан 36. став 1. тачка 2) Закона), и то њих 69%. Следе преговарачки поступци због постојања разлога хитности (члан 36. став 1. тачка 3) Закона) са 23% и преговарачки поступци који се односе на непредвиђене радове и услуге (члан 36. став 1. тачка 5) Закона) са учешћем од 7% (Слика 1</w:t>
      </w:r>
      <w:r w:rsidR="0043579D">
        <w:rPr>
          <w:rFonts w:ascii="Times New Roman" w:eastAsia="Times New Roman" w:hAnsi="Times New Roman" w:cs="Times New Roman"/>
          <w:color w:val="000000"/>
          <w:sz w:val="24"/>
          <w:szCs w:val="24"/>
          <w:lang w:val="sr-Cyrl-RS"/>
        </w:rPr>
        <w:t>4</w:t>
      </w:r>
      <w:r w:rsidRPr="000E318F">
        <w:rPr>
          <w:rFonts w:ascii="Times New Roman" w:eastAsia="Times New Roman" w:hAnsi="Times New Roman" w:cs="Times New Roman"/>
          <w:color w:val="000000"/>
          <w:sz w:val="24"/>
          <w:szCs w:val="24"/>
        </w:rPr>
        <w:t>).</w:t>
      </w:r>
    </w:p>
    <w:p w:rsidR="00DF0138" w:rsidRPr="009721AF" w:rsidRDefault="000E318F" w:rsidP="009721A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У 2014. </w:t>
      </w:r>
      <w:r w:rsidR="00A974D4">
        <w:rPr>
          <w:rFonts w:ascii="Times New Roman" w:eastAsia="Times New Roman" w:hAnsi="Times New Roman" w:cs="Times New Roman"/>
          <w:sz w:val="24"/>
          <w:szCs w:val="24"/>
          <w:lang w:val="sr-Cyrl-RS"/>
        </w:rPr>
        <w:t>г</w:t>
      </w:r>
      <w:r w:rsidRPr="000E318F">
        <w:rPr>
          <w:rFonts w:ascii="Times New Roman" w:eastAsia="Times New Roman" w:hAnsi="Times New Roman" w:cs="Times New Roman"/>
          <w:sz w:val="24"/>
          <w:szCs w:val="24"/>
        </w:rPr>
        <w:t>одини</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дошло је до повећања броја захтева за преговарачки поступак који се спроводи због постојања разлога хитности, а разлог су катастрофалне поплаве које су се десиле у мају </w:t>
      </w:r>
      <w:r w:rsidRPr="000E318F">
        <w:rPr>
          <w:rFonts w:ascii="Times New Roman" w:eastAsia="Times New Roman" w:hAnsi="Times New Roman" w:cs="Times New Roman"/>
          <w:color w:val="000000"/>
          <w:sz w:val="24"/>
          <w:szCs w:val="24"/>
        </w:rPr>
        <w:t>и јулу</w:t>
      </w:r>
      <w:r w:rsidR="009721AF">
        <w:rPr>
          <w:rFonts w:ascii="Times New Roman" w:eastAsia="Times New Roman" w:hAnsi="Times New Roman" w:cs="Times New Roman"/>
          <w:sz w:val="24"/>
          <w:szCs w:val="24"/>
        </w:rPr>
        <w:t xml:space="preserve"> 2014. године.</w:t>
      </w:r>
    </w:p>
    <w:p w:rsidR="00DF0138" w:rsidRPr="009721AF" w:rsidRDefault="00DF0138" w:rsidP="009721AF">
      <w:pPr>
        <w:rPr>
          <w:rFonts w:ascii="Times New Roman" w:eastAsia="Times New Roman" w:hAnsi="Times New Roman" w:cs="Times New Roman"/>
          <w:b/>
          <w:sz w:val="24"/>
          <w:szCs w:val="24"/>
        </w:rPr>
      </w:pPr>
    </w:p>
    <w:p w:rsidR="00A974D4" w:rsidRDefault="00A974D4" w:rsidP="00AC06FC">
      <w:pPr>
        <w:rPr>
          <w:rFonts w:ascii="Times New Roman" w:eastAsia="Times New Roman" w:hAnsi="Times New Roman" w:cs="Times New Roman"/>
          <w:b/>
          <w:sz w:val="24"/>
          <w:szCs w:val="24"/>
          <w:lang w:val="sr-Cyrl-RS"/>
        </w:rPr>
      </w:pPr>
    </w:p>
    <w:p w:rsidR="000E318F" w:rsidRPr="0043579D" w:rsidRDefault="000E318F" w:rsidP="000E318F">
      <w:pPr>
        <w:jc w:val="center"/>
        <w:rPr>
          <w:rFonts w:ascii="Times New Roman" w:eastAsia="Times New Roman" w:hAnsi="Times New Roman" w:cs="Times New Roman"/>
          <w:b/>
          <w:sz w:val="24"/>
          <w:szCs w:val="24"/>
          <w:lang w:val="sr-Cyrl-RS"/>
        </w:rPr>
      </w:pPr>
      <w:r w:rsidRPr="000E318F">
        <w:rPr>
          <w:rFonts w:ascii="Times New Roman" w:eastAsia="Times New Roman" w:hAnsi="Times New Roman" w:cs="Times New Roman"/>
          <w:b/>
          <w:sz w:val="24"/>
          <w:szCs w:val="24"/>
        </w:rPr>
        <w:lastRenderedPageBreak/>
        <w:t>Слика 1</w:t>
      </w:r>
      <w:r w:rsidR="0043579D">
        <w:rPr>
          <w:rFonts w:ascii="Times New Roman" w:eastAsia="Times New Roman" w:hAnsi="Times New Roman" w:cs="Times New Roman"/>
          <w:b/>
          <w:sz w:val="24"/>
          <w:szCs w:val="24"/>
          <w:lang w:val="sr-Cyrl-RS"/>
        </w:rPr>
        <w:t>4</w:t>
      </w:r>
    </w:p>
    <w:p w:rsidR="000E318F" w:rsidRPr="000E318F" w:rsidRDefault="000E318F" w:rsidP="000E318F">
      <w:pPr>
        <w:jc w:val="center"/>
        <w:rPr>
          <w:rFonts w:ascii="Times New Roman" w:eastAsia="Times New Roman" w:hAnsi="Times New Roman" w:cs="Times New Roman"/>
          <w:sz w:val="24"/>
          <w:szCs w:val="24"/>
        </w:rPr>
      </w:pPr>
      <w:r>
        <w:rPr>
          <w:rFonts w:ascii="Calibri" w:eastAsia="Times New Roman" w:hAnsi="Calibri" w:cs="Times New Roman"/>
          <w:noProof/>
        </w:rPr>
        <w:drawing>
          <wp:inline distT="0" distB="0" distL="0" distR="0">
            <wp:extent cx="4580890" cy="2752090"/>
            <wp:effectExtent l="0" t="0" r="0" b="0"/>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У складу са </w:t>
      </w:r>
      <w:r w:rsidRPr="000E318F">
        <w:rPr>
          <w:rFonts w:ascii="Times New Roman" w:eastAsia="Times New Roman" w:hAnsi="Times New Roman" w:cs="Times New Roman"/>
          <w:sz w:val="24"/>
          <w:szCs w:val="24"/>
          <w:lang w:val="sr-Cyrl-CS"/>
        </w:rPr>
        <w:t>Законом,</w:t>
      </w:r>
      <w:r w:rsidRPr="000E318F">
        <w:rPr>
          <w:rFonts w:ascii="Times New Roman" w:eastAsia="Times New Roman" w:hAnsi="Times New Roman" w:cs="Times New Roman"/>
          <w:sz w:val="24"/>
          <w:szCs w:val="24"/>
        </w:rPr>
        <w:t xml:space="preserve"> Управа има рок од 10 дана од дана кад прими уредан захтев за мишљење да одговори наручиоцу да ли су или нису испуњени услови за примену преговарачког поступка.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Динамика давања мишљења за преговарачки поступак без објављивања, у периоду јануар-</w:t>
      </w:r>
      <w:r w:rsidRPr="000E318F">
        <w:rPr>
          <w:rFonts w:ascii="Times New Roman" w:eastAsia="Times New Roman" w:hAnsi="Times New Roman" w:cs="Times New Roman"/>
          <w:color w:val="000000"/>
          <w:sz w:val="24"/>
          <w:szCs w:val="24"/>
        </w:rPr>
        <w:t>децембар</w:t>
      </w:r>
      <w:r w:rsidR="0043579D">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sz w:val="24"/>
          <w:szCs w:val="24"/>
        </w:rPr>
        <w:t>2014, била је следећа: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Јануар -397 мишљења у року од 9 дана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Фебруар</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- 481 мишљења у року од 4 дана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Март</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- 502 мишљења у року од 7 дана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Април</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- 417 мишљења у року од 8 дана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Мај</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- 370 мишљења у року од 6 дана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Јун</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- 270 мишљења у року од 6 дана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Јул</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- 327 мишљења у року од 8 дана</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Август</w:t>
      </w:r>
      <w:r w:rsidR="0043579D">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color w:val="000000"/>
          <w:sz w:val="24"/>
          <w:szCs w:val="24"/>
        </w:rPr>
        <w:t>- 342 мишљења у року од 9 дана</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Септембар - 319 мишљења у року од 7 дана</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Октобар - 347 мишљења у року од 7 дана</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Новембар - 283 мишљења у року од 6 дана</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Децембар - 283 мишљења у року од 8 дана</w:t>
      </w:r>
    </w:p>
    <w:p w:rsidR="000E318F" w:rsidRPr="000E318F" w:rsidRDefault="000E318F" w:rsidP="000E318F">
      <w:pPr>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Као што се из наведених података може видети, сва мишљења</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(4.338)  урађена су у оквиру 10-дневног законског рока, а динамика је представљена на Слици 1</w:t>
      </w:r>
      <w:r w:rsidR="0043579D">
        <w:rPr>
          <w:rFonts w:ascii="Times New Roman" w:eastAsia="Times New Roman" w:hAnsi="Times New Roman" w:cs="Times New Roman"/>
          <w:sz w:val="24"/>
          <w:szCs w:val="24"/>
          <w:lang w:val="sr-Cyrl-RS"/>
        </w:rPr>
        <w:t>5</w:t>
      </w:r>
      <w:r w:rsidRPr="000E318F">
        <w:rPr>
          <w:rFonts w:ascii="Times New Roman" w:eastAsia="Times New Roman" w:hAnsi="Times New Roman" w:cs="Times New Roman"/>
          <w:sz w:val="24"/>
          <w:szCs w:val="24"/>
        </w:rPr>
        <w:t xml:space="preserve">. </w:t>
      </w:r>
    </w:p>
    <w:p w:rsidR="00AC06FC" w:rsidRDefault="00AC06FC" w:rsidP="000E318F">
      <w:pPr>
        <w:jc w:val="center"/>
        <w:rPr>
          <w:rFonts w:ascii="Times New Roman" w:eastAsia="Times New Roman" w:hAnsi="Times New Roman" w:cs="Times New Roman"/>
          <w:b/>
          <w:sz w:val="24"/>
          <w:szCs w:val="24"/>
          <w:lang w:val="sr-Cyrl-RS"/>
        </w:rPr>
      </w:pPr>
    </w:p>
    <w:p w:rsidR="000E318F" w:rsidRPr="0043579D" w:rsidRDefault="000E318F" w:rsidP="000E318F">
      <w:pPr>
        <w:jc w:val="center"/>
        <w:rPr>
          <w:rFonts w:ascii="Times New Roman" w:eastAsia="Times New Roman" w:hAnsi="Times New Roman" w:cs="Times New Roman"/>
          <w:b/>
          <w:sz w:val="24"/>
          <w:szCs w:val="24"/>
          <w:lang w:val="sr-Cyrl-RS"/>
        </w:rPr>
      </w:pPr>
      <w:r w:rsidRPr="000E318F">
        <w:rPr>
          <w:rFonts w:ascii="Times New Roman" w:eastAsia="Times New Roman" w:hAnsi="Times New Roman" w:cs="Times New Roman"/>
          <w:b/>
          <w:sz w:val="24"/>
          <w:szCs w:val="24"/>
        </w:rPr>
        <w:t>Слика 1</w:t>
      </w:r>
      <w:r w:rsidR="0043579D">
        <w:rPr>
          <w:rFonts w:ascii="Times New Roman" w:eastAsia="Times New Roman" w:hAnsi="Times New Roman" w:cs="Times New Roman"/>
          <w:b/>
          <w:sz w:val="24"/>
          <w:szCs w:val="24"/>
          <w:lang w:val="sr-Cyrl-RS"/>
        </w:rPr>
        <w:t>5</w:t>
      </w:r>
    </w:p>
    <w:p w:rsidR="000E318F" w:rsidRPr="000E318F" w:rsidRDefault="000E318F" w:rsidP="000E318F">
      <w:pPr>
        <w:jc w:val="center"/>
        <w:rPr>
          <w:rFonts w:ascii="Times New Roman" w:eastAsia="Times New Roman" w:hAnsi="Times New Roman" w:cs="Times New Roman"/>
          <w:sz w:val="24"/>
          <w:szCs w:val="24"/>
        </w:rPr>
      </w:pPr>
      <w:r>
        <w:rPr>
          <w:rFonts w:ascii="Calibri" w:eastAsia="Times New Roman" w:hAnsi="Calibri" w:cs="Times New Roman"/>
          <w:noProof/>
        </w:rPr>
        <w:drawing>
          <wp:inline distT="0" distB="0" distL="0" distR="0">
            <wp:extent cx="4580890" cy="2752090"/>
            <wp:effectExtent l="0" t="0" r="0" b="0"/>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0E318F" w:rsidRPr="000E318F" w:rsidRDefault="000E318F" w:rsidP="000E318F">
      <w:pPr>
        <w:rPr>
          <w:rFonts w:ascii="Times New Roman" w:eastAsia="Times New Roman" w:hAnsi="Times New Roman" w:cs="Times New Roman"/>
          <w:b/>
          <w:sz w:val="24"/>
          <w:szCs w:val="24"/>
        </w:rPr>
      </w:pPr>
    </w:p>
    <w:p w:rsidR="000E318F" w:rsidRPr="000E318F" w:rsidRDefault="000E318F" w:rsidP="000E318F">
      <w:pPr>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Тeлефонске консултације</w:t>
      </w:r>
    </w:p>
    <w:p w:rsidR="000E318F" w:rsidRPr="000E318F" w:rsidRDefault="000E318F" w:rsidP="000E318F">
      <w:pPr>
        <w:jc w:val="both"/>
        <w:rPr>
          <w:rFonts w:ascii="Times New Roman" w:eastAsia="Times New Roman" w:hAnsi="Times New Roman" w:cs="Times New Roman"/>
          <w:sz w:val="24"/>
          <w:szCs w:val="24"/>
          <w:u w:val="single"/>
        </w:rPr>
      </w:pPr>
      <w:r w:rsidRPr="000E318F">
        <w:rPr>
          <w:rFonts w:ascii="Times New Roman" w:eastAsia="Times New Roman" w:hAnsi="Times New Roman" w:cs="Times New Roman"/>
          <w:i/>
          <w:sz w:val="24"/>
          <w:szCs w:val="24"/>
          <w:u w:val="single"/>
        </w:rPr>
        <w:t>Правне консултације</w:t>
      </w:r>
      <w:r w:rsidRPr="000E318F">
        <w:rPr>
          <w:rFonts w:ascii="Times New Roman" w:eastAsia="Times New Roman" w:hAnsi="Times New Roman" w:cs="Times New Roman"/>
          <w:sz w:val="24"/>
          <w:szCs w:val="24"/>
          <w:u w:val="single"/>
        </w:rPr>
        <w:t>:</w:t>
      </w:r>
      <w:r w:rsidRPr="000E318F">
        <w:rPr>
          <w:rFonts w:ascii="Times New Roman" w:eastAsia="Times New Roman" w:hAnsi="Times New Roman" w:cs="Times New Roman"/>
          <w:sz w:val="24"/>
          <w:szCs w:val="24"/>
        </w:rPr>
        <w:t>Управа за јавне набавке,</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дневно у просеку, даје 35 телефонских консултација о примени одредби Закона. Свака консултација просечно траје 15 минута, што чини 525 минута дневно, односно 8,75 човек/часова дневно или 1 човек/дан (имајући у виду да један радни дан траје 8 часова).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i/>
          <w:sz w:val="24"/>
          <w:szCs w:val="24"/>
          <w:u w:val="single"/>
        </w:rPr>
        <w:t>Планирање набавки:</w:t>
      </w:r>
      <w:r w:rsidRPr="000E318F">
        <w:rPr>
          <w:rFonts w:ascii="Times New Roman" w:eastAsia="Times New Roman" w:hAnsi="Times New Roman" w:cs="Times New Roman"/>
          <w:sz w:val="24"/>
          <w:szCs w:val="24"/>
        </w:rPr>
        <w:t xml:space="preserve"> Управа, у просеку, даје 25 консултација путем телефона дневно, с тим да консултација просечно траје око 20 минута, што чини  500 минута</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или</w:t>
      </w:r>
      <w:r w:rsidR="00C400DA">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8,3 човек/часова, односно 1 човек /дан.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i/>
          <w:sz w:val="24"/>
          <w:szCs w:val="24"/>
          <w:u w:val="single"/>
        </w:rPr>
        <w:t>Портал јавних набавки:</w:t>
      </w:r>
      <w:r w:rsidRPr="000E318F">
        <w:rPr>
          <w:rFonts w:ascii="Times New Roman" w:eastAsia="Times New Roman" w:hAnsi="Times New Roman" w:cs="Times New Roman"/>
          <w:sz w:val="24"/>
          <w:szCs w:val="24"/>
        </w:rPr>
        <w:t xml:space="preserve"> Управа, у просеку, даје 15 телефонских консултација</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дневно, а свака  консултација траје</w:t>
      </w:r>
      <w:r w:rsidR="00C400DA">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око 10 минута, што чини 150 минута или 2,5 човек/час дневно. Поред тога, Управа, у просеку,</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добија 10  имејлова,</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а за сваки је потребно око 8 минута да се одговори, што укупно чини 80 минута, или 1,3 човек/часа дневно.</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i/>
          <w:sz w:val="24"/>
          <w:szCs w:val="24"/>
          <w:u w:val="single"/>
        </w:rPr>
        <w:t>Квартално извештавање о закљученим уговорима о јавним набавкама и спроведеним поступцима јавних набавки:</w:t>
      </w:r>
      <w:r w:rsidRPr="000E318F">
        <w:rPr>
          <w:rFonts w:ascii="Times New Roman" w:eastAsia="Times New Roman" w:hAnsi="Times New Roman" w:cs="Times New Roman"/>
          <w:sz w:val="24"/>
          <w:szCs w:val="24"/>
        </w:rPr>
        <w:t>Управа, у просеку, обави 30 телефонских консултација дневно, у трајању од просечно 10 минута по једној консултацији, што чини 300 минута, или 5 човек/часова дневно.</w:t>
      </w:r>
    </w:p>
    <w:p w:rsidR="000E318F" w:rsidRPr="000E318F" w:rsidRDefault="000E318F" w:rsidP="000E318F">
      <w:pPr>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Састанци</w:t>
      </w:r>
    </w:p>
    <w:p w:rsidR="00A974D4" w:rsidRDefault="000E318F" w:rsidP="00AC06FC">
      <w:pPr>
        <w:jc w:val="both"/>
        <w:rPr>
          <w:rFonts w:ascii="Times New Roman" w:eastAsia="Times New Roman" w:hAnsi="Times New Roman" w:cs="Times New Roman"/>
          <w:sz w:val="24"/>
          <w:szCs w:val="24"/>
          <w:lang w:val="sr-Cyrl-RS"/>
        </w:rPr>
      </w:pPr>
      <w:r w:rsidRPr="000E318F">
        <w:rPr>
          <w:rFonts w:ascii="Times New Roman" w:eastAsia="Times New Roman" w:hAnsi="Times New Roman" w:cs="Times New Roman"/>
          <w:sz w:val="24"/>
          <w:szCs w:val="24"/>
        </w:rPr>
        <w:t>Од почетка примене Закона, Управа</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пружа стручну помоћ наручиоцима и у виду састанака којих има у просеку 2-3 дневно. Састанци обично трају  45-60 минута, што чини  90 до 180 минута дневно или у просеку 2 човек/часа</w:t>
      </w:r>
      <w:r w:rsidR="0043579D">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дневно. При томе, састанци захтевају истовремено присуство најмање 2 стручњака из Управе, што значи да је за ову активност потреб</w:t>
      </w:r>
      <w:r w:rsidR="009721AF">
        <w:rPr>
          <w:rFonts w:ascii="Times New Roman" w:eastAsia="Times New Roman" w:hAnsi="Times New Roman" w:cs="Times New Roman"/>
          <w:sz w:val="24"/>
          <w:szCs w:val="24"/>
        </w:rPr>
        <w:t>но најмање 4 човек/часа дневно.</w:t>
      </w:r>
    </w:p>
    <w:p w:rsidR="00AC06FC" w:rsidRPr="00AC06FC" w:rsidRDefault="00AC06FC" w:rsidP="00AC06FC">
      <w:pPr>
        <w:jc w:val="both"/>
        <w:rPr>
          <w:rFonts w:ascii="Times New Roman" w:eastAsia="Times New Roman" w:hAnsi="Times New Roman" w:cs="Times New Roman"/>
          <w:sz w:val="24"/>
          <w:szCs w:val="24"/>
          <w:lang w:val="sr-Cyrl-RS"/>
        </w:rPr>
      </w:pPr>
    </w:p>
    <w:p w:rsidR="000E318F" w:rsidRPr="000E318F" w:rsidRDefault="000E318F" w:rsidP="000E318F">
      <w:pPr>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lastRenderedPageBreak/>
        <w:t>Тумачење одредби Закона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складу са чланом 136.</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став 1.</w:t>
      </w:r>
      <w:r w:rsidR="00C400DA">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тачка 4) Закона, Управа даје</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тумачења одредби</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Закона. Рок који је предвиђен износи 30 дана</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по приспећу писменог захтева. У 2014. години, Управа</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је </w:t>
      </w:r>
      <w:r w:rsidRPr="000E318F">
        <w:rPr>
          <w:rFonts w:ascii="Times New Roman" w:eastAsia="Times New Roman" w:hAnsi="Times New Roman" w:cs="Times New Roman"/>
          <w:color w:val="000000"/>
          <w:sz w:val="24"/>
          <w:szCs w:val="24"/>
        </w:rPr>
        <w:t xml:space="preserve">примила </w:t>
      </w:r>
      <w:r w:rsidRPr="000E318F">
        <w:rPr>
          <w:rFonts w:ascii="Times New Roman" w:eastAsia="Times New Roman" w:hAnsi="Times New Roman" w:cs="Times New Roman"/>
          <w:color w:val="000000"/>
          <w:sz w:val="24"/>
          <w:szCs w:val="24"/>
          <w:lang w:val="ru-RU"/>
        </w:rPr>
        <w:t xml:space="preserve">881 </w:t>
      </w:r>
      <w:r w:rsidRPr="000E318F">
        <w:rPr>
          <w:rFonts w:ascii="Times New Roman" w:eastAsia="Times New Roman" w:hAnsi="Times New Roman" w:cs="Times New Roman"/>
          <w:color w:val="000000"/>
          <w:sz w:val="24"/>
          <w:szCs w:val="24"/>
        </w:rPr>
        <w:t>писани захтев од којих је одговорено на 744 захтева</w:t>
      </w:r>
      <w:r w:rsidRPr="000E318F">
        <w:rPr>
          <w:rFonts w:ascii="Times New Roman" w:eastAsia="Times New Roman" w:hAnsi="Times New Roman" w:cs="Times New Roman"/>
          <w:sz w:val="24"/>
          <w:szCs w:val="24"/>
        </w:rPr>
        <w:t>. Припрема једног тумачења, у просеку, траје 4 човек/часа.</w:t>
      </w: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Друге врсте подршке корисницима</w:t>
      </w:r>
    </w:p>
    <w:p w:rsidR="000E318F" w:rsidRPr="000E318F" w:rsidRDefault="000E318F" w:rsidP="000E318F">
      <w:pPr>
        <w:jc w:val="both"/>
        <w:rPr>
          <w:rFonts w:ascii="Times New Roman" w:eastAsia="Times New Roman" w:hAnsi="Times New Roman" w:cs="Times New Roman"/>
          <w:i/>
          <w:sz w:val="24"/>
          <w:szCs w:val="24"/>
        </w:rPr>
      </w:pPr>
      <w:r w:rsidRPr="000E318F">
        <w:rPr>
          <w:rFonts w:ascii="Times New Roman" w:eastAsia="Times New Roman" w:hAnsi="Times New Roman" w:cs="Times New Roman"/>
          <w:sz w:val="24"/>
          <w:szCs w:val="24"/>
        </w:rPr>
        <w:t>Управа објављује на свом интернет-сајту</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одговоре на најчешће постављана питања заинтересованих корисника као и ставове о најрелевантнијим темама које су се појавиле током примене Закона, у оквиру рубрике</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i/>
          <w:sz w:val="24"/>
          <w:szCs w:val="24"/>
        </w:rPr>
        <w:t>Најчешће постављана питања.</w:t>
      </w:r>
    </w:p>
    <w:p w:rsidR="000E318F" w:rsidRPr="000E318F" w:rsidRDefault="000E318F" w:rsidP="000E318F">
      <w:pPr>
        <w:rPr>
          <w:rFonts w:ascii="Times New Roman" w:eastAsia="Times New Roman" w:hAnsi="Times New Roman" w:cs="Times New Roman"/>
          <w:b/>
          <w:color w:val="000000"/>
          <w:sz w:val="24"/>
          <w:szCs w:val="24"/>
        </w:rPr>
      </w:pPr>
      <w:r w:rsidRPr="000E318F">
        <w:rPr>
          <w:rFonts w:ascii="Times New Roman" w:eastAsia="Times New Roman" w:hAnsi="Times New Roman" w:cs="Times New Roman"/>
          <w:b/>
          <w:color w:val="000000"/>
          <w:sz w:val="24"/>
          <w:szCs w:val="24"/>
        </w:rPr>
        <w:t>Службеник за јавне набавке</w:t>
      </w:r>
    </w:p>
    <w:p w:rsidR="000E318F" w:rsidRPr="000E318F" w:rsidRDefault="000E318F" w:rsidP="00DF0138">
      <w:pPr>
        <w:jc w:val="both"/>
        <w:rPr>
          <w:rFonts w:ascii="Times New Roman" w:eastAsia="Times New Roman" w:hAnsi="Times New Roman" w:cs="Times New Roman"/>
          <w:color w:val="000000"/>
          <w:sz w:val="24"/>
          <w:szCs w:val="24"/>
          <w:lang w:eastAsia="en-US"/>
        </w:rPr>
      </w:pPr>
      <w:r w:rsidRPr="000E318F">
        <w:rPr>
          <w:rFonts w:ascii="Times New Roman" w:eastAsia="Times New Roman" w:hAnsi="Times New Roman" w:cs="Times New Roman"/>
          <w:color w:val="000000"/>
          <w:sz w:val="24"/>
          <w:szCs w:val="24"/>
          <w:lang w:val="en-US" w:eastAsia="en-US"/>
        </w:rPr>
        <w:t xml:space="preserve">У </w:t>
      </w:r>
      <w:r w:rsidRPr="000E318F">
        <w:rPr>
          <w:rFonts w:ascii="Times New Roman" w:eastAsia="Times New Roman" w:hAnsi="Times New Roman" w:cs="Times New Roman"/>
          <w:color w:val="000000"/>
          <w:sz w:val="24"/>
          <w:szCs w:val="24"/>
          <w:lang w:eastAsia="en-US"/>
        </w:rPr>
        <w:t xml:space="preserve">складу са донетим подзаконским актом, настављен је процес сертификације службеника за јавне набавке, те је у периоду од 30. октобра до краја децембра 2014. године одржано 7 испита, полагало је 249 кандидата, а положило 140 кандидата. </w:t>
      </w:r>
    </w:p>
    <w:p w:rsidR="000E318F" w:rsidRPr="000E318F" w:rsidRDefault="000E318F" w:rsidP="000E318F">
      <w:pPr>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Оквирни споразуми</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Од почетка примене новог Закона (1.април 2013</w:t>
      </w:r>
      <w:r w:rsidRPr="000E318F">
        <w:rPr>
          <w:rFonts w:ascii="Times New Roman" w:eastAsia="Times New Roman" w:hAnsi="Times New Roman" w:cs="Times New Roman"/>
          <w:sz w:val="24"/>
          <w:szCs w:val="24"/>
          <w:lang w:val="sr-Cyrl-CS"/>
        </w:rPr>
        <w:t>. године</w:t>
      </w:r>
      <w:r w:rsidRPr="000E318F">
        <w:rPr>
          <w:rFonts w:ascii="Times New Roman" w:eastAsia="Times New Roman" w:hAnsi="Times New Roman" w:cs="Times New Roman"/>
          <w:sz w:val="24"/>
          <w:szCs w:val="24"/>
        </w:rPr>
        <w:t xml:space="preserve">) кроз оквирне споразуме закључено </w:t>
      </w:r>
      <w:r w:rsidRPr="004E5DDB">
        <w:rPr>
          <w:rFonts w:ascii="Times New Roman" w:eastAsia="Times New Roman" w:hAnsi="Times New Roman" w:cs="Times New Roman"/>
          <w:sz w:val="24"/>
          <w:szCs w:val="24"/>
        </w:rPr>
        <w:t xml:space="preserve">је 3.352 </w:t>
      </w:r>
      <w:r w:rsidRPr="000E318F">
        <w:rPr>
          <w:rFonts w:ascii="Times New Roman" w:eastAsia="Times New Roman" w:hAnsi="Times New Roman" w:cs="Times New Roman"/>
          <w:sz w:val="24"/>
          <w:szCs w:val="24"/>
        </w:rPr>
        <w:t>уговора о јавним набавкама, укупне</w:t>
      </w:r>
      <w:r w:rsidR="005510BF">
        <w:rPr>
          <w:rFonts w:ascii="Times New Roman" w:eastAsia="Times New Roman" w:hAnsi="Times New Roman" w:cs="Times New Roman"/>
          <w:sz w:val="24"/>
          <w:szCs w:val="24"/>
          <w:lang w:val="sr-Cyrl-RS"/>
        </w:rPr>
        <w:t xml:space="preserve"> </w:t>
      </w:r>
      <w:r w:rsidRPr="004E5DDB">
        <w:rPr>
          <w:rFonts w:ascii="Times New Roman" w:eastAsia="Times New Roman" w:hAnsi="Times New Roman" w:cs="Times New Roman"/>
          <w:sz w:val="24"/>
          <w:szCs w:val="24"/>
        </w:rPr>
        <w:t>вредности 26.580.302.000</w:t>
      </w:r>
      <w:r w:rsidRPr="000E318F">
        <w:rPr>
          <w:rFonts w:ascii="Times New Roman" w:eastAsia="Times New Roman" w:hAnsi="Times New Roman" w:cs="Times New Roman"/>
          <w:sz w:val="24"/>
          <w:szCs w:val="24"/>
        </w:rPr>
        <w:t>динара.</w:t>
      </w: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Заједничко спровођење јавних набавки</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sz w:val="24"/>
          <w:szCs w:val="24"/>
        </w:rPr>
        <w:t>У складу са чланом 50</w:t>
      </w:r>
      <w:r w:rsidRPr="000E318F">
        <w:rPr>
          <w:rFonts w:ascii="Times New Roman" w:eastAsia="Times New Roman" w:hAnsi="Times New Roman" w:cs="Times New Roman"/>
          <w:sz w:val="24"/>
          <w:szCs w:val="24"/>
          <w:lang w:val="sr-Cyrl-CS"/>
        </w:rPr>
        <w:t xml:space="preserve">. </w:t>
      </w:r>
      <w:r w:rsidRPr="000E318F">
        <w:rPr>
          <w:rFonts w:ascii="Times New Roman" w:eastAsia="Times New Roman" w:hAnsi="Times New Roman" w:cs="Times New Roman"/>
          <w:sz w:val="24"/>
          <w:szCs w:val="24"/>
        </w:rPr>
        <w:t>Закона, Управа</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је дала </w:t>
      </w:r>
      <w:r w:rsidRPr="000E318F">
        <w:rPr>
          <w:rFonts w:ascii="Times New Roman" w:eastAsia="Times New Roman" w:hAnsi="Times New Roman" w:cs="Times New Roman"/>
          <w:color w:val="000000"/>
          <w:sz w:val="24"/>
          <w:szCs w:val="24"/>
        </w:rPr>
        <w:t>139 мишљења</w:t>
      </w:r>
      <w:r w:rsidR="005510BF">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color w:val="000000"/>
          <w:sz w:val="24"/>
          <w:szCs w:val="24"/>
        </w:rPr>
        <w:t>на одлуке о заједничком спровођењу јавних набавки од стране више наручилаца, од чега</w:t>
      </w:r>
      <w:r w:rsidR="005510BF">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color w:val="000000"/>
          <w:sz w:val="24"/>
          <w:szCs w:val="24"/>
        </w:rPr>
        <w:t>су 134 биле позитивне. Поред тога, УЈН је дала и 3 сагласности на одлуку, односно споразум о оснивању тела за централизоване јавне набавке у складу са чланом 48. ЗЈН.</w:t>
      </w: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Централизоване набавке</w:t>
      </w:r>
    </w:p>
    <w:p w:rsidR="000E318F" w:rsidRPr="004E5DDB" w:rsidRDefault="000E318F" w:rsidP="000E318F">
      <w:pPr>
        <w:jc w:val="both"/>
        <w:rPr>
          <w:rFonts w:ascii="Times New Roman" w:eastAsia="Times New Roman" w:hAnsi="Times New Roman" w:cs="Times New Roman"/>
          <w:sz w:val="24"/>
          <w:szCs w:val="24"/>
          <w:lang w:val="sr-Cyrl-CS"/>
        </w:rPr>
      </w:pPr>
      <w:r w:rsidRPr="004E5DDB">
        <w:rPr>
          <w:rFonts w:ascii="Times New Roman" w:eastAsia="Times New Roman" w:hAnsi="Times New Roman" w:cs="Times New Roman"/>
          <w:sz w:val="24"/>
          <w:szCs w:val="24"/>
        </w:rPr>
        <w:t>Од почетка примене новог Закона, кроз централизоване набавке</w:t>
      </w:r>
      <w:r w:rsidR="005510BF">
        <w:rPr>
          <w:rFonts w:ascii="Times New Roman" w:eastAsia="Times New Roman" w:hAnsi="Times New Roman" w:cs="Times New Roman"/>
          <w:sz w:val="24"/>
          <w:szCs w:val="24"/>
          <w:lang w:val="sr-Cyrl-RS"/>
        </w:rPr>
        <w:t xml:space="preserve"> </w:t>
      </w:r>
      <w:r w:rsidRPr="004E5DDB">
        <w:rPr>
          <w:rFonts w:ascii="Times New Roman" w:eastAsia="Times New Roman" w:hAnsi="Times New Roman" w:cs="Times New Roman"/>
          <w:sz w:val="24"/>
          <w:szCs w:val="24"/>
        </w:rPr>
        <w:t>закључено је 2.015 уговора о јавним набавкама чија је укупна вредност износила  21.790.058.000 динара</w:t>
      </w:r>
      <w:r w:rsidRPr="004E5DDB">
        <w:rPr>
          <w:rFonts w:ascii="Times New Roman" w:eastAsia="Times New Roman" w:hAnsi="Times New Roman" w:cs="Times New Roman"/>
          <w:sz w:val="24"/>
          <w:szCs w:val="24"/>
          <w:lang w:val="sr-Cyrl-CS"/>
        </w:rPr>
        <w:t>.</w:t>
      </w: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Грађански надзорник</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2014</w:t>
      </w:r>
      <w:r w:rsidRPr="000E318F">
        <w:rPr>
          <w:rFonts w:ascii="Times New Roman" w:eastAsia="Times New Roman" w:hAnsi="Times New Roman" w:cs="Times New Roman"/>
          <w:sz w:val="24"/>
          <w:szCs w:val="24"/>
          <w:lang w:val="sr-Cyrl-CS"/>
        </w:rPr>
        <w:t>.</w:t>
      </w:r>
      <w:r w:rsidRPr="000E318F">
        <w:rPr>
          <w:rFonts w:ascii="Times New Roman" w:eastAsia="Times New Roman" w:hAnsi="Times New Roman" w:cs="Times New Roman"/>
          <w:sz w:val="24"/>
          <w:szCs w:val="24"/>
        </w:rPr>
        <w:t xml:space="preserve"> години, у складу са чланом 28. Закона, Управа је именовала</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color w:val="000000"/>
          <w:sz w:val="24"/>
          <w:szCs w:val="24"/>
        </w:rPr>
        <w:t>30 грађанских</w:t>
      </w:r>
      <w:r w:rsidR="00954B6F">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sz w:val="24"/>
          <w:szCs w:val="24"/>
        </w:rPr>
        <w:t>надзорника</w:t>
      </w:r>
      <w:r w:rsidR="005510B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за поступке јавних набавки изнад 1 милијарде динара.</w:t>
      </w:r>
    </w:p>
    <w:p w:rsidR="000E318F" w:rsidRPr="000E318F" w:rsidRDefault="000E318F" w:rsidP="000E318F">
      <w:pPr>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Прекршајни поступци</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Од </w:t>
      </w:r>
      <w:r w:rsidRPr="000E318F">
        <w:rPr>
          <w:rFonts w:ascii="Times New Roman" w:eastAsia="Times New Roman" w:hAnsi="Times New Roman" w:cs="Times New Roman"/>
          <w:sz w:val="24"/>
          <w:szCs w:val="24"/>
          <w:lang w:val="sr-Cyrl-CS"/>
        </w:rPr>
        <w:t xml:space="preserve">1. </w:t>
      </w:r>
      <w:r w:rsidRPr="000E318F">
        <w:rPr>
          <w:rFonts w:ascii="Times New Roman" w:eastAsia="Times New Roman" w:hAnsi="Times New Roman" w:cs="Times New Roman"/>
          <w:sz w:val="24"/>
          <w:szCs w:val="24"/>
        </w:rPr>
        <w:t>марта 2014</w:t>
      </w:r>
      <w:r w:rsidRPr="000E318F">
        <w:rPr>
          <w:rFonts w:ascii="Times New Roman" w:eastAsia="Times New Roman" w:hAnsi="Times New Roman" w:cs="Times New Roman"/>
          <w:sz w:val="24"/>
          <w:szCs w:val="24"/>
          <w:lang w:val="sr-Cyrl-CS"/>
        </w:rPr>
        <w:t>. године</w:t>
      </w:r>
      <w:r w:rsidRPr="000E318F">
        <w:rPr>
          <w:rFonts w:ascii="Times New Roman" w:eastAsia="Times New Roman" w:hAnsi="Times New Roman" w:cs="Times New Roman"/>
          <w:sz w:val="24"/>
          <w:szCs w:val="24"/>
        </w:rPr>
        <w:t>, кад је нови Закон о прекршајима почео да се примењује, Управа је поднела</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26 захтева за покретање прекршајног поступка</w:t>
      </w:r>
      <w:r w:rsidR="00A974D4">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Републичкој комисији за заштиту права у поступцима јавних набавки. </w:t>
      </w:r>
      <w:r w:rsidRPr="000E318F">
        <w:rPr>
          <w:rFonts w:ascii="Times New Roman" w:eastAsia="Times New Roman" w:hAnsi="Times New Roman" w:cs="Times New Roman"/>
          <w:color w:val="000000"/>
          <w:sz w:val="24"/>
          <w:szCs w:val="24"/>
        </w:rPr>
        <w:t>У припреми је 9 захтева за покретање прекршајног поступка. Републичка комисија, у</w:t>
      </w:r>
      <w:r w:rsidRPr="000E318F">
        <w:rPr>
          <w:rFonts w:ascii="Times New Roman" w:eastAsia="Times New Roman" w:hAnsi="Times New Roman" w:cs="Times New Roman"/>
          <w:sz w:val="24"/>
          <w:szCs w:val="24"/>
        </w:rPr>
        <w:t xml:space="preserve"> складу са својим надлежностима одлучује о прекршајима у области јавних набавки.</w:t>
      </w:r>
    </w:p>
    <w:p w:rsidR="00A974D4" w:rsidRDefault="00A974D4" w:rsidP="000E318F">
      <w:pPr>
        <w:jc w:val="both"/>
        <w:rPr>
          <w:rFonts w:ascii="Times New Roman" w:eastAsia="Times New Roman" w:hAnsi="Times New Roman" w:cs="Times New Roman"/>
          <w:b/>
          <w:sz w:val="24"/>
          <w:szCs w:val="24"/>
          <w:lang w:val="sr-Cyrl-RS"/>
        </w:rPr>
      </w:pPr>
    </w:p>
    <w:p w:rsidR="00A974D4" w:rsidRDefault="00A974D4" w:rsidP="000E318F">
      <w:pPr>
        <w:jc w:val="both"/>
        <w:rPr>
          <w:rFonts w:ascii="Times New Roman" w:eastAsia="Times New Roman" w:hAnsi="Times New Roman" w:cs="Times New Roman"/>
          <w:b/>
          <w:sz w:val="24"/>
          <w:szCs w:val="24"/>
          <w:lang w:val="sr-Cyrl-RS"/>
        </w:rPr>
      </w:pP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lastRenderedPageBreak/>
        <w:t>Негативне референце</w:t>
      </w:r>
    </w:p>
    <w:p w:rsidR="000E318F" w:rsidRPr="00704FA2"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Члан 83. Закона</w:t>
      </w:r>
      <w:r w:rsidR="00A974D4">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color w:val="000000"/>
          <w:sz w:val="24"/>
          <w:szCs w:val="24"/>
        </w:rPr>
        <w:t>прописује обавезу Управе</w:t>
      </w:r>
      <w:r w:rsidR="00A974D4">
        <w:rPr>
          <w:rFonts w:ascii="Times New Roman" w:eastAsia="Times New Roman" w:hAnsi="Times New Roman" w:cs="Times New Roman"/>
          <w:color w:val="000000"/>
          <w:sz w:val="24"/>
          <w:szCs w:val="24"/>
          <w:lang w:val="sr-Cyrl-RS"/>
        </w:rPr>
        <w:t xml:space="preserve"> </w:t>
      </w:r>
      <w:r w:rsidRPr="000E318F">
        <w:rPr>
          <w:rFonts w:ascii="Times New Roman" w:eastAsia="Times New Roman" w:hAnsi="Times New Roman" w:cs="Times New Roman"/>
          <w:color w:val="000000"/>
          <w:sz w:val="24"/>
          <w:szCs w:val="24"/>
        </w:rPr>
        <w:t>да води списак негативних референци. Од почетка примене Закона, Управа је примила 325 доказа који се односе на негативне референце</w:t>
      </w:r>
      <w:r w:rsidRPr="000E318F">
        <w:rPr>
          <w:rFonts w:ascii="Times New Roman" w:eastAsia="Times New Roman" w:hAnsi="Times New Roman" w:cs="Times New Roman"/>
          <w:color w:val="000000"/>
          <w:sz w:val="24"/>
          <w:szCs w:val="24"/>
          <w:lang w:val="sr-Cyrl-CS"/>
        </w:rPr>
        <w:t xml:space="preserve">. Окончан је један поступак у погледу утврђивања постојања негативне референце. </w:t>
      </w:r>
      <w:r w:rsidRPr="000E318F">
        <w:rPr>
          <w:rFonts w:ascii="Times New Roman" w:eastAsia="Times New Roman" w:hAnsi="Times New Roman" w:cs="Times New Roman"/>
          <w:color w:val="000000"/>
          <w:sz w:val="24"/>
          <w:szCs w:val="24"/>
        </w:rPr>
        <w:t>Наиме, Закон предвиђа одређене предуслове за упис на листу, а то је да је понуђач имао негативне референце код најмање три међусобно неповезана наручиоца у периоду од годину дана.</w:t>
      </w: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 xml:space="preserve">Међуинституционална сарадња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Током припрема за експл</w:t>
      </w:r>
      <w:r w:rsidR="00954B6F">
        <w:rPr>
          <w:rFonts w:ascii="Times New Roman" w:eastAsia="Times New Roman" w:hAnsi="Times New Roman" w:cs="Times New Roman"/>
          <w:sz w:val="24"/>
          <w:szCs w:val="24"/>
          <w:lang w:val="sr-Cyrl-RS"/>
        </w:rPr>
        <w:t>а</w:t>
      </w:r>
      <w:r w:rsidRPr="000E318F">
        <w:rPr>
          <w:rFonts w:ascii="Times New Roman" w:eastAsia="Times New Roman" w:hAnsi="Times New Roman" w:cs="Times New Roman"/>
          <w:sz w:val="24"/>
          <w:szCs w:val="24"/>
        </w:rPr>
        <w:t xml:space="preserve">наторни и билатерални скрининг, као и током самих скрининга, остварена је успешна сарадња између свих релевантних институција. Поред тога, у процес су били укључени и представници невладиних тела, као што су: Стална конференција градова и општина, затим Привредна комора Србије, невладине организације попут Транспарентности Србија. Подршку Управи и Преговарачкој групи 5, у циљу што боље припреме за преговарачки процес, пружили су: ПЛАК пројекат ЕУ, УНДП, ГИЗ и ОЕБС.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Успешна сарадња међу институцијама остварена је и током рада на Стратегији развоја јавних набавки где је </w:t>
      </w:r>
      <w:r w:rsidRPr="000E318F">
        <w:rPr>
          <w:rFonts w:ascii="Times New Roman" w:eastAsia="Times New Roman" w:hAnsi="Times New Roman" w:cs="Times New Roman"/>
          <w:sz w:val="24"/>
          <w:szCs w:val="24"/>
          <w:lang w:val="sr-Cyrl-CS"/>
        </w:rPr>
        <w:t>Управа</w:t>
      </w:r>
      <w:r w:rsidRPr="000E318F">
        <w:rPr>
          <w:rFonts w:ascii="Times New Roman" w:eastAsia="Times New Roman" w:hAnsi="Times New Roman" w:cs="Times New Roman"/>
          <w:sz w:val="24"/>
          <w:szCs w:val="24"/>
        </w:rPr>
        <w:t xml:space="preserve"> имала координативну улогу. Такође је потписан и Меморандум о сарадњи између: Републичке комисије за заштиту права у поступцима јавних набавки, ДРИ, Агенције за борбу против корупције, Савета за борбу против корупције, Комисије за заштиту конкуренције, Министарства финансија, Министарства привреде и Управе за јавне набавке, као мере из Акционог плана за спровођење Националне стратегије за борбу против корупције. Меморандум, између осталог, предвиђа унапређивање размене података између институција, као и формирање заједничке базе података.  </w:t>
      </w:r>
    </w:p>
    <w:p w:rsidR="000E318F" w:rsidRPr="000E318F" w:rsidRDefault="000E318F" w:rsidP="000E318F">
      <w:pPr>
        <w:jc w:val="both"/>
        <w:rPr>
          <w:rFonts w:ascii="Times New Roman" w:eastAsia="Times New Roman" w:hAnsi="Times New Roman" w:cs="Times New Roman"/>
          <w:sz w:val="24"/>
          <w:szCs w:val="24"/>
          <w:lang w:val="ru-RU"/>
        </w:rPr>
      </w:pPr>
      <w:r w:rsidRPr="000E318F">
        <w:rPr>
          <w:rFonts w:ascii="Times New Roman" w:eastAsia="Times New Roman" w:hAnsi="Times New Roman" w:cs="Times New Roman"/>
          <w:sz w:val="24"/>
          <w:szCs w:val="24"/>
          <w:lang w:val="ru-RU"/>
        </w:rPr>
        <w:t xml:space="preserve">Поред тога, Управа и Републичко јавно тужилаштво су потписали и билатерални Меморандум о сарадњи, такође као реализацију мере из Акционог плана за спровођење Националане стратегије за борбу против корупције. Сврха Меморандума је да се унапреди координација ове две институције на откривању и истрази кривичних дела у области јавних набавки.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Представници Управе учествовали су у припреми нацрта предлога Акционог плана за испуњавање препорука Извештаја о скринингу за поглавље 23, подпоглавље – Борба против корупције.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Поред тога, представници </w:t>
      </w:r>
      <w:r w:rsidRPr="000E318F">
        <w:rPr>
          <w:rFonts w:ascii="Times New Roman" w:eastAsia="Times New Roman" w:hAnsi="Times New Roman" w:cs="Times New Roman"/>
          <w:sz w:val="24"/>
          <w:szCs w:val="24"/>
          <w:lang w:val="sr-Cyrl-CS"/>
        </w:rPr>
        <w:t>Управе</w:t>
      </w:r>
      <w:r w:rsidRPr="000E318F">
        <w:rPr>
          <w:rFonts w:ascii="Times New Roman" w:eastAsia="Times New Roman" w:hAnsi="Times New Roman" w:cs="Times New Roman"/>
          <w:sz w:val="24"/>
          <w:szCs w:val="24"/>
        </w:rPr>
        <w:t xml:space="preserve"> учествовали су у раду Радне групе за израду Закона о отклањању последица поплава у Републици Србији, као и више секторских радних група формираних од стране Владе </w:t>
      </w:r>
      <w:r w:rsidRPr="000E318F">
        <w:rPr>
          <w:rFonts w:ascii="Times New Roman" w:eastAsia="Times New Roman" w:hAnsi="Times New Roman" w:cs="Times New Roman"/>
          <w:sz w:val="24"/>
          <w:szCs w:val="24"/>
          <w:lang w:val="sr-Cyrl-CS"/>
        </w:rPr>
        <w:t xml:space="preserve">Републике </w:t>
      </w:r>
      <w:r w:rsidRPr="000E318F">
        <w:rPr>
          <w:rFonts w:ascii="Times New Roman" w:eastAsia="Times New Roman" w:hAnsi="Times New Roman" w:cs="Times New Roman"/>
          <w:sz w:val="24"/>
          <w:szCs w:val="24"/>
        </w:rPr>
        <w:t xml:space="preserve">Србије, како би пружили помоћ у примени </w:t>
      </w:r>
      <w:r w:rsidRPr="000E318F">
        <w:rPr>
          <w:rFonts w:ascii="Times New Roman" w:eastAsia="Times New Roman" w:hAnsi="Times New Roman" w:cs="Times New Roman"/>
          <w:sz w:val="24"/>
          <w:szCs w:val="24"/>
          <w:lang w:val="sr-Cyrl-CS"/>
        </w:rPr>
        <w:t>Закона</w:t>
      </w:r>
      <w:r w:rsidRPr="000E318F">
        <w:rPr>
          <w:rFonts w:ascii="Times New Roman" w:eastAsia="Times New Roman" w:hAnsi="Times New Roman" w:cs="Times New Roman"/>
          <w:sz w:val="24"/>
          <w:szCs w:val="24"/>
        </w:rPr>
        <w:t xml:space="preserve"> у следећим областима: енергетици, саобраћају, здравству, просвети и култури. </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lang w:val="sr-Cyrl-CS"/>
        </w:rPr>
        <w:t>Управа</w:t>
      </w:r>
      <w:r w:rsidRPr="000E318F">
        <w:rPr>
          <w:rFonts w:ascii="Times New Roman" w:eastAsia="Times New Roman" w:hAnsi="Times New Roman" w:cs="Times New Roman"/>
          <w:sz w:val="24"/>
          <w:szCs w:val="24"/>
        </w:rPr>
        <w:t xml:space="preserve"> је пружала стручну помоћ Првом основном јавном тужилаштву у Београду, Републичком јавном тужилаштву, као и полицији током истражних поступака које су водили, у делу злоупотреба везаних за примену Закона. </w:t>
      </w:r>
    </w:p>
    <w:p w:rsidR="000E318F" w:rsidRPr="000E318F" w:rsidRDefault="000E318F" w:rsidP="000E318F">
      <w:pPr>
        <w:jc w:val="both"/>
        <w:rPr>
          <w:rFonts w:ascii="Arial" w:eastAsia="Times New Roman" w:hAnsi="Arial" w:cs="Arial"/>
          <w:color w:val="000000"/>
          <w:sz w:val="20"/>
          <w:szCs w:val="20"/>
        </w:rPr>
      </w:pPr>
      <w:r w:rsidRPr="000E318F">
        <w:rPr>
          <w:rFonts w:ascii="Times New Roman" w:eastAsia="Times New Roman" w:hAnsi="Times New Roman" w:cs="Times New Roman"/>
          <w:sz w:val="24"/>
          <w:szCs w:val="24"/>
        </w:rPr>
        <w:t xml:space="preserve">Управа </w:t>
      </w:r>
      <w:r w:rsidRPr="000E318F">
        <w:rPr>
          <w:rFonts w:ascii="Times New Roman" w:eastAsia="Times New Roman" w:hAnsi="Times New Roman" w:cs="Times New Roman"/>
          <w:sz w:val="24"/>
          <w:szCs w:val="24"/>
          <w:lang w:val="sr-Cyrl-CS"/>
        </w:rPr>
        <w:t>је наставила интензивну</w:t>
      </w:r>
      <w:r w:rsidRPr="000E318F">
        <w:rPr>
          <w:rFonts w:ascii="Times New Roman" w:eastAsia="Times New Roman" w:hAnsi="Times New Roman" w:cs="Times New Roman"/>
          <w:sz w:val="24"/>
          <w:szCs w:val="24"/>
        </w:rPr>
        <w:t xml:space="preserve"> сарадњу са Републичком комисијом за заштиту права у поступцима јавних набавки и ДРИ</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кроз редовну комуникацију у циљу усклађивања ставова, као и </w:t>
      </w:r>
      <w:r w:rsidRPr="000E318F">
        <w:rPr>
          <w:rFonts w:ascii="Times New Roman" w:eastAsia="Times New Roman" w:hAnsi="Times New Roman" w:cs="Times New Roman"/>
          <w:sz w:val="24"/>
          <w:szCs w:val="24"/>
          <w:lang w:val="sr-Cyrl-CS"/>
        </w:rPr>
        <w:t xml:space="preserve">кроз </w:t>
      </w:r>
      <w:r w:rsidRPr="000E318F">
        <w:rPr>
          <w:rFonts w:ascii="Times New Roman" w:eastAsia="Times New Roman" w:hAnsi="Times New Roman" w:cs="Times New Roman"/>
          <w:sz w:val="24"/>
          <w:szCs w:val="24"/>
        </w:rPr>
        <w:t>периодич</w:t>
      </w:r>
      <w:r w:rsidRPr="000E318F">
        <w:rPr>
          <w:rFonts w:ascii="Times New Roman" w:eastAsia="Times New Roman" w:hAnsi="Times New Roman" w:cs="Times New Roman"/>
          <w:sz w:val="24"/>
          <w:szCs w:val="24"/>
          <w:lang w:val="sr-Cyrl-CS"/>
        </w:rPr>
        <w:t>не</w:t>
      </w:r>
      <w:r w:rsidR="00954B6F">
        <w:rPr>
          <w:rFonts w:ascii="Times New Roman" w:eastAsia="Times New Roman" w:hAnsi="Times New Roman" w:cs="Times New Roman"/>
          <w:sz w:val="24"/>
          <w:szCs w:val="24"/>
          <w:lang w:val="sr-Cyrl-CS"/>
        </w:rPr>
        <w:t xml:space="preserve"> </w:t>
      </w:r>
      <w:r w:rsidRPr="000E318F">
        <w:rPr>
          <w:rFonts w:ascii="Times New Roman" w:eastAsia="Times New Roman" w:hAnsi="Times New Roman" w:cs="Times New Roman"/>
          <w:sz w:val="24"/>
          <w:szCs w:val="24"/>
        </w:rPr>
        <w:t>радиониц</w:t>
      </w:r>
      <w:r w:rsidRPr="000E318F">
        <w:rPr>
          <w:rFonts w:ascii="Times New Roman" w:eastAsia="Times New Roman" w:hAnsi="Times New Roman" w:cs="Times New Roman"/>
          <w:sz w:val="24"/>
          <w:szCs w:val="24"/>
          <w:lang w:val="sr-Cyrl-CS"/>
        </w:rPr>
        <w:t>е</w:t>
      </w:r>
      <w:r w:rsidRPr="000E318F">
        <w:rPr>
          <w:rFonts w:ascii="Times New Roman" w:eastAsia="Times New Roman" w:hAnsi="Times New Roman" w:cs="Times New Roman"/>
          <w:sz w:val="24"/>
          <w:szCs w:val="24"/>
        </w:rPr>
        <w:t xml:space="preserve"> на којима су се разматрала системска питањ</w:t>
      </w:r>
      <w:r w:rsidRPr="000E318F">
        <w:rPr>
          <w:rFonts w:ascii="Times New Roman" w:eastAsia="Times New Roman" w:hAnsi="Times New Roman" w:cs="Times New Roman"/>
          <w:sz w:val="24"/>
          <w:szCs w:val="24"/>
          <w:lang w:val="sr-Cyrl-CS"/>
        </w:rPr>
        <w:t>а</w:t>
      </w:r>
      <w:r w:rsidR="00954B6F">
        <w:rPr>
          <w:rFonts w:ascii="Times New Roman" w:eastAsia="Times New Roman" w:hAnsi="Times New Roman" w:cs="Times New Roman"/>
          <w:sz w:val="24"/>
          <w:szCs w:val="24"/>
          <w:lang w:val="sr-Cyrl-CS"/>
        </w:rPr>
        <w:t xml:space="preserve"> </w:t>
      </w:r>
      <w:r w:rsidRPr="000E318F">
        <w:rPr>
          <w:rFonts w:ascii="Times New Roman" w:eastAsia="Times New Roman" w:hAnsi="Times New Roman" w:cs="Times New Roman"/>
          <w:sz w:val="24"/>
          <w:szCs w:val="24"/>
        </w:rPr>
        <w:t xml:space="preserve">из области примене Закона о јавним набавкама. У 2014. </w:t>
      </w:r>
      <w:r w:rsidRPr="000E318F">
        <w:rPr>
          <w:rFonts w:ascii="Times New Roman" w:eastAsia="Times New Roman" w:hAnsi="Times New Roman" w:cs="Times New Roman"/>
          <w:color w:val="000000"/>
          <w:sz w:val="24"/>
          <w:szCs w:val="24"/>
        </w:rPr>
        <w:t>о</w:t>
      </w:r>
      <w:r w:rsidRPr="000E318F">
        <w:rPr>
          <w:rFonts w:ascii="Times New Roman" w:eastAsia="Times New Roman" w:hAnsi="Times New Roman" w:cs="Times New Roman"/>
          <w:color w:val="000000"/>
          <w:sz w:val="24"/>
          <w:szCs w:val="24"/>
          <w:lang w:val="ru-RU" w:eastAsia="en-US"/>
        </w:rPr>
        <w:t xml:space="preserve">држано је више тематских радионица са Републичком комисијом за заштиту права у </w:t>
      </w:r>
      <w:r w:rsidRPr="000E318F">
        <w:rPr>
          <w:rFonts w:ascii="Times New Roman" w:eastAsia="Times New Roman" w:hAnsi="Times New Roman" w:cs="Times New Roman"/>
          <w:color w:val="000000"/>
          <w:sz w:val="24"/>
          <w:szCs w:val="24"/>
          <w:lang w:val="ru-RU" w:eastAsia="en-US"/>
        </w:rPr>
        <w:lastRenderedPageBreak/>
        <w:t>поступцима јавних набавки, Државном ревизорском институцијом и Буџетском инспекцијом Министарства финансија.</w:t>
      </w:r>
    </w:p>
    <w:p w:rsidR="000E318F" w:rsidRPr="000E318F" w:rsidRDefault="000E318F" w:rsidP="000E318F">
      <w:pPr>
        <w:spacing w:after="0" w:line="20" w:lineRule="atLeast"/>
        <w:contextualSpacing/>
        <w:jc w:val="both"/>
        <w:rPr>
          <w:rFonts w:ascii="Arial" w:eastAsia="Times New Roman" w:hAnsi="Arial" w:cs="Arial"/>
          <w:color w:val="FF0000"/>
          <w:sz w:val="20"/>
          <w:szCs w:val="20"/>
        </w:rPr>
      </w:pP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Међуинституционална сарадња је настављена и одржавањем семинара 12. јуна 2014. године на коме су представници </w:t>
      </w:r>
      <w:r w:rsidRPr="000E318F">
        <w:rPr>
          <w:rFonts w:ascii="Times New Roman" w:eastAsia="Times New Roman" w:hAnsi="Times New Roman" w:cs="Times New Roman"/>
          <w:sz w:val="24"/>
          <w:szCs w:val="24"/>
          <w:lang w:val="sr-Cyrl-CS"/>
        </w:rPr>
        <w:t>Управе за јавне набавке</w:t>
      </w:r>
      <w:r w:rsidRPr="000E318F">
        <w:rPr>
          <w:rFonts w:ascii="Times New Roman" w:eastAsia="Times New Roman" w:hAnsi="Times New Roman" w:cs="Times New Roman"/>
          <w:sz w:val="24"/>
          <w:szCs w:val="24"/>
        </w:rPr>
        <w:t>,</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Републичке комисије за заштиту права и</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ДРИ</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lang w:val="sr-Cyrl-CS"/>
        </w:rPr>
        <w:t>изнели</w:t>
      </w:r>
      <w:r w:rsidR="00954B6F">
        <w:rPr>
          <w:rFonts w:ascii="Times New Roman" w:eastAsia="Times New Roman" w:hAnsi="Times New Roman" w:cs="Times New Roman"/>
          <w:sz w:val="24"/>
          <w:szCs w:val="24"/>
          <w:lang w:val="sr-Cyrl-CS"/>
        </w:rPr>
        <w:t xml:space="preserve"> </w:t>
      </w:r>
      <w:r w:rsidRPr="000E318F">
        <w:rPr>
          <w:rFonts w:ascii="Times New Roman" w:eastAsia="Times New Roman" w:hAnsi="Times New Roman" w:cs="Times New Roman"/>
          <w:sz w:val="24"/>
          <w:szCs w:val="24"/>
        </w:rPr>
        <w:t xml:space="preserve">случајеве злоупотреба у области јавних набавки представницима Прекршајног апелационог суда, јавног тужилаштва и основних судова. </w:t>
      </w:r>
    </w:p>
    <w:p w:rsidR="000E318F" w:rsidRPr="000E318F" w:rsidRDefault="000E318F" w:rsidP="000E318F">
      <w:pPr>
        <w:jc w:val="both"/>
        <w:rPr>
          <w:rFonts w:ascii="Times New Roman" w:eastAsia="Times New Roman" w:hAnsi="Times New Roman" w:cs="Times New Roman"/>
          <w:b/>
          <w:sz w:val="24"/>
          <w:szCs w:val="24"/>
        </w:rPr>
      </w:pPr>
      <w:r w:rsidRPr="000E318F">
        <w:rPr>
          <w:rFonts w:ascii="Times New Roman" w:eastAsia="Times New Roman" w:hAnsi="Times New Roman" w:cs="Times New Roman"/>
          <w:b/>
          <w:sz w:val="24"/>
          <w:szCs w:val="24"/>
        </w:rPr>
        <w:t>Обуке</w:t>
      </w:r>
    </w:p>
    <w:p w:rsidR="000E318F" w:rsidRPr="00246B1A" w:rsidRDefault="000E318F" w:rsidP="000E318F">
      <w:pPr>
        <w:rPr>
          <w:rFonts w:ascii="Times New Roman" w:eastAsia="Times New Roman" w:hAnsi="Times New Roman" w:cs="Times New Roman"/>
          <w:sz w:val="24"/>
          <w:szCs w:val="24"/>
          <w:lang w:val="sr-Cyrl-RS"/>
        </w:rPr>
      </w:pPr>
      <w:r w:rsidRPr="000E318F">
        <w:rPr>
          <w:rFonts w:ascii="Times New Roman" w:eastAsia="Times New Roman" w:hAnsi="Times New Roman" w:cs="Times New Roman"/>
          <w:sz w:val="24"/>
          <w:szCs w:val="24"/>
        </w:rPr>
        <w:t xml:space="preserve">Управа за јавне набавке спровела је следеће обуке у 2014. </w:t>
      </w:r>
      <w:r w:rsidR="00246B1A">
        <w:rPr>
          <w:rFonts w:ascii="Times New Roman" w:eastAsia="Times New Roman" w:hAnsi="Times New Roman" w:cs="Times New Roman"/>
          <w:sz w:val="24"/>
          <w:szCs w:val="24"/>
          <w:lang w:val="sr-Cyrl-RS"/>
        </w:rPr>
        <w:t>г</w:t>
      </w:r>
      <w:r w:rsidRPr="000E318F">
        <w:rPr>
          <w:rFonts w:ascii="Times New Roman" w:eastAsia="Times New Roman" w:hAnsi="Times New Roman" w:cs="Times New Roman"/>
          <w:sz w:val="24"/>
          <w:szCs w:val="24"/>
        </w:rPr>
        <w:t>одини</w:t>
      </w:r>
      <w:r w:rsidR="00246B1A">
        <w:rPr>
          <w:rFonts w:ascii="Times New Roman" w:eastAsia="Times New Roman" w:hAnsi="Times New Roman" w:cs="Times New Roman"/>
          <w:sz w:val="24"/>
          <w:szCs w:val="24"/>
          <w:lang w:val="sr-Cyrl-RS"/>
        </w:rPr>
        <w:t>:</w:t>
      </w:r>
    </w:p>
    <w:p w:rsidR="000E318F" w:rsidRPr="000E318F" w:rsidRDefault="000E318F" w:rsidP="000E318F">
      <w:pPr>
        <w:numPr>
          <w:ilvl w:val="0"/>
          <w:numId w:val="10"/>
        </w:numPr>
        <w:spacing w:after="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Управа за јавне набавке је, у сарадњи са Правосудном академијом, у периоду од 11 до 13. јуна 2014. године, у Ечкој  одржала радионицу за судије и тужиоце на тему унапређивања откривања и сузбијања злоупотреба у јавним набавкама. Поред представника Управе као предавача, радионицама су присуствовали и представници Државне ревизорске институције, Агенције за борбу против корупције и Републичке комисије за заштиту права у поступцима јавних набавки;</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numPr>
          <w:ilvl w:val="0"/>
          <w:numId w:val="10"/>
        </w:numPr>
        <w:spacing w:after="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У сарадњи са Привредном комором Србије – Центром за </w:t>
      </w:r>
      <w:r w:rsidRPr="001D3AA4">
        <w:rPr>
          <w:rFonts w:ascii="Times New Roman" w:eastAsia="Times New Roman" w:hAnsi="Times New Roman" w:cs="Times New Roman"/>
          <w:sz w:val="24"/>
          <w:szCs w:val="24"/>
        </w:rPr>
        <w:t>едукац</w:t>
      </w:r>
      <w:r w:rsidR="001D3AA4" w:rsidRPr="001D3AA4">
        <w:rPr>
          <w:rFonts w:ascii="Times New Roman" w:eastAsia="Times New Roman" w:hAnsi="Times New Roman" w:cs="Times New Roman"/>
          <w:sz w:val="24"/>
          <w:szCs w:val="24"/>
        </w:rPr>
        <w:t>и</w:t>
      </w:r>
      <w:r w:rsidRPr="001D3AA4">
        <w:rPr>
          <w:rFonts w:ascii="Times New Roman" w:eastAsia="Times New Roman" w:hAnsi="Times New Roman" w:cs="Times New Roman"/>
          <w:sz w:val="24"/>
          <w:szCs w:val="24"/>
        </w:rPr>
        <w:t xml:space="preserve">ју и </w:t>
      </w:r>
      <w:r w:rsidRPr="000E318F">
        <w:rPr>
          <w:rFonts w:ascii="Times New Roman" w:eastAsia="Times New Roman" w:hAnsi="Times New Roman" w:cs="Times New Roman"/>
          <w:sz w:val="24"/>
          <w:szCs w:val="24"/>
        </w:rPr>
        <w:t>стручно образовање,Управа за јавне набавке је 18.6.2014. године и 15.9.2014. године, у просторијама</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Коморе, одржала семинаре под називом „Јачање капацитета понуђача - како да учествујете у поступцима јавних набавки“.</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spacing w:after="0"/>
        <w:ind w:left="36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Семинари су организовани за мала и средња предузећа како би се што боље информисала о поступцима јавних набавки и могућностима које пружају Портал јавних набавки, Регистар понуђача, као и подршку коју могу добити од Управе за јавне набавке и Привредне коморе са циљем да се укључе у поступке јавних набавки и тиме повећају своје шансе за добијање уговора о испоруци добара, пружању услуга или извођењу радова које додељују наручиоци у смислу Закона.</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spacing w:after="0"/>
        <w:ind w:firstLine="36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Теме семинара биле су:</w:t>
      </w:r>
    </w:p>
    <w:p w:rsidR="00DB2A84" w:rsidRPr="00DB2A84" w:rsidRDefault="000E318F" w:rsidP="00DB2A84">
      <w:pPr>
        <w:pStyle w:val="ListParagraph"/>
        <w:numPr>
          <w:ilvl w:val="0"/>
          <w:numId w:val="12"/>
        </w:numPr>
        <w:spacing w:after="0"/>
        <w:jc w:val="both"/>
        <w:rPr>
          <w:rFonts w:ascii="Times New Roman" w:eastAsia="Times New Roman" w:hAnsi="Times New Roman" w:cs="Times New Roman"/>
          <w:sz w:val="24"/>
          <w:szCs w:val="24"/>
        </w:rPr>
      </w:pPr>
      <w:r w:rsidRPr="00DB2A84">
        <w:rPr>
          <w:rFonts w:ascii="Times New Roman" w:eastAsia="Times New Roman" w:hAnsi="Times New Roman" w:cs="Times New Roman"/>
          <w:sz w:val="24"/>
          <w:szCs w:val="24"/>
        </w:rPr>
        <w:t>Портал јавних набавки - како пронаћи оглас о јавној набавци за предмет јавне набавке за</w:t>
      </w:r>
      <w:r w:rsidR="00954B6F">
        <w:rPr>
          <w:rFonts w:ascii="Times New Roman" w:eastAsia="Times New Roman" w:hAnsi="Times New Roman" w:cs="Times New Roman"/>
          <w:sz w:val="24"/>
          <w:szCs w:val="24"/>
          <w:lang w:val="sr-Cyrl-RS"/>
        </w:rPr>
        <w:t xml:space="preserve"> </w:t>
      </w:r>
      <w:r w:rsidRPr="00DB2A84">
        <w:rPr>
          <w:rFonts w:ascii="Times New Roman" w:eastAsia="Times New Roman" w:hAnsi="Times New Roman" w:cs="Times New Roman"/>
          <w:sz w:val="24"/>
          <w:szCs w:val="24"/>
        </w:rPr>
        <w:t>који сте заинтересовани</w:t>
      </w:r>
    </w:p>
    <w:p w:rsidR="00DB2A84" w:rsidRPr="00DB2A84" w:rsidRDefault="000E318F" w:rsidP="00DB2A84">
      <w:pPr>
        <w:pStyle w:val="ListParagraph"/>
        <w:numPr>
          <w:ilvl w:val="0"/>
          <w:numId w:val="12"/>
        </w:numPr>
        <w:spacing w:after="0"/>
        <w:jc w:val="both"/>
        <w:rPr>
          <w:rFonts w:ascii="Times New Roman" w:eastAsia="Times New Roman" w:hAnsi="Times New Roman" w:cs="Times New Roman"/>
          <w:sz w:val="24"/>
          <w:szCs w:val="24"/>
        </w:rPr>
      </w:pPr>
      <w:r w:rsidRPr="00DB2A84">
        <w:rPr>
          <w:rFonts w:ascii="Times New Roman" w:eastAsia="Times New Roman" w:hAnsi="Times New Roman" w:cs="Times New Roman"/>
          <w:sz w:val="24"/>
          <w:szCs w:val="24"/>
        </w:rPr>
        <w:t>Како припремити и поднети понуду</w:t>
      </w:r>
    </w:p>
    <w:p w:rsidR="000E318F" w:rsidRPr="00DB2A84" w:rsidRDefault="000E318F" w:rsidP="00DB2A84">
      <w:pPr>
        <w:pStyle w:val="ListParagraph"/>
        <w:numPr>
          <w:ilvl w:val="0"/>
          <w:numId w:val="12"/>
        </w:numPr>
        <w:spacing w:after="0"/>
        <w:jc w:val="both"/>
        <w:rPr>
          <w:rFonts w:ascii="Times New Roman" w:eastAsia="Times New Roman" w:hAnsi="Times New Roman" w:cs="Times New Roman"/>
          <w:sz w:val="24"/>
          <w:szCs w:val="24"/>
        </w:rPr>
      </w:pPr>
      <w:r w:rsidRPr="00DB2A84">
        <w:rPr>
          <w:rFonts w:ascii="Times New Roman" w:eastAsia="Times New Roman" w:hAnsi="Times New Roman" w:cs="Times New Roman"/>
          <w:sz w:val="24"/>
          <w:szCs w:val="24"/>
        </w:rPr>
        <w:t xml:space="preserve">Како </w:t>
      </w:r>
      <w:r w:rsidRPr="00C522D5">
        <w:rPr>
          <w:rFonts w:ascii="Times New Roman" w:eastAsia="Times New Roman" w:hAnsi="Times New Roman" w:cs="Times New Roman"/>
          <w:sz w:val="24"/>
          <w:szCs w:val="24"/>
        </w:rPr>
        <w:t>заштити</w:t>
      </w:r>
      <w:r w:rsidR="001D3AA4" w:rsidRPr="00C522D5">
        <w:rPr>
          <w:rFonts w:ascii="Times New Roman" w:eastAsia="Times New Roman" w:hAnsi="Times New Roman" w:cs="Times New Roman"/>
          <w:sz w:val="24"/>
          <w:szCs w:val="24"/>
        </w:rPr>
        <w:t>ти</w:t>
      </w:r>
      <w:r w:rsidRPr="00C522D5">
        <w:rPr>
          <w:rFonts w:ascii="Times New Roman" w:eastAsia="Times New Roman" w:hAnsi="Times New Roman" w:cs="Times New Roman"/>
          <w:sz w:val="24"/>
          <w:szCs w:val="24"/>
        </w:rPr>
        <w:t xml:space="preserve"> п</w:t>
      </w:r>
      <w:r w:rsidRPr="00DB2A84">
        <w:rPr>
          <w:rFonts w:ascii="Times New Roman" w:eastAsia="Times New Roman" w:hAnsi="Times New Roman" w:cs="Times New Roman"/>
          <w:sz w:val="24"/>
          <w:szCs w:val="24"/>
        </w:rPr>
        <w:t>рава у поступцима јавних набавки;</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numPr>
          <w:ilvl w:val="0"/>
          <w:numId w:val="10"/>
        </w:numPr>
        <w:spacing w:after="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Управа за јавне набавке је, у сарадњи са Правосудном академијом, у периоду од 5 до 7. новембра 2014. године на Копаонику, у оквиру УНДП пројекта, одржала радионицу за судије и тужиоце на тему унапређења откривања и сузбијања корупције у јавним набавкама;</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numPr>
          <w:ilvl w:val="0"/>
          <w:numId w:val="10"/>
        </w:numPr>
        <w:spacing w:after="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Управа за јавне набавке учествовала је на скупу посвећеном откривању, истрази и процесуирању злоупотреба у области јавних набавки, који су 20-21. новембра 2014. године у Београду организовали Амбасада САД и Мисија ОЕБС у Србији;</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numPr>
          <w:ilvl w:val="0"/>
          <w:numId w:val="10"/>
        </w:numPr>
        <w:spacing w:after="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lastRenderedPageBreak/>
        <w:t xml:space="preserve">Управа за јавне набавке и Управа за заједничке послове републичких органа, уз учешће Државне ревизорске институције и Републичке комисије за заштиту права у поступцима јавних набавки, огранизовали су семинар о планирању јавних набавки за представнике министарстава и других наручилаца, 28. </w:t>
      </w:r>
      <w:r w:rsidR="00C522D5" w:rsidRPr="00C522D5">
        <w:rPr>
          <w:rFonts w:ascii="Times New Roman" w:eastAsia="Times New Roman" w:hAnsi="Times New Roman" w:cs="Times New Roman"/>
          <w:sz w:val="24"/>
          <w:szCs w:val="24"/>
        </w:rPr>
        <w:t>н</w:t>
      </w:r>
      <w:r w:rsidRPr="00C522D5">
        <w:rPr>
          <w:rFonts w:ascii="Times New Roman" w:eastAsia="Times New Roman" w:hAnsi="Times New Roman" w:cs="Times New Roman"/>
          <w:sz w:val="24"/>
          <w:szCs w:val="24"/>
        </w:rPr>
        <w:t>овемб</w:t>
      </w:r>
      <w:r w:rsidRPr="000E318F">
        <w:rPr>
          <w:rFonts w:ascii="Times New Roman" w:eastAsia="Times New Roman" w:hAnsi="Times New Roman" w:cs="Times New Roman"/>
          <w:sz w:val="24"/>
          <w:szCs w:val="24"/>
        </w:rPr>
        <w:t>ра 2014. године у Београду.</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spacing w:after="0"/>
        <w:ind w:left="72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На скупу је учествовало 70 предсатвника органа државне управе који су са представницима </w:t>
      </w:r>
      <w:r w:rsidRPr="00C522D5">
        <w:rPr>
          <w:rFonts w:ascii="Times New Roman" w:eastAsia="Times New Roman" w:hAnsi="Times New Roman" w:cs="Times New Roman"/>
          <w:sz w:val="24"/>
          <w:szCs w:val="24"/>
        </w:rPr>
        <w:t>Уп</w:t>
      </w:r>
      <w:r w:rsidR="00C522D5" w:rsidRPr="00C522D5">
        <w:rPr>
          <w:rFonts w:ascii="Times New Roman" w:eastAsia="Times New Roman" w:hAnsi="Times New Roman" w:cs="Times New Roman"/>
          <w:sz w:val="24"/>
          <w:szCs w:val="24"/>
        </w:rPr>
        <w:t>ра</w:t>
      </w:r>
      <w:r w:rsidRPr="00C522D5">
        <w:rPr>
          <w:rFonts w:ascii="Times New Roman" w:eastAsia="Times New Roman" w:hAnsi="Times New Roman" w:cs="Times New Roman"/>
          <w:sz w:val="24"/>
          <w:szCs w:val="24"/>
        </w:rPr>
        <w:t xml:space="preserve">ве </w:t>
      </w:r>
      <w:r w:rsidRPr="000E318F">
        <w:rPr>
          <w:rFonts w:ascii="Times New Roman" w:eastAsia="Times New Roman" w:hAnsi="Times New Roman" w:cs="Times New Roman"/>
          <w:sz w:val="24"/>
          <w:szCs w:val="24"/>
        </w:rPr>
        <w:t>за јавне набавке разматрали питања припреме планова јавних набавки за 2015. годину, као и практична питања планирања централизованих јавних набавки. Управа за заједничке послове је представила посебну веб апликацију преко које ће јој се достављати планови набавки за 2015. годину за поступке који су планирани да се спроведу централизовано, преко УЗЗПРО;</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numPr>
          <w:ilvl w:val="0"/>
          <w:numId w:val="10"/>
        </w:numPr>
        <w:spacing w:after="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Представници Управе за јавне набавке су 11. новембра 2014. године, уз подршку   Мисије ОЕБС-а у Србији, у Новом Пазару, одржали радионицу за понуђаче у јавним набавкама.</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Представници приватног сектора су се упознали са могућностима Портала јавних набавки којим управља Управа за јавне набавке, у смислу најлакшег коришћења истог у циљу ефикасне претраге садржаја који су од њиховог интереса.</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Учесницима је, такође, указано на који начин могу најбоље да сачине понуду, а да она буде законита и конкурентна, као и како и под којим условима могу остварити заштиту својих права у поступцима јавних набавки;</w:t>
      </w:r>
    </w:p>
    <w:p w:rsidR="000E318F" w:rsidRPr="000E318F" w:rsidRDefault="000E318F" w:rsidP="000E318F">
      <w:pPr>
        <w:spacing w:after="0"/>
        <w:jc w:val="both"/>
        <w:rPr>
          <w:rFonts w:ascii="Times New Roman" w:eastAsia="Times New Roman" w:hAnsi="Times New Roman" w:cs="Times New Roman"/>
          <w:sz w:val="24"/>
          <w:szCs w:val="24"/>
        </w:rPr>
      </w:pPr>
    </w:p>
    <w:p w:rsidR="000E318F" w:rsidRPr="000E318F" w:rsidRDefault="000E318F" w:rsidP="000E318F">
      <w:pPr>
        <w:numPr>
          <w:ilvl w:val="0"/>
          <w:numId w:val="10"/>
        </w:numPr>
        <w:spacing w:after="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У оквиру пројекта УНДП „Унапређење механизама одговорности у јавним финансијама", представници Управе за јавне набавке и Републичке комисије за заштиту права у поступцима јавних набавки су 23. децембра 2014. године, у Ечкој, одржали радионицу за представнике медија са циљем да се упознају са делокругом рада Управе за јавне набавке и Републичке комисије. Уз представљање актуелности у систему јавних набавки у Србији, учесницима је указано на које начине могу да дођу до података о јавним набавкама у Србији, као и под којим условима се остварује заштита права у поступцима јавних набавки. Осим тога, представљени су им сви важнији појмови из Закона о јавним набавкама и појашњени процеси. </w:t>
      </w:r>
    </w:p>
    <w:p w:rsidR="000E318F" w:rsidRPr="000E318F" w:rsidRDefault="000E318F" w:rsidP="000E318F">
      <w:pPr>
        <w:spacing w:after="0"/>
        <w:jc w:val="both"/>
        <w:rPr>
          <w:rFonts w:ascii="Times New Roman" w:eastAsia="Times New Roman" w:hAnsi="Times New Roman" w:cs="Times New Roman"/>
          <w:sz w:val="24"/>
          <w:szCs w:val="24"/>
        </w:rPr>
      </w:pPr>
    </w:p>
    <w:p w:rsidR="000E318F" w:rsidRDefault="000E318F" w:rsidP="00DF0138">
      <w:pPr>
        <w:spacing w:after="0"/>
        <w:ind w:left="360"/>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На тај начин су остварени циљеви радионице: едукација новинара о актуелним темама из области јавних набавки ради квалитетнијег извештавања јавности о питањима из ове области; представљање стања у јавним набавкама у Србији; допринос Управе за јавне набавке и Републичке комисије за заштиту права у поступцима јавних набавки у унапређењу система јавних набавки и изградња и утврђивање стратешких односа ове две институције са медијима.</w:t>
      </w:r>
    </w:p>
    <w:p w:rsidR="00DF0138" w:rsidRPr="000E318F" w:rsidRDefault="00DF0138" w:rsidP="00DF0138">
      <w:pPr>
        <w:spacing w:after="0"/>
        <w:ind w:left="360"/>
        <w:jc w:val="both"/>
        <w:rPr>
          <w:rFonts w:ascii="Times New Roman" w:eastAsia="Times New Roman" w:hAnsi="Times New Roman" w:cs="Times New Roman"/>
          <w:sz w:val="24"/>
          <w:szCs w:val="24"/>
        </w:rPr>
      </w:pP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b/>
          <w:color w:val="000000"/>
          <w:sz w:val="24"/>
          <w:szCs w:val="24"/>
        </w:rPr>
        <w:t xml:space="preserve">Међународна сарадња </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rPr>
        <w:t>Представници Управе за јавне набавке учествовали су на радионицама организованим од стране СИГМА-е током јануара и децембра 2014. године, посвећеним анализи пресуда Европског суда правде.</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априлу 2014. године, у оквиру</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припремних активности за билатерални скрининг за Преговоре са ЕУ- Поглавље 5: Јавне набавке, делегација Републике Србије коју су чинили представници Управе</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и Републичке комисије за заштиту права у поступцима јавних набавки, посетили су институције надлежне за јавне набавке у Републици Црној Гори (Управа за јавне набавке</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 xml:space="preserve">и Комисија за контролу поступака јавних набавки). Српска делегација је са црногорским колегама разменила искуства уз нагласак на </w:t>
      </w:r>
      <w:r w:rsidRPr="000E318F">
        <w:rPr>
          <w:rFonts w:ascii="Times New Roman" w:eastAsia="Times New Roman" w:hAnsi="Times New Roman" w:cs="Times New Roman"/>
          <w:sz w:val="24"/>
          <w:szCs w:val="24"/>
        </w:rPr>
        <w:lastRenderedPageBreak/>
        <w:t>процес Преговора са ЕУ у оквиру Поглавља 5: Јавне набавке. Представници црногорских институција поделили су корисне информације са колегама из Србије, пре свега о томе како се најадекватније припремити за састанак билатералног скрининга.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 xml:space="preserve">У оквиру редовне сарадње са страним институцијама и експертима у области јавних набавки, 4. </w:t>
      </w:r>
      <w:r w:rsidR="00954B6F" w:rsidRPr="000E318F">
        <w:rPr>
          <w:rFonts w:ascii="Times New Roman" w:eastAsia="Times New Roman" w:hAnsi="Times New Roman" w:cs="Times New Roman"/>
          <w:sz w:val="24"/>
          <w:szCs w:val="24"/>
        </w:rPr>
        <w:t>Ј</w:t>
      </w:r>
      <w:r w:rsidRPr="000E318F">
        <w:rPr>
          <w:rFonts w:ascii="Times New Roman" w:eastAsia="Times New Roman" w:hAnsi="Times New Roman" w:cs="Times New Roman"/>
          <w:sz w:val="24"/>
          <w:szCs w:val="24"/>
        </w:rPr>
        <w:t>уна</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2014</w:t>
      </w:r>
      <w:r w:rsidRPr="000E318F">
        <w:rPr>
          <w:rFonts w:ascii="Times New Roman" w:eastAsia="Times New Roman" w:hAnsi="Times New Roman" w:cs="Times New Roman"/>
          <w:sz w:val="24"/>
          <w:szCs w:val="24"/>
          <w:lang w:val="sr-Cyrl-CS"/>
        </w:rPr>
        <w:t>. године</w:t>
      </w:r>
      <w:r w:rsidRPr="000E318F">
        <w:rPr>
          <w:rFonts w:ascii="Times New Roman" w:eastAsia="Times New Roman" w:hAnsi="Times New Roman" w:cs="Times New Roman"/>
          <w:sz w:val="24"/>
          <w:szCs w:val="24"/>
        </w:rPr>
        <w:t>, представници Државне комисије за жалбе у јавним набавкама</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Републике Македоније, на челу са Мајом Малаховом, председницом Комисије, посетили су Управу за јавне набавке.</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јулу 2014. године, представници Управе и</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Републичке комисије за заштиту права у поступцима јавних набавки похађали су дводневни семинар обуке посвећен контроли у јавним набавкама, oрганизован од стране Европске канцеларије за борбу против проневера (OЛАФ) у оквиру</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Херкул</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2 програма који финансира Европска комисија.</w:t>
      </w:r>
    </w:p>
    <w:p w:rsidR="000E318F" w:rsidRPr="000E318F" w:rsidRDefault="000E318F" w:rsidP="000E318F">
      <w:pPr>
        <w:jc w:val="both"/>
        <w:rPr>
          <w:rFonts w:ascii="Times New Roman" w:eastAsia="Times New Roman" w:hAnsi="Times New Roman" w:cs="Times New Roman"/>
          <w:sz w:val="24"/>
          <w:szCs w:val="24"/>
        </w:rPr>
      </w:pPr>
      <w:r w:rsidRPr="000E318F">
        <w:rPr>
          <w:rFonts w:ascii="Times New Roman" w:eastAsia="Times New Roman" w:hAnsi="Times New Roman" w:cs="Times New Roman"/>
          <w:sz w:val="24"/>
          <w:szCs w:val="24"/>
        </w:rPr>
        <w:t>У августу 2014. године, одржан је експертски семинар: “Eфективност законодавства ЕУ</w:t>
      </w:r>
      <w:r w:rsidR="00076125">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у националним правним системима</w:t>
      </w:r>
      <w:r w:rsidR="00954B6F">
        <w:rPr>
          <w:rFonts w:ascii="Times New Roman" w:eastAsia="Times New Roman" w:hAnsi="Times New Roman" w:cs="Times New Roman"/>
          <w:sz w:val="24"/>
          <w:szCs w:val="24"/>
          <w:lang w:val="sr-Cyrl-RS"/>
        </w:rPr>
        <w:t xml:space="preserve"> </w:t>
      </w:r>
      <w:r w:rsidRPr="000E318F">
        <w:rPr>
          <w:rFonts w:ascii="Times New Roman" w:eastAsia="Times New Roman" w:hAnsi="Times New Roman" w:cs="Times New Roman"/>
          <w:sz w:val="24"/>
          <w:szCs w:val="24"/>
        </w:rPr>
        <w:t>у светлу система јавних набавки и јавних набавки за јавна предузећа”. Семинар су организовали  Управа за јавне набавке, Републичка комисија за заштиту права у поступцима јавних набавки</w:t>
      </w:r>
      <w:r w:rsidRPr="000E318F">
        <w:rPr>
          <w:rFonts w:ascii="Times New Roman" w:eastAsia="Times New Roman" w:hAnsi="Times New Roman" w:cs="Times New Roman"/>
          <w:sz w:val="24"/>
          <w:szCs w:val="24"/>
          <w:lang w:val="sr-Cyrl-CS"/>
        </w:rPr>
        <w:t xml:space="preserve"> и </w:t>
      </w:r>
      <w:r w:rsidRPr="000E318F">
        <w:rPr>
          <w:rFonts w:ascii="Times New Roman" w:eastAsia="Times New Roman" w:hAnsi="Times New Roman" w:cs="Times New Roman"/>
          <w:sz w:val="24"/>
          <w:szCs w:val="24"/>
        </w:rPr>
        <w:t>ДРИ, уз подршку ОЕБС-а.</w:t>
      </w:r>
    </w:p>
    <w:p w:rsidR="000E318F" w:rsidRPr="000E318F" w:rsidRDefault="000E318F" w:rsidP="000E318F">
      <w:pPr>
        <w:jc w:val="both"/>
        <w:rPr>
          <w:rFonts w:ascii="Times New Roman" w:eastAsia="Times New Roman" w:hAnsi="Times New Roman" w:cs="Times New Roman"/>
          <w:color w:val="000000"/>
          <w:sz w:val="24"/>
          <w:szCs w:val="24"/>
          <w:shd w:val="clear" w:color="auto" w:fill="FFFFFF"/>
        </w:rPr>
      </w:pPr>
      <w:r w:rsidRPr="000E318F">
        <w:rPr>
          <w:rFonts w:ascii="Times New Roman" w:eastAsia="Times New Roman" w:hAnsi="Times New Roman" w:cs="Times New Roman"/>
          <w:color w:val="000000"/>
          <w:sz w:val="24"/>
          <w:szCs w:val="24"/>
          <w:shd w:val="clear" w:color="auto" w:fill="FFFFFF"/>
        </w:rPr>
        <w:t>Представници Управе за јавне набавке присуствовали су Регионалној ИПА конференцији о јавним набавкама у организацији СИГМА-е која је одржана у Валони (Албанија), у септембру 2014. године, на којој су представљена решења која се односе на планове за легислативну и институционалну реформу у контексту нових директива ЕУ у области јавних набавки.</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lang w:val="ru-RU"/>
        </w:rPr>
        <w:t xml:space="preserve">Европска комисија објавила је годишњи извештај о напретку Србије за 2014. годину, у октобру месецу 2014, у оквиру кога је наведено да је у области јавних набавки у Републици Србији остварен добар напредак, као и да је потребно даље ојачати капацитете УЈН. </w:t>
      </w:r>
    </w:p>
    <w:p w:rsidR="000E318F" w:rsidRPr="000E318F" w:rsidRDefault="000E318F" w:rsidP="000E318F">
      <w:pPr>
        <w:jc w:val="both"/>
        <w:rPr>
          <w:rFonts w:ascii="Times New Roman" w:eastAsia="Times New Roman" w:hAnsi="Times New Roman" w:cs="Times New Roman"/>
          <w:color w:val="000000"/>
          <w:sz w:val="24"/>
          <w:szCs w:val="24"/>
          <w:shd w:val="clear" w:color="auto" w:fill="FFFFFF"/>
        </w:rPr>
      </w:pPr>
      <w:r w:rsidRPr="000E318F">
        <w:rPr>
          <w:rFonts w:ascii="Times New Roman" w:eastAsia="Times New Roman" w:hAnsi="Times New Roman" w:cs="Times New Roman"/>
          <w:iCs/>
          <w:color w:val="000000"/>
          <w:sz w:val="24"/>
          <w:szCs w:val="24"/>
          <w:shd w:val="clear" w:color="auto" w:fill="FFFFFF"/>
        </w:rPr>
        <w:t xml:space="preserve">Управа за јавне набавке је, уз подршку UNDP, организовала регионалну радионицу: "Јавне набавке на локалном нивоу", у Београду, 13. новембра 2014. године, на којој су учествовали представници регулаторних тела за јавне набавке из: Словеније, Хрватске, Босне и Херцеговине, Црне Горе и Македоније. </w:t>
      </w:r>
    </w:p>
    <w:p w:rsidR="000E318F" w:rsidRPr="000E318F" w:rsidRDefault="000E318F" w:rsidP="000E318F">
      <w:pPr>
        <w:jc w:val="both"/>
        <w:rPr>
          <w:rFonts w:ascii="Times New Roman" w:eastAsia="Times New Roman" w:hAnsi="Times New Roman" w:cs="Times New Roman"/>
          <w:color w:val="000000"/>
          <w:sz w:val="24"/>
          <w:szCs w:val="24"/>
        </w:rPr>
      </w:pPr>
      <w:r w:rsidRPr="000E318F">
        <w:rPr>
          <w:rFonts w:ascii="Times New Roman" w:eastAsia="Times New Roman" w:hAnsi="Times New Roman" w:cs="Times New Roman"/>
          <w:color w:val="000000"/>
          <w:sz w:val="24"/>
          <w:szCs w:val="24"/>
          <w:shd w:val="clear" w:color="auto" w:fill="FFFFFF"/>
        </w:rPr>
        <w:t xml:space="preserve">У сарадњи и уз подршку Eврoпске кoмисиjе, Упрaва зa jaвнe нaбaвкe је, у oквиру </w:t>
      </w:r>
      <w:r w:rsidRPr="000E318F">
        <w:rPr>
          <w:rFonts w:ascii="Times New Roman" w:eastAsia="Times New Roman" w:hAnsi="Times New Roman" w:cs="Times New Roman"/>
          <w:i/>
          <w:iCs/>
          <w:color w:val="000000"/>
          <w:sz w:val="24"/>
          <w:szCs w:val="24"/>
          <w:shd w:val="clear" w:color="auto" w:fill="FFFFFF"/>
        </w:rPr>
        <w:t>TAIEX</w:t>
      </w:r>
      <w:r w:rsidRPr="000E318F">
        <w:rPr>
          <w:rFonts w:ascii="Times New Roman" w:eastAsia="Times New Roman" w:hAnsi="Times New Roman" w:cs="Times New Roman"/>
          <w:color w:val="000000"/>
          <w:sz w:val="24"/>
          <w:szCs w:val="24"/>
          <w:shd w:val="clear" w:color="auto" w:fill="FFFFFF"/>
        </w:rPr>
        <w:t xml:space="preserve"> прoгрaмa, oргaнизoвaлa рaдиoницу нa тeму примeнe нoвих дирeктивa Eврoпскe униje у oблaсти jaвних нaбaвки, 14. нoвeмбра 2014. гoдинe у Београду. </w:t>
      </w:r>
    </w:p>
    <w:p w:rsidR="00704FA2" w:rsidRPr="00070C23" w:rsidRDefault="000E318F" w:rsidP="00704FA2">
      <w:pPr>
        <w:jc w:val="both"/>
        <w:rPr>
          <w:rFonts w:ascii="Times New Roman" w:eastAsia="Times New Roman" w:hAnsi="Times New Roman" w:cs="Times New Roman"/>
          <w:color w:val="000000"/>
          <w:sz w:val="24"/>
          <w:szCs w:val="24"/>
          <w:shd w:val="clear" w:color="auto" w:fill="FFFFFF"/>
        </w:rPr>
      </w:pPr>
      <w:r w:rsidRPr="000E318F">
        <w:rPr>
          <w:rFonts w:ascii="Times New Roman" w:eastAsia="Times New Roman" w:hAnsi="Times New Roman" w:cs="Times New Roman"/>
          <w:color w:val="000000"/>
          <w:sz w:val="24"/>
          <w:szCs w:val="24"/>
          <w:shd w:val="clear" w:color="auto" w:fill="FFFFFF"/>
        </w:rPr>
        <w:t>Управа за јавне набавке је, у сарадњи са Мисијом ОЕБС у Србији, 19. новембра 2014. године одржала радионицу за представнике Државне ревизорске институције, на којој је представила апликативни софтвер</w:t>
      </w:r>
      <w:r w:rsidR="00954B6F">
        <w:rPr>
          <w:rFonts w:ascii="Times New Roman" w:eastAsia="Times New Roman" w:hAnsi="Times New Roman" w:cs="Times New Roman"/>
          <w:color w:val="000000"/>
          <w:sz w:val="24"/>
          <w:szCs w:val="24"/>
          <w:shd w:val="clear" w:color="auto" w:fill="FFFFFF"/>
          <w:lang w:val="sr-Cyrl-RS"/>
        </w:rPr>
        <w:t xml:space="preserve"> </w:t>
      </w:r>
      <w:r w:rsidRPr="000E318F">
        <w:rPr>
          <w:rFonts w:ascii="Times New Roman" w:eastAsia="Times New Roman" w:hAnsi="Times New Roman" w:cs="Times New Roman"/>
          <w:color w:val="000000"/>
          <w:sz w:val="24"/>
          <w:szCs w:val="24"/>
          <w:shd w:val="clear" w:color="auto" w:fill="FFFFFF"/>
        </w:rPr>
        <w:t xml:space="preserve">за планирање набавки и квартално извештавање. </w:t>
      </w:r>
    </w:p>
    <w:p w:rsidR="006C43E5" w:rsidRPr="004726B1" w:rsidRDefault="006C43E5" w:rsidP="006C43E5">
      <w:pPr>
        <w:pStyle w:val="ListParagraph"/>
        <w:numPr>
          <w:ilvl w:val="0"/>
          <w:numId w:val="13"/>
        </w:numPr>
        <w:rPr>
          <w:rFonts w:ascii="Times New Roman" w:hAnsi="Times New Roman" w:cs="Times New Roman"/>
          <w:b/>
          <w:sz w:val="24"/>
          <w:szCs w:val="24"/>
        </w:rPr>
      </w:pPr>
      <w:r w:rsidRPr="004726B1">
        <w:rPr>
          <w:rFonts w:ascii="Times New Roman" w:hAnsi="Times New Roman" w:cs="Times New Roman"/>
          <w:b/>
          <w:sz w:val="24"/>
          <w:szCs w:val="24"/>
        </w:rPr>
        <w:t>ЗАКЉУЧЦИ И ПРЕПОРУКЕ</w:t>
      </w:r>
    </w:p>
    <w:p w:rsidR="006C43E5" w:rsidRDefault="006C43E5" w:rsidP="006C43E5">
      <w:pPr>
        <w:jc w:val="both"/>
        <w:rPr>
          <w:rFonts w:ascii="Times New Roman" w:hAnsi="Times New Roman" w:cs="Times New Roman"/>
          <w:sz w:val="24"/>
          <w:szCs w:val="24"/>
        </w:rPr>
      </w:pPr>
      <w:r>
        <w:rPr>
          <w:rFonts w:ascii="Times New Roman" w:hAnsi="Times New Roman"/>
          <w:sz w:val="24"/>
          <w:szCs w:val="24"/>
          <w:lang w:val="ru-RU"/>
        </w:rPr>
        <w:t xml:space="preserve">Општи закључак, </w:t>
      </w:r>
      <w:r>
        <w:rPr>
          <w:rFonts w:ascii="Times New Roman" w:hAnsi="Times New Roman"/>
          <w:sz w:val="24"/>
          <w:szCs w:val="24"/>
        </w:rPr>
        <w:t>на основу збирног извештаја за 2014. годину је</w:t>
      </w:r>
      <w:r>
        <w:rPr>
          <w:rFonts w:ascii="Times New Roman" w:hAnsi="Times New Roman"/>
          <w:sz w:val="24"/>
          <w:szCs w:val="24"/>
          <w:lang w:val="sr-Cyrl-CS"/>
        </w:rPr>
        <w:t>сте</w:t>
      </w:r>
      <w:r>
        <w:rPr>
          <w:rFonts w:ascii="Times New Roman" w:hAnsi="Times New Roman"/>
          <w:sz w:val="24"/>
          <w:szCs w:val="24"/>
        </w:rPr>
        <w:t xml:space="preserve"> да је направљен помак у погледу јачања дисциплине у примени Закона од стране наручилаца. Први показатељ</w:t>
      </w:r>
      <w:r>
        <w:rPr>
          <w:rFonts w:ascii="Times New Roman" w:hAnsi="Times New Roman"/>
          <w:sz w:val="24"/>
          <w:szCs w:val="24"/>
          <w:lang w:val="sr-Cyrl-CS"/>
        </w:rPr>
        <w:t xml:space="preserve"> који иде томе у прилог</w:t>
      </w:r>
      <w:r>
        <w:rPr>
          <w:rFonts w:ascii="Times New Roman" w:hAnsi="Times New Roman"/>
          <w:sz w:val="24"/>
          <w:szCs w:val="24"/>
        </w:rPr>
        <w:t xml:space="preserve"> је за 51% већи број достављених извештаја о јавним набавкама од стране наручилаца у</w:t>
      </w:r>
      <w:r>
        <w:rPr>
          <w:rFonts w:ascii="Times New Roman" w:hAnsi="Times New Roman" w:cs="Times New Roman"/>
          <w:sz w:val="24"/>
          <w:szCs w:val="24"/>
        </w:rPr>
        <w:t xml:space="preserve"> 2014. години (</w:t>
      </w:r>
      <w:r w:rsidRPr="00DC7BD1">
        <w:rPr>
          <w:rFonts w:ascii="Times New Roman" w:hAnsi="Times New Roman" w:cs="Times New Roman"/>
          <w:color w:val="000000" w:themeColor="text1"/>
          <w:sz w:val="24"/>
          <w:szCs w:val="24"/>
          <w:lang w:val="sr-Cyrl-CS"/>
        </w:rPr>
        <w:t>4.933</w:t>
      </w:r>
      <w:r>
        <w:rPr>
          <w:rFonts w:ascii="Times New Roman" w:hAnsi="Times New Roman" w:cs="Times New Roman"/>
          <w:color w:val="000000" w:themeColor="text1"/>
          <w:sz w:val="24"/>
          <w:szCs w:val="24"/>
          <w:lang w:val="sr-Cyrl-CS"/>
        </w:rPr>
        <w:t>)</w:t>
      </w:r>
      <w:r>
        <w:rPr>
          <w:rFonts w:ascii="Times New Roman" w:hAnsi="Times New Roman" w:cs="Times New Roman"/>
          <w:sz w:val="24"/>
          <w:szCs w:val="24"/>
        </w:rPr>
        <w:t xml:space="preserve"> у односу на 2013. годину (3.264), као и у односу на период 2003-2013. година током кога се тај број кретао око 3.000. До промене ове тенденције дошло је услед преласка вршења надзора над </w:t>
      </w:r>
      <w:r>
        <w:rPr>
          <w:rFonts w:ascii="Times New Roman" w:hAnsi="Times New Roman" w:cs="Times New Roman"/>
          <w:sz w:val="24"/>
          <w:szCs w:val="24"/>
        </w:rPr>
        <w:lastRenderedPageBreak/>
        <w:t xml:space="preserve">применом Закона на Управу за јавне набавке која је применила механизме и овлашћења која су јој стављена на располагање, укључујући и подношење прекршајних пријава против одговорних лица наручилаца због </w:t>
      </w:r>
      <w:r w:rsidRPr="00C92791">
        <w:rPr>
          <w:rFonts w:ascii="Times New Roman" w:hAnsi="Times New Roman" w:cs="Times New Roman"/>
          <w:sz w:val="24"/>
          <w:szCs w:val="24"/>
          <w:lang w:val="sr-Cyrl-CS"/>
        </w:rPr>
        <w:t>недостављања</w:t>
      </w:r>
      <w:r>
        <w:rPr>
          <w:rFonts w:ascii="Times New Roman" w:hAnsi="Times New Roman" w:cs="Times New Roman"/>
          <w:sz w:val="24"/>
          <w:szCs w:val="24"/>
        </w:rPr>
        <w:t xml:space="preserve"> кварталних извештаја.   </w:t>
      </w:r>
    </w:p>
    <w:p w:rsidR="006C43E5" w:rsidRDefault="006C43E5" w:rsidP="006C43E5">
      <w:pPr>
        <w:jc w:val="both"/>
        <w:rPr>
          <w:rFonts w:ascii="Times New Roman" w:hAnsi="Times New Roman"/>
          <w:sz w:val="24"/>
          <w:szCs w:val="24"/>
          <w:lang w:val="ru-RU"/>
        </w:rPr>
      </w:pPr>
      <w:r>
        <w:rPr>
          <w:rFonts w:ascii="Times New Roman" w:hAnsi="Times New Roman"/>
          <w:sz w:val="24"/>
          <w:szCs w:val="24"/>
          <w:lang w:val="ru-RU"/>
        </w:rPr>
        <w:t xml:space="preserve">Значајни помаци направљени су и у погледу јачања транспарентности </w:t>
      </w:r>
      <w:r w:rsidRPr="00C92791">
        <w:rPr>
          <w:rFonts w:ascii="Times New Roman" w:hAnsi="Times New Roman"/>
          <w:sz w:val="24"/>
          <w:szCs w:val="24"/>
          <w:lang w:val="ru-RU"/>
        </w:rPr>
        <w:t>и то пре свега</w:t>
      </w:r>
      <w:r>
        <w:rPr>
          <w:rFonts w:ascii="Times New Roman" w:hAnsi="Times New Roman"/>
          <w:sz w:val="24"/>
          <w:szCs w:val="24"/>
          <w:lang w:val="ru-RU"/>
        </w:rPr>
        <w:t xml:space="preserve"> кроз сузбијање </w:t>
      </w:r>
      <w:r w:rsidRPr="00C92791">
        <w:rPr>
          <w:rFonts w:ascii="Times New Roman" w:hAnsi="Times New Roman"/>
          <w:sz w:val="24"/>
          <w:szCs w:val="24"/>
          <w:lang w:val="ru-RU"/>
        </w:rPr>
        <w:t>примене</w:t>
      </w:r>
      <w:r>
        <w:rPr>
          <w:rFonts w:ascii="Times New Roman" w:hAnsi="Times New Roman"/>
          <w:sz w:val="24"/>
          <w:szCs w:val="24"/>
          <w:lang w:val="ru-RU"/>
        </w:rPr>
        <w:t xml:space="preserve"> нетранспарентног и неконкурентног преговарачког поступка без објављивања јавног позива. </w:t>
      </w:r>
    </w:p>
    <w:p w:rsidR="006C43E5" w:rsidRDefault="006C43E5" w:rsidP="006C43E5">
      <w:pPr>
        <w:jc w:val="both"/>
        <w:rPr>
          <w:rFonts w:ascii="Times New Roman" w:hAnsi="Times New Roman"/>
          <w:sz w:val="24"/>
          <w:szCs w:val="24"/>
          <w:lang w:val="ru-RU"/>
        </w:rPr>
      </w:pPr>
      <w:r>
        <w:rPr>
          <w:rFonts w:ascii="Times New Roman" w:hAnsi="Times New Roman"/>
          <w:sz w:val="24"/>
          <w:szCs w:val="24"/>
          <w:lang w:val="ru-RU"/>
        </w:rPr>
        <w:t xml:space="preserve">Током десетогодишњег периода примене Закона, док није било претходног мишљења Управе за јавне набавке, учешће преговарачког поступка без објављивања јавног позива кретало се у распону од 23 до чак 37%, док је у 2014. години износило свега 5% колики је просек у земљама ЕУ. До преокрета у вишегодишњем тренду дошло је као резултат тога што је Управа за јавне набавке поставила </w:t>
      </w:r>
      <w:r w:rsidRPr="006B53CE">
        <w:rPr>
          <w:rFonts w:ascii="Times New Roman" w:hAnsi="Times New Roman"/>
          <w:sz w:val="24"/>
          <w:szCs w:val="24"/>
          <w:lang w:val="ru-RU"/>
        </w:rPr>
        <w:t xml:space="preserve">као </w:t>
      </w:r>
      <w:r w:rsidRPr="006B53CE">
        <w:rPr>
          <w:rFonts w:ascii="Times New Roman" w:hAnsi="Times New Roman"/>
          <w:sz w:val="24"/>
          <w:szCs w:val="24"/>
        </w:rPr>
        <w:t xml:space="preserve">један од </w:t>
      </w:r>
      <w:r w:rsidRPr="006B53CE">
        <w:rPr>
          <w:rFonts w:ascii="Times New Roman" w:hAnsi="Times New Roman"/>
          <w:sz w:val="24"/>
          <w:szCs w:val="24"/>
          <w:lang w:val="ru-RU"/>
        </w:rPr>
        <w:t xml:space="preserve">приоритета </w:t>
      </w:r>
      <w:r>
        <w:rPr>
          <w:rFonts w:ascii="Times New Roman" w:hAnsi="Times New Roman"/>
          <w:sz w:val="24"/>
          <w:szCs w:val="24"/>
          <w:lang w:val="ru-RU"/>
        </w:rPr>
        <w:t xml:space="preserve">у свом раду спровођење новодобијене превентивне улоге у спречавању неоправдане примене преговарачког поступка. Тако је у 2012. години, последњој години пре него што је Управа почела да даје претходна мишљења, учешће овог поступка у вредности јавних набавки </w:t>
      </w:r>
      <w:r w:rsidRPr="006B53CE">
        <w:rPr>
          <w:rFonts w:ascii="Times New Roman" w:hAnsi="Times New Roman"/>
          <w:sz w:val="24"/>
          <w:szCs w:val="24"/>
          <w:lang w:val="ru-RU"/>
        </w:rPr>
        <w:t xml:space="preserve">износило 28%, </w:t>
      </w:r>
      <w:r>
        <w:rPr>
          <w:rFonts w:ascii="Times New Roman" w:hAnsi="Times New Roman"/>
          <w:sz w:val="24"/>
          <w:szCs w:val="24"/>
          <w:lang w:val="ru-RU"/>
        </w:rPr>
        <w:t xml:space="preserve">да би за две године интензивног рада Управе на сузбијању неоснованих преговарачких поступака, њихово учешће било сведено на свега 1/6 (односно 5%). </w:t>
      </w:r>
    </w:p>
    <w:p w:rsidR="001A244A" w:rsidRPr="00F9719B" w:rsidRDefault="00D063D7" w:rsidP="001A244A">
      <w:pPr>
        <w:spacing w:after="0"/>
        <w:jc w:val="both"/>
        <w:rPr>
          <w:rFonts w:ascii="Times New Roman" w:hAnsi="Times New Roman" w:cs="Times New Roman"/>
          <w:sz w:val="24"/>
          <w:szCs w:val="24"/>
        </w:rPr>
      </w:pPr>
      <w:r w:rsidRPr="00F9719B">
        <w:rPr>
          <w:rFonts w:ascii="Times New Roman" w:hAnsi="Times New Roman"/>
          <w:sz w:val="24"/>
          <w:szCs w:val="24"/>
          <w:lang w:val="ru-RU"/>
        </w:rPr>
        <w:t xml:space="preserve">Као што је истакнуто у делу у коме су </w:t>
      </w:r>
      <w:r w:rsidR="00F46340" w:rsidRPr="00F9719B">
        <w:rPr>
          <w:rFonts w:ascii="Times New Roman" w:hAnsi="Times New Roman"/>
          <w:sz w:val="24"/>
          <w:szCs w:val="24"/>
          <w:lang w:val="ru-RU"/>
        </w:rPr>
        <w:t>предс</w:t>
      </w:r>
      <w:r w:rsidRPr="00F9719B">
        <w:rPr>
          <w:rFonts w:ascii="Times New Roman" w:hAnsi="Times New Roman"/>
          <w:sz w:val="24"/>
          <w:szCs w:val="24"/>
          <w:lang w:val="ru-RU"/>
        </w:rPr>
        <w:t>т</w:t>
      </w:r>
      <w:r w:rsidR="00F46340" w:rsidRPr="00F9719B">
        <w:rPr>
          <w:rFonts w:ascii="Times New Roman" w:hAnsi="Times New Roman"/>
          <w:sz w:val="24"/>
          <w:szCs w:val="24"/>
          <w:lang w:val="ru-RU"/>
        </w:rPr>
        <w:t>а</w:t>
      </w:r>
      <w:r w:rsidRPr="00F9719B">
        <w:rPr>
          <w:rFonts w:ascii="Times New Roman" w:hAnsi="Times New Roman"/>
          <w:sz w:val="24"/>
          <w:szCs w:val="24"/>
          <w:lang w:val="ru-RU"/>
        </w:rPr>
        <w:t>вљени подаци о спровођењу преговарачког поступка (страна 8 Извештаја), број захтева поднетих Управи за јавне набавке за примену овог поступка био је готово дуплиран у 20</w:t>
      </w:r>
      <w:r w:rsidR="001A244A" w:rsidRPr="00F9719B">
        <w:rPr>
          <w:rFonts w:ascii="Times New Roman" w:hAnsi="Times New Roman"/>
          <w:sz w:val="24"/>
          <w:szCs w:val="24"/>
          <w:lang w:val="ru-RU"/>
        </w:rPr>
        <w:t>1</w:t>
      </w:r>
      <w:r w:rsidRPr="00F9719B">
        <w:rPr>
          <w:rFonts w:ascii="Times New Roman" w:hAnsi="Times New Roman"/>
          <w:sz w:val="24"/>
          <w:szCs w:val="24"/>
          <w:lang w:val="ru-RU"/>
        </w:rPr>
        <w:t>4. години у односу на 2013. годину</w:t>
      </w:r>
      <w:r w:rsidR="001A244A" w:rsidRPr="00F9719B">
        <w:rPr>
          <w:rFonts w:ascii="Times New Roman" w:hAnsi="Times New Roman"/>
          <w:sz w:val="24"/>
          <w:szCs w:val="24"/>
          <w:lang w:val="ru-RU"/>
        </w:rPr>
        <w:t>. Осим ванредних разлога наведених у поменутом делу Извештаја, може се констатовати и да су нека законска решења генерисала захтеве за преговарачким поступцима. Рецимо, значајан број захтева за преговарачким поступцима односи се на на</w:t>
      </w:r>
      <w:r w:rsidR="001A244A" w:rsidRPr="00F9719B">
        <w:rPr>
          <w:rFonts w:ascii="Times New Roman" w:hAnsi="Times New Roman" w:cs="Times New Roman"/>
          <w:sz w:val="24"/>
          <w:szCs w:val="24"/>
        </w:rPr>
        <w:t xml:space="preserve">бавке непокретности (куповина или закуп) које наручиоци, у највећем броју случајева, већ користе годинама и за које сваке године траже мишљење за примену преговарачког поступка. Имајући у виду да је Директива ЕУ предвидела изузеће од примене закона за набавку непокретности (куповина и закуп), изменом законског решења и усклађивањем са Директивом, елиминисало би се непотребно и формално обраћање Управи које нема никакав суштински значај. </w:t>
      </w:r>
    </w:p>
    <w:p w:rsidR="001A244A" w:rsidRPr="00F9719B" w:rsidRDefault="001A244A" w:rsidP="001A244A">
      <w:pPr>
        <w:spacing w:after="0"/>
        <w:jc w:val="both"/>
        <w:rPr>
          <w:rFonts w:ascii="Times New Roman" w:hAnsi="Times New Roman" w:cs="Times New Roman"/>
          <w:sz w:val="24"/>
          <w:szCs w:val="24"/>
        </w:rPr>
      </w:pPr>
    </w:p>
    <w:p w:rsidR="00D063D7" w:rsidRPr="00F9719B" w:rsidRDefault="00E2210C" w:rsidP="00E936C4">
      <w:pPr>
        <w:spacing w:after="0"/>
        <w:jc w:val="both"/>
        <w:rPr>
          <w:rFonts w:ascii="Times New Roman" w:hAnsi="Times New Roman" w:cs="Times New Roman"/>
          <w:sz w:val="24"/>
          <w:szCs w:val="24"/>
        </w:rPr>
      </w:pPr>
      <w:r w:rsidRPr="00F9719B">
        <w:rPr>
          <w:rFonts w:ascii="Times New Roman" w:hAnsi="Times New Roman" w:cs="Times New Roman"/>
          <w:sz w:val="24"/>
          <w:szCs w:val="24"/>
        </w:rPr>
        <w:t>Значајан број захтева за примену преговарачког поступка у 2014. години Управи су упутиле здравствене установе за набавку реагенаса за тзв „затворене системе“. Управа је још у свом Извештају за 2013. годину указала на неопходност да се преиспита начин набавки медицинских апарата путем донација који ј</w:t>
      </w:r>
      <w:r w:rsidR="00954B6F" w:rsidRPr="00F9719B">
        <w:rPr>
          <w:rFonts w:ascii="Times New Roman" w:hAnsi="Times New Roman" w:cs="Times New Roman"/>
          <w:sz w:val="24"/>
          <w:szCs w:val="24"/>
          <w:lang w:val="sr-Cyrl-RS"/>
        </w:rPr>
        <w:t>ес</w:t>
      </w:r>
      <w:r w:rsidRPr="00F9719B">
        <w:rPr>
          <w:rFonts w:ascii="Times New Roman" w:hAnsi="Times New Roman" w:cs="Times New Roman"/>
          <w:sz w:val="24"/>
          <w:szCs w:val="24"/>
        </w:rPr>
        <w:t xml:space="preserve">те бесплатан, па нема поступка јавне набавке, али који обавезује наручиоца да користи искључиво реагенсе које производи произвођач апарата, што има значајне финансијске ефекте током вишегодишњег периода експлоатације донираног апарата.  </w:t>
      </w:r>
    </w:p>
    <w:p w:rsidR="00E936C4" w:rsidRPr="00E936C4" w:rsidRDefault="00E936C4" w:rsidP="00E936C4">
      <w:pPr>
        <w:spacing w:after="0"/>
        <w:jc w:val="both"/>
        <w:rPr>
          <w:rFonts w:ascii="Times New Roman" w:hAnsi="Times New Roman" w:cs="Times New Roman"/>
          <w:color w:val="FF0000"/>
          <w:sz w:val="24"/>
          <w:szCs w:val="24"/>
        </w:rPr>
      </w:pPr>
    </w:p>
    <w:p w:rsidR="007A07B3" w:rsidRDefault="006C43E5" w:rsidP="006C43E5">
      <w:pPr>
        <w:jc w:val="both"/>
        <w:rPr>
          <w:rFonts w:ascii="Times New Roman" w:hAnsi="Times New Roman"/>
          <w:sz w:val="24"/>
          <w:szCs w:val="24"/>
          <w:lang w:val="ru-RU"/>
        </w:rPr>
      </w:pPr>
      <w:r>
        <w:rPr>
          <w:rFonts w:ascii="Times New Roman" w:hAnsi="Times New Roman"/>
          <w:sz w:val="24"/>
          <w:szCs w:val="24"/>
          <w:lang w:val="ru-RU"/>
        </w:rPr>
        <w:t>Други ефекат поменуте регулаторне мере Управе и њеног упућивања наручилаца на примену отвореног поступка</w:t>
      </w:r>
      <w:r>
        <w:rPr>
          <w:rFonts w:ascii="Times New Roman" w:hAnsi="Times New Roman"/>
          <w:sz w:val="24"/>
          <w:szCs w:val="24"/>
        </w:rPr>
        <w:t>,</w:t>
      </w:r>
      <w:r>
        <w:rPr>
          <w:rFonts w:ascii="Times New Roman" w:hAnsi="Times New Roman"/>
          <w:sz w:val="24"/>
          <w:szCs w:val="24"/>
          <w:lang w:val="ru-RU"/>
        </w:rPr>
        <w:t xml:space="preserve"> који карактерише пуна транспарентност и слободно деловање конкуренције</w:t>
      </w:r>
      <w:r>
        <w:rPr>
          <w:rFonts w:ascii="Times New Roman" w:hAnsi="Times New Roman"/>
          <w:sz w:val="24"/>
          <w:szCs w:val="24"/>
        </w:rPr>
        <w:t>,</w:t>
      </w:r>
      <w:r>
        <w:rPr>
          <w:rFonts w:ascii="Times New Roman" w:hAnsi="Times New Roman"/>
          <w:sz w:val="24"/>
          <w:szCs w:val="24"/>
          <w:lang w:val="ru-RU"/>
        </w:rPr>
        <w:t xml:space="preserve"> било је значајно повећање учешћа отвореног поступка за само две године, са 56% у 2012. на 85% </w:t>
      </w:r>
      <w:r w:rsidRPr="006B53CE">
        <w:rPr>
          <w:rFonts w:ascii="Times New Roman" w:hAnsi="Times New Roman"/>
          <w:sz w:val="24"/>
          <w:szCs w:val="24"/>
          <w:lang w:val="ru-RU"/>
        </w:rPr>
        <w:t xml:space="preserve">у 2014. години. На тај начин је учешће отвореног поступка, по први пут од када је почела примена </w:t>
      </w:r>
      <w:r>
        <w:rPr>
          <w:rFonts w:ascii="Times New Roman" w:hAnsi="Times New Roman"/>
          <w:sz w:val="24"/>
          <w:szCs w:val="24"/>
          <w:lang w:val="ru-RU"/>
        </w:rPr>
        <w:t xml:space="preserve">Закона пре више од једне деценије, достигло ниво који је стандард у земаљама ЕУ. </w:t>
      </w:r>
    </w:p>
    <w:p w:rsidR="007A07B3" w:rsidRPr="00F9719B" w:rsidRDefault="007A07B3" w:rsidP="006C43E5">
      <w:pPr>
        <w:jc w:val="both"/>
        <w:rPr>
          <w:rFonts w:ascii="Times New Roman" w:hAnsi="Times New Roman" w:cs="Times New Roman"/>
          <w:sz w:val="24"/>
          <w:szCs w:val="24"/>
        </w:rPr>
      </w:pPr>
      <w:r w:rsidRPr="00F9719B">
        <w:rPr>
          <w:rFonts w:ascii="Times New Roman" w:hAnsi="Times New Roman"/>
          <w:sz w:val="24"/>
          <w:szCs w:val="24"/>
          <w:lang w:val="ru-RU"/>
        </w:rPr>
        <w:t xml:space="preserve">Међутим, уочено је смањење </w:t>
      </w:r>
      <w:r w:rsidRPr="00F9719B">
        <w:rPr>
          <w:rFonts w:ascii="Times New Roman" w:hAnsi="Times New Roman" w:cs="Times New Roman"/>
          <w:sz w:val="24"/>
          <w:szCs w:val="24"/>
        </w:rPr>
        <w:t xml:space="preserve">релативног значаја јавних набавки мале вредности, чему је поред осталог допринео </w:t>
      </w:r>
      <w:r w:rsidR="00730875" w:rsidRPr="00F9719B">
        <w:rPr>
          <w:rFonts w:ascii="Times New Roman" w:hAnsi="Times New Roman" w:cs="Times New Roman"/>
          <w:sz w:val="24"/>
          <w:szCs w:val="24"/>
        </w:rPr>
        <w:t xml:space="preserve">и </w:t>
      </w:r>
      <w:r w:rsidRPr="00F9719B">
        <w:rPr>
          <w:rFonts w:ascii="Times New Roman" w:hAnsi="Times New Roman" w:cs="Times New Roman"/>
          <w:sz w:val="24"/>
          <w:szCs w:val="24"/>
        </w:rPr>
        <w:t xml:space="preserve">низак праг прописан Законом за јавне набавке мале вредности. Имајући у виду да је поступак јавне набавке мале вредности транспарентан колико и отворени поступак, а </w:t>
      </w:r>
      <w:r w:rsidR="000E513C" w:rsidRPr="00F9719B">
        <w:rPr>
          <w:rFonts w:ascii="Times New Roman" w:hAnsi="Times New Roman" w:cs="Times New Roman"/>
          <w:sz w:val="24"/>
          <w:szCs w:val="24"/>
        </w:rPr>
        <w:t xml:space="preserve">значајно је </w:t>
      </w:r>
      <w:r w:rsidR="000E513C" w:rsidRPr="00F9719B">
        <w:rPr>
          <w:rFonts w:ascii="Times New Roman" w:hAnsi="Times New Roman" w:cs="Times New Roman"/>
          <w:sz w:val="24"/>
          <w:szCs w:val="24"/>
        </w:rPr>
        <w:lastRenderedPageBreak/>
        <w:t>ефикаснији</w:t>
      </w:r>
      <w:r w:rsidRPr="00F9719B">
        <w:rPr>
          <w:rFonts w:ascii="Times New Roman" w:hAnsi="Times New Roman" w:cs="Times New Roman"/>
          <w:sz w:val="24"/>
          <w:szCs w:val="24"/>
        </w:rPr>
        <w:t xml:space="preserve">, намеће се потреба да се </w:t>
      </w:r>
      <w:r w:rsidR="000E513C" w:rsidRPr="00F9719B">
        <w:rPr>
          <w:rFonts w:ascii="Times New Roman" w:hAnsi="Times New Roman" w:cs="Times New Roman"/>
          <w:sz w:val="24"/>
          <w:szCs w:val="24"/>
        </w:rPr>
        <w:t xml:space="preserve">изменом законског решења </w:t>
      </w:r>
      <w:r w:rsidRPr="00F9719B">
        <w:rPr>
          <w:rFonts w:ascii="Times New Roman" w:hAnsi="Times New Roman" w:cs="Times New Roman"/>
          <w:sz w:val="24"/>
          <w:szCs w:val="24"/>
        </w:rPr>
        <w:t>овај праг повећа</w:t>
      </w:r>
      <w:r w:rsidR="00730875" w:rsidRPr="00F9719B">
        <w:rPr>
          <w:rFonts w:ascii="Times New Roman" w:hAnsi="Times New Roman" w:cs="Times New Roman"/>
          <w:sz w:val="24"/>
          <w:szCs w:val="24"/>
        </w:rPr>
        <w:t>, како би се ишло у сусрет стварању већих услова за примену начела економичности и ефикасности</w:t>
      </w:r>
      <w:r w:rsidRPr="00F9719B">
        <w:rPr>
          <w:rFonts w:ascii="Times New Roman" w:hAnsi="Times New Roman" w:cs="Times New Roman"/>
          <w:sz w:val="24"/>
          <w:szCs w:val="24"/>
        </w:rPr>
        <w:t xml:space="preserve">. </w:t>
      </w:r>
    </w:p>
    <w:p w:rsidR="006C43E5" w:rsidRPr="00F9719B" w:rsidRDefault="006C43E5" w:rsidP="006C43E5">
      <w:pPr>
        <w:jc w:val="both"/>
        <w:rPr>
          <w:rFonts w:ascii="Times New Roman" w:hAnsi="Times New Roman" w:cs="Times New Roman"/>
          <w:sz w:val="24"/>
          <w:szCs w:val="24"/>
        </w:rPr>
      </w:pPr>
      <w:r w:rsidRPr="00F9719B">
        <w:rPr>
          <w:rFonts w:ascii="Times New Roman" w:hAnsi="Times New Roman" w:cs="Times New Roman"/>
          <w:sz w:val="24"/>
          <w:szCs w:val="24"/>
        </w:rPr>
        <w:t>Други општи закључак је да је потребно наставити са предузимањем мера како би се повећало учешће понуђача у поступцима јавних набавки и тиме побољшао показатељ интензитета конкуренције.</w:t>
      </w:r>
      <w:r w:rsidR="00E07932" w:rsidRPr="00F9719B">
        <w:rPr>
          <w:rFonts w:ascii="Times New Roman" w:hAnsi="Times New Roman" w:cs="Times New Roman"/>
          <w:sz w:val="24"/>
          <w:szCs w:val="24"/>
        </w:rPr>
        <w:t xml:space="preserve"> </w:t>
      </w:r>
      <w:r w:rsidRPr="00F9719B">
        <w:rPr>
          <w:rFonts w:ascii="Times New Roman" w:hAnsi="Times New Roman" w:cs="Times New Roman"/>
          <w:sz w:val="24"/>
          <w:szCs w:val="24"/>
        </w:rPr>
        <w:t>Управа за јавне набавке</w:t>
      </w:r>
      <w:r w:rsidR="00284A93" w:rsidRPr="00F9719B">
        <w:rPr>
          <w:rFonts w:ascii="Times New Roman" w:hAnsi="Times New Roman" w:cs="Times New Roman"/>
          <w:sz w:val="24"/>
          <w:szCs w:val="24"/>
        </w:rPr>
        <w:t xml:space="preserve"> је</w:t>
      </w:r>
      <w:r w:rsidRPr="00F9719B">
        <w:rPr>
          <w:rFonts w:ascii="Times New Roman" w:hAnsi="Times New Roman" w:cs="Times New Roman"/>
          <w:sz w:val="24"/>
          <w:szCs w:val="24"/>
        </w:rPr>
        <w:t xml:space="preserve">, у сарадњи са Привредном комором Србије, организовала специјализоване обуке намењене управо малим и средњим предузећима (МСП) која су најбројнија и која могу да, својим већим учествовањем у поступцима јавних набавки, а пре свега набавкама мале вредности, створе интензивнију конкуренцију. Такође се показало неопходним да се спроведе истраживање којим ће се утврдити које су то препреке које МСП виде као оне које их одвраћају од учешћа у поступцима јавних набавки. У складу са налазима истраживања које ће бити спроведено у оквиру УНДП пројекта у 2015. години, Управа за јавне набавке ће спровести и друге мере, поред континуираних обука понуђача, како би се превазишла ограничења са којима се МСП суочавају у поступцима јавних набавки.   </w:t>
      </w:r>
    </w:p>
    <w:p w:rsidR="006C43E5" w:rsidRDefault="006C43E5" w:rsidP="006C43E5">
      <w:pPr>
        <w:jc w:val="both"/>
        <w:rPr>
          <w:rFonts w:ascii="Times New Roman" w:hAnsi="Times New Roman" w:cs="Times New Roman"/>
          <w:sz w:val="24"/>
          <w:szCs w:val="24"/>
        </w:rPr>
      </w:pPr>
      <w:r>
        <w:rPr>
          <w:rFonts w:ascii="Times New Roman" w:hAnsi="Times New Roman" w:cs="Times New Roman"/>
          <w:sz w:val="24"/>
          <w:szCs w:val="24"/>
        </w:rPr>
        <w:t>Поред слабости система јавних набавки са аспекта понуђача које се огледа</w:t>
      </w:r>
      <w:r w:rsidR="00E07932">
        <w:rPr>
          <w:rFonts w:ascii="Times New Roman" w:hAnsi="Times New Roman" w:cs="Times New Roman"/>
          <w:sz w:val="24"/>
          <w:szCs w:val="24"/>
        </w:rPr>
        <w:t>ју</w:t>
      </w:r>
      <w:r>
        <w:rPr>
          <w:rFonts w:ascii="Times New Roman" w:hAnsi="Times New Roman" w:cs="Times New Roman"/>
          <w:sz w:val="24"/>
          <w:szCs w:val="24"/>
        </w:rPr>
        <w:t xml:space="preserve"> у њиховом све мањем учешћу</w:t>
      </w:r>
      <w:r w:rsidR="00E27DC2">
        <w:rPr>
          <w:rFonts w:ascii="Times New Roman" w:hAnsi="Times New Roman" w:cs="Times New Roman"/>
          <w:sz w:val="24"/>
          <w:szCs w:val="24"/>
        </w:rPr>
        <w:t xml:space="preserve"> </w:t>
      </w:r>
      <w:r w:rsidR="00E27DC2" w:rsidRPr="00F9719B">
        <w:rPr>
          <w:rFonts w:ascii="Times New Roman" w:hAnsi="Times New Roman" w:cs="Times New Roman"/>
          <w:sz w:val="24"/>
          <w:szCs w:val="24"/>
        </w:rPr>
        <w:t xml:space="preserve">тако да је чак сваки пети </w:t>
      </w:r>
      <w:r w:rsidR="00E07932" w:rsidRPr="00F9719B">
        <w:rPr>
          <w:rFonts w:ascii="Times New Roman" w:hAnsi="Times New Roman" w:cs="Times New Roman"/>
          <w:sz w:val="24"/>
          <w:szCs w:val="24"/>
        </w:rPr>
        <w:t xml:space="preserve">обустављени </w:t>
      </w:r>
      <w:r w:rsidR="00E27DC2" w:rsidRPr="00F9719B">
        <w:rPr>
          <w:rFonts w:ascii="Times New Roman" w:hAnsi="Times New Roman" w:cs="Times New Roman"/>
          <w:sz w:val="24"/>
          <w:szCs w:val="24"/>
        </w:rPr>
        <w:t xml:space="preserve">поступак </w:t>
      </w:r>
      <w:r w:rsidR="00E07932" w:rsidRPr="00F9719B">
        <w:rPr>
          <w:rFonts w:ascii="Times New Roman" w:hAnsi="Times New Roman" w:cs="Times New Roman"/>
          <w:sz w:val="24"/>
          <w:szCs w:val="24"/>
        </w:rPr>
        <w:t xml:space="preserve">из разлога </w:t>
      </w:r>
      <w:r w:rsidR="00E27DC2" w:rsidRPr="00F9719B">
        <w:rPr>
          <w:rFonts w:ascii="Times New Roman" w:hAnsi="Times New Roman" w:cs="Times New Roman"/>
          <w:sz w:val="24"/>
          <w:szCs w:val="24"/>
        </w:rPr>
        <w:t>што није добијена ни једна понуда</w:t>
      </w:r>
      <w:r w:rsidRPr="00F9719B">
        <w:rPr>
          <w:rFonts w:ascii="Times New Roman" w:hAnsi="Times New Roman" w:cs="Times New Roman"/>
          <w:sz w:val="24"/>
          <w:szCs w:val="24"/>
        </w:rPr>
        <w:t xml:space="preserve">, </w:t>
      </w:r>
      <w:r w:rsidR="00E27DC2" w:rsidRPr="00F9719B">
        <w:rPr>
          <w:rFonts w:ascii="Times New Roman" w:hAnsi="Times New Roman" w:cs="Times New Roman"/>
          <w:sz w:val="24"/>
          <w:szCs w:val="24"/>
        </w:rPr>
        <w:t xml:space="preserve">а да се у готово половини поступака добија само једна понуда </w:t>
      </w:r>
      <w:r>
        <w:rPr>
          <w:rFonts w:ascii="Times New Roman" w:hAnsi="Times New Roman" w:cs="Times New Roman"/>
          <w:sz w:val="24"/>
          <w:szCs w:val="24"/>
        </w:rPr>
        <w:t xml:space="preserve">и наручиоци су се суочавали са низом ограничења у спровођењу поступака јавних набавки. </w:t>
      </w:r>
    </w:p>
    <w:p w:rsidR="006C43E5" w:rsidRDefault="006C43E5" w:rsidP="006C43E5">
      <w:pPr>
        <w:jc w:val="both"/>
        <w:rPr>
          <w:rFonts w:ascii="Times New Roman" w:hAnsi="Times New Roman" w:cs="Times New Roman"/>
          <w:sz w:val="24"/>
          <w:szCs w:val="24"/>
        </w:rPr>
      </w:pPr>
      <w:r>
        <w:rPr>
          <w:rFonts w:ascii="Times New Roman" w:hAnsi="Times New Roman" w:cs="Times New Roman"/>
          <w:sz w:val="24"/>
          <w:szCs w:val="24"/>
        </w:rPr>
        <w:t xml:space="preserve">Конкретно, приликом спровођења поступка набавке, наручиоци су били приморани да највећи део својих напора усмере на задовољавање формалних захтева, док је питање онога шта се набавља у погледу квалитета и карактеристика било у другом плану. Последица потребе да се испуне бројни формални захтеви била је велики утрошак времена и немогућност да се сагледају укупни трошкови набавке. </w:t>
      </w:r>
    </w:p>
    <w:p w:rsidR="006C43E5" w:rsidRDefault="006C43E5" w:rsidP="006C43E5">
      <w:pPr>
        <w:jc w:val="both"/>
        <w:rPr>
          <w:rFonts w:ascii="Times New Roman" w:hAnsi="Times New Roman" w:cs="Times New Roman"/>
          <w:sz w:val="24"/>
          <w:szCs w:val="24"/>
        </w:rPr>
      </w:pPr>
      <w:r>
        <w:rPr>
          <w:rFonts w:ascii="Times New Roman" w:hAnsi="Times New Roman" w:cs="Times New Roman"/>
          <w:sz w:val="24"/>
          <w:szCs w:val="24"/>
        </w:rPr>
        <w:t>Ово су иначе обележја система јавних набавки как</w:t>
      </w:r>
      <w:r w:rsidR="00954B6F">
        <w:rPr>
          <w:rFonts w:ascii="Times New Roman" w:hAnsi="Times New Roman" w:cs="Times New Roman"/>
          <w:sz w:val="24"/>
          <w:szCs w:val="24"/>
          <w:lang w:val="sr-Cyrl-RS"/>
        </w:rPr>
        <w:t>ва</w:t>
      </w:r>
      <w:r>
        <w:rPr>
          <w:rFonts w:ascii="Times New Roman" w:hAnsi="Times New Roman" w:cs="Times New Roman"/>
          <w:sz w:val="24"/>
          <w:szCs w:val="24"/>
        </w:rPr>
        <w:t xml:space="preserve"> препознајемо у земљама ЕУ, током деведесетих година прошлог века, и који је имао следеће основне карактеристике:</w:t>
      </w:r>
    </w:p>
    <w:p w:rsidR="006C43E5" w:rsidRPr="006C43E5" w:rsidRDefault="006C43E5" w:rsidP="00730875">
      <w:pPr>
        <w:jc w:val="both"/>
        <w:rPr>
          <w:rFonts w:ascii="Times New Roman" w:hAnsi="Times New Roman" w:cs="Times New Roman"/>
          <w:color w:val="000000" w:themeColor="text1"/>
          <w:sz w:val="24"/>
          <w:szCs w:val="24"/>
        </w:rPr>
      </w:pPr>
      <w:r w:rsidRPr="001D6B7D">
        <w:rPr>
          <w:rFonts w:ascii="Times New Roman" w:hAnsi="Times New Roman" w:cs="Times New Roman"/>
          <w:color w:val="000000" w:themeColor="text1"/>
          <w:sz w:val="24"/>
          <w:szCs w:val="24"/>
        </w:rPr>
        <w:t>Фaзa 1 - прe тридeсeт гoдинa</w:t>
      </w:r>
      <w:r>
        <w:rPr>
          <w:rFonts w:ascii="Times New Roman" w:hAnsi="Times New Roman" w:cs="Times New Roman"/>
          <w:color w:val="000000" w:themeColor="text1"/>
          <w:sz w:val="24"/>
          <w:szCs w:val="24"/>
        </w:rPr>
        <w:t>,</w:t>
      </w:r>
      <w:r w:rsidR="00954B6F">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rPr>
        <w:t xml:space="preserve">јавна </w:t>
      </w:r>
      <w:r w:rsidRPr="001D6B7D">
        <w:rPr>
          <w:rFonts w:ascii="Times New Roman" w:hAnsi="Times New Roman" w:cs="Times New Roman"/>
          <w:color w:val="000000" w:themeColor="text1"/>
          <w:sz w:val="24"/>
          <w:szCs w:val="24"/>
        </w:rPr>
        <w:t>нaбaвкa je билa тaкo кoнципирaнa дa je глaвни циљ биo пoстизaњe штo нижих нaбaвних цeнa, уз oдсуствo кoмуникaциje сa дoбaвљaчимa</w:t>
      </w:r>
      <w:r>
        <w:rPr>
          <w:rFonts w:ascii="Times New Roman" w:hAnsi="Times New Roman" w:cs="Times New Roman"/>
          <w:color w:val="000000" w:themeColor="text1"/>
          <w:sz w:val="24"/>
          <w:szCs w:val="24"/>
        </w:rPr>
        <w:t>;</w:t>
      </w:r>
    </w:p>
    <w:p w:rsidR="006C43E5" w:rsidRPr="006C43E5" w:rsidRDefault="006C43E5" w:rsidP="006C43E5">
      <w:pPr>
        <w:jc w:val="both"/>
        <w:rPr>
          <w:rFonts w:ascii="Times New Roman" w:hAnsi="Times New Roman" w:cs="Times New Roman"/>
          <w:color w:val="000000" w:themeColor="text1"/>
          <w:sz w:val="24"/>
          <w:szCs w:val="24"/>
        </w:rPr>
      </w:pPr>
      <w:r w:rsidRPr="001D6B7D">
        <w:rPr>
          <w:rFonts w:ascii="Times New Roman" w:hAnsi="Times New Roman" w:cs="Times New Roman"/>
          <w:color w:val="000000" w:themeColor="text1"/>
          <w:sz w:val="24"/>
          <w:szCs w:val="24"/>
        </w:rPr>
        <w:t>Фaзa 2 – прe пeтнaeст гoдинa</w:t>
      </w:r>
      <w:r>
        <w:rPr>
          <w:rFonts w:ascii="Times New Roman" w:hAnsi="Times New Roman" w:cs="Times New Roman"/>
          <w:color w:val="000000" w:themeColor="text1"/>
          <w:sz w:val="24"/>
          <w:szCs w:val="24"/>
        </w:rPr>
        <w:t>,</w:t>
      </w:r>
      <w:r w:rsidRPr="001D6B7D">
        <w:rPr>
          <w:rFonts w:ascii="Times New Roman" w:hAnsi="Times New Roman" w:cs="Times New Roman"/>
          <w:color w:val="000000" w:themeColor="text1"/>
          <w:sz w:val="24"/>
          <w:szCs w:val="24"/>
        </w:rPr>
        <w:t xml:space="preserve"> глaвнa oриjeнтaциja билa je нa нaбaвнe цeнe, aли сe свe вишe узимajу у oбзир и oстaли фaктoри кao штo су квaлитeт, испoрукa, a увoди сe и вишe oбликa кoмуникaциje сa дoбaвљaчимa</w:t>
      </w:r>
      <w:r>
        <w:rPr>
          <w:rFonts w:ascii="Times New Roman" w:hAnsi="Times New Roman" w:cs="Times New Roman"/>
          <w:color w:val="000000" w:themeColor="text1"/>
          <w:sz w:val="24"/>
          <w:szCs w:val="24"/>
        </w:rPr>
        <w:t>;</w:t>
      </w:r>
    </w:p>
    <w:p w:rsidR="006C43E5" w:rsidRPr="001D6B7D" w:rsidRDefault="006C43E5" w:rsidP="006C43E5">
      <w:pPr>
        <w:jc w:val="both"/>
        <w:rPr>
          <w:rFonts w:ascii="Times New Roman" w:hAnsi="Times New Roman" w:cs="Times New Roman"/>
          <w:color w:val="000000" w:themeColor="text1"/>
          <w:sz w:val="24"/>
          <w:szCs w:val="24"/>
        </w:rPr>
      </w:pPr>
      <w:r w:rsidRPr="001D6B7D">
        <w:rPr>
          <w:rFonts w:ascii="Times New Roman" w:hAnsi="Times New Roman" w:cs="Times New Roman"/>
          <w:color w:val="000000" w:themeColor="text1"/>
          <w:sz w:val="24"/>
          <w:szCs w:val="24"/>
        </w:rPr>
        <w:t xml:space="preserve">Фaзa 3 – дaнaс сe нaбaвкa смaтрa стрaтeшкoм функциjoм. </w:t>
      </w:r>
      <w:r>
        <w:rPr>
          <w:rFonts w:ascii="Times New Roman" w:hAnsi="Times New Roman" w:cs="Times New Roman"/>
          <w:color w:val="000000" w:themeColor="text1"/>
          <w:sz w:val="24"/>
          <w:szCs w:val="24"/>
        </w:rPr>
        <w:t>Наручилац у</w:t>
      </w:r>
      <w:r w:rsidRPr="001D6B7D">
        <w:rPr>
          <w:rFonts w:ascii="Times New Roman" w:hAnsi="Times New Roman" w:cs="Times New Roman"/>
          <w:color w:val="000000" w:themeColor="text1"/>
          <w:sz w:val="24"/>
          <w:szCs w:val="24"/>
        </w:rPr>
        <w:t>зимa у oбзир укупaн трoшaк</w:t>
      </w:r>
      <w:r>
        <w:rPr>
          <w:rFonts w:ascii="Times New Roman" w:hAnsi="Times New Roman" w:cs="Times New Roman"/>
          <w:color w:val="000000" w:themeColor="text1"/>
          <w:sz w:val="24"/>
          <w:szCs w:val="24"/>
        </w:rPr>
        <w:t>, а не само набавну цену</w:t>
      </w:r>
      <w:r w:rsidRPr="001D6B7D">
        <w:rPr>
          <w:rFonts w:ascii="Times New Roman" w:hAnsi="Times New Roman" w:cs="Times New Roman"/>
          <w:color w:val="000000" w:themeColor="text1"/>
          <w:sz w:val="24"/>
          <w:szCs w:val="24"/>
        </w:rPr>
        <w:t>. Успoстaвљa сe тeснa сaрaдњa унутaр oргaнизaци</w:t>
      </w:r>
      <w:r>
        <w:rPr>
          <w:rFonts w:ascii="Times New Roman" w:hAnsi="Times New Roman" w:cs="Times New Roman"/>
          <w:color w:val="000000" w:themeColor="text1"/>
          <w:sz w:val="24"/>
          <w:szCs w:val="24"/>
        </w:rPr>
        <w:t xml:space="preserve">оних јединица наручиоца </w:t>
      </w:r>
      <w:r w:rsidRPr="001D6B7D">
        <w:rPr>
          <w:rFonts w:ascii="Times New Roman" w:hAnsi="Times New Roman" w:cs="Times New Roman"/>
          <w:color w:val="000000" w:themeColor="text1"/>
          <w:sz w:val="24"/>
          <w:szCs w:val="24"/>
        </w:rPr>
        <w:t>рaди oствaривaњa штo нижих укупних трoшкoвa нaбaвки</w:t>
      </w:r>
      <w:r>
        <w:rPr>
          <w:rFonts w:ascii="Times New Roman" w:hAnsi="Times New Roman" w:cs="Times New Roman"/>
          <w:color w:val="000000" w:themeColor="text1"/>
          <w:sz w:val="24"/>
          <w:szCs w:val="24"/>
        </w:rPr>
        <w:t xml:space="preserve">. Такође се остварује комуникација </w:t>
      </w:r>
      <w:r w:rsidRPr="001D6B7D">
        <w:rPr>
          <w:rFonts w:ascii="Times New Roman" w:hAnsi="Times New Roman" w:cs="Times New Roman"/>
          <w:color w:val="000000" w:themeColor="text1"/>
          <w:sz w:val="24"/>
          <w:szCs w:val="24"/>
        </w:rPr>
        <w:t xml:space="preserve">сa </w:t>
      </w:r>
      <w:r>
        <w:rPr>
          <w:rFonts w:ascii="Times New Roman" w:hAnsi="Times New Roman" w:cs="Times New Roman"/>
          <w:color w:val="000000" w:themeColor="text1"/>
          <w:sz w:val="24"/>
          <w:szCs w:val="24"/>
        </w:rPr>
        <w:t xml:space="preserve">потенцијалним понуђачима </w:t>
      </w:r>
      <w:r w:rsidRPr="001D6B7D">
        <w:rPr>
          <w:rFonts w:ascii="Times New Roman" w:hAnsi="Times New Roman" w:cs="Times New Roman"/>
          <w:color w:val="000000" w:themeColor="text1"/>
          <w:sz w:val="24"/>
          <w:szCs w:val="24"/>
        </w:rPr>
        <w:t xml:space="preserve">кaкo би сe дoшлo дo идeja и прeдлoгa кaкo дa сe нajбoљe зaдoвoљe пoтрeбe </w:t>
      </w:r>
      <w:r>
        <w:rPr>
          <w:rFonts w:ascii="Times New Roman" w:hAnsi="Times New Roman" w:cs="Times New Roman"/>
          <w:color w:val="000000" w:themeColor="text1"/>
          <w:sz w:val="24"/>
          <w:szCs w:val="24"/>
        </w:rPr>
        <w:t>наручиоца</w:t>
      </w:r>
      <w:r w:rsidR="00730875" w:rsidRPr="00730875">
        <w:rPr>
          <w:rFonts w:ascii="Times New Roman" w:hAnsi="Times New Roman" w:cs="Times New Roman"/>
          <w:color w:val="7030A0"/>
          <w:sz w:val="24"/>
          <w:szCs w:val="24"/>
        </w:rPr>
        <w:t xml:space="preserve">, </w:t>
      </w:r>
      <w:r w:rsidR="00730875" w:rsidRPr="00F9719B">
        <w:rPr>
          <w:rFonts w:ascii="Times New Roman" w:hAnsi="Times New Roman" w:cs="Times New Roman"/>
          <w:sz w:val="24"/>
          <w:szCs w:val="24"/>
        </w:rPr>
        <w:t>а формализам је сведен на најмању могућу меру</w:t>
      </w:r>
      <w:r w:rsidRPr="00F9719B">
        <w:rPr>
          <w:rFonts w:ascii="Times New Roman" w:hAnsi="Times New Roman" w:cs="Times New Roman"/>
          <w:sz w:val="24"/>
          <w:szCs w:val="24"/>
        </w:rPr>
        <w:t>.</w:t>
      </w:r>
    </w:p>
    <w:p w:rsidR="006C43E5" w:rsidRDefault="006C43E5" w:rsidP="006C43E5">
      <w:pPr>
        <w:jc w:val="both"/>
        <w:rPr>
          <w:rFonts w:ascii="Times New Roman" w:hAnsi="Times New Roman" w:cs="Times New Roman"/>
          <w:sz w:val="24"/>
          <w:szCs w:val="24"/>
        </w:rPr>
      </w:pPr>
      <w:r>
        <w:rPr>
          <w:rFonts w:ascii="Times New Roman" w:hAnsi="Times New Roman" w:cs="Times New Roman"/>
          <w:sz w:val="24"/>
          <w:szCs w:val="24"/>
        </w:rPr>
        <w:t>У првој фази, н</w:t>
      </w:r>
      <w:r w:rsidRPr="000A0E52">
        <w:rPr>
          <w:rFonts w:ascii="Times New Roman" w:hAnsi="Times New Roman" w:cs="Times New Roman"/>
          <w:sz w:val="24"/>
          <w:szCs w:val="24"/>
        </w:rPr>
        <w:t xml:space="preserve">aглaсaк je биo нa пoступку, a нe нa рeзултaту. </w:t>
      </w:r>
      <w:r>
        <w:rPr>
          <w:rFonts w:ascii="Times New Roman" w:hAnsi="Times New Roman" w:cs="Times New Roman"/>
          <w:sz w:val="24"/>
          <w:szCs w:val="24"/>
        </w:rPr>
        <w:t>Н</w:t>
      </w:r>
      <w:r w:rsidRPr="000A0E52">
        <w:rPr>
          <w:rFonts w:ascii="Times New Roman" w:hAnsi="Times New Roman" w:cs="Times New Roman"/>
          <w:sz w:val="24"/>
          <w:szCs w:val="24"/>
        </w:rPr>
        <w:t xml:space="preserve">ajвaжниje je билo „нe учинити ништa пoгрeшнo“, a нe oствaрити eкoнoмичну нaбaвку. Крajњи eфeкaт je биo дa je знaтнo вeћe шaнсe дa дoбиja пoслoвe имao </w:t>
      </w:r>
      <w:r>
        <w:rPr>
          <w:rFonts w:ascii="Times New Roman" w:hAnsi="Times New Roman" w:cs="Times New Roman"/>
          <w:sz w:val="24"/>
          <w:szCs w:val="24"/>
        </w:rPr>
        <w:t xml:space="preserve">понуђач </w:t>
      </w:r>
      <w:r w:rsidRPr="000A0E52">
        <w:rPr>
          <w:rFonts w:ascii="Times New Roman" w:hAnsi="Times New Roman" w:cs="Times New Roman"/>
          <w:sz w:val="24"/>
          <w:szCs w:val="24"/>
        </w:rPr>
        <w:t xml:space="preserve">кojи дoбрo пoзнaje пoступaк, у oднoсу нa oнoг кojи мoжe дaти пoвoљниjу пoнуду, aли прaви фoрмaлнe грeшкe у пoступку. </w:t>
      </w:r>
      <w:r>
        <w:rPr>
          <w:rFonts w:ascii="Times New Roman" w:hAnsi="Times New Roman" w:cs="Times New Roman"/>
          <w:sz w:val="24"/>
          <w:szCs w:val="24"/>
        </w:rPr>
        <w:t xml:space="preserve">Последица је да наручилац не успева да добије оно што највише одговара његовим потребама. </w:t>
      </w:r>
    </w:p>
    <w:p w:rsidR="006C43E5" w:rsidRPr="006B53CE" w:rsidRDefault="006C43E5" w:rsidP="006C43E5">
      <w:pPr>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Слабости у погледу примене и перформансама поступка настоје се отклонити додатним, детаљнијим регулисањем и администрирањем. Такође и проблем нерегуларности поступка покушава се решити новим административним захтевима који додатно отежавају спровођење поступка, без видљивих ефеката на повећање регуларности. </w:t>
      </w:r>
    </w:p>
    <w:p w:rsidR="006C43E5" w:rsidRDefault="006C43E5" w:rsidP="006C43E5">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Ову фазу карактерише ф</w:t>
      </w:r>
      <w:r w:rsidRPr="000A0E52">
        <w:rPr>
          <w:rFonts w:ascii="Times New Roman" w:hAnsi="Times New Roman" w:cs="Times New Roman"/>
          <w:sz w:val="24"/>
          <w:szCs w:val="24"/>
        </w:rPr>
        <w:t>oкусирaнoст нa нaбaвнe цeнe умeстo нa укупнe трoшкoвe jeр je тaкaв приступ jeднoстaвниjи и нoси мaњи aдминистрaтивни ризик. При тo</w:t>
      </w:r>
      <w:r>
        <w:rPr>
          <w:rFonts w:ascii="Times New Roman" w:hAnsi="Times New Roman" w:cs="Times New Roman"/>
          <w:sz w:val="24"/>
          <w:szCs w:val="24"/>
        </w:rPr>
        <w:t>м сe игнoришу трoшкoви oдржaвaња</w:t>
      </w:r>
      <w:r w:rsidRPr="000A0E52">
        <w:rPr>
          <w:rFonts w:ascii="Times New Roman" w:hAnsi="Times New Roman" w:cs="Times New Roman"/>
          <w:sz w:val="24"/>
          <w:szCs w:val="24"/>
        </w:rPr>
        <w:t>, лoгистикe,  jeднo</w:t>
      </w:r>
      <w:r>
        <w:rPr>
          <w:rFonts w:ascii="Times New Roman" w:hAnsi="Times New Roman" w:cs="Times New Roman"/>
          <w:sz w:val="24"/>
          <w:szCs w:val="24"/>
        </w:rPr>
        <w:t xml:space="preserve">м речју укупни трошкови који су неретко већи код оних производа који имају најнижу набавну цену. Услед бројних административних захтева време потребно за спровођење поступка се продужава. Све ово има за последицу „жртвовање“ начела економичности и ефикасности поступка јавне набавке. </w:t>
      </w:r>
    </w:p>
    <w:p w:rsidR="006C43E5" w:rsidRDefault="006C43E5" w:rsidP="006C43E5">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Почетној фази својствено је о</w:t>
      </w:r>
      <w:r w:rsidRPr="00DE48B6">
        <w:rPr>
          <w:rFonts w:ascii="Times New Roman" w:hAnsi="Times New Roman" w:cs="Times New Roman"/>
          <w:sz w:val="24"/>
          <w:szCs w:val="24"/>
        </w:rPr>
        <w:t xml:space="preserve">дсуствo мoтивaциje зa трaжeњeм нajeкoнoмичниjeг рeшeњa. Иaкo држaвни службeници „нa пaпиру“ трeбa дa тeжe нajeкoнoмичниjoj купoвини, oни прe свeгa вoдe рaчунa o прoцeдури. </w:t>
      </w:r>
      <w:r>
        <w:rPr>
          <w:rFonts w:ascii="Times New Roman" w:hAnsi="Times New Roman" w:cs="Times New Roman"/>
          <w:sz w:val="24"/>
          <w:szCs w:val="24"/>
        </w:rPr>
        <w:t xml:space="preserve">Не врши се истраживање тржишта, па нема доброг познавања тржишних прилика што има за последицу да конкурсна документација не кореспондира са актуелном понудом на тржишту и да последично мањи број понуђача подноси понуде што значајно умањује конкуренцију. </w:t>
      </w:r>
      <w:r w:rsidRPr="000A0E52">
        <w:rPr>
          <w:rFonts w:ascii="Times New Roman" w:hAnsi="Times New Roman" w:cs="Times New Roman"/>
          <w:sz w:val="24"/>
          <w:szCs w:val="24"/>
        </w:rPr>
        <w:t xml:space="preserve">Стeпeн стaндaрдизaциje je низaк штo oнeмoгућaвa aдeквaтнo пoрeђeњe цeнa и квaлитeтa, кao и нaбaвкe вeћих кoличинa зa дужи врeмeнски пeриoд. </w:t>
      </w:r>
    </w:p>
    <w:p w:rsidR="006C43E5" w:rsidRDefault="006C43E5" w:rsidP="006C43E5">
      <w:pPr>
        <w:spacing w:before="100" w:beforeAutospacing="1" w:after="100" w:afterAutospacing="1"/>
        <w:jc w:val="both"/>
        <w:rPr>
          <w:rFonts w:ascii="Times New Roman" w:hAnsi="Times New Roman" w:cs="Times New Roman"/>
          <w:color w:val="000000"/>
          <w:sz w:val="24"/>
          <w:szCs w:val="24"/>
        </w:rPr>
      </w:pPr>
      <w:r w:rsidRPr="002E255F">
        <w:rPr>
          <w:rFonts w:ascii="Times New Roman" w:hAnsi="Times New Roman" w:cs="Times New Roman"/>
          <w:color w:val="000000"/>
          <w:sz w:val="24"/>
          <w:szCs w:val="24"/>
        </w:rPr>
        <w:t>Током протекле деценије приступ нaбaвкaмa у jaвнoj aдминистрaциjи зeмaљa EУ се променио добијајући другачија обележја. Једно од најзначајнијих је да је приоритет дa сe oствaрe циљeви и рeзултaти набавке, уз пoштoвaњe прoписa. У том смислу нa вaжнoсти свe вишe дoбиjajустрaтeгиja нaбaвкe</w:t>
      </w:r>
      <w:r>
        <w:rPr>
          <w:rFonts w:ascii="Times New Roman" w:hAnsi="Times New Roman" w:cs="Times New Roman"/>
          <w:color w:val="000000"/>
          <w:sz w:val="24"/>
          <w:szCs w:val="24"/>
        </w:rPr>
        <w:t>,</w:t>
      </w:r>
      <w:r w:rsidR="00954B6F">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и</w:t>
      </w:r>
      <w:r w:rsidRPr="00571B53">
        <w:rPr>
          <w:rFonts w:ascii="Times New Roman" w:hAnsi="Times New Roman" w:cs="Times New Roman"/>
          <w:color w:val="000000"/>
          <w:sz w:val="24"/>
          <w:szCs w:val="24"/>
        </w:rPr>
        <w:t>страживање тржишта и комуникација са понуђ</w:t>
      </w:r>
      <w:r>
        <w:rPr>
          <w:rFonts w:ascii="Times New Roman" w:hAnsi="Times New Roman" w:cs="Times New Roman"/>
          <w:color w:val="000000"/>
          <w:sz w:val="24"/>
          <w:szCs w:val="24"/>
        </w:rPr>
        <w:t>ачима, која је континуирана и уређена, смањење формализма и праћење</w:t>
      </w:r>
      <w:r w:rsidRPr="002E255F">
        <w:rPr>
          <w:rFonts w:ascii="Times New Roman" w:hAnsi="Times New Roman" w:cs="Times New Roman"/>
          <w:color w:val="000000"/>
          <w:sz w:val="24"/>
          <w:szCs w:val="24"/>
        </w:rPr>
        <w:t xml:space="preserve"> извршењ</w:t>
      </w:r>
      <w:r>
        <w:rPr>
          <w:rFonts w:ascii="Times New Roman" w:hAnsi="Times New Roman" w:cs="Times New Roman"/>
          <w:color w:val="000000"/>
          <w:sz w:val="24"/>
          <w:szCs w:val="24"/>
        </w:rPr>
        <w:t>а</w:t>
      </w:r>
      <w:r w:rsidRPr="002E255F">
        <w:rPr>
          <w:rFonts w:ascii="Times New Roman" w:hAnsi="Times New Roman" w:cs="Times New Roman"/>
          <w:color w:val="000000"/>
          <w:sz w:val="24"/>
          <w:szCs w:val="24"/>
        </w:rPr>
        <w:t xml:space="preserve"> уговора</w:t>
      </w:r>
      <w:r>
        <w:rPr>
          <w:rFonts w:ascii="Times New Roman" w:hAnsi="Times New Roman" w:cs="Times New Roman"/>
          <w:color w:val="000000"/>
          <w:sz w:val="24"/>
          <w:szCs w:val="24"/>
        </w:rPr>
        <w:t xml:space="preserve">. </w:t>
      </w:r>
    </w:p>
    <w:p w:rsidR="006C43E5" w:rsidRDefault="006C43E5" w:rsidP="006C43E5">
      <w:pPr>
        <w:spacing w:before="100" w:beforeAutospacing="1" w:after="100" w:afterAutospacing="1"/>
        <w:jc w:val="both"/>
      </w:pPr>
      <w:r>
        <w:rPr>
          <w:rFonts w:ascii="Times New Roman" w:hAnsi="Times New Roman" w:cs="Times New Roman"/>
          <w:color w:val="000000"/>
          <w:sz w:val="24"/>
          <w:szCs w:val="24"/>
        </w:rPr>
        <w:t>Имајући у виду приоритете система јавних набавки у Србији који су садржани у Стратегији развоја јавних набавки, као што су:</w:t>
      </w:r>
      <w:r>
        <w:rPr>
          <w:color w:val="000000"/>
        </w:rPr>
        <w:t> </w:t>
      </w:r>
    </w:p>
    <w:p w:rsidR="006C43E5" w:rsidRPr="001E0CFD" w:rsidRDefault="006C43E5" w:rsidP="006C43E5">
      <w:pPr>
        <w:numPr>
          <w:ilvl w:val="0"/>
          <w:numId w:val="11"/>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изградња и развој јединственог система јавних набавки у Републици Србији;</w:t>
      </w:r>
    </w:p>
    <w:p w:rsidR="006C43E5" w:rsidRPr="001E0CFD" w:rsidRDefault="006C43E5" w:rsidP="006C43E5">
      <w:pPr>
        <w:numPr>
          <w:ilvl w:val="0"/>
          <w:numId w:val="11"/>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јачање конкурен</w:t>
      </w:r>
      <w:r>
        <w:rPr>
          <w:rFonts w:ascii="Times New Roman" w:hAnsi="Times New Roman"/>
          <w:sz w:val="24"/>
          <w:szCs w:val="24"/>
          <w:lang w:val="sr-Cyrl-CS" w:eastAsia="sr-Latn-CS"/>
        </w:rPr>
        <w:t>ције на тржишту  јавних набавки</w:t>
      </w:r>
    </w:p>
    <w:p w:rsidR="006C43E5" w:rsidRPr="001E0CFD" w:rsidRDefault="006C43E5" w:rsidP="006C43E5">
      <w:pPr>
        <w:numPr>
          <w:ilvl w:val="0"/>
          <w:numId w:val="11"/>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смањивање нерегуларности у систему јавних набавки</w:t>
      </w:r>
    </w:p>
    <w:p w:rsidR="006C43E5" w:rsidRPr="001E0CFD" w:rsidRDefault="006C43E5" w:rsidP="006C43E5">
      <w:pPr>
        <w:numPr>
          <w:ilvl w:val="0"/>
          <w:numId w:val="11"/>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повећање економичнос</w:t>
      </w:r>
      <w:r>
        <w:rPr>
          <w:rFonts w:ascii="Times New Roman" w:hAnsi="Times New Roman"/>
          <w:sz w:val="24"/>
          <w:szCs w:val="24"/>
          <w:lang w:val="sr-Cyrl-CS" w:eastAsia="sr-Latn-CS"/>
        </w:rPr>
        <w:t>ти и ефикасности јавних набавки</w:t>
      </w:r>
    </w:p>
    <w:p w:rsidR="006C43E5" w:rsidRPr="001E0CFD" w:rsidRDefault="006C43E5" w:rsidP="006C43E5">
      <w:pPr>
        <w:numPr>
          <w:ilvl w:val="0"/>
          <w:numId w:val="11"/>
        </w:numPr>
        <w:spacing w:after="0"/>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промовисање и подстицање еколошког и социјалног аспекта у јавним набавкама,</w:t>
      </w:r>
    </w:p>
    <w:p w:rsidR="006C43E5" w:rsidRDefault="006C43E5" w:rsidP="006C43E5">
      <w:pPr>
        <w:tabs>
          <w:tab w:val="left" w:pos="90"/>
        </w:tabs>
        <w:spacing w:after="0"/>
        <w:jc w:val="both"/>
        <w:rPr>
          <w:rFonts w:ascii="Times New Roman" w:hAnsi="Times New Roman"/>
          <w:sz w:val="24"/>
          <w:szCs w:val="24"/>
          <w:lang w:val="sr-Cyrl-CS" w:eastAsia="sr-Latn-CS"/>
        </w:rPr>
      </w:pPr>
      <w:r>
        <w:rPr>
          <w:rFonts w:ascii="Times New Roman" w:hAnsi="Times New Roman"/>
          <w:sz w:val="24"/>
          <w:szCs w:val="24"/>
          <w:lang w:val="sr-Cyrl-CS" w:eastAsia="sr-Latn-CS"/>
        </w:rPr>
        <w:tab/>
      </w:r>
      <w:r>
        <w:rPr>
          <w:rFonts w:ascii="Times New Roman" w:hAnsi="Times New Roman"/>
          <w:sz w:val="24"/>
          <w:szCs w:val="24"/>
          <w:lang w:val="sr-Cyrl-CS" w:eastAsia="sr-Latn-CS"/>
        </w:rPr>
        <w:tab/>
      </w:r>
      <w:r w:rsidRPr="001E0CFD">
        <w:rPr>
          <w:rFonts w:ascii="Times New Roman" w:hAnsi="Times New Roman"/>
          <w:sz w:val="24"/>
          <w:szCs w:val="24"/>
          <w:lang w:val="sr-Cyrl-CS" w:eastAsia="sr-Latn-CS"/>
        </w:rPr>
        <w:t>учешћа малих и средњих предузећа и иновација</w:t>
      </w:r>
      <w:r>
        <w:rPr>
          <w:rFonts w:ascii="Times New Roman" w:hAnsi="Times New Roman"/>
          <w:sz w:val="24"/>
          <w:szCs w:val="24"/>
          <w:lang w:val="sr-Cyrl-CS" w:eastAsia="sr-Latn-CS"/>
        </w:rPr>
        <w:t xml:space="preserve"> и </w:t>
      </w:r>
    </w:p>
    <w:p w:rsidR="006C43E5" w:rsidRPr="008702E0" w:rsidRDefault="006C43E5" w:rsidP="006C43E5">
      <w:pPr>
        <w:pStyle w:val="ListParagraph"/>
        <w:numPr>
          <w:ilvl w:val="0"/>
          <w:numId w:val="11"/>
        </w:numPr>
        <w:tabs>
          <w:tab w:val="left" w:pos="90"/>
        </w:tabs>
        <w:spacing w:after="0"/>
        <w:jc w:val="both"/>
        <w:rPr>
          <w:rFonts w:ascii="Times New Roman" w:hAnsi="Times New Roman"/>
          <w:sz w:val="24"/>
          <w:szCs w:val="24"/>
          <w:lang w:val="sr-Cyrl-CS" w:eastAsia="sr-Latn-CS"/>
        </w:rPr>
      </w:pPr>
      <w:r w:rsidRPr="008702E0">
        <w:rPr>
          <w:rFonts w:ascii="Times New Roman" w:hAnsi="Times New Roman"/>
          <w:sz w:val="24"/>
          <w:szCs w:val="24"/>
          <w:lang w:val="sr-Cyrl-CS" w:eastAsia="sr-Latn-CS"/>
        </w:rPr>
        <w:t xml:space="preserve">потпуно усаглашавање домаћих прописа са директивама ЕУ и </w:t>
      </w:r>
      <w:r>
        <w:rPr>
          <w:rFonts w:ascii="Times New Roman" w:hAnsi="Times New Roman"/>
          <w:sz w:val="24"/>
          <w:szCs w:val="24"/>
          <w:lang w:val="sr-Cyrl-CS" w:eastAsia="sr-Latn-CS"/>
        </w:rPr>
        <w:t>њихово пуно спровођење у пракси</w:t>
      </w:r>
    </w:p>
    <w:p w:rsidR="006C43E5" w:rsidRDefault="006C43E5" w:rsidP="006C43E5">
      <w:pPr>
        <w:jc w:val="both"/>
        <w:rPr>
          <w:rFonts w:ascii="Times New Roman" w:hAnsi="Times New Roman" w:cs="Times New Roman"/>
          <w:sz w:val="24"/>
          <w:szCs w:val="24"/>
        </w:rPr>
      </w:pPr>
    </w:p>
    <w:p w:rsidR="006C43E5" w:rsidRPr="00F9719B" w:rsidRDefault="006C43E5" w:rsidP="006C43E5">
      <w:pPr>
        <w:jc w:val="both"/>
        <w:rPr>
          <w:rFonts w:ascii="Times New Roman" w:hAnsi="Times New Roman" w:cs="Times New Roman"/>
          <w:sz w:val="24"/>
          <w:szCs w:val="24"/>
        </w:rPr>
      </w:pPr>
      <w:r>
        <w:rPr>
          <w:rFonts w:ascii="Times New Roman" w:hAnsi="Times New Roman" w:cs="Times New Roman"/>
          <w:sz w:val="24"/>
          <w:szCs w:val="24"/>
        </w:rPr>
        <w:t xml:space="preserve">произлази да је у значајној мери остварен онај који се односи на усаглашавање прописа са правним тековинама ЕУ. Неопходно је, међутим, две године након </w:t>
      </w:r>
      <w:r w:rsidRPr="006B53CE">
        <w:rPr>
          <w:rFonts w:ascii="Times New Roman" w:hAnsi="Times New Roman" w:cs="Times New Roman"/>
          <w:sz w:val="24"/>
          <w:szCs w:val="24"/>
        </w:rPr>
        <w:t>примене</w:t>
      </w:r>
      <w:r w:rsidR="00954B6F">
        <w:rPr>
          <w:rFonts w:ascii="Times New Roman" w:hAnsi="Times New Roman" w:cs="Times New Roman"/>
          <w:sz w:val="24"/>
          <w:szCs w:val="24"/>
          <w:lang w:val="sr-Cyrl-RS"/>
        </w:rPr>
        <w:t xml:space="preserve"> </w:t>
      </w:r>
      <w:r>
        <w:rPr>
          <w:rFonts w:ascii="Times New Roman" w:hAnsi="Times New Roman" w:cs="Times New Roman"/>
          <w:sz w:val="24"/>
          <w:szCs w:val="24"/>
        </w:rPr>
        <w:t>Закона, сагледати његове ефекте са аспекта остваривања осталих наведених приоритета, а пре свега: јачања конкуренције, смањивања нерегуларности и повећавања економичности и ефикасности.</w:t>
      </w:r>
      <w:r w:rsidR="00954B6F">
        <w:rPr>
          <w:rFonts w:ascii="Times New Roman" w:hAnsi="Times New Roman" w:cs="Times New Roman"/>
          <w:sz w:val="24"/>
          <w:szCs w:val="24"/>
          <w:lang w:val="sr-Cyrl-RS"/>
        </w:rPr>
        <w:t xml:space="preserve"> </w:t>
      </w:r>
      <w:r w:rsidR="00CA3329" w:rsidRPr="00F9719B">
        <w:rPr>
          <w:rFonts w:ascii="Times New Roman" w:hAnsi="Times New Roman" w:cs="Times New Roman"/>
          <w:sz w:val="24"/>
          <w:szCs w:val="24"/>
        </w:rPr>
        <w:t xml:space="preserve">У том смислу, Управа за јавне набавке започела је са реализацијом мера предвиђених Акционим планом за спровођење Стратегије развоја </w:t>
      </w:r>
      <w:r w:rsidR="00CA3329" w:rsidRPr="00F9719B">
        <w:rPr>
          <w:rFonts w:ascii="Times New Roman" w:hAnsi="Times New Roman" w:cs="Times New Roman"/>
          <w:sz w:val="24"/>
          <w:szCs w:val="24"/>
        </w:rPr>
        <w:lastRenderedPageBreak/>
        <w:t xml:space="preserve">јавних набавки у Републици Србији за период 2014-2015. година, а нарочит значај даће се анализи ефеката примене важећег Закона у пракси.  </w:t>
      </w:r>
    </w:p>
    <w:p w:rsidR="006C43E5" w:rsidRDefault="006C43E5" w:rsidP="006C43E5">
      <w:pPr>
        <w:jc w:val="both"/>
        <w:rPr>
          <w:rFonts w:ascii="Times New Roman" w:hAnsi="Times New Roman" w:cs="Times New Roman"/>
          <w:sz w:val="24"/>
          <w:szCs w:val="24"/>
        </w:rPr>
      </w:pPr>
      <w:r>
        <w:rPr>
          <w:rFonts w:ascii="Times New Roman" w:hAnsi="Times New Roman" w:cs="Times New Roman"/>
          <w:sz w:val="24"/>
          <w:szCs w:val="24"/>
        </w:rPr>
        <w:t xml:space="preserve">После сагледавања ефеката остварења циљева који су означени као приоритети у Стратегији, треба одредити релативни значај сваког од циљева и мере које ће пратити њихово остварење. Овакав приступ је значајан како би се имала јасна полазна основа за случајеве када циљеви нису у потпуности међусобно усклађени, односно када се пуно остваривање једног циља мора „жртвовати“ ради остварења другог циља (тј. када постоји </w:t>
      </w:r>
      <w:r>
        <w:rPr>
          <w:rFonts w:ascii="Times New Roman" w:hAnsi="Times New Roman" w:cs="Times New Roman"/>
          <w:sz w:val="24"/>
          <w:szCs w:val="24"/>
          <w:lang w:val="en-US"/>
        </w:rPr>
        <w:t>“trade/off”)</w:t>
      </w:r>
      <w:r>
        <w:rPr>
          <w:rFonts w:ascii="Times New Roman" w:hAnsi="Times New Roman" w:cs="Times New Roman"/>
          <w:sz w:val="24"/>
          <w:szCs w:val="24"/>
        </w:rPr>
        <w:t xml:space="preserve"> међу циљевима. Као пример може да послужи да остваривање економичности и ефикасности поступка може да подразумева „жртвовање“ неких регулаторних мера у Закону о јавним набавкама и веће ослањање на друге контролне механизме (екстерну ревизију, правосуђе). И обрнуто, јачање регулаторних мера нужно се одражава на ефикасност и економичност поступка.  </w:t>
      </w:r>
    </w:p>
    <w:p w:rsidR="006C43E5" w:rsidRDefault="006C43E5" w:rsidP="006C43E5">
      <w:pPr>
        <w:jc w:val="both"/>
        <w:rPr>
          <w:rFonts w:ascii="Times New Roman" w:hAnsi="Times New Roman" w:cs="Times New Roman"/>
          <w:sz w:val="24"/>
          <w:szCs w:val="24"/>
        </w:rPr>
      </w:pPr>
      <w:r>
        <w:rPr>
          <w:rFonts w:ascii="Times New Roman" w:hAnsi="Times New Roman" w:cs="Times New Roman"/>
          <w:sz w:val="24"/>
          <w:szCs w:val="24"/>
        </w:rPr>
        <w:t xml:space="preserve">Тек на основу јасно сагледаних циљева и њихових релативних значаја, треба, у оквиру процеса измена и допуна Закона о јавним набавкама приступити конципирању мера и механизама за које се очекује да ће довести до њиховог остваривања. </w:t>
      </w:r>
    </w:p>
    <w:p w:rsidR="006C43E5" w:rsidRDefault="007B21B0" w:rsidP="006C43E5">
      <w:pPr>
        <w:jc w:val="both"/>
        <w:rPr>
          <w:rFonts w:ascii="Times New Roman" w:hAnsi="Times New Roman" w:cs="Times New Roman"/>
          <w:sz w:val="24"/>
          <w:szCs w:val="24"/>
          <w:shd w:val="clear" w:color="auto" w:fill="FFFFFF"/>
        </w:rPr>
      </w:pPr>
      <w:r w:rsidRPr="007B21B0">
        <w:rPr>
          <w:rFonts w:ascii="Times New Roman" w:hAnsi="Times New Roman" w:cs="Times New Roman"/>
          <w:bCs/>
          <w:sz w:val="24"/>
          <w:szCs w:val="24"/>
        </w:rPr>
        <w:t xml:space="preserve">Прелазак из фазе 1 у фазу 2, поред темељне промене регулаторног оквира, још веће захтеве поставља на институционалном плану. </w:t>
      </w:r>
      <w:r w:rsidR="006C43E5" w:rsidRPr="006B53CE">
        <w:rPr>
          <w:rFonts w:ascii="Times New Roman" w:hAnsi="Times New Roman" w:cs="Times New Roman"/>
          <w:sz w:val="24"/>
          <w:szCs w:val="24"/>
          <w:shd w:val="clear" w:color="auto" w:fill="FFFFFF"/>
        </w:rPr>
        <w:t xml:space="preserve">Ту се, пре свега, мисли на неопходност постојања тзв. </w:t>
      </w:r>
      <w:r w:rsidR="006C43E5">
        <w:rPr>
          <w:rFonts w:ascii="Times New Roman" w:hAnsi="Times New Roman" w:cs="Times New Roman"/>
          <w:sz w:val="24"/>
          <w:szCs w:val="24"/>
          <w:shd w:val="clear" w:color="auto" w:fill="FFFFFF"/>
        </w:rPr>
        <w:t>„</w:t>
      </w:r>
      <w:r w:rsidR="006C43E5">
        <w:rPr>
          <w:rFonts w:ascii="Times New Roman" w:hAnsi="Times New Roman" w:cs="Times New Roman"/>
          <w:sz w:val="24"/>
          <w:szCs w:val="24"/>
          <w:shd w:val="clear" w:color="auto" w:fill="FFFFFF"/>
          <w:lang w:val="en-US"/>
        </w:rPr>
        <w:t>p</w:t>
      </w:r>
      <w:r w:rsidR="006C43E5" w:rsidRPr="006B53CE">
        <w:rPr>
          <w:rFonts w:ascii="Times New Roman" w:hAnsi="Times New Roman" w:cs="Times New Roman"/>
          <w:sz w:val="24"/>
          <w:szCs w:val="24"/>
          <w:shd w:val="clear" w:color="auto" w:fill="FFFFFF"/>
        </w:rPr>
        <w:t>olicy body</w:t>
      </w:r>
      <w:r w:rsidR="006C43E5">
        <w:rPr>
          <w:rFonts w:ascii="Times New Roman" w:hAnsi="Times New Roman" w:cs="Times New Roman"/>
          <w:sz w:val="24"/>
          <w:szCs w:val="24"/>
          <w:shd w:val="clear" w:color="auto" w:fill="FFFFFF"/>
        </w:rPr>
        <w:t>“</w:t>
      </w:r>
      <w:r w:rsidR="006C43E5" w:rsidRPr="006B53CE">
        <w:rPr>
          <w:rFonts w:ascii="Times New Roman" w:hAnsi="Times New Roman" w:cs="Times New Roman"/>
          <w:sz w:val="24"/>
          <w:szCs w:val="24"/>
          <w:shd w:val="clear" w:color="auto" w:fill="FFFFFF"/>
        </w:rPr>
        <w:t xml:space="preserve"> које ће припремом модела, приручника, давањем тумачења и савета, као и обукама помоћи  наручиоцима да пређу на нову, напреднију праксу. Да би остварило ове задатке који имају значајне позитивне ефекте, такво тело мора да има адекв</w:t>
      </w:r>
      <w:r w:rsidR="006C43E5">
        <w:rPr>
          <w:rFonts w:ascii="Times New Roman" w:hAnsi="Times New Roman" w:cs="Times New Roman"/>
          <w:sz w:val="24"/>
          <w:szCs w:val="24"/>
          <w:shd w:val="clear" w:color="auto" w:fill="FFFFFF"/>
        </w:rPr>
        <w:t>атне административне капацитете, као што је предвиђено Стратегијом развоја јавних набавки и садржано у препорукама  Европске комисије.</w:t>
      </w:r>
    </w:p>
    <w:sectPr w:rsidR="006C43E5" w:rsidSect="00C2341E">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27B" w:rsidRDefault="0024627B" w:rsidP="00AA1254">
      <w:pPr>
        <w:spacing w:after="0" w:line="240" w:lineRule="auto"/>
      </w:pPr>
      <w:r>
        <w:separator/>
      </w:r>
    </w:p>
  </w:endnote>
  <w:endnote w:type="continuationSeparator" w:id="0">
    <w:p w:rsidR="0024627B" w:rsidRDefault="0024627B"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CYR">
    <w:altName w:val="Times New Roman"/>
    <w:charset w:val="EE"/>
    <w:family w:val="roman"/>
    <w:pitch w:val="variable"/>
    <w:sig w:usb0="E0002AFF" w:usb1="C0007841" w:usb2="00000009"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rsidR="00F351F2" w:rsidRDefault="00F351F2">
        <w:pPr>
          <w:pStyle w:val="Footer"/>
          <w:jc w:val="right"/>
        </w:pPr>
        <w:r>
          <w:fldChar w:fldCharType="begin"/>
        </w:r>
        <w:r>
          <w:instrText xml:space="preserve"> PAGE   \* MERGEFORMAT </w:instrText>
        </w:r>
        <w:r>
          <w:fldChar w:fldCharType="separate"/>
        </w:r>
        <w:r w:rsidR="00014917">
          <w:rPr>
            <w:noProof/>
          </w:rPr>
          <w:t>22</w:t>
        </w:r>
        <w:r>
          <w:rPr>
            <w:noProof/>
          </w:rPr>
          <w:fldChar w:fldCharType="end"/>
        </w:r>
      </w:p>
    </w:sdtContent>
  </w:sdt>
  <w:p w:rsidR="00F351F2" w:rsidRDefault="00F351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27B" w:rsidRDefault="0024627B" w:rsidP="00AA1254">
      <w:pPr>
        <w:spacing w:after="0" w:line="240" w:lineRule="auto"/>
      </w:pPr>
      <w:r>
        <w:separator/>
      </w:r>
    </w:p>
  </w:footnote>
  <w:footnote w:type="continuationSeparator" w:id="0">
    <w:p w:rsidR="0024627B" w:rsidRDefault="0024627B" w:rsidP="00AA1254">
      <w:pPr>
        <w:spacing w:after="0" w:line="240" w:lineRule="auto"/>
      </w:pPr>
      <w:r>
        <w:continuationSeparator/>
      </w:r>
    </w:p>
  </w:footnote>
  <w:footnote w:id="1">
    <w:p w:rsidR="00F351F2" w:rsidRPr="003E33AD" w:rsidRDefault="00F351F2">
      <w:pPr>
        <w:pStyle w:val="FootnoteText"/>
      </w:pPr>
      <w:r>
        <w:rPr>
          <w:rStyle w:val="FootnoteReference"/>
        </w:rPr>
        <w:footnoteRef/>
      </w:r>
      <w:r>
        <w:rPr>
          <w:rFonts w:ascii="Times New Roman" w:hAnsi="Times New Roman" w:cs="Times New Roman"/>
        </w:rPr>
        <w:t>Вредности су изражене у милионима динара</w:t>
      </w:r>
    </w:p>
  </w:footnote>
  <w:footnote w:id="2">
    <w:p w:rsidR="00F351F2" w:rsidRPr="00A55DEE" w:rsidRDefault="00F351F2" w:rsidP="00726208">
      <w:pPr>
        <w:pStyle w:val="FootnoteText"/>
      </w:pPr>
      <w:r>
        <w:rPr>
          <w:rStyle w:val="FootnoteReference"/>
        </w:rPr>
        <w:footnoteRef/>
      </w:r>
      <w:r w:rsidRPr="00A55DEE">
        <w:rPr>
          <w:rFonts w:ascii="Times New Roman" w:hAnsi="Times New Roman" w:cs="Times New Roman"/>
        </w:rPr>
        <w:t>Изврш</w:t>
      </w:r>
      <w:r>
        <w:rPr>
          <w:rFonts w:ascii="Times New Roman" w:hAnsi="Times New Roman" w:cs="Times New Roman"/>
        </w:rPr>
        <w:t>ена је ревизија података 1997. д</w:t>
      </w:r>
      <w:r w:rsidRPr="00A55DEE">
        <w:rPr>
          <w:rFonts w:ascii="Times New Roman" w:hAnsi="Times New Roman" w:cs="Times New Roman"/>
        </w:rPr>
        <w:t>о 2012. године</w:t>
      </w:r>
    </w:p>
  </w:footnote>
  <w:footnote w:id="3">
    <w:p w:rsidR="00F351F2" w:rsidRPr="008379DA" w:rsidRDefault="00F351F2" w:rsidP="00726208">
      <w:pPr>
        <w:pStyle w:val="FootnoteText"/>
      </w:pPr>
      <w:r>
        <w:rPr>
          <w:rStyle w:val="FootnoteReference"/>
        </w:rPr>
        <w:footnoteRef/>
      </w:r>
      <w:r>
        <w:rPr>
          <w:rFonts w:ascii="Times New Roman" w:hAnsi="Times New Roman" w:cs="Times New Roman"/>
        </w:rPr>
        <w:t>Процена Р</w:t>
      </w:r>
      <w:r w:rsidRPr="008379DA">
        <w:rPr>
          <w:rFonts w:ascii="Times New Roman" w:hAnsi="Times New Roman" w:cs="Times New Roman"/>
        </w:rPr>
        <w:t xml:space="preserve">епубличког </w:t>
      </w:r>
      <w:r>
        <w:rPr>
          <w:rFonts w:ascii="Times New Roman" w:hAnsi="Times New Roman" w:cs="Times New Roman"/>
        </w:rPr>
        <w:t xml:space="preserve">завода </w:t>
      </w:r>
      <w:r w:rsidRPr="008379DA">
        <w:rPr>
          <w:rFonts w:ascii="Times New Roman" w:hAnsi="Times New Roman" w:cs="Times New Roman"/>
        </w:rPr>
        <w:t>за статистику</w:t>
      </w:r>
    </w:p>
  </w:footnote>
  <w:footnote w:id="4">
    <w:p w:rsidR="00F351F2" w:rsidRPr="00867110" w:rsidRDefault="00F351F2">
      <w:pPr>
        <w:pStyle w:val="FootnoteText"/>
      </w:pPr>
      <w:r>
        <w:rPr>
          <w:rStyle w:val="FootnoteReference"/>
        </w:rPr>
        <w:footnoteRef/>
      </w:r>
      <w:r w:rsidRPr="00B43E94">
        <w:rPr>
          <w:rFonts w:ascii="Times New Roman" w:hAnsi="Times New Roman" w:cs="Times New Roman"/>
          <w:sz w:val="22"/>
          <w:szCs w:val="22"/>
        </w:rPr>
        <w:t>Други кључни п</w:t>
      </w:r>
      <w:r>
        <w:rPr>
          <w:rFonts w:ascii="Times New Roman" w:hAnsi="Times New Roman" w:cs="Times New Roman"/>
          <w:sz w:val="22"/>
          <w:szCs w:val="22"/>
        </w:rPr>
        <w:t>араметар су изузећа од примене З</w:t>
      </w:r>
      <w:r w:rsidRPr="00B43E94">
        <w:rPr>
          <w:rFonts w:ascii="Times New Roman" w:hAnsi="Times New Roman" w:cs="Times New Roman"/>
          <w:sz w:val="22"/>
          <w:szCs w:val="22"/>
        </w:rPr>
        <w:t>акона.</w:t>
      </w:r>
    </w:p>
  </w:footnote>
  <w:footnote w:id="5">
    <w:p w:rsidR="00F351F2" w:rsidRDefault="00F351F2">
      <w:pPr>
        <w:pStyle w:val="FootnoteText"/>
        <w:rPr>
          <w:rFonts w:ascii="Times New Roman" w:hAnsi="Times New Roman" w:cs="Times New Roman"/>
        </w:rPr>
      </w:pPr>
      <w:r>
        <w:rPr>
          <w:rStyle w:val="FootnoteReference"/>
        </w:rPr>
        <w:footnoteRef/>
      </w:r>
      <w:r>
        <w:rPr>
          <w:rFonts w:ascii="Times New Roman" w:hAnsi="Times New Roman" w:cs="Times New Roman"/>
        </w:rPr>
        <w:t xml:space="preserve">Извештај о јавним набавкама у Црној Гори за 2013. годину </w:t>
      </w:r>
    </w:p>
    <w:p w:rsidR="00F351F2" w:rsidRPr="005577A1" w:rsidRDefault="00F351F2">
      <w:pPr>
        <w:pStyle w:val="FootnoteText"/>
        <w:rPr>
          <w:rFonts w:ascii="Times New Roman" w:hAnsi="Times New Roman" w:cs="Times New Roman"/>
        </w:rPr>
      </w:pPr>
      <w:hyperlink r:id="rId1" w:history="1">
        <w:r w:rsidRPr="005C0AB5">
          <w:rPr>
            <w:rStyle w:val="Hyperlink"/>
            <w:rFonts w:ascii="Times New Roman" w:hAnsi="Times New Roman" w:cs="Times New Roman"/>
          </w:rPr>
          <w:t>http://www.ujn.gov.me/wp-content/uploads/2014/06/Izvjestaj2013.pdf</w:t>
        </w:r>
      </w:hyperlink>
    </w:p>
  </w:footnote>
  <w:footnote w:id="6">
    <w:p w:rsidR="00F351F2" w:rsidRPr="0098735A" w:rsidRDefault="00F351F2" w:rsidP="0024609E">
      <w:pPr>
        <w:pStyle w:val="FootnoteText"/>
      </w:pPr>
      <w:r>
        <w:rPr>
          <w:rStyle w:val="FootnoteReference"/>
        </w:rPr>
        <w:footnoteRef/>
      </w:r>
      <w:r w:rsidRPr="007E1FAD">
        <w:rPr>
          <w:rFonts w:ascii="Times New Roman" w:hAnsi="Times New Roman" w:cs="Times New Roman"/>
          <w:sz w:val="22"/>
          <w:szCs w:val="22"/>
        </w:rPr>
        <w:t>Извор: Статистички годишњи извештај о јавним набавкама за 201</w:t>
      </w:r>
      <w:r>
        <w:rPr>
          <w:rFonts w:ascii="Times New Roman" w:hAnsi="Times New Roman" w:cs="Times New Roman"/>
          <w:sz w:val="22"/>
          <w:szCs w:val="22"/>
        </w:rPr>
        <w:t>2</w:t>
      </w:r>
      <w:r w:rsidRPr="007E1FAD">
        <w:rPr>
          <w:rFonts w:ascii="Times New Roman" w:hAnsi="Times New Roman" w:cs="Times New Roman"/>
          <w:sz w:val="22"/>
          <w:szCs w:val="22"/>
        </w:rPr>
        <w:t>. годину, Портал јавних набавки, Република Хрватска</w:t>
      </w:r>
      <w:r>
        <w:rPr>
          <w:rFonts w:ascii="Times New Roman" w:hAnsi="Times New Roman" w:cs="Times New Roman"/>
          <w:sz w:val="22"/>
          <w:szCs w:val="22"/>
        </w:rPr>
        <w:t>,страна 31, л</w:t>
      </w:r>
      <w:r w:rsidRPr="001453FB">
        <w:rPr>
          <w:rFonts w:ascii="Times New Roman" w:hAnsi="Times New Roman" w:cs="Times New Roman"/>
          <w:sz w:val="22"/>
          <w:szCs w:val="22"/>
        </w:rPr>
        <w:t>инк:</w:t>
      </w:r>
      <w:hyperlink r:id="rId2" w:history="1">
        <w:r w:rsidRPr="00E75767">
          <w:rPr>
            <w:rStyle w:val="Hyperlink"/>
            <w:rFonts w:ascii="Times New Roman" w:hAnsi="Times New Roman" w:cs="Times New Roman"/>
            <w:sz w:val="22"/>
            <w:szCs w:val="22"/>
          </w:rPr>
          <w:t>http://www.javnanabava.hr/userdocsimages/userfiles/file/Statistička%20izvješća/Godišnja/Statisticko_izvjesce_JN-2012.pdf</w:t>
        </w:r>
      </w:hyperlink>
    </w:p>
  </w:footnote>
  <w:footnote w:id="7">
    <w:p w:rsidR="00F351F2" w:rsidRPr="00542972" w:rsidRDefault="00F351F2">
      <w:pPr>
        <w:pStyle w:val="FootnoteText"/>
        <w:rPr>
          <w:rFonts w:ascii="Times New Roman" w:hAnsi="Times New Roman" w:cs="Times New Roman"/>
          <w:sz w:val="22"/>
          <w:szCs w:val="22"/>
        </w:rPr>
      </w:pPr>
      <w:r>
        <w:rPr>
          <w:rStyle w:val="FootnoteReference"/>
        </w:rPr>
        <w:footnoteRef/>
      </w:r>
      <w:r w:rsidRPr="00542972">
        <w:rPr>
          <w:rFonts w:ascii="Times New Roman" w:hAnsi="Times New Roman" w:cs="Times New Roman"/>
          <w:sz w:val="22"/>
          <w:szCs w:val="22"/>
        </w:rPr>
        <w:t xml:space="preserve">Годишњи извештај Управе за јавне набавке за 2013. годину, страна 15 </w:t>
      </w:r>
    </w:p>
  </w:footnote>
  <w:footnote w:id="8">
    <w:p w:rsidR="00F351F2" w:rsidRPr="00587386" w:rsidRDefault="00F351F2">
      <w:pPr>
        <w:pStyle w:val="FootnoteText"/>
        <w:rPr>
          <w:rFonts w:ascii="Times New Roman" w:hAnsi="Times New Roman" w:cs="Times New Roman"/>
          <w:sz w:val="22"/>
          <w:szCs w:val="22"/>
        </w:rPr>
      </w:pPr>
      <w:r>
        <w:rPr>
          <w:rStyle w:val="FootnoteReference"/>
        </w:rPr>
        <w:footnoteRef/>
      </w:r>
      <w:r w:rsidRPr="00587386">
        <w:rPr>
          <w:rFonts w:ascii="Times New Roman" w:hAnsi="Times New Roman" w:cs="Times New Roman"/>
          <w:sz w:val="22"/>
          <w:szCs w:val="22"/>
          <w:lang w:val="en-US"/>
        </w:rPr>
        <w:t>Public Procurement in Europe, PwC, London, Mart 2011.</w:t>
      </w:r>
    </w:p>
  </w:footnote>
  <w:footnote w:id="9">
    <w:p w:rsidR="00F351F2" w:rsidRPr="00542972" w:rsidRDefault="00F351F2" w:rsidP="00EA609F">
      <w:pPr>
        <w:pStyle w:val="FootnoteText"/>
        <w:rPr>
          <w:rFonts w:ascii="Times New Roman" w:hAnsi="Times New Roman" w:cs="Times New Roman"/>
          <w:sz w:val="22"/>
          <w:szCs w:val="22"/>
        </w:rPr>
      </w:pPr>
      <w:r>
        <w:rPr>
          <w:rStyle w:val="FootnoteReference"/>
        </w:rPr>
        <w:footnoteRef/>
      </w:r>
      <w:r w:rsidRPr="00542972">
        <w:rPr>
          <w:rFonts w:ascii="Times New Roman" w:hAnsi="Times New Roman" w:cs="Times New Roman"/>
          <w:sz w:val="22"/>
          <w:szCs w:val="22"/>
        </w:rPr>
        <w:t>Годишњи извештај за 2013. годину, страна 21</w:t>
      </w:r>
    </w:p>
  </w:footnote>
  <w:footnote w:id="10">
    <w:p w:rsidR="00F351F2" w:rsidRPr="00D954B5" w:rsidRDefault="00F351F2" w:rsidP="007339A4">
      <w:pPr>
        <w:pStyle w:val="FootnoteText"/>
        <w:jc w:val="both"/>
        <w:rPr>
          <w:rFonts w:ascii="Times New Roman" w:hAnsi="Times New Roman" w:cs="Times New Roman"/>
          <w:sz w:val="22"/>
          <w:szCs w:val="22"/>
        </w:rPr>
      </w:pPr>
      <w:r>
        <w:rPr>
          <w:rStyle w:val="FootnoteReference"/>
        </w:rPr>
        <w:footnoteRef/>
      </w:r>
      <w:r w:rsidRPr="00D954B5">
        <w:rPr>
          <w:rFonts w:ascii="Times New Roman" w:hAnsi="Times New Roman" w:cs="Times New Roman"/>
          <w:sz w:val="22"/>
          <w:szCs w:val="22"/>
        </w:rPr>
        <w:t xml:space="preserve">Од 516 </w:t>
      </w:r>
      <w:r>
        <w:rPr>
          <w:rFonts w:ascii="Times New Roman" w:hAnsi="Times New Roman" w:cs="Times New Roman"/>
          <w:sz w:val="22"/>
          <w:szCs w:val="22"/>
        </w:rPr>
        <w:t xml:space="preserve">захтева за заштиту права </w:t>
      </w:r>
      <w:r w:rsidRPr="00D954B5">
        <w:rPr>
          <w:rFonts w:ascii="Times New Roman" w:hAnsi="Times New Roman" w:cs="Times New Roman"/>
          <w:sz w:val="22"/>
          <w:szCs w:val="22"/>
        </w:rPr>
        <w:t xml:space="preserve">приспелих словеначкој Републичкој комисији за заштиту права у 2012. години, </w:t>
      </w:r>
      <w:r>
        <w:rPr>
          <w:rFonts w:ascii="Times New Roman" w:hAnsi="Times New Roman" w:cs="Times New Roman"/>
          <w:sz w:val="22"/>
          <w:szCs w:val="22"/>
        </w:rPr>
        <w:t xml:space="preserve">било је </w:t>
      </w:r>
      <w:r w:rsidRPr="00D954B5">
        <w:rPr>
          <w:rFonts w:ascii="Times New Roman" w:hAnsi="Times New Roman" w:cs="Times New Roman"/>
          <w:sz w:val="22"/>
          <w:szCs w:val="22"/>
        </w:rPr>
        <w:t xml:space="preserve">усвојено 210 </w:t>
      </w:r>
      <w:r>
        <w:rPr>
          <w:rFonts w:ascii="Times New Roman" w:hAnsi="Times New Roman" w:cs="Times New Roman"/>
          <w:sz w:val="22"/>
          <w:szCs w:val="22"/>
        </w:rPr>
        <w:t xml:space="preserve">захтева, </w:t>
      </w:r>
      <w:r w:rsidRPr="00D954B5">
        <w:rPr>
          <w:rFonts w:ascii="Times New Roman" w:hAnsi="Times New Roman" w:cs="Times New Roman"/>
          <w:sz w:val="22"/>
          <w:szCs w:val="22"/>
        </w:rPr>
        <w:t>што је 40%. С обзиром да је укупан број поступака био 4.850</w:t>
      </w:r>
      <w:r>
        <w:rPr>
          <w:rFonts w:ascii="Times New Roman" w:hAnsi="Times New Roman" w:cs="Times New Roman"/>
          <w:sz w:val="22"/>
          <w:szCs w:val="22"/>
        </w:rPr>
        <w:t>,</w:t>
      </w:r>
      <w:r w:rsidRPr="00D954B5">
        <w:rPr>
          <w:rFonts w:ascii="Times New Roman" w:hAnsi="Times New Roman" w:cs="Times New Roman"/>
          <w:sz w:val="22"/>
          <w:szCs w:val="22"/>
        </w:rPr>
        <w:t xml:space="preserve"> произлази да је било поништено 4% поступака.</w:t>
      </w:r>
    </w:p>
  </w:footnote>
  <w:footnote w:id="11">
    <w:p w:rsidR="00F351F2" w:rsidRPr="00F22A5A" w:rsidRDefault="00F351F2">
      <w:pPr>
        <w:pStyle w:val="FootnoteText"/>
        <w:rPr>
          <w:color w:val="FF0000"/>
          <w:sz w:val="22"/>
          <w:szCs w:val="22"/>
        </w:rPr>
      </w:pPr>
      <w:r>
        <w:rPr>
          <w:rStyle w:val="FootnoteReference"/>
        </w:rPr>
        <w:footnoteRef/>
      </w:r>
      <w:r>
        <w:rPr>
          <w:rFonts w:ascii="Times New Roman" w:hAnsi="Times New Roman" w:cs="Times New Roman"/>
          <w:sz w:val="22"/>
          <w:szCs w:val="22"/>
        </w:rPr>
        <w:t>Ре</w:t>
      </w:r>
      <w:r w:rsidRPr="00CA1FBD">
        <w:rPr>
          <w:rFonts w:ascii="Times New Roman" w:hAnsi="Times New Roman" w:cs="Times New Roman"/>
          <w:sz w:val="22"/>
          <w:szCs w:val="22"/>
        </w:rPr>
        <w:t xml:space="preserve">ч </w:t>
      </w:r>
      <w:r>
        <w:rPr>
          <w:rFonts w:ascii="Times New Roman" w:hAnsi="Times New Roman" w:cs="Times New Roman"/>
          <w:sz w:val="22"/>
          <w:szCs w:val="22"/>
        </w:rPr>
        <w:t xml:space="preserve">је </w:t>
      </w:r>
      <w:r w:rsidRPr="00CA1FBD">
        <w:rPr>
          <w:rFonts w:ascii="Times New Roman" w:hAnsi="Times New Roman" w:cs="Times New Roman"/>
          <w:sz w:val="22"/>
          <w:szCs w:val="22"/>
        </w:rPr>
        <w:t>о набавкама које је спроводио „Телеком“у циљу пружања комуникационих услуга на тржишту на коме постоји конкуренција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E0"/>
    <w:multiLevelType w:val="hybridMultilevel"/>
    <w:tmpl w:val="94BEC72E"/>
    <w:lvl w:ilvl="0" w:tplc="F93C04DA">
      <w:start w:val="69"/>
      <w:numFmt w:val="bullet"/>
      <w:lvlText w:val=""/>
      <w:lvlJc w:val="left"/>
      <w:pPr>
        <w:ind w:left="720" w:hanging="360"/>
      </w:pPr>
      <w:rPr>
        <w:rFonts w:ascii="Symbol" w:eastAsiaTheme="minorEastAsia"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3DD6BAA"/>
    <w:multiLevelType w:val="hybridMultilevel"/>
    <w:tmpl w:val="1DE8B3A4"/>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nsid w:val="06A34B13"/>
    <w:multiLevelType w:val="hybridMultilevel"/>
    <w:tmpl w:val="1DE8B3A4"/>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nsid w:val="07130709"/>
    <w:multiLevelType w:val="hybridMultilevel"/>
    <w:tmpl w:val="135C0B1C"/>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FE73942"/>
    <w:multiLevelType w:val="hybridMultilevel"/>
    <w:tmpl w:val="6820F524"/>
    <w:lvl w:ilvl="0" w:tplc="04090011">
      <w:start w:val="1"/>
      <w:numFmt w:val="decimal"/>
      <w:lvlText w:val="%1)"/>
      <w:lvlJc w:val="left"/>
      <w:pPr>
        <w:ind w:left="786" w:hanging="360"/>
      </w:pPr>
      <w:rPr>
        <w:rFonts w:cs="Times New Roman"/>
      </w:rPr>
    </w:lvl>
    <w:lvl w:ilvl="1" w:tplc="DFB0266C">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EA13584"/>
    <w:multiLevelType w:val="hybridMultilevel"/>
    <w:tmpl w:val="EE12EC7E"/>
    <w:lvl w:ilvl="0" w:tplc="241A000F">
      <w:start w:val="1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3CDD3600"/>
    <w:multiLevelType w:val="hybridMultilevel"/>
    <w:tmpl w:val="CBB8D452"/>
    <w:lvl w:ilvl="0" w:tplc="0AB65478">
      <w:start w:val="1"/>
      <w:numFmt w:val="decimal"/>
      <w:lvlText w:val="%1."/>
      <w:lvlJc w:val="left"/>
      <w:pPr>
        <w:ind w:left="720" w:hanging="360"/>
      </w:pPr>
      <w:rPr>
        <w:rFonts w:cs="Times New Roman" w:hint="default"/>
        <w:color w:val="auto"/>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7">
    <w:nsid w:val="439E45A1"/>
    <w:multiLevelType w:val="hybridMultilevel"/>
    <w:tmpl w:val="582054DC"/>
    <w:lvl w:ilvl="0" w:tplc="301A000F">
      <w:start w:val="1"/>
      <w:numFmt w:val="decimal"/>
      <w:lvlText w:val="%1."/>
      <w:lvlJc w:val="left"/>
      <w:pPr>
        <w:ind w:left="720" w:hanging="360"/>
      </w:pPr>
      <w:rPr>
        <w:rFonts w:cs="Times New Roman" w:hint="default"/>
      </w:rPr>
    </w:lvl>
    <w:lvl w:ilvl="1" w:tplc="301A0019" w:tentative="1">
      <w:start w:val="1"/>
      <w:numFmt w:val="lowerLetter"/>
      <w:lvlText w:val="%2."/>
      <w:lvlJc w:val="left"/>
      <w:pPr>
        <w:ind w:left="1440" w:hanging="360"/>
      </w:pPr>
      <w:rPr>
        <w:rFonts w:cs="Times New Roman"/>
      </w:rPr>
    </w:lvl>
    <w:lvl w:ilvl="2" w:tplc="301A001B" w:tentative="1">
      <w:start w:val="1"/>
      <w:numFmt w:val="lowerRoman"/>
      <w:lvlText w:val="%3."/>
      <w:lvlJc w:val="right"/>
      <w:pPr>
        <w:ind w:left="2160" w:hanging="180"/>
      </w:pPr>
      <w:rPr>
        <w:rFonts w:cs="Times New Roman"/>
      </w:rPr>
    </w:lvl>
    <w:lvl w:ilvl="3" w:tplc="301A000F" w:tentative="1">
      <w:start w:val="1"/>
      <w:numFmt w:val="decimal"/>
      <w:lvlText w:val="%4."/>
      <w:lvlJc w:val="left"/>
      <w:pPr>
        <w:ind w:left="2880" w:hanging="360"/>
      </w:pPr>
      <w:rPr>
        <w:rFonts w:cs="Times New Roman"/>
      </w:rPr>
    </w:lvl>
    <w:lvl w:ilvl="4" w:tplc="301A0019" w:tentative="1">
      <w:start w:val="1"/>
      <w:numFmt w:val="lowerLetter"/>
      <w:lvlText w:val="%5."/>
      <w:lvlJc w:val="left"/>
      <w:pPr>
        <w:ind w:left="3600" w:hanging="360"/>
      </w:pPr>
      <w:rPr>
        <w:rFonts w:cs="Times New Roman"/>
      </w:rPr>
    </w:lvl>
    <w:lvl w:ilvl="5" w:tplc="301A001B" w:tentative="1">
      <w:start w:val="1"/>
      <w:numFmt w:val="lowerRoman"/>
      <w:lvlText w:val="%6."/>
      <w:lvlJc w:val="right"/>
      <w:pPr>
        <w:ind w:left="4320" w:hanging="180"/>
      </w:pPr>
      <w:rPr>
        <w:rFonts w:cs="Times New Roman"/>
      </w:rPr>
    </w:lvl>
    <w:lvl w:ilvl="6" w:tplc="301A000F" w:tentative="1">
      <w:start w:val="1"/>
      <w:numFmt w:val="decimal"/>
      <w:lvlText w:val="%7."/>
      <w:lvlJc w:val="left"/>
      <w:pPr>
        <w:ind w:left="5040" w:hanging="360"/>
      </w:pPr>
      <w:rPr>
        <w:rFonts w:cs="Times New Roman"/>
      </w:rPr>
    </w:lvl>
    <w:lvl w:ilvl="7" w:tplc="301A0019" w:tentative="1">
      <w:start w:val="1"/>
      <w:numFmt w:val="lowerLetter"/>
      <w:lvlText w:val="%8."/>
      <w:lvlJc w:val="left"/>
      <w:pPr>
        <w:ind w:left="5760" w:hanging="360"/>
      </w:pPr>
      <w:rPr>
        <w:rFonts w:cs="Times New Roman"/>
      </w:rPr>
    </w:lvl>
    <w:lvl w:ilvl="8" w:tplc="301A001B" w:tentative="1">
      <w:start w:val="1"/>
      <w:numFmt w:val="lowerRoman"/>
      <w:lvlText w:val="%9."/>
      <w:lvlJc w:val="right"/>
      <w:pPr>
        <w:ind w:left="6480" w:hanging="180"/>
      </w:pPr>
      <w:rPr>
        <w:rFonts w:cs="Times New Roman"/>
      </w:rPr>
    </w:lvl>
  </w:abstractNum>
  <w:abstractNum w:abstractNumId="8">
    <w:nsid w:val="53D13291"/>
    <w:multiLevelType w:val="hybridMultilevel"/>
    <w:tmpl w:val="48BCD8E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65C8757E"/>
    <w:multiLevelType w:val="hybridMultilevel"/>
    <w:tmpl w:val="E31AF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D045B4"/>
    <w:multiLevelType w:val="hybridMultilevel"/>
    <w:tmpl w:val="BCE2E37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nsid w:val="7AF851B4"/>
    <w:multiLevelType w:val="hybridMultilevel"/>
    <w:tmpl w:val="D56081B0"/>
    <w:lvl w:ilvl="0" w:tplc="241A000F">
      <w:start w:val="10"/>
      <w:numFmt w:val="decimal"/>
      <w:lvlText w:val="%1."/>
      <w:lvlJc w:val="left"/>
      <w:pPr>
        <w:ind w:left="786"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11"/>
  </w:num>
  <w:num w:numId="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6"/>
  </w:num>
  <w:num w:numId="9">
    <w:abstractNumId w:val="1"/>
  </w:num>
  <w:num w:numId="10">
    <w:abstractNumId w:val="3"/>
  </w:num>
  <w:num w:numId="11">
    <w:abstractNumId w:val="4"/>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16"/>
    <w:rsid w:val="00000094"/>
    <w:rsid w:val="0000012F"/>
    <w:rsid w:val="000019FE"/>
    <w:rsid w:val="00002595"/>
    <w:rsid w:val="00002DBF"/>
    <w:rsid w:val="00003717"/>
    <w:rsid w:val="0000398D"/>
    <w:rsid w:val="00004FE7"/>
    <w:rsid w:val="00005222"/>
    <w:rsid w:val="000057F4"/>
    <w:rsid w:val="00006754"/>
    <w:rsid w:val="0000737D"/>
    <w:rsid w:val="00010632"/>
    <w:rsid w:val="00010D15"/>
    <w:rsid w:val="00011AB2"/>
    <w:rsid w:val="00011DFE"/>
    <w:rsid w:val="000125A8"/>
    <w:rsid w:val="000127D0"/>
    <w:rsid w:val="000145AE"/>
    <w:rsid w:val="00014917"/>
    <w:rsid w:val="00016550"/>
    <w:rsid w:val="00016552"/>
    <w:rsid w:val="00016E0F"/>
    <w:rsid w:val="0001712E"/>
    <w:rsid w:val="000206B9"/>
    <w:rsid w:val="00022653"/>
    <w:rsid w:val="000229D1"/>
    <w:rsid w:val="00023266"/>
    <w:rsid w:val="00023ACB"/>
    <w:rsid w:val="0002432C"/>
    <w:rsid w:val="0002495E"/>
    <w:rsid w:val="00025C3A"/>
    <w:rsid w:val="000305FA"/>
    <w:rsid w:val="00030BFE"/>
    <w:rsid w:val="000322F9"/>
    <w:rsid w:val="000329EE"/>
    <w:rsid w:val="000348F2"/>
    <w:rsid w:val="0003663C"/>
    <w:rsid w:val="00037DEC"/>
    <w:rsid w:val="000402D1"/>
    <w:rsid w:val="00042423"/>
    <w:rsid w:val="00042DC4"/>
    <w:rsid w:val="00043616"/>
    <w:rsid w:val="00043702"/>
    <w:rsid w:val="00043A99"/>
    <w:rsid w:val="00045D75"/>
    <w:rsid w:val="0004715E"/>
    <w:rsid w:val="00050EE1"/>
    <w:rsid w:val="000512E4"/>
    <w:rsid w:val="00051D27"/>
    <w:rsid w:val="000549B7"/>
    <w:rsid w:val="000551D5"/>
    <w:rsid w:val="00055CB3"/>
    <w:rsid w:val="0005655C"/>
    <w:rsid w:val="000570BF"/>
    <w:rsid w:val="00060772"/>
    <w:rsid w:val="00061843"/>
    <w:rsid w:val="0006226F"/>
    <w:rsid w:val="00062F5B"/>
    <w:rsid w:val="00063103"/>
    <w:rsid w:val="00063307"/>
    <w:rsid w:val="0006417F"/>
    <w:rsid w:val="00064181"/>
    <w:rsid w:val="0006532A"/>
    <w:rsid w:val="000665FD"/>
    <w:rsid w:val="00066D83"/>
    <w:rsid w:val="000706BF"/>
    <w:rsid w:val="00070C23"/>
    <w:rsid w:val="00071D1A"/>
    <w:rsid w:val="000725E8"/>
    <w:rsid w:val="00072DBF"/>
    <w:rsid w:val="0007333C"/>
    <w:rsid w:val="00075960"/>
    <w:rsid w:val="00076125"/>
    <w:rsid w:val="0007674F"/>
    <w:rsid w:val="000800D3"/>
    <w:rsid w:val="00083E4A"/>
    <w:rsid w:val="000871E9"/>
    <w:rsid w:val="00090EC4"/>
    <w:rsid w:val="00092EBD"/>
    <w:rsid w:val="00094444"/>
    <w:rsid w:val="0009495F"/>
    <w:rsid w:val="0009577C"/>
    <w:rsid w:val="00095BCE"/>
    <w:rsid w:val="000A0732"/>
    <w:rsid w:val="000A1E11"/>
    <w:rsid w:val="000A277D"/>
    <w:rsid w:val="000A3876"/>
    <w:rsid w:val="000A5330"/>
    <w:rsid w:val="000B08F0"/>
    <w:rsid w:val="000B0E15"/>
    <w:rsid w:val="000B194B"/>
    <w:rsid w:val="000B1C13"/>
    <w:rsid w:val="000B3C80"/>
    <w:rsid w:val="000B4B53"/>
    <w:rsid w:val="000B4ED8"/>
    <w:rsid w:val="000B663E"/>
    <w:rsid w:val="000B7FC6"/>
    <w:rsid w:val="000C1119"/>
    <w:rsid w:val="000C129C"/>
    <w:rsid w:val="000C13C7"/>
    <w:rsid w:val="000C286A"/>
    <w:rsid w:val="000C4350"/>
    <w:rsid w:val="000C4D92"/>
    <w:rsid w:val="000C5B8C"/>
    <w:rsid w:val="000C6B34"/>
    <w:rsid w:val="000D04EB"/>
    <w:rsid w:val="000D1E9F"/>
    <w:rsid w:val="000D2095"/>
    <w:rsid w:val="000D22E7"/>
    <w:rsid w:val="000D5AAF"/>
    <w:rsid w:val="000D5EF5"/>
    <w:rsid w:val="000E090E"/>
    <w:rsid w:val="000E1864"/>
    <w:rsid w:val="000E22AD"/>
    <w:rsid w:val="000E318F"/>
    <w:rsid w:val="000E4D09"/>
    <w:rsid w:val="000E513C"/>
    <w:rsid w:val="000E6412"/>
    <w:rsid w:val="000E64F2"/>
    <w:rsid w:val="000E7300"/>
    <w:rsid w:val="000E763E"/>
    <w:rsid w:val="000E766A"/>
    <w:rsid w:val="000F13A5"/>
    <w:rsid w:val="000F3249"/>
    <w:rsid w:val="000F48EB"/>
    <w:rsid w:val="000F6B98"/>
    <w:rsid w:val="000F7956"/>
    <w:rsid w:val="0010541B"/>
    <w:rsid w:val="00105A73"/>
    <w:rsid w:val="00105CEE"/>
    <w:rsid w:val="00106438"/>
    <w:rsid w:val="00106E5F"/>
    <w:rsid w:val="00107999"/>
    <w:rsid w:val="001124FC"/>
    <w:rsid w:val="00112DB7"/>
    <w:rsid w:val="00113822"/>
    <w:rsid w:val="0011590A"/>
    <w:rsid w:val="00117AE0"/>
    <w:rsid w:val="001208DC"/>
    <w:rsid w:val="00120C2B"/>
    <w:rsid w:val="00121ED9"/>
    <w:rsid w:val="001223BA"/>
    <w:rsid w:val="00124460"/>
    <w:rsid w:val="00124CCF"/>
    <w:rsid w:val="00126F16"/>
    <w:rsid w:val="001275D0"/>
    <w:rsid w:val="00130625"/>
    <w:rsid w:val="00131509"/>
    <w:rsid w:val="00131666"/>
    <w:rsid w:val="00134B57"/>
    <w:rsid w:val="00134BC4"/>
    <w:rsid w:val="001359AF"/>
    <w:rsid w:val="00136E6C"/>
    <w:rsid w:val="001374B8"/>
    <w:rsid w:val="00142489"/>
    <w:rsid w:val="00142C48"/>
    <w:rsid w:val="001440AD"/>
    <w:rsid w:val="001453FB"/>
    <w:rsid w:val="00151C94"/>
    <w:rsid w:val="0015266C"/>
    <w:rsid w:val="00153A40"/>
    <w:rsid w:val="00154849"/>
    <w:rsid w:val="00155C87"/>
    <w:rsid w:val="001574B0"/>
    <w:rsid w:val="00161F1F"/>
    <w:rsid w:val="00163151"/>
    <w:rsid w:val="001635E6"/>
    <w:rsid w:val="00170C59"/>
    <w:rsid w:val="001713F7"/>
    <w:rsid w:val="00172360"/>
    <w:rsid w:val="0017276A"/>
    <w:rsid w:val="00172BC7"/>
    <w:rsid w:val="00172DAB"/>
    <w:rsid w:val="00174F35"/>
    <w:rsid w:val="00175132"/>
    <w:rsid w:val="00175F3A"/>
    <w:rsid w:val="0017767B"/>
    <w:rsid w:val="00177B9E"/>
    <w:rsid w:val="00181494"/>
    <w:rsid w:val="00181940"/>
    <w:rsid w:val="0018536B"/>
    <w:rsid w:val="001878AB"/>
    <w:rsid w:val="00191758"/>
    <w:rsid w:val="00195172"/>
    <w:rsid w:val="00195190"/>
    <w:rsid w:val="00197EC6"/>
    <w:rsid w:val="001A19E7"/>
    <w:rsid w:val="001A244A"/>
    <w:rsid w:val="001A373D"/>
    <w:rsid w:val="001A588E"/>
    <w:rsid w:val="001A74A8"/>
    <w:rsid w:val="001A7E9B"/>
    <w:rsid w:val="001B03AA"/>
    <w:rsid w:val="001B0459"/>
    <w:rsid w:val="001B087D"/>
    <w:rsid w:val="001B10E9"/>
    <w:rsid w:val="001B11F7"/>
    <w:rsid w:val="001B1D08"/>
    <w:rsid w:val="001B245E"/>
    <w:rsid w:val="001B257E"/>
    <w:rsid w:val="001B30C0"/>
    <w:rsid w:val="001B3B8E"/>
    <w:rsid w:val="001B3CD9"/>
    <w:rsid w:val="001B454E"/>
    <w:rsid w:val="001B47DB"/>
    <w:rsid w:val="001B6A47"/>
    <w:rsid w:val="001B6E57"/>
    <w:rsid w:val="001C2D19"/>
    <w:rsid w:val="001C39E6"/>
    <w:rsid w:val="001C39F2"/>
    <w:rsid w:val="001C4CC4"/>
    <w:rsid w:val="001C62AD"/>
    <w:rsid w:val="001C7626"/>
    <w:rsid w:val="001D11EB"/>
    <w:rsid w:val="001D1740"/>
    <w:rsid w:val="001D240C"/>
    <w:rsid w:val="001D3AA4"/>
    <w:rsid w:val="001D45F3"/>
    <w:rsid w:val="001D5EC8"/>
    <w:rsid w:val="001D6E7A"/>
    <w:rsid w:val="001D703D"/>
    <w:rsid w:val="001D7527"/>
    <w:rsid w:val="001E0481"/>
    <w:rsid w:val="001E1269"/>
    <w:rsid w:val="001E1F62"/>
    <w:rsid w:val="001E2BD6"/>
    <w:rsid w:val="001E426A"/>
    <w:rsid w:val="001E5F24"/>
    <w:rsid w:val="001E6353"/>
    <w:rsid w:val="001E77F9"/>
    <w:rsid w:val="001F32F4"/>
    <w:rsid w:val="001F6316"/>
    <w:rsid w:val="001F73CC"/>
    <w:rsid w:val="002016A0"/>
    <w:rsid w:val="0020201A"/>
    <w:rsid w:val="00202D69"/>
    <w:rsid w:val="00206CEF"/>
    <w:rsid w:val="002070CA"/>
    <w:rsid w:val="00211A49"/>
    <w:rsid w:val="00212752"/>
    <w:rsid w:val="002128FE"/>
    <w:rsid w:val="00213757"/>
    <w:rsid w:val="00213AEB"/>
    <w:rsid w:val="00215954"/>
    <w:rsid w:val="00216380"/>
    <w:rsid w:val="00216C8E"/>
    <w:rsid w:val="002200A2"/>
    <w:rsid w:val="00220C95"/>
    <w:rsid w:val="00221039"/>
    <w:rsid w:val="00221A36"/>
    <w:rsid w:val="0022593B"/>
    <w:rsid w:val="00227F73"/>
    <w:rsid w:val="00230198"/>
    <w:rsid w:val="00233A2E"/>
    <w:rsid w:val="00235935"/>
    <w:rsid w:val="002369A3"/>
    <w:rsid w:val="00236AD5"/>
    <w:rsid w:val="00236C4C"/>
    <w:rsid w:val="00237916"/>
    <w:rsid w:val="00237A85"/>
    <w:rsid w:val="00237D96"/>
    <w:rsid w:val="002415F4"/>
    <w:rsid w:val="00242D3E"/>
    <w:rsid w:val="002437F1"/>
    <w:rsid w:val="0024524E"/>
    <w:rsid w:val="00245533"/>
    <w:rsid w:val="0024609E"/>
    <w:rsid w:val="0024627B"/>
    <w:rsid w:val="00246B1A"/>
    <w:rsid w:val="00251296"/>
    <w:rsid w:val="00252D71"/>
    <w:rsid w:val="00254B23"/>
    <w:rsid w:val="0026092A"/>
    <w:rsid w:val="00261373"/>
    <w:rsid w:val="00263B08"/>
    <w:rsid w:val="00263DD7"/>
    <w:rsid w:val="00265D9F"/>
    <w:rsid w:val="00267139"/>
    <w:rsid w:val="00273313"/>
    <w:rsid w:val="0027449F"/>
    <w:rsid w:val="00274BE6"/>
    <w:rsid w:val="00277E96"/>
    <w:rsid w:val="00280F6B"/>
    <w:rsid w:val="002820D8"/>
    <w:rsid w:val="00282CB7"/>
    <w:rsid w:val="002835AE"/>
    <w:rsid w:val="00283EA7"/>
    <w:rsid w:val="00284A93"/>
    <w:rsid w:val="00285C22"/>
    <w:rsid w:val="0028619F"/>
    <w:rsid w:val="002876D6"/>
    <w:rsid w:val="00287B60"/>
    <w:rsid w:val="00291C91"/>
    <w:rsid w:val="00293586"/>
    <w:rsid w:val="00293B02"/>
    <w:rsid w:val="00294262"/>
    <w:rsid w:val="0029465D"/>
    <w:rsid w:val="002975D7"/>
    <w:rsid w:val="002A1010"/>
    <w:rsid w:val="002A1964"/>
    <w:rsid w:val="002A24AC"/>
    <w:rsid w:val="002A4357"/>
    <w:rsid w:val="002A45BA"/>
    <w:rsid w:val="002A6366"/>
    <w:rsid w:val="002A6BBC"/>
    <w:rsid w:val="002A792E"/>
    <w:rsid w:val="002B1273"/>
    <w:rsid w:val="002B183B"/>
    <w:rsid w:val="002B389D"/>
    <w:rsid w:val="002B428A"/>
    <w:rsid w:val="002B53DE"/>
    <w:rsid w:val="002B761F"/>
    <w:rsid w:val="002C0066"/>
    <w:rsid w:val="002C0C35"/>
    <w:rsid w:val="002C1559"/>
    <w:rsid w:val="002C1979"/>
    <w:rsid w:val="002C2339"/>
    <w:rsid w:val="002C234C"/>
    <w:rsid w:val="002C47F0"/>
    <w:rsid w:val="002C5091"/>
    <w:rsid w:val="002C51E3"/>
    <w:rsid w:val="002C6128"/>
    <w:rsid w:val="002C7D82"/>
    <w:rsid w:val="002D1B5E"/>
    <w:rsid w:val="002D2B3A"/>
    <w:rsid w:val="002D3646"/>
    <w:rsid w:val="002D4127"/>
    <w:rsid w:val="002D4AA4"/>
    <w:rsid w:val="002D4FB7"/>
    <w:rsid w:val="002D62A8"/>
    <w:rsid w:val="002D7005"/>
    <w:rsid w:val="002D7A88"/>
    <w:rsid w:val="002E036E"/>
    <w:rsid w:val="002E231B"/>
    <w:rsid w:val="002E234F"/>
    <w:rsid w:val="002E23B7"/>
    <w:rsid w:val="002E28CE"/>
    <w:rsid w:val="002F2F7D"/>
    <w:rsid w:val="002F4C79"/>
    <w:rsid w:val="002F61C4"/>
    <w:rsid w:val="002F6602"/>
    <w:rsid w:val="003005B6"/>
    <w:rsid w:val="00302F5A"/>
    <w:rsid w:val="003052AC"/>
    <w:rsid w:val="00305690"/>
    <w:rsid w:val="003110BF"/>
    <w:rsid w:val="0031212A"/>
    <w:rsid w:val="00312CCB"/>
    <w:rsid w:val="00320715"/>
    <w:rsid w:val="0032145B"/>
    <w:rsid w:val="00321870"/>
    <w:rsid w:val="00321C6B"/>
    <w:rsid w:val="00324462"/>
    <w:rsid w:val="0032571A"/>
    <w:rsid w:val="00326BC8"/>
    <w:rsid w:val="00326D82"/>
    <w:rsid w:val="00326EDA"/>
    <w:rsid w:val="00332DC2"/>
    <w:rsid w:val="003333A5"/>
    <w:rsid w:val="00334015"/>
    <w:rsid w:val="00335545"/>
    <w:rsid w:val="00336544"/>
    <w:rsid w:val="00342D08"/>
    <w:rsid w:val="0034536F"/>
    <w:rsid w:val="003455C5"/>
    <w:rsid w:val="0034561F"/>
    <w:rsid w:val="00345AA6"/>
    <w:rsid w:val="00345FD7"/>
    <w:rsid w:val="00347040"/>
    <w:rsid w:val="00347612"/>
    <w:rsid w:val="00351F82"/>
    <w:rsid w:val="00355D60"/>
    <w:rsid w:val="00355DAF"/>
    <w:rsid w:val="003569C1"/>
    <w:rsid w:val="00357F04"/>
    <w:rsid w:val="003606E1"/>
    <w:rsid w:val="00361B75"/>
    <w:rsid w:val="003624D9"/>
    <w:rsid w:val="003643CD"/>
    <w:rsid w:val="00365C64"/>
    <w:rsid w:val="00365FDC"/>
    <w:rsid w:val="003670E4"/>
    <w:rsid w:val="00367F37"/>
    <w:rsid w:val="0037097C"/>
    <w:rsid w:val="00371803"/>
    <w:rsid w:val="003722B3"/>
    <w:rsid w:val="00372F90"/>
    <w:rsid w:val="00373BF2"/>
    <w:rsid w:val="00374908"/>
    <w:rsid w:val="00374C5E"/>
    <w:rsid w:val="00377252"/>
    <w:rsid w:val="0038040F"/>
    <w:rsid w:val="0038259F"/>
    <w:rsid w:val="00383777"/>
    <w:rsid w:val="003837F0"/>
    <w:rsid w:val="00383A68"/>
    <w:rsid w:val="0038499A"/>
    <w:rsid w:val="00384FE1"/>
    <w:rsid w:val="00385201"/>
    <w:rsid w:val="00386143"/>
    <w:rsid w:val="00386217"/>
    <w:rsid w:val="0038728C"/>
    <w:rsid w:val="0038763B"/>
    <w:rsid w:val="00387851"/>
    <w:rsid w:val="00390A04"/>
    <w:rsid w:val="0039379B"/>
    <w:rsid w:val="00395884"/>
    <w:rsid w:val="00395D3C"/>
    <w:rsid w:val="003962FD"/>
    <w:rsid w:val="00397E64"/>
    <w:rsid w:val="003A1A57"/>
    <w:rsid w:val="003A26B8"/>
    <w:rsid w:val="003A3D13"/>
    <w:rsid w:val="003B1779"/>
    <w:rsid w:val="003B365F"/>
    <w:rsid w:val="003B4104"/>
    <w:rsid w:val="003B4846"/>
    <w:rsid w:val="003B768C"/>
    <w:rsid w:val="003C21AE"/>
    <w:rsid w:val="003C3288"/>
    <w:rsid w:val="003C3BC0"/>
    <w:rsid w:val="003C4E88"/>
    <w:rsid w:val="003C500A"/>
    <w:rsid w:val="003C54F7"/>
    <w:rsid w:val="003C6BE1"/>
    <w:rsid w:val="003D0488"/>
    <w:rsid w:val="003D1020"/>
    <w:rsid w:val="003D2AA5"/>
    <w:rsid w:val="003D54CA"/>
    <w:rsid w:val="003D65E1"/>
    <w:rsid w:val="003E0F28"/>
    <w:rsid w:val="003E12CB"/>
    <w:rsid w:val="003E1839"/>
    <w:rsid w:val="003E1ACF"/>
    <w:rsid w:val="003E1B59"/>
    <w:rsid w:val="003E1C26"/>
    <w:rsid w:val="003E33AD"/>
    <w:rsid w:val="003E4CA8"/>
    <w:rsid w:val="003E6054"/>
    <w:rsid w:val="003E775D"/>
    <w:rsid w:val="003E7B35"/>
    <w:rsid w:val="003F0A58"/>
    <w:rsid w:val="003F0C38"/>
    <w:rsid w:val="003F1ED0"/>
    <w:rsid w:val="003F24BD"/>
    <w:rsid w:val="003F4D18"/>
    <w:rsid w:val="003F4DFD"/>
    <w:rsid w:val="003F5451"/>
    <w:rsid w:val="003F79E8"/>
    <w:rsid w:val="003F7A4A"/>
    <w:rsid w:val="00401E53"/>
    <w:rsid w:val="00402B95"/>
    <w:rsid w:val="004033AD"/>
    <w:rsid w:val="00404477"/>
    <w:rsid w:val="004045B5"/>
    <w:rsid w:val="0040486F"/>
    <w:rsid w:val="00407740"/>
    <w:rsid w:val="00407878"/>
    <w:rsid w:val="0041137A"/>
    <w:rsid w:val="00412BE9"/>
    <w:rsid w:val="00412FC5"/>
    <w:rsid w:val="004153ED"/>
    <w:rsid w:val="0041611A"/>
    <w:rsid w:val="004169ED"/>
    <w:rsid w:val="00420FE0"/>
    <w:rsid w:val="004214E4"/>
    <w:rsid w:val="0042231E"/>
    <w:rsid w:val="00422428"/>
    <w:rsid w:val="004225E6"/>
    <w:rsid w:val="00423371"/>
    <w:rsid w:val="00423963"/>
    <w:rsid w:val="00424A49"/>
    <w:rsid w:val="00424F44"/>
    <w:rsid w:val="00425747"/>
    <w:rsid w:val="00425B38"/>
    <w:rsid w:val="00426199"/>
    <w:rsid w:val="00426ACB"/>
    <w:rsid w:val="00432B7F"/>
    <w:rsid w:val="00435174"/>
    <w:rsid w:val="0043579D"/>
    <w:rsid w:val="00435EC6"/>
    <w:rsid w:val="00440547"/>
    <w:rsid w:val="0044109F"/>
    <w:rsid w:val="004411EB"/>
    <w:rsid w:val="00441219"/>
    <w:rsid w:val="0044200F"/>
    <w:rsid w:val="004427D7"/>
    <w:rsid w:val="004429AA"/>
    <w:rsid w:val="0044349B"/>
    <w:rsid w:val="00443A88"/>
    <w:rsid w:val="0044645B"/>
    <w:rsid w:val="004465D3"/>
    <w:rsid w:val="004468FE"/>
    <w:rsid w:val="0045067B"/>
    <w:rsid w:val="004538B1"/>
    <w:rsid w:val="00453AEC"/>
    <w:rsid w:val="00453CC2"/>
    <w:rsid w:val="0045430D"/>
    <w:rsid w:val="00455481"/>
    <w:rsid w:val="004557DC"/>
    <w:rsid w:val="004561B3"/>
    <w:rsid w:val="004618C1"/>
    <w:rsid w:val="00463B25"/>
    <w:rsid w:val="00464665"/>
    <w:rsid w:val="00464666"/>
    <w:rsid w:val="00464F05"/>
    <w:rsid w:val="00465356"/>
    <w:rsid w:val="00467D58"/>
    <w:rsid w:val="00471ACE"/>
    <w:rsid w:val="00474096"/>
    <w:rsid w:val="004742B8"/>
    <w:rsid w:val="00474942"/>
    <w:rsid w:val="00474CDD"/>
    <w:rsid w:val="00475267"/>
    <w:rsid w:val="0047587D"/>
    <w:rsid w:val="00475B6D"/>
    <w:rsid w:val="00477B03"/>
    <w:rsid w:val="00480309"/>
    <w:rsid w:val="00481B19"/>
    <w:rsid w:val="00482558"/>
    <w:rsid w:val="00482BC8"/>
    <w:rsid w:val="00483FBC"/>
    <w:rsid w:val="00484105"/>
    <w:rsid w:val="00487A38"/>
    <w:rsid w:val="00487E37"/>
    <w:rsid w:val="00490AC5"/>
    <w:rsid w:val="004913EF"/>
    <w:rsid w:val="0049248C"/>
    <w:rsid w:val="00492723"/>
    <w:rsid w:val="00493943"/>
    <w:rsid w:val="0049562A"/>
    <w:rsid w:val="004A1464"/>
    <w:rsid w:val="004B2037"/>
    <w:rsid w:val="004B4CB3"/>
    <w:rsid w:val="004B577C"/>
    <w:rsid w:val="004C059D"/>
    <w:rsid w:val="004C067C"/>
    <w:rsid w:val="004C07A2"/>
    <w:rsid w:val="004C4150"/>
    <w:rsid w:val="004C425E"/>
    <w:rsid w:val="004C45C3"/>
    <w:rsid w:val="004C7564"/>
    <w:rsid w:val="004D3C64"/>
    <w:rsid w:val="004E03E9"/>
    <w:rsid w:val="004E5018"/>
    <w:rsid w:val="004E5DDB"/>
    <w:rsid w:val="004F05FF"/>
    <w:rsid w:val="004F21A0"/>
    <w:rsid w:val="004F2D0E"/>
    <w:rsid w:val="004F3B0F"/>
    <w:rsid w:val="004F48CF"/>
    <w:rsid w:val="004F615A"/>
    <w:rsid w:val="005022A9"/>
    <w:rsid w:val="00503ED3"/>
    <w:rsid w:val="0050401B"/>
    <w:rsid w:val="005047A3"/>
    <w:rsid w:val="00505532"/>
    <w:rsid w:val="00505B1E"/>
    <w:rsid w:val="00505BD3"/>
    <w:rsid w:val="00507231"/>
    <w:rsid w:val="0051073D"/>
    <w:rsid w:val="00510F89"/>
    <w:rsid w:val="0051352C"/>
    <w:rsid w:val="00520BF5"/>
    <w:rsid w:val="0052211D"/>
    <w:rsid w:val="005223DD"/>
    <w:rsid w:val="00522966"/>
    <w:rsid w:val="005234D4"/>
    <w:rsid w:val="00523745"/>
    <w:rsid w:val="00523A8B"/>
    <w:rsid w:val="00523BED"/>
    <w:rsid w:val="00527B97"/>
    <w:rsid w:val="00530F4E"/>
    <w:rsid w:val="005312EB"/>
    <w:rsid w:val="00531F44"/>
    <w:rsid w:val="0053269D"/>
    <w:rsid w:val="00532A9E"/>
    <w:rsid w:val="00533752"/>
    <w:rsid w:val="00537282"/>
    <w:rsid w:val="005402B8"/>
    <w:rsid w:val="005405A0"/>
    <w:rsid w:val="00542972"/>
    <w:rsid w:val="00542F9A"/>
    <w:rsid w:val="005434D6"/>
    <w:rsid w:val="00543A5E"/>
    <w:rsid w:val="005440C4"/>
    <w:rsid w:val="00544301"/>
    <w:rsid w:val="00546E57"/>
    <w:rsid w:val="00547D59"/>
    <w:rsid w:val="00547D9E"/>
    <w:rsid w:val="005504EF"/>
    <w:rsid w:val="005510BF"/>
    <w:rsid w:val="00551ADE"/>
    <w:rsid w:val="00552758"/>
    <w:rsid w:val="0055513A"/>
    <w:rsid w:val="00555D0D"/>
    <w:rsid w:val="005577A1"/>
    <w:rsid w:val="0055792A"/>
    <w:rsid w:val="00560F54"/>
    <w:rsid w:val="00561099"/>
    <w:rsid w:val="00561134"/>
    <w:rsid w:val="00561F5E"/>
    <w:rsid w:val="00563B85"/>
    <w:rsid w:val="00566B8F"/>
    <w:rsid w:val="005715E5"/>
    <w:rsid w:val="00572540"/>
    <w:rsid w:val="0057324A"/>
    <w:rsid w:val="005736F0"/>
    <w:rsid w:val="00574187"/>
    <w:rsid w:val="005745B7"/>
    <w:rsid w:val="00575264"/>
    <w:rsid w:val="00576FA1"/>
    <w:rsid w:val="00580221"/>
    <w:rsid w:val="00581A36"/>
    <w:rsid w:val="005843D1"/>
    <w:rsid w:val="00585EA5"/>
    <w:rsid w:val="00586A24"/>
    <w:rsid w:val="00587386"/>
    <w:rsid w:val="00587396"/>
    <w:rsid w:val="00591554"/>
    <w:rsid w:val="00591591"/>
    <w:rsid w:val="005925DE"/>
    <w:rsid w:val="005948EB"/>
    <w:rsid w:val="00595FBA"/>
    <w:rsid w:val="0059734E"/>
    <w:rsid w:val="005977B5"/>
    <w:rsid w:val="005A3464"/>
    <w:rsid w:val="005A6B10"/>
    <w:rsid w:val="005A7E22"/>
    <w:rsid w:val="005B1D42"/>
    <w:rsid w:val="005B1D4A"/>
    <w:rsid w:val="005B1F16"/>
    <w:rsid w:val="005B48DC"/>
    <w:rsid w:val="005C090B"/>
    <w:rsid w:val="005C09B9"/>
    <w:rsid w:val="005C0AB5"/>
    <w:rsid w:val="005C1F0A"/>
    <w:rsid w:val="005C207B"/>
    <w:rsid w:val="005C4294"/>
    <w:rsid w:val="005C55CF"/>
    <w:rsid w:val="005C7C1C"/>
    <w:rsid w:val="005D0B49"/>
    <w:rsid w:val="005D4C68"/>
    <w:rsid w:val="005D6F3E"/>
    <w:rsid w:val="005D792A"/>
    <w:rsid w:val="005E1BB2"/>
    <w:rsid w:val="005E57CA"/>
    <w:rsid w:val="005E5CCE"/>
    <w:rsid w:val="005F10EF"/>
    <w:rsid w:val="005F16BC"/>
    <w:rsid w:val="005F2CE7"/>
    <w:rsid w:val="005F2D4F"/>
    <w:rsid w:val="005F33D6"/>
    <w:rsid w:val="005F47AD"/>
    <w:rsid w:val="005F4E8C"/>
    <w:rsid w:val="005F5974"/>
    <w:rsid w:val="005F59A4"/>
    <w:rsid w:val="0060326C"/>
    <w:rsid w:val="006040DE"/>
    <w:rsid w:val="00605717"/>
    <w:rsid w:val="00606825"/>
    <w:rsid w:val="00607EFC"/>
    <w:rsid w:val="006102B6"/>
    <w:rsid w:val="00611386"/>
    <w:rsid w:val="00611FE5"/>
    <w:rsid w:val="00612FB9"/>
    <w:rsid w:val="006134B1"/>
    <w:rsid w:val="0061483C"/>
    <w:rsid w:val="006149F0"/>
    <w:rsid w:val="00615C52"/>
    <w:rsid w:val="0061643C"/>
    <w:rsid w:val="00616EC2"/>
    <w:rsid w:val="006201BC"/>
    <w:rsid w:val="00620992"/>
    <w:rsid w:val="00621B64"/>
    <w:rsid w:val="00622AF9"/>
    <w:rsid w:val="00622F21"/>
    <w:rsid w:val="006243C3"/>
    <w:rsid w:val="00625762"/>
    <w:rsid w:val="00625B21"/>
    <w:rsid w:val="006260DD"/>
    <w:rsid w:val="00626C8F"/>
    <w:rsid w:val="0062748C"/>
    <w:rsid w:val="006322C4"/>
    <w:rsid w:val="006323A5"/>
    <w:rsid w:val="006325A7"/>
    <w:rsid w:val="00635E82"/>
    <w:rsid w:val="00637BC6"/>
    <w:rsid w:val="006415C4"/>
    <w:rsid w:val="00641698"/>
    <w:rsid w:val="00641CC8"/>
    <w:rsid w:val="00642C4A"/>
    <w:rsid w:val="00645020"/>
    <w:rsid w:val="0064608D"/>
    <w:rsid w:val="006463F1"/>
    <w:rsid w:val="00646862"/>
    <w:rsid w:val="00646D16"/>
    <w:rsid w:val="00651B5A"/>
    <w:rsid w:val="00651F8D"/>
    <w:rsid w:val="00651F91"/>
    <w:rsid w:val="0065485F"/>
    <w:rsid w:val="006556B5"/>
    <w:rsid w:val="00657FC1"/>
    <w:rsid w:val="006630F7"/>
    <w:rsid w:val="00664E86"/>
    <w:rsid w:val="006659B3"/>
    <w:rsid w:val="00665C35"/>
    <w:rsid w:val="006661E1"/>
    <w:rsid w:val="0066734B"/>
    <w:rsid w:val="006678EB"/>
    <w:rsid w:val="00671B1F"/>
    <w:rsid w:val="00671EA6"/>
    <w:rsid w:val="00672AD7"/>
    <w:rsid w:val="0067375D"/>
    <w:rsid w:val="006750FF"/>
    <w:rsid w:val="0067595D"/>
    <w:rsid w:val="00676F49"/>
    <w:rsid w:val="00681B4C"/>
    <w:rsid w:val="006827EF"/>
    <w:rsid w:val="006833D8"/>
    <w:rsid w:val="0068369F"/>
    <w:rsid w:val="006847E4"/>
    <w:rsid w:val="00686B5D"/>
    <w:rsid w:val="00686E6B"/>
    <w:rsid w:val="00687D79"/>
    <w:rsid w:val="0069262C"/>
    <w:rsid w:val="00696246"/>
    <w:rsid w:val="00696571"/>
    <w:rsid w:val="00696CCB"/>
    <w:rsid w:val="00696FC9"/>
    <w:rsid w:val="006974C5"/>
    <w:rsid w:val="00697808"/>
    <w:rsid w:val="00697A86"/>
    <w:rsid w:val="00697E66"/>
    <w:rsid w:val="006A1736"/>
    <w:rsid w:val="006A31AF"/>
    <w:rsid w:val="006A449A"/>
    <w:rsid w:val="006A4CEA"/>
    <w:rsid w:val="006A5E11"/>
    <w:rsid w:val="006A6F56"/>
    <w:rsid w:val="006A7D55"/>
    <w:rsid w:val="006A7E33"/>
    <w:rsid w:val="006A7E44"/>
    <w:rsid w:val="006B04BB"/>
    <w:rsid w:val="006B0D56"/>
    <w:rsid w:val="006B4A9B"/>
    <w:rsid w:val="006B5B21"/>
    <w:rsid w:val="006C00BE"/>
    <w:rsid w:val="006C1BA5"/>
    <w:rsid w:val="006C1DFE"/>
    <w:rsid w:val="006C1F84"/>
    <w:rsid w:val="006C3C7D"/>
    <w:rsid w:val="006C43E5"/>
    <w:rsid w:val="006C63FF"/>
    <w:rsid w:val="006C6923"/>
    <w:rsid w:val="006C7089"/>
    <w:rsid w:val="006C7810"/>
    <w:rsid w:val="006C7F3F"/>
    <w:rsid w:val="006D5918"/>
    <w:rsid w:val="006D796B"/>
    <w:rsid w:val="006D79F5"/>
    <w:rsid w:val="006E087E"/>
    <w:rsid w:val="006E0EB3"/>
    <w:rsid w:val="006E2296"/>
    <w:rsid w:val="006E44C5"/>
    <w:rsid w:val="006E6370"/>
    <w:rsid w:val="006E6E5E"/>
    <w:rsid w:val="006F0111"/>
    <w:rsid w:val="006F0466"/>
    <w:rsid w:val="006F0FE4"/>
    <w:rsid w:val="006F2A88"/>
    <w:rsid w:val="006F2AD4"/>
    <w:rsid w:val="006F3203"/>
    <w:rsid w:val="006F3E60"/>
    <w:rsid w:val="006F5DA9"/>
    <w:rsid w:val="006F6E84"/>
    <w:rsid w:val="006F77C5"/>
    <w:rsid w:val="006F7F1A"/>
    <w:rsid w:val="0070037F"/>
    <w:rsid w:val="00702410"/>
    <w:rsid w:val="0070332B"/>
    <w:rsid w:val="00704FA2"/>
    <w:rsid w:val="00705520"/>
    <w:rsid w:val="00706295"/>
    <w:rsid w:val="00707351"/>
    <w:rsid w:val="00707946"/>
    <w:rsid w:val="007100BF"/>
    <w:rsid w:val="00713145"/>
    <w:rsid w:val="00713189"/>
    <w:rsid w:val="00713E39"/>
    <w:rsid w:val="00713FBA"/>
    <w:rsid w:val="007144DA"/>
    <w:rsid w:val="00714B2E"/>
    <w:rsid w:val="00715E6B"/>
    <w:rsid w:val="00717E18"/>
    <w:rsid w:val="00720A1A"/>
    <w:rsid w:val="00721DFB"/>
    <w:rsid w:val="00725059"/>
    <w:rsid w:val="007259B7"/>
    <w:rsid w:val="00726208"/>
    <w:rsid w:val="00726490"/>
    <w:rsid w:val="00726F0B"/>
    <w:rsid w:val="00730020"/>
    <w:rsid w:val="00730875"/>
    <w:rsid w:val="007312E2"/>
    <w:rsid w:val="007339A4"/>
    <w:rsid w:val="0073413F"/>
    <w:rsid w:val="007345E3"/>
    <w:rsid w:val="007367CB"/>
    <w:rsid w:val="00740798"/>
    <w:rsid w:val="00740B7E"/>
    <w:rsid w:val="00742372"/>
    <w:rsid w:val="0074358D"/>
    <w:rsid w:val="007442A6"/>
    <w:rsid w:val="00744FF8"/>
    <w:rsid w:val="0074663E"/>
    <w:rsid w:val="007508D7"/>
    <w:rsid w:val="00751D47"/>
    <w:rsid w:val="007537A0"/>
    <w:rsid w:val="00753F20"/>
    <w:rsid w:val="00760333"/>
    <w:rsid w:val="00760D8F"/>
    <w:rsid w:val="007622B9"/>
    <w:rsid w:val="0076276D"/>
    <w:rsid w:val="00762789"/>
    <w:rsid w:val="00763F47"/>
    <w:rsid w:val="007652C6"/>
    <w:rsid w:val="007655FB"/>
    <w:rsid w:val="00765EB8"/>
    <w:rsid w:val="00766964"/>
    <w:rsid w:val="007730B5"/>
    <w:rsid w:val="00773401"/>
    <w:rsid w:val="007734EF"/>
    <w:rsid w:val="007736FA"/>
    <w:rsid w:val="00776DF5"/>
    <w:rsid w:val="0078086F"/>
    <w:rsid w:val="0078093B"/>
    <w:rsid w:val="007811A8"/>
    <w:rsid w:val="007814C9"/>
    <w:rsid w:val="00782C66"/>
    <w:rsid w:val="007830F4"/>
    <w:rsid w:val="00783450"/>
    <w:rsid w:val="0078520C"/>
    <w:rsid w:val="00786677"/>
    <w:rsid w:val="00786876"/>
    <w:rsid w:val="00786C64"/>
    <w:rsid w:val="00794103"/>
    <w:rsid w:val="007945D9"/>
    <w:rsid w:val="00794A94"/>
    <w:rsid w:val="00797B1A"/>
    <w:rsid w:val="007A00D3"/>
    <w:rsid w:val="007A07B3"/>
    <w:rsid w:val="007A169F"/>
    <w:rsid w:val="007A24AC"/>
    <w:rsid w:val="007A39AD"/>
    <w:rsid w:val="007A5119"/>
    <w:rsid w:val="007A5F17"/>
    <w:rsid w:val="007A675B"/>
    <w:rsid w:val="007A7D71"/>
    <w:rsid w:val="007B00C2"/>
    <w:rsid w:val="007B21B0"/>
    <w:rsid w:val="007B26D5"/>
    <w:rsid w:val="007B4037"/>
    <w:rsid w:val="007B4B66"/>
    <w:rsid w:val="007B5DB7"/>
    <w:rsid w:val="007B6170"/>
    <w:rsid w:val="007C138C"/>
    <w:rsid w:val="007C26F3"/>
    <w:rsid w:val="007C2888"/>
    <w:rsid w:val="007C3BC3"/>
    <w:rsid w:val="007C4246"/>
    <w:rsid w:val="007C4321"/>
    <w:rsid w:val="007C6A6E"/>
    <w:rsid w:val="007D123A"/>
    <w:rsid w:val="007D2412"/>
    <w:rsid w:val="007D3710"/>
    <w:rsid w:val="007D6047"/>
    <w:rsid w:val="007E1AA0"/>
    <w:rsid w:val="007E1FAD"/>
    <w:rsid w:val="007E42E0"/>
    <w:rsid w:val="007E4511"/>
    <w:rsid w:val="007E52FE"/>
    <w:rsid w:val="007E7BA6"/>
    <w:rsid w:val="007F05C7"/>
    <w:rsid w:val="007F2355"/>
    <w:rsid w:val="007F4192"/>
    <w:rsid w:val="007F50EE"/>
    <w:rsid w:val="007F69F0"/>
    <w:rsid w:val="00800FB5"/>
    <w:rsid w:val="00803B5D"/>
    <w:rsid w:val="008042DF"/>
    <w:rsid w:val="00804343"/>
    <w:rsid w:val="00805A77"/>
    <w:rsid w:val="00805B37"/>
    <w:rsid w:val="00810AFF"/>
    <w:rsid w:val="00811AC2"/>
    <w:rsid w:val="0081508B"/>
    <w:rsid w:val="00816103"/>
    <w:rsid w:val="00816CB4"/>
    <w:rsid w:val="0082151A"/>
    <w:rsid w:val="008216AC"/>
    <w:rsid w:val="00822C5A"/>
    <w:rsid w:val="00823974"/>
    <w:rsid w:val="00824F97"/>
    <w:rsid w:val="00825FAC"/>
    <w:rsid w:val="00830FC5"/>
    <w:rsid w:val="00831576"/>
    <w:rsid w:val="00831919"/>
    <w:rsid w:val="008335B2"/>
    <w:rsid w:val="00833FA8"/>
    <w:rsid w:val="0083472D"/>
    <w:rsid w:val="00836A7B"/>
    <w:rsid w:val="00837EA8"/>
    <w:rsid w:val="00837F22"/>
    <w:rsid w:val="00841473"/>
    <w:rsid w:val="0084161C"/>
    <w:rsid w:val="008428D0"/>
    <w:rsid w:val="00842958"/>
    <w:rsid w:val="00843D62"/>
    <w:rsid w:val="008449E3"/>
    <w:rsid w:val="00844E74"/>
    <w:rsid w:val="00845C45"/>
    <w:rsid w:val="008460C7"/>
    <w:rsid w:val="00846B41"/>
    <w:rsid w:val="008471E3"/>
    <w:rsid w:val="0084730F"/>
    <w:rsid w:val="00850AA5"/>
    <w:rsid w:val="008518E7"/>
    <w:rsid w:val="00852037"/>
    <w:rsid w:val="00852674"/>
    <w:rsid w:val="008563CB"/>
    <w:rsid w:val="00862807"/>
    <w:rsid w:val="00863435"/>
    <w:rsid w:val="00865EBD"/>
    <w:rsid w:val="008666EB"/>
    <w:rsid w:val="00866D6D"/>
    <w:rsid w:val="00867110"/>
    <w:rsid w:val="00870128"/>
    <w:rsid w:val="00870647"/>
    <w:rsid w:val="00871FE8"/>
    <w:rsid w:val="008726FC"/>
    <w:rsid w:val="008727EF"/>
    <w:rsid w:val="0087602C"/>
    <w:rsid w:val="008777DA"/>
    <w:rsid w:val="00877B76"/>
    <w:rsid w:val="00881559"/>
    <w:rsid w:val="00881C4A"/>
    <w:rsid w:val="00882CB3"/>
    <w:rsid w:val="008844FD"/>
    <w:rsid w:val="00884CB7"/>
    <w:rsid w:val="008868A1"/>
    <w:rsid w:val="00892329"/>
    <w:rsid w:val="00894CD0"/>
    <w:rsid w:val="00894EF2"/>
    <w:rsid w:val="008962B0"/>
    <w:rsid w:val="0089637B"/>
    <w:rsid w:val="00897149"/>
    <w:rsid w:val="00897396"/>
    <w:rsid w:val="00897839"/>
    <w:rsid w:val="008A1507"/>
    <w:rsid w:val="008A3DFF"/>
    <w:rsid w:val="008A3E0F"/>
    <w:rsid w:val="008A5A10"/>
    <w:rsid w:val="008B048C"/>
    <w:rsid w:val="008B0AC4"/>
    <w:rsid w:val="008B0EEE"/>
    <w:rsid w:val="008B1816"/>
    <w:rsid w:val="008B2D94"/>
    <w:rsid w:val="008B3678"/>
    <w:rsid w:val="008B45A9"/>
    <w:rsid w:val="008B47BC"/>
    <w:rsid w:val="008B51A1"/>
    <w:rsid w:val="008B5716"/>
    <w:rsid w:val="008B5F2F"/>
    <w:rsid w:val="008B5F4E"/>
    <w:rsid w:val="008B6197"/>
    <w:rsid w:val="008C0981"/>
    <w:rsid w:val="008C2783"/>
    <w:rsid w:val="008C2A39"/>
    <w:rsid w:val="008C4248"/>
    <w:rsid w:val="008C60AC"/>
    <w:rsid w:val="008C7E90"/>
    <w:rsid w:val="008D04C0"/>
    <w:rsid w:val="008D1F00"/>
    <w:rsid w:val="008D30CA"/>
    <w:rsid w:val="008D4FB2"/>
    <w:rsid w:val="008D5132"/>
    <w:rsid w:val="008D6DD1"/>
    <w:rsid w:val="008E18A8"/>
    <w:rsid w:val="008E1974"/>
    <w:rsid w:val="008E2E56"/>
    <w:rsid w:val="008E372F"/>
    <w:rsid w:val="008E5975"/>
    <w:rsid w:val="008E719E"/>
    <w:rsid w:val="008F0573"/>
    <w:rsid w:val="008F344B"/>
    <w:rsid w:val="008F4769"/>
    <w:rsid w:val="008F6182"/>
    <w:rsid w:val="008F74F3"/>
    <w:rsid w:val="008F77CA"/>
    <w:rsid w:val="009006D0"/>
    <w:rsid w:val="0090117B"/>
    <w:rsid w:val="009015A4"/>
    <w:rsid w:val="00901E3A"/>
    <w:rsid w:val="00902677"/>
    <w:rsid w:val="0090341B"/>
    <w:rsid w:val="0090382C"/>
    <w:rsid w:val="00904A10"/>
    <w:rsid w:val="0090530A"/>
    <w:rsid w:val="00905FD2"/>
    <w:rsid w:val="0090623C"/>
    <w:rsid w:val="00910A8A"/>
    <w:rsid w:val="00910B1E"/>
    <w:rsid w:val="009111B2"/>
    <w:rsid w:val="00912C52"/>
    <w:rsid w:val="00913C71"/>
    <w:rsid w:val="00914BE2"/>
    <w:rsid w:val="00916207"/>
    <w:rsid w:val="0091627A"/>
    <w:rsid w:val="0091653F"/>
    <w:rsid w:val="00916FF4"/>
    <w:rsid w:val="0091734F"/>
    <w:rsid w:val="00917F6C"/>
    <w:rsid w:val="00921996"/>
    <w:rsid w:val="00922366"/>
    <w:rsid w:val="00922A83"/>
    <w:rsid w:val="0092428A"/>
    <w:rsid w:val="009260CC"/>
    <w:rsid w:val="009267C5"/>
    <w:rsid w:val="00926E1C"/>
    <w:rsid w:val="00930737"/>
    <w:rsid w:val="00934022"/>
    <w:rsid w:val="009347E3"/>
    <w:rsid w:val="00936542"/>
    <w:rsid w:val="00936D4F"/>
    <w:rsid w:val="00941278"/>
    <w:rsid w:val="009428AD"/>
    <w:rsid w:val="00944134"/>
    <w:rsid w:val="0094422B"/>
    <w:rsid w:val="00944467"/>
    <w:rsid w:val="00944F6C"/>
    <w:rsid w:val="0094612A"/>
    <w:rsid w:val="00946D3E"/>
    <w:rsid w:val="009470C1"/>
    <w:rsid w:val="00951613"/>
    <w:rsid w:val="00953133"/>
    <w:rsid w:val="0095389B"/>
    <w:rsid w:val="00954507"/>
    <w:rsid w:val="00954B6F"/>
    <w:rsid w:val="00955A24"/>
    <w:rsid w:val="00955D06"/>
    <w:rsid w:val="00963A31"/>
    <w:rsid w:val="00964786"/>
    <w:rsid w:val="00964F05"/>
    <w:rsid w:val="00964FB1"/>
    <w:rsid w:val="00967D83"/>
    <w:rsid w:val="00970271"/>
    <w:rsid w:val="009721AF"/>
    <w:rsid w:val="00974287"/>
    <w:rsid w:val="00974B38"/>
    <w:rsid w:val="00981C0E"/>
    <w:rsid w:val="00982C18"/>
    <w:rsid w:val="00983942"/>
    <w:rsid w:val="00984A61"/>
    <w:rsid w:val="009860FF"/>
    <w:rsid w:val="00986835"/>
    <w:rsid w:val="0098735A"/>
    <w:rsid w:val="009911D7"/>
    <w:rsid w:val="00991EB8"/>
    <w:rsid w:val="0099228D"/>
    <w:rsid w:val="00992858"/>
    <w:rsid w:val="009965E9"/>
    <w:rsid w:val="00997EDF"/>
    <w:rsid w:val="009A4443"/>
    <w:rsid w:val="009A466C"/>
    <w:rsid w:val="009A5241"/>
    <w:rsid w:val="009A59B8"/>
    <w:rsid w:val="009A6064"/>
    <w:rsid w:val="009A68A2"/>
    <w:rsid w:val="009A6973"/>
    <w:rsid w:val="009A6BA3"/>
    <w:rsid w:val="009A6DD2"/>
    <w:rsid w:val="009A7959"/>
    <w:rsid w:val="009A7B37"/>
    <w:rsid w:val="009B28CC"/>
    <w:rsid w:val="009B2CB0"/>
    <w:rsid w:val="009B3038"/>
    <w:rsid w:val="009B3E9B"/>
    <w:rsid w:val="009B4531"/>
    <w:rsid w:val="009B4DA4"/>
    <w:rsid w:val="009B55CF"/>
    <w:rsid w:val="009B6761"/>
    <w:rsid w:val="009B6DB4"/>
    <w:rsid w:val="009C1D7F"/>
    <w:rsid w:val="009C255B"/>
    <w:rsid w:val="009C34BC"/>
    <w:rsid w:val="009C677F"/>
    <w:rsid w:val="009C6C57"/>
    <w:rsid w:val="009C6C7C"/>
    <w:rsid w:val="009D0486"/>
    <w:rsid w:val="009D1BE2"/>
    <w:rsid w:val="009D279B"/>
    <w:rsid w:val="009D3079"/>
    <w:rsid w:val="009D6781"/>
    <w:rsid w:val="009D7B1C"/>
    <w:rsid w:val="009D7B2C"/>
    <w:rsid w:val="009E0B20"/>
    <w:rsid w:val="009E2C73"/>
    <w:rsid w:val="009E37C0"/>
    <w:rsid w:val="009E7177"/>
    <w:rsid w:val="009F0921"/>
    <w:rsid w:val="009F1264"/>
    <w:rsid w:val="009F187C"/>
    <w:rsid w:val="009F3C49"/>
    <w:rsid w:val="009F75B6"/>
    <w:rsid w:val="00A0105B"/>
    <w:rsid w:val="00A011B0"/>
    <w:rsid w:val="00A012EE"/>
    <w:rsid w:val="00A01819"/>
    <w:rsid w:val="00A02879"/>
    <w:rsid w:val="00A04BF0"/>
    <w:rsid w:val="00A0778C"/>
    <w:rsid w:val="00A07EAF"/>
    <w:rsid w:val="00A07ECD"/>
    <w:rsid w:val="00A108C9"/>
    <w:rsid w:val="00A119C7"/>
    <w:rsid w:val="00A11C2B"/>
    <w:rsid w:val="00A14A0C"/>
    <w:rsid w:val="00A14ECB"/>
    <w:rsid w:val="00A154D7"/>
    <w:rsid w:val="00A15768"/>
    <w:rsid w:val="00A170EB"/>
    <w:rsid w:val="00A1749B"/>
    <w:rsid w:val="00A20355"/>
    <w:rsid w:val="00A20EB2"/>
    <w:rsid w:val="00A22D02"/>
    <w:rsid w:val="00A2309F"/>
    <w:rsid w:val="00A236E8"/>
    <w:rsid w:val="00A25B77"/>
    <w:rsid w:val="00A26735"/>
    <w:rsid w:val="00A26E9A"/>
    <w:rsid w:val="00A3133D"/>
    <w:rsid w:val="00A330BA"/>
    <w:rsid w:val="00A3373C"/>
    <w:rsid w:val="00A34158"/>
    <w:rsid w:val="00A40C0D"/>
    <w:rsid w:val="00A419C2"/>
    <w:rsid w:val="00A43B51"/>
    <w:rsid w:val="00A451EE"/>
    <w:rsid w:val="00A471F4"/>
    <w:rsid w:val="00A47EA4"/>
    <w:rsid w:val="00A50234"/>
    <w:rsid w:val="00A5464E"/>
    <w:rsid w:val="00A5747B"/>
    <w:rsid w:val="00A62079"/>
    <w:rsid w:val="00A62D74"/>
    <w:rsid w:val="00A63E5C"/>
    <w:rsid w:val="00A63F0C"/>
    <w:rsid w:val="00A65B34"/>
    <w:rsid w:val="00A65D58"/>
    <w:rsid w:val="00A65EEE"/>
    <w:rsid w:val="00A65F9E"/>
    <w:rsid w:val="00A67E3E"/>
    <w:rsid w:val="00A702C1"/>
    <w:rsid w:val="00A70DA5"/>
    <w:rsid w:val="00A71BD1"/>
    <w:rsid w:val="00A7262E"/>
    <w:rsid w:val="00A734C3"/>
    <w:rsid w:val="00A73C25"/>
    <w:rsid w:val="00A75FC0"/>
    <w:rsid w:val="00A76FD5"/>
    <w:rsid w:val="00A812F5"/>
    <w:rsid w:val="00A820AE"/>
    <w:rsid w:val="00A833B2"/>
    <w:rsid w:val="00A83FB5"/>
    <w:rsid w:val="00A8404D"/>
    <w:rsid w:val="00A84286"/>
    <w:rsid w:val="00A84629"/>
    <w:rsid w:val="00A854B9"/>
    <w:rsid w:val="00A85965"/>
    <w:rsid w:val="00A85B04"/>
    <w:rsid w:val="00A8682D"/>
    <w:rsid w:val="00A92087"/>
    <w:rsid w:val="00A93681"/>
    <w:rsid w:val="00A9660E"/>
    <w:rsid w:val="00A96758"/>
    <w:rsid w:val="00A974D4"/>
    <w:rsid w:val="00A975F4"/>
    <w:rsid w:val="00AA0304"/>
    <w:rsid w:val="00AA0D55"/>
    <w:rsid w:val="00AA11E2"/>
    <w:rsid w:val="00AA1254"/>
    <w:rsid w:val="00AA240D"/>
    <w:rsid w:val="00AA5994"/>
    <w:rsid w:val="00AA7DBD"/>
    <w:rsid w:val="00AB11ED"/>
    <w:rsid w:val="00AB38CE"/>
    <w:rsid w:val="00AB39D2"/>
    <w:rsid w:val="00AB464B"/>
    <w:rsid w:val="00AC06FC"/>
    <w:rsid w:val="00AC151B"/>
    <w:rsid w:val="00AC2D21"/>
    <w:rsid w:val="00AC33A4"/>
    <w:rsid w:val="00AC4222"/>
    <w:rsid w:val="00AC49B6"/>
    <w:rsid w:val="00AC6B21"/>
    <w:rsid w:val="00AC7158"/>
    <w:rsid w:val="00AC76C6"/>
    <w:rsid w:val="00AC7F64"/>
    <w:rsid w:val="00AD2121"/>
    <w:rsid w:val="00AD254D"/>
    <w:rsid w:val="00AD3464"/>
    <w:rsid w:val="00AD4B56"/>
    <w:rsid w:val="00AD709F"/>
    <w:rsid w:val="00AE2587"/>
    <w:rsid w:val="00AE2E4A"/>
    <w:rsid w:val="00AE3D25"/>
    <w:rsid w:val="00AE448B"/>
    <w:rsid w:val="00AE7038"/>
    <w:rsid w:val="00AF0E61"/>
    <w:rsid w:val="00AF2124"/>
    <w:rsid w:val="00B004CE"/>
    <w:rsid w:val="00B0351C"/>
    <w:rsid w:val="00B05E23"/>
    <w:rsid w:val="00B07DE5"/>
    <w:rsid w:val="00B1140C"/>
    <w:rsid w:val="00B1189C"/>
    <w:rsid w:val="00B12BAB"/>
    <w:rsid w:val="00B12E9D"/>
    <w:rsid w:val="00B13236"/>
    <w:rsid w:val="00B136FE"/>
    <w:rsid w:val="00B152F5"/>
    <w:rsid w:val="00B15BAA"/>
    <w:rsid w:val="00B1661D"/>
    <w:rsid w:val="00B1711B"/>
    <w:rsid w:val="00B17E07"/>
    <w:rsid w:val="00B22FFA"/>
    <w:rsid w:val="00B23311"/>
    <w:rsid w:val="00B24274"/>
    <w:rsid w:val="00B24434"/>
    <w:rsid w:val="00B26AAA"/>
    <w:rsid w:val="00B27120"/>
    <w:rsid w:val="00B30C16"/>
    <w:rsid w:val="00B31710"/>
    <w:rsid w:val="00B37E62"/>
    <w:rsid w:val="00B41F32"/>
    <w:rsid w:val="00B4214A"/>
    <w:rsid w:val="00B43E94"/>
    <w:rsid w:val="00B43F51"/>
    <w:rsid w:val="00B45187"/>
    <w:rsid w:val="00B4563B"/>
    <w:rsid w:val="00B4616B"/>
    <w:rsid w:val="00B46DD9"/>
    <w:rsid w:val="00B47C20"/>
    <w:rsid w:val="00B50CAD"/>
    <w:rsid w:val="00B52C7D"/>
    <w:rsid w:val="00B5426E"/>
    <w:rsid w:val="00B55269"/>
    <w:rsid w:val="00B55E4A"/>
    <w:rsid w:val="00B55F55"/>
    <w:rsid w:val="00B56910"/>
    <w:rsid w:val="00B56D22"/>
    <w:rsid w:val="00B5717C"/>
    <w:rsid w:val="00B6079F"/>
    <w:rsid w:val="00B63848"/>
    <w:rsid w:val="00B646A4"/>
    <w:rsid w:val="00B6736B"/>
    <w:rsid w:val="00B67C3A"/>
    <w:rsid w:val="00B7077F"/>
    <w:rsid w:val="00B71124"/>
    <w:rsid w:val="00B71CA1"/>
    <w:rsid w:val="00B74FB0"/>
    <w:rsid w:val="00B75166"/>
    <w:rsid w:val="00B76317"/>
    <w:rsid w:val="00B7722C"/>
    <w:rsid w:val="00B81DCF"/>
    <w:rsid w:val="00B844CD"/>
    <w:rsid w:val="00B87FCF"/>
    <w:rsid w:val="00B903C9"/>
    <w:rsid w:val="00B92895"/>
    <w:rsid w:val="00B92EF5"/>
    <w:rsid w:val="00B932AA"/>
    <w:rsid w:val="00B93598"/>
    <w:rsid w:val="00B944F4"/>
    <w:rsid w:val="00B94990"/>
    <w:rsid w:val="00B96B3D"/>
    <w:rsid w:val="00BA0BE8"/>
    <w:rsid w:val="00BA0EC9"/>
    <w:rsid w:val="00BA1370"/>
    <w:rsid w:val="00BA35BE"/>
    <w:rsid w:val="00BA3B82"/>
    <w:rsid w:val="00BA40AE"/>
    <w:rsid w:val="00BA41A6"/>
    <w:rsid w:val="00BA4C07"/>
    <w:rsid w:val="00BA4C08"/>
    <w:rsid w:val="00BA5995"/>
    <w:rsid w:val="00BA7622"/>
    <w:rsid w:val="00BA798F"/>
    <w:rsid w:val="00BA7D20"/>
    <w:rsid w:val="00BB0B53"/>
    <w:rsid w:val="00BB0B9A"/>
    <w:rsid w:val="00BB0BBE"/>
    <w:rsid w:val="00BB493A"/>
    <w:rsid w:val="00BB64E7"/>
    <w:rsid w:val="00BB6EC6"/>
    <w:rsid w:val="00BB7407"/>
    <w:rsid w:val="00BB7C53"/>
    <w:rsid w:val="00BC0F17"/>
    <w:rsid w:val="00BC23FF"/>
    <w:rsid w:val="00BC5EEE"/>
    <w:rsid w:val="00BD1019"/>
    <w:rsid w:val="00BD28A5"/>
    <w:rsid w:val="00BD2B9B"/>
    <w:rsid w:val="00BD496A"/>
    <w:rsid w:val="00BD4A6E"/>
    <w:rsid w:val="00BD596F"/>
    <w:rsid w:val="00BE041F"/>
    <w:rsid w:val="00BE14E5"/>
    <w:rsid w:val="00BE2126"/>
    <w:rsid w:val="00BE3BC3"/>
    <w:rsid w:val="00BE519C"/>
    <w:rsid w:val="00BE5201"/>
    <w:rsid w:val="00BE58E1"/>
    <w:rsid w:val="00BE5B17"/>
    <w:rsid w:val="00BE6BA0"/>
    <w:rsid w:val="00BE7463"/>
    <w:rsid w:val="00BF0CEA"/>
    <w:rsid w:val="00BF193D"/>
    <w:rsid w:val="00BF1E92"/>
    <w:rsid w:val="00BF2946"/>
    <w:rsid w:val="00BF2D32"/>
    <w:rsid w:val="00BF3283"/>
    <w:rsid w:val="00BF38D3"/>
    <w:rsid w:val="00BF526B"/>
    <w:rsid w:val="00C011F1"/>
    <w:rsid w:val="00C013A0"/>
    <w:rsid w:val="00C0583A"/>
    <w:rsid w:val="00C0695D"/>
    <w:rsid w:val="00C06A03"/>
    <w:rsid w:val="00C06C5A"/>
    <w:rsid w:val="00C06F5E"/>
    <w:rsid w:val="00C0772D"/>
    <w:rsid w:val="00C07973"/>
    <w:rsid w:val="00C101E0"/>
    <w:rsid w:val="00C12C3B"/>
    <w:rsid w:val="00C1387D"/>
    <w:rsid w:val="00C13DA1"/>
    <w:rsid w:val="00C15892"/>
    <w:rsid w:val="00C15E02"/>
    <w:rsid w:val="00C1614D"/>
    <w:rsid w:val="00C162DC"/>
    <w:rsid w:val="00C202D6"/>
    <w:rsid w:val="00C20F74"/>
    <w:rsid w:val="00C21173"/>
    <w:rsid w:val="00C224FF"/>
    <w:rsid w:val="00C2341E"/>
    <w:rsid w:val="00C2377B"/>
    <w:rsid w:val="00C23E95"/>
    <w:rsid w:val="00C24478"/>
    <w:rsid w:val="00C26772"/>
    <w:rsid w:val="00C27A51"/>
    <w:rsid w:val="00C312D4"/>
    <w:rsid w:val="00C3138C"/>
    <w:rsid w:val="00C32DD2"/>
    <w:rsid w:val="00C330AE"/>
    <w:rsid w:val="00C33DBF"/>
    <w:rsid w:val="00C350A5"/>
    <w:rsid w:val="00C37142"/>
    <w:rsid w:val="00C3758E"/>
    <w:rsid w:val="00C400DA"/>
    <w:rsid w:val="00C40DD9"/>
    <w:rsid w:val="00C41DA4"/>
    <w:rsid w:val="00C447FE"/>
    <w:rsid w:val="00C452EE"/>
    <w:rsid w:val="00C4539D"/>
    <w:rsid w:val="00C45F86"/>
    <w:rsid w:val="00C469B9"/>
    <w:rsid w:val="00C46C4D"/>
    <w:rsid w:val="00C46D31"/>
    <w:rsid w:val="00C522D5"/>
    <w:rsid w:val="00C52784"/>
    <w:rsid w:val="00C52F55"/>
    <w:rsid w:val="00C5410C"/>
    <w:rsid w:val="00C543B2"/>
    <w:rsid w:val="00C55230"/>
    <w:rsid w:val="00C5649B"/>
    <w:rsid w:val="00C57B4D"/>
    <w:rsid w:val="00C60758"/>
    <w:rsid w:val="00C61911"/>
    <w:rsid w:val="00C62D8D"/>
    <w:rsid w:val="00C62E5B"/>
    <w:rsid w:val="00C6344E"/>
    <w:rsid w:val="00C63C1E"/>
    <w:rsid w:val="00C65A4C"/>
    <w:rsid w:val="00C67779"/>
    <w:rsid w:val="00C71997"/>
    <w:rsid w:val="00C72615"/>
    <w:rsid w:val="00C73AB2"/>
    <w:rsid w:val="00C73F33"/>
    <w:rsid w:val="00C77F21"/>
    <w:rsid w:val="00C8000F"/>
    <w:rsid w:val="00C80620"/>
    <w:rsid w:val="00C80B1C"/>
    <w:rsid w:val="00C80D01"/>
    <w:rsid w:val="00C81993"/>
    <w:rsid w:val="00C821F0"/>
    <w:rsid w:val="00C83308"/>
    <w:rsid w:val="00C84A54"/>
    <w:rsid w:val="00C85130"/>
    <w:rsid w:val="00C854A3"/>
    <w:rsid w:val="00C857D4"/>
    <w:rsid w:val="00C90D2D"/>
    <w:rsid w:val="00C90FAD"/>
    <w:rsid w:val="00C922D1"/>
    <w:rsid w:val="00C92791"/>
    <w:rsid w:val="00C92C4D"/>
    <w:rsid w:val="00C93018"/>
    <w:rsid w:val="00C9482E"/>
    <w:rsid w:val="00C9508F"/>
    <w:rsid w:val="00C972BC"/>
    <w:rsid w:val="00CA0568"/>
    <w:rsid w:val="00CA10A3"/>
    <w:rsid w:val="00CA197A"/>
    <w:rsid w:val="00CA1F8B"/>
    <w:rsid w:val="00CA1FBD"/>
    <w:rsid w:val="00CA20B3"/>
    <w:rsid w:val="00CA2676"/>
    <w:rsid w:val="00CA2B40"/>
    <w:rsid w:val="00CA2DAF"/>
    <w:rsid w:val="00CA3329"/>
    <w:rsid w:val="00CA3D4E"/>
    <w:rsid w:val="00CA42B4"/>
    <w:rsid w:val="00CA5C1B"/>
    <w:rsid w:val="00CA626B"/>
    <w:rsid w:val="00CA6C08"/>
    <w:rsid w:val="00CB0445"/>
    <w:rsid w:val="00CB197F"/>
    <w:rsid w:val="00CB1DB7"/>
    <w:rsid w:val="00CB4477"/>
    <w:rsid w:val="00CB5280"/>
    <w:rsid w:val="00CB79F0"/>
    <w:rsid w:val="00CC0F5C"/>
    <w:rsid w:val="00CC2321"/>
    <w:rsid w:val="00CC2C34"/>
    <w:rsid w:val="00CC3111"/>
    <w:rsid w:val="00CC37A3"/>
    <w:rsid w:val="00CC39E5"/>
    <w:rsid w:val="00CC5B2E"/>
    <w:rsid w:val="00CC5D30"/>
    <w:rsid w:val="00CC6395"/>
    <w:rsid w:val="00CC6537"/>
    <w:rsid w:val="00CC6549"/>
    <w:rsid w:val="00CC7909"/>
    <w:rsid w:val="00CD1D97"/>
    <w:rsid w:val="00CD1FB0"/>
    <w:rsid w:val="00CD25A5"/>
    <w:rsid w:val="00CD3F73"/>
    <w:rsid w:val="00CE069C"/>
    <w:rsid w:val="00CE1887"/>
    <w:rsid w:val="00CE2E47"/>
    <w:rsid w:val="00CE31B2"/>
    <w:rsid w:val="00CE5AAF"/>
    <w:rsid w:val="00CE6508"/>
    <w:rsid w:val="00CE6F33"/>
    <w:rsid w:val="00CF11EC"/>
    <w:rsid w:val="00CF1F3D"/>
    <w:rsid w:val="00CF4373"/>
    <w:rsid w:val="00CF57CA"/>
    <w:rsid w:val="00D01A25"/>
    <w:rsid w:val="00D03CF6"/>
    <w:rsid w:val="00D044FD"/>
    <w:rsid w:val="00D04601"/>
    <w:rsid w:val="00D05FFD"/>
    <w:rsid w:val="00D063D7"/>
    <w:rsid w:val="00D10BCF"/>
    <w:rsid w:val="00D11CF7"/>
    <w:rsid w:val="00D12F10"/>
    <w:rsid w:val="00D1343F"/>
    <w:rsid w:val="00D14DA3"/>
    <w:rsid w:val="00D15A2A"/>
    <w:rsid w:val="00D15DC9"/>
    <w:rsid w:val="00D16263"/>
    <w:rsid w:val="00D20209"/>
    <w:rsid w:val="00D20A41"/>
    <w:rsid w:val="00D20B81"/>
    <w:rsid w:val="00D23077"/>
    <w:rsid w:val="00D240A5"/>
    <w:rsid w:val="00D26037"/>
    <w:rsid w:val="00D261EC"/>
    <w:rsid w:val="00D2670C"/>
    <w:rsid w:val="00D2757B"/>
    <w:rsid w:val="00D333FA"/>
    <w:rsid w:val="00D36674"/>
    <w:rsid w:val="00D37701"/>
    <w:rsid w:val="00D413E4"/>
    <w:rsid w:val="00D414FF"/>
    <w:rsid w:val="00D41592"/>
    <w:rsid w:val="00D440ED"/>
    <w:rsid w:val="00D4499C"/>
    <w:rsid w:val="00D44ED6"/>
    <w:rsid w:val="00D4539C"/>
    <w:rsid w:val="00D45CAC"/>
    <w:rsid w:val="00D46694"/>
    <w:rsid w:val="00D50094"/>
    <w:rsid w:val="00D5059D"/>
    <w:rsid w:val="00D506EF"/>
    <w:rsid w:val="00D50FF8"/>
    <w:rsid w:val="00D50FF9"/>
    <w:rsid w:val="00D5227D"/>
    <w:rsid w:val="00D5524B"/>
    <w:rsid w:val="00D55352"/>
    <w:rsid w:val="00D56073"/>
    <w:rsid w:val="00D563B4"/>
    <w:rsid w:val="00D56604"/>
    <w:rsid w:val="00D6015D"/>
    <w:rsid w:val="00D60D48"/>
    <w:rsid w:val="00D60F8A"/>
    <w:rsid w:val="00D61CD7"/>
    <w:rsid w:val="00D631F1"/>
    <w:rsid w:val="00D63B8A"/>
    <w:rsid w:val="00D66958"/>
    <w:rsid w:val="00D676EC"/>
    <w:rsid w:val="00D72C91"/>
    <w:rsid w:val="00D737EA"/>
    <w:rsid w:val="00D74155"/>
    <w:rsid w:val="00D75D9C"/>
    <w:rsid w:val="00D7713C"/>
    <w:rsid w:val="00D776CB"/>
    <w:rsid w:val="00D806CD"/>
    <w:rsid w:val="00D80F0E"/>
    <w:rsid w:val="00D81946"/>
    <w:rsid w:val="00D82219"/>
    <w:rsid w:val="00D828A8"/>
    <w:rsid w:val="00D844B0"/>
    <w:rsid w:val="00D86A19"/>
    <w:rsid w:val="00D87B44"/>
    <w:rsid w:val="00D908C4"/>
    <w:rsid w:val="00D90F54"/>
    <w:rsid w:val="00D91377"/>
    <w:rsid w:val="00D9150D"/>
    <w:rsid w:val="00D91756"/>
    <w:rsid w:val="00D92000"/>
    <w:rsid w:val="00D92C6C"/>
    <w:rsid w:val="00D92E9A"/>
    <w:rsid w:val="00D935BD"/>
    <w:rsid w:val="00D93812"/>
    <w:rsid w:val="00D938A4"/>
    <w:rsid w:val="00D93AD9"/>
    <w:rsid w:val="00D94FB5"/>
    <w:rsid w:val="00D9524A"/>
    <w:rsid w:val="00D954B5"/>
    <w:rsid w:val="00D95968"/>
    <w:rsid w:val="00D95BDA"/>
    <w:rsid w:val="00D96B23"/>
    <w:rsid w:val="00D96F81"/>
    <w:rsid w:val="00D97169"/>
    <w:rsid w:val="00D978ED"/>
    <w:rsid w:val="00DA15A7"/>
    <w:rsid w:val="00DA15C7"/>
    <w:rsid w:val="00DA30E1"/>
    <w:rsid w:val="00DA3688"/>
    <w:rsid w:val="00DA4317"/>
    <w:rsid w:val="00DA55EE"/>
    <w:rsid w:val="00DA6F6B"/>
    <w:rsid w:val="00DA71AC"/>
    <w:rsid w:val="00DA7BBA"/>
    <w:rsid w:val="00DB02D0"/>
    <w:rsid w:val="00DB1BA2"/>
    <w:rsid w:val="00DB2A84"/>
    <w:rsid w:val="00DB2E22"/>
    <w:rsid w:val="00DB5E23"/>
    <w:rsid w:val="00DB7C88"/>
    <w:rsid w:val="00DB7F70"/>
    <w:rsid w:val="00DC0786"/>
    <w:rsid w:val="00DC1129"/>
    <w:rsid w:val="00DC1BB2"/>
    <w:rsid w:val="00DC2501"/>
    <w:rsid w:val="00DC5F79"/>
    <w:rsid w:val="00DC664B"/>
    <w:rsid w:val="00DC7A9B"/>
    <w:rsid w:val="00DC7BD1"/>
    <w:rsid w:val="00DD11DD"/>
    <w:rsid w:val="00DD295E"/>
    <w:rsid w:val="00DD3560"/>
    <w:rsid w:val="00DD4423"/>
    <w:rsid w:val="00DD45B4"/>
    <w:rsid w:val="00DD52BC"/>
    <w:rsid w:val="00DD6C05"/>
    <w:rsid w:val="00DD7D04"/>
    <w:rsid w:val="00DE000C"/>
    <w:rsid w:val="00DE030F"/>
    <w:rsid w:val="00DE135D"/>
    <w:rsid w:val="00DE31BE"/>
    <w:rsid w:val="00DE522E"/>
    <w:rsid w:val="00DE5FBB"/>
    <w:rsid w:val="00DF0138"/>
    <w:rsid w:val="00DF1799"/>
    <w:rsid w:val="00DF1BEC"/>
    <w:rsid w:val="00DF1D0B"/>
    <w:rsid w:val="00DF3616"/>
    <w:rsid w:val="00DF3CF1"/>
    <w:rsid w:val="00DF4589"/>
    <w:rsid w:val="00DF514D"/>
    <w:rsid w:val="00DF5D06"/>
    <w:rsid w:val="00DF7E05"/>
    <w:rsid w:val="00E0039A"/>
    <w:rsid w:val="00E00E7B"/>
    <w:rsid w:val="00E00E95"/>
    <w:rsid w:val="00E010FC"/>
    <w:rsid w:val="00E01E9B"/>
    <w:rsid w:val="00E03C8D"/>
    <w:rsid w:val="00E04FB1"/>
    <w:rsid w:val="00E07932"/>
    <w:rsid w:val="00E1117C"/>
    <w:rsid w:val="00E12CD2"/>
    <w:rsid w:val="00E14FF3"/>
    <w:rsid w:val="00E17B13"/>
    <w:rsid w:val="00E21485"/>
    <w:rsid w:val="00E2210C"/>
    <w:rsid w:val="00E229AF"/>
    <w:rsid w:val="00E2603C"/>
    <w:rsid w:val="00E27300"/>
    <w:rsid w:val="00E27757"/>
    <w:rsid w:val="00E27CB7"/>
    <w:rsid w:val="00E27DC2"/>
    <w:rsid w:val="00E32219"/>
    <w:rsid w:val="00E3384D"/>
    <w:rsid w:val="00E33EB7"/>
    <w:rsid w:val="00E3418E"/>
    <w:rsid w:val="00E37A87"/>
    <w:rsid w:val="00E37F4F"/>
    <w:rsid w:val="00E4123F"/>
    <w:rsid w:val="00E430B6"/>
    <w:rsid w:val="00E4520A"/>
    <w:rsid w:val="00E47D59"/>
    <w:rsid w:val="00E50DBF"/>
    <w:rsid w:val="00E51295"/>
    <w:rsid w:val="00E5224C"/>
    <w:rsid w:val="00E53AC3"/>
    <w:rsid w:val="00E54959"/>
    <w:rsid w:val="00E56979"/>
    <w:rsid w:val="00E5716A"/>
    <w:rsid w:val="00E60671"/>
    <w:rsid w:val="00E633FD"/>
    <w:rsid w:val="00E6374C"/>
    <w:rsid w:val="00E63F47"/>
    <w:rsid w:val="00E6462F"/>
    <w:rsid w:val="00E64BDD"/>
    <w:rsid w:val="00E64E90"/>
    <w:rsid w:val="00E6620C"/>
    <w:rsid w:val="00E66903"/>
    <w:rsid w:val="00E677C6"/>
    <w:rsid w:val="00E70A37"/>
    <w:rsid w:val="00E7451F"/>
    <w:rsid w:val="00E76D2B"/>
    <w:rsid w:val="00E77C49"/>
    <w:rsid w:val="00E83A48"/>
    <w:rsid w:val="00E84B7D"/>
    <w:rsid w:val="00E86DD9"/>
    <w:rsid w:val="00E90209"/>
    <w:rsid w:val="00E904AE"/>
    <w:rsid w:val="00E92CD1"/>
    <w:rsid w:val="00E936C4"/>
    <w:rsid w:val="00E94A7B"/>
    <w:rsid w:val="00E9515B"/>
    <w:rsid w:val="00E9604D"/>
    <w:rsid w:val="00E9772E"/>
    <w:rsid w:val="00EA0849"/>
    <w:rsid w:val="00EA3515"/>
    <w:rsid w:val="00EA4DF7"/>
    <w:rsid w:val="00EA532F"/>
    <w:rsid w:val="00EA57E7"/>
    <w:rsid w:val="00EA5A81"/>
    <w:rsid w:val="00EA609F"/>
    <w:rsid w:val="00EA63DB"/>
    <w:rsid w:val="00EA671E"/>
    <w:rsid w:val="00EA7742"/>
    <w:rsid w:val="00EB087B"/>
    <w:rsid w:val="00EB1054"/>
    <w:rsid w:val="00EB1EFC"/>
    <w:rsid w:val="00EB3381"/>
    <w:rsid w:val="00EB5E3D"/>
    <w:rsid w:val="00EB6BEB"/>
    <w:rsid w:val="00EB6DB3"/>
    <w:rsid w:val="00EB7114"/>
    <w:rsid w:val="00EB750E"/>
    <w:rsid w:val="00EB7D92"/>
    <w:rsid w:val="00EC0788"/>
    <w:rsid w:val="00EC0C75"/>
    <w:rsid w:val="00EC5440"/>
    <w:rsid w:val="00EC5796"/>
    <w:rsid w:val="00EC7411"/>
    <w:rsid w:val="00EC7A00"/>
    <w:rsid w:val="00ED0713"/>
    <w:rsid w:val="00ED106B"/>
    <w:rsid w:val="00ED168B"/>
    <w:rsid w:val="00ED22ED"/>
    <w:rsid w:val="00ED277B"/>
    <w:rsid w:val="00ED28B4"/>
    <w:rsid w:val="00ED6AFD"/>
    <w:rsid w:val="00ED7446"/>
    <w:rsid w:val="00ED777F"/>
    <w:rsid w:val="00EE01E7"/>
    <w:rsid w:val="00EE0519"/>
    <w:rsid w:val="00EE31A5"/>
    <w:rsid w:val="00EE3388"/>
    <w:rsid w:val="00EE4BFB"/>
    <w:rsid w:val="00EE669F"/>
    <w:rsid w:val="00EF0C80"/>
    <w:rsid w:val="00EF0DB1"/>
    <w:rsid w:val="00EF15C0"/>
    <w:rsid w:val="00EF35D1"/>
    <w:rsid w:val="00EF5D41"/>
    <w:rsid w:val="00EF7490"/>
    <w:rsid w:val="00F03D7A"/>
    <w:rsid w:val="00F063F2"/>
    <w:rsid w:val="00F07CC7"/>
    <w:rsid w:val="00F10A92"/>
    <w:rsid w:val="00F1114F"/>
    <w:rsid w:val="00F12056"/>
    <w:rsid w:val="00F1269C"/>
    <w:rsid w:val="00F131C7"/>
    <w:rsid w:val="00F132F1"/>
    <w:rsid w:val="00F1470D"/>
    <w:rsid w:val="00F155EE"/>
    <w:rsid w:val="00F16F8F"/>
    <w:rsid w:val="00F20593"/>
    <w:rsid w:val="00F20936"/>
    <w:rsid w:val="00F229D7"/>
    <w:rsid w:val="00F22A5A"/>
    <w:rsid w:val="00F24599"/>
    <w:rsid w:val="00F26787"/>
    <w:rsid w:val="00F3150E"/>
    <w:rsid w:val="00F32666"/>
    <w:rsid w:val="00F337FB"/>
    <w:rsid w:val="00F34747"/>
    <w:rsid w:val="00F351F2"/>
    <w:rsid w:val="00F35245"/>
    <w:rsid w:val="00F35FCC"/>
    <w:rsid w:val="00F37798"/>
    <w:rsid w:val="00F40367"/>
    <w:rsid w:val="00F40BAC"/>
    <w:rsid w:val="00F4167F"/>
    <w:rsid w:val="00F42775"/>
    <w:rsid w:val="00F44859"/>
    <w:rsid w:val="00F4561A"/>
    <w:rsid w:val="00F4617A"/>
    <w:rsid w:val="00F46340"/>
    <w:rsid w:val="00F46CA4"/>
    <w:rsid w:val="00F4704E"/>
    <w:rsid w:val="00F506EB"/>
    <w:rsid w:val="00F51000"/>
    <w:rsid w:val="00F51ED9"/>
    <w:rsid w:val="00F52D28"/>
    <w:rsid w:val="00F53080"/>
    <w:rsid w:val="00F55A41"/>
    <w:rsid w:val="00F56102"/>
    <w:rsid w:val="00F56CE2"/>
    <w:rsid w:val="00F5724D"/>
    <w:rsid w:val="00F5778D"/>
    <w:rsid w:val="00F5794F"/>
    <w:rsid w:val="00F625DE"/>
    <w:rsid w:val="00F6279A"/>
    <w:rsid w:val="00F62E48"/>
    <w:rsid w:val="00F62E82"/>
    <w:rsid w:val="00F63467"/>
    <w:rsid w:val="00F66D94"/>
    <w:rsid w:val="00F700F0"/>
    <w:rsid w:val="00F725C1"/>
    <w:rsid w:val="00F7301E"/>
    <w:rsid w:val="00F75E25"/>
    <w:rsid w:val="00F779C0"/>
    <w:rsid w:val="00F84C64"/>
    <w:rsid w:val="00F84C8B"/>
    <w:rsid w:val="00F869E0"/>
    <w:rsid w:val="00F87BE7"/>
    <w:rsid w:val="00F92609"/>
    <w:rsid w:val="00F93405"/>
    <w:rsid w:val="00F936A9"/>
    <w:rsid w:val="00F94235"/>
    <w:rsid w:val="00F94A35"/>
    <w:rsid w:val="00F95DF5"/>
    <w:rsid w:val="00F9719B"/>
    <w:rsid w:val="00F972A0"/>
    <w:rsid w:val="00FA4DC5"/>
    <w:rsid w:val="00FA77D4"/>
    <w:rsid w:val="00FB33E1"/>
    <w:rsid w:val="00FB4ACA"/>
    <w:rsid w:val="00FB58EA"/>
    <w:rsid w:val="00FB5AF0"/>
    <w:rsid w:val="00FB6004"/>
    <w:rsid w:val="00FB63CA"/>
    <w:rsid w:val="00FB793F"/>
    <w:rsid w:val="00FC156C"/>
    <w:rsid w:val="00FC3880"/>
    <w:rsid w:val="00FC3DDD"/>
    <w:rsid w:val="00FC63A4"/>
    <w:rsid w:val="00FC6400"/>
    <w:rsid w:val="00FD1DF0"/>
    <w:rsid w:val="00FD22B6"/>
    <w:rsid w:val="00FD3ACB"/>
    <w:rsid w:val="00FD3C60"/>
    <w:rsid w:val="00FD42B3"/>
    <w:rsid w:val="00FD515A"/>
    <w:rsid w:val="00FD7ED2"/>
    <w:rsid w:val="00FE02F6"/>
    <w:rsid w:val="00FE2EF3"/>
    <w:rsid w:val="00FE35A5"/>
    <w:rsid w:val="00FE45ED"/>
    <w:rsid w:val="00FE7102"/>
    <w:rsid w:val="00FE7727"/>
    <w:rsid w:val="00FF00FA"/>
    <w:rsid w:val="00FF24CC"/>
    <w:rsid w:val="00FF2D0F"/>
    <w:rsid w:val="00FF31E5"/>
    <w:rsid w:val="00FF34D1"/>
    <w:rsid w:val="00FF5BA4"/>
    <w:rsid w:val="00FF7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semiHidden/>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semiHidden/>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98457">
      <w:bodyDiv w:val="1"/>
      <w:marLeft w:val="0"/>
      <w:marRight w:val="0"/>
      <w:marTop w:val="0"/>
      <w:marBottom w:val="0"/>
      <w:divBdr>
        <w:top w:val="none" w:sz="0" w:space="0" w:color="auto"/>
        <w:left w:val="none" w:sz="0" w:space="0" w:color="auto"/>
        <w:bottom w:val="none" w:sz="0" w:space="0" w:color="auto"/>
        <w:right w:val="none" w:sz="0" w:space="0" w:color="auto"/>
      </w:divBdr>
    </w:div>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682903868">
      <w:bodyDiv w:val="1"/>
      <w:marLeft w:val="0"/>
      <w:marRight w:val="0"/>
      <w:marTop w:val="0"/>
      <w:marBottom w:val="0"/>
      <w:divBdr>
        <w:top w:val="none" w:sz="0" w:space="0" w:color="auto"/>
        <w:left w:val="none" w:sz="0" w:space="0" w:color="auto"/>
        <w:bottom w:val="none" w:sz="0" w:space="0" w:color="auto"/>
        <w:right w:val="none" w:sz="0" w:space="0" w:color="auto"/>
      </w:divBdr>
    </w:div>
    <w:div w:id="891621737">
      <w:bodyDiv w:val="1"/>
      <w:marLeft w:val="0"/>
      <w:marRight w:val="0"/>
      <w:marTop w:val="0"/>
      <w:marBottom w:val="0"/>
      <w:divBdr>
        <w:top w:val="none" w:sz="0" w:space="0" w:color="auto"/>
        <w:left w:val="none" w:sz="0" w:space="0" w:color="auto"/>
        <w:bottom w:val="none" w:sz="0" w:space="0" w:color="auto"/>
        <w:right w:val="none" w:sz="0" w:space="0" w:color="auto"/>
      </w:divBdr>
    </w:div>
    <w:div w:id="932207584">
      <w:bodyDiv w:val="1"/>
      <w:marLeft w:val="0"/>
      <w:marRight w:val="0"/>
      <w:marTop w:val="0"/>
      <w:marBottom w:val="0"/>
      <w:divBdr>
        <w:top w:val="none" w:sz="0" w:space="0" w:color="auto"/>
        <w:left w:val="none" w:sz="0" w:space="0" w:color="auto"/>
        <w:bottom w:val="none" w:sz="0" w:space="0" w:color="auto"/>
        <w:right w:val="none" w:sz="0" w:space="0" w:color="auto"/>
      </w:divBdr>
    </w:div>
    <w:div w:id="1123113261">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523980830">
      <w:bodyDiv w:val="1"/>
      <w:marLeft w:val="0"/>
      <w:marRight w:val="0"/>
      <w:marTop w:val="0"/>
      <w:marBottom w:val="0"/>
      <w:divBdr>
        <w:top w:val="none" w:sz="0" w:space="0" w:color="auto"/>
        <w:left w:val="none" w:sz="0" w:space="0" w:color="auto"/>
        <w:bottom w:val="none" w:sz="0" w:space="0" w:color="auto"/>
        <w:right w:val="none" w:sz="0" w:space="0" w:color="auto"/>
      </w:divBdr>
    </w:div>
    <w:div w:id="1571185616">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 w:id="196053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9" Type="http://schemas.openxmlformats.org/officeDocument/2006/relationships/package" Target="embeddings/Microsoft_Excel_Worksheet12.xlsx"/><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image" Target="media/image11.emf"/><Relationship Id="rId42" Type="http://schemas.openxmlformats.org/officeDocument/2006/relationships/image" Target="media/image15.emf"/><Relationship Id="rId47"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package" Target="embeddings/Microsoft_Excel_Worksheet9.xlsx"/><Relationship Id="rId38" Type="http://schemas.openxmlformats.org/officeDocument/2006/relationships/image" Target="media/image13.emf"/><Relationship Id="rId46"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hyperlink" Target="http://www.ujn.gov.me/wp-content/uploads/2014/06/Izvjestaj2013.pdf" TargetMode="External"/><Relationship Id="rId41" Type="http://schemas.openxmlformats.org/officeDocument/2006/relationships/package" Target="embeddings/Microsoft_Excel_Worksheet13.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ujn.gov.rs" TargetMode="External"/><Relationship Id="rId24" Type="http://schemas.openxmlformats.org/officeDocument/2006/relationships/package" Target="embeddings/Microsoft_Excel_Worksheet6.xlsx"/><Relationship Id="rId32" Type="http://schemas.openxmlformats.org/officeDocument/2006/relationships/image" Target="media/image10.emf"/><Relationship Id="rId37" Type="http://schemas.openxmlformats.org/officeDocument/2006/relationships/package" Target="embeddings/Microsoft_Excel_Worksheet11.xlsx"/><Relationship Id="rId40" Type="http://schemas.openxmlformats.org/officeDocument/2006/relationships/image" Target="media/image14.emf"/><Relationship Id="rId45" Type="http://schemas.openxmlformats.org/officeDocument/2006/relationships/package" Target="embeddings/Microsoft_Excel_Worksheet15.xlsx"/><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hyperlink" Target="http://www.javnanabava.hr/userdocsimages/userfiles/file/Statisti&#269;ka%20izvje&#353;&#263;a/Godi&#353;nja/Statisticko_izvjesce_JN-2011.pdf" TargetMode="External"/><Relationship Id="rId36" Type="http://schemas.openxmlformats.org/officeDocument/2006/relationships/image" Target="media/image12.emf"/><Relationship Id="rId49" Type="http://schemas.openxmlformats.org/officeDocument/2006/relationships/theme" Target="theme/theme1.xml"/><Relationship Id="rId10" Type="http://schemas.openxmlformats.org/officeDocument/2006/relationships/hyperlink" Target="http://www.ujn.gov.rs" TargetMode="External"/><Relationship Id="rId19" Type="http://schemas.openxmlformats.org/officeDocument/2006/relationships/image" Target="media/image5.emf"/><Relationship Id="rId31" Type="http://schemas.openxmlformats.org/officeDocument/2006/relationships/package" Target="embeddings/Microsoft_Excel_Worksheet8.xlsx"/><Relationship Id="rId44" Type="http://schemas.openxmlformats.org/officeDocument/2006/relationships/image" Target="media/image16.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package" Target="embeddings/Microsoft_Excel_Worksheet5.xlsx"/><Relationship Id="rId27" Type="http://schemas.openxmlformats.org/officeDocument/2006/relationships/hyperlink" Target="http://www.djn.mf.gov.si/resources/files/Sistem_javnega_narocanja/Stat_por_JN2012_IN.pdf" TargetMode="External"/><Relationship Id="rId30" Type="http://schemas.openxmlformats.org/officeDocument/2006/relationships/image" Target="media/image9.emf"/><Relationship Id="rId35" Type="http://schemas.openxmlformats.org/officeDocument/2006/relationships/package" Target="embeddings/Microsoft_Excel_Worksheet10.xlsx"/><Relationship Id="rId43" Type="http://schemas.openxmlformats.org/officeDocument/2006/relationships/package" Target="embeddings/Microsoft_Excel_Worksheet14.xlsx"/><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www.javnanabava.hr/userdocsimages/userfiles/file/Statisti&#269;ka%20izvje&#353;&#263;a/Godi&#353;nja/Statisticko_izvjesce_JN-2012.pdf" TargetMode="External"/><Relationship Id="rId1" Type="http://schemas.openxmlformats.org/officeDocument/2006/relationships/hyperlink" Target="http://www.ujn.gov.me/wp-content/uploads/2014/06/Izvjestaj2013.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Sheet1!$A$1:$A$5</c:f>
              <c:strCache>
                <c:ptCount val="5"/>
                <c:pt idx="0">
                  <c:v>36.1.2.</c:v>
                </c:pt>
                <c:pt idx="1">
                  <c:v>36.1.3.</c:v>
                </c:pt>
                <c:pt idx="2">
                  <c:v>36.1.4.</c:v>
                </c:pt>
                <c:pt idx="3">
                  <c:v>36.1.5.</c:v>
                </c:pt>
                <c:pt idx="4">
                  <c:v>36.1.6.</c:v>
                </c:pt>
              </c:strCache>
            </c:strRef>
          </c:cat>
          <c:val>
            <c:numRef>
              <c:f>Sheet1!$B$1:$B$5</c:f>
              <c:numCache>
                <c:formatCode>0%</c:formatCode>
                <c:ptCount val="5"/>
                <c:pt idx="0">
                  <c:v>0.69000000000000061</c:v>
                </c:pt>
                <c:pt idx="1">
                  <c:v>0.23</c:v>
                </c:pt>
                <c:pt idx="2">
                  <c:v>1.0000000000000005E-2</c:v>
                </c:pt>
                <c:pt idx="3">
                  <c:v>7.0000000000000021E-2</c:v>
                </c:pt>
                <c:pt idx="4">
                  <c:v>0</c:v>
                </c:pt>
              </c:numCache>
            </c:numRef>
          </c:val>
        </c:ser>
        <c:dLbls>
          <c:showLegendKey val="0"/>
          <c:showVal val="0"/>
          <c:showCatName val="0"/>
          <c:showSerName val="0"/>
          <c:showPercent val="0"/>
          <c:showBubbleSize val="0"/>
        </c:dLbls>
        <c:gapWidth val="150"/>
        <c:axId val="136435968"/>
        <c:axId val="141070336"/>
      </c:barChart>
      <c:catAx>
        <c:axId val="136435968"/>
        <c:scaling>
          <c:orientation val="minMax"/>
        </c:scaling>
        <c:delete val="0"/>
        <c:axPos val="b"/>
        <c:numFmt formatCode="General" sourceLinked="1"/>
        <c:majorTickMark val="out"/>
        <c:minorTickMark val="none"/>
        <c:tickLblPos val="nextTo"/>
        <c:txPr>
          <a:bodyPr/>
          <a:lstStyle/>
          <a:p>
            <a:pPr>
              <a:defRPr lang="sr-Latn-RS"/>
            </a:pPr>
            <a:endParaRPr lang="sr-Latn-RS"/>
          </a:p>
        </c:txPr>
        <c:crossAx val="141070336"/>
        <c:crosses val="autoZero"/>
        <c:auto val="1"/>
        <c:lblAlgn val="ctr"/>
        <c:lblOffset val="100"/>
        <c:noMultiLvlLbl val="0"/>
      </c:catAx>
      <c:valAx>
        <c:axId val="141070336"/>
        <c:scaling>
          <c:orientation val="minMax"/>
        </c:scaling>
        <c:delete val="0"/>
        <c:axPos val="l"/>
        <c:majorGridlines/>
        <c:numFmt formatCode="0%" sourceLinked="1"/>
        <c:majorTickMark val="out"/>
        <c:minorTickMark val="none"/>
        <c:tickLblPos val="nextTo"/>
        <c:txPr>
          <a:bodyPr/>
          <a:lstStyle/>
          <a:p>
            <a:pPr>
              <a:defRPr lang="sr-Latn-RS"/>
            </a:pPr>
            <a:endParaRPr lang="sr-Latn-RS"/>
          </a:p>
        </c:txPr>
        <c:crossAx val="136435968"/>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marker>
            <c:symbol val="none"/>
          </c:marker>
          <c:cat>
            <c:strRef>
              <c:f>Sheet1!$A$1:$A$12</c:f>
              <c:strCache>
                <c:ptCount val="12"/>
                <c:pt idx="0">
                  <c:v>јануар</c:v>
                </c:pt>
                <c:pt idx="1">
                  <c:v>фебруар</c:v>
                </c:pt>
                <c:pt idx="2">
                  <c:v>март</c:v>
                </c:pt>
                <c:pt idx="3">
                  <c:v>април</c:v>
                </c:pt>
                <c:pt idx="4">
                  <c:v>мај</c:v>
                </c:pt>
                <c:pt idx="5">
                  <c:v>јун</c:v>
                </c:pt>
                <c:pt idx="6">
                  <c:v>јул</c:v>
                </c:pt>
                <c:pt idx="7">
                  <c:v>август</c:v>
                </c:pt>
                <c:pt idx="8">
                  <c:v>септембар</c:v>
                </c:pt>
                <c:pt idx="9">
                  <c:v>октобар</c:v>
                </c:pt>
                <c:pt idx="10">
                  <c:v>новембар</c:v>
                </c:pt>
                <c:pt idx="11">
                  <c:v>децембар</c:v>
                </c:pt>
              </c:strCache>
            </c:strRef>
          </c:cat>
          <c:val>
            <c:numRef>
              <c:f>Sheet1!$B$1:$B$12</c:f>
              <c:numCache>
                <c:formatCode>General</c:formatCode>
                <c:ptCount val="12"/>
                <c:pt idx="0">
                  <c:v>397</c:v>
                </c:pt>
                <c:pt idx="1">
                  <c:v>481</c:v>
                </c:pt>
                <c:pt idx="2">
                  <c:v>502</c:v>
                </c:pt>
                <c:pt idx="3">
                  <c:v>417</c:v>
                </c:pt>
                <c:pt idx="4">
                  <c:v>370</c:v>
                </c:pt>
                <c:pt idx="5">
                  <c:v>270</c:v>
                </c:pt>
                <c:pt idx="6">
                  <c:v>327</c:v>
                </c:pt>
                <c:pt idx="7">
                  <c:v>342</c:v>
                </c:pt>
                <c:pt idx="8">
                  <c:v>319</c:v>
                </c:pt>
                <c:pt idx="9">
                  <c:v>347</c:v>
                </c:pt>
                <c:pt idx="10">
                  <c:v>283</c:v>
                </c:pt>
                <c:pt idx="11">
                  <c:v>283</c:v>
                </c:pt>
              </c:numCache>
            </c:numRef>
          </c:val>
          <c:smooth val="0"/>
        </c:ser>
        <c:dLbls>
          <c:showLegendKey val="0"/>
          <c:showVal val="0"/>
          <c:showCatName val="0"/>
          <c:showSerName val="0"/>
          <c:showPercent val="0"/>
          <c:showBubbleSize val="0"/>
        </c:dLbls>
        <c:marker val="1"/>
        <c:smooth val="0"/>
        <c:axId val="154203264"/>
        <c:axId val="154204800"/>
      </c:lineChart>
      <c:catAx>
        <c:axId val="154203264"/>
        <c:scaling>
          <c:orientation val="minMax"/>
        </c:scaling>
        <c:delete val="0"/>
        <c:axPos val="b"/>
        <c:numFmt formatCode="General" sourceLinked="1"/>
        <c:majorTickMark val="out"/>
        <c:minorTickMark val="none"/>
        <c:tickLblPos val="nextTo"/>
        <c:txPr>
          <a:bodyPr/>
          <a:lstStyle/>
          <a:p>
            <a:pPr>
              <a:defRPr lang="sr-Latn-RS"/>
            </a:pPr>
            <a:endParaRPr lang="sr-Latn-RS"/>
          </a:p>
        </c:txPr>
        <c:crossAx val="154204800"/>
        <c:crosses val="autoZero"/>
        <c:auto val="1"/>
        <c:lblAlgn val="ctr"/>
        <c:lblOffset val="100"/>
        <c:noMultiLvlLbl val="0"/>
      </c:catAx>
      <c:valAx>
        <c:axId val="154204800"/>
        <c:scaling>
          <c:orientation val="minMax"/>
        </c:scaling>
        <c:delete val="0"/>
        <c:axPos val="l"/>
        <c:majorGridlines/>
        <c:numFmt formatCode="General" sourceLinked="1"/>
        <c:majorTickMark val="out"/>
        <c:minorTickMark val="none"/>
        <c:tickLblPos val="nextTo"/>
        <c:txPr>
          <a:bodyPr/>
          <a:lstStyle/>
          <a:p>
            <a:pPr>
              <a:defRPr lang="sr-Latn-RS"/>
            </a:pPr>
            <a:endParaRPr lang="sr-Latn-RS"/>
          </a:p>
        </c:txPr>
        <c:crossAx val="154203264"/>
        <c:crosses val="autoZero"/>
        <c:crossBetween val="between"/>
      </c:valAx>
      <c:spPr>
        <a:noFill/>
        <a:ln w="25367">
          <a:noFill/>
        </a:ln>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A36D5-D5BC-4604-802B-C801DEA53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40</Pages>
  <Words>11135</Words>
  <Characters>63476</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Danijela Bokan</cp:lastModifiedBy>
  <cp:revision>40</cp:revision>
  <cp:lastPrinted>2015-04-20T13:13:00Z</cp:lastPrinted>
  <dcterms:created xsi:type="dcterms:W3CDTF">2015-04-20T09:59:00Z</dcterms:created>
  <dcterms:modified xsi:type="dcterms:W3CDTF">2015-04-20T13:14:00Z</dcterms:modified>
</cp:coreProperties>
</file>